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082C9" w14:textId="278CCA4B" w:rsidR="00922970" w:rsidRPr="00096B91" w:rsidRDefault="00922970" w:rsidP="00922970">
      <w:pPr>
        <w:pStyle w:val="Title"/>
        <w:rPr>
          <w:rFonts w:ascii="Times New Roman" w:hAnsi="Times New Roman"/>
          <w:u w:val="single"/>
        </w:rPr>
      </w:pPr>
      <w:r w:rsidRPr="00096B91">
        <w:rPr>
          <w:rFonts w:ascii="Times New Roman" w:hAnsi="Times New Roman"/>
          <w:u w:val="single"/>
        </w:rPr>
        <w:t>EXPLANATORY STATEMENT</w:t>
      </w:r>
    </w:p>
    <w:p w14:paraId="51C1056D" w14:textId="77777777" w:rsidR="000C5B2D" w:rsidRPr="00F70800" w:rsidRDefault="000C5B2D" w:rsidP="00030593"/>
    <w:p w14:paraId="6D6F0C98" w14:textId="2C5701AD" w:rsidR="00243198" w:rsidRPr="0031091C" w:rsidRDefault="00243198" w:rsidP="00282F9E">
      <w:pPr>
        <w:contextualSpacing/>
        <w:jc w:val="center"/>
        <w:rPr>
          <w:b/>
          <w:bCs/>
        </w:rPr>
      </w:pPr>
      <w:r w:rsidRPr="00096B91">
        <w:rPr>
          <w:rFonts w:cs="Times New Roman"/>
          <w:u w:val="single"/>
        </w:rPr>
        <w:t xml:space="preserve">Issued by Authority of the </w:t>
      </w:r>
      <w:r w:rsidR="00B86B83">
        <w:rPr>
          <w:bCs/>
          <w:u w:val="single"/>
        </w:rPr>
        <w:t>Director of Biosecurity</w:t>
      </w:r>
    </w:p>
    <w:p w14:paraId="49509B0B" w14:textId="77777777" w:rsidR="00243198" w:rsidRDefault="00243198" w:rsidP="002020E4">
      <w:pPr>
        <w:jc w:val="center"/>
        <w:rPr>
          <w:i/>
          <w:color w:val="000000" w:themeColor="text1"/>
        </w:rPr>
      </w:pPr>
    </w:p>
    <w:p w14:paraId="74F9FF76" w14:textId="05B0FD6A" w:rsidR="000C5B2D" w:rsidRPr="002020E4" w:rsidRDefault="000C5B2D" w:rsidP="002020E4">
      <w:pPr>
        <w:jc w:val="center"/>
        <w:rPr>
          <w:i/>
          <w:color w:val="000000" w:themeColor="text1"/>
        </w:rPr>
      </w:pPr>
      <w:r w:rsidRPr="002020E4">
        <w:rPr>
          <w:i/>
          <w:color w:val="000000" w:themeColor="text1"/>
        </w:rPr>
        <w:t>Biosecurity Act 2015</w:t>
      </w:r>
    </w:p>
    <w:p w14:paraId="35CA3C0B" w14:textId="77777777" w:rsidR="000C5B2D" w:rsidRPr="002020E4" w:rsidRDefault="000C5B2D" w:rsidP="002020E4">
      <w:pPr>
        <w:jc w:val="center"/>
        <w:rPr>
          <w:i/>
          <w:color w:val="000000" w:themeColor="text1"/>
        </w:rPr>
      </w:pPr>
    </w:p>
    <w:p w14:paraId="6DF8285D" w14:textId="7DDDB0C5" w:rsidR="00922970" w:rsidRDefault="006F18C8" w:rsidP="006F18C8">
      <w:pPr>
        <w:jc w:val="center"/>
        <w:rPr>
          <w:i/>
          <w:color w:val="000000" w:themeColor="text1"/>
        </w:rPr>
      </w:pPr>
      <w:r w:rsidRPr="006F18C8">
        <w:rPr>
          <w:i/>
          <w:color w:val="000000" w:themeColor="text1"/>
        </w:rPr>
        <w:t>Biosecurity (Biosecurity Activity Zones) Determination 2016</w:t>
      </w:r>
    </w:p>
    <w:p w14:paraId="3CD3747F" w14:textId="77777777" w:rsidR="006F18C8" w:rsidRPr="0031429D" w:rsidRDefault="006F18C8" w:rsidP="006F18C8">
      <w:pPr>
        <w:jc w:val="center"/>
        <w:rPr>
          <w:rFonts w:cs="Times New Roman"/>
        </w:rPr>
      </w:pPr>
    </w:p>
    <w:p w14:paraId="64316208" w14:textId="77777777" w:rsidR="00922970" w:rsidRPr="001D5B1C" w:rsidRDefault="00922970" w:rsidP="00922970">
      <w:pPr>
        <w:tabs>
          <w:tab w:val="left" w:pos="1701"/>
          <w:tab w:val="right" w:pos="9072"/>
        </w:tabs>
        <w:rPr>
          <w:rFonts w:cs="Times New Roman"/>
        </w:rPr>
      </w:pPr>
      <w:r w:rsidRPr="001D5B1C">
        <w:rPr>
          <w:rFonts w:cs="Times New Roman"/>
          <w:b/>
        </w:rPr>
        <w:t>Legislative Authority</w:t>
      </w:r>
    </w:p>
    <w:p w14:paraId="0780BC4F" w14:textId="77777777" w:rsidR="00922970" w:rsidRPr="0031429D" w:rsidRDefault="00922970" w:rsidP="00922970">
      <w:pPr>
        <w:rPr>
          <w:rFonts w:cs="Times New Roman"/>
        </w:rPr>
      </w:pPr>
    </w:p>
    <w:p w14:paraId="5B644442" w14:textId="531DB497" w:rsidR="006C1C8C" w:rsidRDefault="006C1C8C" w:rsidP="006C1C8C">
      <w:pPr>
        <w:rPr>
          <w:rFonts w:cs="Times New Roman"/>
        </w:rPr>
      </w:pPr>
      <w:r w:rsidRPr="001D5B1C">
        <w:rPr>
          <w:rFonts w:cs="Times New Roman"/>
        </w:rPr>
        <w:t xml:space="preserve">The </w:t>
      </w:r>
      <w:r w:rsidRPr="001D5B1C">
        <w:rPr>
          <w:rFonts w:cs="Times New Roman"/>
          <w:i/>
        </w:rPr>
        <w:t xml:space="preserve">Biosecurity Act 2015 </w:t>
      </w:r>
      <w:r w:rsidR="009D1952">
        <w:rPr>
          <w:rFonts w:cs="Times New Roman"/>
        </w:rPr>
        <w:t>(the</w:t>
      </w:r>
      <w:r w:rsidR="002504CA">
        <w:rPr>
          <w:rFonts w:cs="Times New Roman"/>
        </w:rPr>
        <w:t xml:space="preserve"> Biosecurity</w:t>
      </w:r>
      <w:r w:rsidR="009D1952">
        <w:rPr>
          <w:rFonts w:cs="Times New Roman"/>
        </w:rPr>
        <w:t xml:space="preserve"> Act) </w:t>
      </w:r>
      <w:r w:rsidRPr="001D5B1C">
        <w:rPr>
          <w:rFonts w:cs="Times New Roman"/>
        </w:rPr>
        <w:t xml:space="preserve">provides the Commonwealth with powers to assess and </w:t>
      </w:r>
      <w:r w:rsidRPr="00514705">
        <w:rPr>
          <w:rFonts w:cs="Times New Roman"/>
        </w:rPr>
        <w:t>manage the risk of pests and diseases entering Australian territory and causing harm to animal, plant and human health, the environment and the economy.</w:t>
      </w:r>
    </w:p>
    <w:p w14:paraId="309B8692" w14:textId="77777777" w:rsidR="00CE6F65" w:rsidRDefault="00CE6F65" w:rsidP="006C1C8C">
      <w:pPr>
        <w:rPr>
          <w:rFonts w:cs="Times New Roman"/>
          <w:i/>
        </w:rPr>
      </w:pPr>
    </w:p>
    <w:p w14:paraId="66F784D9" w14:textId="0FDCAE21" w:rsidR="00922970" w:rsidRDefault="002A0663" w:rsidP="00922970">
      <w:pPr>
        <w:tabs>
          <w:tab w:val="right" w:pos="9072"/>
        </w:tabs>
        <w:rPr>
          <w:rFonts w:cs="Times New Roman"/>
        </w:rPr>
      </w:pPr>
      <w:r>
        <w:rPr>
          <w:rFonts w:cs="Times New Roman"/>
        </w:rPr>
        <w:t>S</w:t>
      </w:r>
      <w:r w:rsidRPr="002A0663">
        <w:rPr>
          <w:rFonts w:cs="Times New Roman"/>
        </w:rPr>
        <w:t>ubsection 395</w:t>
      </w:r>
      <w:r>
        <w:rPr>
          <w:rFonts w:cs="Times New Roman"/>
        </w:rPr>
        <w:t>(1) of the Biosecurity Act provides that the Director of Biosecurity may determine that a specified area in Australia is a biosecurity act</w:t>
      </w:r>
      <w:r w:rsidR="006B0955">
        <w:rPr>
          <w:rFonts w:cs="Times New Roman"/>
        </w:rPr>
        <w:t>ivity zone. Under subsection 395</w:t>
      </w:r>
      <w:r>
        <w:rPr>
          <w:rFonts w:cs="Times New Roman"/>
        </w:rPr>
        <w:t xml:space="preserve">(1), the Director of Biosecurity can make such a determination if (a) the area is a place where areas are exercised or functions or duties are performed by, or on behalf of, the Commonwealth under the Biosecurity Act and (b) the Director of Biosecurity is satisfied it is necessary to make the determination for the purpose of managing biosecurity risks associated with the exercise of those powers or the performance of those functions or duties. Subsection 395(4) of the Biosecurity Act provides that a determination under subsection 395(1) is a legislative instrument. </w:t>
      </w:r>
    </w:p>
    <w:p w14:paraId="22A3FF1C" w14:textId="77777777" w:rsidR="002A0663" w:rsidRDefault="002A0663" w:rsidP="00922970">
      <w:pPr>
        <w:tabs>
          <w:tab w:val="right" w:pos="9072"/>
        </w:tabs>
        <w:rPr>
          <w:rFonts w:cs="Times New Roman"/>
        </w:rPr>
      </w:pPr>
    </w:p>
    <w:p w14:paraId="087E917E" w14:textId="1B5D087F" w:rsidR="002A0663" w:rsidRDefault="002A0663" w:rsidP="00922970">
      <w:pPr>
        <w:tabs>
          <w:tab w:val="right" w:pos="9072"/>
        </w:tabs>
        <w:rPr>
          <w:rFonts w:cs="Times New Roman"/>
        </w:rPr>
      </w:pPr>
      <w:r w:rsidRPr="002A0663">
        <w:rPr>
          <w:rFonts w:cs="Times New Roman"/>
        </w:rPr>
        <w:t>A determination for a biosecurity activity zone will remain in force until it is revoked under section 398 (</w:t>
      </w:r>
      <w:r w:rsidR="002A3BF7">
        <w:rPr>
          <w:rFonts w:cs="Times New Roman"/>
        </w:rPr>
        <w:t xml:space="preserve">see </w:t>
      </w:r>
      <w:r w:rsidRPr="002A0663">
        <w:rPr>
          <w:rFonts w:cs="Times New Roman"/>
        </w:rPr>
        <w:t>subsection 395(5))</w:t>
      </w:r>
      <w:r>
        <w:rPr>
          <w:rFonts w:cs="Times New Roman"/>
        </w:rPr>
        <w:t xml:space="preserve"> of the Biosecurity Act</w:t>
      </w:r>
      <w:r w:rsidR="008D1E06">
        <w:rPr>
          <w:rFonts w:cs="Times New Roman"/>
        </w:rPr>
        <w:t>)</w:t>
      </w:r>
      <w:r w:rsidRPr="002A0663">
        <w:rPr>
          <w:rFonts w:cs="Times New Roman"/>
        </w:rPr>
        <w:t>.</w:t>
      </w:r>
    </w:p>
    <w:p w14:paraId="144B48D0" w14:textId="77777777" w:rsidR="002A0663" w:rsidRDefault="002A0663" w:rsidP="00922970">
      <w:pPr>
        <w:tabs>
          <w:tab w:val="right" w:pos="9072"/>
        </w:tabs>
        <w:rPr>
          <w:rFonts w:cs="Times New Roman"/>
        </w:rPr>
      </w:pPr>
    </w:p>
    <w:p w14:paraId="558AC803" w14:textId="77777777" w:rsidR="00922970" w:rsidRDefault="00922970" w:rsidP="00922970">
      <w:pPr>
        <w:tabs>
          <w:tab w:val="left" w:pos="1701"/>
          <w:tab w:val="right" w:pos="9072"/>
        </w:tabs>
        <w:rPr>
          <w:rFonts w:cs="Times New Roman"/>
          <w:b/>
        </w:rPr>
      </w:pPr>
      <w:r w:rsidRPr="001D5B1C">
        <w:rPr>
          <w:rFonts w:cs="Times New Roman"/>
          <w:b/>
        </w:rPr>
        <w:t>Purpose</w:t>
      </w:r>
    </w:p>
    <w:p w14:paraId="482805A3" w14:textId="77777777" w:rsidR="00922970" w:rsidRPr="001D5B1C" w:rsidRDefault="00922970" w:rsidP="00922970">
      <w:pPr>
        <w:tabs>
          <w:tab w:val="left" w:pos="1701"/>
          <w:tab w:val="right" w:pos="9072"/>
        </w:tabs>
        <w:rPr>
          <w:rFonts w:cs="Times New Roman"/>
          <w:b/>
        </w:rPr>
      </w:pPr>
    </w:p>
    <w:p w14:paraId="2E41591E" w14:textId="7D94F3EC" w:rsidR="00C724F3" w:rsidRDefault="002A0663" w:rsidP="002A0663">
      <w:r w:rsidRPr="002A0663">
        <w:t xml:space="preserve">The </w:t>
      </w:r>
      <w:r w:rsidR="00C724F3">
        <w:t>purpose of th</w:t>
      </w:r>
      <w:r w:rsidR="00F4092C">
        <w:t>e</w:t>
      </w:r>
      <w:r w:rsidR="00C724F3">
        <w:t xml:space="preserve"> </w:t>
      </w:r>
      <w:r w:rsidR="00F4092C" w:rsidRPr="005F4ABA">
        <w:rPr>
          <w:i/>
        </w:rPr>
        <w:t>Biosecurity (Biosecurity Activity Zones) Determination 2016</w:t>
      </w:r>
      <w:r w:rsidR="00F4092C">
        <w:t xml:space="preserve"> (the </w:t>
      </w:r>
      <w:r w:rsidR="00C724F3">
        <w:t>Determination</w:t>
      </w:r>
      <w:r w:rsidR="00F4092C">
        <w:t>)</w:t>
      </w:r>
      <w:r w:rsidR="00C724F3">
        <w:t xml:space="preserve"> is to determine</w:t>
      </w:r>
      <w:r w:rsidRPr="002A0663">
        <w:t xml:space="preserve"> </w:t>
      </w:r>
      <w:r w:rsidR="0086603C">
        <w:t>areas</w:t>
      </w:r>
      <w:r w:rsidRPr="002A0663">
        <w:t xml:space="preserve"> </w:t>
      </w:r>
      <w:r w:rsidR="00C724F3">
        <w:t xml:space="preserve">as biosecurity activity zones under the Biosecurity Act. Once determined as a biosecurity activity zone, </w:t>
      </w:r>
      <w:r w:rsidR="00C724F3">
        <w:rPr>
          <w:rFonts w:cs="Times New Roman"/>
        </w:rPr>
        <w:t xml:space="preserve">certain powers under the Biosecurity Act </w:t>
      </w:r>
      <w:r w:rsidR="0086603C">
        <w:rPr>
          <w:rFonts w:cs="Times New Roman"/>
        </w:rPr>
        <w:t>may</w:t>
      </w:r>
      <w:r w:rsidR="00C724F3">
        <w:rPr>
          <w:rFonts w:cs="Times New Roman"/>
        </w:rPr>
        <w:t xml:space="preserve"> be exercised in those zones in relation to goods and premises allowing for greater ability to assess and manage biosecurity risk.</w:t>
      </w:r>
    </w:p>
    <w:p w14:paraId="77A45EB2" w14:textId="77777777" w:rsidR="00C724F3" w:rsidRDefault="00C724F3" w:rsidP="002A0663"/>
    <w:p w14:paraId="30730E20" w14:textId="0E84B8E0" w:rsidR="00E118EB" w:rsidRPr="00E118EB" w:rsidRDefault="00E118EB" w:rsidP="00E118EB">
      <w:pPr>
        <w:tabs>
          <w:tab w:val="left" w:pos="1701"/>
          <w:tab w:val="right" w:pos="9072"/>
        </w:tabs>
        <w:rPr>
          <w:rFonts w:cs="Times New Roman"/>
          <w:b/>
        </w:rPr>
      </w:pPr>
      <w:r w:rsidRPr="00DE3AB2">
        <w:rPr>
          <w:rFonts w:cs="Times New Roman"/>
          <w:b/>
        </w:rPr>
        <w:t>Background</w:t>
      </w:r>
    </w:p>
    <w:p w14:paraId="48F1C08F" w14:textId="77777777" w:rsidR="00E118EB" w:rsidRDefault="00E118EB" w:rsidP="002020E4">
      <w:pPr>
        <w:tabs>
          <w:tab w:val="right" w:pos="9072"/>
        </w:tabs>
        <w:rPr>
          <w:rFonts w:cs="Times New Roman"/>
        </w:rPr>
      </w:pPr>
    </w:p>
    <w:p w14:paraId="74EBA6DA" w14:textId="77777777" w:rsidR="002A0663" w:rsidRPr="00896442" w:rsidRDefault="002A0663" w:rsidP="002A0663">
      <w:pPr>
        <w:spacing w:before="100" w:beforeAutospacing="1" w:after="100" w:afterAutospacing="1"/>
        <w:contextualSpacing/>
        <w:rPr>
          <w:rFonts w:eastAsia="Times New Roman" w:cs="Times New Roman"/>
          <w:lang w:eastAsia="en-AU"/>
        </w:rPr>
      </w:pPr>
      <w:r w:rsidRPr="00896442">
        <w:rPr>
          <w:rFonts w:cs="Times New Roman"/>
        </w:rPr>
        <w:t xml:space="preserve">The Biosecurity Act commenced on 16 June 2016 </w:t>
      </w:r>
      <w:r w:rsidRPr="00896442">
        <w:rPr>
          <w:rFonts w:cs="Times New Roman"/>
        </w:rPr>
        <w:sym w:font="Symbol" w:char="F02D"/>
      </w:r>
      <w:r w:rsidRPr="00896442">
        <w:rPr>
          <w:rFonts w:cs="Times New Roman"/>
        </w:rPr>
        <w:t xml:space="preserve">12 months after royal assent. The Biosecurity Act replaces the </w:t>
      </w:r>
      <w:r w:rsidRPr="00896442">
        <w:rPr>
          <w:rFonts w:cs="Times New Roman"/>
          <w:i/>
        </w:rPr>
        <w:t>Quarantine Act 1908</w:t>
      </w:r>
      <w:r w:rsidRPr="00896442">
        <w:rPr>
          <w:rFonts w:cs="Times New Roman"/>
        </w:rPr>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14:paraId="0F6CED6A" w14:textId="77777777" w:rsidR="002A0663" w:rsidRPr="00896442" w:rsidRDefault="002A0663" w:rsidP="002A0663">
      <w:pPr>
        <w:keepLines/>
        <w:rPr>
          <w:rFonts w:cs="Times New Roman"/>
        </w:rPr>
      </w:pPr>
    </w:p>
    <w:p w14:paraId="60DCA47E" w14:textId="192EA606" w:rsidR="002A0663" w:rsidRPr="00896442" w:rsidRDefault="002A0663" w:rsidP="002A0663">
      <w:pPr>
        <w:tabs>
          <w:tab w:val="right" w:pos="9072"/>
        </w:tabs>
        <w:rPr>
          <w:rFonts w:cs="Times New Roman"/>
        </w:rPr>
      </w:pPr>
      <w:r w:rsidRPr="00896442">
        <w:rPr>
          <w:rFonts w:cs="Times New Roman"/>
        </w:rPr>
        <w:t xml:space="preserve">The Biosecurity Act is principles-based and lays the foundation for biosecurity risk management. The detail and specific information requirements for certain activities under the Biosecurity Act are provided for in the </w:t>
      </w:r>
      <w:r w:rsidRPr="00896442">
        <w:rPr>
          <w:rFonts w:cs="Times New Roman"/>
          <w:i/>
        </w:rPr>
        <w:t>Biosecurity Regulation 2016</w:t>
      </w:r>
      <w:r w:rsidRPr="00896442">
        <w:rPr>
          <w:rFonts w:cs="Times New Roman"/>
        </w:rPr>
        <w:t xml:space="preserve"> and other delegated legislation, including this Determination. </w:t>
      </w:r>
      <w:r>
        <w:rPr>
          <w:rFonts w:cs="Times New Roman"/>
        </w:rPr>
        <w:t xml:space="preserve">This Determination sets out </w:t>
      </w:r>
      <w:r w:rsidR="0080618C">
        <w:rPr>
          <w:rFonts w:cs="Times New Roman"/>
        </w:rPr>
        <w:t xml:space="preserve">biosecurity activity </w:t>
      </w:r>
      <w:r w:rsidR="0080618C">
        <w:rPr>
          <w:rFonts w:cs="Times New Roman"/>
        </w:rPr>
        <w:lastRenderedPageBreak/>
        <w:t>zones</w:t>
      </w:r>
      <w:r w:rsidR="00C32270">
        <w:rPr>
          <w:rFonts w:cs="Times New Roman"/>
        </w:rPr>
        <w:t xml:space="preserve"> which enables certain powers under </w:t>
      </w:r>
      <w:r w:rsidR="006B0955">
        <w:rPr>
          <w:rFonts w:cs="Times New Roman"/>
        </w:rPr>
        <w:t>the</w:t>
      </w:r>
      <w:r w:rsidR="00C32270">
        <w:rPr>
          <w:rFonts w:cs="Times New Roman"/>
        </w:rPr>
        <w:t xml:space="preserve"> Biosecurity Act to be exercised in th</w:t>
      </w:r>
      <w:r w:rsidR="006B0955">
        <w:rPr>
          <w:rFonts w:cs="Times New Roman"/>
        </w:rPr>
        <w:t>o</w:t>
      </w:r>
      <w:r w:rsidR="00C32270">
        <w:rPr>
          <w:rFonts w:cs="Times New Roman"/>
        </w:rPr>
        <w:t>se zones</w:t>
      </w:r>
      <w:r w:rsidR="006B0955">
        <w:rPr>
          <w:rFonts w:cs="Times New Roman"/>
        </w:rPr>
        <w:t xml:space="preserve"> in relation to goods and premises</w:t>
      </w:r>
      <w:r w:rsidR="00C32270">
        <w:rPr>
          <w:rFonts w:cs="Times New Roman"/>
        </w:rPr>
        <w:t>.</w:t>
      </w:r>
    </w:p>
    <w:p w14:paraId="62E39940" w14:textId="77777777" w:rsidR="00FF6E01" w:rsidRPr="00DE3AB2" w:rsidRDefault="00FF6E01" w:rsidP="00922970">
      <w:pPr>
        <w:tabs>
          <w:tab w:val="left" w:pos="1701"/>
          <w:tab w:val="right" w:pos="9072"/>
        </w:tabs>
        <w:rPr>
          <w:rFonts w:cs="Times New Roman"/>
          <w:b/>
        </w:rPr>
      </w:pPr>
    </w:p>
    <w:p w14:paraId="507B0B1C" w14:textId="77777777" w:rsidR="00922970" w:rsidRDefault="00922970" w:rsidP="00922970">
      <w:pPr>
        <w:tabs>
          <w:tab w:val="left" w:pos="1701"/>
          <w:tab w:val="right" w:pos="9072"/>
        </w:tabs>
        <w:rPr>
          <w:rFonts w:cs="Times New Roman"/>
          <w:b/>
        </w:rPr>
      </w:pPr>
      <w:r w:rsidRPr="00DE3AB2">
        <w:rPr>
          <w:rFonts w:cs="Times New Roman"/>
          <w:b/>
        </w:rPr>
        <w:t>Impact and Effect</w:t>
      </w:r>
    </w:p>
    <w:p w14:paraId="0BCB4102" w14:textId="77777777" w:rsidR="0080618C" w:rsidRDefault="0080618C" w:rsidP="00922970">
      <w:pPr>
        <w:tabs>
          <w:tab w:val="left" w:pos="1701"/>
          <w:tab w:val="right" w:pos="9072"/>
        </w:tabs>
        <w:rPr>
          <w:rFonts w:cs="Times New Roman"/>
          <w:b/>
        </w:rPr>
      </w:pPr>
    </w:p>
    <w:p w14:paraId="2C59FA3C" w14:textId="7029C32C" w:rsidR="001B775A" w:rsidRDefault="00E63263" w:rsidP="001B775A">
      <w:r w:rsidRPr="00E63263">
        <w:rPr>
          <w:rFonts w:cs="Times New Roman"/>
        </w:rPr>
        <w:t xml:space="preserve">The determination of </w:t>
      </w:r>
      <w:r w:rsidR="00C724F3">
        <w:rPr>
          <w:rFonts w:cs="Times New Roman"/>
        </w:rPr>
        <w:t xml:space="preserve">biosecurity activity </w:t>
      </w:r>
      <w:r w:rsidRPr="00E63263">
        <w:rPr>
          <w:rFonts w:cs="Times New Roman"/>
        </w:rPr>
        <w:t>zones by the Director of Biosecurity provides greater ability to assess and manage biosecurity risk</w:t>
      </w:r>
      <w:r w:rsidR="00846714">
        <w:rPr>
          <w:rFonts w:cs="Times New Roman"/>
        </w:rPr>
        <w:t xml:space="preserve"> in those areas.</w:t>
      </w:r>
      <w:r w:rsidR="00C724F3">
        <w:t xml:space="preserve"> </w:t>
      </w:r>
      <w:r w:rsidR="0082404E">
        <w:t>The</w:t>
      </w:r>
      <w:r w:rsidR="008D1E06">
        <w:t xml:space="preserve"> availability of these powers </w:t>
      </w:r>
      <w:r w:rsidR="0082404E">
        <w:t>are necessary for</w:t>
      </w:r>
      <w:r w:rsidR="008D1E06">
        <w:t xml:space="preserve"> areas which have a higher biosecurity risk because of the nature of activities undertaken at those locations.</w:t>
      </w:r>
    </w:p>
    <w:p w14:paraId="1B66095D" w14:textId="77777777" w:rsidR="004906F6" w:rsidRPr="00DE3AB2" w:rsidRDefault="004906F6" w:rsidP="003848F8">
      <w:pPr>
        <w:tabs>
          <w:tab w:val="right" w:pos="9072"/>
        </w:tabs>
        <w:rPr>
          <w:rFonts w:cs="Times New Roman"/>
        </w:rPr>
      </w:pPr>
    </w:p>
    <w:p w14:paraId="2DFBA00A" w14:textId="77777777" w:rsidR="00394551" w:rsidRPr="00394551" w:rsidRDefault="00394551" w:rsidP="00394551">
      <w:pPr>
        <w:tabs>
          <w:tab w:val="left" w:pos="1701"/>
          <w:tab w:val="right" w:pos="9072"/>
        </w:tabs>
        <w:rPr>
          <w:rFonts w:cs="Times New Roman"/>
        </w:rPr>
      </w:pPr>
      <w:r w:rsidRPr="00394551">
        <w:rPr>
          <w:rFonts w:cs="Times New Roman"/>
          <w:b/>
        </w:rPr>
        <w:t>Consultation</w:t>
      </w:r>
    </w:p>
    <w:p w14:paraId="29377308" w14:textId="77777777" w:rsidR="00394551" w:rsidRPr="00394551" w:rsidRDefault="00394551" w:rsidP="00394551">
      <w:pPr>
        <w:tabs>
          <w:tab w:val="left" w:pos="1701"/>
          <w:tab w:val="right" w:pos="9072"/>
        </w:tabs>
        <w:rPr>
          <w:rFonts w:cs="Times New Roman"/>
        </w:rPr>
      </w:pPr>
    </w:p>
    <w:p w14:paraId="73731A52" w14:textId="4438A346" w:rsidR="00447A88" w:rsidRDefault="00394551" w:rsidP="00447A88">
      <w:pPr>
        <w:tabs>
          <w:tab w:val="left" w:pos="8080"/>
        </w:tabs>
        <w:ind w:right="-410"/>
        <w:rPr>
          <w:rFonts w:cstheme="minorHAnsi"/>
          <w:szCs w:val="20"/>
        </w:rPr>
      </w:pPr>
      <w:r w:rsidRPr="00394551">
        <w:t>During the 2015–16 implementation of the Biosecurity Act</w:t>
      </w:r>
      <w:r w:rsidRPr="00394551">
        <w:rPr>
          <w:i/>
        </w:rPr>
        <w:t>,</w:t>
      </w:r>
      <w:r w:rsidRPr="00394551">
        <w:t xml:space="preserve"> the </w:t>
      </w:r>
      <w:r w:rsidR="0085591F">
        <w:t>Department</w:t>
      </w:r>
      <w:r w:rsidRPr="00394551">
        <w:t xml:space="preserve"> </w:t>
      </w:r>
      <w:r w:rsidR="002B6F70">
        <w:t xml:space="preserve">of </w:t>
      </w:r>
      <w:r w:rsidR="008E44A8">
        <w:t>Agriculture and Water Resources</w:t>
      </w:r>
      <w:r w:rsidRPr="00394551">
        <w:t xml:space="preserve"> actively r</w:t>
      </w:r>
      <w:r w:rsidRPr="00394551">
        <w:rPr>
          <w:rFonts w:cstheme="minorHAnsi"/>
          <w:szCs w:val="20"/>
        </w:rPr>
        <w:t>aised awareness among clients, stakeholders and the general public that new Biosecurity legislation commences on 16 June 2016</w:t>
      </w:r>
      <w:r w:rsidRPr="00394551">
        <w:t>.</w:t>
      </w:r>
    </w:p>
    <w:p w14:paraId="4C0B4A8F" w14:textId="77777777" w:rsidR="00CA1649" w:rsidRDefault="00CA1649" w:rsidP="00447A88">
      <w:pPr>
        <w:tabs>
          <w:tab w:val="left" w:pos="8080"/>
        </w:tabs>
        <w:ind w:right="-410"/>
        <w:rPr>
          <w:rFonts w:cstheme="minorHAnsi"/>
          <w:szCs w:val="20"/>
        </w:rPr>
      </w:pPr>
    </w:p>
    <w:p w14:paraId="3F887BC1" w14:textId="77777777" w:rsidR="0091650D" w:rsidRPr="00896442" w:rsidRDefault="0091650D" w:rsidP="0091650D">
      <w:pPr>
        <w:tabs>
          <w:tab w:val="left" w:pos="8080"/>
        </w:tabs>
        <w:ind w:right="-410"/>
        <w:contextualSpacing/>
      </w:pPr>
      <w:r>
        <w:t xml:space="preserve">This included holding forums targeting peak industry bodies in Canberra and major city regions in Australia, which were attended by over 700 </w:t>
      </w:r>
      <w:r w:rsidRPr="00896442">
        <w:t xml:space="preserve">representatives overall from shipping, ports, petroleum, airlines, airports, freight, cargo, </w:t>
      </w:r>
      <w:r>
        <w:t xml:space="preserve">food and beverage industries, </w:t>
      </w:r>
      <w:r w:rsidRPr="00896442">
        <w:t>research, education, science, plant and animal health and state, territory and federal governments</w:t>
      </w:r>
      <w:r>
        <w:t xml:space="preserve">. Meetings and workshops were also held with state and </w:t>
      </w:r>
      <w:r w:rsidRPr="00896442">
        <w:t xml:space="preserve">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w:t>
      </w:r>
      <w:r>
        <w:t>and Phytosanitary notification.</w:t>
      </w:r>
    </w:p>
    <w:p w14:paraId="72006D75" w14:textId="77777777" w:rsidR="0091650D" w:rsidRPr="00896442" w:rsidRDefault="0091650D" w:rsidP="0091650D">
      <w:pPr>
        <w:contextualSpacing/>
        <w:rPr>
          <w:color w:val="000000" w:themeColor="text1"/>
        </w:rPr>
      </w:pPr>
    </w:p>
    <w:p w14:paraId="1574133F" w14:textId="77777777" w:rsidR="0091650D" w:rsidRPr="00896442" w:rsidRDefault="0091650D" w:rsidP="0091650D">
      <w:pPr>
        <w:keepLines/>
        <w:contextualSpacing/>
      </w:pPr>
      <w:r w:rsidRPr="00896442">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7873A8B5" w14:textId="77777777" w:rsidR="00CA1649" w:rsidRDefault="00CA1649" w:rsidP="00394551">
      <w:pPr>
        <w:keepLines/>
        <w:rPr>
          <w:rFonts w:cs="Times New Roman"/>
        </w:rPr>
      </w:pPr>
    </w:p>
    <w:p w14:paraId="5F2DBB34" w14:textId="14E114B5" w:rsidR="00CA1649" w:rsidRDefault="00CA1649" w:rsidP="00CA1649">
      <w:pPr>
        <w:tabs>
          <w:tab w:val="right" w:pos="9072"/>
        </w:tabs>
        <w:rPr>
          <w:rFonts w:cs="Times New Roman"/>
        </w:rPr>
      </w:pPr>
      <w:r>
        <w:rPr>
          <w:rFonts w:cs="Times New Roman"/>
        </w:rPr>
        <w:t>Targeted consultation with state and territor</w:t>
      </w:r>
      <w:r w:rsidR="009D7D13">
        <w:rPr>
          <w:rFonts w:cs="Times New Roman"/>
        </w:rPr>
        <w:t>y</w:t>
      </w:r>
      <w:r>
        <w:rPr>
          <w:rFonts w:cs="Times New Roman"/>
        </w:rPr>
        <w:t xml:space="preserve"> </w:t>
      </w:r>
      <w:r w:rsidR="009D7D13">
        <w:rPr>
          <w:rFonts w:cs="Times New Roman"/>
        </w:rPr>
        <w:t xml:space="preserve">governments </w:t>
      </w:r>
      <w:r>
        <w:rPr>
          <w:rFonts w:cs="Times New Roman"/>
        </w:rPr>
        <w:t>was undertaken to determine bios</w:t>
      </w:r>
      <w:r w:rsidR="00BC3F22">
        <w:rPr>
          <w:rFonts w:cs="Times New Roman"/>
        </w:rPr>
        <w:t>ecurity activity zones, however</w:t>
      </w:r>
      <w:r>
        <w:rPr>
          <w:rFonts w:cs="Times New Roman"/>
        </w:rPr>
        <w:t xml:space="preserve"> public </w:t>
      </w:r>
      <w:r w:rsidRPr="00D67C9B">
        <w:rPr>
          <w:rFonts w:cs="Times New Roman"/>
        </w:rPr>
        <w:t xml:space="preserve">consultation </w:t>
      </w:r>
      <w:r>
        <w:rPr>
          <w:rFonts w:cs="Times New Roman"/>
        </w:rPr>
        <w:t xml:space="preserve">was not </w:t>
      </w:r>
      <w:r w:rsidR="00BC3F22">
        <w:rPr>
          <w:rFonts w:cs="Times New Roman"/>
        </w:rPr>
        <w:t>necessary</w:t>
      </w:r>
      <w:r>
        <w:rPr>
          <w:rFonts w:cs="Times New Roman"/>
        </w:rPr>
        <w:t xml:space="preserve"> for this Determination</w:t>
      </w:r>
      <w:r w:rsidRPr="00D67C9B">
        <w:rPr>
          <w:rFonts w:cs="Times New Roman"/>
        </w:rPr>
        <w:t xml:space="preserve"> </w:t>
      </w:r>
      <w:r>
        <w:rPr>
          <w:rFonts w:cs="Times New Roman"/>
        </w:rPr>
        <w:t xml:space="preserve">as it </w:t>
      </w:r>
      <w:r w:rsidR="00BC3F22">
        <w:rPr>
          <w:rFonts w:cs="Times New Roman"/>
        </w:rPr>
        <w:t>relates to the management of Commonwealth premises</w:t>
      </w:r>
      <w:r>
        <w:rPr>
          <w:rFonts w:cs="Times New Roman"/>
        </w:rPr>
        <w:t>.</w:t>
      </w:r>
    </w:p>
    <w:p w14:paraId="51866072" w14:textId="77777777" w:rsidR="00394551" w:rsidRPr="00394551" w:rsidRDefault="00394551" w:rsidP="00394551">
      <w:pPr>
        <w:keepLines/>
        <w:rPr>
          <w:rFonts w:cs="Times New Roman"/>
        </w:rPr>
      </w:pPr>
    </w:p>
    <w:p w14:paraId="07C48F49" w14:textId="18C24516" w:rsidR="00394551" w:rsidRPr="00394551" w:rsidRDefault="00394551" w:rsidP="00394551">
      <w:pPr>
        <w:keepLines/>
        <w:rPr>
          <w:rFonts w:cs="Times New Roman"/>
        </w:rPr>
      </w:pPr>
      <w:r w:rsidRPr="00394551">
        <w:rPr>
          <w:rFonts w:cs="Times New Roman"/>
        </w:rPr>
        <w:t xml:space="preserve">The department consulted with the Office of Parliamentary Counsel (OPC) in the drafting of </w:t>
      </w:r>
      <w:r w:rsidR="004B4F5C">
        <w:rPr>
          <w:rFonts w:cs="Times New Roman"/>
        </w:rPr>
        <w:t xml:space="preserve">the </w:t>
      </w:r>
      <w:r w:rsidR="00447A88">
        <w:rPr>
          <w:rFonts w:cs="Times New Roman"/>
        </w:rPr>
        <w:t>Determination</w:t>
      </w:r>
      <w:r w:rsidRPr="00394551">
        <w:rPr>
          <w:rFonts w:cs="Times New Roman"/>
        </w:rPr>
        <w:t xml:space="preserve">, and the </w:t>
      </w:r>
      <w:r w:rsidR="002A3BF7" w:rsidRPr="00394551">
        <w:rPr>
          <w:rFonts w:cs="Times New Roman"/>
        </w:rPr>
        <w:t>Office of Best Practice Regulation</w:t>
      </w:r>
      <w:r w:rsidR="002A3BF7" w:rsidRPr="00394551" w:rsidDel="002A3BF7">
        <w:rPr>
          <w:rFonts w:cs="Times New Roman"/>
        </w:rPr>
        <w:t xml:space="preserve"> </w:t>
      </w:r>
      <w:r w:rsidRPr="00394551">
        <w:rPr>
          <w:rFonts w:cs="Times New Roman"/>
        </w:rPr>
        <w:t>advised on 31</w:t>
      </w:r>
      <w:r w:rsidR="002A3BF7">
        <w:rPr>
          <w:rFonts w:cs="Times New Roman"/>
        </w:rPr>
        <w:t> </w:t>
      </w:r>
      <w:r w:rsidRPr="00394551">
        <w:rPr>
          <w:rFonts w:cs="Times New Roman"/>
        </w:rPr>
        <w:t>March</w:t>
      </w:r>
      <w:r w:rsidR="002A3BF7">
        <w:rPr>
          <w:rFonts w:cs="Times New Roman"/>
        </w:rPr>
        <w:t> </w:t>
      </w:r>
      <w:r w:rsidRPr="00394551">
        <w:rPr>
          <w:rFonts w:cs="Times New Roman"/>
        </w:rPr>
        <w:t xml:space="preserve">2016 that </w:t>
      </w:r>
      <w:r w:rsidR="004B4F5C">
        <w:rPr>
          <w:rFonts w:cs="Times New Roman"/>
        </w:rPr>
        <w:t>the Regulation</w:t>
      </w:r>
      <w:r w:rsidRPr="00394551">
        <w:rPr>
          <w:rFonts w:cs="Times New Roman"/>
        </w:rPr>
        <w:t xml:space="preserve"> </w:t>
      </w:r>
      <w:r w:rsidR="002A3BF7">
        <w:rPr>
          <w:rFonts w:cs="Times New Roman"/>
        </w:rPr>
        <w:t>I</w:t>
      </w:r>
      <w:r w:rsidRPr="00394551">
        <w:rPr>
          <w:rFonts w:cs="Times New Roman"/>
        </w:rPr>
        <w:t xml:space="preserve">mpact </w:t>
      </w:r>
      <w:r w:rsidR="002A3BF7">
        <w:rPr>
          <w:rFonts w:cs="Times New Roman"/>
        </w:rPr>
        <w:t>S</w:t>
      </w:r>
      <w:r w:rsidRPr="00394551">
        <w:rPr>
          <w:rFonts w:cs="Times New Roman"/>
        </w:rPr>
        <w:t xml:space="preserve">tatement </w:t>
      </w:r>
      <w:r w:rsidR="005F4ABA">
        <w:rPr>
          <w:rFonts w:cs="Times New Roman"/>
        </w:rPr>
        <w:t xml:space="preserve">(RIS) </w:t>
      </w:r>
      <w:r w:rsidRPr="00394551">
        <w:rPr>
          <w:rFonts w:cs="Times New Roman"/>
        </w:rPr>
        <w:t xml:space="preserve">conducted for </w:t>
      </w:r>
      <w:r w:rsidR="004B4F5C">
        <w:rPr>
          <w:rFonts w:cs="Times New Roman"/>
        </w:rPr>
        <w:t xml:space="preserve">the Biosecurity </w:t>
      </w:r>
      <w:r w:rsidR="002A3BF7">
        <w:rPr>
          <w:rFonts w:cs="Times New Roman"/>
        </w:rPr>
        <w:t>Bill 2014</w:t>
      </w:r>
      <w:r w:rsidRPr="00394551">
        <w:rPr>
          <w:rFonts w:cs="Times New Roman"/>
        </w:rPr>
        <w:t xml:space="preserve"> (ID: 16609) was sufficient for the purposes of </w:t>
      </w:r>
      <w:r w:rsidR="004B4F5C">
        <w:rPr>
          <w:rFonts w:cs="Times New Roman"/>
        </w:rPr>
        <w:t xml:space="preserve">the </w:t>
      </w:r>
      <w:r w:rsidR="008B09A1">
        <w:rPr>
          <w:rFonts w:cs="Times New Roman"/>
        </w:rPr>
        <w:t>Biosecurity delegated legislation</w:t>
      </w:r>
      <w:r w:rsidR="008B09A1" w:rsidRPr="00394551">
        <w:rPr>
          <w:rFonts w:cs="Times New Roman"/>
        </w:rPr>
        <w:t xml:space="preserve"> </w:t>
      </w:r>
      <w:r w:rsidRPr="00394551">
        <w:rPr>
          <w:rFonts w:cs="Times New Roman"/>
        </w:rPr>
        <w:t xml:space="preserve">and a further </w:t>
      </w:r>
      <w:r w:rsidR="005F4ABA">
        <w:rPr>
          <w:rFonts w:cs="Times New Roman"/>
        </w:rPr>
        <w:t>RIS</w:t>
      </w:r>
      <w:r w:rsidRPr="00394551">
        <w:rPr>
          <w:rFonts w:cs="Times New Roman"/>
        </w:rPr>
        <w:t xml:space="preserve"> </w:t>
      </w:r>
      <w:r w:rsidR="008B09A1">
        <w:rPr>
          <w:rFonts w:cs="Times New Roman"/>
        </w:rPr>
        <w:t>is</w:t>
      </w:r>
      <w:r w:rsidRPr="00394551">
        <w:rPr>
          <w:rFonts w:cs="Times New Roman"/>
        </w:rPr>
        <w:t xml:space="preserve"> not required</w:t>
      </w:r>
      <w:r w:rsidR="008B09A1">
        <w:rPr>
          <w:rFonts w:cs="Times New Roman"/>
        </w:rPr>
        <w:t xml:space="preserve"> </w:t>
      </w:r>
      <w:r w:rsidRPr="00394551">
        <w:rPr>
          <w:rFonts w:cs="Times New Roman"/>
        </w:rPr>
        <w:t>.</w:t>
      </w:r>
    </w:p>
    <w:p w14:paraId="7A257E3F" w14:textId="77777777" w:rsidR="00922970" w:rsidRPr="00DE3AB2" w:rsidRDefault="00922970" w:rsidP="00922970">
      <w:pPr>
        <w:tabs>
          <w:tab w:val="right" w:pos="9072"/>
        </w:tabs>
        <w:rPr>
          <w:rFonts w:cs="Times New Roman"/>
        </w:rPr>
      </w:pPr>
    </w:p>
    <w:p w14:paraId="7A2A64F8" w14:textId="2C5DADEF" w:rsidR="00652A28" w:rsidRDefault="00922970" w:rsidP="00922970">
      <w:pPr>
        <w:rPr>
          <w:rFonts w:cs="Times New Roman"/>
        </w:rPr>
      </w:pPr>
      <w:r w:rsidRPr="00DE3AB2">
        <w:rPr>
          <w:rFonts w:cs="Times New Roman"/>
        </w:rPr>
        <w:t xml:space="preserve">The </w:t>
      </w:r>
      <w:r w:rsidR="00447A88">
        <w:rPr>
          <w:rFonts w:cs="Times New Roman"/>
        </w:rPr>
        <w:t>Determination</w:t>
      </w:r>
      <w:r w:rsidRPr="00DE3AB2">
        <w:rPr>
          <w:rFonts w:cs="Times New Roman"/>
        </w:rPr>
        <w:t xml:space="preserve"> </w:t>
      </w:r>
      <w:r w:rsidR="001E2EC5" w:rsidRPr="00DE3AB2">
        <w:rPr>
          <w:rFonts w:cs="Times New Roman"/>
        </w:rPr>
        <w:t>is</w:t>
      </w:r>
      <w:r w:rsidR="00652A28" w:rsidRPr="00DE3AB2">
        <w:rPr>
          <w:rFonts w:cs="Times New Roman"/>
        </w:rPr>
        <w:t xml:space="preserve"> </w:t>
      </w:r>
      <w:r w:rsidRPr="00DE3AB2">
        <w:rPr>
          <w:rFonts w:cs="Times New Roman"/>
        </w:rPr>
        <w:t xml:space="preserve">a legislative instrument for the purposes of the </w:t>
      </w:r>
      <w:r w:rsidRPr="00DE3AB2">
        <w:rPr>
          <w:rFonts w:cs="Times New Roman"/>
          <w:i/>
        </w:rPr>
        <w:t>Legislati</w:t>
      </w:r>
      <w:r w:rsidR="00543E3B">
        <w:rPr>
          <w:rFonts w:cs="Times New Roman"/>
          <w:i/>
        </w:rPr>
        <w:t>on</w:t>
      </w:r>
      <w:r w:rsidRPr="00DE3AB2">
        <w:rPr>
          <w:rFonts w:cs="Times New Roman"/>
          <w:i/>
        </w:rPr>
        <w:t xml:space="preserve"> Act 2003</w:t>
      </w:r>
      <w:r w:rsidR="00652A28">
        <w:rPr>
          <w:rFonts w:cs="Times New Roman"/>
        </w:rPr>
        <w:t>.</w:t>
      </w:r>
      <w:r w:rsidR="000A3E10">
        <w:rPr>
          <w:rFonts w:cs="Times New Roman"/>
        </w:rPr>
        <w:t xml:space="preserve"> </w:t>
      </w:r>
      <w:r w:rsidR="000A3E10" w:rsidRPr="009769EF">
        <w:rPr>
          <w:iCs/>
        </w:rPr>
        <w:t xml:space="preserve">However, </w:t>
      </w:r>
      <w:r w:rsidR="001317B4">
        <w:rPr>
          <w:iCs/>
        </w:rPr>
        <w:t>under subsection 395(4) of the Biosecurity Act, the Determination</w:t>
      </w:r>
      <w:r w:rsidR="000A3E10" w:rsidRPr="009769EF">
        <w:rPr>
          <w:iCs/>
        </w:rPr>
        <w:t xml:space="preserve"> is not</w:t>
      </w:r>
      <w:r w:rsidR="000A3E10">
        <w:rPr>
          <w:iCs/>
        </w:rPr>
        <w:t xml:space="preserve"> subject </w:t>
      </w:r>
      <w:r w:rsidR="001317B4">
        <w:rPr>
          <w:iCs/>
        </w:rPr>
        <w:t>t</w:t>
      </w:r>
      <w:r w:rsidR="000A3E10">
        <w:rPr>
          <w:iCs/>
        </w:rPr>
        <w:t>o disallowance. The decision to make a determination under subsection 395(1) of the Biosecurity Act is a technical and scientific based decision to manage biosecurity risks associated with activities undertaken at those specified areas.</w:t>
      </w:r>
    </w:p>
    <w:p w14:paraId="768B3B38" w14:textId="77777777" w:rsidR="00652A28" w:rsidRDefault="00652A28" w:rsidP="00922970">
      <w:pPr>
        <w:rPr>
          <w:rFonts w:cs="Times New Roman"/>
        </w:rPr>
      </w:pPr>
    </w:p>
    <w:p w14:paraId="7830CAC0" w14:textId="3FE4C91B" w:rsidR="00461715" w:rsidRPr="007C76FA" w:rsidRDefault="001317B4" w:rsidP="00461715">
      <w:pPr>
        <w:contextualSpacing/>
        <w:rPr>
          <w:rFonts w:eastAsia="Times New Roman" w:cs="Times New Roman"/>
          <w:lang w:eastAsia="en-AU"/>
        </w:rPr>
      </w:pPr>
      <w:r>
        <w:lastRenderedPageBreak/>
        <w:t>A Statement of Compatibility with Human Rights was prepared for the Biosecurity Act. An additional statement is not required for this Determination as it is not subject to disallowance</w:t>
      </w:r>
      <w:r w:rsidR="00461715">
        <w:rPr>
          <w:rFonts w:eastAsia="Times New Roman" w:cs="Times New Roman"/>
          <w:lang w:eastAsia="en-AU"/>
        </w:rPr>
        <w:t>.</w:t>
      </w:r>
    </w:p>
    <w:p w14:paraId="6460ADF0" w14:textId="77777777" w:rsidR="00864F88" w:rsidRDefault="00864F88">
      <w:pPr>
        <w:spacing w:after="160" w:line="259" w:lineRule="auto"/>
        <w:rPr>
          <w:rFonts w:ascii="Times" w:eastAsia="Times New Roman" w:hAnsi="Times" w:cs="Times New Roman"/>
          <w:b/>
          <w:caps/>
          <w:color w:val="000000"/>
          <w:szCs w:val="20"/>
          <w:u w:val="single"/>
        </w:rPr>
      </w:pPr>
    </w:p>
    <w:p w14:paraId="47CD7CAD" w14:textId="195230AF" w:rsidR="00922970" w:rsidRPr="00DE3AB2" w:rsidRDefault="00922970" w:rsidP="00922970">
      <w:pPr>
        <w:rPr>
          <w:rFonts w:cs="Times New Roman"/>
        </w:rPr>
      </w:pPr>
      <w:r w:rsidRPr="00DE3AB2">
        <w:rPr>
          <w:rFonts w:cs="Times New Roman"/>
          <w:b/>
          <w:u w:val="single"/>
        </w:rPr>
        <w:t xml:space="preserve">Details of the </w:t>
      </w:r>
      <w:r w:rsidR="00911EAE" w:rsidRPr="00911EAE">
        <w:rPr>
          <w:rFonts w:cs="Times New Roman"/>
          <w:b/>
          <w:i/>
          <w:u w:val="single"/>
        </w:rPr>
        <w:t>Biosecurity (Biosecurity Activity Zones) Determination 2016.</w:t>
      </w:r>
    </w:p>
    <w:p w14:paraId="3134C713" w14:textId="77777777" w:rsidR="00922970" w:rsidRPr="00DE3AB2" w:rsidRDefault="00922970" w:rsidP="00922970">
      <w:pPr>
        <w:pStyle w:val="Normal-em"/>
        <w:rPr>
          <w:color w:val="auto"/>
          <w:szCs w:val="24"/>
        </w:rPr>
      </w:pPr>
    </w:p>
    <w:p w14:paraId="43B1BF72" w14:textId="44C60A37" w:rsidR="0022495F" w:rsidRPr="00DE3AB2" w:rsidRDefault="000F5447" w:rsidP="0022495F">
      <w:pPr>
        <w:pStyle w:val="Normal-em"/>
        <w:ind w:left="1440" w:hanging="1440"/>
        <w:rPr>
          <w:color w:val="auto"/>
          <w:szCs w:val="24"/>
          <w:u w:val="single"/>
        </w:rPr>
      </w:pPr>
      <w:r w:rsidRPr="00DE3AB2">
        <w:rPr>
          <w:color w:val="auto"/>
          <w:szCs w:val="24"/>
          <w:u w:val="single"/>
        </w:rPr>
        <w:t>Section 1 – Name</w:t>
      </w:r>
    </w:p>
    <w:p w14:paraId="150A437F" w14:textId="77777777" w:rsidR="0022495F" w:rsidRPr="00DE3AB2" w:rsidRDefault="0022495F" w:rsidP="0022495F">
      <w:pPr>
        <w:pStyle w:val="Normal-em"/>
        <w:ind w:left="1440" w:hanging="1440"/>
        <w:rPr>
          <w:b/>
          <w:color w:val="auto"/>
          <w:szCs w:val="24"/>
        </w:rPr>
      </w:pPr>
    </w:p>
    <w:p w14:paraId="40F8A273" w14:textId="56695EE3" w:rsidR="0022495F" w:rsidRPr="00911EAE" w:rsidRDefault="000F5447" w:rsidP="00911EAE">
      <w:pPr>
        <w:pStyle w:val="Normal-em"/>
        <w:rPr>
          <w:color w:val="auto"/>
          <w:szCs w:val="24"/>
        </w:rPr>
      </w:pPr>
      <w:r w:rsidRPr="00DE3AB2">
        <w:rPr>
          <w:color w:val="auto"/>
          <w:szCs w:val="24"/>
        </w:rPr>
        <w:t xml:space="preserve">This </w:t>
      </w:r>
      <w:r w:rsidR="003B038A">
        <w:rPr>
          <w:color w:val="auto"/>
          <w:szCs w:val="24"/>
        </w:rPr>
        <w:t>s</w:t>
      </w:r>
      <w:r w:rsidRPr="00DE3AB2">
        <w:rPr>
          <w:color w:val="auto"/>
          <w:szCs w:val="24"/>
        </w:rPr>
        <w:t xml:space="preserve">ection provides </w:t>
      </w:r>
      <w:r w:rsidR="0016225A" w:rsidRPr="00DE3AB2">
        <w:rPr>
          <w:color w:val="auto"/>
          <w:szCs w:val="24"/>
        </w:rPr>
        <w:t>that</w:t>
      </w:r>
      <w:r w:rsidRPr="00DE3AB2">
        <w:rPr>
          <w:color w:val="auto"/>
          <w:szCs w:val="24"/>
        </w:rPr>
        <w:t xml:space="preserve"> the </w:t>
      </w:r>
      <w:r w:rsidR="001317B4">
        <w:rPr>
          <w:color w:val="auto"/>
          <w:szCs w:val="24"/>
        </w:rPr>
        <w:t>name</w:t>
      </w:r>
      <w:r w:rsidR="001317B4" w:rsidRPr="00DE3AB2">
        <w:rPr>
          <w:color w:val="auto"/>
          <w:szCs w:val="24"/>
        </w:rPr>
        <w:t xml:space="preserve"> </w:t>
      </w:r>
      <w:r w:rsidRPr="00DE3AB2">
        <w:rPr>
          <w:color w:val="auto"/>
          <w:szCs w:val="24"/>
        </w:rPr>
        <w:t>of the</w:t>
      </w:r>
      <w:r w:rsidR="00911EAE">
        <w:rPr>
          <w:color w:val="auto"/>
          <w:szCs w:val="24"/>
        </w:rPr>
        <w:t xml:space="preserve"> </w:t>
      </w:r>
      <w:r w:rsidR="00AA0805">
        <w:rPr>
          <w:color w:val="auto"/>
          <w:szCs w:val="24"/>
        </w:rPr>
        <w:t>D</w:t>
      </w:r>
      <w:r w:rsidR="00911EAE">
        <w:rPr>
          <w:color w:val="auto"/>
          <w:szCs w:val="24"/>
        </w:rPr>
        <w:t>etermination</w:t>
      </w:r>
      <w:r w:rsidRPr="00DE3AB2">
        <w:rPr>
          <w:color w:val="auto"/>
          <w:szCs w:val="24"/>
        </w:rPr>
        <w:t xml:space="preserve"> </w:t>
      </w:r>
      <w:r w:rsidR="0092056E">
        <w:rPr>
          <w:color w:val="auto"/>
          <w:szCs w:val="24"/>
        </w:rPr>
        <w:t>is</w:t>
      </w:r>
      <w:r w:rsidRPr="00DE3AB2">
        <w:rPr>
          <w:color w:val="auto"/>
          <w:szCs w:val="24"/>
        </w:rPr>
        <w:t xml:space="preserve"> the </w:t>
      </w:r>
      <w:r w:rsidR="00911EAE" w:rsidRPr="00911EAE">
        <w:rPr>
          <w:i/>
          <w:color w:val="auto"/>
          <w:szCs w:val="24"/>
        </w:rPr>
        <w:t>Biosecurity (Biosecurity Act</w:t>
      </w:r>
      <w:r w:rsidR="00911EAE">
        <w:rPr>
          <w:i/>
          <w:color w:val="auto"/>
          <w:szCs w:val="24"/>
        </w:rPr>
        <w:t>ivity Zones) Determination 2016</w:t>
      </w:r>
      <w:r w:rsidR="00911EAE">
        <w:rPr>
          <w:color w:val="auto"/>
          <w:szCs w:val="24"/>
        </w:rPr>
        <w:t>.</w:t>
      </w:r>
    </w:p>
    <w:p w14:paraId="0A7FCC63" w14:textId="77777777" w:rsidR="00911EAE" w:rsidRPr="00DE3AB2" w:rsidRDefault="00911EAE" w:rsidP="00911EAE">
      <w:pPr>
        <w:pStyle w:val="Normal-em"/>
      </w:pPr>
    </w:p>
    <w:p w14:paraId="1D7CE6ED" w14:textId="77777777" w:rsidR="0022495F" w:rsidRPr="00DE3AB2" w:rsidRDefault="000F5447" w:rsidP="0022495F">
      <w:pPr>
        <w:pStyle w:val="Normal-em"/>
        <w:rPr>
          <w:color w:val="auto"/>
          <w:szCs w:val="24"/>
          <w:u w:val="single"/>
        </w:rPr>
      </w:pPr>
      <w:r w:rsidRPr="00DE3AB2">
        <w:rPr>
          <w:color w:val="auto"/>
          <w:szCs w:val="24"/>
          <w:u w:val="single"/>
        </w:rPr>
        <w:t>Section 2 – Commencement</w:t>
      </w:r>
    </w:p>
    <w:p w14:paraId="5BB3E112" w14:textId="77777777" w:rsidR="0022495F" w:rsidRPr="00DE3AB2" w:rsidRDefault="0022495F" w:rsidP="0022495F">
      <w:pPr>
        <w:pStyle w:val="Normal-em"/>
        <w:rPr>
          <w:color w:val="auto"/>
          <w:szCs w:val="24"/>
        </w:rPr>
      </w:pPr>
    </w:p>
    <w:p w14:paraId="77569BB1" w14:textId="6BB4CD67" w:rsidR="002B6F70" w:rsidRPr="00CB4EA6" w:rsidRDefault="000F5447" w:rsidP="002B6F70">
      <w:pPr>
        <w:tabs>
          <w:tab w:val="left" w:pos="1701"/>
          <w:tab w:val="right" w:pos="9072"/>
        </w:tabs>
        <w:rPr>
          <w:rFonts w:cs="Times New Roman"/>
        </w:rPr>
      </w:pPr>
      <w:r w:rsidRPr="00DE3AB2">
        <w:t xml:space="preserve">This </w:t>
      </w:r>
      <w:r w:rsidR="003B038A">
        <w:t>s</w:t>
      </w:r>
      <w:r w:rsidRPr="00DE3AB2">
        <w:t>ection provide</w:t>
      </w:r>
      <w:r w:rsidR="00096ECF">
        <w:t>s</w:t>
      </w:r>
      <w:r w:rsidRPr="00DE3AB2">
        <w:t xml:space="preserve"> </w:t>
      </w:r>
      <w:r w:rsidR="00096ECF">
        <w:t>that</w:t>
      </w:r>
      <w:r w:rsidR="006A6C2A">
        <w:t xml:space="preserve"> </w:t>
      </w:r>
      <w:r w:rsidR="004B4F5C">
        <w:t xml:space="preserve">the </w:t>
      </w:r>
      <w:r w:rsidR="00911EAE">
        <w:t>Determination</w:t>
      </w:r>
      <w:r w:rsidR="00884690">
        <w:t xml:space="preserve"> commences</w:t>
      </w:r>
      <w:r w:rsidR="002B6F70" w:rsidRPr="002B6F70">
        <w:t xml:space="preserve"> </w:t>
      </w:r>
      <w:r w:rsidR="002B6F70">
        <w:t>a</w:t>
      </w:r>
      <w:r w:rsidR="002B6F70" w:rsidRPr="002B6F70">
        <w:t xml:space="preserve">t the same time as section 3 of </w:t>
      </w:r>
      <w:r w:rsidR="002B6F70">
        <w:t xml:space="preserve">the Biosecurity Act </w:t>
      </w:r>
      <w:r w:rsidR="002B6F70" w:rsidRPr="002B6F70">
        <w:t>commences.</w:t>
      </w:r>
      <w:r w:rsidR="002B6F70">
        <w:t xml:space="preserve"> </w:t>
      </w:r>
      <w:r w:rsidR="002B6F70">
        <w:rPr>
          <w:rFonts w:cs="Times New Roman"/>
        </w:rPr>
        <w:t>Section 3 of the Biosecurity Act commences on 16 June 2016.</w:t>
      </w:r>
    </w:p>
    <w:p w14:paraId="6D77022A" w14:textId="77777777" w:rsidR="0022495F" w:rsidRPr="00DE3AB2" w:rsidRDefault="0022495F" w:rsidP="0022495F">
      <w:pPr>
        <w:pStyle w:val="Normal-em"/>
        <w:rPr>
          <w:color w:val="auto"/>
          <w:szCs w:val="24"/>
        </w:rPr>
      </w:pPr>
    </w:p>
    <w:p w14:paraId="099AE9E4" w14:textId="77777777" w:rsidR="0022495F" w:rsidRPr="00DE3AB2" w:rsidRDefault="000F5447" w:rsidP="0022495F">
      <w:pPr>
        <w:pStyle w:val="Normal-em"/>
        <w:rPr>
          <w:color w:val="auto"/>
          <w:szCs w:val="24"/>
          <w:u w:val="single"/>
        </w:rPr>
      </w:pPr>
      <w:r w:rsidRPr="00DE3AB2">
        <w:rPr>
          <w:color w:val="auto"/>
          <w:szCs w:val="24"/>
          <w:u w:val="single"/>
        </w:rPr>
        <w:t xml:space="preserve">Section 3 </w:t>
      </w:r>
      <w:r w:rsidR="0022495F" w:rsidRPr="00DE3AB2">
        <w:rPr>
          <w:color w:val="auto"/>
          <w:szCs w:val="24"/>
          <w:u w:val="single"/>
        </w:rPr>
        <w:t>–</w:t>
      </w:r>
      <w:r w:rsidRPr="00DE3AB2">
        <w:rPr>
          <w:color w:val="auto"/>
          <w:szCs w:val="24"/>
          <w:u w:val="single"/>
        </w:rPr>
        <w:t xml:space="preserve"> Authority</w:t>
      </w:r>
    </w:p>
    <w:p w14:paraId="170B8135" w14:textId="77777777" w:rsidR="0022495F" w:rsidRPr="00DE3AB2" w:rsidRDefault="0022495F" w:rsidP="0022495F">
      <w:pPr>
        <w:pStyle w:val="Normal-em"/>
        <w:rPr>
          <w:color w:val="auto"/>
          <w:szCs w:val="24"/>
          <w:u w:val="single"/>
        </w:rPr>
      </w:pPr>
    </w:p>
    <w:p w14:paraId="2F689CA1" w14:textId="65933819" w:rsidR="0022495F" w:rsidRDefault="0022495F" w:rsidP="0022495F">
      <w:pPr>
        <w:pStyle w:val="Normal-em"/>
        <w:rPr>
          <w:color w:val="auto"/>
          <w:szCs w:val="24"/>
        </w:rPr>
      </w:pPr>
      <w:r w:rsidRPr="00DE3AB2">
        <w:rPr>
          <w:color w:val="auto"/>
          <w:szCs w:val="24"/>
        </w:rPr>
        <w:t xml:space="preserve">This </w:t>
      </w:r>
      <w:r w:rsidR="003B038A">
        <w:rPr>
          <w:color w:val="auto"/>
          <w:szCs w:val="24"/>
        </w:rPr>
        <w:t>s</w:t>
      </w:r>
      <w:r w:rsidRPr="00DE3AB2">
        <w:rPr>
          <w:color w:val="auto"/>
          <w:szCs w:val="24"/>
        </w:rPr>
        <w:t xml:space="preserve">ection provides that </w:t>
      </w:r>
      <w:r w:rsidR="004B4F5C">
        <w:rPr>
          <w:color w:val="auto"/>
          <w:szCs w:val="24"/>
        </w:rPr>
        <w:t xml:space="preserve">the </w:t>
      </w:r>
      <w:r w:rsidR="00884690">
        <w:rPr>
          <w:color w:val="auto"/>
          <w:szCs w:val="24"/>
        </w:rPr>
        <w:t>Determination</w:t>
      </w:r>
      <w:r w:rsidRPr="00DE3AB2">
        <w:rPr>
          <w:color w:val="auto"/>
          <w:szCs w:val="24"/>
        </w:rPr>
        <w:t xml:space="preserve"> is</w:t>
      </w:r>
      <w:r w:rsidR="006A6C2A" w:rsidRPr="00DE3AB2">
        <w:rPr>
          <w:color w:val="auto"/>
          <w:szCs w:val="24"/>
        </w:rPr>
        <w:t xml:space="preserve"> </w:t>
      </w:r>
      <w:r w:rsidRPr="00DE3AB2">
        <w:rPr>
          <w:color w:val="auto"/>
          <w:szCs w:val="24"/>
        </w:rPr>
        <w:t xml:space="preserve">made under </w:t>
      </w:r>
      <w:r w:rsidR="00911EAE" w:rsidRPr="00911EAE">
        <w:rPr>
          <w:color w:val="auto"/>
          <w:szCs w:val="24"/>
        </w:rPr>
        <w:t>subsection 395(1) of the Biosecurity Act.</w:t>
      </w:r>
      <w:r w:rsidR="002B6F70">
        <w:rPr>
          <w:color w:val="auto"/>
          <w:szCs w:val="24"/>
        </w:rPr>
        <w:t xml:space="preserve"> </w:t>
      </w:r>
    </w:p>
    <w:p w14:paraId="23FF4582" w14:textId="77777777" w:rsidR="00342F64" w:rsidRDefault="00342F64" w:rsidP="0022495F">
      <w:pPr>
        <w:pStyle w:val="Normal-em"/>
        <w:rPr>
          <w:color w:val="auto"/>
          <w:szCs w:val="24"/>
        </w:rPr>
      </w:pPr>
    </w:p>
    <w:p w14:paraId="131A43E7" w14:textId="008A751A" w:rsidR="00342F64" w:rsidRPr="00DE3AB2" w:rsidRDefault="00342F64" w:rsidP="0022495F">
      <w:pPr>
        <w:pStyle w:val="Normal-em"/>
        <w:rPr>
          <w:i/>
          <w:color w:val="auto"/>
          <w:szCs w:val="24"/>
        </w:rPr>
      </w:pPr>
      <w:r>
        <w:rPr>
          <w:color w:val="auto"/>
          <w:szCs w:val="24"/>
        </w:rPr>
        <w:t>The determined biosecurity activity zones are places were powers are exercised or functions or duties are performed by, or on behalf of the Commonwealth under the Biosecurity Act</w:t>
      </w:r>
      <w:r w:rsidR="00890E91">
        <w:rPr>
          <w:color w:val="auto"/>
          <w:szCs w:val="24"/>
        </w:rPr>
        <w:t>. T</w:t>
      </w:r>
      <w:r>
        <w:rPr>
          <w:color w:val="auto"/>
          <w:szCs w:val="24"/>
        </w:rPr>
        <w:t>he Director of Biosecurity is satisfied that</w:t>
      </w:r>
      <w:r w:rsidR="00890E91">
        <w:rPr>
          <w:color w:val="auto"/>
          <w:szCs w:val="24"/>
        </w:rPr>
        <w:t xml:space="preserve"> it is necessary to make </w:t>
      </w:r>
      <w:r>
        <w:rPr>
          <w:color w:val="auto"/>
          <w:szCs w:val="24"/>
        </w:rPr>
        <w:t xml:space="preserve">this Determination for the purpose of </w:t>
      </w:r>
      <w:r w:rsidR="00890E91">
        <w:rPr>
          <w:color w:val="auto"/>
          <w:szCs w:val="24"/>
        </w:rPr>
        <w:t xml:space="preserve">managing biosecurity risks associated with the exercise of </w:t>
      </w:r>
      <w:r>
        <w:rPr>
          <w:color w:val="auto"/>
          <w:szCs w:val="24"/>
        </w:rPr>
        <w:t>those powers or the performance of those functions or duties.</w:t>
      </w:r>
    </w:p>
    <w:p w14:paraId="5B4DA62D" w14:textId="77777777" w:rsidR="00616DD7" w:rsidRPr="00DE3AB2" w:rsidRDefault="00616DD7" w:rsidP="0022495F">
      <w:pPr>
        <w:pStyle w:val="Normal-em"/>
        <w:rPr>
          <w:color w:val="auto"/>
          <w:szCs w:val="24"/>
        </w:rPr>
      </w:pPr>
    </w:p>
    <w:p w14:paraId="55836473" w14:textId="236A207B" w:rsidR="00616DD7" w:rsidRDefault="00911EAE" w:rsidP="00616DD7">
      <w:pPr>
        <w:pStyle w:val="Normal-em"/>
        <w:rPr>
          <w:color w:val="auto"/>
          <w:szCs w:val="24"/>
          <w:u w:val="single"/>
        </w:rPr>
      </w:pPr>
      <w:r>
        <w:rPr>
          <w:color w:val="auto"/>
          <w:szCs w:val="24"/>
          <w:u w:val="single"/>
        </w:rPr>
        <w:t>Section</w:t>
      </w:r>
      <w:r w:rsidR="002B07F6">
        <w:rPr>
          <w:color w:val="auto"/>
          <w:szCs w:val="24"/>
          <w:u w:val="single"/>
        </w:rPr>
        <w:t>s</w:t>
      </w:r>
      <w:r>
        <w:rPr>
          <w:color w:val="auto"/>
          <w:szCs w:val="24"/>
          <w:u w:val="single"/>
        </w:rPr>
        <w:t xml:space="preserve"> 4</w:t>
      </w:r>
      <w:r w:rsidR="002B07F6">
        <w:rPr>
          <w:color w:val="auto"/>
          <w:szCs w:val="24"/>
          <w:u w:val="single"/>
        </w:rPr>
        <w:t xml:space="preserve"> to 6</w:t>
      </w:r>
      <w:r w:rsidR="00616DD7" w:rsidRPr="00DE3AB2">
        <w:rPr>
          <w:color w:val="auto"/>
          <w:szCs w:val="24"/>
          <w:u w:val="single"/>
        </w:rPr>
        <w:t xml:space="preserve"> – </w:t>
      </w:r>
      <w:r w:rsidRPr="00911EAE">
        <w:rPr>
          <w:color w:val="auto"/>
          <w:szCs w:val="24"/>
          <w:u w:val="single"/>
        </w:rPr>
        <w:t>Biosecurity activity zone</w:t>
      </w:r>
      <w:r w:rsidR="002B07F6">
        <w:rPr>
          <w:color w:val="auto"/>
          <w:szCs w:val="24"/>
          <w:u w:val="single"/>
        </w:rPr>
        <w:t xml:space="preserve"> </w:t>
      </w:r>
    </w:p>
    <w:p w14:paraId="73361FAD" w14:textId="77777777" w:rsidR="006B0955" w:rsidRDefault="006B0955" w:rsidP="00616DD7">
      <w:pPr>
        <w:pStyle w:val="Normal-em"/>
        <w:rPr>
          <w:color w:val="auto"/>
          <w:szCs w:val="24"/>
          <w:u w:val="single"/>
        </w:rPr>
      </w:pPr>
    </w:p>
    <w:p w14:paraId="5BC1823D" w14:textId="0C32C38F" w:rsidR="006B0955" w:rsidRDefault="006B0955" w:rsidP="00616DD7">
      <w:pPr>
        <w:pStyle w:val="Normal-em"/>
        <w:rPr>
          <w:color w:val="auto"/>
          <w:szCs w:val="24"/>
        </w:rPr>
      </w:pPr>
      <w:r>
        <w:rPr>
          <w:color w:val="auto"/>
          <w:szCs w:val="24"/>
        </w:rPr>
        <w:t>For each of the sections</w:t>
      </w:r>
      <w:r w:rsidR="002B07F6">
        <w:rPr>
          <w:color w:val="auto"/>
          <w:szCs w:val="24"/>
        </w:rPr>
        <w:t xml:space="preserve"> 4 to 6</w:t>
      </w:r>
      <w:r>
        <w:rPr>
          <w:color w:val="auto"/>
          <w:szCs w:val="24"/>
        </w:rPr>
        <w:t xml:space="preserve">, subsection (1) specifies that the area in subsection (2) is a biosecurity activity zone. </w:t>
      </w:r>
    </w:p>
    <w:p w14:paraId="1D399792" w14:textId="77777777" w:rsidR="006B0955" w:rsidRDefault="006B0955" w:rsidP="00616DD7">
      <w:pPr>
        <w:pStyle w:val="Normal-em"/>
        <w:rPr>
          <w:color w:val="auto"/>
          <w:szCs w:val="24"/>
        </w:rPr>
      </w:pPr>
    </w:p>
    <w:p w14:paraId="7E6A179F" w14:textId="6E99871E" w:rsidR="006B0955" w:rsidRDefault="002B07F6" w:rsidP="00616DD7">
      <w:pPr>
        <w:pStyle w:val="Normal-em"/>
        <w:rPr>
          <w:color w:val="2E74B5"/>
        </w:rPr>
      </w:pPr>
      <w:r>
        <w:rPr>
          <w:color w:val="auto"/>
          <w:szCs w:val="24"/>
        </w:rPr>
        <w:t>For each of the sections 4 to 6, s</w:t>
      </w:r>
      <w:r w:rsidR="006B0955">
        <w:rPr>
          <w:color w:val="auto"/>
          <w:szCs w:val="24"/>
        </w:rPr>
        <w:t>ubsection (2) provides the specific description of the area that will be determined as a biosecurity activity zone.</w:t>
      </w:r>
    </w:p>
    <w:p w14:paraId="406A736A" w14:textId="77777777" w:rsidR="00800623" w:rsidRDefault="00800623" w:rsidP="002B07F6">
      <w:pPr>
        <w:pStyle w:val="Normal-em"/>
        <w:rPr>
          <w:color w:val="auto"/>
          <w:szCs w:val="24"/>
        </w:rPr>
      </w:pPr>
    </w:p>
    <w:p w14:paraId="4A9A88C2" w14:textId="77777777" w:rsidR="002B07F6" w:rsidRDefault="002B07F6" w:rsidP="002B07F6">
      <w:pPr>
        <w:pStyle w:val="Normal-em"/>
        <w:rPr>
          <w:color w:val="auto"/>
          <w:szCs w:val="24"/>
        </w:rPr>
      </w:pPr>
      <w:r>
        <w:rPr>
          <w:color w:val="auto"/>
          <w:szCs w:val="24"/>
        </w:rPr>
        <w:t>The following biosecurity activity zones are determined:</w:t>
      </w:r>
    </w:p>
    <w:p w14:paraId="257D67E0" w14:textId="4DA527CA" w:rsidR="002B07F6" w:rsidRPr="00AF69F3" w:rsidRDefault="002B07F6" w:rsidP="002B07F6">
      <w:pPr>
        <w:pStyle w:val="Normal-em"/>
        <w:numPr>
          <w:ilvl w:val="0"/>
          <w:numId w:val="80"/>
        </w:numPr>
        <w:rPr>
          <w:color w:val="auto"/>
          <w:szCs w:val="24"/>
        </w:rPr>
      </w:pPr>
      <w:r>
        <w:rPr>
          <w:color w:val="auto"/>
          <w:szCs w:val="24"/>
        </w:rPr>
        <w:t>Mickleham (Victoria) – the</w:t>
      </w:r>
      <w:r w:rsidRPr="002B07F6">
        <w:rPr>
          <w:color w:val="auto"/>
          <w:szCs w:val="24"/>
        </w:rPr>
        <w:t xml:space="preserve"> </w:t>
      </w:r>
      <w:r>
        <w:rPr>
          <w:color w:val="auto"/>
          <w:szCs w:val="24"/>
        </w:rPr>
        <w:t xml:space="preserve">area is the land </w:t>
      </w:r>
      <w:r w:rsidRPr="00AF69F3">
        <w:rPr>
          <w:color w:val="auto"/>
        </w:rPr>
        <w:t>in folio identifier 2/LP202576J at Mickleham, City of Hume, County of Bourke</w:t>
      </w:r>
      <w:r w:rsidR="007E33F2">
        <w:rPr>
          <w:color w:val="auto"/>
        </w:rPr>
        <w:t>, Victoria</w:t>
      </w:r>
      <w:r w:rsidRPr="00AF69F3">
        <w:rPr>
          <w:color w:val="auto"/>
        </w:rPr>
        <w:t xml:space="preserve"> (known as 135 Donnybrook Road, Mickleham</w:t>
      </w:r>
      <w:r w:rsidR="007E33F2">
        <w:rPr>
          <w:color w:val="auto"/>
        </w:rPr>
        <w:t>, Victoria</w:t>
      </w:r>
      <w:r w:rsidRPr="00AF69F3">
        <w:rPr>
          <w:color w:val="auto"/>
        </w:rPr>
        <w:t>)</w:t>
      </w:r>
    </w:p>
    <w:p w14:paraId="5706B758" w14:textId="488D1BDF" w:rsidR="002B07F6" w:rsidRPr="00AF69F3" w:rsidRDefault="002B07F6" w:rsidP="002B07F6">
      <w:pPr>
        <w:pStyle w:val="Normal-em"/>
        <w:numPr>
          <w:ilvl w:val="0"/>
          <w:numId w:val="80"/>
        </w:numPr>
        <w:rPr>
          <w:color w:val="auto"/>
          <w:szCs w:val="24"/>
        </w:rPr>
      </w:pPr>
      <w:r w:rsidRPr="00AF69F3">
        <w:rPr>
          <w:color w:val="auto"/>
          <w:szCs w:val="24"/>
        </w:rPr>
        <w:t xml:space="preserve">Spotswood (Victoria) – the area is </w:t>
      </w:r>
      <w:r w:rsidRPr="00AF69F3">
        <w:rPr>
          <w:color w:val="auto"/>
        </w:rPr>
        <w:t>the land being Crown Allotments 64 and 66 Section 7 respectively Parish of Cut-Paw-Paw in Victoria being the whole of the land comprised in Certificates of Title Volume 7720 Folio 33 and Volume 9971 Folio 289 (known as 43 Craig Street, Spotswood Victoria)</w:t>
      </w:r>
      <w:r w:rsidR="007E33F2">
        <w:rPr>
          <w:color w:val="auto"/>
        </w:rPr>
        <w:t>, excluding the land and any buildings at 47 Craig Street.</w:t>
      </w:r>
    </w:p>
    <w:p w14:paraId="37B482EF" w14:textId="7B70171A" w:rsidR="002B07F6" w:rsidRPr="00AF69F3" w:rsidRDefault="002B07F6" w:rsidP="002B07F6">
      <w:pPr>
        <w:pStyle w:val="Normal-em"/>
        <w:numPr>
          <w:ilvl w:val="0"/>
          <w:numId w:val="80"/>
        </w:numPr>
        <w:rPr>
          <w:color w:val="auto"/>
          <w:szCs w:val="24"/>
        </w:rPr>
      </w:pPr>
      <w:r w:rsidRPr="00AF69F3">
        <w:rPr>
          <w:color w:val="auto"/>
        </w:rPr>
        <w:t xml:space="preserve">Torrens Island (South Australia) – </w:t>
      </w:r>
      <w:r w:rsidRPr="00AF69F3">
        <w:rPr>
          <w:color w:val="auto"/>
          <w:szCs w:val="24"/>
        </w:rPr>
        <w:t>the</w:t>
      </w:r>
      <w:r w:rsidRPr="00AF69F3">
        <w:rPr>
          <w:color w:val="auto"/>
        </w:rPr>
        <w:t xml:space="preserve"> area is the portion of land comprised in Certificate of Title Volume 6132 Folio 765 being portion of allotment 302 in the area named Torrens Island in the Hundred of Port Adelaide, South Australia (known as Torrens Island Avian Quarantine Facility, Grand Trunkway, Gillman, South Australia).</w:t>
      </w:r>
      <w:bookmarkStart w:id="0" w:name="_GoBack"/>
      <w:bookmarkEnd w:id="0"/>
    </w:p>
    <w:p w14:paraId="09AFD29F" w14:textId="77777777" w:rsidR="00800623" w:rsidRDefault="00800623" w:rsidP="00884690">
      <w:pPr>
        <w:pStyle w:val="Normal-em"/>
        <w:rPr>
          <w:color w:val="auto"/>
          <w:szCs w:val="24"/>
        </w:rPr>
      </w:pPr>
    </w:p>
    <w:p w14:paraId="7F2D96BB" w14:textId="12E17E0A" w:rsidR="00884690" w:rsidRPr="00C20074" w:rsidRDefault="006B0955" w:rsidP="00884690">
      <w:pPr>
        <w:pStyle w:val="Normal-em"/>
        <w:rPr>
          <w:color w:val="auto"/>
          <w:szCs w:val="24"/>
        </w:rPr>
      </w:pPr>
      <w:r w:rsidRPr="00C20074">
        <w:rPr>
          <w:color w:val="auto"/>
          <w:szCs w:val="24"/>
        </w:rPr>
        <w:lastRenderedPageBreak/>
        <w:t>The note</w:t>
      </w:r>
      <w:r w:rsidR="002B07F6" w:rsidRPr="00C20074">
        <w:rPr>
          <w:color w:val="auto"/>
          <w:szCs w:val="24"/>
        </w:rPr>
        <w:t>s to sections 3 to 5</w:t>
      </w:r>
      <w:r w:rsidRPr="00C20074">
        <w:rPr>
          <w:color w:val="auto"/>
          <w:szCs w:val="24"/>
        </w:rPr>
        <w:t xml:space="preserve"> provide that section 399 of the Biosecurity Act sets out the powers that may be exercised by a biosecurity officer in, or in relation to goods or premises in, a biosecurity activity zone. </w:t>
      </w:r>
      <w:r w:rsidR="00884690" w:rsidRPr="00C20074">
        <w:rPr>
          <w:color w:val="auto"/>
          <w:szCs w:val="24"/>
        </w:rPr>
        <w:t>These powers include:</w:t>
      </w:r>
    </w:p>
    <w:p w14:paraId="68DFECD0" w14:textId="77777777" w:rsidR="00884690" w:rsidRDefault="00884690" w:rsidP="00884690">
      <w:pPr>
        <w:pStyle w:val="anoclistbullet"/>
        <w:numPr>
          <w:ilvl w:val="0"/>
          <w:numId w:val="83"/>
        </w:numPr>
        <w:spacing w:after="240"/>
      </w:pPr>
      <w:r w:rsidRPr="00C20074">
        <w:t>the power to cause the biosecurity activity zone to</w:t>
      </w:r>
      <w:r>
        <w:t xml:space="preserve"> be identified (including by affixing notices or markings)</w:t>
      </w:r>
    </w:p>
    <w:p w14:paraId="718CCC6A" w14:textId="77777777" w:rsidR="00884690" w:rsidRDefault="00884690" w:rsidP="00884690">
      <w:pPr>
        <w:pStyle w:val="anoclistbullet"/>
        <w:numPr>
          <w:ilvl w:val="0"/>
          <w:numId w:val="83"/>
        </w:numPr>
      </w:pPr>
      <w:r>
        <w:t>the power to cause goods or premises (including conveyances) within the zone to be identified (including by affixing notices or markings)</w:t>
      </w:r>
    </w:p>
    <w:p w14:paraId="418AEB14" w14:textId="7E7D71C7" w:rsidR="00884690" w:rsidRDefault="00884690" w:rsidP="00884690">
      <w:pPr>
        <w:pStyle w:val="anoclistbullet"/>
        <w:numPr>
          <w:ilvl w:val="0"/>
          <w:numId w:val="83"/>
        </w:numPr>
      </w:pPr>
      <w:r>
        <w:t>the power to direct a person in the</w:t>
      </w:r>
      <w:r w:rsidR="00C20074">
        <w:t xml:space="preserve"> biosecurity activity</w:t>
      </w:r>
      <w:r>
        <w:t xml:space="preserve"> zone to leave the zone for up to 24 hours, and</w:t>
      </w:r>
    </w:p>
    <w:p w14:paraId="09693FC0" w14:textId="3E313477" w:rsidR="00884690" w:rsidRDefault="00884690" w:rsidP="00884690">
      <w:pPr>
        <w:pStyle w:val="anoclistbullet"/>
        <w:numPr>
          <w:ilvl w:val="0"/>
          <w:numId w:val="83"/>
        </w:numPr>
      </w:pPr>
      <w:r>
        <w:t>any powers prescribed in the regulations for the purposes of section 399.</w:t>
      </w:r>
    </w:p>
    <w:p w14:paraId="6FDF4A55" w14:textId="16927FE2" w:rsidR="00884690" w:rsidRDefault="00884690" w:rsidP="00884690">
      <w:pPr>
        <w:shd w:val="clear" w:color="auto" w:fill="FFFFFF"/>
        <w:spacing w:before="240" w:after="240"/>
      </w:pPr>
      <w:r>
        <w:t xml:space="preserve">The powers provided in relation to entry and exit requirements in sections 333 and 334 of the Biosecurity Act may also be exercised in a biosecurity activity zone. </w:t>
      </w:r>
    </w:p>
    <w:p w14:paraId="0A10F8C3" w14:textId="1E04FCFF" w:rsidR="00884690" w:rsidRDefault="00884690" w:rsidP="00884690">
      <w:pPr>
        <w:shd w:val="clear" w:color="auto" w:fill="FFFFFF"/>
        <w:spacing w:before="240" w:after="240"/>
      </w:pPr>
      <w:r>
        <w:t xml:space="preserve">These powers will assist with the assessment and </w:t>
      </w:r>
      <w:r w:rsidR="002A3BF7">
        <w:t xml:space="preserve">management </w:t>
      </w:r>
      <w:r>
        <w:t xml:space="preserve">of biosecurity risk in </w:t>
      </w:r>
      <w:r w:rsidR="00C20074">
        <w:t xml:space="preserve">these </w:t>
      </w:r>
      <w:r w:rsidR="00800623">
        <w:t>post entry quarantine facilities</w:t>
      </w:r>
      <w:r w:rsidR="00C20074">
        <w:t>,</w:t>
      </w:r>
      <w:r>
        <w:t xml:space="preserve"> which have a higher biosecurity risk because of the nature of activities undertaken at th</w:t>
      </w:r>
      <w:r w:rsidR="008D1E06">
        <w:t>ose</w:t>
      </w:r>
      <w:r>
        <w:t xml:space="preserve"> location</w:t>
      </w:r>
      <w:r w:rsidR="002A3BF7">
        <w:t>s</w:t>
      </w:r>
      <w:r>
        <w:t>. Additionally, demarking the zone will notify the public of the potential biosecurity risks associated with the area, goods or premises.</w:t>
      </w:r>
    </w:p>
    <w:p w14:paraId="69EE9C69" w14:textId="2833B44C" w:rsidR="00DA1D5F" w:rsidRPr="00AF69F3" w:rsidRDefault="00DA1D5F" w:rsidP="00AF69F3">
      <w:pPr>
        <w:spacing w:after="160" w:line="259" w:lineRule="auto"/>
        <w:rPr>
          <w:b/>
          <w:sz w:val="28"/>
          <w:szCs w:val="28"/>
        </w:rPr>
      </w:pPr>
    </w:p>
    <w:sectPr w:rsidR="00DA1D5F" w:rsidRPr="00AF69F3" w:rsidSect="000F5447">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54FA" w14:textId="77777777" w:rsidR="00884690" w:rsidRDefault="00884690">
      <w:r>
        <w:separator/>
      </w:r>
    </w:p>
  </w:endnote>
  <w:endnote w:type="continuationSeparator" w:id="0">
    <w:p w14:paraId="61EC1FD4" w14:textId="77777777" w:rsidR="00884690" w:rsidRDefault="00884690">
      <w:r>
        <w:continuationSeparator/>
      </w:r>
    </w:p>
  </w:endnote>
  <w:endnote w:type="continuationNotice" w:id="1">
    <w:p w14:paraId="729F6363" w14:textId="77777777" w:rsidR="00884690" w:rsidRDefault="00884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149630"/>
      <w:docPartObj>
        <w:docPartGallery w:val="Page Numbers (Bottom of Page)"/>
        <w:docPartUnique/>
      </w:docPartObj>
    </w:sdtPr>
    <w:sdtEndPr>
      <w:rPr>
        <w:rFonts w:cs="Times New Roman"/>
        <w:noProof/>
        <w:sz w:val="22"/>
        <w:szCs w:val="22"/>
      </w:rPr>
    </w:sdtEndPr>
    <w:sdtContent>
      <w:p w14:paraId="53870D0F" w14:textId="77777777" w:rsidR="00884690" w:rsidRPr="001E2EC5" w:rsidRDefault="00884690" w:rsidP="001E2EC5">
        <w:pPr>
          <w:pStyle w:val="Footer"/>
          <w:jc w:val="center"/>
          <w:rPr>
            <w:rFonts w:cs="Times New Roman"/>
            <w:sz w:val="22"/>
            <w:szCs w:val="22"/>
          </w:rPr>
        </w:pPr>
        <w:r w:rsidRPr="001E2EC5">
          <w:rPr>
            <w:rFonts w:cs="Times New Roman"/>
            <w:sz w:val="22"/>
            <w:szCs w:val="22"/>
          </w:rPr>
          <w:fldChar w:fldCharType="begin"/>
        </w:r>
        <w:r w:rsidRPr="001E2EC5">
          <w:rPr>
            <w:rFonts w:cs="Times New Roman"/>
            <w:sz w:val="22"/>
            <w:szCs w:val="22"/>
          </w:rPr>
          <w:instrText xml:space="preserve"> PAGE   \* MERGEFORMAT </w:instrText>
        </w:r>
        <w:r w:rsidRPr="001E2EC5">
          <w:rPr>
            <w:rFonts w:cs="Times New Roman"/>
            <w:sz w:val="22"/>
            <w:szCs w:val="22"/>
          </w:rPr>
          <w:fldChar w:fldCharType="separate"/>
        </w:r>
        <w:r w:rsidR="007E33F2">
          <w:rPr>
            <w:rFonts w:cs="Times New Roman"/>
            <w:noProof/>
            <w:sz w:val="22"/>
            <w:szCs w:val="22"/>
          </w:rPr>
          <w:t>4</w:t>
        </w:r>
        <w:r w:rsidRPr="001E2EC5">
          <w:rPr>
            <w:rFonts w:cs="Times New Roman"/>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6046B" w14:textId="77777777" w:rsidR="00884690" w:rsidRPr="007E3D74" w:rsidRDefault="00884690" w:rsidP="00F33061">
    <w:pPr>
      <w:pStyle w:val="Footer"/>
      <w:rPr>
        <w:rFonts w:cstheme="minorHAnsi"/>
        <w:sz w:val="18"/>
      </w:rPr>
    </w:pPr>
  </w:p>
  <w:p w14:paraId="0C845298" w14:textId="77777777" w:rsidR="00884690" w:rsidRDefault="0088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2319" w14:textId="77777777" w:rsidR="00884690" w:rsidRDefault="00884690">
      <w:r>
        <w:separator/>
      </w:r>
    </w:p>
  </w:footnote>
  <w:footnote w:type="continuationSeparator" w:id="0">
    <w:p w14:paraId="64DAD4D7" w14:textId="77777777" w:rsidR="00884690" w:rsidRDefault="00884690">
      <w:r>
        <w:continuationSeparator/>
      </w:r>
    </w:p>
  </w:footnote>
  <w:footnote w:type="continuationNotice" w:id="1">
    <w:p w14:paraId="1A7DFC22" w14:textId="77777777" w:rsidR="00884690" w:rsidRDefault="008846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7B83" w14:textId="77777777" w:rsidR="00884690" w:rsidRDefault="00884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56756"/>
      <w:docPartObj>
        <w:docPartGallery w:val="Watermarks"/>
        <w:docPartUnique/>
      </w:docPartObj>
    </w:sdtPr>
    <w:sdtEndPr/>
    <w:sdtContent>
      <w:p w14:paraId="2AC0E8FC" w14:textId="77777777" w:rsidR="00884690" w:rsidRDefault="007E33F2" w:rsidP="00F33061">
        <w:pPr>
          <w:pStyle w:val="Header"/>
        </w:pPr>
        <w:r>
          <w:rPr>
            <w:noProof/>
            <w:lang w:val="en-US"/>
          </w:rPr>
          <w:pict w14:anchorId="431DE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5B6E6E2" w14:textId="77777777" w:rsidR="00884690" w:rsidRDefault="008846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9A0"/>
    <w:multiLevelType w:val="hybridMultilevel"/>
    <w:tmpl w:val="9208BF0A"/>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B21E2"/>
    <w:multiLevelType w:val="hybridMultilevel"/>
    <w:tmpl w:val="F69457E2"/>
    <w:lvl w:ilvl="0" w:tplc="1EFE4194">
      <w:start w:val="1"/>
      <w:numFmt w:val="bullet"/>
      <w:pStyle w:val="anoclistbullet"/>
      <w:lvlText w:val=""/>
      <w:lvlJc w:val="left"/>
      <w:pPr>
        <w:ind w:left="720" w:hanging="360"/>
      </w:pPr>
      <w:rPr>
        <w:rFonts w:ascii="Symbol" w:hAnsi="Symbol" w:hint="default"/>
        <w:sz w:val="20"/>
        <w:szCs w:val="20"/>
      </w:rPr>
    </w:lvl>
    <w:lvl w:ilvl="1" w:tplc="E0A4AA3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E48B0"/>
    <w:multiLevelType w:val="hybridMultilevel"/>
    <w:tmpl w:val="B26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2639B"/>
    <w:multiLevelType w:val="hybridMultilevel"/>
    <w:tmpl w:val="0F1E4F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A5D1A"/>
    <w:multiLevelType w:val="hybridMultilevel"/>
    <w:tmpl w:val="DEFAD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 w15:restartNumberingAfterBreak="0">
    <w:nsid w:val="0B811790"/>
    <w:multiLevelType w:val="hybridMultilevel"/>
    <w:tmpl w:val="2A3459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3F042A"/>
    <w:multiLevelType w:val="hybridMultilevel"/>
    <w:tmpl w:val="4DE23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385B6C"/>
    <w:multiLevelType w:val="hybridMultilevel"/>
    <w:tmpl w:val="293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7D5238"/>
    <w:multiLevelType w:val="hybridMultilevel"/>
    <w:tmpl w:val="DAF8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130E16"/>
    <w:multiLevelType w:val="hybridMultilevel"/>
    <w:tmpl w:val="A702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9743EF"/>
    <w:multiLevelType w:val="hybridMultilevel"/>
    <w:tmpl w:val="BD06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6A4BA3"/>
    <w:multiLevelType w:val="hybridMultilevel"/>
    <w:tmpl w:val="6D98E93E"/>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A053B4"/>
    <w:multiLevelType w:val="hybridMultilevel"/>
    <w:tmpl w:val="D33A1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5AF0FC3"/>
    <w:multiLevelType w:val="hybridMultilevel"/>
    <w:tmpl w:val="983CA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177C1"/>
    <w:multiLevelType w:val="hybridMultilevel"/>
    <w:tmpl w:val="E5DCACA0"/>
    <w:lvl w:ilvl="0" w:tplc="BD2E131C">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7" w15:restartNumberingAfterBreak="0">
    <w:nsid w:val="16A73FBC"/>
    <w:multiLevelType w:val="hybridMultilevel"/>
    <w:tmpl w:val="B2226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0D45BB"/>
    <w:multiLevelType w:val="hybridMultilevel"/>
    <w:tmpl w:val="B01EE5A4"/>
    <w:lvl w:ilvl="0" w:tplc="0C090017">
      <w:start w:val="1"/>
      <w:numFmt w:val="lowerLetter"/>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9" w15:restartNumberingAfterBreak="0">
    <w:nsid w:val="1A614205"/>
    <w:multiLevelType w:val="hybridMultilevel"/>
    <w:tmpl w:val="0C04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7C5AFD"/>
    <w:multiLevelType w:val="hybridMultilevel"/>
    <w:tmpl w:val="DEFAD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327373"/>
    <w:multiLevelType w:val="hybridMultilevel"/>
    <w:tmpl w:val="CB4A7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465725"/>
    <w:multiLevelType w:val="hybridMultilevel"/>
    <w:tmpl w:val="FFA4F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8562FD8"/>
    <w:multiLevelType w:val="hybridMultilevel"/>
    <w:tmpl w:val="7DEC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9C272B"/>
    <w:multiLevelType w:val="hybridMultilevel"/>
    <w:tmpl w:val="AA168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510E49"/>
    <w:multiLevelType w:val="hybridMultilevel"/>
    <w:tmpl w:val="66EA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E23463"/>
    <w:multiLevelType w:val="hybridMultilevel"/>
    <w:tmpl w:val="E362CC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2DB10AEE"/>
    <w:multiLevelType w:val="hybridMultilevel"/>
    <w:tmpl w:val="FCCCC4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F660D09"/>
    <w:multiLevelType w:val="hybridMultilevel"/>
    <w:tmpl w:val="AF7A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0097ECF"/>
    <w:multiLevelType w:val="hybridMultilevel"/>
    <w:tmpl w:val="21D8E57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309C1005"/>
    <w:multiLevelType w:val="hybridMultilevel"/>
    <w:tmpl w:val="7C68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D522E1"/>
    <w:multiLevelType w:val="hybridMultilevel"/>
    <w:tmpl w:val="AF2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BF09C9"/>
    <w:multiLevelType w:val="hybridMultilevel"/>
    <w:tmpl w:val="061CBFBC"/>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383BCC"/>
    <w:multiLevelType w:val="hybridMultilevel"/>
    <w:tmpl w:val="864A53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336A1829"/>
    <w:multiLevelType w:val="hybridMultilevel"/>
    <w:tmpl w:val="1FF8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6D1BBB"/>
    <w:multiLevelType w:val="hybridMultilevel"/>
    <w:tmpl w:val="2EFA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9D1A20"/>
    <w:multiLevelType w:val="hybridMultilevel"/>
    <w:tmpl w:val="FBC2FA9A"/>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164F8F"/>
    <w:multiLevelType w:val="hybridMultilevel"/>
    <w:tmpl w:val="D698038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786197"/>
    <w:multiLevelType w:val="hybridMultilevel"/>
    <w:tmpl w:val="3984D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9D314E"/>
    <w:multiLevelType w:val="hybridMultilevel"/>
    <w:tmpl w:val="6E8C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3A964D09"/>
    <w:multiLevelType w:val="hybridMultilevel"/>
    <w:tmpl w:val="166216C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705520"/>
    <w:multiLevelType w:val="hybridMultilevel"/>
    <w:tmpl w:val="EE0A7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E01AD6"/>
    <w:multiLevelType w:val="hybridMultilevel"/>
    <w:tmpl w:val="7DFE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BF15CF"/>
    <w:multiLevelType w:val="hybridMultilevel"/>
    <w:tmpl w:val="DB6C6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FB37C19"/>
    <w:multiLevelType w:val="hybridMultilevel"/>
    <w:tmpl w:val="4D80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5405DB"/>
    <w:multiLevelType w:val="hybridMultilevel"/>
    <w:tmpl w:val="8ECE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8F1949"/>
    <w:multiLevelType w:val="hybridMultilevel"/>
    <w:tmpl w:val="88A6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A077DA"/>
    <w:multiLevelType w:val="hybridMultilevel"/>
    <w:tmpl w:val="7960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C87B13"/>
    <w:multiLevelType w:val="hybridMultilevel"/>
    <w:tmpl w:val="D67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0D4BAF"/>
    <w:multiLevelType w:val="hybridMultilevel"/>
    <w:tmpl w:val="7D2C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D9211E"/>
    <w:multiLevelType w:val="hybridMultilevel"/>
    <w:tmpl w:val="8B24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BC373E"/>
    <w:multiLevelType w:val="hybridMultilevel"/>
    <w:tmpl w:val="F972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A46C37"/>
    <w:multiLevelType w:val="hybridMultilevel"/>
    <w:tmpl w:val="B560A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2DE5FE9"/>
    <w:multiLevelType w:val="hybridMultilevel"/>
    <w:tmpl w:val="6D58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0B7C6D"/>
    <w:multiLevelType w:val="hybridMultilevel"/>
    <w:tmpl w:val="5566A1C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7" w15:restartNumberingAfterBreak="0">
    <w:nsid w:val="54A87F3C"/>
    <w:multiLevelType w:val="hybridMultilevel"/>
    <w:tmpl w:val="0786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C66287"/>
    <w:multiLevelType w:val="hybridMultilevel"/>
    <w:tmpl w:val="17CC6CC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81B4E23"/>
    <w:multiLevelType w:val="hybridMultilevel"/>
    <w:tmpl w:val="CBD8CCC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0" w15:restartNumberingAfterBreak="0">
    <w:nsid w:val="59670552"/>
    <w:multiLevelType w:val="hybridMultilevel"/>
    <w:tmpl w:val="7E0C22FC"/>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9F42C29"/>
    <w:multiLevelType w:val="hybridMultilevel"/>
    <w:tmpl w:val="B91E54FC"/>
    <w:lvl w:ilvl="0" w:tplc="BD2E131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2" w15:restartNumberingAfterBreak="0">
    <w:nsid w:val="5D265394"/>
    <w:multiLevelType w:val="hybridMultilevel"/>
    <w:tmpl w:val="47D29B4E"/>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D8D4789"/>
    <w:multiLevelType w:val="hybridMultilevel"/>
    <w:tmpl w:val="38A0E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BE4DB4"/>
    <w:multiLevelType w:val="hybridMultilevel"/>
    <w:tmpl w:val="5B86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597774"/>
    <w:multiLevelType w:val="hybridMultilevel"/>
    <w:tmpl w:val="E6643F0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6" w15:restartNumberingAfterBreak="0">
    <w:nsid w:val="647F1AB0"/>
    <w:multiLevelType w:val="hybridMultilevel"/>
    <w:tmpl w:val="10BC8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59C52FE"/>
    <w:multiLevelType w:val="hybridMultilevel"/>
    <w:tmpl w:val="4DE23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71F4FFF"/>
    <w:multiLevelType w:val="hybridMultilevel"/>
    <w:tmpl w:val="5420B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216FC2"/>
    <w:multiLevelType w:val="hybridMultilevel"/>
    <w:tmpl w:val="87E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A645820"/>
    <w:multiLevelType w:val="hybridMultilevel"/>
    <w:tmpl w:val="15C4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3C2F5F"/>
    <w:multiLevelType w:val="hybridMultilevel"/>
    <w:tmpl w:val="2B84B90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FA731BC"/>
    <w:multiLevelType w:val="hybridMultilevel"/>
    <w:tmpl w:val="5590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2753EB8"/>
    <w:multiLevelType w:val="hybridMultilevel"/>
    <w:tmpl w:val="C080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087EE4"/>
    <w:multiLevelType w:val="hybridMultilevel"/>
    <w:tmpl w:val="8A0E9F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793A00BB"/>
    <w:multiLevelType w:val="hybridMultilevel"/>
    <w:tmpl w:val="8CDEB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6" w15:restartNumberingAfterBreak="0">
    <w:nsid w:val="7989552B"/>
    <w:multiLevelType w:val="hybridMultilevel"/>
    <w:tmpl w:val="111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A8E77E6"/>
    <w:multiLevelType w:val="hybridMultilevel"/>
    <w:tmpl w:val="EDA6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AA844AD"/>
    <w:multiLevelType w:val="hybridMultilevel"/>
    <w:tmpl w:val="EB501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ADE643A"/>
    <w:multiLevelType w:val="hybridMultilevel"/>
    <w:tmpl w:val="86B07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A91DD7"/>
    <w:multiLevelType w:val="hybridMultilevel"/>
    <w:tmpl w:val="FBBC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DCD730F"/>
    <w:multiLevelType w:val="hybridMultilevel"/>
    <w:tmpl w:val="8BC8E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834D50"/>
    <w:multiLevelType w:val="hybridMultilevel"/>
    <w:tmpl w:val="9AAAFA3C"/>
    <w:lvl w:ilvl="0" w:tplc="0C090001">
      <w:start w:val="1"/>
      <w:numFmt w:val="bullet"/>
      <w:lvlText w:val=""/>
      <w:lvlJc w:val="left"/>
      <w:pPr>
        <w:ind w:left="1844" w:hanging="360"/>
      </w:pPr>
      <w:rPr>
        <w:rFonts w:ascii="Symbol" w:hAnsi="Symbol" w:hint="default"/>
      </w:rPr>
    </w:lvl>
    <w:lvl w:ilvl="1" w:tplc="0C090003" w:tentative="1">
      <w:start w:val="1"/>
      <w:numFmt w:val="bullet"/>
      <w:lvlText w:val="o"/>
      <w:lvlJc w:val="left"/>
      <w:pPr>
        <w:ind w:left="2564" w:hanging="360"/>
      </w:pPr>
      <w:rPr>
        <w:rFonts w:ascii="Courier New" w:hAnsi="Courier New" w:cs="Courier New" w:hint="default"/>
      </w:rPr>
    </w:lvl>
    <w:lvl w:ilvl="2" w:tplc="0C090005" w:tentative="1">
      <w:start w:val="1"/>
      <w:numFmt w:val="bullet"/>
      <w:lvlText w:val=""/>
      <w:lvlJc w:val="left"/>
      <w:pPr>
        <w:ind w:left="3284" w:hanging="360"/>
      </w:pPr>
      <w:rPr>
        <w:rFonts w:ascii="Wingdings" w:hAnsi="Wingdings" w:hint="default"/>
      </w:rPr>
    </w:lvl>
    <w:lvl w:ilvl="3" w:tplc="0C090001" w:tentative="1">
      <w:start w:val="1"/>
      <w:numFmt w:val="bullet"/>
      <w:lvlText w:val=""/>
      <w:lvlJc w:val="left"/>
      <w:pPr>
        <w:ind w:left="4004" w:hanging="360"/>
      </w:pPr>
      <w:rPr>
        <w:rFonts w:ascii="Symbol" w:hAnsi="Symbol" w:hint="default"/>
      </w:rPr>
    </w:lvl>
    <w:lvl w:ilvl="4" w:tplc="0C090003" w:tentative="1">
      <w:start w:val="1"/>
      <w:numFmt w:val="bullet"/>
      <w:lvlText w:val="o"/>
      <w:lvlJc w:val="left"/>
      <w:pPr>
        <w:ind w:left="4724" w:hanging="360"/>
      </w:pPr>
      <w:rPr>
        <w:rFonts w:ascii="Courier New" w:hAnsi="Courier New" w:cs="Courier New" w:hint="default"/>
      </w:rPr>
    </w:lvl>
    <w:lvl w:ilvl="5" w:tplc="0C090005" w:tentative="1">
      <w:start w:val="1"/>
      <w:numFmt w:val="bullet"/>
      <w:lvlText w:val=""/>
      <w:lvlJc w:val="left"/>
      <w:pPr>
        <w:ind w:left="5444" w:hanging="360"/>
      </w:pPr>
      <w:rPr>
        <w:rFonts w:ascii="Wingdings" w:hAnsi="Wingdings" w:hint="default"/>
      </w:rPr>
    </w:lvl>
    <w:lvl w:ilvl="6" w:tplc="0C090001" w:tentative="1">
      <w:start w:val="1"/>
      <w:numFmt w:val="bullet"/>
      <w:lvlText w:val=""/>
      <w:lvlJc w:val="left"/>
      <w:pPr>
        <w:ind w:left="6164" w:hanging="360"/>
      </w:pPr>
      <w:rPr>
        <w:rFonts w:ascii="Symbol" w:hAnsi="Symbol" w:hint="default"/>
      </w:rPr>
    </w:lvl>
    <w:lvl w:ilvl="7" w:tplc="0C090003" w:tentative="1">
      <w:start w:val="1"/>
      <w:numFmt w:val="bullet"/>
      <w:lvlText w:val="o"/>
      <w:lvlJc w:val="left"/>
      <w:pPr>
        <w:ind w:left="6884" w:hanging="360"/>
      </w:pPr>
      <w:rPr>
        <w:rFonts w:ascii="Courier New" w:hAnsi="Courier New" w:cs="Courier New" w:hint="default"/>
      </w:rPr>
    </w:lvl>
    <w:lvl w:ilvl="8" w:tplc="0C090005" w:tentative="1">
      <w:start w:val="1"/>
      <w:numFmt w:val="bullet"/>
      <w:lvlText w:val=""/>
      <w:lvlJc w:val="left"/>
      <w:pPr>
        <w:ind w:left="7604" w:hanging="360"/>
      </w:pPr>
      <w:rPr>
        <w:rFonts w:ascii="Wingdings" w:hAnsi="Wingdings" w:hint="default"/>
      </w:rPr>
    </w:lvl>
  </w:abstractNum>
  <w:abstractNum w:abstractNumId="83" w15:restartNumberingAfterBreak="0">
    <w:nsid w:val="7EAF5EDE"/>
    <w:multiLevelType w:val="hybridMultilevel"/>
    <w:tmpl w:val="87462CD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3"/>
  </w:num>
  <w:num w:numId="2">
    <w:abstractNumId w:val="68"/>
  </w:num>
  <w:num w:numId="3">
    <w:abstractNumId w:val="70"/>
  </w:num>
  <w:num w:numId="4">
    <w:abstractNumId w:val="53"/>
  </w:num>
  <w:num w:numId="5">
    <w:abstractNumId w:val="25"/>
  </w:num>
  <w:num w:numId="6">
    <w:abstractNumId w:val="77"/>
  </w:num>
  <w:num w:numId="7">
    <w:abstractNumId w:val="54"/>
  </w:num>
  <w:num w:numId="8">
    <w:abstractNumId w:val="12"/>
  </w:num>
  <w:num w:numId="9">
    <w:abstractNumId w:val="36"/>
  </w:num>
  <w:num w:numId="10">
    <w:abstractNumId w:val="10"/>
  </w:num>
  <w:num w:numId="11">
    <w:abstractNumId w:val="11"/>
  </w:num>
  <w:num w:numId="12">
    <w:abstractNumId w:val="22"/>
  </w:num>
  <w:num w:numId="13">
    <w:abstractNumId w:val="35"/>
  </w:num>
  <w:num w:numId="14">
    <w:abstractNumId w:val="49"/>
  </w:num>
  <w:num w:numId="15">
    <w:abstractNumId w:val="17"/>
  </w:num>
  <w:num w:numId="16">
    <w:abstractNumId w:val="66"/>
  </w:num>
  <w:num w:numId="17">
    <w:abstractNumId w:val="30"/>
  </w:num>
  <w:num w:numId="18">
    <w:abstractNumId w:val="43"/>
  </w:num>
  <w:num w:numId="19">
    <w:abstractNumId w:val="14"/>
  </w:num>
  <w:num w:numId="20">
    <w:abstractNumId w:val="67"/>
  </w:num>
  <w:num w:numId="21">
    <w:abstractNumId w:val="46"/>
  </w:num>
  <w:num w:numId="22">
    <w:abstractNumId w:val="64"/>
  </w:num>
  <w:num w:numId="23">
    <w:abstractNumId w:val="34"/>
  </w:num>
  <w:num w:numId="24">
    <w:abstractNumId w:val="81"/>
  </w:num>
  <w:num w:numId="25">
    <w:abstractNumId w:val="51"/>
  </w:num>
  <w:num w:numId="26">
    <w:abstractNumId w:val="8"/>
  </w:num>
  <w:num w:numId="27">
    <w:abstractNumId w:val="2"/>
  </w:num>
  <w:num w:numId="28">
    <w:abstractNumId w:val="24"/>
  </w:num>
  <w:num w:numId="29">
    <w:abstractNumId w:val="76"/>
  </w:num>
  <w:num w:numId="30">
    <w:abstractNumId w:val="69"/>
  </w:num>
  <w:num w:numId="31">
    <w:abstractNumId w:val="47"/>
  </w:num>
  <w:num w:numId="32">
    <w:abstractNumId w:val="44"/>
  </w:num>
  <w:num w:numId="33">
    <w:abstractNumId w:val="31"/>
  </w:num>
  <w:num w:numId="34">
    <w:abstractNumId w:val="18"/>
  </w:num>
  <w:num w:numId="35">
    <w:abstractNumId w:val="39"/>
  </w:num>
  <w:num w:numId="36">
    <w:abstractNumId w:val="48"/>
  </w:num>
  <w:num w:numId="37">
    <w:abstractNumId w:val="79"/>
  </w:num>
  <w:num w:numId="38">
    <w:abstractNumId w:val="71"/>
  </w:num>
  <w:num w:numId="39">
    <w:abstractNumId w:val="74"/>
  </w:num>
  <w:num w:numId="40">
    <w:abstractNumId w:val="27"/>
  </w:num>
  <w:num w:numId="41">
    <w:abstractNumId w:val="45"/>
  </w:num>
  <w:num w:numId="42">
    <w:abstractNumId w:val="52"/>
  </w:num>
  <w:num w:numId="43">
    <w:abstractNumId w:val="29"/>
  </w:num>
  <w:num w:numId="44">
    <w:abstractNumId w:val="75"/>
  </w:num>
  <w:num w:numId="45">
    <w:abstractNumId w:val="28"/>
  </w:num>
  <w:num w:numId="46">
    <w:abstractNumId w:val="83"/>
  </w:num>
  <w:num w:numId="47">
    <w:abstractNumId w:val="32"/>
  </w:num>
  <w:num w:numId="48">
    <w:abstractNumId w:val="50"/>
  </w:num>
  <w:num w:numId="49">
    <w:abstractNumId w:val="6"/>
  </w:num>
  <w:num w:numId="50">
    <w:abstractNumId w:val="56"/>
  </w:num>
  <w:num w:numId="51">
    <w:abstractNumId w:val="3"/>
  </w:num>
  <w:num w:numId="52">
    <w:abstractNumId w:val="57"/>
  </w:num>
  <w:num w:numId="53">
    <w:abstractNumId w:val="20"/>
  </w:num>
  <w:num w:numId="54">
    <w:abstractNumId w:val="4"/>
  </w:num>
  <w:num w:numId="55">
    <w:abstractNumId w:val="38"/>
  </w:num>
  <w:num w:numId="56">
    <w:abstractNumId w:val="33"/>
  </w:num>
  <w:num w:numId="57">
    <w:abstractNumId w:val="0"/>
  </w:num>
  <w:num w:numId="58">
    <w:abstractNumId w:val="58"/>
  </w:num>
  <w:num w:numId="59">
    <w:abstractNumId w:val="42"/>
  </w:num>
  <w:num w:numId="60">
    <w:abstractNumId w:val="60"/>
  </w:num>
  <w:num w:numId="61">
    <w:abstractNumId w:val="61"/>
  </w:num>
  <w:num w:numId="62">
    <w:abstractNumId w:val="62"/>
  </w:num>
  <w:num w:numId="63">
    <w:abstractNumId w:val="13"/>
  </w:num>
  <w:num w:numId="64">
    <w:abstractNumId w:val="37"/>
  </w:num>
  <w:num w:numId="65">
    <w:abstractNumId w:val="59"/>
  </w:num>
  <w:num w:numId="66">
    <w:abstractNumId w:val="5"/>
  </w:num>
  <w:num w:numId="6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72"/>
  </w:num>
  <w:num w:numId="70">
    <w:abstractNumId w:val="26"/>
  </w:num>
  <w:num w:numId="71">
    <w:abstractNumId w:val="23"/>
  </w:num>
  <w:num w:numId="72">
    <w:abstractNumId w:val="9"/>
  </w:num>
  <w:num w:numId="73">
    <w:abstractNumId w:val="40"/>
  </w:num>
  <w:num w:numId="74">
    <w:abstractNumId w:val="55"/>
  </w:num>
  <w:num w:numId="75">
    <w:abstractNumId w:val="16"/>
  </w:num>
  <w:num w:numId="76">
    <w:abstractNumId w:val="21"/>
  </w:num>
  <w:num w:numId="77">
    <w:abstractNumId w:val="65"/>
  </w:num>
  <w:num w:numId="78">
    <w:abstractNumId w:val="7"/>
  </w:num>
  <w:num w:numId="79">
    <w:abstractNumId w:val="73"/>
  </w:num>
  <w:num w:numId="80">
    <w:abstractNumId w:val="78"/>
  </w:num>
  <w:num w:numId="81">
    <w:abstractNumId w:val="19"/>
  </w:num>
  <w:num w:numId="82">
    <w:abstractNumId w:val="80"/>
  </w:num>
  <w:num w:numId="83">
    <w:abstractNumId w:val="15"/>
  </w:num>
  <w:num w:numId="84">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2D"/>
    <w:rsid w:val="0000071A"/>
    <w:rsid w:val="0000250D"/>
    <w:rsid w:val="00003BB4"/>
    <w:rsid w:val="0000420B"/>
    <w:rsid w:val="000054D7"/>
    <w:rsid w:val="000079BB"/>
    <w:rsid w:val="00010B7C"/>
    <w:rsid w:val="0001613E"/>
    <w:rsid w:val="00016A19"/>
    <w:rsid w:val="00017ACE"/>
    <w:rsid w:val="00021E82"/>
    <w:rsid w:val="000247E7"/>
    <w:rsid w:val="00026B52"/>
    <w:rsid w:val="00026F99"/>
    <w:rsid w:val="00027480"/>
    <w:rsid w:val="00030593"/>
    <w:rsid w:val="00031F4F"/>
    <w:rsid w:val="0003500B"/>
    <w:rsid w:val="00035B8B"/>
    <w:rsid w:val="00041CD1"/>
    <w:rsid w:val="00041F0D"/>
    <w:rsid w:val="00046032"/>
    <w:rsid w:val="00052C74"/>
    <w:rsid w:val="00052D0C"/>
    <w:rsid w:val="000532FD"/>
    <w:rsid w:val="00053A5E"/>
    <w:rsid w:val="00053D37"/>
    <w:rsid w:val="000576E9"/>
    <w:rsid w:val="000610AD"/>
    <w:rsid w:val="0006116E"/>
    <w:rsid w:val="000615F8"/>
    <w:rsid w:val="00063700"/>
    <w:rsid w:val="00070B32"/>
    <w:rsid w:val="00070E34"/>
    <w:rsid w:val="000729E1"/>
    <w:rsid w:val="00075709"/>
    <w:rsid w:val="00075D06"/>
    <w:rsid w:val="00095AD3"/>
    <w:rsid w:val="00096276"/>
    <w:rsid w:val="00096ECF"/>
    <w:rsid w:val="000A0472"/>
    <w:rsid w:val="000A2187"/>
    <w:rsid w:val="000A34A2"/>
    <w:rsid w:val="000A3E10"/>
    <w:rsid w:val="000B15EB"/>
    <w:rsid w:val="000B171F"/>
    <w:rsid w:val="000B1AE4"/>
    <w:rsid w:val="000B2F11"/>
    <w:rsid w:val="000B30BD"/>
    <w:rsid w:val="000B3E40"/>
    <w:rsid w:val="000B6232"/>
    <w:rsid w:val="000B72CE"/>
    <w:rsid w:val="000C172E"/>
    <w:rsid w:val="000C39E0"/>
    <w:rsid w:val="000C3BB3"/>
    <w:rsid w:val="000C5B2D"/>
    <w:rsid w:val="000C73D7"/>
    <w:rsid w:val="000D3F4A"/>
    <w:rsid w:val="000E15B6"/>
    <w:rsid w:val="000E2C88"/>
    <w:rsid w:val="000E584D"/>
    <w:rsid w:val="000F5447"/>
    <w:rsid w:val="000F6A08"/>
    <w:rsid w:val="000F7295"/>
    <w:rsid w:val="001002EF"/>
    <w:rsid w:val="001016CC"/>
    <w:rsid w:val="0010306A"/>
    <w:rsid w:val="0010314D"/>
    <w:rsid w:val="001157A2"/>
    <w:rsid w:val="001211D8"/>
    <w:rsid w:val="0012246B"/>
    <w:rsid w:val="00127CFD"/>
    <w:rsid w:val="00130546"/>
    <w:rsid w:val="001317B4"/>
    <w:rsid w:val="001319B8"/>
    <w:rsid w:val="00133A82"/>
    <w:rsid w:val="00135398"/>
    <w:rsid w:val="00136F69"/>
    <w:rsid w:val="00136F83"/>
    <w:rsid w:val="001375EB"/>
    <w:rsid w:val="0014014F"/>
    <w:rsid w:val="0014060B"/>
    <w:rsid w:val="00142CF5"/>
    <w:rsid w:val="0014400A"/>
    <w:rsid w:val="00144EC2"/>
    <w:rsid w:val="00146026"/>
    <w:rsid w:val="00150101"/>
    <w:rsid w:val="00150FE2"/>
    <w:rsid w:val="00154204"/>
    <w:rsid w:val="0016225A"/>
    <w:rsid w:val="001653DD"/>
    <w:rsid w:val="00165941"/>
    <w:rsid w:val="00165EBA"/>
    <w:rsid w:val="00170EFD"/>
    <w:rsid w:val="00171B92"/>
    <w:rsid w:val="00173C5D"/>
    <w:rsid w:val="00174BF7"/>
    <w:rsid w:val="00177A77"/>
    <w:rsid w:val="0018114D"/>
    <w:rsid w:val="0018199D"/>
    <w:rsid w:val="00186789"/>
    <w:rsid w:val="00187AA5"/>
    <w:rsid w:val="0019029A"/>
    <w:rsid w:val="00190325"/>
    <w:rsid w:val="00190FE5"/>
    <w:rsid w:val="0019348B"/>
    <w:rsid w:val="001935D4"/>
    <w:rsid w:val="00197EF6"/>
    <w:rsid w:val="001A2999"/>
    <w:rsid w:val="001A3BB6"/>
    <w:rsid w:val="001A5DFE"/>
    <w:rsid w:val="001A675D"/>
    <w:rsid w:val="001B1FBC"/>
    <w:rsid w:val="001B32AE"/>
    <w:rsid w:val="001B3E9B"/>
    <w:rsid w:val="001B652F"/>
    <w:rsid w:val="001B775A"/>
    <w:rsid w:val="001C4EB3"/>
    <w:rsid w:val="001C6872"/>
    <w:rsid w:val="001D501F"/>
    <w:rsid w:val="001E1878"/>
    <w:rsid w:val="001E2EC5"/>
    <w:rsid w:val="001E4F9F"/>
    <w:rsid w:val="001E63B2"/>
    <w:rsid w:val="001E6932"/>
    <w:rsid w:val="001E7AB2"/>
    <w:rsid w:val="001F1CEF"/>
    <w:rsid w:val="001F25A0"/>
    <w:rsid w:val="001F489B"/>
    <w:rsid w:val="001F4EA3"/>
    <w:rsid w:val="001F64DB"/>
    <w:rsid w:val="001F724D"/>
    <w:rsid w:val="001F7C96"/>
    <w:rsid w:val="002020E4"/>
    <w:rsid w:val="002059DB"/>
    <w:rsid w:val="00211D1D"/>
    <w:rsid w:val="00213E04"/>
    <w:rsid w:val="0021423A"/>
    <w:rsid w:val="0021658B"/>
    <w:rsid w:val="00216FCB"/>
    <w:rsid w:val="002177DF"/>
    <w:rsid w:val="00221ACC"/>
    <w:rsid w:val="00223352"/>
    <w:rsid w:val="00223443"/>
    <w:rsid w:val="002234C9"/>
    <w:rsid w:val="0022495F"/>
    <w:rsid w:val="00233B52"/>
    <w:rsid w:val="00242031"/>
    <w:rsid w:val="00242F84"/>
    <w:rsid w:val="00243198"/>
    <w:rsid w:val="002462AB"/>
    <w:rsid w:val="00246A8C"/>
    <w:rsid w:val="002504CA"/>
    <w:rsid w:val="00251205"/>
    <w:rsid w:val="002527B8"/>
    <w:rsid w:val="00252AD0"/>
    <w:rsid w:val="00252AF1"/>
    <w:rsid w:val="00257C9D"/>
    <w:rsid w:val="002625EA"/>
    <w:rsid w:val="00263D6A"/>
    <w:rsid w:val="002673A3"/>
    <w:rsid w:val="00270410"/>
    <w:rsid w:val="00277C87"/>
    <w:rsid w:val="0028067B"/>
    <w:rsid w:val="002844DF"/>
    <w:rsid w:val="00290D23"/>
    <w:rsid w:val="0029441D"/>
    <w:rsid w:val="002957AF"/>
    <w:rsid w:val="00295A0B"/>
    <w:rsid w:val="002A0663"/>
    <w:rsid w:val="002A325F"/>
    <w:rsid w:val="002A3A35"/>
    <w:rsid w:val="002A3BF7"/>
    <w:rsid w:val="002A67D2"/>
    <w:rsid w:val="002B07F6"/>
    <w:rsid w:val="002B199B"/>
    <w:rsid w:val="002B2B56"/>
    <w:rsid w:val="002B3C43"/>
    <w:rsid w:val="002B44CB"/>
    <w:rsid w:val="002B4E05"/>
    <w:rsid w:val="002B5AEB"/>
    <w:rsid w:val="002B6F70"/>
    <w:rsid w:val="002C42D5"/>
    <w:rsid w:val="002C4783"/>
    <w:rsid w:val="002C5EBF"/>
    <w:rsid w:val="002C6573"/>
    <w:rsid w:val="002C72F6"/>
    <w:rsid w:val="002D05BB"/>
    <w:rsid w:val="002D17DC"/>
    <w:rsid w:val="002D37F3"/>
    <w:rsid w:val="002D46A6"/>
    <w:rsid w:val="002D5619"/>
    <w:rsid w:val="002D5C08"/>
    <w:rsid w:val="002D633F"/>
    <w:rsid w:val="002E06E5"/>
    <w:rsid w:val="002E27B7"/>
    <w:rsid w:val="002E2CDE"/>
    <w:rsid w:val="002E5323"/>
    <w:rsid w:val="002E5F8A"/>
    <w:rsid w:val="002F31A5"/>
    <w:rsid w:val="002F4AD1"/>
    <w:rsid w:val="002F7326"/>
    <w:rsid w:val="002F7B91"/>
    <w:rsid w:val="00300132"/>
    <w:rsid w:val="0030061C"/>
    <w:rsid w:val="00312241"/>
    <w:rsid w:val="003145B0"/>
    <w:rsid w:val="00314D27"/>
    <w:rsid w:val="00320501"/>
    <w:rsid w:val="00321E77"/>
    <w:rsid w:val="003272C5"/>
    <w:rsid w:val="00327379"/>
    <w:rsid w:val="003301B5"/>
    <w:rsid w:val="00334D31"/>
    <w:rsid w:val="003375F8"/>
    <w:rsid w:val="00337CAF"/>
    <w:rsid w:val="00337F4E"/>
    <w:rsid w:val="00340603"/>
    <w:rsid w:val="00342AE8"/>
    <w:rsid w:val="00342F64"/>
    <w:rsid w:val="00346EB9"/>
    <w:rsid w:val="0034707A"/>
    <w:rsid w:val="00347B85"/>
    <w:rsid w:val="00350611"/>
    <w:rsid w:val="00352682"/>
    <w:rsid w:val="00353C2B"/>
    <w:rsid w:val="0035426A"/>
    <w:rsid w:val="00354649"/>
    <w:rsid w:val="00356E5B"/>
    <w:rsid w:val="0035711E"/>
    <w:rsid w:val="003626C3"/>
    <w:rsid w:val="00370F7F"/>
    <w:rsid w:val="00372411"/>
    <w:rsid w:val="00372B67"/>
    <w:rsid w:val="00373AD3"/>
    <w:rsid w:val="00376944"/>
    <w:rsid w:val="003801C4"/>
    <w:rsid w:val="00382AC0"/>
    <w:rsid w:val="003848F8"/>
    <w:rsid w:val="00393159"/>
    <w:rsid w:val="00394551"/>
    <w:rsid w:val="00394C8E"/>
    <w:rsid w:val="00394F6C"/>
    <w:rsid w:val="003956A6"/>
    <w:rsid w:val="0039633F"/>
    <w:rsid w:val="00397746"/>
    <w:rsid w:val="003A0340"/>
    <w:rsid w:val="003A1094"/>
    <w:rsid w:val="003A1F20"/>
    <w:rsid w:val="003A1FBF"/>
    <w:rsid w:val="003A226A"/>
    <w:rsid w:val="003A56C7"/>
    <w:rsid w:val="003B038A"/>
    <w:rsid w:val="003B2C0B"/>
    <w:rsid w:val="003B2DBC"/>
    <w:rsid w:val="003B61FC"/>
    <w:rsid w:val="003C05F0"/>
    <w:rsid w:val="003C0FC0"/>
    <w:rsid w:val="003C4011"/>
    <w:rsid w:val="003D1EC8"/>
    <w:rsid w:val="003D63A0"/>
    <w:rsid w:val="003D6A35"/>
    <w:rsid w:val="003D6E87"/>
    <w:rsid w:val="003D706F"/>
    <w:rsid w:val="003E0DA1"/>
    <w:rsid w:val="003E322C"/>
    <w:rsid w:val="003E44AA"/>
    <w:rsid w:val="003E5D50"/>
    <w:rsid w:val="003F1D20"/>
    <w:rsid w:val="003F360B"/>
    <w:rsid w:val="003F376E"/>
    <w:rsid w:val="003F3E41"/>
    <w:rsid w:val="00400BA8"/>
    <w:rsid w:val="0040339C"/>
    <w:rsid w:val="0041144A"/>
    <w:rsid w:val="00412804"/>
    <w:rsid w:val="00413460"/>
    <w:rsid w:val="00414A2D"/>
    <w:rsid w:val="0042002D"/>
    <w:rsid w:val="00424293"/>
    <w:rsid w:val="00424AE6"/>
    <w:rsid w:val="0042750D"/>
    <w:rsid w:val="0043104B"/>
    <w:rsid w:val="00435973"/>
    <w:rsid w:val="004372C6"/>
    <w:rsid w:val="00437510"/>
    <w:rsid w:val="004405A7"/>
    <w:rsid w:val="00441894"/>
    <w:rsid w:val="0044350A"/>
    <w:rsid w:val="004465EE"/>
    <w:rsid w:val="00446798"/>
    <w:rsid w:val="00447A88"/>
    <w:rsid w:val="00451059"/>
    <w:rsid w:val="00455F18"/>
    <w:rsid w:val="00461715"/>
    <w:rsid w:val="0046385A"/>
    <w:rsid w:val="004640F8"/>
    <w:rsid w:val="004649F2"/>
    <w:rsid w:val="004674D3"/>
    <w:rsid w:val="00472E1C"/>
    <w:rsid w:val="00474D74"/>
    <w:rsid w:val="0047678C"/>
    <w:rsid w:val="004807B1"/>
    <w:rsid w:val="004837C9"/>
    <w:rsid w:val="004851AC"/>
    <w:rsid w:val="00485A16"/>
    <w:rsid w:val="004869B4"/>
    <w:rsid w:val="004906F6"/>
    <w:rsid w:val="00492B9C"/>
    <w:rsid w:val="00492DBE"/>
    <w:rsid w:val="0049498E"/>
    <w:rsid w:val="00495174"/>
    <w:rsid w:val="0049582C"/>
    <w:rsid w:val="004A5271"/>
    <w:rsid w:val="004A5A49"/>
    <w:rsid w:val="004A7D2A"/>
    <w:rsid w:val="004B00DA"/>
    <w:rsid w:val="004B1B61"/>
    <w:rsid w:val="004B2427"/>
    <w:rsid w:val="004B3C20"/>
    <w:rsid w:val="004B4F5C"/>
    <w:rsid w:val="004B5585"/>
    <w:rsid w:val="004C0A47"/>
    <w:rsid w:val="004C523C"/>
    <w:rsid w:val="004C7B02"/>
    <w:rsid w:val="004D5E28"/>
    <w:rsid w:val="004D61EF"/>
    <w:rsid w:val="004D6CA7"/>
    <w:rsid w:val="004D7E5E"/>
    <w:rsid w:val="004E2052"/>
    <w:rsid w:val="004E458F"/>
    <w:rsid w:val="004E461D"/>
    <w:rsid w:val="004E46D3"/>
    <w:rsid w:val="004E53D1"/>
    <w:rsid w:val="004F00D0"/>
    <w:rsid w:val="004F0BDA"/>
    <w:rsid w:val="004F2478"/>
    <w:rsid w:val="005035D5"/>
    <w:rsid w:val="0050544C"/>
    <w:rsid w:val="0050745D"/>
    <w:rsid w:val="00507DA4"/>
    <w:rsid w:val="005100A0"/>
    <w:rsid w:val="00514705"/>
    <w:rsid w:val="00514FDE"/>
    <w:rsid w:val="00516493"/>
    <w:rsid w:val="005164C5"/>
    <w:rsid w:val="00517F12"/>
    <w:rsid w:val="00522B7B"/>
    <w:rsid w:val="00523934"/>
    <w:rsid w:val="00525026"/>
    <w:rsid w:val="0052709C"/>
    <w:rsid w:val="00532847"/>
    <w:rsid w:val="005346DC"/>
    <w:rsid w:val="00535F86"/>
    <w:rsid w:val="00540784"/>
    <w:rsid w:val="00540CBF"/>
    <w:rsid w:val="00541AB7"/>
    <w:rsid w:val="00542EF5"/>
    <w:rsid w:val="00543351"/>
    <w:rsid w:val="00543E3B"/>
    <w:rsid w:val="0054476A"/>
    <w:rsid w:val="00545D49"/>
    <w:rsid w:val="00554BD2"/>
    <w:rsid w:val="00555360"/>
    <w:rsid w:val="00560930"/>
    <w:rsid w:val="00560DE1"/>
    <w:rsid w:val="005616DE"/>
    <w:rsid w:val="00561E6C"/>
    <w:rsid w:val="005626A1"/>
    <w:rsid w:val="00565978"/>
    <w:rsid w:val="00571116"/>
    <w:rsid w:val="00572292"/>
    <w:rsid w:val="005722ED"/>
    <w:rsid w:val="0057289E"/>
    <w:rsid w:val="00573105"/>
    <w:rsid w:val="005761C4"/>
    <w:rsid w:val="005819B8"/>
    <w:rsid w:val="00583E92"/>
    <w:rsid w:val="0058419E"/>
    <w:rsid w:val="00585E9F"/>
    <w:rsid w:val="00590698"/>
    <w:rsid w:val="00592FF4"/>
    <w:rsid w:val="00595B0B"/>
    <w:rsid w:val="005963A1"/>
    <w:rsid w:val="005966E7"/>
    <w:rsid w:val="005967CA"/>
    <w:rsid w:val="005A08D2"/>
    <w:rsid w:val="005A2ED9"/>
    <w:rsid w:val="005A3209"/>
    <w:rsid w:val="005A3BBC"/>
    <w:rsid w:val="005A3EDE"/>
    <w:rsid w:val="005A5854"/>
    <w:rsid w:val="005A6F4C"/>
    <w:rsid w:val="005A7D7A"/>
    <w:rsid w:val="005B27E1"/>
    <w:rsid w:val="005B34A4"/>
    <w:rsid w:val="005B68DA"/>
    <w:rsid w:val="005C10AD"/>
    <w:rsid w:val="005C1E34"/>
    <w:rsid w:val="005C2655"/>
    <w:rsid w:val="005C2A5E"/>
    <w:rsid w:val="005C5C7E"/>
    <w:rsid w:val="005C6A4D"/>
    <w:rsid w:val="005D0175"/>
    <w:rsid w:val="005D0C83"/>
    <w:rsid w:val="005D1663"/>
    <w:rsid w:val="005E387D"/>
    <w:rsid w:val="005E49C9"/>
    <w:rsid w:val="005E5224"/>
    <w:rsid w:val="005E53CB"/>
    <w:rsid w:val="005E5955"/>
    <w:rsid w:val="005F0140"/>
    <w:rsid w:val="005F0D0E"/>
    <w:rsid w:val="005F17B1"/>
    <w:rsid w:val="005F2EA1"/>
    <w:rsid w:val="005F411F"/>
    <w:rsid w:val="005F4ABA"/>
    <w:rsid w:val="005F5F66"/>
    <w:rsid w:val="005F77DC"/>
    <w:rsid w:val="0060079E"/>
    <w:rsid w:val="00600818"/>
    <w:rsid w:val="00602851"/>
    <w:rsid w:val="006035E4"/>
    <w:rsid w:val="0060722A"/>
    <w:rsid w:val="00610040"/>
    <w:rsid w:val="006109B6"/>
    <w:rsid w:val="006152F5"/>
    <w:rsid w:val="006154D8"/>
    <w:rsid w:val="00616DD7"/>
    <w:rsid w:val="00617F16"/>
    <w:rsid w:val="00620750"/>
    <w:rsid w:val="00621044"/>
    <w:rsid w:val="006217DC"/>
    <w:rsid w:val="00621DDB"/>
    <w:rsid w:val="00622DF2"/>
    <w:rsid w:val="00623B29"/>
    <w:rsid w:val="00626139"/>
    <w:rsid w:val="00626A87"/>
    <w:rsid w:val="00627C02"/>
    <w:rsid w:val="00627D89"/>
    <w:rsid w:val="006309AF"/>
    <w:rsid w:val="006325D4"/>
    <w:rsid w:val="00634D12"/>
    <w:rsid w:val="006358F6"/>
    <w:rsid w:val="0064029A"/>
    <w:rsid w:val="00642517"/>
    <w:rsid w:val="0064376F"/>
    <w:rsid w:val="00644DDA"/>
    <w:rsid w:val="00646897"/>
    <w:rsid w:val="00647651"/>
    <w:rsid w:val="006518A1"/>
    <w:rsid w:val="00651A64"/>
    <w:rsid w:val="00652A28"/>
    <w:rsid w:val="00652DAE"/>
    <w:rsid w:val="00657875"/>
    <w:rsid w:val="00657B5C"/>
    <w:rsid w:val="00660D2D"/>
    <w:rsid w:val="00661664"/>
    <w:rsid w:val="00663651"/>
    <w:rsid w:val="00663A13"/>
    <w:rsid w:val="00667797"/>
    <w:rsid w:val="006716B5"/>
    <w:rsid w:val="00671761"/>
    <w:rsid w:val="00671903"/>
    <w:rsid w:val="00671B18"/>
    <w:rsid w:val="006726C5"/>
    <w:rsid w:val="00672BAA"/>
    <w:rsid w:val="00677CB4"/>
    <w:rsid w:val="00680B64"/>
    <w:rsid w:val="00681B31"/>
    <w:rsid w:val="00684605"/>
    <w:rsid w:val="00686566"/>
    <w:rsid w:val="00692094"/>
    <w:rsid w:val="006A083F"/>
    <w:rsid w:val="006A349F"/>
    <w:rsid w:val="006A6C2A"/>
    <w:rsid w:val="006B0031"/>
    <w:rsid w:val="006B0955"/>
    <w:rsid w:val="006C0426"/>
    <w:rsid w:val="006C0A30"/>
    <w:rsid w:val="006C0ADB"/>
    <w:rsid w:val="006C0F93"/>
    <w:rsid w:val="006C1394"/>
    <w:rsid w:val="006C1C33"/>
    <w:rsid w:val="006C1C8C"/>
    <w:rsid w:val="006C25FD"/>
    <w:rsid w:val="006C3657"/>
    <w:rsid w:val="006C3F69"/>
    <w:rsid w:val="006C4BE1"/>
    <w:rsid w:val="006D4D61"/>
    <w:rsid w:val="006D5F41"/>
    <w:rsid w:val="006D6EF1"/>
    <w:rsid w:val="006E214D"/>
    <w:rsid w:val="006E7C4C"/>
    <w:rsid w:val="006F18C8"/>
    <w:rsid w:val="006F1911"/>
    <w:rsid w:val="006F1E92"/>
    <w:rsid w:val="006F6393"/>
    <w:rsid w:val="00702460"/>
    <w:rsid w:val="0070292E"/>
    <w:rsid w:val="00702E1D"/>
    <w:rsid w:val="007038D6"/>
    <w:rsid w:val="007040FC"/>
    <w:rsid w:val="00704134"/>
    <w:rsid w:val="007043D9"/>
    <w:rsid w:val="007102B1"/>
    <w:rsid w:val="00714422"/>
    <w:rsid w:val="007173C0"/>
    <w:rsid w:val="00721D34"/>
    <w:rsid w:val="00722A92"/>
    <w:rsid w:val="00722F25"/>
    <w:rsid w:val="00727124"/>
    <w:rsid w:val="00727A5D"/>
    <w:rsid w:val="007303CC"/>
    <w:rsid w:val="007322DB"/>
    <w:rsid w:val="00736D07"/>
    <w:rsid w:val="007429AC"/>
    <w:rsid w:val="00743068"/>
    <w:rsid w:val="00743F0E"/>
    <w:rsid w:val="00745D8A"/>
    <w:rsid w:val="007500D3"/>
    <w:rsid w:val="007502B9"/>
    <w:rsid w:val="007505C9"/>
    <w:rsid w:val="00753E66"/>
    <w:rsid w:val="007549FB"/>
    <w:rsid w:val="00755ED9"/>
    <w:rsid w:val="007607DB"/>
    <w:rsid w:val="00765BEE"/>
    <w:rsid w:val="0077014C"/>
    <w:rsid w:val="0077079E"/>
    <w:rsid w:val="007709D3"/>
    <w:rsid w:val="00771233"/>
    <w:rsid w:val="0077395D"/>
    <w:rsid w:val="00775011"/>
    <w:rsid w:val="007801EC"/>
    <w:rsid w:val="00784E58"/>
    <w:rsid w:val="00790273"/>
    <w:rsid w:val="00793C61"/>
    <w:rsid w:val="00794BEE"/>
    <w:rsid w:val="00795F2D"/>
    <w:rsid w:val="007969F3"/>
    <w:rsid w:val="00797252"/>
    <w:rsid w:val="0079738C"/>
    <w:rsid w:val="00797F2B"/>
    <w:rsid w:val="007A2774"/>
    <w:rsid w:val="007A4265"/>
    <w:rsid w:val="007A53C3"/>
    <w:rsid w:val="007A6350"/>
    <w:rsid w:val="007B1276"/>
    <w:rsid w:val="007B19ED"/>
    <w:rsid w:val="007B2253"/>
    <w:rsid w:val="007B2398"/>
    <w:rsid w:val="007C1AF9"/>
    <w:rsid w:val="007C4006"/>
    <w:rsid w:val="007D2F42"/>
    <w:rsid w:val="007D3069"/>
    <w:rsid w:val="007D31AB"/>
    <w:rsid w:val="007D3DF8"/>
    <w:rsid w:val="007D6876"/>
    <w:rsid w:val="007D71EC"/>
    <w:rsid w:val="007E0762"/>
    <w:rsid w:val="007E33F2"/>
    <w:rsid w:val="007E3983"/>
    <w:rsid w:val="007E3B5F"/>
    <w:rsid w:val="007F24D7"/>
    <w:rsid w:val="007F7ED9"/>
    <w:rsid w:val="00800623"/>
    <w:rsid w:val="00800774"/>
    <w:rsid w:val="00803512"/>
    <w:rsid w:val="00803D80"/>
    <w:rsid w:val="00803E4C"/>
    <w:rsid w:val="00805B89"/>
    <w:rsid w:val="0080618C"/>
    <w:rsid w:val="00806BC0"/>
    <w:rsid w:val="00807139"/>
    <w:rsid w:val="00814736"/>
    <w:rsid w:val="008149D0"/>
    <w:rsid w:val="00814CC1"/>
    <w:rsid w:val="00815FE4"/>
    <w:rsid w:val="00821746"/>
    <w:rsid w:val="00823074"/>
    <w:rsid w:val="00823365"/>
    <w:rsid w:val="00823EAA"/>
    <w:rsid w:val="0082404E"/>
    <w:rsid w:val="0082691F"/>
    <w:rsid w:val="0083086A"/>
    <w:rsid w:val="00832082"/>
    <w:rsid w:val="008324E8"/>
    <w:rsid w:val="00843861"/>
    <w:rsid w:val="008463B0"/>
    <w:rsid w:val="00846714"/>
    <w:rsid w:val="008470AE"/>
    <w:rsid w:val="00850D88"/>
    <w:rsid w:val="00850E34"/>
    <w:rsid w:val="008510AA"/>
    <w:rsid w:val="00851527"/>
    <w:rsid w:val="0085591F"/>
    <w:rsid w:val="00857169"/>
    <w:rsid w:val="00857CEC"/>
    <w:rsid w:val="00863DE8"/>
    <w:rsid w:val="00864F88"/>
    <w:rsid w:val="0086603C"/>
    <w:rsid w:val="008670AC"/>
    <w:rsid w:val="0087293F"/>
    <w:rsid w:val="00875AF7"/>
    <w:rsid w:val="00882058"/>
    <w:rsid w:val="0088330E"/>
    <w:rsid w:val="00884690"/>
    <w:rsid w:val="00885805"/>
    <w:rsid w:val="00890E91"/>
    <w:rsid w:val="00892117"/>
    <w:rsid w:val="00893034"/>
    <w:rsid w:val="008945BA"/>
    <w:rsid w:val="0089513F"/>
    <w:rsid w:val="008A178F"/>
    <w:rsid w:val="008A56BB"/>
    <w:rsid w:val="008A57B0"/>
    <w:rsid w:val="008A60DB"/>
    <w:rsid w:val="008A6569"/>
    <w:rsid w:val="008A6B65"/>
    <w:rsid w:val="008B09A1"/>
    <w:rsid w:val="008C02AD"/>
    <w:rsid w:val="008C035F"/>
    <w:rsid w:val="008C03B6"/>
    <w:rsid w:val="008C2665"/>
    <w:rsid w:val="008C3471"/>
    <w:rsid w:val="008C37F4"/>
    <w:rsid w:val="008C63F9"/>
    <w:rsid w:val="008D1E06"/>
    <w:rsid w:val="008D4674"/>
    <w:rsid w:val="008E1929"/>
    <w:rsid w:val="008E1FAC"/>
    <w:rsid w:val="008E213D"/>
    <w:rsid w:val="008E3DB0"/>
    <w:rsid w:val="008E421E"/>
    <w:rsid w:val="008E44A8"/>
    <w:rsid w:val="008E50B2"/>
    <w:rsid w:val="008E5316"/>
    <w:rsid w:val="008E7847"/>
    <w:rsid w:val="008F50D1"/>
    <w:rsid w:val="008F66DD"/>
    <w:rsid w:val="008F743C"/>
    <w:rsid w:val="008F7E76"/>
    <w:rsid w:val="0090047F"/>
    <w:rsid w:val="00900F6E"/>
    <w:rsid w:val="00903F26"/>
    <w:rsid w:val="00911EAE"/>
    <w:rsid w:val="009122E8"/>
    <w:rsid w:val="009162B7"/>
    <w:rsid w:val="0091650D"/>
    <w:rsid w:val="0092056E"/>
    <w:rsid w:val="00922970"/>
    <w:rsid w:val="00922E64"/>
    <w:rsid w:val="00923118"/>
    <w:rsid w:val="009232E3"/>
    <w:rsid w:val="009257E7"/>
    <w:rsid w:val="0093043A"/>
    <w:rsid w:val="009341D0"/>
    <w:rsid w:val="00941C2B"/>
    <w:rsid w:val="00941D60"/>
    <w:rsid w:val="0094305F"/>
    <w:rsid w:val="0094347F"/>
    <w:rsid w:val="00945834"/>
    <w:rsid w:val="00946967"/>
    <w:rsid w:val="00947AD0"/>
    <w:rsid w:val="009523F9"/>
    <w:rsid w:val="0095392A"/>
    <w:rsid w:val="00956496"/>
    <w:rsid w:val="0096036E"/>
    <w:rsid w:val="0096070D"/>
    <w:rsid w:val="00967672"/>
    <w:rsid w:val="00975434"/>
    <w:rsid w:val="00977BE4"/>
    <w:rsid w:val="0098104B"/>
    <w:rsid w:val="00982F20"/>
    <w:rsid w:val="00983882"/>
    <w:rsid w:val="009857C8"/>
    <w:rsid w:val="009900EF"/>
    <w:rsid w:val="00992FEF"/>
    <w:rsid w:val="0099499F"/>
    <w:rsid w:val="00996CE7"/>
    <w:rsid w:val="009A0803"/>
    <w:rsid w:val="009A28F7"/>
    <w:rsid w:val="009A4088"/>
    <w:rsid w:val="009A48EF"/>
    <w:rsid w:val="009A51FC"/>
    <w:rsid w:val="009A6705"/>
    <w:rsid w:val="009B085B"/>
    <w:rsid w:val="009B3076"/>
    <w:rsid w:val="009B4028"/>
    <w:rsid w:val="009B4126"/>
    <w:rsid w:val="009B6855"/>
    <w:rsid w:val="009B7F3F"/>
    <w:rsid w:val="009C1623"/>
    <w:rsid w:val="009C1C0B"/>
    <w:rsid w:val="009C25D2"/>
    <w:rsid w:val="009C3CE3"/>
    <w:rsid w:val="009D1952"/>
    <w:rsid w:val="009D19FE"/>
    <w:rsid w:val="009D7D13"/>
    <w:rsid w:val="009E16A9"/>
    <w:rsid w:val="009E268B"/>
    <w:rsid w:val="009E2C1A"/>
    <w:rsid w:val="009E32C9"/>
    <w:rsid w:val="009E4B69"/>
    <w:rsid w:val="009E4DB7"/>
    <w:rsid w:val="009E5D25"/>
    <w:rsid w:val="009E5E75"/>
    <w:rsid w:val="009E60DE"/>
    <w:rsid w:val="009E6C40"/>
    <w:rsid w:val="009F12E2"/>
    <w:rsid w:val="009F22F6"/>
    <w:rsid w:val="009F36CF"/>
    <w:rsid w:val="009F68F5"/>
    <w:rsid w:val="009F6DB2"/>
    <w:rsid w:val="00A025A7"/>
    <w:rsid w:val="00A03E7D"/>
    <w:rsid w:val="00A0402C"/>
    <w:rsid w:val="00A04CF4"/>
    <w:rsid w:val="00A0593C"/>
    <w:rsid w:val="00A10D77"/>
    <w:rsid w:val="00A1368F"/>
    <w:rsid w:val="00A1369F"/>
    <w:rsid w:val="00A20003"/>
    <w:rsid w:val="00A20F7E"/>
    <w:rsid w:val="00A20FC2"/>
    <w:rsid w:val="00A2102B"/>
    <w:rsid w:val="00A22035"/>
    <w:rsid w:val="00A24DF3"/>
    <w:rsid w:val="00A265CC"/>
    <w:rsid w:val="00A31A8C"/>
    <w:rsid w:val="00A34191"/>
    <w:rsid w:val="00A34B0C"/>
    <w:rsid w:val="00A37D41"/>
    <w:rsid w:val="00A45A6C"/>
    <w:rsid w:val="00A47547"/>
    <w:rsid w:val="00A47D15"/>
    <w:rsid w:val="00A52B63"/>
    <w:rsid w:val="00A54F6F"/>
    <w:rsid w:val="00A70058"/>
    <w:rsid w:val="00A7306D"/>
    <w:rsid w:val="00A739DB"/>
    <w:rsid w:val="00A74B61"/>
    <w:rsid w:val="00A77794"/>
    <w:rsid w:val="00A7793A"/>
    <w:rsid w:val="00A82C46"/>
    <w:rsid w:val="00A840A0"/>
    <w:rsid w:val="00A85D35"/>
    <w:rsid w:val="00A872EF"/>
    <w:rsid w:val="00A90986"/>
    <w:rsid w:val="00A91453"/>
    <w:rsid w:val="00A93304"/>
    <w:rsid w:val="00A93ECC"/>
    <w:rsid w:val="00A9476F"/>
    <w:rsid w:val="00A94785"/>
    <w:rsid w:val="00A96524"/>
    <w:rsid w:val="00AA05FB"/>
    <w:rsid w:val="00AA0805"/>
    <w:rsid w:val="00AA219C"/>
    <w:rsid w:val="00AA246F"/>
    <w:rsid w:val="00AA387F"/>
    <w:rsid w:val="00AA3D46"/>
    <w:rsid w:val="00AA41CB"/>
    <w:rsid w:val="00AA56FB"/>
    <w:rsid w:val="00AA653A"/>
    <w:rsid w:val="00AC118F"/>
    <w:rsid w:val="00AC1F4A"/>
    <w:rsid w:val="00AC67B7"/>
    <w:rsid w:val="00AC7A87"/>
    <w:rsid w:val="00AC7C92"/>
    <w:rsid w:val="00AD0A4E"/>
    <w:rsid w:val="00AD35AE"/>
    <w:rsid w:val="00AD3AA0"/>
    <w:rsid w:val="00AD5270"/>
    <w:rsid w:val="00AD5951"/>
    <w:rsid w:val="00AD67DD"/>
    <w:rsid w:val="00AD7E8A"/>
    <w:rsid w:val="00AE3940"/>
    <w:rsid w:val="00AF1D10"/>
    <w:rsid w:val="00AF2707"/>
    <w:rsid w:val="00AF4987"/>
    <w:rsid w:val="00AF4F6C"/>
    <w:rsid w:val="00AF69F3"/>
    <w:rsid w:val="00AF7545"/>
    <w:rsid w:val="00AF7F94"/>
    <w:rsid w:val="00B00E00"/>
    <w:rsid w:val="00B05DC5"/>
    <w:rsid w:val="00B070DA"/>
    <w:rsid w:val="00B10561"/>
    <w:rsid w:val="00B10E3D"/>
    <w:rsid w:val="00B11FE2"/>
    <w:rsid w:val="00B17DB6"/>
    <w:rsid w:val="00B217AC"/>
    <w:rsid w:val="00B23FCA"/>
    <w:rsid w:val="00B25D57"/>
    <w:rsid w:val="00B26935"/>
    <w:rsid w:val="00B27B6F"/>
    <w:rsid w:val="00B3220D"/>
    <w:rsid w:val="00B33DC2"/>
    <w:rsid w:val="00B33E1B"/>
    <w:rsid w:val="00B365F5"/>
    <w:rsid w:val="00B36D8F"/>
    <w:rsid w:val="00B3751D"/>
    <w:rsid w:val="00B44988"/>
    <w:rsid w:val="00B4544D"/>
    <w:rsid w:val="00B47BB3"/>
    <w:rsid w:val="00B51D69"/>
    <w:rsid w:val="00B52827"/>
    <w:rsid w:val="00B52E3A"/>
    <w:rsid w:val="00B54325"/>
    <w:rsid w:val="00B54AB8"/>
    <w:rsid w:val="00B60D62"/>
    <w:rsid w:val="00B6441D"/>
    <w:rsid w:val="00B64CB2"/>
    <w:rsid w:val="00B658EC"/>
    <w:rsid w:val="00B65D55"/>
    <w:rsid w:val="00B7010B"/>
    <w:rsid w:val="00B7210A"/>
    <w:rsid w:val="00B73685"/>
    <w:rsid w:val="00B73C92"/>
    <w:rsid w:val="00B86B83"/>
    <w:rsid w:val="00B87315"/>
    <w:rsid w:val="00B876D8"/>
    <w:rsid w:val="00B91568"/>
    <w:rsid w:val="00B919CE"/>
    <w:rsid w:val="00B92619"/>
    <w:rsid w:val="00B92714"/>
    <w:rsid w:val="00B93390"/>
    <w:rsid w:val="00B9432C"/>
    <w:rsid w:val="00B94373"/>
    <w:rsid w:val="00B95A6B"/>
    <w:rsid w:val="00BB0912"/>
    <w:rsid w:val="00BB1BC4"/>
    <w:rsid w:val="00BB1FEC"/>
    <w:rsid w:val="00BB6BD9"/>
    <w:rsid w:val="00BC04AC"/>
    <w:rsid w:val="00BC0B4B"/>
    <w:rsid w:val="00BC1704"/>
    <w:rsid w:val="00BC3F22"/>
    <w:rsid w:val="00BC4129"/>
    <w:rsid w:val="00BC7C95"/>
    <w:rsid w:val="00BD1491"/>
    <w:rsid w:val="00BD7A5E"/>
    <w:rsid w:val="00BE0C55"/>
    <w:rsid w:val="00BE643C"/>
    <w:rsid w:val="00BF1DF8"/>
    <w:rsid w:val="00BF29DE"/>
    <w:rsid w:val="00BF6AE5"/>
    <w:rsid w:val="00C027F5"/>
    <w:rsid w:val="00C10EDB"/>
    <w:rsid w:val="00C11E4A"/>
    <w:rsid w:val="00C14E7D"/>
    <w:rsid w:val="00C1565C"/>
    <w:rsid w:val="00C20074"/>
    <w:rsid w:val="00C21F02"/>
    <w:rsid w:val="00C25B18"/>
    <w:rsid w:val="00C26896"/>
    <w:rsid w:val="00C30F9A"/>
    <w:rsid w:val="00C31082"/>
    <w:rsid w:val="00C31193"/>
    <w:rsid w:val="00C32270"/>
    <w:rsid w:val="00C33F97"/>
    <w:rsid w:val="00C37605"/>
    <w:rsid w:val="00C37EEF"/>
    <w:rsid w:val="00C41998"/>
    <w:rsid w:val="00C43BDC"/>
    <w:rsid w:val="00C44EE9"/>
    <w:rsid w:val="00C4501C"/>
    <w:rsid w:val="00C45C0C"/>
    <w:rsid w:val="00C535EC"/>
    <w:rsid w:val="00C54EB8"/>
    <w:rsid w:val="00C56836"/>
    <w:rsid w:val="00C56988"/>
    <w:rsid w:val="00C601B4"/>
    <w:rsid w:val="00C64198"/>
    <w:rsid w:val="00C724F3"/>
    <w:rsid w:val="00C770CF"/>
    <w:rsid w:val="00C772FE"/>
    <w:rsid w:val="00C776CA"/>
    <w:rsid w:val="00C83A75"/>
    <w:rsid w:val="00C85AEA"/>
    <w:rsid w:val="00C86608"/>
    <w:rsid w:val="00C874E6"/>
    <w:rsid w:val="00C9083D"/>
    <w:rsid w:val="00C90D36"/>
    <w:rsid w:val="00C9122E"/>
    <w:rsid w:val="00C95D75"/>
    <w:rsid w:val="00C97D6B"/>
    <w:rsid w:val="00CA1649"/>
    <w:rsid w:val="00CA28DE"/>
    <w:rsid w:val="00CA5602"/>
    <w:rsid w:val="00CA57AF"/>
    <w:rsid w:val="00CB40A4"/>
    <w:rsid w:val="00CB46EC"/>
    <w:rsid w:val="00CB4A5C"/>
    <w:rsid w:val="00CB5A90"/>
    <w:rsid w:val="00CB64D5"/>
    <w:rsid w:val="00CC3DD8"/>
    <w:rsid w:val="00CD0667"/>
    <w:rsid w:val="00CD3961"/>
    <w:rsid w:val="00CE1212"/>
    <w:rsid w:val="00CE1B2D"/>
    <w:rsid w:val="00CE1D31"/>
    <w:rsid w:val="00CE241E"/>
    <w:rsid w:val="00CE3D86"/>
    <w:rsid w:val="00CE4861"/>
    <w:rsid w:val="00CE5279"/>
    <w:rsid w:val="00CE596A"/>
    <w:rsid w:val="00CE5C99"/>
    <w:rsid w:val="00CE5CFE"/>
    <w:rsid w:val="00CE6F65"/>
    <w:rsid w:val="00CF36B8"/>
    <w:rsid w:val="00CF50CA"/>
    <w:rsid w:val="00CF5116"/>
    <w:rsid w:val="00CF6EC7"/>
    <w:rsid w:val="00D01BE7"/>
    <w:rsid w:val="00D01DF0"/>
    <w:rsid w:val="00D029D4"/>
    <w:rsid w:val="00D04FFE"/>
    <w:rsid w:val="00D05569"/>
    <w:rsid w:val="00D0588B"/>
    <w:rsid w:val="00D06070"/>
    <w:rsid w:val="00D06E9D"/>
    <w:rsid w:val="00D0736C"/>
    <w:rsid w:val="00D07772"/>
    <w:rsid w:val="00D11340"/>
    <w:rsid w:val="00D1151B"/>
    <w:rsid w:val="00D140A4"/>
    <w:rsid w:val="00D176F7"/>
    <w:rsid w:val="00D20AD9"/>
    <w:rsid w:val="00D219EE"/>
    <w:rsid w:val="00D254C5"/>
    <w:rsid w:val="00D268A4"/>
    <w:rsid w:val="00D273B7"/>
    <w:rsid w:val="00D300FB"/>
    <w:rsid w:val="00D3333F"/>
    <w:rsid w:val="00D35BDE"/>
    <w:rsid w:val="00D3704B"/>
    <w:rsid w:val="00D377C4"/>
    <w:rsid w:val="00D40FE2"/>
    <w:rsid w:val="00D44429"/>
    <w:rsid w:val="00D44752"/>
    <w:rsid w:val="00D46BB3"/>
    <w:rsid w:val="00D47A5F"/>
    <w:rsid w:val="00D50896"/>
    <w:rsid w:val="00D514D4"/>
    <w:rsid w:val="00D52AB7"/>
    <w:rsid w:val="00D56C25"/>
    <w:rsid w:val="00D5712C"/>
    <w:rsid w:val="00D57DBE"/>
    <w:rsid w:val="00D6050A"/>
    <w:rsid w:val="00D63A05"/>
    <w:rsid w:val="00D645B8"/>
    <w:rsid w:val="00D701E6"/>
    <w:rsid w:val="00D7337E"/>
    <w:rsid w:val="00D73AA9"/>
    <w:rsid w:val="00D74A57"/>
    <w:rsid w:val="00D74F45"/>
    <w:rsid w:val="00D755A5"/>
    <w:rsid w:val="00D75762"/>
    <w:rsid w:val="00D764C5"/>
    <w:rsid w:val="00D7708A"/>
    <w:rsid w:val="00D82126"/>
    <w:rsid w:val="00D8770B"/>
    <w:rsid w:val="00D90494"/>
    <w:rsid w:val="00D955F6"/>
    <w:rsid w:val="00D960C2"/>
    <w:rsid w:val="00DA017A"/>
    <w:rsid w:val="00DA1D5F"/>
    <w:rsid w:val="00DA4E54"/>
    <w:rsid w:val="00DA71B7"/>
    <w:rsid w:val="00DA74CC"/>
    <w:rsid w:val="00DA76DA"/>
    <w:rsid w:val="00DB19AD"/>
    <w:rsid w:val="00DB1E5F"/>
    <w:rsid w:val="00DB2A5C"/>
    <w:rsid w:val="00DB3889"/>
    <w:rsid w:val="00DB3C9D"/>
    <w:rsid w:val="00DB409E"/>
    <w:rsid w:val="00DB7F2F"/>
    <w:rsid w:val="00DC22B9"/>
    <w:rsid w:val="00DC25D3"/>
    <w:rsid w:val="00DC2752"/>
    <w:rsid w:val="00DC2854"/>
    <w:rsid w:val="00DC5087"/>
    <w:rsid w:val="00DC6458"/>
    <w:rsid w:val="00DC6A1D"/>
    <w:rsid w:val="00DC75F9"/>
    <w:rsid w:val="00DD4033"/>
    <w:rsid w:val="00DE0EC1"/>
    <w:rsid w:val="00DE10DA"/>
    <w:rsid w:val="00DE26F5"/>
    <w:rsid w:val="00DE3AB2"/>
    <w:rsid w:val="00DE44FA"/>
    <w:rsid w:val="00DE4AA3"/>
    <w:rsid w:val="00DE4F61"/>
    <w:rsid w:val="00DE5275"/>
    <w:rsid w:val="00DE6F0D"/>
    <w:rsid w:val="00DF5199"/>
    <w:rsid w:val="00E00AF3"/>
    <w:rsid w:val="00E03B0F"/>
    <w:rsid w:val="00E0598B"/>
    <w:rsid w:val="00E0618B"/>
    <w:rsid w:val="00E118EB"/>
    <w:rsid w:val="00E14A74"/>
    <w:rsid w:val="00E16EED"/>
    <w:rsid w:val="00E2083F"/>
    <w:rsid w:val="00E21449"/>
    <w:rsid w:val="00E22153"/>
    <w:rsid w:val="00E2315A"/>
    <w:rsid w:val="00E273C1"/>
    <w:rsid w:val="00E30313"/>
    <w:rsid w:val="00E325AB"/>
    <w:rsid w:val="00E339A7"/>
    <w:rsid w:val="00E34CEE"/>
    <w:rsid w:val="00E34E50"/>
    <w:rsid w:val="00E360A8"/>
    <w:rsid w:val="00E36202"/>
    <w:rsid w:val="00E4146B"/>
    <w:rsid w:val="00E42C0E"/>
    <w:rsid w:val="00E42E99"/>
    <w:rsid w:val="00E44E5D"/>
    <w:rsid w:val="00E45C95"/>
    <w:rsid w:val="00E46856"/>
    <w:rsid w:val="00E50EE0"/>
    <w:rsid w:val="00E511F6"/>
    <w:rsid w:val="00E54740"/>
    <w:rsid w:val="00E55E8E"/>
    <w:rsid w:val="00E572AA"/>
    <w:rsid w:val="00E620AA"/>
    <w:rsid w:val="00E63263"/>
    <w:rsid w:val="00E6331B"/>
    <w:rsid w:val="00E64BBF"/>
    <w:rsid w:val="00E66819"/>
    <w:rsid w:val="00E67ED7"/>
    <w:rsid w:val="00E70DDA"/>
    <w:rsid w:val="00E710F6"/>
    <w:rsid w:val="00E71E1A"/>
    <w:rsid w:val="00E846AB"/>
    <w:rsid w:val="00E86AE1"/>
    <w:rsid w:val="00E92254"/>
    <w:rsid w:val="00E9227F"/>
    <w:rsid w:val="00E9283C"/>
    <w:rsid w:val="00E95C9E"/>
    <w:rsid w:val="00EA18CB"/>
    <w:rsid w:val="00EA3C46"/>
    <w:rsid w:val="00EA48DB"/>
    <w:rsid w:val="00EB1891"/>
    <w:rsid w:val="00EB76E5"/>
    <w:rsid w:val="00EC10E7"/>
    <w:rsid w:val="00EC2B98"/>
    <w:rsid w:val="00EC4167"/>
    <w:rsid w:val="00EC75C4"/>
    <w:rsid w:val="00ED0860"/>
    <w:rsid w:val="00ED122E"/>
    <w:rsid w:val="00ED2823"/>
    <w:rsid w:val="00ED5834"/>
    <w:rsid w:val="00EE4741"/>
    <w:rsid w:val="00EE4B33"/>
    <w:rsid w:val="00EE562B"/>
    <w:rsid w:val="00EE6B59"/>
    <w:rsid w:val="00EE6EEF"/>
    <w:rsid w:val="00EE7C0A"/>
    <w:rsid w:val="00EF2CAC"/>
    <w:rsid w:val="00EF64F3"/>
    <w:rsid w:val="00EF6977"/>
    <w:rsid w:val="00EF6B6E"/>
    <w:rsid w:val="00EF74F2"/>
    <w:rsid w:val="00F001AC"/>
    <w:rsid w:val="00F02B26"/>
    <w:rsid w:val="00F04852"/>
    <w:rsid w:val="00F070DB"/>
    <w:rsid w:val="00F11E02"/>
    <w:rsid w:val="00F15DB2"/>
    <w:rsid w:val="00F20A37"/>
    <w:rsid w:val="00F22B57"/>
    <w:rsid w:val="00F24773"/>
    <w:rsid w:val="00F26D8A"/>
    <w:rsid w:val="00F31A04"/>
    <w:rsid w:val="00F32383"/>
    <w:rsid w:val="00F32577"/>
    <w:rsid w:val="00F33061"/>
    <w:rsid w:val="00F35647"/>
    <w:rsid w:val="00F3580B"/>
    <w:rsid w:val="00F3772B"/>
    <w:rsid w:val="00F40710"/>
    <w:rsid w:val="00F4092C"/>
    <w:rsid w:val="00F43653"/>
    <w:rsid w:val="00F444D0"/>
    <w:rsid w:val="00F44F77"/>
    <w:rsid w:val="00F50753"/>
    <w:rsid w:val="00F50781"/>
    <w:rsid w:val="00F521D1"/>
    <w:rsid w:val="00F61F05"/>
    <w:rsid w:val="00F629E5"/>
    <w:rsid w:val="00F635C2"/>
    <w:rsid w:val="00F63C3E"/>
    <w:rsid w:val="00F666CF"/>
    <w:rsid w:val="00F672EA"/>
    <w:rsid w:val="00F6742D"/>
    <w:rsid w:val="00F71C15"/>
    <w:rsid w:val="00F7397D"/>
    <w:rsid w:val="00F73C9D"/>
    <w:rsid w:val="00F751CA"/>
    <w:rsid w:val="00F7572F"/>
    <w:rsid w:val="00F76BDB"/>
    <w:rsid w:val="00F80137"/>
    <w:rsid w:val="00F8071E"/>
    <w:rsid w:val="00F80D82"/>
    <w:rsid w:val="00F828F1"/>
    <w:rsid w:val="00F82F34"/>
    <w:rsid w:val="00F905DE"/>
    <w:rsid w:val="00F91C23"/>
    <w:rsid w:val="00F9498B"/>
    <w:rsid w:val="00F95823"/>
    <w:rsid w:val="00F97562"/>
    <w:rsid w:val="00FA5E0F"/>
    <w:rsid w:val="00FB0606"/>
    <w:rsid w:val="00FB2DE7"/>
    <w:rsid w:val="00FB3575"/>
    <w:rsid w:val="00FB66D0"/>
    <w:rsid w:val="00FC2055"/>
    <w:rsid w:val="00FC5C57"/>
    <w:rsid w:val="00FC67CD"/>
    <w:rsid w:val="00FC69F7"/>
    <w:rsid w:val="00FC7E98"/>
    <w:rsid w:val="00FD1FED"/>
    <w:rsid w:val="00FD2F28"/>
    <w:rsid w:val="00FD37AB"/>
    <w:rsid w:val="00FD37C6"/>
    <w:rsid w:val="00FE02F8"/>
    <w:rsid w:val="00FE23EA"/>
    <w:rsid w:val="00FE6453"/>
    <w:rsid w:val="00FE6702"/>
    <w:rsid w:val="00FF04F1"/>
    <w:rsid w:val="00FF1BFC"/>
    <w:rsid w:val="00FF1D31"/>
    <w:rsid w:val="00FF2D56"/>
    <w:rsid w:val="00FF2D97"/>
    <w:rsid w:val="00FF42A5"/>
    <w:rsid w:val="00FF6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C6384"/>
  <w15:docId w15:val="{1F7B4157-BC22-4A5F-945F-454B7B0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AB"/>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22970"/>
    <w:pPr>
      <w:tabs>
        <w:tab w:val="center" w:pos="4320"/>
        <w:tab w:val="right" w:pos="8640"/>
      </w:tabs>
    </w:pPr>
    <w:rPr>
      <w:sz w:val="19"/>
    </w:rPr>
  </w:style>
  <w:style w:type="character" w:customStyle="1" w:styleId="HeaderChar">
    <w:name w:val="Header Char"/>
    <w:basedOn w:val="DefaultParagraphFont"/>
    <w:link w:val="Header"/>
    <w:uiPriority w:val="99"/>
    <w:semiHidden/>
    <w:rsid w:val="00922970"/>
    <w:rPr>
      <w:rFonts w:eastAsiaTheme="minorEastAsia"/>
      <w:sz w:val="19"/>
      <w:szCs w:val="24"/>
    </w:rPr>
  </w:style>
  <w:style w:type="paragraph" w:styleId="Footer">
    <w:name w:val="footer"/>
    <w:basedOn w:val="Normal"/>
    <w:link w:val="FooterChar"/>
    <w:uiPriority w:val="99"/>
    <w:rsid w:val="00922970"/>
    <w:pPr>
      <w:tabs>
        <w:tab w:val="center" w:pos="4320"/>
        <w:tab w:val="right" w:pos="8640"/>
      </w:tabs>
    </w:pPr>
    <w:rPr>
      <w:sz w:val="19"/>
    </w:rPr>
  </w:style>
  <w:style w:type="character" w:customStyle="1" w:styleId="FooterChar">
    <w:name w:val="Footer Char"/>
    <w:basedOn w:val="DefaultParagraphFont"/>
    <w:link w:val="Footer"/>
    <w:uiPriority w:val="99"/>
    <w:rsid w:val="00922970"/>
    <w:rPr>
      <w:rFonts w:eastAsiaTheme="minorEastAsia"/>
      <w:sz w:val="19"/>
      <w:szCs w:val="24"/>
    </w:rPr>
  </w:style>
  <w:style w:type="character" w:styleId="CommentReference">
    <w:name w:val="annotation reference"/>
    <w:basedOn w:val="DefaultParagraphFont"/>
    <w:uiPriority w:val="99"/>
    <w:semiHidden/>
    <w:unhideWhenUsed/>
    <w:rsid w:val="00922970"/>
    <w:rPr>
      <w:sz w:val="16"/>
      <w:szCs w:val="16"/>
    </w:rPr>
  </w:style>
  <w:style w:type="paragraph" w:styleId="CommentText">
    <w:name w:val="annotation text"/>
    <w:basedOn w:val="Normal"/>
    <w:link w:val="CommentTextChar"/>
    <w:uiPriority w:val="99"/>
    <w:unhideWhenUsed/>
    <w:rsid w:val="00922970"/>
    <w:rPr>
      <w:sz w:val="20"/>
      <w:szCs w:val="20"/>
    </w:rPr>
  </w:style>
  <w:style w:type="character" w:customStyle="1" w:styleId="CommentTextChar">
    <w:name w:val="Comment Text Char"/>
    <w:basedOn w:val="DefaultParagraphFont"/>
    <w:link w:val="CommentText"/>
    <w:uiPriority w:val="99"/>
    <w:rsid w:val="00922970"/>
    <w:rPr>
      <w:rFonts w:eastAsiaTheme="minorEastAsia"/>
      <w:sz w:val="20"/>
      <w:szCs w:val="20"/>
    </w:rPr>
  </w:style>
  <w:style w:type="paragraph" w:styleId="Title">
    <w:name w:val="Title"/>
    <w:basedOn w:val="Normal"/>
    <w:link w:val="TitleChar"/>
    <w:qFormat/>
    <w:rsid w:val="00922970"/>
    <w:pPr>
      <w:jc w:val="center"/>
    </w:pPr>
    <w:rPr>
      <w:rFonts w:ascii="Arial Rounded MT Bold" w:eastAsia="Times New Roman" w:hAnsi="Arial Rounded MT Bold" w:cs="Times New Roman"/>
      <w:b/>
      <w:szCs w:val="20"/>
    </w:rPr>
  </w:style>
  <w:style w:type="character" w:customStyle="1" w:styleId="TitleChar">
    <w:name w:val="Title Char"/>
    <w:basedOn w:val="DefaultParagraphFont"/>
    <w:link w:val="Title"/>
    <w:rsid w:val="00922970"/>
    <w:rPr>
      <w:rFonts w:ascii="Arial Rounded MT Bold" w:eastAsia="Times New Roman" w:hAnsi="Arial Rounded MT Bold" w:cs="Times New Roman"/>
      <w:b/>
      <w:sz w:val="24"/>
      <w:szCs w:val="20"/>
    </w:rPr>
  </w:style>
  <w:style w:type="paragraph" w:styleId="BalloonText">
    <w:name w:val="Balloon Text"/>
    <w:basedOn w:val="Normal"/>
    <w:link w:val="BalloonTextChar"/>
    <w:uiPriority w:val="99"/>
    <w:semiHidden/>
    <w:unhideWhenUsed/>
    <w:rsid w:val="00922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70"/>
    <w:rPr>
      <w:rFonts w:ascii="Segoe UI" w:eastAsiaTheme="minorEastAsia" w:hAnsi="Segoe UI" w:cs="Segoe UI"/>
      <w:sz w:val="18"/>
      <w:szCs w:val="18"/>
    </w:rPr>
  </w:style>
  <w:style w:type="paragraph" w:customStyle="1" w:styleId="Normal-em">
    <w:name w:val="Normal-em"/>
    <w:basedOn w:val="Normal"/>
    <w:rsid w:val="00922970"/>
    <w:rPr>
      <w:rFonts w:eastAsia="Times New Roman" w:cs="Times New Roman"/>
      <w:color w:val="000000"/>
      <w:szCs w:val="20"/>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8A178F"/>
    <w:pPr>
      <w:ind w:left="720"/>
      <w:contextualSpacing/>
    </w:pPr>
  </w:style>
  <w:style w:type="paragraph" w:styleId="CommentSubject">
    <w:name w:val="annotation subject"/>
    <w:basedOn w:val="CommentText"/>
    <w:next w:val="CommentText"/>
    <w:link w:val="CommentSubjectChar"/>
    <w:uiPriority w:val="99"/>
    <w:semiHidden/>
    <w:unhideWhenUsed/>
    <w:rsid w:val="003E0DA1"/>
    <w:rPr>
      <w:b/>
      <w:bCs/>
    </w:rPr>
  </w:style>
  <w:style w:type="character" w:customStyle="1" w:styleId="CommentSubjectChar">
    <w:name w:val="Comment Subject Char"/>
    <w:basedOn w:val="CommentTextChar"/>
    <w:link w:val="CommentSubject"/>
    <w:uiPriority w:val="99"/>
    <w:semiHidden/>
    <w:rsid w:val="003E0DA1"/>
    <w:rPr>
      <w:rFonts w:eastAsiaTheme="minorEastAsia"/>
      <w:b/>
      <w:bCs/>
      <w:sz w:val="20"/>
      <w:szCs w:val="20"/>
    </w:rPr>
  </w:style>
  <w:style w:type="character" w:styleId="Hyperlink">
    <w:name w:val="Hyperlink"/>
    <w:basedOn w:val="DefaultParagraphFont"/>
    <w:uiPriority w:val="99"/>
    <w:unhideWhenUsed/>
    <w:rsid w:val="00D57DBE"/>
    <w:rPr>
      <w:color w:val="0563C1" w:themeColor="hyperlink"/>
      <w:u w:val="single"/>
    </w:rPr>
  </w:style>
  <w:style w:type="character" w:styleId="FollowedHyperlink">
    <w:name w:val="FollowedHyperlink"/>
    <w:basedOn w:val="DefaultParagraphFont"/>
    <w:uiPriority w:val="99"/>
    <w:semiHidden/>
    <w:unhideWhenUsed/>
    <w:rsid w:val="00F828F1"/>
    <w:rPr>
      <w:color w:val="954F72" w:themeColor="followedHyperlink"/>
      <w:u w:val="single"/>
    </w:rPr>
  </w:style>
  <w:style w:type="paragraph" w:styleId="Revision">
    <w:name w:val="Revision"/>
    <w:hidden/>
    <w:uiPriority w:val="99"/>
    <w:semiHidden/>
    <w:rsid w:val="001B32AE"/>
    <w:pPr>
      <w:spacing w:after="0" w:line="240" w:lineRule="auto"/>
    </w:pPr>
    <w:rPr>
      <w:rFonts w:eastAsiaTheme="minorEastAsia"/>
      <w:szCs w:val="24"/>
    </w:rPr>
  </w:style>
  <w:style w:type="paragraph" w:customStyle="1" w:styleId="Tabletext">
    <w:name w:val="Tabletext"/>
    <w:aliases w:val="tt"/>
    <w:basedOn w:val="Normal"/>
    <w:rsid w:val="00AF7F94"/>
    <w:pPr>
      <w:spacing w:before="60" w:line="240" w:lineRule="atLeast"/>
    </w:pPr>
    <w:rPr>
      <w:rFonts w:eastAsia="Times New Roman" w:cs="Times New Roman"/>
      <w:sz w:val="20"/>
      <w:szCs w:val="20"/>
      <w:lang w:eastAsia="en-AU"/>
    </w:rPr>
  </w:style>
  <w:style w:type="paragraph" w:customStyle="1" w:styleId="Default">
    <w:name w:val="Default"/>
    <w:rsid w:val="005346D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2E5323"/>
    <w:rPr>
      <w:rFonts w:ascii="Times New Roman" w:eastAsiaTheme="minorEastAsia" w:hAnsi="Times New Roman"/>
      <w:sz w:val="24"/>
      <w:szCs w:val="24"/>
    </w:rPr>
  </w:style>
  <w:style w:type="table" w:styleId="TableGrid">
    <w:name w:val="Table Grid"/>
    <w:basedOn w:val="TableNormal"/>
    <w:rsid w:val="002E5323"/>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basedOn w:val="Normal"/>
    <w:link w:val="subsectionChar"/>
    <w:rsid w:val="009122E8"/>
    <w:pPr>
      <w:tabs>
        <w:tab w:val="right" w:pos="1021"/>
      </w:tabs>
      <w:spacing w:before="180"/>
      <w:ind w:left="1134" w:hanging="1134"/>
    </w:pPr>
    <w:rPr>
      <w:rFonts w:eastAsia="Times New Roman" w:cs="Times New Roman"/>
      <w:sz w:val="22"/>
      <w:szCs w:val="20"/>
      <w:lang w:eastAsia="en-AU"/>
    </w:rPr>
  </w:style>
  <w:style w:type="paragraph" w:customStyle="1" w:styleId="paragraphsub">
    <w:name w:val="paragraph(sub)"/>
    <w:aliases w:val="aa"/>
    <w:basedOn w:val="Normal"/>
    <w:rsid w:val="009122E8"/>
    <w:pPr>
      <w:tabs>
        <w:tab w:val="right" w:pos="1985"/>
      </w:tabs>
      <w:spacing w:before="40"/>
      <w:ind w:left="2098" w:hanging="2098"/>
    </w:pPr>
    <w:rPr>
      <w:rFonts w:eastAsia="Times New Roman" w:cs="Times New Roman"/>
      <w:sz w:val="22"/>
      <w:szCs w:val="20"/>
      <w:lang w:eastAsia="en-AU"/>
    </w:rPr>
  </w:style>
  <w:style w:type="paragraph" w:customStyle="1" w:styleId="paragraph">
    <w:name w:val="paragraph"/>
    <w:aliases w:val="a"/>
    <w:basedOn w:val="Normal"/>
    <w:rsid w:val="009122E8"/>
    <w:pPr>
      <w:tabs>
        <w:tab w:val="right" w:pos="1531"/>
      </w:tabs>
      <w:spacing w:before="40"/>
      <w:ind w:left="1644" w:hanging="1644"/>
    </w:pPr>
    <w:rPr>
      <w:rFonts w:eastAsia="Times New Roman" w:cs="Times New Roman"/>
      <w:sz w:val="22"/>
      <w:szCs w:val="20"/>
      <w:lang w:eastAsia="en-AU"/>
    </w:rPr>
  </w:style>
  <w:style w:type="character" w:customStyle="1" w:styleId="subsectionChar">
    <w:name w:val="subsection Char"/>
    <w:aliases w:val="ss Char"/>
    <w:link w:val="subsection"/>
    <w:locked/>
    <w:rsid w:val="009122E8"/>
    <w:rPr>
      <w:rFonts w:ascii="Times New Roman" w:eastAsia="Times New Roman" w:hAnsi="Times New Roman" w:cs="Times New Roman"/>
      <w:szCs w:val="20"/>
      <w:lang w:eastAsia="en-AU"/>
    </w:rPr>
  </w:style>
  <w:style w:type="paragraph" w:customStyle="1" w:styleId="Definition">
    <w:name w:val="Definition"/>
    <w:aliases w:val="dd"/>
    <w:basedOn w:val="Normal"/>
    <w:rsid w:val="00F97562"/>
    <w:pPr>
      <w:spacing w:before="180"/>
      <w:ind w:left="1134"/>
    </w:pPr>
    <w:rPr>
      <w:rFonts w:eastAsia="Times New Roman" w:cs="Times New Roman"/>
      <w:sz w:val="22"/>
      <w:szCs w:val="20"/>
      <w:lang w:eastAsia="en-AU"/>
    </w:rPr>
  </w:style>
  <w:style w:type="paragraph" w:customStyle="1" w:styleId="ActHead5">
    <w:name w:val="ActHead 5"/>
    <w:aliases w:val="s"/>
    <w:basedOn w:val="Normal"/>
    <w:next w:val="subsection"/>
    <w:qFormat/>
    <w:rsid w:val="00600818"/>
    <w:pPr>
      <w:keepNext/>
      <w:keepLines/>
      <w:spacing w:before="280"/>
      <w:ind w:left="1134" w:hanging="1134"/>
      <w:outlineLvl w:val="4"/>
    </w:pPr>
    <w:rPr>
      <w:rFonts w:eastAsia="Times New Roman" w:cs="Times New Roman"/>
      <w:b/>
      <w:kern w:val="28"/>
      <w:szCs w:val="20"/>
      <w:lang w:eastAsia="en-AU"/>
    </w:rPr>
  </w:style>
  <w:style w:type="character" w:customStyle="1" w:styleId="CharSectno">
    <w:name w:val="CharSectno"/>
    <w:basedOn w:val="DefaultParagraphFont"/>
    <w:qFormat/>
    <w:rsid w:val="00600818"/>
  </w:style>
  <w:style w:type="paragraph" w:customStyle="1" w:styleId="notetext">
    <w:name w:val="note(text)"/>
    <w:aliases w:val="n"/>
    <w:basedOn w:val="Normal"/>
    <w:link w:val="notetextChar"/>
    <w:rsid w:val="00600818"/>
    <w:pPr>
      <w:spacing w:before="122"/>
      <w:ind w:left="1985" w:hanging="851"/>
    </w:pPr>
    <w:rPr>
      <w:rFonts w:eastAsia="Times New Roman" w:cs="Times New Roman"/>
      <w:sz w:val="18"/>
      <w:szCs w:val="20"/>
      <w:lang w:eastAsia="en-AU"/>
    </w:rPr>
  </w:style>
  <w:style w:type="character" w:customStyle="1" w:styleId="notetextChar">
    <w:name w:val="note(text) Char"/>
    <w:aliases w:val="n Char"/>
    <w:link w:val="notetext"/>
    <w:rsid w:val="00600818"/>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B52E3A"/>
    <w:pPr>
      <w:spacing w:before="40"/>
      <w:ind w:left="1134"/>
    </w:pPr>
    <w:rPr>
      <w:rFonts w:eastAsia="Times New Roman" w:cs="Times New Roman"/>
      <w:sz w:val="22"/>
      <w:szCs w:val="20"/>
      <w:lang w:eastAsia="en-AU"/>
    </w:rPr>
  </w:style>
  <w:style w:type="paragraph" w:styleId="BodyTextIndent">
    <w:name w:val="Body Text Indent"/>
    <w:basedOn w:val="Normal"/>
    <w:link w:val="BodyTextIndentChar"/>
    <w:rsid w:val="000C5B2D"/>
    <w:pPr>
      <w:overflowPunct w:val="0"/>
      <w:autoSpaceDE w:val="0"/>
      <w:autoSpaceDN w:val="0"/>
      <w:adjustRightInd w:val="0"/>
      <w:spacing w:after="120"/>
      <w:ind w:left="283"/>
      <w:textAlignment w:val="baseline"/>
    </w:pPr>
    <w:rPr>
      <w:rFonts w:eastAsia="Times New Roman" w:cs="Times New Roman"/>
      <w:szCs w:val="20"/>
    </w:rPr>
  </w:style>
  <w:style w:type="character" w:customStyle="1" w:styleId="BodyTextIndentChar">
    <w:name w:val="Body Text Indent Char"/>
    <w:basedOn w:val="DefaultParagraphFont"/>
    <w:link w:val="BodyTextIndent"/>
    <w:rsid w:val="000C5B2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D56C25"/>
  </w:style>
  <w:style w:type="table" w:customStyle="1" w:styleId="TableGrid1">
    <w:name w:val="Table Grid1"/>
    <w:basedOn w:val="TableNormal"/>
    <w:next w:val="TableGrid"/>
    <w:rsid w:val="00D56C25"/>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4551"/>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clistbullet">
    <w:name w:val="anoc list bullet"/>
    <w:basedOn w:val="ListParagraph"/>
    <w:link w:val="anoclistbulletChar"/>
    <w:qFormat/>
    <w:rsid w:val="00884690"/>
    <w:pPr>
      <w:numPr>
        <w:numId w:val="84"/>
      </w:numPr>
    </w:pPr>
    <w:rPr>
      <w:rFonts w:eastAsia="Times New Roman" w:cs="Times New Roman"/>
      <w:color w:val="000000"/>
      <w:lang w:eastAsia="en-AU"/>
    </w:rPr>
  </w:style>
  <w:style w:type="character" w:customStyle="1" w:styleId="anoclistbulletChar">
    <w:name w:val="anoc list bullet Char"/>
    <w:basedOn w:val="DefaultParagraphFont"/>
    <w:link w:val="anoclistbullet"/>
    <w:rsid w:val="00884690"/>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865">
      <w:bodyDiv w:val="1"/>
      <w:marLeft w:val="0"/>
      <w:marRight w:val="0"/>
      <w:marTop w:val="0"/>
      <w:marBottom w:val="0"/>
      <w:divBdr>
        <w:top w:val="none" w:sz="0" w:space="0" w:color="auto"/>
        <w:left w:val="none" w:sz="0" w:space="0" w:color="auto"/>
        <w:bottom w:val="none" w:sz="0" w:space="0" w:color="auto"/>
        <w:right w:val="none" w:sz="0" w:space="0" w:color="auto"/>
      </w:divBdr>
    </w:div>
    <w:div w:id="140540898">
      <w:bodyDiv w:val="1"/>
      <w:marLeft w:val="0"/>
      <w:marRight w:val="0"/>
      <w:marTop w:val="0"/>
      <w:marBottom w:val="0"/>
      <w:divBdr>
        <w:top w:val="none" w:sz="0" w:space="0" w:color="auto"/>
        <w:left w:val="none" w:sz="0" w:space="0" w:color="auto"/>
        <w:bottom w:val="none" w:sz="0" w:space="0" w:color="auto"/>
        <w:right w:val="none" w:sz="0" w:space="0" w:color="auto"/>
      </w:divBdr>
      <w:divsChild>
        <w:div w:id="366569376">
          <w:marLeft w:val="0"/>
          <w:marRight w:val="0"/>
          <w:marTop w:val="0"/>
          <w:marBottom w:val="0"/>
          <w:divBdr>
            <w:top w:val="none" w:sz="0" w:space="0" w:color="auto"/>
            <w:left w:val="none" w:sz="0" w:space="0" w:color="auto"/>
            <w:bottom w:val="none" w:sz="0" w:space="0" w:color="auto"/>
            <w:right w:val="none" w:sz="0" w:space="0" w:color="auto"/>
          </w:divBdr>
          <w:divsChild>
            <w:div w:id="1581403926">
              <w:marLeft w:val="0"/>
              <w:marRight w:val="0"/>
              <w:marTop w:val="0"/>
              <w:marBottom w:val="0"/>
              <w:divBdr>
                <w:top w:val="none" w:sz="0" w:space="0" w:color="auto"/>
                <w:left w:val="none" w:sz="0" w:space="0" w:color="auto"/>
                <w:bottom w:val="none" w:sz="0" w:space="0" w:color="auto"/>
                <w:right w:val="none" w:sz="0" w:space="0" w:color="auto"/>
              </w:divBdr>
              <w:divsChild>
                <w:div w:id="18167267">
                  <w:marLeft w:val="0"/>
                  <w:marRight w:val="0"/>
                  <w:marTop w:val="0"/>
                  <w:marBottom w:val="0"/>
                  <w:divBdr>
                    <w:top w:val="none" w:sz="0" w:space="0" w:color="auto"/>
                    <w:left w:val="none" w:sz="0" w:space="0" w:color="auto"/>
                    <w:bottom w:val="none" w:sz="0" w:space="0" w:color="auto"/>
                    <w:right w:val="none" w:sz="0" w:space="0" w:color="auto"/>
                  </w:divBdr>
                  <w:divsChild>
                    <w:div w:id="75830333">
                      <w:marLeft w:val="0"/>
                      <w:marRight w:val="0"/>
                      <w:marTop w:val="0"/>
                      <w:marBottom w:val="0"/>
                      <w:divBdr>
                        <w:top w:val="none" w:sz="0" w:space="0" w:color="auto"/>
                        <w:left w:val="none" w:sz="0" w:space="0" w:color="auto"/>
                        <w:bottom w:val="none" w:sz="0" w:space="0" w:color="auto"/>
                        <w:right w:val="none" w:sz="0" w:space="0" w:color="auto"/>
                      </w:divBdr>
                      <w:divsChild>
                        <w:div w:id="1049694106">
                          <w:marLeft w:val="0"/>
                          <w:marRight w:val="0"/>
                          <w:marTop w:val="0"/>
                          <w:marBottom w:val="0"/>
                          <w:divBdr>
                            <w:top w:val="none" w:sz="0" w:space="0" w:color="auto"/>
                            <w:left w:val="none" w:sz="0" w:space="0" w:color="auto"/>
                            <w:bottom w:val="none" w:sz="0" w:space="0" w:color="auto"/>
                            <w:right w:val="none" w:sz="0" w:space="0" w:color="auto"/>
                          </w:divBdr>
                          <w:divsChild>
                            <w:div w:id="1797019582">
                              <w:marLeft w:val="0"/>
                              <w:marRight w:val="0"/>
                              <w:marTop w:val="0"/>
                              <w:marBottom w:val="0"/>
                              <w:divBdr>
                                <w:top w:val="single" w:sz="6" w:space="0" w:color="828282"/>
                                <w:left w:val="single" w:sz="6" w:space="0" w:color="828282"/>
                                <w:bottom w:val="single" w:sz="6" w:space="0" w:color="828282"/>
                                <w:right w:val="single" w:sz="6" w:space="0" w:color="828282"/>
                              </w:divBdr>
                              <w:divsChild>
                                <w:div w:id="1211578511">
                                  <w:marLeft w:val="0"/>
                                  <w:marRight w:val="0"/>
                                  <w:marTop w:val="0"/>
                                  <w:marBottom w:val="0"/>
                                  <w:divBdr>
                                    <w:top w:val="none" w:sz="0" w:space="0" w:color="auto"/>
                                    <w:left w:val="none" w:sz="0" w:space="0" w:color="auto"/>
                                    <w:bottom w:val="none" w:sz="0" w:space="0" w:color="auto"/>
                                    <w:right w:val="none" w:sz="0" w:space="0" w:color="auto"/>
                                  </w:divBdr>
                                  <w:divsChild>
                                    <w:div w:id="227804923">
                                      <w:marLeft w:val="0"/>
                                      <w:marRight w:val="0"/>
                                      <w:marTop w:val="0"/>
                                      <w:marBottom w:val="0"/>
                                      <w:divBdr>
                                        <w:top w:val="none" w:sz="0" w:space="0" w:color="auto"/>
                                        <w:left w:val="none" w:sz="0" w:space="0" w:color="auto"/>
                                        <w:bottom w:val="none" w:sz="0" w:space="0" w:color="auto"/>
                                        <w:right w:val="none" w:sz="0" w:space="0" w:color="auto"/>
                                      </w:divBdr>
                                      <w:divsChild>
                                        <w:div w:id="529222375">
                                          <w:marLeft w:val="0"/>
                                          <w:marRight w:val="0"/>
                                          <w:marTop w:val="0"/>
                                          <w:marBottom w:val="0"/>
                                          <w:divBdr>
                                            <w:top w:val="none" w:sz="0" w:space="0" w:color="auto"/>
                                            <w:left w:val="none" w:sz="0" w:space="0" w:color="auto"/>
                                            <w:bottom w:val="none" w:sz="0" w:space="0" w:color="auto"/>
                                            <w:right w:val="none" w:sz="0" w:space="0" w:color="auto"/>
                                          </w:divBdr>
                                          <w:divsChild>
                                            <w:div w:id="2092458004">
                                              <w:marLeft w:val="0"/>
                                              <w:marRight w:val="0"/>
                                              <w:marTop w:val="0"/>
                                              <w:marBottom w:val="0"/>
                                              <w:divBdr>
                                                <w:top w:val="none" w:sz="0" w:space="0" w:color="auto"/>
                                                <w:left w:val="none" w:sz="0" w:space="0" w:color="auto"/>
                                                <w:bottom w:val="none" w:sz="0" w:space="0" w:color="auto"/>
                                                <w:right w:val="none" w:sz="0" w:space="0" w:color="auto"/>
                                              </w:divBdr>
                                              <w:divsChild>
                                                <w:div w:id="1955556096">
                                                  <w:marLeft w:val="0"/>
                                                  <w:marRight w:val="0"/>
                                                  <w:marTop w:val="0"/>
                                                  <w:marBottom w:val="0"/>
                                                  <w:divBdr>
                                                    <w:top w:val="none" w:sz="0" w:space="0" w:color="auto"/>
                                                    <w:left w:val="none" w:sz="0" w:space="0" w:color="auto"/>
                                                    <w:bottom w:val="none" w:sz="0" w:space="0" w:color="auto"/>
                                                    <w:right w:val="none" w:sz="0" w:space="0" w:color="auto"/>
                                                  </w:divBdr>
                                                  <w:divsChild>
                                                    <w:div w:id="1393312062">
                                                      <w:marLeft w:val="0"/>
                                                      <w:marRight w:val="0"/>
                                                      <w:marTop w:val="0"/>
                                                      <w:marBottom w:val="0"/>
                                                      <w:divBdr>
                                                        <w:top w:val="none" w:sz="0" w:space="0" w:color="auto"/>
                                                        <w:left w:val="none" w:sz="0" w:space="0" w:color="auto"/>
                                                        <w:bottom w:val="none" w:sz="0" w:space="0" w:color="auto"/>
                                                        <w:right w:val="none" w:sz="0" w:space="0" w:color="auto"/>
                                                      </w:divBdr>
                                                      <w:divsChild>
                                                        <w:div w:id="14359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903268">
      <w:bodyDiv w:val="1"/>
      <w:marLeft w:val="0"/>
      <w:marRight w:val="0"/>
      <w:marTop w:val="0"/>
      <w:marBottom w:val="0"/>
      <w:divBdr>
        <w:top w:val="none" w:sz="0" w:space="0" w:color="auto"/>
        <w:left w:val="none" w:sz="0" w:space="0" w:color="auto"/>
        <w:bottom w:val="none" w:sz="0" w:space="0" w:color="auto"/>
        <w:right w:val="none" w:sz="0" w:space="0" w:color="auto"/>
      </w:divBdr>
    </w:div>
    <w:div w:id="440346531">
      <w:bodyDiv w:val="1"/>
      <w:marLeft w:val="0"/>
      <w:marRight w:val="0"/>
      <w:marTop w:val="0"/>
      <w:marBottom w:val="0"/>
      <w:divBdr>
        <w:top w:val="none" w:sz="0" w:space="0" w:color="auto"/>
        <w:left w:val="none" w:sz="0" w:space="0" w:color="auto"/>
        <w:bottom w:val="none" w:sz="0" w:space="0" w:color="auto"/>
        <w:right w:val="none" w:sz="0" w:space="0" w:color="auto"/>
      </w:divBdr>
      <w:divsChild>
        <w:div w:id="60452142">
          <w:marLeft w:val="0"/>
          <w:marRight w:val="0"/>
          <w:marTop w:val="0"/>
          <w:marBottom w:val="0"/>
          <w:divBdr>
            <w:top w:val="none" w:sz="0" w:space="0" w:color="auto"/>
            <w:left w:val="none" w:sz="0" w:space="0" w:color="auto"/>
            <w:bottom w:val="none" w:sz="0" w:space="0" w:color="auto"/>
            <w:right w:val="none" w:sz="0" w:space="0" w:color="auto"/>
          </w:divBdr>
          <w:divsChild>
            <w:div w:id="425227092">
              <w:marLeft w:val="0"/>
              <w:marRight w:val="0"/>
              <w:marTop w:val="0"/>
              <w:marBottom w:val="0"/>
              <w:divBdr>
                <w:top w:val="none" w:sz="0" w:space="0" w:color="auto"/>
                <w:left w:val="none" w:sz="0" w:space="0" w:color="auto"/>
                <w:bottom w:val="none" w:sz="0" w:space="0" w:color="auto"/>
                <w:right w:val="none" w:sz="0" w:space="0" w:color="auto"/>
              </w:divBdr>
              <w:divsChild>
                <w:div w:id="56784081">
                  <w:marLeft w:val="0"/>
                  <w:marRight w:val="0"/>
                  <w:marTop w:val="0"/>
                  <w:marBottom w:val="0"/>
                  <w:divBdr>
                    <w:top w:val="none" w:sz="0" w:space="0" w:color="auto"/>
                    <w:left w:val="none" w:sz="0" w:space="0" w:color="auto"/>
                    <w:bottom w:val="none" w:sz="0" w:space="0" w:color="auto"/>
                    <w:right w:val="none" w:sz="0" w:space="0" w:color="auto"/>
                  </w:divBdr>
                  <w:divsChild>
                    <w:div w:id="114104061">
                      <w:marLeft w:val="0"/>
                      <w:marRight w:val="0"/>
                      <w:marTop w:val="0"/>
                      <w:marBottom w:val="0"/>
                      <w:divBdr>
                        <w:top w:val="none" w:sz="0" w:space="0" w:color="auto"/>
                        <w:left w:val="none" w:sz="0" w:space="0" w:color="auto"/>
                        <w:bottom w:val="none" w:sz="0" w:space="0" w:color="auto"/>
                        <w:right w:val="none" w:sz="0" w:space="0" w:color="auto"/>
                      </w:divBdr>
                      <w:divsChild>
                        <w:div w:id="7574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1094">
      <w:bodyDiv w:val="1"/>
      <w:marLeft w:val="0"/>
      <w:marRight w:val="0"/>
      <w:marTop w:val="0"/>
      <w:marBottom w:val="0"/>
      <w:divBdr>
        <w:top w:val="none" w:sz="0" w:space="0" w:color="auto"/>
        <w:left w:val="none" w:sz="0" w:space="0" w:color="auto"/>
        <w:bottom w:val="none" w:sz="0" w:space="0" w:color="auto"/>
        <w:right w:val="none" w:sz="0" w:space="0" w:color="auto"/>
      </w:divBdr>
    </w:div>
    <w:div w:id="594754359">
      <w:bodyDiv w:val="1"/>
      <w:marLeft w:val="0"/>
      <w:marRight w:val="0"/>
      <w:marTop w:val="0"/>
      <w:marBottom w:val="0"/>
      <w:divBdr>
        <w:top w:val="none" w:sz="0" w:space="0" w:color="auto"/>
        <w:left w:val="none" w:sz="0" w:space="0" w:color="auto"/>
        <w:bottom w:val="none" w:sz="0" w:space="0" w:color="auto"/>
        <w:right w:val="none" w:sz="0" w:space="0" w:color="auto"/>
      </w:divBdr>
    </w:div>
    <w:div w:id="699937362">
      <w:bodyDiv w:val="1"/>
      <w:marLeft w:val="0"/>
      <w:marRight w:val="0"/>
      <w:marTop w:val="0"/>
      <w:marBottom w:val="0"/>
      <w:divBdr>
        <w:top w:val="none" w:sz="0" w:space="0" w:color="auto"/>
        <w:left w:val="none" w:sz="0" w:space="0" w:color="auto"/>
        <w:bottom w:val="none" w:sz="0" w:space="0" w:color="auto"/>
        <w:right w:val="none" w:sz="0" w:space="0" w:color="auto"/>
      </w:divBdr>
    </w:div>
    <w:div w:id="706755867">
      <w:bodyDiv w:val="1"/>
      <w:marLeft w:val="0"/>
      <w:marRight w:val="0"/>
      <w:marTop w:val="0"/>
      <w:marBottom w:val="0"/>
      <w:divBdr>
        <w:top w:val="none" w:sz="0" w:space="0" w:color="auto"/>
        <w:left w:val="none" w:sz="0" w:space="0" w:color="auto"/>
        <w:bottom w:val="none" w:sz="0" w:space="0" w:color="auto"/>
        <w:right w:val="none" w:sz="0" w:space="0" w:color="auto"/>
      </w:divBdr>
    </w:div>
    <w:div w:id="1003583926">
      <w:bodyDiv w:val="1"/>
      <w:marLeft w:val="0"/>
      <w:marRight w:val="0"/>
      <w:marTop w:val="0"/>
      <w:marBottom w:val="0"/>
      <w:divBdr>
        <w:top w:val="none" w:sz="0" w:space="0" w:color="auto"/>
        <w:left w:val="none" w:sz="0" w:space="0" w:color="auto"/>
        <w:bottom w:val="none" w:sz="0" w:space="0" w:color="auto"/>
        <w:right w:val="none" w:sz="0" w:space="0" w:color="auto"/>
      </w:divBdr>
    </w:div>
    <w:div w:id="1054894821">
      <w:bodyDiv w:val="1"/>
      <w:marLeft w:val="0"/>
      <w:marRight w:val="0"/>
      <w:marTop w:val="0"/>
      <w:marBottom w:val="0"/>
      <w:divBdr>
        <w:top w:val="none" w:sz="0" w:space="0" w:color="auto"/>
        <w:left w:val="none" w:sz="0" w:space="0" w:color="auto"/>
        <w:bottom w:val="none" w:sz="0" w:space="0" w:color="auto"/>
        <w:right w:val="none" w:sz="0" w:space="0" w:color="auto"/>
      </w:divBdr>
    </w:div>
    <w:div w:id="1471172606">
      <w:bodyDiv w:val="1"/>
      <w:marLeft w:val="0"/>
      <w:marRight w:val="0"/>
      <w:marTop w:val="0"/>
      <w:marBottom w:val="0"/>
      <w:divBdr>
        <w:top w:val="none" w:sz="0" w:space="0" w:color="auto"/>
        <w:left w:val="none" w:sz="0" w:space="0" w:color="auto"/>
        <w:bottom w:val="none" w:sz="0" w:space="0" w:color="auto"/>
        <w:right w:val="none" w:sz="0" w:space="0" w:color="auto"/>
      </w:divBdr>
    </w:div>
    <w:div w:id="1732732871">
      <w:bodyDiv w:val="1"/>
      <w:marLeft w:val="0"/>
      <w:marRight w:val="0"/>
      <w:marTop w:val="0"/>
      <w:marBottom w:val="0"/>
      <w:divBdr>
        <w:top w:val="none" w:sz="0" w:space="0" w:color="auto"/>
        <w:left w:val="none" w:sz="0" w:space="0" w:color="auto"/>
        <w:bottom w:val="none" w:sz="0" w:space="0" w:color="auto"/>
        <w:right w:val="none" w:sz="0" w:space="0" w:color="auto"/>
      </w:divBdr>
    </w:div>
    <w:div w:id="1774009836">
      <w:bodyDiv w:val="1"/>
      <w:marLeft w:val="0"/>
      <w:marRight w:val="0"/>
      <w:marTop w:val="0"/>
      <w:marBottom w:val="0"/>
      <w:divBdr>
        <w:top w:val="none" w:sz="0" w:space="0" w:color="auto"/>
        <w:left w:val="none" w:sz="0" w:space="0" w:color="auto"/>
        <w:bottom w:val="none" w:sz="0" w:space="0" w:color="auto"/>
        <w:right w:val="none" w:sz="0" w:space="0" w:color="auto"/>
      </w:divBdr>
    </w:div>
    <w:div w:id="1795635902">
      <w:bodyDiv w:val="1"/>
      <w:marLeft w:val="0"/>
      <w:marRight w:val="0"/>
      <w:marTop w:val="0"/>
      <w:marBottom w:val="0"/>
      <w:divBdr>
        <w:top w:val="none" w:sz="0" w:space="0" w:color="auto"/>
        <w:left w:val="none" w:sz="0" w:space="0" w:color="auto"/>
        <w:bottom w:val="none" w:sz="0" w:space="0" w:color="auto"/>
        <w:right w:val="none" w:sz="0" w:space="0" w:color="auto"/>
      </w:divBdr>
    </w:div>
    <w:div w:id="20932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0768-37E3-426A-A9A2-3C7B31AF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Martin, Lara</cp:lastModifiedBy>
  <cp:revision>3</cp:revision>
  <cp:lastPrinted>2016-05-16T23:20:00Z</cp:lastPrinted>
  <dcterms:created xsi:type="dcterms:W3CDTF">2016-05-23T04:27:00Z</dcterms:created>
  <dcterms:modified xsi:type="dcterms:W3CDTF">2016-05-23T04:29:00Z</dcterms:modified>
</cp:coreProperties>
</file>