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21FC" w14:textId="5F9367A5" w:rsidR="00A37E45" w:rsidRPr="005C2C38" w:rsidRDefault="00B41715" w:rsidP="005C2C38">
      <w:pPr>
        <w:spacing w:before="63" w:after="100" w:afterAutospacing="1" w:line="477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0" w:name="_GoBack"/>
      <w:bookmarkEnd w:id="0"/>
      <w:r w:rsidRPr="00B41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EXPLANATORY</w:t>
      </w:r>
      <w:r w:rsidRPr="00B41715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eastAsia="en-AU"/>
        </w:rPr>
        <w:t xml:space="preserve"> </w:t>
      </w:r>
      <w:r w:rsidRPr="00B417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en-AU"/>
        </w:rPr>
        <w:t xml:space="preserve">STATEMENT for </w:t>
      </w:r>
      <w:r w:rsidRPr="00B417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en-AU"/>
        </w:rPr>
        <w:br/>
      </w:r>
      <w:r w:rsidR="005C2C38" w:rsidRP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ASIC Corporations (</w:t>
      </w:r>
      <w:r w:rsid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Financial </w:t>
      </w:r>
      <w:r w:rsidR="00EE125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P</w:t>
      </w:r>
      <w:r w:rsid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roduct </w:t>
      </w:r>
      <w:r w:rsidR="00EE125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A</w:t>
      </w:r>
      <w:r w:rsid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dvice – </w:t>
      </w:r>
      <w:r w:rsidR="00EE125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Exempt D</w:t>
      </w:r>
      <w:r w:rsidR="005C2C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ocuments) Instrument 2016/</w:t>
      </w:r>
      <w:r w:rsidR="00F82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356</w:t>
      </w:r>
      <w:r w:rsidR="00DE5E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 xml:space="preserve">; and </w:t>
      </w:r>
      <w:r w:rsidR="00A37E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ASIC Corporations (Repeal) Instrument 2016/452</w:t>
      </w:r>
    </w:p>
    <w:p w14:paraId="0C6CB941" w14:textId="77777777" w:rsidR="005C2C38" w:rsidRPr="00D528EE" w:rsidRDefault="005C2C38" w:rsidP="005C2C38">
      <w:pPr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sz w:val="24"/>
          <w:szCs w:val="24"/>
          <w:lang w:val="en-US" w:eastAsia="en-AU"/>
        </w:rPr>
      </w:pPr>
      <w:r w:rsidRPr="00D528EE">
        <w:rPr>
          <w:rFonts w:ascii="Helvetica Neue" w:eastAsia="Times New Roman" w:hAnsi="Helvetica Neue" w:cs="Times New Roman"/>
          <w:sz w:val="24"/>
          <w:szCs w:val="24"/>
          <w:lang w:eastAsia="en-AU"/>
        </w:rPr>
        <w:t>Prepared by the Australian Securities and Investments Commission</w:t>
      </w:r>
    </w:p>
    <w:p w14:paraId="07FE50C4" w14:textId="77777777" w:rsidR="00DE5E75" w:rsidRDefault="005C2C38" w:rsidP="00DE5E75">
      <w:pPr>
        <w:spacing w:before="4" w:after="100" w:afterAutospacing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55E97B44" w14:textId="426D1D82" w:rsidR="005C2C38" w:rsidRPr="00D528EE" w:rsidRDefault="005C2C38" w:rsidP="00DE5E75">
      <w:pPr>
        <w:spacing w:before="4" w:after="100" w:afterAutospacing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528E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Corporations Act 2001</w:t>
      </w:r>
    </w:p>
    <w:p w14:paraId="792ABCB0" w14:textId="77777777" w:rsidR="00B41715" w:rsidRPr="00D528EE" w:rsidRDefault="00B41715" w:rsidP="00B41715">
      <w:pPr>
        <w:spacing w:before="3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09E396B" w14:textId="4C8951BE" w:rsidR="005C2C38" w:rsidRPr="00D528EE" w:rsidRDefault="005C2C38" w:rsidP="005C2C38">
      <w:pPr>
        <w:pStyle w:val="BodyText"/>
        <w:spacing w:line="259" w:lineRule="auto"/>
        <w:rPr>
          <w:lang w:val="en-US"/>
        </w:rPr>
      </w:pPr>
      <w:r w:rsidRPr="00D528EE">
        <w:t xml:space="preserve">The Australian Securities and </w:t>
      </w:r>
      <w:r w:rsidRPr="00D528EE">
        <w:rPr>
          <w:spacing w:val="-1"/>
        </w:rPr>
        <w:t>Investments</w:t>
      </w:r>
      <w:r w:rsidRPr="00D528EE">
        <w:t xml:space="preserve"> </w:t>
      </w:r>
      <w:r w:rsidRPr="00D528EE">
        <w:rPr>
          <w:spacing w:val="-1"/>
        </w:rPr>
        <w:t>Commission</w:t>
      </w:r>
      <w:r w:rsidRPr="00D528EE">
        <w:t xml:space="preserve"> (ASIC) </w:t>
      </w:r>
      <w:r w:rsidRPr="00D528EE">
        <w:rPr>
          <w:spacing w:val="-1"/>
        </w:rPr>
        <w:t>makes</w:t>
      </w:r>
      <w:r w:rsidR="00F822C2" w:rsidRPr="00DE5E75">
        <w:rPr>
          <w:i/>
          <w:spacing w:val="-1"/>
        </w:rPr>
        <w:t xml:space="preserve"> </w:t>
      </w:r>
      <w:r w:rsidR="00A37E45" w:rsidRPr="00DE5E75">
        <w:rPr>
          <w:i/>
          <w:color w:val="000000"/>
        </w:rPr>
        <w:t>ASIC Corporations (Financial Product Advice—Exempt D</w:t>
      </w:r>
      <w:r w:rsidR="002E7CA5" w:rsidRPr="00DE5E75">
        <w:rPr>
          <w:i/>
          <w:color w:val="000000"/>
        </w:rPr>
        <w:t>ocuments) Instrument 2016/356</w:t>
      </w:r>
      <w:r w:rsidR="002E7CA5" w:rsidRPr="00D528EE">
        <w:rPr>
          <w:spacing w:val="-1"/>
        </w:rPr>
        <w:t xml:space="preserve"> </w:t>
      </w:r>
      <w:r w:rsidRPr="00D528EE">
        <w:rPr>
          <w:spacing w:val="-1"/>
        </w:rPr>
        <w:t xml:space="preserve">under </w:t>
      </w:r>
      <w:r w:rsidRPr="00D528EE">
        <w:rPr>
          <w:color w:val="000000"/>
          <w:spacing w:val="-1"/>
        </w:rPr>
        <w:t xml:space="preserve">paragraphs </w:t>
      </w:r>
      <w:proofErr w:type="gramStart"/>
      <w:r w:rsidRPr="00D528EE">
        <w:rPr>
          <w:color w:val="000000"/>
          <w:spacing w:val="-1"/>
        </w:rPr>
        <w:t>926A(</w:t>
      </w:r>
      <w:proofErr w:type="gramEnd"/>
      <w:r w:rsidRPr="00D528EE">
        <w:rPr>
          <w:color w:val="000000"/>
          <w:spacing w:val="-1"/>
        </w:rPr>
        <w:t xml:space="preserve">2)(a) and 951B(1)(a) of the </w:t>
      </w:r>
      <w:r w:rsidRPr="00D528EE">
        <w:rPr>
          <w:i/>
          <w:iCs/>
          <w:color w:val="000000"/>
          <w:spacing w:val="-1"/>
        </w:rPr>
        <w:t xml:space="preserve">Corporations Act 2001 </w:t>
      </w:r>
      <w:r w:rsidRPr="00D528EE">
        <w:rPr>
          <w:color w:val="000000"/>
          <w:spacing w:val="-1"/>
        </w:rPr>
        <w:t>(</w:t>
      </w:r>
      <w:r w:rsidR="00DE5E75">
        <w:rPr>
          <w:color w:val="000000"/>
          <w:spacing w:val="-1"/>
        </w:rPr>
        <w:t xml:space="preserve">the </w:t>
      </w:r>
      <w:r w:rsidRPr="00D528EE">
        <w:rPr>
          <w:color w:val="000000"/>
          <w:spacing w:val="-1"/>
        </w:rPr>
        <w:t xml:space="preserve">Act). </w:t>
      </w:r>
    </w:p>
    <w:p w14:paraId="110D9BE9" w14:textId="050EB0F2" w:rsidR="005C2C38" w:rsidRPr="00D528EE" w:rsidRDefault="00DE5E75" w:rsidP="005C2C38">
      <w:pPr>
        <w:pStyle w:val="BodyText"/>
        <w:spacing w:line="259" w:lineRule="auto"/>
        <w:rPr>
          <w:lang w:val="en-US"/>
        </w:rPr>
      </w:pPr>
      <w:r>
        <w:t xml:space="preserve">Paragraph </w:t>
      </w:r>
      <w:proofErr w:type="gramStart"/>
      <w:r w:rsidR="005C2C38" w:rsidRPr="00D528EE">
        <w:t>926A(</w:t>
      </w:r>
      <w:proofErr w:type="gramEnd"/>
      <w:r w:rsidR="005C2C38" w:rsidRPr="00D528EE">
        <w:t xml:space="preserve">2)(a) </w:t>
      </w:r>
      <w:r>
        <w:t xml:space="preserve">of the Act </w:t>
      </w:r>
      <w:r w:rsidR="005C2C38" w:rsidRPr="00D528EE">
        <w:t xml:space="preserve">provides that ASIC may exempt a </w:t>
      </w:r>
      <w:r>
        <w:t xml:space="preserve">person or a financial product or </w:t>
      </w:r>
      <w:r w:rsidR="005C2C38" w:rsidRPr="00D528EE">
        <w:t xml:space="preserve">class of persons </w:t>
      </w:r>
      <w:r>
        <w:t xml:space="preserve">or financial products </w:t>
      </w:r>
      <w:r w:rsidR="005C2C38" w:rsidRPr="00D528EE">
        <w:t>from all or specified provisions of Part 7.6 of the Corporations Act</w:t>
      </w:r>
      <w:r>
        <w:t xml:space="preserve"> (</w:t>
      </w:r>
      <w:r w:rsidR="005C2C38" w:rsidRPr="00D528EE">
        <w:t>other than Divisions 4 and 8</w:t>
      </w:r>
      <w:r>
        <w:t>)</w:t>
      </w:r>
      <w:r w:rsidR="005C2C38" w:rsidRPr="00D528EE">
        <w:t>.</w:t>
      </w:r>
    </w:p>
    <w:p w14:paraId="5222EB8C" w14:textId="1D3B409D" w:rsidR="005C2C38" w:rsidRPr="00D528EE" w:rsidRDefault="00DE5E75" w:rsidP="005C2C38">
      <w:pPr>
        <w:pStyle w:val="BodyText"/>
        <w:spacing w:line="259" w:lineRule="auto"/>
        <w:rPr>
          <w:lang w:val="en-US"/>
        </w:rPr>
      </w:pPr>
      <w:r>
        <w:t xml:space="preserve">Paragraph </w:t>
      </w:r>
      <w:proofErr w:type="gramStart"/>
      <w:r w:rsidR="005C2C38" w:rsidRPr="00D528EE">
        <w:t>951B(</w:t>
      </w:r>
      <w:proofErr w:type="gramEnd"/>
      <w:r w:rsidR="005C2C38" w:rsidRPr="00D528EE">
        <w:t xml:space="preserve">1)(a) provides that ASIC may exempt a class of persons from all or specified provisions of Part 7.7 of the Act. </w:t>
      </w:r>
    </w:p>
    <w:p w14:paraId="6D35DF38" w14:textId="57971455" w:rsidR="00DE5E75" w:rsidRPr="00D528EE" w:rsidRDefault="00DE5E75" w:rsidP="00DE5E75">
      <w:pPr>
        <w:pStyle w:val="BodyText"/>
        <w:spacing w:line="259" w:lineRule="auto"/>
        <w:rPr>
          <w:lang w:val="en-US"/>
        </w:rPr>
      </w:pPr>
      <w:r w:rsidRPr="00D528EE">
        <w:t xml:space="preserve">The Australian Securities and </w:t>
      </w:r>
      <w:r w:rsidRPr="00D528EE">
        <w:rPr>
          <w:spacing w:val="-1"/>
        </w:rPr>
        <w:t>Investments</w:t>
      </w:r>
      <w:r w:rsidRPr="00D528EE">
        <w:t xml:space="preserve"> </w:t>
      </w:r>
      <w:r w:rsidRPr="00D528EE">
        <w:rPr>
          <w:spacing w:val="-1"/>
        </w:rPr>
        <w:t>Commission</w:t>
      </w:r>
      <w:r w:rsidRPr="00D528EE">
        <w:t xml:space="preserve"> (ASIC) </w:t>
      </w:r>
      <w:r w:rsidRPr="00D528EE">
        <w:rPr>
          <w:spacing w:val="-1"/>
        </w:rPr>
        <w:t>makes</w:t>
      </w:r>
      <w:r w:rsidRPr="00DE5E75">
        <w:rPr>
          <w:i/>
          <w:spacing w:val="-1"/>
        </w:rPr>
        <w:t xml:space="preserve"> </w:t>
      </w:r>
      <w:r w:rsidRPr="00DE5E75">
        <w:rPr>
          <w:i/>
          <w:color w:val="000000"/>
        </w:rPr>
        <w:t>ASIC Corporations (</w:t>
      </w:r>
      <w:r>
        <w:rPr>
          <w:i/>
          <w:color w:val="000000"/>
        </w:rPr>
        <w:t>Repeal</w:t>
      </w:r>
      <w:r w:rsidRPr="00DE5E75">
        <w:rPr>
          <w:i/>
          <w:color w:val="000000"/>
        </w:rPr>
        <w:t>) Instrument 2016/</w:t>
      </w:r>
      <w:r>
        <w:rPr>
          <w:i/>
          <w:color w:val="000000"/>
        </w:rPr>
        <w:t>452</w:t>
      </w:r>
      <w:r w:rsidRPr="00D528EE">
        <w:rPr>
          <w:spacing w:val="-1"/>
        </w:rPr>
        <w:t xml:space="preserve"> under </w:t>
      </w:r>
      <w:r w:rsidRPr="00D528EE">
        <w:rPr>
          <w:color w:val="000000"/>
          <w:spacing w:val="-1"/>
        </w:rPr>
        <w:t>paragraph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911A(</w:t>
      </w:r>
      <w:proofErr w:type="gramEnd"/>
      <w:r>
        <w:rPr>
          <w:color w:val="000000"/>
          <w:spacing w:val="-1"/>
        </w:rPr>
        <w:t>2)(l)</w:t>
      </w:r>
      <w:r w:rsidRPr="00D528EE">
        <w:rPr>
          <w:color w:val="000000"/>
          <w:spacing w:val="-1"/>
        </w:rPr>
        <w:t xml:space="preserve"> of the Act. </w:t>
      </w:r>
    </w:p>
    <w:p w14:paraId="34EEE033" w14:textId="3C159224" w:rsidR="00DE5E75" w:rsidRPr="00DE5E75" w:rsidRDefault="00DE5E75" w:rsidP="005C2C38">
      <w:pPr>
        <w:pStyle w:val="BodyText"/>
        <w:spacing w:line="259" w:lineRule="auto"/>
        <w:rPr>
          <w:i/>
        </w:rPr>
      </w:pPr>
      <w:r>
        <w:t xml:space="preserve">Paragraph </w:t>
      </w:r>
      <w:proofErr w:type="gramStart"/>
      <w:r>
        <w:t>911A(</w:t>
      </w:r>
      <w:proofErr w:type="gramEnd"/>
      <w:r>
        <w:t xml:space="preserve">2)(l) of the Act provides that ASIC may exempt a person from the requirement to hold an Australian financial services licence for a financial service they provide. This is done by granting an exemption in writing and publishing it in the </w:t>
      </w:r>
      <w:r w:rsidRPr="00DE5E75">
        <w:rPr>
          <w:i/>
        </w:rPr>
        <w:t>Gazette.</w:t>
      </w:r>
    </w:p>
    <w:p w14:paraId="5D6AD65C" w14:textId="77777777" w:rsidR="00512875" w:rsidRDefault="00512875" w:rsidP="005C2C38">
      <w:pPr>
        <w:spacing w:before="145" w:after="0" w:line="240" w:lineRule="auto"/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</w:pPr>
    </w:p>
    <w:p w14:paraId="15AAED83" w14:textId="77777777" w:rsidR="005C2C38" w:rsidRPr="005C2C38" w:rsidRDefault="005C2C38" w:rsidP="005C2C38">
      <w:pPr>
        <w:spacing w:before="145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C2C38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1.</w:t>
      </w:r>
      <w:r w:rsidRPr="005C2C38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  <w:lang w:eastAsia="en-AU"/>
        </w:rPr>
        <w:t xml:space="preserve">                               </w:t>
      </w:r>
      <w:r w:rsidRPr="005C2C38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Background</w:t>
      </w:r>
    </w:p>
    <w:p w14:paraId="538B89EB" w14:textId="672BEB73" w:rsidR="003E77C6" w:rsidRPr="003E443D" w:rsidRDefault="003E77C6" w:rsidP="005C2C38">
      <w:pPr>
        <w:spacing w:before="199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E443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Existing licensing exemption</w:t>
      </w:r>
      <w:r w:rsidR="004A011E" w:rsidRPr="003E443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for financial product advice</w:t>
      </w:r>
    </w:p>
    <w:p w14:paraId="771174C7" w14:textId="5DDFEA58" w:rsidR="003E77C6" w:rsidRPr="003E77C6" w:rsidRDefault="0014209C" w:rsidP="005C2C38">
      <w:pPr>
        <w:spacing w:before="19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person does not provide a financial service that is financial product advice when they provide an </w:t>
      </w:r>
      <w:r w:rsidR="0088785E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exempt document or statement</w:t>
      </w:r>
      <w:r w:rsidR="0088785E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s766B(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1A)). The expression ‘exempt document or statement’ is </w:t>
      </w:r>
      <w:r w:rsidR="00A934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</w:t>
      </w:r>
      <w:r w:rsid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="003E443D" w:rsidRPr="003E443D">
        <w:rPr>
          <w:rFonts w:ascii="Times New Roman" w:hAnsi="Times New Roman" w:cs="Times New Roman"/>
          <w:sz w:val="24"/>
          <w:szCs w:val="24"/>
        </w:rPr>
        <w:t>s766B(</w:t>
      </w:r>
      <w:proofErr w:type="gramEnd"/>
      <w:r w:rsidR="003E443D" w:rsidRPr="003E443D">
        <w:rPr>
          <w:rFonts w:ascii="Times New Roman" w:hAnsi="Times New Roman" w:cs="Times New Roman"/>
          <w:sz w:val="24"/>
          <w:szCs w:val="24"/>
        </w:rPr>
        <w:t>9)</w:t>
      </w:r>
      <w:r w:rsidR="003E443D">
        <w:rPr>
          <w:rFonts w:ascii="Times New Roman" w:hAnsi="Times New Roman" w:cs="Times New Roman"/>
          <w:sz w:val="24"/>
          <w:szCs w:val="24"/>
        </w:rPr>
        <w:t xml:space="preserve">(b) to </w:t>
      </w:r>
      <w:r w:rsidR="003E443D" w:rsidRPr="003E443D">
        <w:rPr>
          <w:rFonts w:ascii="Times New Roman" w:hAnsi="Times New Roman" w:cs="Times New Roman"/>
          <w:sz w:val="24"/>
          <w:szCs w:val="24"/>
        </w:rPr>
        <w:t>include a document or statement of a kind prescribed by</w:t>
      </w:r>
      <w:r w:rsidRP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>reg</w:t>
      </w:r>
      <w:proofErr w:type="spellEnd"/>
      <w:r w:rsidRP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7.1.08 of the </w:t>
      </w:r>
      <w:r w:rsidRPr="003E443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Corporations Regulations 2001</w:t>
      </w:r>
      <w:r w:rsidRP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Corporations Regulations).  </w:t>
      </w:r>
      <w:r w:rsidR="005E70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have given relief </w:t>
      </w:r>
      <w:r w:rsidR="000B642B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purposes of reg. 7.1.08</w:t>
      </w:r>
      <w:r w:rsidR="003E443D">
        <w:rPr>
          <w:rFonts w:ascii="Times New Roman" w:eastAsia="Times New Roman" w:hAnsi="Times New Roman" w:cs="Times New Roman"/>
          <w:sz w:val="24"/>
          <w:szCs w:val="24"/>
          <w:lang w:eastAsia="en-AU"/>
        </w:rPr>
        <w:t>(3)</w:t>
      </w:r>
      <w:r w:rsidR="000B64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Corporations Regulations, </w:t>
      </w:r>
      <w:r w:rsidR="005E702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the requirement to hold an Australian financial services </w:t>
      </w:r>
      <w:r w:rsidR="005E702D" w:rsidRPr="005E702D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5E702D">
        <w:rPr>
          <w:rFonts w:ascii="Times New Roman" w:eastAsia="Times New Roman" w:hAnsi="Times New Roman" w:cs="Times New Roman"/>
          <w:sz w:val="24"/>
          <w:szCs w:val="24"/>
          <w:lang w:eastAsia="en-AU"/>
        </w:rPr>
        <w:t>AFS) licence, to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 that provides financial </w:t>
      </w:r>
      <w:r w:rsidR="00AA34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product advice in certain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document</w:t>
      </w:r>
      <w:r w:rsidR="00AA34E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contain general advice (e.g.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document</w:t>
      </w:r>
      <w:r w:rsidR="0051287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prepared </w:t>
      </w:r>
      <w:r w:rsidR="00512875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purposes of 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he Act)</w:t>
      </w:r>
      <w:r w:rsidR="00AA34E2">
        <w:rPr>
          <w:rFonts w:ascii="Times New Roman" w:eastAsia="Times New Roman" w:hAnsi="Times New Roman" w:cs="Times New Roman"/>
          <w:sz w:val="24"/>
          <w:szCs w:val="24"/>
          <w:lang w:eastAsia="en-AU"/>
        </w:rPr>
        <w:t>: see ASIC Class Order [</w:t>
      </w:r>
      <w:r w:rsidR="00AA34E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CO 03/606]</w:t>
      </w:r>
      <w:r w:rsidR="005128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A34E2"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Financial product advice</w:t>
      </w:r>
      <w:r w:rsidR="00AA34E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: E</w:t>
      </w:r>
      <w:r w:rsidR="00AA34E2"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xempt documents</w:t>
      </w:r>
      <w:r w:rsidR="00AA34E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  <w:r w:rsidR="00AA34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96680F2" w14:textId="65D31DB2" w:rsidR="005C2C38" w:rsidRDefault="005C2C38" w:rsidP="003E44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Pr="00D528E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 2003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legislative instruments cease automatically, or </w:t>
      </w:r>
      <w:r w:rsidR="002A6762">
        <w:rPr>
          <w:rFonts w:ascii="Times New Roman" w:eastAsia="Times New Roman" w:hAnsi="Times New Roman" w:cs="Times New Roman"/>
          <w:sz w:val="24"/>
          <w:szCs w:val="24"/>
          <w:lang w:eastAsia="en-AU"/>
        </w:rPr>
        <w:t>‘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sunset</w:t>
      </w:r>
      <w:r w:rsidR="002A6762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after 10 years, unless action is taken to exempt or preserve them. ASIC Class Order [CO 03/606] </w:t>
      </w:r>
      <w:proofErr w:type="gramStart"/>
      <w:r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Financial</w:t>
      </w:r>
      <w:proofErr w:type="gramEnd"/>
      <w:r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product advice</w:t>
      </w:r>
      <w:r w:rsidR="002E7CA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: E</w:t>
      </w:r>
      <w:r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xempt documents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due to sunset on 1 April 2017. </w:t>
      </w:r>
      <w:r w:rsidR="003E77C6" w:rsidRPr="003E77C6">
        <w:rPr>
          <w:rFonts w:ascii="Times New Roman" w:hAnsi="Times New Roman" w:cs="Times New Roman"/>
          <w:i/>
          <w:color w:val="000000"/>
          <w:sz w:val="24"/>
          <w:szCs w:val="24"/>
        </w:rPr>
        <w:t>ASIC Corporations (Financial Product Advice—Exempt Documents) Instrument 2016/356</w:t>
      </w:r>
      <w:r w:rsidR="003E77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E77C6">
        <w:rPr>
          <w:rFonts w:ascii="Times New Roman" w:eastAsia="Times New Roman" w:hAnsi="Times New Roman" w:cs="Times New Roman"/>
          <w:sz w:val="24"/>
          <w:szCs w:val="24"/>
          <w:lang w:eastAsia="en-AU"/>
        </w:rPr>
        <w:t>has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been issued to preserve the effect of the relief given by ASIC Class </w:t>
      </w:r>
      <w:r w:rsidR="00F822C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rder [CO 03/606] </w:t>
      </w:r>
      <w:r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Financial product advice</w:t>
      </w:r>
      <w:r w:rsidR="002E7CA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: E</w:t>
      </w:r>
      <w:r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xempt documents</w:t>
      </w: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0C2F413" w14:textId="2B320435" w:rsidR="003E443D" w:rsidRDefault="003E443D" w:rsidP="003E44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1A8FE56" w14:textId="77777777" w:rsidR="003E443D" w:rsidRDefault="003E443D" w:rsidP="003E44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C21621" w14:textId="6402F150" w:rsidR="00AA34E2" w:rsidRPr="003E443D" w:rsidRDefault="00AA34E2" w:rsidP="003E44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E443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Why licensing exemption required</w:t>
      </w:r>
    </w:p>
    <w:p w14:paraId="1B4A57D6" w14:textId="6870057C" w:rsidR="00AA34E2" w:rsidRPr="00AA34E2" w:rsidRDefault="00AA34E2" w:rsidP="005C2C38">
      <w:pPr>
        <w:spacing w:before="199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AFS licensing requirements are in Chapter 7 of the Act. </w:t>
      </w:r>
    </w:p>
    <w:p w14:paraId="3CC6152E" w14:textId="77777777" w:rsidR="0088785E" w:rsidRDefault="00FE2864" w:rsidP="00FE2864">
      <w:pPr>
        <w:pStyle w:val="Default"/>
        <w:spacing w:after="178"/>
      </w:pPr>
      <w:r w:rsidRPr="00D528EE">
        <w:t>Part</w:t>
      </w:r>
      <w:r w:rsidR="00AA34E2">
        <w:t>s</w:t>
      </w:r>
      <w:r w:rsidRPr="00D528EE">
        <w:t xml:space="preserve"> 7.6 </w:t>
      </w:r>
      <w:r w:rsidR="00AA34E2">
        <w:t xml:space="preserve">to 7.8 </w:t>
      </w:r>
      <w:r w:rsidRPr="00D528EE">
        <w:t>of the Act</w:t>
      </w:r>
      <w:r w:rsidR="00AA34E2">
        <w:t xml:space="preserve"> set out the AFS licensing requirements for providers of </w:t>
      </w:r>
      <w:r w:rsidRPr="00D528EE">
        <w:t xml:space="preserve">financial services. </w:t>
      </w:r>
      <w:r w:rsidR="00AA34E2">
        <w:t xml:space="preserve">Section </w:t>
      </w:r>
      <w:r w:rsidRPr="00D528EE">
        <w:t>s911A</w:t>
      </w:r>
      <w:r w:rsidR="00AA34E2">
        <w:t xml:space="preserve"> requires any </w:t>
      </w:r>
      <w:r w:rsidRPr="00D528EE">
        <w:t xml:space="preserve">person who carries on a financial services business in Australia </w:t>
      </w:r>
      <w:r w:rsidR="00AA34E2">
        <w:t xml:space="preserve">to </w:t>
      </w:r>
      <w:r w:rsidRPr="00D528EE">
        <w:t xml:space="preserve">hold an </w:t>
      </w:r>
      <w:r w:rsidR="00AA34E2">
        <w:t xml:space="preserve">AFS </w:t>
      </w:r>
      <w:r w:rsidRPr="00D528EE">
        <w:t>licence</w:t>
      </w:r>
      <w:r w:rsidR="0088785E">
        <w:t xml:space="preserve">. Under </w:t>
      </w:r>
      <w:proofErr w:type="gramStart"/>
      <w:r w:rsidR="0088785E">
        <w:t>s766A(</w:t>
      </w:r>
      <w:proofErr w:type="gramEnd"/>
      <w:r w:rsidR="0088785E">
        <w:t xml:space="preserve">1), </w:t>
      </w:r>
      <w:r w:rsidRPr="00D528EE">
        <w:t>financial service</w:t>
      </w:r>
      <w:r w:rsidR="0088785E">
        <w:t xml:space="preserve">s includes providing financial product advice. </w:t>
      </w:r>
    </w:p>
    <w:p w14:paraId="2782C1AC" w14:textId="7C6D2E6C" w:rsidR="00FE2864" w:rsidRPr="00D528EE" w:rsidRDefault="0088785E" w:rsidP="00FE2864">
      <w:pPr>
        <w:pStyle w:val="Default"/>
        <w:spacing w:after="178"/>
      </w:pPr>
      <w:r>
        <w:t xml:space="preserve">Financial product advice </w:t>
      </w:r>
      <w:r w:rsidR="00FE2864" w:rsidRPr="00D528EE">
        <w:t>is a recommendation or a statement of opinion, or a report of either of these things, that is intended to, or could reasonably be regarded as being intended to, influence a client in making a decision about a particular financial product or class of financial product (or an interest in these</w:t>
      </w:r>
      <w:r w:rsidR="000B642B">
        <w:t>)</w:t>
      </w:r>
      <w:r w:rsidR="00FE2864" w:rsidRPr="00D528EE">
        <w:t>: s766B</w:t>
      </w:r>
      <w:r>
        <w:t>(1)</w:t>
      </w:r>
      <w:r w:rsidR="00FE2864" w:rsidRPr="00D528EE">
        <w:t xml:space="preserve">. </w:t>
      </w:r>
    </w:p>
    <w:p w14:paraId="5E4C9D07" w14:textId="77777777" w:rsidR="00FE2864" w:rsidRPr="00D528EE" w:rsidRDefault="00FE2864" w:rsidP="00FE2864">
      <w:pPr>
        <w:pStyle w:val="Default"/>
      </w:pPr>
      <w:r w:rsidRPr="00D528EE">
        <w:t xml:space="preserve">Under </w:t>
      </w:r>
      <w:proofErr w:type="gramStart"/>
      <w:r w:rsidRPr="00D528EE">
        <w:t>s766B(</w:t>
      </w:r>
      <w:proofErr w:type="gramEnd"/>
      <w:r w:rsidRPr="00D528EE">
        <w:t xml:space="preserve">1A), the giving of an ‘exempt document or statement’ does not constitute the provision of financial product advice. </w:t>
      </w:r>
    </w:p>
    <w:p w14:paraId="3C310290" w14:textId="77777777" w:rsidR="00FE2864" w:rsidRPr="00D528EE" w:rsidRDefault="00FE2864" w:rsidP="00FE2864">
      <w:pPr>
        <w:pStyle w:val="Default"/>
      </w:pPr>
    </w:p>
    <w:p w14:paraId="3F3C332B" w14:textId="77777777" w:rsidR="00FE2864" w:rsidRPr="00D528EE" w:rsidRDefault="00FE2864" w:rsidP="00FE2864">
      <w:pPr>
        <w:pStyle w:val="Default"/>
        <w:spacing w:after="78"/>
      </w:pPr>
      <w:r w:rsidRPr="00D528EE">
        <w:t xml:space="preserve">Under </w:t>
      </w:r>
      <w:proofErr w:type="gramStart"/>
      <w:r w:rsidRPr="00D528EE">
        <w:t>s766B(</w:t>
      </w:r>
      <w:proofErr w:type="gramEnd"/>
      <w:r w:rsidRPr="00D528EE">
        <w:t xml:space="preserve">9), an ‘exempt document or statement’ in s766B(1A) means: </w:t>
      </w:r>
    </w:p>
    <w:p w14:paraId="0383BED5" w14:textId="70FD9C25" w:rsidR="00FE2864" w:rsidRPr="00D528EE" w:rsidRDefault="00FE2864" w:rsidP="00D528EE">
      <w:pPr>
        <w:pStyle w:val="Default"/>
        <w:spacing w:after="78"/>
        <w:ind w:left="426" w:hanging="426"/>
      </w:pPr>
      <w:r w:rsidRPr="00D528EE">
        <w:t xml:space="preserve">(a) </w:t>
      </w:r>
      <w:r w:rsidR="00757DDA">
        <w:tab/>
      </w:r>
      <w:proofErr w:type="gramStart"/>
      <w:r w:rsidRPr="00D528EE">
        <w:t>a</w:t>
      </w:r>
      <w:proofErr w:type="gramEnd"/>
      <w:r w:rsidRPr="00D528EE">
        <w:t xml:space="preserve"> document prepared, or a statement given, in accordance with the requirements of Ch</w:t>
      </w:r>
      <w:r w:rsidR="00757DDA">
        <w:t>apter</w:t>
      </w:r>
      <w:r w:rsidRPr="00D528EE">
        <w:t xml:space="preserve"> 7, other than: </w:t>
      </w:r>
    </w:p>
    <w:p w14:paraId="703CAC6B" w14:textId="246CE68D" w:rsidR="00FE2864" w:rsidRPr="00D528EE" w:rsidRDefault="00FE2864" w:rsidP="00757DDA">
      <w:pPr>
        <w:pStyle w:val="Default"/>
        <w:spacing w:after="78"/>
        <w:ind w:left="993" w:hanging="567"/>
      </w:pPr>
      <w:r w:rsidRPr="00D528EE">
        <w:t>(</w:t>
      </w:r>
      <w:proofErr w:type="spellStart"/>
      <w:r w:rsidRPr="00D528EE">
        <w:t>i</w:t>
      </w:r>
      <w:proofErr w:type="spellEnd"/>
      <w:r w:rsidRPr="00D528EE">
        <w:t xml:space="preserve">) </w:t>
      </w:r>
      <w:r w:rsidR="00757DDA">
        <w:tab/>
      </w:r>
      <w:proofErr w:type="gramStart"/>
      <w:r w:rsidRPr="00D528EE">
        <w:t>a</w:t>
      </w:r>
      <w:proofErr w:type="gramEnd"/>
      <w:r w:rsidRPr="00D528EE">
        <w:t xml:space="preserve"> Statement of Advice; or </w:t>
      </w:r>
    </w:p>
    <w:p w14:paraId="62AF8A2B" w14:textId="2B1584F3" w:rsidR="00FE2864" w:rsidRPr="00D528EE" w:rsidRDefault="00FE2864" w:rsidP="00757DDA">
      <w:pPr>
        <w:pStyle w:val="Default"/>
        <w:ind w:left="993" w:hanging="567"/>
      </w:pPr>
      <w:r w:rsidRPr="00D528EE">
        <w:t xml:space="preserve">(ii) </w:t>
      </w:r>
      <w:r w:rsidR="00757DDA">
        <w:tab/>
      </w:r>
      <w:proofErr w:type="gramStart"/>
      <w:r w:rsidRPr="00D528EE">
        <w:t>a</w:t>
      </w:r>
      <w:proofErr w:type="gramEnd"/>
      <w:r w:rsidRPr="00D528EE">
        <w:t xml:space="preserve"> document or statement of a kind prescribed by regulations made for the purposes of s766B(9); or </w:t>
      </w:r>
    </w:p>
    <w:p w14:paraId="59C7103A" w14:textId="177AA034" w:rsidR="00FE2864" w:rsidRPr="00D528EE" w:rsidRDefault="00FE2864" w:rsidP="00D528EE">
      <w:pPr>
        <w:pStyle w:val="Default"/>
        <w:ind w:left="426" w:hanging="426"/>
      </w:pPr>
      <w:r w:rsidRPr="00D528EE">
        <w:t xml:space="preserve">(b) </w:t>
      </w:r>
      <w:r w:rsidR="00757DDA">
        <w:tab/>
      </w:r>
      <w:proofErr w:type="gramStart"/>
      <w:r w:rsidRPr="00D528EE">
        <w:t>any</w:t>
      </w:r>
      <w:proofErr w:type="gramEnd"/>
      <w:r w:rsidRPr="00D528EE">
        <w:t xml:space="preserve"> other document or statement of a kind prescribed by regulations made for the purposes of s766B(9). </w:t>
      </w:r>
    </w:p>
    <w:p w14:paraId="44C664A7" w14:textId="77777777" w:rsidR="00FE2864" w:rsidRPr="00D528EE" w:rsidRDefault="00FE2864" w:rsidP="00FE2864">
      <w:pPr>
        <w:pStyle w:val="Default"/>
      </w:pPr>
    </w:p>
    <w:p w14:paraId="0A103483" w14:textId="362F5040" w:rsidR="00FE2864" w:rsidRPr="00D528EE" w:rsidRDefault="00757DDA" w:rsidP="00FE2864">
      <w:pPr>
        <w:pStyle w:val="Default"/>
        <w:spacing w:after="80"/>
      </w:pPr>
      <w:r>
        <w:t xml:space="preserve">Under </w:t>
      </w:r>
      <w:proofErr w:type="spellStart"/>
      <w:r>
        <w:t>r</w:t>
      </w:r>
      <w:r w:rsidR="00FE2864" w:rsidRPr="00D528EE">
        <w:t>eg</w:t>
      </w:r>
      <w:proofErr w:type="spellEnd"/>
      <w:r>
        <w:t xml:space="preserve"> 7</w:t>
      </w:r>
      <w:r w:rsidR="00FE2864" w:rsidRPr="00D528EE">
        <w:t>.1.08(3) of the Corporations Regulations</w:t>
      </w:r>
      <w:r>
        <w:t xml:space="preserve">, </w:t>
      </w:r>
      <w:r w:rsidR="00FE2864" w:rsidRPr="00D528EE">
        <w:t xml:space="preserve">for the purposes of </w:t>
      </w:r>
      <w:r>
        <w:t xml:space="preserve">paragraph (b) of the definition of ‘exempt document or statement’ in </w:t>
      </w:r>
      <w:proofErr w:type="gramStart"/>
      <w:r w:rsidR="00FE2864" w:rsidRPr="00D528EE">
        <w:t>s766B(</w:t>
      </w:r>
      <w:proofErr w:type="gramEnd"/>
      <w:r w:rsidR="00FE2864" w:rsidRPr="00D528EE">
        <w:t>9)</w:t>
      </w:r>
      <w:r>
        <w:t xml:space="preserve"> of the Act</w:t>
      </w:r>
      <w:r w:rsidR="00FE2864" w:rsidRPr="00D528EE">
        <w:t xml:space="preserve">, documents, information and statements that: </w:t>
      </w:r>
    </w:p>
    <w:p w14:paraId="2ABB30E6" w14:textId="038FE2F4" w:rsidR="00FE2864" w:rsidRPr="00D528EE" w:rsidRDefault="00FE2864" w:rsidP="00D528EE">
      <w:pPr>
        <w:pStyle w:val="Default"/>
        <w:numPr>
          <w:ilvl w:val="0"/>
          <w:numId w:val="4"/>
        </w:numPr>
        <w:spacing w:after="80"/>
        <w:ind w:left="426" w:hanging="426"/>
      </w:pPr>
      <w:r w:rsidRPr="00D528EE">
        <w:t xml:space="preserve">do not contain personal advice; </w:t>
      </w:r>
      <w:r w:rsidR="00757DDA">
        <w:t>and</w:t>
      </w:r>
    </w:p>
    <w:p w14:paraId="6A4FC0F1" w14:textId="77777777" w:rsidR="00FE2864" w:rsidRPr="00D528EE" w:rsidRDefault="00FE2864" w:rsidP="00D528EE">
      <w:pPr>
        <w:pStyle w:val="Default"/>
        <w:numPr>
          <w:ilvl w:val="0"/>
          <w:numId w:val="4"/>
        </w:numPr>
        <w:spacing w:after="80"/>
        <w:ind w:left="426" w:hanging="426"/>
      </w:pPr>
      <w:r w:rsidRPr="00D528EE">
        <w:t xml:space="preserve">are required by, and prepared as a result of, a requirement under an Australian law; and </w:t>
      </w:r>
    </w:p>
    <w:p w14:paraId="0A520AD7" w14:textId="7F9E5292" w:rsidR="00072610" w:rsidRDefault="00FE2864" w:rsidP="00072610">
      <w:pPr>
        <w:pStyle w:val="Default"/>
        <w:numPr>
          <w:ilvl w:val="0"/>
          <w:numId w:val="4"/>
        </w:numPr>
        <w:ind w:left="425" w:hanging="426"/>
        <w:contextualSpacing/>
      </w:pPr>
      <w:r w:rsidRPr="00D528EE">
        <w:t xml:space="preserve">are included in a class of documents, information or statements specified by ASIC in a list published in the </w:t>
      </w:r>
      <w:r w:rsidRPr="00D528EE">
        <w:rPr>
          <w:i/>
          <w:iCs/>
        </w:rPr>
        <w:t xml:space="preserve">Gazette </w:t>
      </w:r>
      <w:r w:rsidRPr="00D528EE">
        <w:t xml:space="preserve">for </w:t>
      </w:r>
      <w:proofErr w:type="spellStart"/>
      <w:r w:rsidRPr="00D528EE">
        <w:t>reg</w:t>
      </w:r>
      <w:proofErr w:type="spellEnd"/>
      <w:r w:rsidRPr="00D528EE">
        <w:t xml:space="preserve"> 7.1.08(3) of the Corporations Regulations</w:t>
      </w:r>
      <w:r w:rsidR="00072610">
        <w:t xml:space="preserve">, </w:t>
      </w:r>
    </w:p>
    <w:p w14:paraId="77D2B667" w14:textId="77777777" w:rsidR="00072610" w:rsidRDefault="00072610" w:rsidP="00072610">
      <w:pPr>
        <w:pStyle w:val="Default"/>
        <w:ind w:left="425"/>
        <w:contextualSpacing/>
      </w:pPr>
    </w:p>
    <w:p w14:paraId="10A9D224" w14:textId="7699738B" w:rsidR="00FE2864" w:rsidRPr="00D528EE" w:rsidRDefault="00072610" w:rsidP="00072610">
      <w:pPr>
        <w:pStyle w:val="Default"/>
      </w:pPr>
      <w:proofErr w:type="gramStart"/>
      <w:r>
        <w:t>are</w:t>
      </w:r>
      <w:proofErr w:type="gramEnd"/>
      <w:r>
        <w:t xml:space="preserve"> prescribed and so included in the definition of ‘exempt document or statement’.</w:t>
      </w:r>
      <w:r w:rsidR="00FE2864" w:rsidRPr="00D528EE">
        <w:t xml:space="preserve"> </w:t>
      </w:r>
    </w:p>
    <w:p w14:paraId="5DEF7AD4" w14:textId="77777777" w:rsidR="00FE2864" w:rsidRDefault="00FE2864" w:rsidP="00FE2864">
      <w:pPr>
        <w:pStyle w:val="Default"/>
      </w:pPr>
    </w:p>
    <w:p w14:paraId="4C4DFE4A" w14:textId="28E496D2" w:rsidR="00512875" w:rsidRDefault="00512875" w:rsidP="00FE2864">
      <w:pPr>
        <w:pStyle w:val="Default"/>
      </w:pPr>
    </w:p>
    <w:p w14:paraId="2FCEBAE4" w14:textId="77777777" w:rsidR="00512875" w:rsidRDefault="00512875" w:rsidP="00FE2864">
      <w:pPr>
        <w:pStyle w:val="Default"/>
      </w:pPr>
    </w:p>
    <w:p w14:paraId="3BB3CC0B" w14:textId="77777777" w:rsidR="00512875" w:rsidRPr="00D470E4" w:rsidRDefault="00512875" w:rsidP="00FE2864">
      <w:pPr>
        <w:pStyle w:val="Default"/>
      </w:pPr>
    </w:p>
    <w:p w14:paraId="4748095B" w14:textId="77777777" w:rsidR="00FE2864" w:rsidRPr="00FE2864" w:rsidRDefault="00FE2864" w:rsidP="00B417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AU"/>
        </w:rPr>
      </w:pPr>
    </w:p>
    <w:p w14:paraId="319BC8F1" w14:textId="77777777" w:rsidR="001472E2" w:rsidRDefault="005C2C38" w:rsidP="001472E2">
      <w:pPr>
        <w:pStyle w:val="Default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2.</w:t>
      </w:r>
      <w:r>
        <w:rPr>
          <w:b/>
          <w:bCs/>
          <w:spacing w:val="-1"/>
          <w:sz w:val="14"/>
          <w:szCs w:val="14"/>
        </w:rPr>
        <w:t xml:space="preserve">                               </w:t>
      </w:r>
      <w:r>
        <w:rPr>
          <w:rFonts w:ascii="Arial" w:hAnsi="Arial" w:cs="Arial"/>
          <w:b/>
          <w:bCs/>
          <w:spacing w:val="-1"/>
        </w:rPr>
        <w:t>Purpose of the instruments</w:t>
      </w:r>
    </w:p>
    <w:p w14:paraId="40789A12" w14:textId="77777777" w:rsidR="005C2C38" w:rsidRPr="00FE2864" w:rsidRDefault="005C2C38" w:rsidP="001472E2">
      <w:pPr>
        <w:pStyle w:val="Default"/>
      </w:pPr>
    </w:p>
    <w:p w14:paraId="6DBB7A2E" w14:textId="25E0FE9D" w:rsidR="00FE2864" w:rsidRPr="00D528EE" w:rsidRDefault="00FE2864" w:rsidP="00FE2864">
      <w:pPr>
        <w:pStyle w:val="Default"/>
      </w:pPr>
      <w:r w:rsidRPr="00D528EE">
        <w:t xml:space="preserve">The </w:t>
      </w:r>
      <w:r w:rsidR="005C2C38" w:rsidRPr="00D528EE">
        <w:t xml:space="preserve">purpose of </w:t>
      </w:r>
      <w:r w:rsidR="0088785E" w:rsidRPr="003E77C6">
        <w:rPr>
          <w:i/>
        </w:rPr>
        <w:t>ASIC Corporations (Financial Product Advice—Exempt Documents) Instrument 2016/356</w:t>
      </w:r>
      <w:r w:rsidRPr="00D528EE">
        <w:t xml:space="preserve"> </w:t>
      </w:r>
      <w:r w:rsidR="005C2C38" w:rsidRPr="00D528EE">
        <w:t xml:space="preserve">is to </w:t>
      </w:r>
      <w:r w:rsidRPr="00D528EE">
        <w:t xml:space="preserve">cover: </w:t>
      </w:r>
    </w:p>
    <w:p w14:paraId="4C4B2827" w14:textId="77777777" w:rsidR="00FE2864" w:rsidRPr="00D528EE" w:rsidRDefault="00FE2864" w:rsidP="00FE2864">
      <w:pPr>
        <w:pStyle w:val="Default"/>
      </w:pPr>
    </w:p>
    <w:p w14:paraId="7A503A27" w14:textId="77777777" w:rsidR="00FE2864" w:rsidRPr="00D528EE" w:rsidRDefault="00FE2864" w:rsidP="00D528EE">
      <w:pPr>
        <w:pStyle w:val="Default"/>
        <w:numPr>
          <w:ilvl w:val="0"/>
          <w:numId w:val="6"/>
        </w:numPr>
        <w:ind w:left="426" w:hanging="426"/>
      </w:pPr>
      <w:r w:rsidRPr="00D528EE">
        <w:t xml:space="preserve">unintended situations of providing financial product advice that is general advice; and </w:t>
      </w:r>
    </w:p>
    <w:p w14:paraId="72D3F023" w14:textId="77777777" w:rsidR="005C2C38" w:rsidRPr="00D528EE" w:rsidRDefault="005C2C38" w:rsidP="00D528EE">
      <w:pPr>
        <w:pStyle w:val="Default"/>
        <w:ind w:left="426" w:hanging="426"/>
        <w:rPr>
          <w:color w:val="auto"/>
        </w:rPr>
      </w:pPr>
    </w:p>
    <w:p w14:paraId="47B0663A" w14:textId="4A0BC835" w:rsidR="00FE2864" w:rsidRPr="00D528EE" w:rsidRDefault="00FE2864" w:rsidP="00D528EE">
      <w:pPr>
        <w:pStyle w:val="Default"/>
        <w:numPr>
          <w:ilvl w:val="0"/>
          <w:numId w:val="6"/>
        </w:numPr>
        <w:ind w:left="426" w:hanging="426"/>
        <w:rPr>
          <w:color w:val="auto"/>
        </w:rPr>
      </w:pPr>
      <w:proofErr w:type="gramStart"/>
      <w:r w:rsidRPr="00D528EE">
        <w:rPr>
          <w:color w:val="auto"/>
        </w:rPr>
        <w:t>general</w:t>
      </w:r>
      <w:proofErr w:type="gramEnd"/>
      <w:r w:rsidRPr="00D528EE">
        <w:rPr>
          <w:color w:val="auto"/>
        </w:rPr>
        <w:t xml:space="preserve"> advice that is contained in an </w:t>
      </w:r>
      <w:r w:rsidR="00512875">
        <w:rPr>
          <w:color w:val="auto"/>
        </w:rPr>
        <w:t>explanatory statement for certain foreign schemes or arrangement</w:t>
      </w:r>
      <w:r w:rsidR="002A6762">
        <w:rPr>
          <w:color w:val="auto"/>
        </w:rPr>
        <w:t xml:space="preserve">, </w:t>
      </w:r>
      <w:r w:rsidR="00512875">
        <w:rPr>
          <w:color w:val="auto"/>
        </w:rPr>
        <w:t xml:space="preserve">or an </w:t>
      </w:r>
      <w:r w:rsidRPr="00D528EE">
        <w:rPr>
          <w:color w:val="auto"/>
        </w:rPr>
        <w:t xml:space="preserve">offer document, or a document responding to an offer document under a control transaction, that is regulated in the jurisdiction of an approved foreign market. Without relief a person who distributes such a document in Australia would need an AFS licence. </w:t>
      </w:r>
    </w:p>
    <w:p w14:paraId="554E8E1E" w14:textId="77777777" w:rsidR="00FE2864" w:rsidRDefault="00FE2864" w:rsidP="00FE2864">
      <w:pPr>
        <w:pStyle w:val="Default"/>
        <w:rPr>
          <w:color w:val="auto"/>
          <w:sz w:val="20"/>
          <w:szCs w:val="20"/>
        </w:rPr>
      </w:pPr>
    </w:p>
    <w:p w14:paraId="1AF48546" w14:textId="248B5D76" w:rsidR="004A011E" w:rsidRDefault="004A011E" w:rsidP="00FE2864">
      <w:pPr>
        <w:pStyle w:val="Default"/>
      </w:pPr>
      <w:r w:rsidRPr="003E77C6">
        <w:rPr>
          <w:i/>
        </w:rPr>
        <w:t>ASIC Corporations (Financial Product Advice—Exempt Documents) Instrument 2016/356</w:t>
      </w:r>
      <w:r w:rsidRPr="00D528EE">
        <w:t xml:space="preserve"> </w:t>
      </w:r>
      <w:r>
        <w:t xml:space="preserve">will continue the relief provided by </w:t>
      </w:r>
      <w:r w:rsidR="00061A43">
        <w:t xml:space="preserve">ASIC Class Order </w:t>
      </w:r>
      <w:r>
        <w:t xml:space="preserve">[CO 03/606] in a new legislative instrument that reflects current drafting practice, without any significant changes. </w:t>
      </w:r>
    </w:p>
    <w:p w14:paraId="330FF9CA" w14:textId="118D4F89" w:rsidR="00061A43" w:rsidRPr="00D528EE" w:rsidRDefault="004A011E" w:rsidP="00061A43">
      <w:pPr>
        <w:pStyle w:val="BodyText"/>
        <w:spacing w:line="259" w:lineRule="auto"/>
        <w:rPr>
          <w:lang w:val="en-US"/>
        </w:rPr>
      </w:pPr>
      <w:r>
        <w:t xml:space="preserve">The purpose of </w:t>
      </w:r>
      <w:r w:rsidR="00061A43" w:rsidRPr="00DE5E75">
        <w:rPr>
          <w:i/>
          <w:color w:val="000000"/>
        </w:rPr>
        <w:t>ASIC Corporations (</w:t>
      </w:r>
      <w:r w:rsidR="00061A43">
        <w:rPr>
          <w:i/>
          <w:color w:val="000000"/>
        </w:rPr>
        <w:t>Repeal</w:t>
      </w:r>
      <w:r w:rsidR="00061A43" w:rsidRPr="00DE5E75">
        <w:rPr>
          <w:i/>
          <w:color w:val="000000"/>
        </w:rPr>
        <w:t>) Instrument 2016/</w:t>
      </w:r>
      <w:r w:rsidR="00061A43">
        <w:rPr>
          <w:i/>
          <w:color w:val="000000"/>
        </w:rPr>
        <w:t>452</w:t>
      </w:r>
      <w:r w:rsidR="00061A43" w:rsidRPr="00D528EE">
        <w:rPr>
          <w:spacing w:val="-1"/>
        </w:rPr>
        <w:t xml:space="preserve"> </w:t>
      </w:r>
      <w:r w:rsidR="00061A43">
        <w:rPr>
          <w:spacing w:val="-1"/>
        </w:rPr>
        <w:t>is to repeal ASIC Class Order [CO 03/606].</w:t>
      </w:r>
    </w:p>
    <w:p w14:paraId="33B3C804" w14:textId="7DA3F522" w:rsidR="004A011E" w:rsidRPr="00D470E4" w:rsidRDefault="004A011E" w:rsidP="00FE2864">
      <w:pPr>
        <w:pStyle w:val="Default"/>
        <w:rPr>
          <w:color w:val="auto"/>
          <w:sz w:val="20"/>
          <w:szCs w:val="20"/>
        </w:rPr>
      </w:pPr>
    </w:p>
    <w:p w14:paraId="41AF06F1" w14:textId="77777777" w:rsidR="00B41715" w:rsidRPr="00F822C2" w:rsidRDefault="00B41715" w:rsidP="001472E2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val="en-US" w:eastAsia="en-AU"/>
        </w:rPr>
      </w:pPr>
      <w:bookmarkStart w:id="1" w:name="3._Operation_of_the_class_order_"/>
      <w:bookmarkEnd w:id="1"/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3.</w:t>
      </w:r>
      <w:r w:rsidR="001472E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 xml:space="preserve"> </w:t>
      </w:r>
      <w:r w:rsidR="00F822C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="00F822C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Operation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of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the</w:t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instrument</w:t>
      </w:r>
    </w:p>
    <w:p w14:paraId="5F2A8333" w14:textId="145BBD23" w:rsidR="00056C6D" w:rsidRPr="00D528EE" w:rsidRDefault="009F0E83" w:rsidP="00056C6D">
      <w:pPr>
        <w:pStyle w:val="Default"/>
      </w:pPr>
      <w:r w:rsidRPr="009F0E83">
        <w:t xml:space="preserve">In </w:t>
      </w:r>
      <w:r w:rsidRPr="009F0E83">
        <w:rPr>
          <w:i/>
        </w:rPr>
        <w:t xml:space="preserve">ASIC Corporations (Financial Product Advice—Exempt Documents) Instrument 2016/356, </w:t>
      </w:r>
      <w:r w:rsidRPr="009F0E83">
        <w:t xml:space="preserve">we have specified the documents, information or statements for the purposes of </w:t>
      </w:r>
      <w:proofErr w:type="spellStart"/>
      <w:r w:rsidRPr="009F0E83">
        <w:t>reg</w:t>
      </w:r>
      <w:proofErr w:type="spellEnd"/>
      <w:r w:rsidRPr="009F0E83">
        <w:t xml:space="preserve"> 7.1.08(3) of the Corporations Regulations </w:t>
      </w:r>
      <w:r w:rsidR="00056C6D">
        <w:t xml:space="preserve">that are included in the definition of ‘exempt document or statement’ in </w:t>
      </w:r>
      <w:proofErr w:type="gramStart"/>
      <w:r w:rsidR="00056C6D">
        <w:t>s766B(</w:t>
      </w:r>
      <w:proofErr w:type="gramEnd"/>
      <w:r w:rsidR="00056C6D">
        <w:t>9)(b) of the Act.</w:t>
      </w:r>
      <w:r w:rsidR="00056C6D" w:rsidRPr="00D528EE">
        <w:t xml:space="preserve"> </w:t>
      </w:r>
    </w:p>
    <w:p w14:paraId="6253FE78" w14:textId="34BBF56A" w:rsidR="009F0E83" w:rsidRPr="00282261" w:rsidRDefault="002A6762" w:rsidP="009F0E83">
      <w:pPr>
        <w:spacing w:before="199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2261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5 of the instrument exempts a</w:t>
      </w:r>
      <w:r w:rsidR="009F0E83" w:rsidRPr="00282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 that provides financial product advice that is general advice in the documents specified in </w:t>
      </w:r>
      <w:r w:rsidR="00056C6D" w:rsidRPr="00282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instrument, </w:t>
      </w:r>
      <w:r w:rsidR="009F0E83" w:rsidRPr="00282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the requirement to hold an AFS licence </w:t>
      </w:r>
      <w:r w:rsidR="00282261" w:rsidRPr="00282261">
        <w:rPr>
          <w:rFonts w:ascii="Times New Roman" w:hAnsi="Times New Roman" w:cs="Times New Roman"/>
          <w:sz w:val="24"/>
          <w:szCs w:val="24"/>
        </w:rPr>
        <w:t xml:space="preserve">for the provision of financial product advice, </w:t>
      </w:r>
      <w:r w:rsidR="009F0E83" w:rsidRPr="00282261">
        <w:rPr>
          <w:rFonts w:ascii="Times New Roman" w:hAnsi="Times New Roman" w:cs="Times New Roman"/>
          <w:sz w:val="24"/>
          <w:szCs w:val="24"/>
        </w:rPr>
        <w:t>or where the person is a financial services licensee or an authorised representative of such a licensee</w:t>
      </w:r>
      <w:r w:rsidR="00282261" w:rsidRPr="00282261">
        <w:rPr>
          <w:rFonts w:ascii="Times New Roman" w:hAnsi="Times New Roman" w:cs="Times New Roman"/>
          <w:sz w:val="24"/>
          <w:szCs w:val="24"/>
        </w:rPr>
        <w:t xml:space="preserve">, </w:t>
      </w:r>
      <w:r w:rsidR="009F0E83" w:rsidRPr="00282261">
        <w:rPr>
          <w:rFonts w:ascii="Times New Roman" w:hAnsi="Times New Roman" w:cs="Times New Roman"/>
          <w:sz w:val="24"/>
          <w:szCs w:val="24"/>
        </w:rPr>
        <w:t>from the conduct and disclosure requirements in Divisions 2 and 4 of Part 7.7 of the Act in relation to that advice.</w:t>
      </w:r>
    </w:p>
    <w:p w14:paraId="142BBECA" w14:textId="6C1BDB61" w:rsidR="00FE2864" w:rsidRDefault="009F0E83" w:rsidP="00061A43">
      <w:pPr>
        <w:pStyle w:val="Default"/>
      </w:pPr>
      <w:r>
        <w:t>Paragraph 6 o</w:t>
      </w:r>
      <w:r w:rsidR="00C22027">
        <w:t xml:space="preserve">f the instrument </w:t>
      </w:r>
      <w:r>
        <w:t>spec</w:t>
      </w:r>
      <w:r w:rsidR="002A6762">
        <w:t xml:space="preserve">ifies the documents </w:t>
      </w:r>
      <w:r w:rsidR="00056C6D">
        <w:t xml:space="preserve">to which the relief applies </w:t>
      </w:r>
      <w:r w:rsidR="002A6762">
        <w:t>as</w:t>
      </w:r>
      <w:r w:rsidR="00FE2864" w:rsidRPr="00D528EE">
        <w:t xml:space="preserve">: </w:t>
      </w:r>
    </w:p>
    <w:p w14:paraId="61527D9F" w14:textId="77777777" w:rsidR="00C22027" w:rsidRDefault="00C22027" w:rsidP="00061A43">
      <w:pPr>
        <w:pStyle w:val="Default"/>
      </w:pPr>
    </w:p>
    <w:p w14:paraId="364FC2EF" w14:textId="15BA0674" w:rsidR="00C22027" w:rsidRDefault="00FE2864" w:rsidP="00C22027">
      <w:pPr>
        <w:pStyle w:val="LI-BodyTextNumbered"/>
        <w:numPr>
          <w:ilvl w:val="0"/>
          <w:numId w:val="10"/>
        </w:numPr>
        <w:spacing w:before="0"/>
        <w:ind w:left="1128"/>
        <w:contextualSpacing/>
      </w:pPr>
      <w:r w:rsidRPr="00D528EE">
        <w:t>prepared in accordance with the Act or other Act</w:t>
      </w:r>
      <w:r w:rsidR="00C22027">
        <w:t xml:space="preserve"> or a disallowable legislative instrument made under an Act and not: </w:t>
      </w:r>
    </w:p>
    <w:p w14:paraId="3C6F4B64" w14:textId="77777777" w:rsidR="00C22027" w:rsidRDefault="00C22027" w:rsidP="00C22027">
      <w:pPr>
        <w:pStyle w:val="LI-BodyTextNumbered"/>
        <w:spacing w:before="0"/>
        <w:ind w:left="1128" w:firstLine="0"/>
        <w:contextualSpacing/>
      </w:pPr>
    </w:p>
    <w:p w14:paraId="2CF61049" w14:textId="166CAA87" w:rsidR="00C22027" w:rsidRDefault="00C22027" w:rsidP="00C22027">
      <w:pPr>
        <w:pStyle w:val="LI-BodyTextNumbered"/>
        <w:numPr>
          <w:ilvl w:val="0"/>
          <w:numId w:val="9"/>
        </w:numPr>
        <w:spacing w:before="0"/>
        <w:ind w:left="1701" w:hanging="567"/>
        <w:contextualSpacing/>
      </w:pPr>
      <w:r>
        <w:t>an exempt document or statement as defined in subsection 766B(9); or</w:t>
      </w:r>
    </w:p>
    <w:p w14:paraId="09004B53" w14:textId="77777777" w:rsidR="00C22027" w:rsidRDefault="00C22027" w:rsidP="00C22027">
      <w:pPr>
        <w:pStyle w:val="LI-BodyTextNumbered"/>
        <w:spacing w:before="0"/>
        <w:ind w:left="1701" w:firstLine="0"/>
        <w:contextualSpacing/>
      </w:pPr>
    </w:p>
    <w:p w14:paraId="06256737" w14:textId="6B15978A" w:rsidR="00C22027" w:rsidRDefault="00C22027" w:rsidP="00C22027">
      <w:pPr>
        <w:pStyle w:val="LI-BodyTextNumbered"/>
        <w:numPr>
          <w:ilvl w:val="0"/>
          <w:numId w:val="9"/>
        </w:numPr>
        <w:spacing w:before="0"/>
        <w:ind w:left="1701" w:hanging="567"/>
        <w:contextualSpacing/>
      </w:pPr>
      <w:r>
        <w:t>a document or statement of the kind referred to in paragraphs (a)(</w:t>
      </w:r>
      <w:proofErr w:type="spellStart"/>
      <w:r>
        <w:t>i</w:t>
      </w:r>
      <w:proofErr w:type="spellEnd"/>
      <w:r>
        <w:t>) or (ii) of that definition;</w:t>
      </w:r>
    </w:p>
    <w:p w14:paraId="366373E8" w14:textId="2250EA2E" w:rsidR="00C22027" w:rsidRDefault="00C22027" w:rsidP="00C22027">
      <w:pPr>
        <w:pStyle w:val="LI-BodyTextNumbered"/>
        <w:spacing w:before="0"/>
        <w:ind w:left="1701" w:firstLine="0"/>
        <w:contextualSpacing/>
      </w:pPr>
    </w:p>
    <w:p w14:paraId="6D42FE2F" w14:textId="2AE194D6" w:rsidR="00FE2864" w:rsidRDefault="00C22027" w:rsidP="00C22027">
      <w:pPr>
        <w:pStyle w:val="LI-BodyTextNumbered"/>
        <w:numPr>
          <w:ilvl w:val="0"/>
          <w:numId w:val="9"/>
        </w:numPr>
        <w:spacing w:before="0"/>
        <w:ind w:left="1701" w:hanging="567"/>
        <w:contextualSpacing/>
      </w:pPr>
      <w:r>
        <w:t>a recommendation or statement of opinion made by an outside expert or a report of such a recommendation or statement of opinion as referred to in subsection 766B(1B); or</w:t>
      </w:r>
      <w:r w:rsidR="00FE2864" w:rsidRPr="00D528EE">
        <w:t xml:space="preserve">; </w:t>
      </w:r>
    </w:p>
    <w:p w14:paraId="3CA1EBD8" w14:textId="77777777" w:rsidR="00C22027" w:rsidRDefault="00C22027" w:rsidP="00C22027">
      <w:pPr>
        <w:pStyle w:val="LI-BodyTextNumbered"/>
        <w:spacing w:before="0"/>
        <w:ind w:left="1701" w:firstLine="0"/>
        <w:contextualSpacing/>
      </w:pPr>
    </w:p>
    <w:p w14:paraId="275D88E1" w14:textId="794715B5" w:rsidR="00C22027" w:rsidRDefault="00FE2864" w:rsidP="00C22027">
      <w:pPr>
        <w:pStyle w:val="Default"/>
        <w:numPr>
          <w:ilvl w:val="0"/>
          <w:numId w:val="10"/>
        </w:numPr>
        <w:spacing w:after="78"/>
      </w:pPr>
      <w:r w:rsidRPr="00D528EE">
        <w:t>explanatory statements for certain fore</w:t>
      </w:r>
      <w:r w:rsidR="00C22027">
        <w:t xml:space="preserve">ign schemes of arrangement; or </w:t>
      </w:r>
    </w:p>
    <w:p w14:paraId="3074525B" w14:textId="41F58523" w:rsidR="00FE2864" w:rsidRPr="00D528EE" w:rsidRDefault="00FE2864" w:rsidP="00C22027">
      <w:pPr>
        <w:pStyle w:val="Default"/>
        <w:numPr>
          <w:ilvl w:val="0"/>
          <w:numId w:val="10"/>
        </w:numPr>
        <w:spacing w:after="78"/>
      </w:pPr>
      <w:proofErr w:type="gramStart"/>
      <w:r w:rsidRPr="00D528EE">
        <w:t>documents</w:t>
      </w:r>
      <w:proofErr w:type="gramEnd"/>
      <w:r w:rsidRPr="00D528EE">
        <w:t xml:space="preserve"> provided in relation to a transaction involving the acquisition of control or potential control of, or the acquisition of a substantial interest in, an issuer of securities or a managed investment scheme that is regulated in the jurisdiction of an approved foreign market. </w:t>
      </w:r>
    </w:p>
    <w:p w14:paraId="217033DD" w14:textId="0511B537" w:rsidR="00C22027" w:rsidRPr="00C22027" w:rsidRDefault="00C22027" w:rsidP="00061A43">
      <w:pPr>
        <w:spacing w:before="199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2027">
        <w:rPr>
          <w:rFonts w:ascii="Times New Roman" w:hAnsi="Times New Roman" w:cs="Times New Roman"/>
          <w:sz w:val="24"/>
          <w:szCs w:val="24"/>
        </w:rPr>
        <w:t xml:space="preserve">Schedule 1 of </w:t>
      </w:r>
      <w:r w:rsidRPr="00C22027">
        <w:rPr>
          <w:rFonts w:ascii="Times New Roman" w:hAnsi="Times New Roman" w:cs="Times New Roman"/>
          <w:i/>
          <w:color w:val="000000"/>
          <w:sz w:val="24"/>
          <w:szCs w:val="24"/>
        </w:rPr>
        <w:t>ASIC Corporations (Repeal) Instrument 2016/452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repeals ASIC Class [CO 03/606].</w:t>
      </w:r>
    </w:p>
    <w:p w14:paraId="00EEA39D" w14:textId="77777777" w:rsidR="00C22027" w:rsidRDefault="00C22027" w:rsidP="00B41715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</w:pPr>
      <w:bookmarkStart w:id="2" w:name="4._Documents_incorporated_by_reference"/>
      <w:bookmarkStart w:id="3" w:name="5._Consultation"/>
      <w:bookmarkEnd w:id="2"/>
      <w:bookmarkEnd w:id="3"/>
    </w:p>
    <w:p w14:paraId="2C45FB7A" w14:textId="77777777" w:rsidR="00B41715" w:rsidRPr="00F822C2" w:rsidRDefault="00B41715" w:rsidP="00B41715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sz w:val="24"/>
          <w:szCs w:val="24"/>
          <w:lang w:val="en-US" w:eastAsia="en-AU"/>
        </w:rPr>
      </w:pPr>
      <w:r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>4.</w:t>
      </w:r>
      <w:r w:rsidR="001472E2" w:rsidRP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 xml:space="preserve"> </w:t>
      </w:r>
      <w:r w:rsid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="00F822C2">
        <w:rPr>
          <w:rFonts w:ascii="Arial" w:eastAsia="Times New Roman" w:hAnsi="Arial" w:cs="Arial"/>
          <w:b/>
          <w:bCs/>
          <w:spacing w:val="-1"/>
          <w:sz w:val="24"/>
          <w:szCs w:val="24"/>
          <w:lang w:eastAsia="en-AU"/>
        </w:rPr>
        <w:tab/>
      </w:r>
      <w:r w:rsidRPr="00F822C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Consultation</w:t>
      </w:r>
    </w:p>
    <w:p w14:paraId="13CD4819" w14:textId="41321E34" w:rsidR="00B41715" w:rsidRPr="00D528EE" w:rsidRDefault="004F708E" w:rsidP="001472E2">
      <w:pPr>
        <w:spacing w:before="4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part of its review of ASIC Class Order [CO 03/606] </w:t>
      </w:r>
      <w:r w:rsidR="00B41715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ASIC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released </w:t>
      </w:r>
      <w:r w:rsidR="00B41715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Consultation Paper 2</w:t>
      </w:r>
      <w:r w:rsidR="00F822C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51</w:t>
      </w:r>
      <w:r w:rsidR="00B41715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822C2" w:rsidRPr="00D528E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Remaking ASIC class order on financial product advice: Exempt documents [CO 03/606]</w:t>
      </w:r>
      <w:r w:rsidR="00F822C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(CP 251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E5308D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41715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was issued on </w:t>
      </w:r>
      <w:r w:rsidR="001472E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16 February 2</w:t>
      </w:r>
      <w:r w:rsidR="00B41715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016 and was open for comment to 18 March 2016.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ASIC receive</w:t>
      </w:r>
      <w:r w:rsidR="007C1E59">
        <w:rPr>
          <w:rFonts w:ascii="Times New Roman" w:eastAsia="Times New Roman" w:hAnsi="Times New Roman" w:cs="Times New Roman"/>
          <w:sz w:val="24"/>
          <w:szCs w:val="24"/>
          <w:lang w:eastAsia="en-AU"/>
        </w:rPr>
        <w:t>d two</w:t>
      </w:r>
      <w:r w:rsidR="00F822C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>submission</w:t>
      </w:r>
      <w:r w:rsidR="007C1E5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response to CP 25</w:t>
      </w:r>
      <w:r w:rsidR="00B10517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F822C2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support of the proposals</w:t>
      </w:r>
      <w:r w:rsidR="005C2C38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45539337" w14:textId="37A08A71" w:rsidR="00B41715" w:rsidRPr="00D528EE" w:rsidRDefault="00B41715" w:rsidP="00B4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has assessed that a Regulatory Impact Statement is not </w:t>
      </w:r>
      <w:r w:rsidR="00D470E4" w:rsidRPr="00D528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required in order to make </w:t>
      </w:r>
      <w:r w:rsidR="002A6762" w:rsidRPr="009F0E83">
        <w:rPr>
          <w:rFonts w:ascii="Times New Roman" w:hAnsi="Times New Roman" w:cs="Times New Roman"/>
          <w:i/>
          <w:color w:val="000000"/>
          <w:sz w:val="24"/>
          <w:szCs w:val="24"/>
        </w:rPr>
        <w:t>ASIC Corporations (Financial Product Advice—Exempt Documents) Instrument 2016/356</w:t>
      </w:r>
      <w:r w:rsidR="002A676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7F34DBD" w14:textId="77777777" w:rsidR="004F708E" w:rsidRDefault="004F708E">
      <w:pPr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lang w:eastAsia="en-AU"/>
        </w:rPr>
        <w:br w:type="page"/>
      </w:r>
    </w:p>
    <w:p w14:paraId="32437E4C" w14:textId="1BA114AB" w:rsidR="004F708E" w:rsidRDefault="004F708E" w:rsidP="00F822C2">
      <w:pPr>
        <w:pStyle w:val="CommentText"/>
        <w:jc w:val="center"/>
        <w:rPr>
          <w:lang w:eastAsia="en-AU"/>
        </w:rPr>
      </w:pPr>
      <w:r w:rsidRPr="004F708E">
        <w:rPr>
          <w:noProof/>
          <w:sz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0BDF" wp14:editId="2DC1D707">
                <wp:simplePos x="0" y="0"/>
                <wp:positionH relativeFrom="column">
                  <wp:posOffset>198120</wp:posOffset>
                </wp:positionH>
                <wp:positionV relativeFrom="paragraph">
                  <wp:posOffset>-190500</wp:posOffset>
                </wp:positionV>
                <wp:extent cx="5311140" cy="7810500"/>
                <wp:effectExtent l="38100" t="38100" r="4191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98F9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2ACC72C8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5C32D5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  <w:r w:rsidRPr="00512875">
                              <w:rPr>
                                <w:i/>
                              </w:rPr>
                              <w:t xml:space="preserve">Prepared in accordance with Part 3 of the Human Rights (Parliamentary Scrutiny) Act </w:t>
                            </w:r>
                          </w:p>
                          <w:p w14:paraId="6C16D67D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  <w:r w:rsidRPr="00512875">
                              <w:rPr>
                                <w:i/>
                              </w:rPr>
                              <w:t>2011</w:t>
                            </w:r>
                          </w:p>
                          <w:p w14:paraId="432F73B2" w14:textId="77777777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E764650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6A742BF3" w14:textId="2A2F6A24" w:rsidR="00512875" w:rsidRPr="00512875" w:rsidRDefault="00512875" w:rsidP="00512875">
                            <w:pPr>
                              <w:pStyle w:val="CommentText"/>
                              <w:jc w:val="center"/>
                              <w:rPr>
                                <w:b/>
                                <w:iCs/>
                                <w:color w:val="000000"/>
                                <w:spacing w:val="-1"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ASIC Corporations (</w:t>
                            </w:r>
                            <w:r w:rsidRPr="00512875">
                              <w:rPr>
                                <w:b/>
                                <w:iCs/>
                                <w:color w:val="000000"/>
                                <w:spacing w:val="-1"/>
                              </w:rPr>
                              <w:t>Financial Product Advice – Exemp</w:t>
                            </w:r>
                            <w:r w:rsidR="00697E7B">
                              <w:rPr>
                                <w:b/>
                                <w:iCs/>
                                <w:color w:val="000000"/>
                                <w:spacing w:val="-1"/>
                              </w:rPr>
                              <w:t>t Documents) Instrument 2016/356</w:t>
                            </w:r>
                          </w:p>
                          <w:p w14:paraId="05C6EEA9" w14:textId="77777777" w:rsidR="00512875" w:rsidRPr="00512875" w:rsidRDefault="00512875" w:rsidP="00512875">
                            <w:pPr>
                              <w:spacing w:before="63" w:after="100" w:afterAutospacing="1" w:line="4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AU"/>
                              </w:rPr>
                            </w:pPr>
                            <w:r w:rsidRPr="005128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  <w:lang w:eastAsia="en-AU"/>
                              </w:rPr>
                              <w:t>ASIC Corporations (Repeal) Instrument 2016/452</w:t>
                            </w:r>
                          </w:p>
                          <w:p w14:paraId="3BBE73A8" w14:textId="254D1C18" w:rsidR="00512875" w:rsidRPr="00512875" w:rsidRDefault="00512875" w:rsidP="00512875">
                            <w:pPr>
                              <w:pStyle w:val="CommentText"/>
                            </w:pPr>
                            <w:r w:rsidRPr="00512875">
                              <w:rPr>
                                <w:i/>
                              </w:rPr>
                              <w:t>ASIC Corporations (</w:t>
                            </w:r>
                            <w:r w:rsidRPr="00512875">
                              <w:rPr>
                                <w:i/>
                                <w:iCs/>
                                <w:color w:val="000000"/>
                                <w:spacing w:val="-1"/>
                              </w:rPr>
                              <w:t>Financial Product Advice – Exemp</w:t>
                            </w:r>
                            <w:r w:rsidR="00697E7B">
                              <w:rPr>
                                <w:i/>
                                <w:iCs/>
                                <w:color w:val="000000"/>
                                <w:spacing w:val="-1"/>
                              </w:rPr>
                              <w:t>t Documents) Instrument 2016/356</w:t>
                            </w:r>
                            <w:r w:rsidRPr="00512875">
                              <w:rPr>
                                <w:i/>
                                <w:i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512875">
                              <w:rPr>
                                <w:iCs/>
                                <w:color w:val="000000"/>
                                <w:spacing w:val="-1"/>
                              </w:rPr>
                              <w:t xml:space="preserve">and </w:t>
                            </w:r>
                            <w:r w:rsidRPr="00512875">
                              <w:rPr>
                                <w:bCs/>
                                <w:i/>
                                <w:color w:val="000000"/>
                                <w:spacing w:val="-1"/>
                                <w:lang w:eastAsia="en-AU"/>
                              </w:rPr>
                              <w:t xml:space="preserve">ASIC Corporations (Repeal) Instrument 2016/452 </w:t>
                            </w:r>
                            <w:r w:rsidRPr="00512875">
                              <w:rPr>
                                <w:bCs/>
                                <w:color w:val="000000"/>
                                <w:spacing w:val="-1"/>
                                <w:lang w:eastAsia="en-AU"/>
                              </w:rPr>
                              <w:t>are</w:t>
                            </w:r>
                            <w:r w:rsidRPr="00512875">
                              <w:rPr>
                                <w:bCs/>
                                <w:i/>
                                <w:color w:val="000000"/>
                                <w:spacing w:val="-1"/>
                                <w:lang w:eastAsia="en-AU"/>
                              </w:rPr>
                              <w:t xml:space="preserve"> </w:t>
                            </w:r>
                            <w:r w:rsidRPr="00512875">
                              <w:t xml:space="preserve">compatible with the human rights and freedoms recognised or declared in the international instruments listed in section 3 of the </w:t>
                            </w:r>
                            <w:r w:rsidRPr="00512875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512875">
                              <w:t>.</w:t>
                            </w:r>
                          </w:p>
                          <w:p w14:paraId="1467B898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6A215A69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1C965B05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 xml:space="preserve">Overview </w:t>
                            </w:r>
                          </w:p>
                          <w:p w14:paraId="4F2E7F5F" w14:textId="77777777" w:rsidR="00512875" w:rsidRPr="00056C6D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444C3387" w14:textId="77777777" w:rsidR="00056C6D" w:rsidRPr="00056C6D" w:rsidRDefault="00056C6D" w:rsidP="00056C6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056C6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ASIC Corporations (Financial Product Advice—Exempt Documents) Instrument 2016/356, </w:t>
                            </w:r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we have specified the documents, information or statements for the purposes of </w:t>
                            </w:r>
                            <w:proofErr w:type="spellStart"/>
                            <w:r w:rsidRPr="00056C6D">
                              <w:rPr>
                                <w:sz w:val="20"/>
                                <w:szCs w:val="20"/>
                              </w:rPr>
                              <w:t>reg</w:t>
                            </w:r>
                            <w:proofErr w:type="spellEnd"/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 7.1.08(3) of the Corporations Regulations that are included in the definition of ‘exempt document or statement’ in </w:t>
                            </w:r>
                            <w:proofErr w:type="gramStart"/>
                            <w:r w:rsidRPr="00056C6D">
                              <w:rPr>
                                <w:sz w:val="20"/>
                                <w:szCs w:val="20"/>
                              </w:rPr>
                              <w:t>s766B(</w:t>
                            </w:r>
                            <w:proofErr w:type="gramEnd"/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9)(b) of the Act. </w:t>
                            </w:r>
                          </w:p>
                          <w:p w14:paraId="51CCF1CB" w14:textId="7BAB3B2A" w:rsidR="00282261" w:rsidRPr="00282261" w:rsidRDefault="00282261" w:rsidP="00282261">
                            <w:pPr>
                              <w:spacing w:before="199" w:after="100" w:afterAutospacing="1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226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A person that provides financial product advice that is general advice in the documents specified in </w:t>
                            </w:r>
                            <w:r w:rsidRPr="00056C6D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ASIC Corporations (Financial Product Advice—Exempt Documents) Instrument 2016/356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8226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AU"/>
                              </w:rPr>
                              <w:t xml:space="preserve">is exempt from the requirement to hold an AFS licence </w:t>
                            </w:r>
                            <w:r w:rsidRPr="002822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the provision of financial product advice, or where the person is a financial services licensee or an authorised representative of such a licensee, from the conduct and disclosure requirements in Divisions 2 and 4 of Part 7.7 of the Act in relation to that advice.</w:t>
                            </w:r>
                          </w:p>
                          <w:p w14:paraId="1F112729" w14:textId="77777777" w:rsidR="00512875" w:rsidRPr="00056C6D" w:rsidRDefault="00512875" w:rsidP="0051287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056C6D">
                              <w:rPr>
                                <w:i/>
                                <w:sz w:val="20"/>
                                <w:szCs w:val="20"/>
                              </w:rPr>
                              <w:t>ASIC Corporations (Financial Product Advice—Exempt Documents) Instrument 2016/356</w:t>
                            </w:r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 will continue the relief provided by ASIC Class Order [CO 03/606] in a new legislative instrument that reflects current drafting practice, without any significant changes. </w:t>
                            </w:r>
                          </w:p>
                          <w:p w14:paraId="70180B89" w14:textId="66EA8289" w:rsidR="00512875" w:rsidRPr="00056C6D" w:rsidRDefault="00512875" w:rsidP="00512875">
                            <w:pPr>
                              <w:pStyle w:val="BodyText"/>
                              <w:spacing w:line="259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C6D">
                              <w:rPr>
                                <w:sz w:val="20"/>
                                <w:szCs w:val="20"/>
                              </w:rPr>
                              <w:t xml:space="preserve">The purpose of </w:t>
                            </w:r>
                            <w:r w:rsidRPr="00056C6D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ASIC Corporations (Repeal) Instrument 2016/452</w:t>
                            </w:r>
                            <w:r w:rsidRPr="00056C6D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is to repeal ASIC Class Order [CO 03/606] which </w:t>
                            </w:r>
                            <w:r w:rsidRPr="00056C6D">
                              <w:rPr>
                                <w:sz w:val="20"/>
                                <w:szCs w:val="20"/>
                              </w:rPr>
                              <w:t>is due to sunset on 1 April 2017</w:t>
                            </w:r>
                            <w:r w:rsidRPr="00056C6D">
                              <w:rPr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7F7716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66086B9E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C158A6D" w14:textId="77777777" w:rsidR="00512875" w:rsidRPr="00512875" w:rsidRDefault="00512875" w:rsidP="00512875">
                            <w:pPr>
                              <w:pStyle w:val="CommentText"/>
                            </w:pPr>
                          </w:p>
                          <w:p w14:paraId="116C655F" w14:textId="77777777" w:rsidR="00512875" w:rsidRPr="00512875" w:rsidRDefault="00512875" w:rsidP="00512875">
                            <w:pPr>
                              <w:pStyle w:val="CommentText"/>
                            </w:pPr>
                            <w:r w:rsidRPr="00512875">
                              <w:t>Neither legislative instrument engages any of the applicable rights or freedoms.</w:t>
                            </w:r>
                          </w:p>
                          <w:p w14:paraId="0679A50A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03BD149A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</w:p>
                          <w:p w14:paraId="07CC129E" w14:textId="77777777" w:rsidR="00512875" w:rsidRPr="00512875" w:rsidRDefault="00512875" w:rsidP="00512875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 w:rsidRPr="00512875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3AF2F37E" w14:textId="77777777" w:rsidR="00512875" w:rsidRPr="00512875" w:rsidRDefault="00512875" w:rsidP="00512875">
                            <w:pPr>
                              <w:pStyle w:val="CommentText"/>
                            </w:pPr>
                          </w:p>
                          <w:p w14:paraId="1573F62D" w14:textId="77777777" w:rsidR="00512875" w:rsidRPr="00512875" w:rsidRDefault="00512875" w:rsidP="00512875">
                            <w:pPr>
                              <w:pStyle w:val="CommentText"/>
                            </w:pPr>
                            <w:r w:rsidRPr="00512875">
                              <w:t>Both legislative instruments are compatible with human rights as it does not raise any human rights issues.</w:t>
                            </w:r>
                          </w:p>
                          <w:p w14:paraId="1CB7E82D" w14:textId="77777777" w:rsidR="00512875" w:rsidRPr="00512875" w:rsidRDefault="00512875" w:rsidP="005128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C7AE46" w14:textId="77777777" w:rsidR="004F708E" w:rsidRPr="00E4135E" w:rsidRDefault="004F708E" w:rsidP="004F708E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6pt;margin-top:-15pt;width:418.2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" strokeweight="6pt">
                <v:stroke linestyle="thickBetweenThin"/>
                <v:textbox inset="5mm,,5mm">
                  <w:txbxContent>
                    <w:p w14:paraId="48EF98F9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b/>
                        </w:rPr>
                      </w:pPr>
                      <w:bookmarkStart w:id="4" w:name="_GoBack"/>
                      <w:r w:rsidRPr="00512875">
                        <w:rPr>
                          <w:b/>
                        </w:rPr>
                        <w:t>Statement of Compatibility with Human Rights</w:t>
                      </w:r>
                    </w:p>
                    <w:p w14:paraId="2ACC72C8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b/>
                        </w:rPr>
                      </w:pPr>
                    </w:p>
                    <w:p w14:paraId="005C32D5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  <w:r w:rsidRPr="00512875">
                        <w:rPr>
                          <w:i/>
                        </w:rPr>
                        <w:t xml:space="preserve">Prepared in accordance with Part 3 of the Human Rights (Parliamentary Scrutiny) Act </w:t>
                      </w:r>
                    </w:p>
                    <w:p w14:paraId="6C16D67D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  <w:r w:rsidRPr="00512875">
                        <w:rPr>
                          <w:i/>
                        </w:rPr>
                        <w:t>2011</w:t>
                      </w:r>
                    </w:p>
                    <w:p w14:paraId="432F73B2" w14:textId="77777777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i/>
                        </w:rPr>
                      </w:pPr>
                    </w:p>
                    <w:p w14:paraId="0E764650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6A742BF3" w14:textId="2A2F6A24" w:rsidR="00512875" w:rsidRPr="00512875" w:rsidRDefault="00512875" w:rsidP="00512875">
                      <w:pPr>
                        <w:pStyle w:val="CommentText"/>
                        <w:jc w:val="center"/>
                        <w:rPr>
                          <w:b/>
                          <w:iCs/>
                          <w:color w:val="000000"/>
                          <w:spacing w:val="-1"/>
                        </w:rPr>
                      </w:pPr>
                      <w:r w:rsidRPr="00512875">
                        <w:rPr>
                          <w:b/>
                        </w:rPr>
                        <w:t>ASIC Corporations (</w:t>
                      </w:r>
                      <w:r w:rsidRPr="00512875">
                        <w:rPr>
                          <w:b/>
                          <w:iCs/>
                          <w:color w:val="000000"/>
                          <w:spacing w:val="-1"/>
                        </w:rPr>
                        <w:t>Financial Product Advice – Exemp</w:t>
                      </w:r>
                      <w:r w:rsidR="00697E7B">
                        <w:rPr>
                          <w:b/>
                          <w:iCs/>
                          <w:color w:val="000000"/>
                          <w:spacing w:val="-1"/>
                        </w:rPr>
                        <w:t>t Documents) Instrument 2016/356</w:t>
                      </w:r>
                    </w:p>
                    <w:p w14:paraId="05C6EEA9" w14:textId="77777777" w:rsidR="00512875" w:rsidRPr="00512875" w:rsidRDefault="00512875" w:rsidP="00512875">
                      <w:pPr>
                        <w:spacing w:before="63" w:after="100" w:afterAutospacing="1" w:line="477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AU"/>
                        </w:rPr>
                      </w:pPr>
                      <w:r w:rsidRPr="005128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  <w:lang w:eastAsia="en-AU"/>
                        </w:rPr>
                        <w:t>ASIC Corporations (Repeal) Instrument 2016/452</w:t>
                      </w:r>
                    </w:p>
                    <w:p w14:paraId="3BBE73A8" w14:textId="254D1C18" w:rsidR="00512875" w:rsidRPr="00512875" w:rsidRDefault="00512875" w:rsidP="00512875">
                      <w:pPr>
                        <w:pStyle w:val="CommentText"/>
                      </w:pPr>
                      <w:r w:rsidRPr="00512875">
                        <w:rPr>
                          <w:i/>
                        </w:rPr>
                        <w:t>ASIC Corporations (</w:t>
                      </w:r>
                      <w:r w:rsidRPr="00512875">
                        <w:rPr>
                          <w:i/>
                          <w:iCs/>
                          <w:color w:val="000000"/>
                          <w:spacing w:val="-1"/>
                        </w:rPr>
                        <w:t>Financial Product Advice – Exemp</w:t>
                      </w:r>
                      <w:r w:rsidR="00697E7B">
                        <w:rPr>
                          <w:i/>
                          <w:iCs/>
                          <w:color w:val="000000"/>
                          <w:spacing w:val="-1"/>
                        </w:rPr>
                        <w:t>t Documents) Instrument 2016/356</w:t>
                      </w:r>
                      <w:r w:rsidRPr="00512875">
                        <w:rPr>
                          <w:i/>
                          <w:iCs/>
                          <w:color w:val="000000"/>
                          <w:spacing w:val="-1"/>
                        </w:rPr>
                        <w:t xml:space="preserve"> </w:t>
                      </w:r>
                      <w:r w:rsidRPr="00512875">
                        <w:rPr>
                          <w:iCs/>
                          <w:color w:val="000000"/>
                          <w:spacing w:val="-1"/>
                        </w:rPr>
                        <w:t xml:space="preserve">and </w:t>
                      </w:r>
                      <w:r w:rsidRPr="00512875">
                        <w:rPr>
                          <w:bCs/>
                          <w:i/>
                          <w:color w:val="000000"/>
                          <w:spacing w:val="-1"/>
                          <w:lang w:eastAsia="en-AU"/>
                        </w:rPr>
                        <w:t xml:space="preserve">ASIC Corporations (Repeal) Instrument 2016/452 </w:t>
                      </w:r>
                      <w:r w:rsidRPr="00512875">
                        <w:rPr>
                          <w:bCs/>
                          <w:color w:val="000000"/>
                          <w:spacing w:val="-1"/>
                          <w:lang w:eastAsia="en-AU"/>
                        </w:rPr>
                        <w:t>are</w:t>
                      </w:r>
                      <w:r w:rsidRPr="00512875">
                        <w:rPr>
                          <w:bCs/>
                          <w:i/>
                          <w:color w:val="000000"/>
                          <w:spacing w:val="-1"/>
                          <w:lang w:eastAsia="en-AU"/>
                        </w:rPr>
                        <w:t xml:space="preserve"> </w:t>
                      </w:r>
                      <w:r w:rsidRPr="00512875">
                        <w:t xml:space="preserve">compatible with the human rights and freedoms recognised or declared in the international instruments listed in section 3 of the </w:t>
                      </w:r>
                      <w:r w:rsidRPr="00512875">
                        <w:rPr>
                          <w:i/>
                        </w:rPr>
                        <w:t>Human Rights (Parliamentary Scrutiny) Act 2011</w:t>
                      </w:r>
                      <w:r w:rsidRPr="00512875">
                        <w:t>.</w:t>
                      </w:r>
                    </w:p>
                    <w:p w14:paraId="1467B898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6A215A69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1C965B05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 xml:space="preserve">Overview </w:t>
                      </w:r>
                    </w:p>
                    <w:p w14:paraId="4F2E7F5F" w14:textId="77777777" w:rsidR="00512875" w:rsidRPr="00056C6D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444C3387" w14:textId="77777777" w:rsidR="00056C6D" w:rsidRPr="00056C6D" w:rsidRDefault="00056C6D" w:rsidP="00056C6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56C6D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Pr="00056C6D">
                        <w:rPr>
                          <w:i/>
                          <w:sz w:val="20"/>
                          <w:szCs w:val="20"/>
                        </w:rPr>
                        <w:t xml:space="preserve">ASIC Corporations (Financial Product Advice—Exempt Documents) Instrument 2016/356, </w:t>
                      </w:r>
                      <w:r w:rsidRPr="00056C6D">
                        <w:rPr>
                          <w:sz w:val="20"/>
                          <w:szCs w:val="20"/>
                        </w:rPr>
                        <w:t xml:space="preserve">we have specified the documents, information or statements for the purposes of </w:t>
                      </w:r>
                      <w:proofErr w:type="spellStart"/>
                      <w:r w:rsidRPr="00056C6D">
                        <w:rPr>
                          <w:sz w:val="20"/>
                          <w:szCs w:val="20"/>
                        </w:rPr>
                        <w:t>reg</w:t>
                      </w:r>
                      <w:proofErr w:type="spellEnd"/>
                      <w:r w:rsidRPr="00056C6D">
                        <w:rPr>
                          <w:sz w:val="20"/>
                          <w:szCs w:val="20"/>
                        </w:rPr>
                        <w:t xml:space="preserve"> 7.1.08(3) of the Corporations Regulations that are included in the definition of ‘exempt document or statement’ in </w:t>
                      </w:r>
                      <w:proofErr w:type="gramStart"/>
                      <w:r w:rsidRPr="00056C6D">
                        <w:rPr>
                          <w:sz w:val="20"/>
                          <w:szCs w:val="20"/>
                        </w:rPr>
                        <w:t>s766B(</w:t>
                      </w:r>
                      <w:proofErr w:type="gramEnd"/>
                      <w:r w:rsidRPr="00056C6D">
                        <w:rPr>
                          <w:sz w:val="20"/>
                          <w:szCs w:val="20"/>
                        </w:rPr>
                        <w:t xml:space="preserve">9)(b) of the Act. </w:t>
                      </w:r>
                    </w:p>
                    <w:p w14:paraId="51CCF1CB" w14:textId="7BAB3B2A" w:rsidR="00282261" w:rsidRPr="00282261" w:rsidRDefault="00282261" w:rsidP="00282261">
                      <w:pPr>
                        <w:spacing w:before="199" w:after="100" w:afterAutospacing="1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8226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A person that provides financial product advice that is general advice in the documents specified in </w:t>
                      </w:r>
                      <w:r w:rsidRPr="00056C6D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ASIC Corporations (Financial Product Advice—Exempt Documents) Instrument 2016/356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28226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AU"/>
                        </w:rPr>
                        <w:t xml:space="preserve">is exempt from the requirement to hold an AFS licence </w:t>
                      </w:r>
                      <w:r w:rsidRPr="002822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the provision of financial product advice, or where the person is a financial services licensee or an authorised representative of such a licensee, from the conduct and disclosure requirements in Divisions 2 and 4 of Part 7.7 of the Act in relation to that advice.</w:t>
                      </w:r>
                    </w:p>
                    <w:p w14:paraId="1F112729" w14:textId="77777777" w:rsidR="00512875" w:rsidRPr="00056C6D" w:rsidRDefault="00512875" w:rsidP="0051287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056C6D">
                        <w:rPr>
                          <w:i/>
                          <w:sz w:val="20"/>
                          <w:szCs w:val="20"/>
                        </w:rPr>
                        <w:t>ASIC Corporations (Financial Product Advice—Exempt Documents) Instrument 2016/356</w:t>
                      </w:r>
                      <w:r w:rsidRPr="00056C6D">
                        <w:rPr>
                          <w:sz w:val="20"/>
                          <w:szCs w:val="20"/>
                        </w:rPr>
                        <w:t xml:space="preserve"> will continue the relief provided by ASIC Class Order [CO 03/606] in a new legislative instrument that reflects current drafting practice, without any significant changes. </w:t>
                      </w:r>
                    </w:p>
                    <w:p w14:paraId="70180B89" w14:textId="66EA8289" w:rsidR="00512875" w:rsidRPr="00056C6D" w:rsidRDefault="00512875" w:rsidP="00512875">
                      <w:pPr>
                        <w:pStyle w:val="BodyText"/>
                        <w:spacing w:line="259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56C6D">
                        <w:rPr>
                          <w:sz w:val="20"/>
                          <w:szCs w:val="20"/>
                        </w:rPr>
                        <w:t xml:space="preserve">The purpose of </w:t>
                      </w:r>
                      <w:r w:rsidRPr="00056C6D">
                        <w:rPr>
                          <w:i/>
                          <w:color w:val="000000"/>
                          <w:sz w:val="20"/>
                          <w:szCs w:val="20"/>
                        </w:rPr>
                        <w:t>ASIC Corporations (Repeal) Instrument 2016/452</w:t>
                      </w:r>
                      <w:r w:rsidRPr="00056C6D">
                        <w:rPr>
                          <w:spacing w:val="-1"/>
                          <w:sz w:val="20"/>
                          <w:szCs w:val="20"/>
                        </w:rPr>
                        <w:t xml:space="preserve"> is to repeal ASIC Class Order [CO 03/606] which </w:t>
                      </w:r>
                      <w:r w:rsidRPr="00056C6D">
                        <w:rPr>
                          <w:sz w:val="20"/>
                          <w:szCs w:val="20"/>
                        </w:rPr>
                        <w:t>is due to sunset on 1 April 2017</w:t>
                      </w:r>
                      <w:r w:rsidRPr="00056C6D">
                        <w:rPr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657F7716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66086B9E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>Human rights implications</w:t>
                      </w:r>
                    </w:p>
                    <w:p w14:paraId="6C158A6D" w14:textId="77777777" w:rsidR="00512875" w:rsidRPr="00512875" w:rsidRDefault="00512875" w:rsidP="00512875">
                      <w:pPr>
                        <w:pStyle w:val="CommentText"/>
                      </w:pPr>
                    </w:p>
                    <w:p w14:paraId="116C655F" w14:textId="77777777" w:rsidR="00512875" w:rsidRPr="00512875" w:rsidRDefault="00512875" w:rsidP="00512875">
                      <w:pPr>
                        <w:pStyle w:val="CommentText"/>
                      </w:pPr>
                      <w:r w:rsidRPr="00512875">
                        <w:t>Neither legislative instrument engages any of the applicable rights or freedoms.</w:t>
                      </w:r>
                    </w:p>
                    <w:p w14:paraId="0679A50A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03BD149A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</w:p>
                    <w:p w14:paraId="07CC129E" w14:textId="77777777" w:rsidR="00512875" w:rsidRPr="00512875" w:rsidRDefault="00512875" w:rsidP="00512875">
                      <w:pPr>
                        <w:pStyle w:val="CommentText"/>
                        <w:rPr>
                          <w:b/>
                        </w:rPr>
                      </w:pPr>
                      <w:r w:rsidRPr="00512875">
                        <w:rPr>
                          <w:b/>
                        </w:rPr>
                        <w:t>Conclusion</w:t>
                      </w:r>
                    </w:p>
                    <w:p w14:paraId="3AF2F37E" w14:textId="77777777" w:rsidR="00512875" w:rsidRPr="00512875" w:rsidRDefault="00512875" w:rsidP="00512875">
                      <w:pPr>
                        <w:pStyle w:val="CommentText"/>
                      </w:pPr>
                    </w:p>
                    <w:p w14:paraId="1573F62D" w14:textId="77777777" w:rsidR="00512875" w:rsidRPr="00512875" w:rsidRDefault="00512875" w:rsidP="00512875">
                      <w:pPr>
                        <w:pStyle w:val="CommentText"/>
                      </w:pPr>
                      <w:r w:rsidRPr="00512875">
                        <w:t>Both legislative instruments are compatible with human rights as it does not raise any human rights issues.</w:t>
                      </w:r>
                    </w:p>
                    <w:p w14:paraId="1CB7E82D" w14:textId="77777777" w:rsidR="00512875" w:rsidRPr="00512875" w:rsidRDefault="00512875" w:rsidP="005128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bookmarkEnd w:id="4"/>
                    <w:p w14:paraId="59C7AE46" w14:textId="77777777" w:rsidR="004F708E" w:rsidRPr="00E4135E" w:rsidRDefault="004F708E" w:rsidP="004F708E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A6D4A3" w14:textId="77777777" w:rsidR="004F708E" w:rsidRPr="004F708E" w:rsidRDefault="004F708E" w:rsidP="004F708E">
      <w:pPr>
        <w:rPr>
          <w:lang w:eastAsia="en-AU"/>
        </w:rPr>
      </w:pPr>
    </w:p>
    <w:p w14:paraId="2B66C76A" w14:textId="77777777" w:rsidR="004F708E" w:rsidRPr="004F708E" w:rsidRDefault="004F708E" w:rsidP="004F708E">
      <w:pPr>
        <w:rPr>
          <w:lang w:eastAsia="en-AU"/>
        </w:rPr>
      </w:pPr>
    </w:p>
    <w:p w14:paraId="6D3427B0" w14:textId="20FD02C7" w:rsidR="004F708E" w:rsidRDefault="004F708E" w:rsidP="00F822C2">
      <w:pPr>
        <w:pStyle w:val="CommentText"/>
        <w:jc w:val="center"/>
        <w:rPr>
          <w:lang w:eastAsia="en-AU"/>
        </w:rPr>
      </w:pPr>
    </w:p>
    <w:p w14:paraId="25605AE5" w14:textId="5212B068" w:rsidR="004F708E" w:rsidRDefault="004F708E" w:rsidP="00F822C2">
      <w:pPr>
        <w:pStyle w:val="CommentText"/>
        <w:jc w:val="center"/>
        <w:rPr>
          <w:lang w:eastAsia="en-AU"/>
        </w:rPr>
      </w:pPr>
    </w:p>
    <w:p w14:paraId="32065A9A" w14:textId="45C9BC79" w:rsidR="004F708E" w:rsidRDefault="004F708E" w:rsidP="00F822C2">
      <w:pPr>
        <w:pStyle w:val="CommentText"/>
        <w:jc w:val="center"/>
        <w:rPr>
          <w:lang w:eastAsia="en-AU"/>
        </w:rPr>
      </w:pPr>
    </w:p>
    <w:p w14:paraId="6750447F" w14:textId="1CAF9DF4" w:rsidR="004F708E" w:rsidRDefault="004F708E" w:rsidP="004F708E">
      <w:pPr>
        <w:pStyle w:val="CommentText"/>
        <w:tabs>
          <w:tab w:val="left" w:pos="1848"/>
        </w:tabs>
        <w:rPr>
          <w:lang w:eastAsia="en-AU"/>
        </w:rPr>
      </w:pPr>
      <w:r>
        <w:rPr>
          <w:lang w:eastAsia="en-AU"/>
        </w:rPr>
        <w:tab/>
      </w:r>
    </w:p>
    <w:p w14:paraId="39AD5750" w14:textId="6556874D" w:rsidR="00F822C2" w:rsidRPr="00512875" w:rsidRDefault="00F822C2" w:rsidP="00512875">
      <w:pPr>
        <w:pStyle w:val="CommentText"/>
        <w:jc w:val="center"/>
      </w:pPr>
    </w:p>
    <w:sectPr w:rsidR="00F822C2" w:rsidRPr="0051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52E83"/>
    <w:multiLevelType w:val="hybridMultilevel"/>
    <w:tmpl w:val="4184D550"/>
    <w:lvl w:ilvl="0" w:tplc="033A40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78FB"/>
    <w:multiLevelType w:val="hybridMultilevel"/>
    <w:tmpl w:val="9224DBB8"/>
    <w:lvl w:ilvl="0" w:tplc="026C3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61CA1"/>
    <w:multiLevelType w:val="hybridMultilevel"/>
    <w:tmpl w:val="A33CE050"/>
    <w:lvl w:ilvl="0" w:tplc="35C2B6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3956"/>
    <w:multiLevelType w:val="hybridMultilevel"/>
    <w:tmpl w:val="24D695A4"/>
    <w:lvl w:ilvl="0" w:tplc="66729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4496"/>
    <w:multiLevelType w:val="hybridMultilevel"/>
    <w:tmpl w:val="0A42EE12"/>
    <w:lvl w:ilvl="0" w:tplc="DD628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946"/>
    <w:multiLevelType w:val="hybridMultilevel"/>
    <w:tmpl w:val="BBFE9D86"/>
    <w:lvl w:ilvl="0" w:tplc="E560132C">
      <w:start w:val="1"/>
      <w:numFmt w:val="decimal"/>
      <w:lvlText w:val="(%1)"/>
      <w:lvlJc w:val="left"/>
      <w:pPr>
        <w:ind w:left="1131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D16AC4"/>
    <w:multiLevelType w:val="hybridMultilevel"/>
    <w:tmpl w:val="47C6E0E2"/>
    <w:lvl w:ilvl="0" w:tplc="3E4E91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E81"/>
    <w:multiLevelType w:val="hybridMultilevel"/>
    <w:tmpl w:val="699ACFA8"/>
    <w:lvl w:ilvl="0" w:tplc="7D3856B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>
    <w:nsid w:val="6C2D4B5D"/>
    <w:multiLevelType w:val="hybridMultilevel"/>
    <w:tmpl w:val="FE76AE2A"/>
    <w:lvl w:ilvl="0" w:tplc="3E4E91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5"/>
    <w:rsid w:val="00035174"/>
    <w:rsid w:val="00056C6D"/>
    <w:rsid w:val="00061A43"/>
    <w:rsid w:val="00072610"/>
    <w:rsid w:val="000B642B"/>
    <w:rsid w:val="0014209C"/>
    <w:rsid w:val="001472E2"/>
    <w:rsid w:val="0016049C"/>
    <w:rsid w:val="00211B06"/>
    <w:rsid w:val="00282261"/>
    <w:rsid w:val="002A6762"/>
    <w:rsid w:val="002E7CA5"/>
    <w:rsid w:val="003E443D"/>
    <w:rsid w:val="003E77C6"/>
    <w:rsid w:val="0040636C"/>
    <w:rsid w:val="004A011E"/>
    <w:rsid w:val="004B76BC"/>
    <w:rsid w:val="004C329D"/>
    <w:rsid w:val="004F708E"/>
    <w:rsid w:val="00512875"/>
    <w:rsid w:val="005C2C38"/>
    <w:rsid w:val="005E702D"/>
    <w:rsid w:val="00697E7B"/>
    <w:rsid w:val="00710A78"/>
    <w:rsid w:val="00746742"/>
    <w:rsid w:val="00757DDA"/>
    <w:rsid w:val="007C1E59"/>
    <w:rsid w:val="00822FB3"/>
    <w:rsid w:val="0088785E"/>
    <w:rsid w:val="009F0E83"/>
    <w:rsid w:val="00A37E45"/>
    <w:rsid w:val="00A934EC"/>
    <w:rsid w:val="00AA34E2"/>
    <w:rsid w:val="00B10517"/>
    <w:rsid w:val="00B41715"/>
    <w:rsid w:val="00C22027"/>
    <w:rsid w:val="00CF2834"/>
    <w:rsid w:val="00D15049"/>
    <w:rsid w:val="00D470E4"/>
    <w:rsid w:val="00D528EE"/>
    <w:rsid w:val="00DE5E75"/>
    <w:rsid w:val="00E5308D"/>
    <w:rsid w:val="00E5401A"/>
    <w:rsid w:val="00EE125F"/>
    <w:rsid w:val="00F022C4"/>
    <w:rsid w:val="00F822C2"/>
    <w:rsid w:val="00FA6660"/>
    <w:rsid w:val="00FB7556"/>
    <w:rsid w:val="00FC4FC3"/>
    <w:rsid w:val="00FE2864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E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71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171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plain">
    <w:name w:val="bodytextplain"/>
    <w:basedOn w:val="Normal"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B41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4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F8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22C2"/>
    <w:rPr>
      <w:rFonts w:ascii="Times New Roman" w:eastAsia="Times New Roman" w:hAnsi="Times New Roman" w:cs="Times New Roman"/>
      <w:sz w:val="20"/>
      <w:szCs w:val="20"/>
    </w:rPr>
  </w:style>
  <w:style w:type="paragraph" w:customStyle="1" w:styleId="LI-Heading1">
    <w:name w:val="LI - Heading 1"/>
    <w:basedOn w:val="Normal"/>
    <w:next w:val="Normal"/>
    <w:qFormat/>
    <w:rsid w:val="00C22027"/>
    <w:pPr>
      <w:keepNext/>
      <w:keepLines/>
      <w:spacing w:before="280"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C22027"/>
    <w:pPr>
      <w:spacing w:before="24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C22027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71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171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plain">
    <w:name w:val="bodytextplain"/>
    <w:basedOn w:val="Normal"/>
    <w:rsid w:val="00B4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B41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4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F8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22C2"/>
    <w:rPr>
      <w:rFonts w:ascii="Times New Roman" w:eastAsia="Times New Roman" w:hAnsi="Times New Roman" w:cs="Times New Roman"/>
      <w:sz w:val="20"/>
      <w:szCs w:val="20"/>
    </w:rPr>
  </w:style>
  <w:style w:type="paragraph" w:customStyle="1" w:styleId="LI-Heading1">
    <w:name w:val="LI - Heading 1"/>
    <w:basedOn w:val="Normal"/>
    <w:next w:val="Normal"/>
    <w:qFormat/>
    <w:rsid w:val="00C22027"/>
    <w:pPr>
      <w:keepNext/>
      <w:keepLines/>
      <w:spacing w:before="280"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C22027"/>
    <w:pPr>
      <w:spacing w:before="24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C22027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R20160000344290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e3d6af94617946d9813caf87b95826d7 xmlns="0ac98799-20dc-43fa-a7f5-120fca1d2db7">
      <Terms xmlns="http://schemas.microsoft.com/office/infopath/2007/PartnerControls"/>
    </e3d6af94617946d9813caf87b95826d7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B813-D3AB-469B-9E31-4D05143769DC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http://purl.org/dc/dcmitype/"/>
    <ds:schemaRef ds:uri="http://purl.org/dc/elements/1.1/"/>
    <ds:schemaRef ds:uri="e61c8409-2b3d-41a9-86ff-6de17ebba263"/>
    <ds:schemaRef ds:uri="http://purl.org/dc/terms/"/>
    <ds:schemaRef ds:uri="da7a9ac0-bc47-4684-84e6-3a8e9ac80c12"/>
    <ds:schemaRef ds:uri="http://schemas.microsoft.com/office/infopath/2007/PartnerControls"/>
    <ds:schemaRef ds:uri="0ac98799-20dc-43fa-a7f5-120fca1d2db7"/>
    <ds:schemaRef ds:uri="17f478ab-373e-4295-9ff0-9b833ad013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C4CBB5-B413-4C0E-8784-2C8D1D683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D41AE-B7AD-42AA-A310-472BEA6C0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AF7DF-E0AB-4D16-B139-5E987F92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janice.chandra</dc:creator>
  <cp:lastModifiedBy>debbie.cowley</cp:lastModifiedBy>
  <cp:revision>2</cp:revision>
  <cp:lastPrinted>2016-05-30T06:14:00Z</cp:lastPrinted>
  <dcterms:created xsi:type="dcterms:W3CDTF">2016-06-06T03:51:00Z</dcterms:created>
  <dcterms:modified xsi:type="dcterms:W3CDTF">2016-06-06T03:51:00Z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0x010100B5F685A1365F544391EF8C813B164F3AC100B96475DE23F29F44A6FD58A31C00EB7B</vt:lpwstr>
  </property>
  <property fmtid="{D5CDD505-2E9C-101B-9397-08002B2CF9AE}" pid="3" name="IMSFilesetProductType">
    <vt:lpwstr/>
  </property>
  <property fmtid="{D5CDD505-2E9C-101B-9397-08002B2CF9AE}" pid="4" name="File_x0020_search_x0020_keywords">
    <vt:lpwstr/>
  </property>
  <property fmtid="{D5CDD505-2E9C-101B-9397-08002B2CF9AE}" pid="5" name="IMS_x0020_Precedent">
    <vt:lpwstr/>
  </property>
  <property fmtid="{D5CDD505-2E9C-101B-9397-08002B2CF9AE}" pid="6" name="IMSEntity">
    <vt:lpwstr/>
  </property>
  <property fmtid="{D5CDD505-2E9C-101B-9397-08002B2CF9AE}" pid="7" name="Fileset search keywords">
    <vt:lpwstr/>
  </property>
  <property fmtid="{D5CDD505-2E9C-101B-9397-08002B2CF9AE}" pid="8" name="SecurityClassification">
    <vt:lpwstr>6;#Sensitive|19fd2cb8-3e97-4464-ae71-8c2c2095d028</vt:lpwstr>
  </property>
  <property fmtid="{D5CDD505-2E9C-101B-9397-08002B2CF9AE}" pid="9" name="IMSDocumentType">
    <vt:lpwstr/>
  </property>
  <property fmtid="{D5CDD505-2E9C-101B-9397-08002B2CF9AE}" pid="10" name="RecordPoint_WorkflowType">
    <vt:lpwstr>ActiveSubmitStub</vt:lpwstr>
  </property>
  <property fmtid="{D5CDD505-2E9C-101B-9397-08002B2CF9AE}" pid="11" name="IMSFilesetEntity">
    <vt:lpwstr/>
  </property>
  <property fmtid="{D5CDD505-2E9C-101B-9397-08002B2CF9AE}" pid="12" name="IMSProductType">
    <vt:lpwstr/>
  </property>
  <property fmtid="{D5CDD505-2E9C-101B-9397-08002B2CF9AE}" pid="13" name="RecordPoint_ActiveItemUniqueId">
    <vt:lpwstr>{04b79f76-9289-4fe9-abbb-53ea66bf16bf}</vt:lpwstr>
  </property>
  <property fmtid="{D5CDD505-2E9C-101B-9397-08002B2CF9AE}" pid="14" name="File search keywords">
    <vt:lpwstr/>
  </property>
  <property fmtid="{D5CDD505-2E9C-101B-9397-08002B2CF9AE}" pid="15" name="IMS Precedent">
    <vt:lpwstr/>
  </property>
  <property fmtid="{D5CDD505-2E9C-101B-9397-08002B2CF9AE}" pid="16" name="RecordPoint_ActiveItemWebId">
    <vt:lpwstr>{e61c8409-2b3d-41a9-86ff-6de17ebba263}</vt:lpwstr>
  </property>
  <property fmtid="{D5CDD505-2E9C-101B-9397-08002B2CF9AE}" pid="17" name="RecordPoint_ActiveItemSiteId">
    <vt:lpwstr>{7c55c358-5415-4198-9ede-08a0775024ad}</vt:lpwstr>
  </property>
  <property fmtid="{D5CDD505-2E9C-101B-9397-08002B2CF9AE}" pid="18" name="RecordPoint_ActiveItemListId">
    <vt:lpwstr>{0ac98799-20dc-43fa-a7f5-120fca1d2db7}</vt:lpwstr>
  </property>
  <property fmtid="{D5CDD505-2E9C-101B-9397-08002B2CF9AE}" pid="19" name="RecordPoint_RecordNumberSubmitted">
    <vt:lpwstr>R20160000344290</vt:lpwstr>
  </property>
  <property fmtid="{D5CDD505-2E9C-101B-9397-08002B2CF9AE}" pid="20" name="RecordPoint_SubmissionCompleted">
    <vt:lpwstr>2016-05-31T10:37:20.4392779+10:00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