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81" w:rsidRPr="00315A92" w:rsidRDefault="00610881" w:rsidP="00315A92">
      <w:pPr>
        <w:rPr>
          <w:rFonts w:ascii="Arial" w:hAnsi="Arial" w:cs="Arial"/>
        </w:rPr>
      </w:pPr>
      <w:bookmarkStart w:id="0" w:name="_GoBack"/>
      <w:bookmarkEnd w:id="0"/>
    </w:p>
    <w:p w:rsidR="00315A92" w:rsidRPr="00315A92" w:rsidRDefault="00315A92" w:rsidP="00315A92">
      <w:pPr>
        <w:jc w:val="center"/>
        <w:rPr>
          <w:rFonts w:ascii="Arial" w:hAnsi="Arial" w:cs="Arial"/>
          <w:u w:val="single"/>
        </w:rPr>
      </w:pPr>
      <w:r w:rsidRPr="00315A92">
        <w:rPr>
          <w:rFonts w:ascii="Arial" w:hAnsi="Arial" w:cs="Arial"/>
          <w:u w:val="single"/>
        </w:rPr>
        <w:t xml:space="preserve">HIGH COURT </w:t>
      </w:r>
      <w:r w:rsidR="00205BED">
        <w:rPr>
          <w:rFonts w:ascii="Arial" w:hAnsi="Arial" w:cs="Arial"/>
          <w:u w:val="single"/>
        </w:rPr>
        <w:t xml:space="preserve">AMENDMENT </w:t>
      </w:r>
      <w:r w:rsidR="0012618D">
        <w:rPr>
          <w:rFonts w:ascii="Arial" w:hAnsi="Arial" w:cs="Arial"/>
          <w:u w:val="single"/>
        </w:rPr>
        <w:t>(</w:t>
      </w:r>
      <w:r w:rsidR="009726D2">
        <w:rPr>
          <w:rFonts w:ascii="Arial" w:hAnsi="Arial" w:cs="Arial"/>
          <w:u w:val="single"/>
        </w:rPr>
        <w:t>201</w:t>
      </w:r>
      <w:r w:rsidR="00176692">
        <w:rPr>
          <w:rFonts w:ascii="Arial" w:hAnsi="Arial" w:cs="Arial"/>
          <w:u w:val="single"/>
        </w:rPr>
        <w:t>6</w:t>
      </w:r>
      <w:r w:rsidR="009726D2">
        <w:rPr>
          <w:rFonts w:ascii="Arial" w:hAnsi="Arial" w:cs="Arial"/>
          <w:u w:val="single"/>
        </w:rPr>
        <w:t xml:space="preserve"> MEASURES No. 1</w:t>
      </w:r>
      <w:r w:rsidR="0012618D">
        <w:rPr>
          <w:rFonts w:ascii="Arial" w:hAnsi="Arial" w:cs="Arial"/>
          <w:u w:val="single"/>
        </w:rPr>
        <w:t xml:space="preserve">) </w:t>
      </w:r>
      <w:r w:rsidRPr="00315A92">
        <w:rPr>
          <w:rFonts w:ascii="Arial" w:hAnsi="Arial" w:cs="Arial"/>
          <w:u w:val="single"/>
        </w:rPr>
        <w:t>RULE</w:t>
      </w:r>
      <w:r w:rsidR="00205BED">
        <w:rPr>
          <w:rFonts w:ascii="Arial" w:hAnsi="Arial" w:cs="Arial"/>
          <w:u w:val="single"/>
        </w:rPr>
        <w:t>S</w:t>
      </w:r>
      <w:r w:rsidR="009726D2">
        <w:rPr>
          <w:rFonts w:ascii="Arial" w:hAnsi="Arial" w:cs="Arial"/>
          <w:u w:val="single"/>
        </w:rPr>
        <w:t xml:space="preserve"> 201</w:t>
      </w:r>
      <w:r w:rsidR="001C496F">
        <w:rPr>
          <w:rFonts w:ascii="Arial" w:hAnsi="Arial" w:cs="Arial"/>
          <w:u w:val="single"/>
        </w:rPr>
        <w:t>6</w:t>
      </w:r>
    </w:p>
    <w:p w:rsidR="00315A92" w:rsidRPr="00315A92" w:rsidRDefault="00176692" w:rsidP="00315A92">
      <w:pPr>
        <w:jc w:val="center"/>
        <w:rPr>
          <w:rFonts w:ascii="Arial" w:hAnsi="Arial" w:cs="Arial"/>
          <w:u w:val="single"/>
        </w:rPr>
      </w:pPr>
      <w:r>
        <w:rPr>
          <w:rFonts w:ascii="Arial" w:hAnsi="Arial" w:cs="Arial"/>
          <w:u w:val="single"/>
        </w:rPr>
        <w:t>7 JUNE 2016</w:t>
      </w:r>
      <w:r w:rsidR="00315A92" w:rsidRPr="00315A92">
        <w:rPr>
          <w:rFonts w:ascii="Arial" w:hAnsi="Arial" w:cs="Arial"/>
          <w:u w:val="single"/>
        </w:rPr>
        <w:br/>
        <w:t>EXPLANATORY STATEMENT</w:t>
      </w:r>
    </w:p>
    <w:p w:rsidR="00315A92" w:rsidRPr="00315A92" w:rsidRDefault="00315A92" w:rsidP="00315A92">
      <w:pPr>
        <w:jc w:val="center"/>
        <w:rPr>
          <w:rFonts w:ascii="Arial" w:hAnsi="Arial" w:cs="Arial"/>
        </w:rPr>
      </w:pPr>
    </w:p>
    <w:p w:rsidR="00315A92" w:rsidRDefault="00315A92" w:rsidP="00651A3B">
      <w:pPr>
        <w:jc w:val="both"/>
        <w:rPr>
          <w:rFonts w:ascii="Arial" w:hAnsi="Arial" w:cs="Arial"/>
        </w:rPr>
      </w:pPr>
      <w:r>
        <w:rPr>
          <w:rFonts w:ascii="Arial" w:hAnsi="Arial" w:cs="Arial"/>
        </w:rPr>
        <w:t xml:space="preserve">These </w:t>
      </w:r>
      <w:r w:rsidR="00205BED">
        <w:rPr>
          <w:rFonts w:ascii="Arial" w:hAnsi="Arial" w:cs="Arial"/>
        </w:rPr>
        <w:t xml:space="preserve">Amendment </w:t>
      </w:r>
      <w:r>
        <w:rPr>
          <w:rFonts w:ascii="Arial" w:hAnsi="Arial" w:cs="Arial"/>
        </w:rPr>
        <w:t>Rules of Court</w:t>
      </w:r>
      <w:r w:rsidR="00205BED">
        <w:rPr>
          <w:rFonts w:ascii="Arial" w:hAnsi="Arial" w:cs="Arial"/>
        </w:rPr>
        <w:t>,</w:t>
      </w:r>
      <w:r>
        <w:rPr>
          <w:rFonts w:ascii="Arial" w:hAnsi="Arial" w:cs="Arial"/>
        </w:rPr>
        <w:t xml:space="preserve"> </w:t>
      </w:r>
      <w:r w:rsidR="00205BED">
        <w:rPr>
          <w:rFonts w:ascii="Arial" w:hAnsi="Arial" w:cs="Arial"/>
        </w:rPr>
        <w:t xml:space="preserve">signed by the Justices </w:t>
      </w:r>
      <w:r w:rsidR="00205BED" w:rsidRPr="00F71D1C">
        <w:rPr>
          <w:rFonts w:ascii="Arial" w:hAnsi="Arial" w:cs="Arial"/>
        </w:rPr>
        <w:t>on</w:t>
      </w:r>
      <w:r w:rsidR="003519D5" w:rsidRPr="00F71D1C">
        <w:rPr>
          <w:rFonts w:ascii="Arial" w:hAnsi="Arial" w:cs="Arial"/>
        </w:rPr>
        <w:t xml:space="preserve"> </w:t>
      </w:r>
      <w:r w:rsidR="00176692">
        <w:rPr>
          <w:rFonts w:ascii="Arial" w:hAnsi="Arial" w:cs="Arial"/>
        </w:rPr>
        <w:t>7 June 2016</w:t>
      </w:r>
      <w:r w:rsidR="00205BED">
        <w:rPr>
          <w:rFonts w:ascii="Arial" w:hAnsi="Arial" w:cs="Arial"/>
        </w:rPr>
        <w:t xml:space="preserve">, </w:t>
      </w:r>
      <w:r>
        <w:rPr>
          <w:rFonts w:ascii="Arial" w:hAnsi="Arial" w:cs="Arial"/>
        </w:rPr>
        <w:t xml:space="preserve">are made by the </w:t>
      </w:r>
      <w:r w:rsidRPr="003453E1">
        <w:rPr>
          <w:rFonts w:ascii="Arial" w:hAnsi="Arial" w:cs="Arial"/>
        </w:rPr>
        <w:t xml:space="preserve">Justices under the </w:t>
      </w:r>
      <w:r w:rsidRPr="003453E1">
        <w:rPr>
          <w:rFonts w:ascii="Arial" w:hAnsi="Arial" w:cs="Arial"/>
          <w:i/>
        </w:rPr>
        <w:t xml:space="preserve">Judiciary Act </w:t>
      </w:r>
      <w:r w:rsidRPr="003453E1">
        <w:rPr>
          <w:rFonts w:ascii="Arial" w:hAnsi="Arial" w:cs="Arial"/>
        </w:rPr>
        <w:t>1903</w:t>
      </w:r>
      <w:r w:rsidR="004822BC" w:rsidRPr="003453E1">
        <w:rPr>
          <w:rFonts w:ascii="Arial" w:hAnsi="Arial" w:cs="Arial"/>
        </w:rPr>
        <w:t xml:space="preserve">, the </w:t>
      </w:r>
      <w:r w:rsidR="004822BC" w:rsidRPr="003453E1">
        <w:rPr>
          <w:rFonts w:ascii="Arial" w:hAnsi="Arial" w:cs="Arial"/>
          <w:i/>
        </w:rPr>
        <w:t>Commonwealth Electoral Act</w:t>
      </w:r>
      <w:r w:rsidR="004822BC" w:rsidRPr="003453E1">
        <w:rPr>
          <w:rFonts w:ascii="Arial" w:hAnsi="Arial" w:cs="Arial"/>
        </w:rPr>
        <w:t xml:space="preserve"> 1918, the </w:t>
      </w:r>
      <w:r w:rsidR="004822BC" w:rsidRPr="003453E1">
        <w:rPr>
          <w:rFonts w:ascii="Arial" w:hAnsi="Arial" w:cs="Arial"/>
          <w:i/>
        </w:rPr>
        <w:t xml:space="preserve">Nauru (High Court Appeals) Act </w:t>
      </w:r>
      <w:r w:rsidR="004822BC" w:rsidRPr="003453E1">
        <w:rPr>
          <w:rFonts w:ascii="Arial" w:hAnsi="Arial" w:cs="Arial"/>
        </w:rPr>
        <w:t>1976</w:t>
      </w:r>
      <w:r w:rsidR="004822BC" w:rsidRPr="003453E1">
        <w:rPr>
          <w:rFonts w:ascii="Arial" w:hAnsi="Arial" w:cs="Arial"/>
          <w:i/>
        </w:rPr>
        <w:t xml:space="preserve"> </w:t>
      </w:r>
      <w:r w:rsidR="004822BC" w:rsidRPr="003453E1">
        <w:rPr>
          <w:rFonts w:ascii="Arial" w:hAnsi="Arial" w:cs="Arial"/>
        </w:rPr>
        <w:t>and the</w:t>
      </w:r>
      <w:r w:rsidR="004822BC" w:rsidRPr="003453E1">
        <w:rPr>
          <w:rFonts w:ascii="Arial" w:hAnsi="Arial" w:cs="Arial"/>
          <w:i/>
        </w:rPr>
        <w:t xml:space="preserve"> High Court of Australia Act </w:t>
      </w:r>
      <w:r w:rsidR="004822BC" w:rsidRPr="003453E1">
        <w:rPr>
          <w:rFonts w:ascii="Arial" w:hAnsi="Arial" w:cs="Arial"/>
        </w:rPr>
        <w:t>1979</w:t>
      </w:r>
      <w:r w:rsidR="004822BC">
        <w:rPr>
          <w:rFonts w:ascii="Arial" w:hAnsi="Arial" w:cs="Arial"/>
        </w:rPr>
        <w:t>.</w:t>
      </w:r>
    </w:p>
    <w:p w:rsidR="003453E1" w:rsidRDefault="003453E1" w:rsidP="00651A3B">
      <w:pPr>
        <w:jc w:val="both"/>
        <w:rPr>
          <w:rFonts w:ascii="Arial" w:hAnsi="Arial" w:cs="Arial"/>
        </w:rPr>
      </w:pPr>
    </w:p>
    <w:p w:rsidR="003453E1" w:rsidRDefault="003453E1" w:rsidP="00651A3B">
      <w:pPr>
        <w:jc w:val="both"/>
        <w:rPr>
          <w:rFonts w:ascii="Arial" w:hAnsi="Arial" w:cs="Arial"/>
        </w:rPr>
      </w:pPr>
      <w:r>
        <w:rPr>
          <w:rFonts w:ascii="Arial" w:hAnsi="Arial" w:cs="Arial"/>
        </w:rPr>
        <w:t xml:space="preserve">The High Court has </w:t>
      </w:r>
      <w:r w:rsidR="00234881">
        <w:rPr>
          <w:rFonts w:ascii="Arial" w:hAnsi="Arial" w:cs="Arial"/>
        </w:rPr>
        <w:t xml:space="preserve">reviewed </w:t>
      </w:r>
      <w:r>
        <w:rPr>
          <w:rFonts w:ascii="Arial" w:hAnsi="Arial" w:cs="Arial"/>
        </w:rPr>
        <w:t xml:space="preserve">the procedures </w:t>
      </w:r>
      <w:r w:rsidR="00B63D62">
        <w:rPr>
          <w:rFonts w:ascii="Arial" w:hAnsi="Arial" w:cs="Arial"/>
        </w:rPr>
        <w:t>governing</w:t>
      </w:r>
      <w:r>
        <w:rPr>
          <w:rFonts w:ascii="Arial" w:hAnsi="Arial" w:cs="Arial"/>
        </w:rPr>
        <w:t xml:space="preserve"> the filing and determination of applications for leave and special leave to appeal to the Court</w:t>
      </w:r>
      <w:r w:rsidR="00B63D62">
        <w:rPr>
          <w:rFonts w:ascii="Arial" w:hAnsi="Arial" w:cs="Arial"/>
        </w:rPr>
        <w:t xml:space="preserve"> and has decided to </w:t>
      </w:r>
      <w:r w:rsidR="00234881">
        <w:rPr>
          <w:rFonts w:ascii="Arial" w:hAnsi="Arial" w:cs="Arial"/>
        </w:rPr>
        <w:t>streamline some of the processes</w:t>
      </w:r>
      <w:r w:rsidR="00B63D62">
        <w:rPr>
          <w:rFonts w:ascii="Arial" w:hAnsi="Arial" w:cs="Arial"/>
        </w:rPr>
        <w:t xml:space="preserve"> in order to </w:t>
      </w:r>
      <w:r>
        <w:rPr>
          <w:rFonts w:ascii="Arial" w:hAnsi="Arial" w:cs="Arial"/>
        </w:rPr>
        <w:t xml:space="preserve">reduce the time between filing and determination </w:t>
      </w:r>
      <w:r w:rsidR="00234881">
        <w:rPr>
          <w:rFonts w:ascii="Arial" w:hAnsi="Arial" w:cs="Arial"/>
        </w:rPr>
        <w:t xml:space="preserve">of applications </w:t>
      </w:r>
      <w:r>
        <w:rPr>
          <w:rFonts w:ascii="Arial" w:hAnsi="Arial" w:cs="Arial"/>
        </w:rPr>
        <w:t xml:space="preserve">and </w:t>
      </w:r>
      <w:r w:rsidR="006C3CE7">
        <w:rPr>
          <w:rFonts w:ascii="Arial" w:hAnsi="Arial" w:cs="Arial"/>
        </w:rPr>
        <w:t xml:space="preserve">to </w:t>
      </w:r>
      <w:r>
        <w:rPr>
          <w:rFonts w:ascii="Arial" w:hAnsi="Arial" w:cs="Arial"/>
        </w:rPr>
        <w:t>reduce the cost to the parties.</w:t>
      </w:r>
    </w:p>
    <w:p w:rsidR="003453E1" w:rsidRDefault="003453E1" w:rsidP="00651A3B">
      <w:pPr>
        <w:jc w:val="both"/>
        <w:rPr>
          <w:rFonts w:ascii="Arial" w:hAnsi="Arial" w:cs="Arial"/>
        </w:rPr>
      </w:pPr>
    </w:p>
    <w:p w:rsidR="001C496F" w:rsidRDefault="003453E1" w:rsidP="003453E1">
      <w:pPr>
        <w:jc w:val="both"/>
        <w:rPr>
          <w:rFonts w:ascii="Arial" w:hAnsi="Arial" w:cs="Arial"/>
          <w:szCs w:val="24"/>
        </w:rPr>
      </w:pPr>
      <w:r>
        <w:rPr>
          <w:rFonts w:ascii="Arial" w:hAnsi="Arial" w:cs="Arial"/>
        </w:rPr>
        <w:t>The Amendment Rules incorporate the new special leave procedures</w:t>
      </w:r>
      <w:r w:rsidR="00B63D62">
        <w:rPr>
          <w:rFonts w:ascii="Arial" w:hAnsi="Arial" w:cs="Arial"/>
        </w:rPr>
        <w:t xml:space="preserve"> </w:t>
      </w:r>
      <w:r w:rsidR="006C3CE7">
        <w:rPr>
          <w:rFonts w:ascii="Arial" w:hAnsi="Arial" w:cs="Arial"/>
        </w:rPr>
        <w:t>(</w:t>
      </w:r>
      <w:r w:rsidR="00B63D62">
        <w:rPr>
          <w:rFonts w:ascii="Arial" w:hAnsi="Arial" w:cs="Arial"/>
        </w:rPr>
        <w:t>in Part 41</w:t>
      </w:r>
      <w:r w:rsidR="006C3CE7">
        <w:rPr>
          <w:rFonts w:ascii="Arial" w:hAnsi="Arial" w:cs="Arial"/>
        </w:rPr>
        <w:t>)</w:t>
      </w:r>
      <w:r>
        <w:rPr>
          <w:rFonts w:ascii="Arial" w:hAnsi="Arial" w:cs="Arial"/>
        </w:rPr>
        <w:t xml:space="preserve"> </w:t>
      </w:r>
      <w:r w:rsidR="001C496F" w:rsidRPr="003453E1">
        <w:rPr>
          <w:rFonts w:ascii="Arial" w:hAnsi="Arial"/>
        </w:rPr>
        <w:t xml:space="preserve">and the </w:t>
      </w:r>
      <w:r w:rsidR="001C496F" w:rsidRPr="003453E1">
        <w:rPr>
          <w:rFonts w:ascii="Arial" w:hAnsi="Arial" w:cs="Arial"/>
          <w:szCs w:val="24"/>
        </w:rPr>
        <w:t>amendments required to bring Part 26 (dealing with applications for removal</w:t>
      </w:r>
      <w:r w:rsidR="00B63D62">
        <w:rPr>
          <w:rFonts w:ascii="Arial" w:hAnsi="Arial" w:cs="Arial"/>
          <w:szCs w:val="24"/>
        </w:rPr>
        <w:t xml:space="preserve"> of </w:t>
      </w:r>
      <w:r w:rsidR="00B63D62">
        <w:rPr>
          <w:rFonts w:ascii="Arial" w:hAnsi="Arial" w:cs="Arial"/>
        </w:rPr>
        <w:t>proceedings pending in other courts</w:t>
      </w:r>
      <w:r w:rsidR="001C496F" w:rsidRPr="003453E1">
        <w:rPr>
          <w:rFonts w:ascii="Arial" w:hAnsi="Arial" w:cs="Arial"/>
          <w:szCs w:val="24"/>
        </w:rPr>
        <w:t>) into line with the new procedures.</w:t>
      </w:r>
      <w:r w:rsidR="00B63D62">
        <w:rPr>
          <w:rFonts w:ascii="Arial" w:hAnsi="Arial" w:cs="Arial"/>
          <w:szCs w:val="24"/>
        </w:rPr>
        <w:t xml:space="preserve">  The Amendment Rules also provide a new Form for the outline of oral submissions required in Full Court hearings.</w:t>
      </w:r>
    </w:p>
    <w:p w:rsidR="009726D2" w:rsidRDefault="009726D2" w:rsidP="00651A3B">
      <w:pPr>
        <w:jc w:val="both"/>
        <w:rPr>
          <w:rFonts w:ascii="Arial" w:hAnsi="Arial" w:cs="Arial"/>
        </w:rPr>
      </w:pPr>
    </w:p>
    <w:p w:rsidR="00822492" w:rsidRDefault="009726D2" w:rsidP="00822492">
      <w:pPr>
        <w:jc w:val="both"/>
        <w:rPr>
          <w:rFonts w:ascii="Arial" w:hAnsi="Arial" w:cs="Arial"/>
          <w:szCs w:val="24"/>
        </w:rPr>
      </w:pPr>
      <w:r>
        <w:rPr>
          <w:rFonts w:ascii="Arial" w:hAnsi="Arial" w:cs="Arial"/>
        </w:rPr>
        <w:t xml:space="preserve">The Amendment Rules </w:t>
      </w:r>
      <w:r w:rsidR="005E7DFF">
        <w:rPr>
          <w:rFonts w:ascii="Arial" w:hAnsi="Arial" w:cs="Arial"/>
        </w:rPr>
        <w:t xml:space="preserve">amend the following parts of the </w:t>
      </w:r>
      <w:r>
        <w:rPr>
          <w:rFonts w:ascii="Arial" w:hAnsi="Arial" w:cs="Arial"/>
          <w:szCs w:val="24"/>
        </w:rPr>
        <w:t>High Court Rules:</w:t>
      </w:r>
    </w:p>
    <w:p w:rsidR="001C496F" w:rsidRDefault="001C496F" w:rsidP="001C496F">
      <w:pPr>
        <w:jc w:val="both"/>
        <w:rPr>
          <w:rFonts w:ascii="Arial" w:hAnsi="Arial"/>
        </w:rPr>
      </w:pPr>
    </w:p>
    <w:p w:rsidR="005E7DFF" w:rsidRPr="00E429CD" w:rsidRDefault="005E7DFF" w:rsidP="00822492">
      <w:pPr>
        <w:jc w:val="both"/>
        <w:rPr>
          <w:rFonts w:ascii="Arial" w:hAnsi="Arial" w:cs="Arial"/>
          <w:szCs w:val="24"/>
        </w:rPr>
      </w:pPr>
      <w:r w:rsidRPr="00E429CD">
        <w:rPr>
          <w:rFonts w:ascii="Arial" w:hAnsi="Arial" w:cs="Arial"/>
          <w:szCs w:val="24"/>
        </w:rPr>
        <w:t xml:space="preserve">Part </w:t>
      </w:r>
      <w:r w:rsidR="001C496F" w:rsidRPr="00E429CD">
        <w:rPr>
          <w:rFonts w:ascii="Arial" w:hAnsi="Arial" w:cs="Arial"/>
          <w:szCs w:val="24"/>
        </w:rPr>
        <w:t xml:space="preserve">26 – Applications for removal pursuant to section 40 of the </w:t>
      </w:r>
      <w:r w:rsidR="001C496F" w:rsidRPr="00E429CD">
        <w:rPr>
          <w:rFonts w:ascii="Arial" w:hAnsi="Arial" w:cs="Arial"/>
          <w:i/>
          <w:szCs w:val="24"/>
        </w:rPr>
        <w:t xml:space="preserve">Judiciary Act </w:t>
      </w:r>
      <w:r w:rsidR="001C496F" w:rsidRPr="00E429CD">
        <w:rPr>
          <w:rFonts w:ascii="Arial" w:hAnsi="Arial" w:cs="Arial"/>
          <w:szCs w:val="24"/>
        </w:rPr>
        <w:t>1903</w:t>
      </w:r>
      <w:r w:rsidR="00431479" w:rsidRPr="00E429CD">
        <w:rPr>
          <w:rFonts w:ascii="Arial" w:hAnsi="Arial" w:cs="Arial"/>
          <w:szCs w:val="24"/>
        </w:rPr>
        <w:t>;</w:t>
      </w:r>
    </w:p>
    <w:p w:rsidR="009726D2" w:rsidRPr="00E429CD" w:rsidRDefault="005E7DFF" w:rsidP="004C056A">
      <w:pPr>
        <w:rPr>
          <w:rFonts w:ascii="Arial" w:hAnsi="Arial" w:cs="Arial"/>
          <w:szCs w:val="24"/>
        </w:rPr>
      </w:pPr>
      <w:r w:rsidRPr="00E429CD">
        <w:rPr>
          <w:rFonts w:ascii="Arial" w:hAnsi="Arial" w:cs="Arial"/>
          <w:szCs w:val="24"/>
        </w:rPr>
        <w:t xml:space="preserve">Part </w:t>
      </w:r>
      <w:r w:rsidR="001C496F" w:rsidRPr="00E429CD">
        <w:rPr>
          <w:rFonts w:ascii="Arial" w:hAnsi="Arial" w:cs="Arial"/>
          <w:szCs w:val="24"/>
        </w:rPr>
        <w:t>41</w:t>
      </w:r>
      <w:r w:rsidRPr="00E429CD">
        <w:rPr>
          <w:rFonts w:ascii="Arial" w:hAnsi="Arial" w:cs="Arial"/>
          <w:szCs w:val="24"/>
        </w:rPr>
        <w:t xml:space="preserve"> </w:t>
      </w:r>
      <w:r w:rsidR="001C496F" w:rsidRPr="00E429CD">
        <w:rPr>
          <w:rFonts w:ascii="Arial" w:hAnsi="Arial" w:cs="Arial"/>
          <w:szCs w:val="24"/>
        </w:rPr>
        <w:t>– Applications for leave or special leave to appeal</w:t>
      </w:r>
      <w:r w:rsidR="00431479" w:rsidRPr="00E429CD">
        <w:rPr>
          <w:rFonts w:ascii="Arial" w:hAnsi="Arial" w:cs="Arial"/>
          <w:szCs w:val="24"/>
        </w:rPr>
        <w:t>;</w:t>
      </w:r>
    </w:p>
    <w:p w:rsidR="005E7DFF" w:rsidRPr="00E429CD" w:rsidRDefault="001C496F" w:rsidP="001C496F">
      <w:pPr>
        <w:rPr>
          <w:rFonts w:ascii="Arial" w:hAnsi="Arial" w:cs="Arial"/>
          <w:szCs w:val="24"/>
        </w:rPr>
      </w:pPr>
      <w:r w:rsidRPr="00E429CD">
        <w:rPr>
          <w:rFonts w:ascii="Arial" w:hAnsi="Arial" w:cs="Arial"/>
          <w:szCs w:val="24"/>
        </w:rPr>
        <w:t>Part 44 – Written and oral submissions</w:t>
      </w:r>
      <w:r w:rsidR="009726D2" w:rsidRPr="00E429CD">
        <w:rPr>
          <w:rFonts w:ascii="Arial" w:hAnsi="Arial" w:cs="Arial"/>
          <w:szCs w:val="24"/>
        </w:rPr>
        <w:t>;</w:t>
      </w:r>
      <w:r w:rsidRPr="00E429CD">
        <w:rPr>
          <w:rFonts w:ascii="Arial" w:hAnsi="Arial" w:cs="Arial"/>
          <w:szCs w:val="24"/>
        </w:rPr>
        <w:t xml:space="preserve"> and</w:t>
      </w:r>
    </w:p>
    <w:p w:rsidR="009726D2" w:rsidRPr="00E429CD" w:rsidRDefault="001C496F" w:rsidP="004C056A">
      <w:pPr>
        <w:pStyle w:val="NoSpacing"/>
        <w:ind w:left="0"/>
        <w:rPr>
          <w:rFonts w:ascii="Arial" w:hAnsi="Arial" w:cs="Arial"/>
          <w:sz w:val="24"/>
          <w:szCs w:val="24"/>
        </w:rPr>
      </w:pPr>
      <w:proofErr w:type="gramStart"/>
      <w:r w:rsidRPr="00E429CD">
        <w:rPr>
          <w:rFonts w:ascii="Arial" w:hAnsi="Arial" w:cs="Arial"/>
          <w:sz w:val="24"/>
          <w:szCs w:val="24"/>
        </w:rPr>
        <w:t>Schedule 1 – Forms.</w:t>
      </w:r>
      <w:proofErr w:type="gramEnd"/>
    </w:p>
    <w:p w:rsidR="009726D2" w:rsidRPr="00E429CD" w:rsidRDefault="009726D2" w:rsidP="009726D2">
      <w:pPr>
        <w:pStyle w:val="NoSpacing"/>
        <w:ind w:left="426" w:hanging="426"/>
        <w:jc w:val="both"/>
        <w:rPr>
          <w:rFonts w:ascii="Arial" w:hAnsi="Arial" w:cs="Arial"/>
          <w:sz w:val="24"/>
          <w:szCs w:val="24"/>
        </w:rPr>
      </w:pPr>
    </w:p>
    <w:p w:rsidR="001C496F" w:rsidRPr="0050484F" w:rsidRDefault="001C496F" w:rsidP="001C496F">
      <w:pPr>
        <w:rPr>
          <w:rFonts w:ascii="Arial" w:hAnsi="Arial" w:cs="Arial"/>
          <w:b/>
          <w:i/>
          <w:szCs w:val="24"/>
        </w:rPr>
      </w:pPr>
      <w:r w:rsidRPr="0050484F">
        <w:rPr>
          <w:rFonts w:ascii="Arial" w:hAnsi="Arial" w:cs="Arial"/>
          <w:b/>
          <w:szCs w:val="24"/>
        </w:rPr>
        <w:t xml:space="preserve">Part 26 – Applications for removal pursuant to section 40 of the </w:t>
      </w:r>
      <w:r w:rsidRPr="0050484F">
        <w:rPr>
          <w:rFonts w:ascii="Arial" w:hAnsi="Arial" w:cs="Arial"/>
          <w:b/>
          <w:i/>
          <w:szCs w:val="24"/>
        </w:rPr>
        <w:t>Judiciary Act</w:t>
      </w:r>
      <w:r>
        <w:rPr>
          <w:rFonts w:ascii="Arial" w:hAnsi="Arial" w:cs="Arial"/>
          <w:b/>
          <w:i/>
          <w:szCs w:val="24"/>
        </w:rPr>
        <w:t xml:space="preserve"> </w:t>
      </w:r>
      <w:r w:rsidRPr="00ED23B9">
        <w:rPr>
          <w:rFonts w:ascii="Arial" w:hAnsi="Arial" w:cs="Arial"/>
          <w:b/>
          <w:szCs w:val="24"/>
        </w:rPr>
        <w:t>1903</w:t>
      </w:r>
    </w:p>
    <w:p w:rsidR="00F876CD" w:rsidRDefault="00F876CD" w:rsidP="009726D2">
      <w:pPr>
        <w:ind w:right="-46"/>
        <w:rPr>
          <w:rFonts w:ascii="Arial" w:hAnsi="Arial" w:cs="Arial"/>
        </w:rPr>
      </w:pP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t xml:space="preserve">The Application for removal (Form 17) and the Summary of argument of the applicant (Form 18) will be consolidated into one </w:t>
      </w:r>
      <w:r w:rsidRPr="0050484F">
        <w:rPr>
          <w:rFonts w:ascii="Arial" w:hAnsi="Arial" w:cs="Arial"/>
          <w:b/>
          <w:szCs w:val="24"/>
        </w:rPr>
        <w:t>Form 17 – Application for removal</w:t>
      </w:r>
      <w:r w:rsidR="006C3CE7">
        <w:rPr>
          <w:rFonts w:ascii="Arial" w:hAnsi="Arial" w:cs="Arial"/>
          <w:b/>
          <w:szCs w:val="24"/>
        </w:rPr>
        <w:t xml:space="preserve"> </w:t>
      </w:r>
      <w:r w:rsidR="006C3CE7">
        <w:rPr>
          <w:rFonts w:ascii="Arial" w:hAnsi="Arial" w:cs="Arial"/>
          <w:szCs w:val="24"/>
        </w:rPr>
        <w:t>and will be limited to 12 pages.</w:t>
      </w: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t>The time specified in Rule 26.01(g) for service of an application will be reduced from 90 days to 7 days.</w:t>
      </w:r>
    </w:p>
    <w:p w:rsidR="00E429CD" w:rsidRPr="0050484F" w:rsidRDefault="003453E1" w:rsidP="00E429CD">
      <w:pPr>
        <w:numPr>
          <w:ilvl w:val="0"/>
          <w:numId w:val="4"/>
        </w:numPr>
        <w:spacing w:after="200" w:line="276" w:lineRule="auto"/>
        <w:ind w:left="426" w:hanging="426"/>
        <w:rPr>
          <w:rFonts w:ascii="Arial" w:hAnsi="Arial" w:cs="Arial"/>
          <w:szCs w:val="24"/>
        </w:rPr>
      </w:pPr>
      <w:r w:rsidRPr="00B63D62">
        <w:rPr>
          <w:rFonts w:ascii="Arial" w:hAnsi="Arial" w:cs="Arial"/>
          <w:szCs w:val="24"/>
        </w:rPr>
        <w:t xml:space="preserve">The applicant is required to file an affidavit in support of </w:t>
      </w:r>
      <w:r w:rsidR="00DA343C">
        <w:rPr>
          <w:rFonts w:ascii="Arial" w:hAnsi="Arial" w:cs="Arial"/>
          <w:szCs w:val="24"/>
        </w:rPr>
        <w:t xml:space="preserve">the </w:t>
      </w:r>
      <w:r w:rsidRPr="00B63D62">
        <w:rPr>
          <w:rFonts w:ascii="Arial" w:hAnsi="Arial" w:cs="Arial"/>
          <w:szCs w:val="24"/>
        </w:rPr>
        <w:t>application</w:t>
      </w:r>
      <w:r w:rsidR="00B63D62">
        <w:rPr>
          <w:rFonts w:ascii="Arial" w:hAnsi="Arial" w:cs="Arial"/>
          <w:szCs w:val="24"/>
        </w:rPr>
        <w:t>, setting out the details of the proceedings sought to be removed into the Court</w:t>
      </w:r>
      <w:r>
        <w:rPr>
          <w:rFonts w:ascii="Arial" w:hAnsi="Arial" w:cs="Arial"/>
          <w:szCs w:val="24"/>
        </w:rPr>
        <w:t>.  The Amendment Rules will add to Rule 26.04 a</w:t>
      </w:r>
      <w:r w:rsidR="00E429CD" w:rsidRPr="0050484F">
        <w:rPr>
          <w:rFonts w:ascii="Arial" w:hAnsi="Arial" w:cs="Arial"/>
          <w:szCs w:val="24"/>
        </w:rPr>
        <w:t xml:space="preserve"> requirement that a respondent file an affidavit setting out any factual issues in contention.</w:t>
      </w: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lastRenderedPageBreak/>
        <w:t xml:space="preserve">The Respondent’s summary of argument (Form 19) will be renamed and numbered as </w:t>
      </w:r>
      <w:r w:rsidRPr="0050484F">
        <w:rPr>
          <w:rFonts w:ascii="Arial" w:hAnsi="Arial" w:cs="Arial"/>
          <w:b/>
          <w:szCs w:val="24"/>
        </w:rPr>
        <w:t>Form 18 – Response to application for removal</w:t>
      </w:r>
      <w:r w:rsidRPr="0050484F">
        <w:rPr>
          <w:rFonts w:ascii="Arial" w:hAnsi="Arial" w:cs="Arial"/>
          <w:szCs w:val="24"/>
        </w:rPr>
        <w:t xml:space="preserve"> and will be limited to 10 pages.</w:t>
      </w: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t>Unrepresented applicants will no longer be required to prepare and file an application book.  There will instead be added a new requirement for copies of documents to be provided in applications filed by unrepresented applicants.</w:t>
      </w: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t xml:space="preserve">Represented applicants will need to prepare and file an application book unless the Registrar directs that an application book is not required.  It is envisaged that Attorneys-General making an application pursuant to section 40(1) of the </w:t>
      </w:r>
      <w:r w:rsidRPr="0050484F">
        <w:rPr>
          <w:rFonts w:ascii="Arial" w:hAnsi="Arial" w:cs="Arial"/>
          <w:i/>
          <w:szCs w:val="24"/>
        </w:rPr>
        <w:t>Judiciary Act</w:t>
      </w:r>
      <w:r w:rsidRPr="0050484F">
        <w:rPr>
          <w:rFonts w:ascii="Arial" w:hAnsi="Arial" w:cs="Arial"/>
          <w:szCs w:val="24"/>
        </w:rPr>
        <w:t xml:space="preserve"> </w:t>
      </w:r>
      <w:r>
        <w:rPr>
          <w:rFonts w:ascii="Arial" w:hAnsi="Arial" w:cs="Arial"/>
          <w:szCs w:val="24"/>
        </w:rPr>
        <w:t xml:space="preserve">will </w:t>
      </w:r>
      <w:r w:rsidRPr="0050484F">
        <w:rPr>
          <w:rFonts w:ascii="Arial" w:hAnsi="Arial" w:cs="Arial"/>
          <w:szCs w:val="24"/>
        </w:rPr>
        <w:t>not be required to prepare multiple copies of an application book.</w:t>
      </w:r>
    </w:p>
    <w:p w:rsidR="00E429CD" w:rsidRPr="0050484F" w:rsidRDefault="00E429CD" w:rsidP="00E429CD">
      <w:pPr>
        <w:numPr>
          <w:ilvl w:val="0"/>
          <w:numId w:val="4"/>
        </w:numPr>
        <w:spacing w:after="200" w:line="276" w:lineRule="auto"/>
        <w:ind w:left="426" w:hanging="426"/>
        <w:rPr>
          <w:rFonts w:ascii="Arial" w:hAnsi="Arial" w:cs="Arial"/>
          <w:szCs w:val="24"/>
        </w:rPr>
      </w:pPr>
      <w:r w:rsidRPr="0050484F">
        <w:rPr>
          <w:rFonts w:ascii="Arial" w:hAnsi="Arial" w:cs="Arial"/>
          <w:szCs w:val="24"/>
        </w:rPr>
        <w:t>In place of the existing Rules 26.06.2 and 26.06.3</w:t>
      </w:r>
      <w:r w:rsidR="00234881">
        <w:rPr>
          <w:rFonts w:ascii="Arial" w:hAnsi="Arial" w:cs="Arial"/>
          <w:szCs w:val="24"/>
        </w:rPr>
        <w:t xml:space="preserve"> applying </w:t>
      </w:r>
      <w:r w:rsidRPr="0050484F">
        <w:rPr>
          <w:rFonts w:ascii="Arial" w:hAnsi="Arial" w:cs="Arial"/>
          <w:szCs w:val="24"/>
        </w:rPr>
        <w:t>the provisions in Part 41 for the determination, discontinuance or deemed abandonment of an application</w:t>
      </w:r>
      <w:r>
        <w:rPr>
          <w:rFonts w:ascii="Arial" w:hAnsi="Arial" w:cs="Arial"/>
          <w:szCs w:val="24"/>
        </w:rPr>
        <w:t>,</w:t>
      </w:r>
      <w:r w:rsidRPr="0050484F">
        <w:rPr>
          <w:rFonts w:ascii="Arial" w:hAnsi="Arial" w:cs="Arial"/>
          <w:szCs w:val="24"/>
        </w:rPr>
        <w:t xml:space="preserve"> and the making of directions by the Registrar</w:t>
      </w:r>
      <w:r w:rsidR="00234881">
        <w:rPr>
          <w:rFonts w:ascii="Arial" w:hAnsi="Arial" w:cs="Arial"/>
          <w:szCs w:val="24"/>
        </w:rPr>
        <w:t xml:space="preserve">, the provisions will </w:t>
      </w:r>
      <w:r w:rsidRPr="0050484F">
        <w:rPr>
          <w:rFonts w:ascii="Arial" w:hAnsi="Arial" w:cs="Arial"/>
          <w:szCs w:val="24"/>
        </w:rPr>
        <w:t>be set out in</w:t>
      </w:r>
      <w:r w:rsidR="00234881">
        <w:rPr>
          <w:rFonts w:ascii="Arial" w:hAnsi="Arial" w:cs="Arial"/>
          <w:szCs w:val="24"/>
        </w:rPr>
        <w:t xml:space="preserve"> full in</w:t>
      </w:r>
      <w:r w:rsidRPr="0050484F">
        <w:rPr>
          <w:rFonts w:ascii="Arial" w:hAnsi="Arial" w:cs="Arial"/>
          <w:szCs w:val="24"/>
        </w:rPr>
        <w:t xml:space="preserve"> Rule 26.</w:t>
      </w:r>
    </w:p>
    <w:p w:rsidR="00C20E29" w:rsidRDefault="001C496F" w:rsidP="001C496F">
      <w:pPr>
        <w:rPr>
          <w:rFonts w:ascii="Arial" w:hAnsi="Arial" w:cs="Arial"/>
          <w:b/>
          <w:szCs w:val="24"/>
        </w:rPr>
      </w:pPr>
      <w:r w:rsidRPr="001C496F">
        <w:rPr>
          <w:rFonts w:ascii="Arial" w:hAnsi="Arial" w:cs="Arial"/>
          <w:b/>
          <w:szCs w:val="24"/>
        </w:rPr>
        <w:t>Part 41 – Applications for leave or special leave to appeal</w:t>
      </w:r>
    </w:p>
    <w:p w:rsidR="001C496F" w:rsidRPr="001C496F" w:rsidRDefault="001C496F" w:rsidP="001C496F">
      <w:pPr>
        <w:rPr>
          <w:rFonts w:ascii="Arial" w:hAnsi="Arial" w:cs="Arial"/>
          <w:b/>
          <w:szCs w:val="24"/>
        </w:rPr>
      </w:pP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 xml:space="preserve">The Application (Form 23), draft Notice of appeal (Form 24), and Summary of argument/written case (Form 18) for all applicants will be consolidated into one single </w:t>
      </w:r>
      <w:r w:rsidRPr="0050484F">
        <w:rPr>
          <w:rFonts w:ascii="Arial" w:hAnsi="Arial" w:cs="Arial"/>
          <w:b/>
          <w:szCs w:val="24"/>
        </w:rPr>
        <w:t>Form 23 – Application for leave or special leave to appeal</w:t>
      </w:r>
      <w:r w:rsidRPr="0050484F">
        <w:rPr>
          <w:rFonts w:ascii="Arial" w:hAnsi="Arial" w:cs="Arial"/>
          <w:szCs w:val="24"/>
        </w:rPr>
        <w:t>.</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The Application for leave or special leave to appeal should identify the judgment sought to be appealed, the proposed grounds of appeal and the orders which will be sought if leave or special leave is granted, the leave or special leave questions said to arise and the argument in support of the grant of leave or special leave.</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 xml:space="preserve">The Application for leave or special leave to appeal should be accompanied by the documents currently required by </w:t>
      </w:r>
      <w:r>
        <w:rPr>
          <w:rFonts w:ascii="Arial" w:hAnsi="Arial" w:cs="Arial"/>
          <w:szCs w:val="24"/>
        </w:rPr>
        <w:t>Rule 41.01.2</w:t>
      </w:r>
      <w:r w:rsidRPr="0050484F">
        <w:rPr>
          <w:rFonts w:ascii="Arial" w:hAnsi="Arial" w:cs="Arial"/>
          <w:szCs w:val="24"/>
        </w:rPr>
        <w:t xml:space="preserve"> to be filed with the Application.</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The time for filing the Application for leave or special leave to appeal will be 28 days from the date of judgment of the Court below.</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The requirement in Rule 41.07.3 that a party wishing to appear and present oral argument in an application must state that wish in the summary of argument will be removed.</w:t>
      </w:r>
      <w:r w:rsidR="00287423">
        <w:rPr>
          <w:rFonts w:ascii="Arial" w:hAnsi="Arial" w:cs="Arial"/>
          <w:szCs w:val="24"/>
        </w:rPr>
        <w:t xml:space="preserve">  In determining whether to list an application for oral argument the Court will consider, on merit, whether it will be assisted by oral argument.</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lastRenderedPageBreak/>
        <w:t>The page limit for the Application for leave or special leave to appeal will be 12 pages and will apply to the entire document, including the proposed grounds of appeal and the orders to be sought.</w:t>
      </w:r>
    </w:p>
    <w:p w:rsidR="00E429CD" w:rsidRPr="0050484F"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 xml:space="preserve">Form 19 – Respondent’s summary of argument will be renamed and renumbered as </w:t>
      </w:r>
      <w:r w:rsidRPr="0050484F">
        <w:rPr>
          <w:rFonts w:ascii="Arial" w:hAnsi="Arial" w:cs="Arial"/>
          <w:b/>
          <w:szCs w:val="24"/>
        </w:rPr>
        <w:t>Fo</w:t>
      </w:r>
      <w:r>
        <w:rPr>
          <w:rFonts w:ascii="Arial" w:hAnsi="Arial" w:cs="Arial"/>
          <w:b/>
          <w:szCs w:val="24"/>
        </w:rPr>
        <w:t>r</w:t>
      </w:r>
      <w:r w:rsidRPr="0050484F">
        <w:rPr>
          <w:rFonts w:ascii="Arial" w:hAnsi="Arial" w:cs="Arial"/>
          <w:b/>
          <w:szCs w:val="24"/>
        </w:rPr>
        <w:t>m</w:t>
      </w:r>
      <w:r>
        <w:rPr>
          <w:rFonts w:ascii="Arial" w:hAnsi="Arial" w:cs="Arial"/>
          <w:b/>
          <w:szCs w:val="24"/>
        </w:rPr>
        <w:t xml:space="preserve"> </w:t>
      </w:r>
      <w:r w:rsidRPr="0050484F">
        <w:rPr>
          <w:rFonts w:ascii="Arial" w:hAnsi="Arial" w:cs="Arial"/>
          <w:b/>
          <w:szCs w:val="24"/>
        </w:rPr>
        <w:t>23A – Response to application for leave or special leave to appeal</w:t>
      </w:r>
      <w:r w:rsidRPr="0050484F">
        <w:rPr>
          <w:rFonts w:ascii="Arial" w:hAnsi="Arial" w:cs="Arial"/>
          <w:szCs w:val="24"/>
        </w:rPr>
        <w:t xml:space="preserve"> and will be limited to 10 pages.</w:t>
      </w:r>
    </w:p>
    <w:p w:rsidR="00E429CD" w:rsidRDefault="00E429CD" w:rsidP="00E429CD">
      <w:pPr>
        <w:numPr>
          <w:ilvl w:val="0"/>
          <w:numId w:val="5"/>
        </w:numPr>
        <w:spacing w:after="200" w:line="276" w:lineRule="auto"/>
        <w:ind w:left="426" w:hanging="426"/>
        <w:rPr>
          <w:rFonts w:ascii="Arial" w:hAnsi="Arial" w:cs="Arial"/>
          <w:szCs w:val="24"/>
        </w:rPr>
      </w:pPr>
      <w:r w:rsidRPr="0050484F">
        <w:rPr>
          <w:rFonts w:ascii="Arial" w:hAnsi="Arial" w:cs="Arial"/>
          <w:szCs w:val="24"/>
        </w:rPr>
        <w:t xml:space="preserve">The provision allowing parties to file additional material (Rule 41.09.7) will be removed, leaving to the direction </w:t>
      </w:r>
      <w:r>
        <w:rPr>
          <w:rFonts w:ascii="Arial" w:hAnsi="Arial" w:cs="Arial"/>
          <w:szCs w:val="24"/>
        </w:rPr>
        <w:t>of the</w:t>
      </w:r>
      <w:r w:rsidRPr="0050484F">
        <w:rPr>
          <w:rFonts w:ascii="Arial" w:hAnsi="Arial" w:cs="Arial"/>
          <w:szCs w:val="24"/>
        </w:rPr>
        <w:t xml:space="preserve"> Registrar the question of filing</w:t>
      </w:r>
      <w:r>
        <w:rPr>
          <w:rFonts w:ascii="Arial" w:hAnsi="Arial" w:cs="Arial"/>
          <w:szCs w:val="24"/>
        </w:rPr>
        <w:t xml:space="preserve"> and reproducing</w:t>
      </w:r>
      <w:r w:rsidRPr="0050484F">
        <w:rPr>
          <w:rFonts w:ascii="Arial" w:hAnsi="Arial" w:cs="Arial"/>
          <w:szCs w:val="24"/>
        </w:rPr>
        <w:t xml:space="preserve"> material not otherwise required by the Rules.</w:t>
      </w:r>
    </w:p>
    <w:p w:rsidR="00E429CD" w:rsidRPr="00E81085" w:rsidRDefault="00E429CD" w:rsidP="00E429CD">
      <w:pPr>
        <w:numPr>
          <w:ilvl w:val="0"/>
          <w:numId w:val="5"/>
        </w:numPr>
        <w:spacing w:after="200" w:line="276" w:lineRule="auto"/>
        <w:ind w:left="426" w:hanging="426"/>
        <w:rPr>
          <w:rFonts w:ascii="Arial" w:hAnsi="Arial" w:cs="Arial"/>
          <w:szCs w:val="24"/>
        </w:rPr>
      </w:pPr>
      <w:r>
        <w:rPr>
          <w:rFonts w:ascii="Arial" w:hAnsi="Arial" w:cs="Arial"/>
          <w:szCs w:val="24"/>
        </w:rPr>
        <w:t>A new rule will be added to require the applicant to provide an electronic copy of the application book in addition to paper copies.</w:t>
      </w:r>
    </w:p>
    <w:p w:rsidR="001C496F" w:rsidRPr="001C496F" w:rsidRDefault="001C496F" w:rsidP="001C496F">
      <w:pPr>
        <w:rPr>
          <w:rFonts w:ascii="Arial" w:hAnsi="Arial" w:cs="Arial"/>
          <w:szCs w:val="24"/>
        </w:rPr>
      </w:pPr>
      <w:r w:rsidRPr="001C496F">
        <w:rPr>
          <w:rFonts w:ascii="Arial" w:hAnsi="Arial" w:cs="Arial"/>
          <w:b/>
          <w:szCs w:val="24"/>
        </w:rPr>
        <w:t>Part 44 – Written and oral submissions</w:t>
      </w:r>
    </w:p>
    <w:p w:rsidR="009726D2" w:rsidRPr="001C496F" w:rsidRDefault="009726D2" w:rsidP="009726D2">
      <w:pPr>
        <w:ind w:right="-46"/>
        <w:jc w:val="both"/>
        <w:rPr>
          <w:rFonts w:ascii="Arial" w:hAnsi="Arial" w:cs="Arial"/>
          <w:b/>
          <w:szCs w:val="24"/>
        </w:rPr>
      </w:pPr>
    </w:p>
    <w:p w:rsidR="001C496F" w:rsidRDefault="001C496F" w:rsidP="001C496F">
      <w:pPr>
        <w:numPr>
          <w:ilvl w:val="0"/>
          <w:numId w:val="3"/>
        </w:numPr>
        <w:spacing w:after="200" w:line="276" w:lineRule="auto"/>
        <w:ind w:left="426" w:hanging="426"/>
        <w:rPr>
          <w:rFonts w:ascii="Arial" w:hAnsi="Arial" w:cs="Arial"/>
          <w:szCs w:val="24"/>
        </w:rPr>
      </w:pPr>
      <w:r>
        <w:rPr>
          <w:rFonts w:ascii="Arial" w:hAnsi="Arial" w:cs="Arial"/>
          <w:szCs w:val="24"/>
        </w:rPr>
        <w:t xml:space="preserve">Rule 44.08.1 requires the parties and interveners to provide, at the commencement </w:t>
      </w:r>
      <w:r w:rsidR="00E429CD">
        <w:rPr>
          <w:rFonts w:ascii="Arial" w:hAnsi="Arial" w:cs="Arial"/>
          <w:szCs w:val="24"/>
        </w:rPr>
        <w:t>of argument in Full Court hearings</w:t>
      </w:r>
      <w:r>
        <w:rPr>
          <w:rFonts w:ascii="Arial" w:hAnsi="Arial" w:cs="Arial"/>
          <w:szCs w:val="24"/>
        </w:rPr>
        <w:t xml:space="preserve">, a brief outline of the propositions to be advanced on behalf of the party or intervener.  </w:t>
      </w:r>
      <w:r w:rsidRPr="0050484F">
        <w:rPr>
          <w:rFonts w:ascii="Arial" w:hAnsi="Arial" w:cs="Arial"/>
          <w:szCs w:val="24"/>
        </w:rPr>
        <w:t>A new Rule 44.08.2 will be inserted prescribing the form (</w:t>
      </w:r>
      <w:r w:rsidRPr="0050484F">
        <w:rPr>
          <w:rFonts w:ascii="Arial" w:hAnsi="Arial" w:cs="Arial"/>
          <w:b/>
          <w:szCs w:val="24"/>
        </w:rPr>
        <w:t>Form 27F</w:t>
      </w:r>
      <w:r>
        <w:rPr>
          <w:rFonts w:ascii="Arial" w:hAnsi="Arial" w:cs="Arial"/>
          <w:szCs w:val="24"/>
        </w:rPr>
        <w:t>) of the o</w:t>
      </w:r>
      <w:r w:rsidRPr="0050484F">
        <w:rPr>
          <w:rFonts w:ascii="Arial" w:hAnsi="Arial" w:cs="Arial"/>
          <w:szCs w:val="24"/>
        </w:rPr>
        <w:t>utline of oral submissions</w:t>
      </w:r>
      <w:r w:rsidR="00E429CD">
        <w:rPr>
          <w:rFonts w:ascii="Arial" w:hAnsi="Arial" w:cs="Arial"/>
          <w:szCs w:val="24"/>
        </w:rPr>
        <w:t xml:space="preserve">.  </w:t>
      </w:r>
      <w:r w:rsidRPr="0050484F">
        <w:rPr>
          <w:rFonts w:ascii="Arial" w:hAnsi="Arial" w:cs="Arial"/>
          <w:szCs w:val="24"/>
        </w:rPr>
        <w:t xml:space="preserve">As </w:t>
      </w:r>
      <w:r>
        <w:rPr>
          <w:rFonts w:ascii="Arial" w:hAnsi="Arial" w:cs="Arial"/>
          <w:szCs w:val="24"/>
        </w:rPr>
        <w:t xml:space="preserve">with </w:t>
      </w:r>
      <w:r w:rsidRPr="0050484F">
        <w:rPr>
          <w:rFonts w:ascii="Arial" w:hAnsi="Arial" w:cs="Arial"/>
          <w:szCs w:val="24"/>
        </w:rPr>
        <w:t>written submissions filed by the parties and interveners, the new Form 27F will include a certification that the document (or a redacted form of the document) is suitable for publication on the Internet.</w:t>
      </w:r>
    </w:p>
    <w:p w:rsidR="004C056A" w:rsidRPr="00C20E29" w:rsidRDefault="004C056A" w:rsidP="004C056A">
      <w:pPr>
        <w:jc w:val="both"/>
        <w:rPr>
          <w:rFonts w:ascii="Arial" w:hAnsi="Arial" w:cs="Arial"/>
          <w:u w:val="single"/>
        </w:rPr>
      </w:pPr>
      <w:r w:rsidRPr="00C20E29">
        <w:rPr>
          <w:rFonts w:ascii="Arial" w:hAnsi="Arial" w:cs="Arial"/>
          <w:u w:val="single"/>
        </w:rPr>
        <w:t>Commencement</w:t>
      </w:r>
    </w:p>
    <w:p w:rsidR="004C056A" w:rsidRDefault="004C056A" w:rsidP="004C056A">
      <w:pPr>
        <w:jc w:val="both"/>
        <w:rPr>
          <w:rFonts w:ascii="Arial" w:hAnsi="Arial" w:cs="Arial"/>
        </w:rPr>
      </w:pPr>
    </w:p>
    <w:p w:rsidR="004C056A" w:rsidRPr="006C3CE7" w:rsidRDefault="004C056A" w:rsidP="004C056A">
      <w:pPr>
        <w:jc w:val="both"/>
        <w:rPr>
          <w:rFonts w:ascii="Arial" w:hAnsi="Arial" w:cs="Arial"/>
        </w:rPr>
      </w:pPr>
      <w:r w:rsidRPr="0012618D">
        <w:rPr>
          <w:rFonts w:ascii="Arial" w:hAnsi="Arial" w:cs="Arial"/>
        </w:rPr>
        <w:t xml:space="preserve">The </w:t>
      </w:r>
      <w:r w:rsidR="00E429CD">
        <w:rPr>
          <w:rFonts w:ascii="Arial" w:hAnsi="Arial" w:cs="Arial"/>
        </w:rPr>
        <w:t xml:space="preserve">amendment </w:t>
      </w:r>
      <w:r>
        <w:rPr>
          <w:rFonts w:ascii="Arial" w:hAnsi="Arial" w:cs="Arial"/>
        </w:rPr>
        <w:t>provisions will commence on 1 J</w:t>
      </w:r>
      <w:r w:rsidR="00E429CD">
        <w:rPr>
          <w:rFonts w:ascii="Arial" w:hAnsi="Arial" w:cs="Arial"/>
        </w:rPr>
        <w:t>uly 2016</w:t>
      </w:r>
      <w:r>
        <w:rPr>
          <w:rFonts w:ascii="Arial" w:hAnsi="Arial" w:cs="Arial"/>
        </w:rPr>
        <w:t>.</w:t>
      </w:r>
    </w:p>
    <w:p w:rsidR="004C056A" w:rsidRDefault="004C056A" w:rsidP="00651A3B">
      <w:pPr>
        <w:jc w:val="both"/>
        <w:rPr>
          <w:rFonts w:ascii="Arial" w:hAnsi="Arial" w:cs="Arial"/>
          <w:u w:val="single"/>
        </w:rPr>
      </w:pPr>
    </w:p>
    <w:p w:rsidR="00704AC5" w:rsidRPr="00B05A9E" w:rsidRDefault="00B05A9E" w:rsidP="00651A3B">
      <w:pPr>
        <w:jc w:val="both"/>
        <w:rPr>
          <w:rFonts w:ascii="Arial" w:hAnsi="Arial" w:cs="Arial"/>
          <w:u w:val="single"/>
        </w:rPr>
      </w:pPr>
      <w:r>
        <w:rPr>
          <w:rFonts w:ascii="Arial" w:hAnsi="Arial" w:cs="Arial"/>
          <w:u w:val="single"/>
        </w:rPr>
        <w:t>Consultation</w:t>
      </w:r>
    </w:p>
    <w:p w:rsidR="00C20E29" w:rsidRDefault="00C20E29" w:rsidP="00651A3B">
      <w:pPr>
        <w:jc w:val="both"/>
        <w:rPr>
          <w:rFonts w:ascii="Arial" w:hAnsi="Arial" w:cs="Arial"/>
        </w:rPr>
      </w:pPr>
    </w:p>
    <w:p w:rsidR="006441E7" w:rsidRPr="0012618D" w:rsidRDefault="006441E7" w:rsidP="00651A3B">
      <w:pPr>
        <w:jc w:val="both"/>
        <w:rPr>
          <w:rFonts w:ascii="Arial" w:hAnsi="Arial" w:cs="Arial"/>
        </w:rPr>
      </w:pPr>
      <w:r w:rsidRPr="0012618D">
        <w:rPr>
          <w:rFonts w:ascii="Arial" w:hAnsi="Arial" w:cs="Arial"/>
        </w:rPr>
        <w:t>Consultations on the changes have taken place with relevant professional organisations</w:t>
      </w:r>
      <w:r w:rsidR="00B05A9E">
        <w:rPr>
          <w:rFonts w:ascii="Arial" w:hAnsi="Arial" w:cs="Arial"/>
        </w:rPr>
        <w:t xml:space="preserve"> and the Special Co</w:t>
      </w:r>
      <w:r w:rsidR="004C056A">
        <w:rPr>
          <w:rFonts w:ascii="Arial" w:hAnsi="Arial" w:cs="Arial"/>
        </w:rPr>
        <w:t xml:space="preserve">mmittee </w:t>
      </w:r>
      <w:r w:rsidR="00B05A9E">
        <w:rPr>
          <w:rFonts w:ascii="Arial" w:hAnsi="Arial" w:cs="Arial"/>
        </w:rPr>
        <w:t>of Solicitors-General</w:t>
      </w:r>
      <w:r w:rsidR="00C20E29" w:rsidRPr="006F7655">
        <w:rPr>
          <w:rFonts w:ascii="Arial" w:hAnsi="Arial" w:cs="Arial"/>
        </w:rPr>
        <w:t>.</w:t>
      </w:r>
    </w:p>
    <w:p w:rsidR="00FE7BB8" w:rsidRDefault="00FE7BB8" w:rsidP="00FE7BB8">
      <w:pPr>
        <w:jc w:val="both"/>
        <w:rPr>
          <w:rFonts w:ascii="Arial" w:hAnsi="Arial" w:cs="Arial"/>
        </w:rPr>
      </w:pPr>
    </w:p>
    <w:p w:rsidR="00C20E29" w:rsidRPr="00C20E29" w:rsidRDefault="00C20E29" w:rsidP="00FE7BB8">
      <w:pPr>
        <w:jc w:val="both"/>
        <w:rPr>
          <w:rFonts w:ascii="Arial" w:hAnsi="Arial" w:cs="Arial"/>
          <w:u w:val="single"/>
        </w:rPr>
      </w:pPr>
      <w:r>
        <w:rPr>
          <w:rFonts w:ascii="Arial" w:hAnsi="Arial" w:cs="Arial"/>
          <w:u w:val="single"/>
        </w:rPr>
        <w:t>Statement of Comp</w:t>
      </w:r>
      <w:r w:rsidR="008B14BA">
        <w:rPr>
          <w:rFonts w:ascii="Arial" w:hAnsi="Arial" w:cs="Arial"/>
          <w:u w:val="single"/>
        </w:rPr>
        <w:t>ati</w:t>
      </w:r>
      <w:r>
        <w:rPr>
          <w:rFonts w:ascii="Arial" w:hAnsi="Arial" w:cs="Arial"/>
          <w:u w:val="single"/>
        </w:rPr>
        <w:t>bility</w:t>
      </w:r>
    </w:p>
    <w:p w:rsidR="00C20E29" w:rsidRDefault="00C20E29" w:rsidP="00FE7BB8">
      <w:pPr>
        <w:jc w:val="both"/>
        <w:rPr>
          <w:rFonts w:ascii="Arial" w:hAnsi="Arial" w:cs="Arial"/>
        </w:rPr>
      </w:pPr>
    </w:p>
    <w:p w:rsidR="000E3197" w:rsidRPr="000E3197" w:rsidRDefault="000E3197" w:rsidP="000E3197">
      <w:pPr>
        <w:jc w:val="both"/>
        <w:rPr>
          <w:rFonts w:ascii="Arial" w:hAnsi="Arial" w:cs="Arial"/>
        </w:rPr>
      </w:pPr>
      <w:r w:rsidRPr="000E3197">
        <w:rPr>
          <w:rFonts w:ascii="Arial" w:hAnsi="Arial" w:cs="Arial"/>
        </w:rPr>
        <w:t>Rules of court are not legislative instruments (see paragraph 8(8</w:t>
      </w:r>
      <w:proofErr w:type="gramStart"/>
      <w:r w:rsidRPr="000E3197">
        <w:rPr>
          <w:rFonts w:ascii="Arial" w:hAnsi="Arial" w:cs="Arial"/>
        </w:rPr>
        <w:t>)(</w:t>
      </w:r>
      <w:proofErr w:type="gramEnd"/>
      <w:r w:rsidRPr="000E3197">
        <w:rPr>
          <w:rFonts w:ascii="Arial" w:hAnsi="Arial" w:cs="Arial"/>
        </w:rPr>
        <w:t xml:space="preserve">d) of the </w:t>
      </w:r>
      <w:r w:rsidRPr="000E3197">
        <w:rPr>
          <w:rFonts w:ascii="Arial" w:hAnsi="Arial" w:cs="Arial"/>
          <w:i/>
        </w:rPr>
        <w:t>Legislation Act</w:t>
      </w:r>
      <w:r w:rsidRPr="000E3197">
        <w:rPr>
          <w:rFonts w:ascii="Arial" w:hAnsi="Arial" w:cs="Arial"/>
        </w:rPr>
        <w:t xml:space="preserve"> 2003). Accordingly, section 9 of the </w:t>
      </w:r>
      <w:r w:rsidRPr="000E3197">
        <w:rPr>
          <w:rFonts w:ascii="Arial" w:hAnsi="Arial" w:cs="Arial"/>
          <w:i/>
        </w:rPr>
        <w:t>Human Rights (Parliamentary Scrutiny) Act</w:t>
      </w:r>
      <w:r w:rsidRPr="000E3197">
        <w:rPr>
          <w:rFonts w:ascii="Arial" w:hAnsi="Arial" w:cs="Arial"/>
        </w:rPr>
        <w:t xml:space="preserve"> 2011 does not require a statement of compatibility to be prepared in respect of rules of court made by the High Court, and no statement of compatibility for the purposes of that latter Act is included in the Explanatory Statement.</w:t>
      </w:r>
    </w:p>
    <w:p w:rsidR="000E3197" w:rsidRPr="0012618D" w:rsidRDefault="000E3197" w:rsidP="00FE7BB8">
      <w:pPr>
        <w:jc w:val="both"/>
        <w:rPr>
          <w:rFonts w:ascii="Arial" w:hAnsi="Arial" w:cs="Arial"/>
        </w:rPr>
      </w:pPr>
    </w:p>
    <w:sectPr w:rsidR="000E3197" w:rsidRPr="0012618D" w:rsidSect="000D7ED9">
      <w:headerReference w:type="even" r:id="rId9"/>
      <w:headerReference w:type="default" r:id="rId10"/>
      <w:footerReference w:type="even" r:id="rId11"/>
      <w:footerReference w:type="default" r:id="rId12"/>
      <w:headerReference w:type="first" r:id="rId13"/>
      <w:footerReference w:type="first" r:id="rId14"/>
      <w:pgSz w:w="11909" w:h="16834" w:code="9"/>
      <w:pgMar w:top="1440" w:right="1800" w:bottom="1135" w:left="1800"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55" w:rsidRDefault="006F7655">
      <w:r>
        <w:separator/>
      </w:r>
    </w:p>
  </w:endnote>
  <w:endnote w:type="continuationSeparator" w:id="0">
    <w:p w:rsidR="006F7655" w:rsidRDefault="006F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55" w:rsidRDefault="006F7655">
      <w:r>
        <w:continuationSeparator/>
      </w:r>
    </w:p>
  </w:footnote>
  <w:footnote w:type="continuationSeparator" w:id="0">
    <w:p w:rsidR="006F7655" w:rsidRDefault="006F7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F7655" w:rsidRDefault="006F7655">
    <w:pPr>
      <w:pStyle w:val="Header"/>
      <w:rPr>
        <w:sz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pStyle w:val="Header"/>
      <w:pBdr>
        <w:bottom w:val="single" w:sz="4" w:space="1" w:color="auto"/>
      </w:pBdr>
      <w:tabs>
        <w:tab w:val="right" w:pos="3969"/>
        <w:tab w:val="right" w:pos="8222"/>
      </w:tabs>
      <w:jc w:val="left"/>
      <w:rPr>
        <w:rFonts w:ascii="Arial" w:hAnsi="Arial"/>
        <w:smallCaps/>
        <w:sz w:val="18"/>
      </w:rPr>
    </w:pPr>
    <w:r>
      <w:rPr>
        <w:rFonts w:ascii="Arial" w:hAnsi="Arial"/>
      </w:rP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23.3pt" o:ole="" fillcolor="window">
          <v:imagedata r:id="rId1" o:title=""/>
        </v:shape>
        <o:OLEObject Type="Embed" ProgID="PBrush" ShapeID="_x0000_i1025" DrawAspect="Content" ObjectID="_1526986564" r:id="rId2"/>
      </w:object>
    </w:r>
    <w:r>
      <w:rPr>
        <w:rFonts w:ascii="Arial" w:hAnsi="Arial"/>
        <w:smallCaps/>
      </w:rPr>
      <w:t xml:space="preserve"> </w:t>
    </w:r>
    <w:r>
      <w:rPr>
        <w:rFonts w:ascii="Arial" w:hAnsi="Arial"/>
        <w:smallCaps/>
        <w:sz w:val="18"/>
      </w:rPr>
      <w:t>High Court of Australia</w:t>
    </w:r>
    <w:r>
      <w:rPr>
        <w:rFonts w:ascii="Arial" w:hAnsi="Arial"/>
        <w:smallCaps/>
        <w:sz w:val="18"/>
      </w:rPr>
      <w:tab/>
    </w:r>
    <w:r>
      <w:rPr>
        <w:rFonts w:ascii="Arial" w:hAnsi="Arial"/>
        <w:smallCaps/>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E3C52">
      <w:rPr>
        <w:rStyle w:val="PageNumber"/>
        <w:rFonts w:ascii="Arial" w:hAnsi="Arial"/>
        <w:noProof/>
        <w:sz w:val="18"/>
      </w:rPr>
      <w:t>3</w:t>
    </w:r>
    <w:r>
      <w:rPr>
        <w:rStyle w:val="PageNumber"/>
        <w:rFonts w:ascii="Arial" w:hAnsi="Arial"/>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55" w:rsidRDefault="006F7655">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54.95pt" o:ole="">
          <v:imagedata r:id="rId1" o:title=""/>
        </v:shape>
        <o:OLEObject Type="Embed" ProgID="PBrush" ShapeID="_x0000_i1026" DrawAspect="Content" ObjectID="_1526986565" r:id="rId2"/>
      </w:object>
    </w:r>
  </w:p>
  <w:p w:rsidR="006F7655" w:rsidRDefault="006F7655">
    <w:pPr>
      <w:spacing w:before="200" w:after="200"/>
      <w:jc w:val="center"/>
      <w:rPr>
        <w:rFonts w:ascii="Arial" w:hAnsi="Arial"/>
        <w:spacing w:val="40"/>
        <w:sz w:val="28"/>
      </w:rPr>
    </w:pPr>
    <w:r>
      <w:rPr>
        <w:rFonts w:ascii="Arial" w:hAnsi="Arial"/>
        <w:spacing w:val="40"/>
        <w:sz w:val="28"/>
      </w:rPr>
      <w:t>HIGH COURT OF AUSTRALIA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E547C"/>
    <w:multiLevelType w:val="hybridMultilevel"/>
    <w:tmpl w:val="A8C89B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F053027"/>
    <w:multiLevelType w:val="hybridMultilevel"/>
    <w:tmpl w:val="F78C6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307955"/>
    <w:multiLevelType w:val="hybridMultilevel"/>
    <w:tmpl w:val="82161DDC"/>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nsid w:val="72FC6F4E"/>
    <w:multiLevelType w:val="hybridMultilevel"/>
    <w:tmpl w:val="98EC3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39444A1"/>
    <w:multiLevelType w:val="hybridMultilevel"/>
    <w:tmpl w:val="19BA7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isplayHorizontalDrawingGridEvery w:val="0"/>
  <w:displayVerticalDrawingGridEvery w:val="0"/>
  <w:doNotUseMarginsForDrawingGridOrigin/>
  <w:noPunctuationKerning/>
  <w:characterSpacingControl w:val="doNotCompress"/>
  <w:hdrShapeDefaults>
    <o:shapedefaults v:ext="edit" spidmax="235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90"/>
    <w:rsid w:val="0002419A"/>
    <w:rsid w:val="00047ADB"/>
    <w:rsid w:val="00054C03"/>
    <w:rsid w:val="000810B9"/>
    <w:rsid w:val="000C621D"/>
    <w:rsid w:val="000D7ED9"/>
    <w:rsid w:val="000E3197"/>
    <w:rsid w:val="000F333B"/>
    <w:rsid w:val="001162D0"/>
    <w:rsid w:val="0012618D"/>
    <w:rsid w:val="00134D19"/>
    <w:rsid w:val="001351C4"/>
    <w:rsid w:val="0016015E"/>
    <w:rsid w:val="00165D8A"/>
    <w:rsid w:val="00176692"/>
    <w:rsid w:val="00197E2B"/>
    <w:rsid w:val="001A6453"/>
    <w:rsid w:val="001A7161"/>
    <w:rsid w:val="001B14EF"/>
    <w:rsid w:val="001C496F"/>
    <w:rsid w:val="001D1A37"/>
    <w:rsid w:val="00205BED"/>
    <w:rsid w:val="00210007"/>
    <w:rsid w:val="00227494"/>
    <w:rsid w:val="00234881"/>
    <w:rsid w:val="00240819"/>
    <w:rsid w:val="002700D4"/>
    <w:rsid w:val="00287423"/>
    <w:rsid w:val="002F56B5"/>
    <w:rsid w:val="002F6EAA"/>
    <w:rsid w:val="00315A92"/>
    <w:rsid w:val="00330751"/>
    <w:rsid w:val="003453E1"/>
    <w:rsid w:val="003519D5"/>
    <w:rsid w:val="003B5379"/>
    <w:rsid w:val="004119C3"/>
    <w:rsid w:val="00426927"/>
    <w:rsid w:val="00431479"/>
    <w:rsid w:val="00452FEE"/>
    <w:rsid w:val="00471CD9"/>
    <w:rsid w:val="004822BC"/>
    <w:rsid w:val="004C056A"/>
    <w:rsid w:val="004F5A9A"/>
    <w:rsid w:val="00504FBC"/>
    <w:rsid w:val="00594290"/>
    <w:rsid w:val="005B7B52"/>
    <w:rsid w:val="005E7DFF"/>
    <w:rsid w:val="005F4CE2"/>
    <w:rsid w:val="006040D4"/>
    <w:rsid w:val="00610881"/>
    <w:rsid w:val="006441E7"/>
    <w:rsid w:val="00651A3B"/>
    <w:rsid w:val="00676A57"/>
    <w:rsid w:val="006A2AFB"/>
    <w:rsid w:val="006B5020"/>
    <w:rsid w:val="006C3CE7"/>
    <w:rsid w:val="006C5746"/>
    <w:rsid w:val="006F7655"/>
    <w:rsid w:val="00704AC5"/>
    <w:rsid w:val="0070688B"/>
    <w:rsid w:val="00753456"/>
    <w:rsid w:val="00785C4D"/>
    <w:rsid w:val="007A5EC9"/>
    <w:rsid w:val="007B3CC5"/>
    <w:rsid w:val="007B6A9C"/>
    <w:rsid w:val="007F2717"/>
    <w:rsid w:val="008017DC"/>
    <w:rsid w:val="008030CE"/>
    <w:rsid w:val="008101DA"/>
    <w:rsid w:val="00822492"/>
    <w:rsid w:val="0084021B"/>
    <w:rsid w:val="008521AE"/>
    <w:rsid w:val="00884247"/>
    <w:rsid w:val="008B14BA"/>
    <w:rsid w:val="008F5A81"/>
    <w:rsid w:val="0092522F"/>
    <w:rsid w:val="0092697E"/>
    <w:rsid w:val="00966DB9"/>
    <w:rsid w:val="009679BE"/>
    <w:rsid w:val="009726D2"/>
    <w:rsid w:val="00A42C9D"/>
    <w:rsid w:val="00AE5227"/>
    <w:rsid w:val="00B05A9E"/>
    <w:rsid w:val="00B202B4"/>
    <w:rsid w:val="00B44CF4"/>
    <w:rsid w:val="00B47411"/>
    <w:rsid w:val="00B5218C"/>
    <w:rsid w:val="00B61889"/>
    <w:rsid w:val="00B63D62"/>
    <w:rsid w:val="00B80C28"/>
    <w:rsid w:val="00B95AB8"/>
    <w:rsid w:val="00BA1D54"/>
    <w:rsid w:val="00BA6917"/>
    <w:rsid w:val="00BA7CFF"/>
    <w:rsid w:val="00BD540C"/>
    <w:rsid w:val="00BF3F4D"/>
    <w:rsid w:val="00C02EE1"/>
    <w:rsid w:val="00C20E29"/>
    <w:rsid w:val="00C5039D"/>
    <w:rsid w:val="00C64A98"/>
    <w:rsid w:val="00C81706"/>
    <w:rsid w:val="00C81D9D"/>
    <w:rsid w:val="00C829E2"/>
    <w:rsid w:val="00CB579D"/>
    <w:rsid w:val="00CB7EFE"/>
    <w:rsid w:val="00CF0582"/>
    <w:rsid w:val="00D32302"/>
    <w:rsid w:val="00D35ABF"/>
    <w:rsid w:val="00D35E59"/>
    <w:rsid w:val="00D42570"/>
    <w:rsid w:val="00D572B0"/>
    <w:rsid w:val="00D9194B"/>
    <w:rsid w:val="00DA343C"/>
    <w:rsid w:val="00DB2A76"/>
    <w:rsid w:val="00DF0B29"/>
    <w:rsid w:val="00E108DC"/>
    <w:rsid w:val="00E429CD"/>
    <w:rsid w:val="00EE3C52"/>
    <w:rsid w:val="00F71D1C"/>
    <w:rsid w:val="00F876CD"/>
    <w:rsid w:val="00F8787D"/>
    <w:rsid w:val="00F92066"/>
    <w:rsid w:val="00F92652"/>
    <w:rsid w:val="00FE0354"/>
    <w:rsid w:val="00FE7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paragraph" w:styleId="Heading1">
    <w:name w:val="heading 1"/>
    <w:basedOn w:val="Normal"/>
    <w:next w:val="NoIndent"/>
    <w:qFormat/>
    <w:pPr>
      <w:keepNext/>
      <w:spacing w:before="240" w:after="60"/>
      <w:outlineLvl w:val="0"/>
    </w:pPr>
    <w:rPr>
      <w:b/>
      <w:sz w:val="28"/>
    </w:rPr>
  </w:style>
  <w:style w:type="paragraph" w:styleId="Heading2">
    <w:name w:val="heading 2"/>
    <w:basedOn w:val="Normal"/>
    <w:next w:val="NoIndent"/>
    <w:qFormat/>
    <w:pPr>
      <w:keepNext/>
      <w:spacing w:before="240" w:after="60"/>
      <w:outlineLvl w:val="1"/>
    </w:pPr>
    <w:rPr>
      <w:b/>
      <w:i/>
    </w:rPr>
  </w:style>
  <w:style w:type="paragraph" w:styleId="Heading3">
    <w:name w:val="heading 3"/>
    <w:basedOn w:val="Normal"/>
    <w:next w:val="NoIndent"/>
    <w:qFormat/>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3519D5"/>
    <w:rPr>
      <w:rFonts w:ascii="Tahoma" w:hAnsi="Tahoma" w:cs="Tahoma"/>
      <w:sz w:val="16"/>
      <w:szCs w:val="16"/>
    </w:rPr>
  </w:style>
  <w:style w:type="character" w:customStyle="1" w:styleId="BalloonTextChar">
    <w:name w:val="Balloon Text Char"/>
    <w:link w:val="BalloonText"/>
    <w:uiPriority w:val="99"/>
    <w:semiHidden/>
    <w:rsid w:val="003519D5"/>
    <w:rPr>
      <w:rFonts w:ascii="Tahoma" w:hAnsi="Tahoma" w:cs="Tahoma"/>
      <w:sz w:val="16"/>
      <w:szCs w:val="16"/>
      <w:lang w:val="en-GB"/>
    </w:rPr>
  </w:style>
  <w:style w:type="paragraph" w:styleId="Header">
    <w:name w:val="header"/>
    <w:basedOn w:val="Normal"/>
    <w:pPr>
      <w:jc w:val="center"/>
    </w:pPr>
  </w:style>
  <w:style w:type="character" w:styleId="PageNumber">
    <w:name w:val="page number"/>
    <w:basedOn w:val="DefaultParagraphFont"/>
  </w:style>
  <w:style w:type="paragraph" w:customStyle="1" w:styleId="Bullet">
    <w:name w:val="Bullet"/>
    <w:basedOn w:val="Normal"/>
    <w:pPr>
      <w:ind w:left="566" w:hanging="283"/>
    </w:pPr>
  </w:style>
  <w:style w:type="paragraph" w:styleId="FootnoteText">
    <w:name w:val="footnote text"/>
    <w:basedOn w:val="Normal"/>
    <w:semiHidden/>
    <w:pPr>
      <w:ind w:firstLine="284"/>
    </w:pPr>
    <w:rPr>
      <w:lang w:val="en-AU"/>
    </w:rPr>
  </w:style>
  <w:style w:type="paragraph" w:customStyle="1" w:styleId="Quotation">
    <w:name w:val="Quotation"/>
    <w:basedOn w:val="Normal"/>
    <w:next w:val="NoIndent"/>
    <w:pPr>
      <w:spacing w:before="120" w:after="120"/>
      <w:ind w:left="567" w:right="510"/>
    </w:pPr>
    <w:rPr>
      <w:lang w:val="en-AU"/>
    </w:rPr>
  </w:style>
  <w:style w:type="paragraph" w:styleId="Footer">
    <w:name w:val="footer"/>
    <w:basedOn w:val="Normal"/>
    <w:link w:val="FooterChar"/>
    <w:uiPriority w:val="99"/>
    <w:pPr>
      <w:jc w:val="center"/>
    </w:pPr>
  </w:style>
  <w:style w:type="paragraph" w:customStyle="1" w:styleId="Indent">
    <w:name w:val="Indent"/>
    <w:basedOn w:val="Normal"/>
    <w:pPr>
      <w:ind w:firstLine="284"/>
    </w:pPr>
  </w:style>
  <w:style w:type="paragraph" w:customStyle="1" w:styleId="NoIndent">
    <w:name w:val="No Indent"/>
    <w:basedOn w:val="Normal"/>
    <w:next w:val="Indent"/>
  </w:style>
  <w:style w:type="paragraph" w:customStyle="1" w:styleId="NoBullet">
    <w:name w:val="No Bullet"/>
    <w:basedOn w:val="Bullet"/>
    <w:next w:val="Bullet"/>
    <w:pPr>
      <w:ind w:left="567" w:firstLine="0"/>
    </w:pPr>
  </w:style>
  <w:style w:type="character" w:customStyle="1" w:styleId="FooterChar">
    <w:name w:val="Footer Char"/>
    <w:link w:val="Footer"/>
    <w:uiPriority w:val="99"/>
    <w:rsid w:val="005B7B52"/>
    <w:rPr>
      <w:sz w:val="24"/>
      <w:lang w:val="en-GB"/>
    </w:rPr>
  </w:style>
  <w:style w:type="paragraph" w:styleId="NoSpacing">
    <w:name w:val="No Spacing"/>
    <w:uiPriority w:val="1"/>
    <w:qFormat/>
    <w:rsid w:val="009726D2"/>
    <w:pPr>
      <w:spacing w:line="276" w:lineRule="auto"/>
      <w:ind w:left="357"/>
    </w:pPr>
    <w:rPr>
      <w:rFonts w:ascii="Calibri" w:eastAsia="Calibri" w:hAnsi="Calibri"/>
      <w:sz w:val="22"/>
      <w:szCs w:val="22"/>
      <w:lang w:eastAsia="en-US"/>
    </w:rPr>
  </w:style>
  <w:style w:type="paragraph" w:styleId="ListParagraph">
    <w:name w:val="List Paragraph"/>
    <w:basedOn w:val="Normal"/>
    <w:uiPriority w:val="34"/>
    <w:qFormat/>
    <w:rsid w:val="009726D2"/>
    <w:pPr>
      <w:spacing w:line="276" w:lineRule="auto"/>
      <w:ind w:left="720"/>
      <w:contextualSpacing/>
    </w:pPr>
    <w:rPr>
      <w:rFonts w:ascii="Calibri" w:eastAsia="Calibri" w:hAnsi="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CA\Acting%20Senior%20Registra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9527-B863-4E15-AE9B-27892BE6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Acting Senior Registrar Letterhead</Template>
  <TotalTime>288</TotalTime>
  <Pages>3</Pages>
  <Words>1025</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Letter from Senior Registrar</vt:lpstr>
    </vt:vector>
  </TitlesOfParts>
  <Company>High Court of Australia</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from Senior Registrar</dc:title>
  <dc:creator>HCA</dc:creator>
  <cp:lastModifiedBy>Administrator</cp:lastModifiedBy>
  <cp:revision>11</cp:revision>
  <cp:lastPrinted>2016-05-31T06:32:00Z</cp:lastPrinted>
  <dcterms:created xsi:type="dcterms:W3CDTF">2016-05-26T00:23:00Z</dcterms:created>
  <dcterms:modified xsi:type="dcterms:W3CDTF">2016-06-09T04:10:00Z</dcterms:modified>
</cp:coreProperties>
</file>