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504D2" w:rsidRDefault="00DA186E" w:rsidP="00B05CF4">
      <w:pPr>
        <w:rPr>
          <w:sz w:val="28"/>
        </w:rPr>
      </w:pPr>
      <w:r w:rsidRPr="00E504D2">
        <w:rPr>
          <w:noProof/>
          <w:lang w:eastAsia="en-AU"/>
        </w:rPr>
        <w:drawing>
          <wp:inline distT="0" distB="0" distL="0" distR="0" wp14:anchorId="423008DE" wp14:editId="47D100C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4D2" w:rsidRDefault="00715914" w:rsidP="00715914">
      <w:pPr>
        <w:rPr>
          <w:sz w:val="19"/>
        </w:rPr>
      </w:pPr>
    </w:p>
    <w:p w:rsidR="00715914" w:rsidRPr="00E504D2" w:rsidRDefault="00103FBA" w:rsidP="00715914">
      <w:pPr>
        <w:pStyle w:val="ShortT"/>
      </w:pPr>
      <w:r w:rsidRPr="00E504D2">
        <w:t xml:space="preserve">Christmas Island Utilities and Services </w:t>
      </w:r>
      <w:r w:rsidR="004E436A" w:rsidRPr="00E504D2">
        <w:t>(Water, Sewerage and Building Application Services Fees)</w:t>
      </w:r>
      <w:r w:rsidRPr="00E504D2">
        <w:t xml:space="preserve"> Determination</w:t>
      </w:r>
      <w:r w:rsidR="00E504D2" w:rsidRPr="00E504D2">
        <w:t> </w:t>
      </w:r>
      <w:r w:rsidRPr="00E504D2">
        <w:t>2016</w:t>
      </w:r>
    </w:p>
    <w:p w:rsidR="00103FBA" w:rsidRPr="00E504D2" w:rsidRDefault="00103FBA" w:rsidP="008E4315">
      <w:pPr>
        <w:pStyle w:val="SignCoverPageStart"/>
        <w:rPr>
          <w:szCs w:val="22"/>
        </w:rPr>
      </w:pPr>
      <w:r w:rsidRPr="00E504D2">
        <w:rPr>
          <w:szCs w:val="22"/>
        </w:rPr>
        <w:t xml:space="preserve">I, Barry </w:t>
      </w:r>
      <w:proofErr w:type="spellStart"/>
      <w:r w:rsidRPr="00E504D2">
        <w:rPr>
          <w:szCs w:val="22"/>
        </w:rPr>
        <w:t>Haase</w:t>
      </w:r>
      <w:proofErr w:type="spellEnd"/>
      <w:r w:rsidRPr="00E504D2">
        <w:rPr>
          <w:szCs w:val="22"/>
        </w:rPr>
        <w:t>, Administrator of the Territory of Christmas Island, make the following determination.</w:t>
      </w:r>
    </w:p>
    <w:p w:rsidR="00103FBA" w:rsidRPr="00E504D2" w:rsidRDefault="00103FBA" w:rsidP="008E4315">
      <w:pPr>
        <w:keepNext/>
        <w:spacing w:before="300" w:line="240" w:lineRule="atLeast"/>
        <w:ind w:right="397"/>
        <w:jc w:val="both"/>
        <w:rPr>
          <w:szCs w:val="22"/>
        </w:rPr>
      </w:pPr>
      <w:r w:rsidRPr="00E504D2">
        <w:rPr>
          <w:szCs w:val="22"/>
        </w:rPr>
        <w:t>Dated</w:t>
      </w:r>
      <w:r w:rsidR="00573E98">
        <w:rPr>
          <w:szCs w:val="22"/>
        </w:rPr>
        <w:t xml:space="preserve"> </w:t>
      </w:r>
      <w:bookmarkStart w:id="0" w:name="BKCheck15B_1"/>
      <w:bookmarkStart w:id="1" w:name="_GoBack"/>
      <w:bookmarkEnd w:id="0"/>
      <w:bookmarkEnd w:id="1"/>
      <w:r w:rsidRPr="00E504D2">
        <w:rPr>
          <w:szCs w:val="22"/>
        </w:rPr>
        <w:fldChar w:fldCharType="begin"/>
      </w:r>
      <w:r w:rsidRPr="00E504D2">
        <w:rPr>
          <w:szCs w:val="22"/>
        </w:rPr>
        <w:instrText xml:space="preserve"> DOCPROPERTY  DateMade </w:instrText>
      </w:r>
      <w:r w:rsidRPr="00E504D2">
        <w:rPr>
          <w:szCs w:val="22"/>
        </w:rPr>
        <w:fldChar w:fldCharType="separate"/>
      </w:r>
      <w:r w:rsidR="00573E98">
        <w:rPr>
          <w:szCs w:val="22"/>
        </w:rPr>
        <w:t>30 June 2016</w:t>
      </w:r>
      <w:r w:rsidRPr="00E504D2">
        <w:rPr>
          <w:szCs w:val="22"/>
        </w:rPr>
        <w:fldChar w:fldCharType="end"/>
      </w:r>
    </w:p>
    <w:p w:rsidR="00103FBA" w:rsidRPr="00E504D2" w:rsidRDefault="00103FBA" w:rsidP="008E4315">
      <w:pPr>
        <w:keepNext/>
        <w:tabs>
          <w:tab w:val="left" w:pos="3402"/>
        </w:tabs>
        <w:spacing w:before="1440" w:line="300" w:lineRule="atLeast"/>
        <w:ind w:right="397"/>
        <w:rPr>
          <w:szCs w:val="22"/>
        </w:rPr>
      </w:pPr>
      <w:r w:rsidRPr="00E504D2">
        <w:rPr>
          <w:szCs w:val="22"/>
        </w:rPr>
        <w:t xml:space="preserve">Barry </w:t>
      </w:r>
      <w:proofErr w:type="spellStart"/>
      <w:r w:rsidRPr="00E504D2">
        <w:rPr>
          <w:szCs w:val="22"/>
        </w:rPr>
        <w:t>Haase</w:t>
      </w:r>
      <w:proofErr w:type="spellEnd"/>
    </w:p>
    <w:p w:rsidR="00103FBA" w:rsidRPr="00E504D2" w:rsidRDefault="00103FBA" w:rsidP="008E4315">
      <w:pPr>
        <w:pStyle w:val="SignCoverPageEnd"/>
        <w:rPr>
          <w:szCs w:val="22"/>
        </w:rPr>
      </w:pPr>
      <w:r w:rsidRPr="00E504D2">
        <w:rPr>
          <w:szCs w:val="22"/>
        </w:rPr>
        <w:t>Administrator of the Territory of Christmas Island</w:t>
      </w:r>
    </w:p>
    <w:p w:rsidR="00103FBA" w:rsidRPr="00E504D2" w:rsidRDefault="00103FBA" w:rsidP="008E4315"/>
    <w:p w:rsidR="00715914" w:rsidRPr="00E504D2" w:rsidRDefault="00715914" w:rsidP="00715914">
      <w:pPr>
        <w:pStyle w:val="Header"/>
        <w:tabs>
          <w:tab w:val="clear" w:pos="4150"/>
          <w:tab w:val="clear" w:pos="8307"/>
        </w:tabs>
      </w:pPr>
      <w:r w:rsidRPr="00E504D2">
        <w:rPr>
          <w:rStyle w:val="CharChapNo"/>
        </w:rPr>
        <w:t xml:space="preserve"> </w:t>
      </w:r>
      <w:r w:rsidRPr="00E504D2">
        <w:rPr>
          <w:rStyle w:val="CharChapText"/>
        </w:rPr>
        <w:t xml:space="preserve"> </w:t>
      </w:r>
    </w:p>
    <w:p w:rsidR="00715914" w:rsidRPr="00E504D2" w:rsidRDefault="00715914" w:rsidP="00715914">
      <w:pPr>
        <w:pStyle w:val="Header"/>
        <w:tabs>
          <w:tab w:val="clear" w:pos="4150"/>
          <w:tab w:val="clear" w:pos="8307"/>
        </w:tabs>
      </w:pPr>
      <w:r w:rsidRPr="00E504D2">
        <w:rPr>
          <w:rStyle w:val="CharPartNo"/>
        </w:rPr>
        <w:t xml:space="preserve"> </w:t>
      </w:r>
      <w:r w:rsidRPr="00E504D2">
        <w:rPr>
          <w:rStyle w:val="CharPartText"/>
        </w:rPr>
        <w:t xml:space="preserve"> </w:t>
      </w:r>
    </w:p>
    <w:p w:rsidR="00715914" w:rsidRPr="00E504D2" w:rsidRDefault="00715914" w:rsidP="00715914">
      <w:pPr>
        <w:pStyle w:val="Header"/>
        <w:tabs>
          <w:tab w:val="clear" w:pos="4150"/>
          <w:tab w:val="clear" w:pos="8307"/>
        </w:tabs>
      </w:pPr>
      <w:r w:rsidRPr="00E504D2">
        <w:rPr>
          <w:rStyle w:val="CharDivNo"/>
        </w:rPr>
        <w:t xml:space="preserve"> </w:t>
      </w:r>
      <w:r w:rsidRPr="00E504D2">
        <w:rPr>
          <w:rStyle w:val="CharDivText"/>
        </w:rPr>
        <w:t xml:space="preserve"> </w:t>
      </w:r>
    </w:p>
    <w:p w:rsidR="00715914" w:rsidRPr="00E504D2" w:rsidRDefault="00715914" w:rsidP="00715914">
      <w:pPr>
        <w:sectPr w:rsidR="00715914" w:rsidRPr="00E504D2" w:rsidSect="00E47B3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E504D2" w:rsidRDefault="00715914" w:rsidP="00BE2FA3">
      <w:pPr>
        <w:rPr>
          <w:sz w:val="36"/>
        </w:rPr>
      </w:pPr>
      <w:r w:rsidRPr="00E504D2">
        <w:rPr>
          <w:sz w:val="36"/>
        </w:rPr>
        <w:lastRenderedPageBreak/>
        <w:t>Contents</w:t>
      </w:r>
    </w:p>
    <w:bookmarkStart w:id="2" w:name="BKCheck15B_2"/>
    <w:bookmarkEnd w:id="2"/>
    <w:p w:rsidR="005B6028" w:rsidRPr="00E504D2" w:rsidRDefault="005B6028">
      <w:pPr>
        <w:pStyle w:val="TOC2"/>
        <w:rPr>
          <w:rFonts w:asciiTheme="minorHAnsi" w:eastAsiaTheme="minorEastAsia" w:hAnsiTheme="minorHAnsi" w:cstheme="minorBidi"/>
          <w:b w:val="0"/>
          <w:noProof/>
          <w:kern w:val="0"/>
          <w:sz w:val="22"/>
          <w:szCs w:val="22"/>
        </w:rPr>
      </w:pPr>
      <w:r w:rsidRPr="00E504D2">
        <w:fldChar w:fldCharType="begin"/>
      </w:r>
      <w:r w:rsidRPr="00E504D2">
        <w:instrText xml:space="preserve"> TOC \o "1-9" </w:instrText>
      </w:r>
      <w:r w:rsidRPr="00E504D2">
        <w:fldChar w:fldCharType="separate"/>
      </w:r>
      <w:r w:rsidRPr="00E504D2">
        <w:rPr>
          <w:noProof/>
        </w:rPr>
        <w:t>Part</w:t>
      </w:r>
      <w:r w:rsidR="00E504D2" w:rsidRPr="00E504D2">
        <w:rPr>
          <w:noProof/>
        </w:rPr>
        <w:t> </w:t>
      </w:r>
      <w:r w:rsidRPr="00E504D2">
        <w:rPr>
          <w:noProof/>
        </w:rPr>
        <w:t>1—Preliminary</w:t>
      </w:r>
      <w:r w:rsidRPr="00E504D2">
        <w:rPr>
          <w:b w:val="0"/>
          <w:noProof/>
          <w:sz w:val="18"/>
        </w:rPr>
        <w:tab/>
      </w:r>
      <w:r w:rsidRPr="00E504D2">
        <w:rPr>
          <w:b w:val="0"/>
          <w:noProof/>
          <w:sz w:val="18"/>
        </w:rPr>
        <w:fldChar w:fldCharType="begin"/>
      </w:r>
      <w:r w:rsidRPr="00E504D2">
        <w:rPr>
          <w:b w:val="0"/>
          <w:noProof/>
          <w:sz w:val="18"/>
        </w:rPr>
        <w:instrText xml:space="preserve"> PAGEREF _Toc454972740 \h </w:instrText>
      </w:r>
      <w:r w:rsidRPr="00E504D2">
        <w:rPr>
          <w:b w:val="0"/>
          <w:noProof/>
          <w:sz w:val="18"/>
        </w:rPr>
      </w:r>
      <w:r w:rsidRPr="00E504D2">
        <w:rPr>
          <w:b w:val="0"/>
          <w:noProof/>
          <w:sz w:val="18"/>
        </w:rPr>
        <w:fldChar w:fldCharType="separate"/>
      </w:r>
      <w:r w:rsidR="00573E98">
        <w:rPr>
          <w:b w:val="0"/>
          <w:noProof/>
          <w:sz w:val="18"/>
        </w:rPr>
        <w:t>1</w:t>
      </w:r>
      <w:r w:rsidRPr="00E504D2">
        <w:rPr>
          <w:b w:val="0"/>
          <w:noProof/>
          <w:sz w:val="18"/>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1</w:t>
      </w:r>
      <w:r w:rsidRPr="00E504D2">
        <w:rPr>
          <w:noProof/>
        </w:rPr>
        <w:tab/>
        <w:t>Name</w:t>
      </w:r>
      <w:r w:rsidRPr="00E504D2">
        <w:rPr>
          <w:noProof/>
        </w:rPr>
        <w:tab/>
      </w:r>
      <w:r w:rsidRPr="00E504D2">
        <w:rPr>
          <w:noProof/>
        </w:rPr>
        <w:fldChar w:fldCharType="begin"/>
      </w:r>
      <w:r w:rsidRPr="00E504D2">
        <w:rPr>
          <w:noProof/>
        </w:rPr>
        <w:instrText xml:space="preserve"> PAGEREF _Toc454972741 \h </w:instrText>
      </w:r>
      <w:r w:rsidRPr="00E504D2">
        <w:rPr>
          <w:noProof/>
        </w:rPr>
      </w:r>
      <w:r w:rsidRPr="00E504D2">
        <w:rPr>
          <w:noProof/>
        </w:rPr>
        <w:fldChar w:fldCharType="separate"/>
      </w:r>
      <w:r w:rsidR="00573E98">
        <w:rPr>
          <w:noProof/>
        </w:rPr>
        <w:t>1</w:t>
      </w:r>
      <w:r w:rsidRPr="00E504D2">
        <w:rPr>
          <w:noProof/>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2</w:t>
      </w:r>
      <w:r w:rsidRPr="00E504D2">
        <w:rPr>
          <w:noProof/>
        </w:rPr>
        <w:tab/>
        <w:t>Commencement</w:t>
      </w:r>
      <w:r w:rsidRPr="00E504D2">
        <w:rPr>
          <w:noProof/>
        </w:rPr>
        <w:tab/>
      </w:r>
      <w:r w:rsidRPr="00E504D2">
        <w:rPr>
          <w:noProof/>
        </w:rPr>
        <w:fldChar w:fldCharType="begin"/>
      </w:r>
      <w:r w:rsidRPr="00E504D2">
        <w:rPr>
          <w:noProof/>
        </w:rPr>
        <w:instrText xml:space="preserve"> PAGEREF _Toc454972742 \h </w:instrText>
      </w:r>
      <w:r w:rsidRPr="00E504D2">
        <w:rPr>
          <w:noProof/>
        </w:rPr>
      </w:r>
      <w:r w:rsidRPr="00E504D2">
        <w:rPr>
          <w:noProof/>
        </w:rPr>
        <w:fldChar w:fldCharType="separate"/>
      </w:r>
      <w:r w:rsidR="00573E98">
        <w:rPr>
          <w:noProof/>
        </w:rPr>
        <w:t>1</w:t>
      </w:r>
      <w:r w:rsidRPr="00E504D2">
        <w:rPr>
          <w:noProof/>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3</w:t>
      </w:r>
      <w:r w:rsidRPr="00E504D2">
        <w:rPr>
          <w:noProof/>
        </w:rPr>
        <w:tab/>
        <w:t>Authority</w:t>
      </w:r>
      <w:r w:rsidRPr="00E504D2">
        <w:rPr>
          <w:noProof/>
        </w:rPr>
        <w:tab/>
      </w:r>
      <w:r w:rsidRPr="00E504D2">
        <w:rPr>
          <w:noProof/>
        </w:rPr>
        <w:fldChar w:fldCharType="begin"/>
      </w:r>
      <w:r w:rsidRPr="00E504D2">
        <w:rPr>
          <w:noProof/>
        </w:rPr>
        <w:instrText xml:space="preserve"> PAGEREF _Toc454972743 \h </w:instrText>
      </w:r>
      <w:r w:rsidRPr="00E504D2">
        <w:rPr>
          <w:noProof/>
        </w:rPr>
      </w:r>
      <w:r w:rsidRPr="00E504D2">
        <w:rPr>
          <w:noProof/>
        </w:rPr>
        <w:fldChar w:fldCharType="separate"/>
      </w:r>
      <w:r w:rsidR="00573E98">
        <w:rPr>
          <w:noProof/>
        </w:rPr>
        <w:t>1</w:t>
      </w:r>
      <w:r w:rsidRPr="00E504D2">
        <w:rPr>
          <w:noProof/>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4</w:t>
      </w:r>
      <w:r w:rsidRPr="00E504D2">
        <w:rPr>
          <w:noProof/>
        </w:rPr>
        <w:tab/>
        <w:t>Definitions</w:t>
      </w:r>
      <w:r w:rsidRPr="00E504D2">
        <w:rPr>
          <w:noProof/>
        </w:rPr>
        <w:tab/>
      </w:r>
      <w:r w:rsidRPr="00E504D2">
        <w:rPr>
          <w:noProof/>
        </w:rPr>
        <w:fldChar w:fldCharType="begin"/>
      </w:r>
      <w:r w:rsidRPr="00E504D2">
        <w:rPr>
          <w:noProof/>
        </w:rPr>
        <w:instrText xml:space="preserve"> PAGEREF _Toc454972744 \h </w:instrText>
      </w:r>
      <w:r w:rsidRPr="00E504D2">
        <w:rPr>
          <w:noProof/>
        </w:rPr>
      </w:r>
      <w:r w:rsidRPr="00E504D2">
        <w:rPr>
          <w:noProof/>
        </w:rPr>
        <w:fldChar w:fldCharType="separate"/>
      </w:r>
      <w:r w:rsidR="00573E98">
        <w:rPr>
          <w:noProof/>
        </w:rPr>
        <w:t>1</w:t>
      </w:r>
      <w:r w:rsidRPr="00E504D2">
        <w:rPr>
          <w:noProof/>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5</w:t>
      </w:r>
      <w:r w:rsidRPr="00E504D2">
        <w:rPr>
          <w:noProof/>
        </w:rPr>
        <w:tab/>
        <w:t>Categories of land</w:t>
      </w:r>
      <w:r w:rsidRPr="00E504D2">
        <w:rPr>
          <w:noProof/>
        </w:rPr>
        <w:tab/>
      </w:r>
      <w:r w:rsidRPr="00E504D2">
        <w:rPr>
          <w:noProof/>
        </w:rPr>
        <w:fldChar w:fldCharType="begin"/>
      </w:r>
      <w:r w:rsidRPr="00E504D2">
        <w:rPr>
          <w:noProof/>
        </w:rPr>
        <w:instrText xml:space="preserve"> PAGEREF _Toc454972745 \h </w:instrText>
      </w:r>
      <w:r w:rsidRPr="00E504D2">
        <w:rPr>
          <w:noProof/>
        </w:rPr>
      </w:r>
      <w:r w:rsidRPr="00E504D2">
        <w:rPr>
          <w:noProof/>
        </w:rPr>
        <w:fldChar w:fldCharType="separate"/>
      </w:r>
      <w:r w:rsidR="00573E98">
        <w:rPr>
          <w:noProof/>
        </w:rPr>
        <w:t>2</w:t>
      </w:r>
      <w:r w:rsidRPr="00E504D2">
        <w:rPr>
          <w:noProof/>
        </w:rPr>
        <w:fldChar w:fldCharType="end"/>
      </w:r>
    </w:p>
    <w:p w:rsidR="005B6028" w:rsidRPr="00E504D2" w:rsidRDefault="005B6028">
      <w:pPr>
        <w:pStyle w:val="TOC2"/>
        <w:rPr>
          <w:rFonts w:asciiTheme="minorHAnsi" w:eastAsiaTheme="minorEastAsia" w:hAnsiTheme="minorHAnsi" w:cstheme="minorBidi"/>
          <w:b w:val="0"/>
          <w:noProof/>
          <w:kern w:val="0"/>
          <w:sz w:val="22"/>
          <w:szCs w:val="22"/>
        </w:rPr>
      </w:pPr>
      <w:r w:rsidRPr="00E504D2">
        <w:rPr>
          <w:noProof/>
        </w:rPr>
        <w:t>Part</w:t>
      </w:r>
      <w:r w:rsidR="00E504D2" w:rsidRPr="00E504D2">
        <w:rPr>
          <w:noProof/>
        </w:rPr>
        <w:t> </w:t>
      </w:r>
      <w:r w:rsidRPr="00E504D2">
        <w:rPr>
          <w:noProof/>
        </w:rPr>
        <w:t>2—Fees</w:t>
      </w:r>
      <w:r w:rsidRPr="00E504D2">
        <w:rPr>
          <w:b w:val="0"/>
          <w:noProof/>
          <w:sz w:val="18"/>
        </w:rPr>
        <w:tab/>
      </w:r>
      <w:r w:rsidRPr="00E504D2">
        <w:rPr>
          <w:b w:val="0"/>
          <w:noProof/>
          <w:sz w:val="18"/>
        </w:rPr>
        <w:fldChar w:fldCharType="begin"/>
      </w:r>
      <w:r w:rsidRPr="00E504D2">
        <w:rPr>
          <w:b w:val="0"/>
          <w:noProof/>
          <w:sz w:val="18"/>
        </w:rPr>
        <w:instrText xml:space="preserve"> PAGEREF _Toc454972746 \h </w:instrText>
      </w:r>
      <w:r w:rsidRPr="00E504D2">
        <w:rPr>
          <w:b w:val="0"/>
          <w:noProof/>
          <w:sz w:val="18"/>
        </w:rPr>
      </w:r>
      <w:r w:rsidRPr="00E504D2">
        <w:rPr>
          <w:b w:val="0"/>
          <w:noProof/>
          <w:sz w:val="18"/>
        </w:rPr>
        <w:fldChar w:fldCharType="separate"/>
      </w:r>
      <w:r w:rsidR="00573E98">
        <w:rPr>
          <w:b w:val="0"/>
          <w:noProof/>
          <w:sz w:val="18"/>
        </w:rPr>
        <w:t>5</w:t>
      </w:r>
      <w:r w:rsidRPr="00E504D2">
        <w:rPr>
          <w:b w:val="0"/>
          <w:noProof/>
          <w:sz w:val="18"/>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6</w:t>
      </w:r>
      <w:r w:rsidRPr="00E504D2">
        <w:rPr>
          <w:noProof/>
        </w:rPr>
        <w:tab/>
        <w:t>Fees</w:t>
      </w:r>
      <w:r w:rsidRPr="00E504D2">
        <w:rPr>
          <w:noProof/>
        </w:rPr>
        <w:tab/>
      </w:r>
      <w:r w:rsidRPr="00E504D2">
        <w:rPr>
          <w:noProof/>
        </w:rPr>
        <w:fldChar w:fldCharType="begin"/>
      </w:r>
      <w:r w:rsidRPr="00E504D2">
        <w:rPr>
          <w:noProof/>
        </w:rPr>
        <w:instrText xml:space="preserve"> PAGEREF _Toc454972747 \h </w:instrText>
      </w:r>
      <w:r w:rsidRPr="00E504D2">
        <w:rPr>
          <w:noProof/>
        </w:rPr>
      </w:r>
      <w:r w:rsidRPr="00E504D2">
        <w:rPr>
          <w:noProof/>
        </w:rPr>
        <w:fldChar w:fldCharType="separate"/>
      </w:r>
      <w:r w:rsidR="00573E98">
        <w:rPr>
          <w:noProof/>
        </w:rPr>
        <w:t>5</w:t>
      </w:r>
      <w:r w:rsidRPr="00E504D2">
        <w:rPr>
          <w:noProof/>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7</w:t>
      </w:r>
      <w:r w:rsidRPr="00E504D2">
        <w:rPr>
          <w:noProof/>
        </w:rPr>
        <w:tab/>
        <w:t>Concessions for eligible pensioners and eligible seniors</w:t>
      </w:r>
      <w:r w:rsidRPr="00E504D2">
        <w:rPr>
          <w:noProof/>
        </w:rPr>
        <w:tab/>
      </w:r>
      <w:r w:rsidRPr="00E504D2">
        <w:rPr>
          <w:noProof/>
        </w:rPr>
        <w:fldChar w:fldCharType="begin"/>
      </w:r>
      <w:r w:rsidRPr="00E504D2">
        <w:rPr>
          <w:noProof/>
        </w:rPr>
        <w:instrText xml:space="preserve"> PAGEREF _Toc454972748 \h </w:instrText>
      </w:r>
      <w:r w:rsidRPr="00E504D2">
        <w:rPr>
          <w:noProof/>
        </w:rPr>
      </w:r>
      <w:r w:rsidRPr="00E504D2">
        <w:rPr>
          <w:noProof/>
        </w:rPr>
        <w:fldChar w:fldCharType="separate"/>
      </w:r>
      <w:r w:rsidR="00573E98">
        <w:rPr>
          <w:noProof/>
        </w:rPr>
        <w:t>6</w:t>
      </w:r>
      <w:r w:rsidRPr="00E504D2">
        <w:rPr>
          <w:noProof/>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8</w:t>
      </w:r>
      <w:r w:rsidRPr="00E504D2">
        <w:rPr>
          <w:noProof/>
        </w:rPr>
        <w:tab/>
        <w:t>Payment of fees</w:t>
      </w:r>
      <w:r w:rsidRPr="00E504D2">
        <w:rPr>
          <w:noProof/>
        </w:rPr>
        <w:tab/>
      </w:r>
      <w:r w:rsidRPr="00E504D2">
        <w:rPr>
          <w:noProof/>
        </w:rPr>
        <w:fldChar w:fldCharType="begin"/>
      </w:r>
      <w:r w:rsidRPr="00E504D2">
        <w:rPr>
          <w:noProof/>
        </w:rPr>
        <w:instrText xml:space="preserve"> PAGEREF _Toc454972749 \h </w:instrText>
      </w:r>
      <w:r w:rsidRPr="00E504D2">
        <w:rPr>
          <w:noProof/>
        </w:rPr>
      </w:r>
      <w:r w:rsidRPr="00E504D2">
        <w:rPr>
          <w:noProof/>
        </w:rPr>
        <w:fldChar w:fldCharType="separate"/>
      </w:r>
      <w:r w:rsidR="00573E98">
        <w:rPr>
          <w:noProof/>
        </w:rPr>
        <w:t>6</w:t>
      </w:r>
      <w:r w:rsidRPr="00E504D2">
        <w:rPr>
          <w:noProof/>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9</w:t>
      </w:r>
      <w:r w:rsidRPr="00E504D2">
        <w:rPr>
          <w:noProof/>
        </w:rPr>
        <w:tab/>
        <w:t>When a fee is not paid</w:t>
      </w:r>
      <w:r w:rsidRPr="00E504D2">
        <w:rPr>
          <w:noProof/>
        </w:rPr>
        <w:tab/>
      </w:r>
      <w:r w:rsidRPr="00E504D2">
        <w:rPr>
          <w:noProof/>
        </w:rPr>
        <w:fldChar w:fldCharType="begin"/>
      </w:r>
      <w:r w:rsidRPr="00E504D2">
        <w:rPr>
          <w:noProof/>
        </w:rPr>
        <w:instrText xml:space="preserve"> PAGEREF _Toc454972750 \h </w:instrText>
      </w:r>
      <w:r w:rsidRPr="00E504D2">
        <w:rPr>
          <w:noProof/>
        </w:rPr>
      </w:r>
      <w:r w:rsidRPr="00E504D2">
        <w:rPr>
          <w:noProof/>
        </w:rPr>
        <w:fldChar w:fldCharType="separate"/>
      </w:r>
      <w:r w:rsidR="00573E98">
        <w:rPr>
          <w:noProof/>
        </w:rPr>
        <w:t>6</w:t>
      </w:r>
      <w:r w:rsidRPr="00E504D2">
        <w:rPr>
          <w:noProof/>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10</w:t>
      </w:r>
      <w:r w:rsidRPr="00E504D2">
        <w:rPr>
          <w:noProof/>
        </w:rPr>
        <w:tab/>
        <w:t>Special payment arrangements</w:t>
      </w:r>
      <w:r w:rsidRPr="00E504D2">
        <w:rPr>
          <w:noProof/>
        </w:rPr>
        <w:tab/>
      </w:r>
      <w:r w:rsidRPr="00E504D2">
        <w:rPr>
          <w:noProof/>
        </w:rPr>
        <w:fldChar w:fldCharType="begin"/>
      </w:r>
      <w:r w:rsidRPr="00E504D2">
        <w:rPr>
          <w:noProof/>
        </w:rPr>
        <w:instrText xml:space="preserve"> PAGEREF _Toc454972751 \h </w:instrText>
      </w:r>
      <w:r w:rsidRPr="00E504D2">
        <w:rPr>
          <w:noProof/>
        </w:rPr>
      </w:r>
      <w:r w:rsidRPr="00E504D2">
        <w:rPr>
          <w:noProof/>
        </w:rPr>
        <w:fldChar w:fldCharType="separate"/>
      </w:r>
      <w:r w:rsidR="00573E98">
        <w:rPr>
          <w:noProof/>
        </w:rPr>
        <w:t>7</w:t>
      </w:r>
      <w:r w:rsidRPr="00E504D2">
        <w:rPr>
          <w:noProof/>
        </w:rPr>
        <w:fldChar w:fldCharType="end"/>
      </w:r>
    </w:p>
    <w:p w:rsidR="005B6028" w:rsidRPr="00E504D2" w:rsidRDefault="005B6028">
      <w:pPr>
        <w:pStyle w:val="TOC1"/>
        <w:rPr>
          <w:rFonts w:asciiTheme="minorHAnsi" w:eastAsiaTheme="minorEastAsia" w:hAnsiTheme="minorHAnsi" w:cstheme="minorBidi"/>
          <w:b w:val="0"/>
          <w:noProof/>
          <w:kern w:val="0"/>
          <w:sz w:val="22"/>
          <w:szCs w:val="22"/>
        </w:rPr>
      </w:pPr>
      <w:r w:rsidRPr="00E504D2">
        <w:rPr>
          <w:noProof/>
        </w:rPr>
        <w:t>Schedule</w:t>
      </w:r>
      <w:r w:rsidR="00E504D2" w:rsidRPr="00E504D2">
        <w:rPr>
          <w:noProof/>
        </w:rPr>
        <w:t> </w:t>
      </w:r>
      <w:r w:rsidRPr="00E504D2">
        <w:rPr>
          <w:noProof/>
        </w:rPr>
        <w:t>1—Fixed fees for the supply of water services</w:t>
      </w:r>
      <w:r w:rsidRPr="00E504D2">
        <w:rPr>
          <w:b w:val="0"/>
          <w:noProof/>
          <w:sz w:val="18"/>
        </w:rPr>
        <w:tab/>
      </w:r>
      <w:r w:rsidRPr="00E504D2">
        <w:rPr>
          <w:b w:val="0"/>
          <w:noProof/>
          <w:sz w:val="18"/>
        </w:rPr>
        <w:fldChar w:fldCharType="begin"/>
      </w:r>
      <w:r w:rsidRPr="00E504D2">
        <w:rPr>
          <w:b w:val="0"/>
          <w:noProof/>
          <w:sz w:val="18"/>
        </w:rPr>
        <w:instrText xml:space="preserve"> PAGEREF _Toc454972752 \h </w:instrText>
      </w:r>
      <w:r w:rsidRPr="00E504D2">
        <w:rPr>
          <w:b w:val="0"/>
          <w:noProof/>
          <w:sz w:val="18"/>
        </w:rPr>
      </w:r>
      <w:r w:rsidRPr="00E504D2">
        <w:rPr>
          <w:b w:val="0"/>
          <w:noProof/>
          <w:sz w:val="18"/>
        </w:rPr>
        <w:fldChar w:fldCharType="separate"/>
      </w:r>
      <w:r w:rsidR="00573E98">
        <w:rPr>
          <w:b w:val="0"/>
          <w:noProof/>
          <w:sz w:val="18"/>
        </w:rPr>
        <w:t>8</w:t>
      </w:r>
      <w:r w:rsidRPr="00E504D2">
        <w:rPr>
          <w:b w:val="0"/>
          <w:noProof/>
          <w:sz w:val="18"/>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1</w:t>
      </w:r>
      <w:r w:rsidRPr="00E504D2">
        <w:rPr>
          <w:noProof/>
        </w:rPr>
        <w:tab/>
        <w:t>Fixed fees for the supply of water services</w:t>
      </w:r>
      <w:r w:rsidRPr="00E504D2">
        <w:rPr>
          <w:noProof/>
        </w:rPr>
        <w:tab/>
      </w:r>
      <w:r w:rsidRPr="00E504D2">
        <w:rPr>
          <w:noProof/>
        </w:rPr>
        <w:fldChar w:fldCharType="begin"/>
      </w:r>
      <w:r w:rsidRPr="00E504D2">
        <w:rPr>
          <w:noProof/>
        </w:rPr>
        <w:instrText xml:space="preserve"> PAGEREF _Toc454972753 \h </w:instrText>
      </w:r>
      <w:r w:rsidRPr="00E504D2">
        <w:rPr>
          <w:noProof/>
        </w:rPr>
      </w:r>
      <w:r w:rsidRPr="00E504D2">
        <w:rPr>
          <w:noProof/>
        </w:rPr>
        <w:fldChar w:fldCharType="separate"/>
      </w:r>
      <w:r w:rsidR="00573E98">
        <w:rPr>
          <w:noProof/>
        </w:rPr>
        <w:t>8</w:t>
      </w:r>
      <w:r w:rsidRPr="00E504D2">
        <w:rPr>
          <w:noProof/>
        </w:rPr>
        <w:fldChar w:fldCharType="end"/>
      </w:r>
    </w:p>
    <w:p w:rsidR="005B6028" w:rsidRPr="00E504D2" w:rsidRDefault="005B6028">
      <w:pPr>
        <w:pStyle w:val="TOC1"/>
        <w:rPr>
          <w:rFonts w:asciiTheme="minorHAnsi" w:eastAsiaTheme="minorEastAsia" w:hAnsiTheme="minorHAnsi" w:cstheme="minorBidi"/>
          <w:b w:val="0"/>
          <w:noProof/>
          <w:kern w:val="0"/>
          <w:sz w:val="22"/>
          <w:szCs w:val="22"/>
        </w:rPr>
      </w:pPr>
      <w:r w:rsidRPr="00E504D2">
        <w:rPr>
          <w:noProof/>
        </w:rPr>
        <w:t>Schedule</w:t>
      </w:r>
      <w:r w:rsidR="00E504D2" w:rsidRPr="00E504D2">
        <w:rPr>
          <w:noProof/>
        </w:rPr>
        <w:t> </w:t>
      </w:r>
      <w:r w:rsidRPr="00E504D2">
        <w:rPr>
          <w:noProof/>
        </w:rPr>
        <w:t>2—Fixed fees for the supply of sewerage services</w:t>
      </w:r>
      <w:r w:rsidRPr="00E504D2">
        <w:rPr>
          <w:b w:val="0"/>
          <w:noProof/>
          <w:sz w:val="18"/>
        </w:rPr>
        <w:tab/>
      </w:r>
      <w:r w:rsidRPr="00E504D2">
        <w:rPr>
          <w:b w:val="0"/>
          <w:noProof/>
          <w:sz w:val="18"/>
        </w:rPr>
        <w:fldChar w:fldCharType="begin"/>
      </w:r>
      <w:r w:rsidRPr="00E504D2">
        <w:rPr>
          <w:b w:val="0"/>
          <w:noProof/>
          <w:sz w:val="18"/>
        </w:rPr>
        <w:instrText xml:space="preserve"> PAGEREF _Toc454972754 \h </w:instrText>
      </w:r>
      <w:r w:rsidRPr="00E504D2">
        <w:rPr>
          <w:b w:val="0"/>
          <w:noProof/>
          <w:sz w:val="18"/>
        </w:rPr>
      </w:r>
      <w:r w:rsidRPr="00E504D2">
        <w:rPr>
          <w:b w:val="0"/>
          <w:noProof/>
          <w:sz w:val="18"/>
        </w:rPr>
        <w:fldChar w:fldCharType="separate"/>
      </w:r>
      <w:r w:rsidR="00573E98">
        <w:rPr>
          <w:b w:val="0"/>
          <w:noProof/>
          <w:sz w:val="18"/>
        </w:rPr>
        <w:t>9</w:t>
      </w:r>
      <w:r w:rsidRPr="00E504D2">
        <w:rPr>
          <w:b w:val="0"/>
          <w:noProof/>
          <w:sz w:val="18"/>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1</w:t>
      </w:r>
      <w:r w:rsidRPr="00E504D2">
        <w:rPr>
          <w:noProof/>
        </w:rPr>
        <w:tab/>
        <w:t>Fixed fees for the supply of sewerage services</w:t>
      </w:r>
      <w:r w:rsidRPr="00E504D2">
        <w:rPr>
          <w:noProof/>
        </w:rPr>
        <w:tab/>
      </w:r>
      <w:r w:rsidRPr="00E504D2">
        <w:rPr>
          <w:noProof/>
        </w:rPr>
        <w:fldChar w:fldCharType="begin"/>
      </w:r>
      <w:r w:rsidRPr="00E504D2">
        <w:rPr>
          <w:noProof/>
        </w:rPr>
        <w:instrText xml:space="preserve"> PAGEREF _Toc454972755 \h </w:instrText>
      </w:r>
      <w:r w:rsidRPr="00E504D2">
        <w:rPr>
          <w:noProof/>
        </w:rPr>
      </w:r>
      <w:r w:rsidRPr="00E504D2">
        <w:rPr>
          <w:noProof/>
        </w:rPr>
        <w:fldChar w:fldCharType="separate"/>
      </w:r>
      <w:r w:rsidR="00573E98">
        <w:rPr>
          <w:noProof/>
        </w:rPr>
        <w:t>9</w:t>
      </w:r>
      <w:r w:rsidRPr="00E504D2">
        <w:rPr>
          <w:noProof/>
        </w:rPr>
        <w:fldChar w:fldCharType="end"/>
      </w:r>
    </w:p>
    <w:p w:rsidR="005B6028" w:rsidRPr="00E504D2" w:rsidRDefault="005B6028">
      <w:pPr>
        <w:pStyle w:val="TOC1"/>
        <w:rPr>
          <w:rFonts w:asciiTheme="minorHAnsi" w:eastAsiaTheme="minorEastAsia" w:hAnsiTheme="minorHAnsi" w:cstheme="minorBidi"/>
          <w:b w:val="0"/>
          <w:noProof/>
          <w:kern w:val="0"/>
          <w:sz w:val="22"/>
          <w:szCs w:val="22"/>
        </w:rPr>
      </w:pPr>
      <w:r w:rsidRPr="00E504D2">
        <w:rPr>
          <w:noProof/>
        </w:rPr>
        <w:t>Schedule</w:t>
      </w:r>
      <w:r w:rsidR="00E504D2" w:rsidRPr="00E504D2">
        <w:rPr>
          <w:noProof/>
        </w:rPr>
        <w:t> </w:t>
      </w:r>
      <w:r w:rsidRPr="00E504D2">
        <w:rPr>
          <w:noProof/>
        </w:rPr>
        <w:t>3—Quantity fees for the supply of water and sewerage services</w:t>
      </w:r>
      <w:r w:rsidRPr="00E504D2">
        <w:rPr>
          <w:b w:val="0"/>
          <w:noProof/>
          <w:sz w:val="18"/>
        </w:rPr>
        <w:tab/>
      </w:r>
      <w:r w:rsidRPr="00E504D2">
        <w:rPr>
          <w:b w:val="0"/>
          <w:noProof/>
          <w:sz w:val="18"/>
        </w:rPr>
        <w:fldChar w:fldCharType="begin"/>
      </w:r>
      <w:r w:rsidRPr="00E504D2">
        <w:rPr>
          <w:b w:val="0"/>
          <w:noProof/>
          <w:sz w:val="18"/>
        </w:rPr>
        <w:instrText xml:space="preserve"> PAGEREF _Toc454972756 \h </w:instrText>
      </w:r>
      <w:r w:rsidRPr="00E504D2">
        <w:rPr>
          <w:b w:val="0"/>
          <w:noProof/>
          <w:sz w:val="18"/>
        </w:rPr>
      </w:r>
      <w:r w:rsidRPr="00E504D2">
        <w:rPr>
          <w:b w:val="0"/>
          <w:noProof/>
          <w:sz w:val="18"/>
        </w:rPr>
        <w:fldChar w:fldCharType="separate"/>
      </w:r>
      <w:r w:rsidR="00573E98">
        <w:rPr>
          <w:b w:val="0"/>
          <w:noProof/>
          <w:sz w:val="18"/>
        </w:rPr>
        <w:t>10</w:t>
      </w:r>
      <w:r w:rsidRPr="00E504D2">
        <w:rPr>
          <w:b w:val="0"/>
          <w:noProof/>
          <w:sz w:val="18"/>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1</w:t>
      </w:r>
      <w:r w:rsidRPr="00E504D2">
        <w:rPr>
          <w:noProof/>
        </w:rPr>
        <w:tab/>
        <w:t>Quantity fees for the supply of water and sewerage services</w:t>
      </w:r>
      <w:r w:rsidRPr="00E504D2">
        <w:rPr>
          <w:noProof/>
        </w:rPr>
        <w:tab/>
      </w:r>
      <w:r w:rsidRPr="00E504D2">
        <w:rPr>
          <w:noProof/>
        </w:rPr>
        <w:fldChar w:fldCharType="begin"/>
      </w:r>
      <w:r w:rsidRPr="00E504D2">
        <w:rPr>
          <w:noProof/>
        </w:rPr>
        <w:instrText xml:space="preserve"> PAGEREF _Toc454972757 \h </w:instrText>
      </w:r>
      <w:r w:rsidRPr="00E504D2">
        <w:rPr>
          <w:noProof/>
        </w:rPr>
      </w:r>
      <w:r w:rsidRPr="00E504D2">
        <w:rPr>
          <w:noProof/>
        </w:rPr>
        <w:fldChar w:fldCharType="separate"/>
      </w:r>
      <w:r w:rsidR="00573E98">
        <w:rPr>
          <w:noProof/>
        </w:rPr>
        <w:t>10</w:t>
      </w:r>
      <w:r w:rsidRPr="00E504D2">
        <w:rPr>
          <w:noProof/>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2</w:t>
      </w:r>
      <w:r w:rsidRPr="00E504D2">
        <w:rPr>
          <w:noProof/>
        </w:rPr>
        <w:tab/>
        <w:t>Calculation of kilolitres of water used—quantity fee for discharge to sewer for commercial, government or industrial land</w:t>
      </w:r>
      <w:r w:rsidRPr="00E504D2">
        <w:rPr>
          <w:noProof/>
        </w:rPr>
        <w:tab/>
      </w:r>
      <w:r w:rsidRPr="00E504D2">
        <w:rPr>
          <w:noProof/>
        </w:rPr>
        <w:fldChar w:fldCharType="begin"/>
      </w:r>
      <w:r w:rsidRPr="00E504D2">
        <w:rPr>
          <w:noProof/>
        </w:rPr>
        <w:instrText xml:space="preserve"> PAGEREF _Toc454972758 \h </w:instrText>
      </w:r>
      <w:r w:rsidRPr="00E504D2">
        <w:rPr>
          <w:noProof/>
        </w:rPr>
      </w:r>
      <w:r w:rsidRPr="00E504D2">
        <w:rPr>
          <w:noProof/>
        </w:rPr>
        <w:fldChar w:fldCharType="separate"/>
      </w:r>
      <w:r w:rsidR="00573E98">
        <w:rPr>
          <w:noProof/>
        </w:rPr>
        <w:t>10</w:t>
      </w:r>
      <w:r w:rsidRPr="00E504D2">
        <w:rPr>
          <w:noProof/>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3</w:t>
      </w:r>
      <w:r w:rsidRPr="00E504D2">
        <w:rPr>
          <w:noProof/>
        </w:rPr>
        <w:tab/>
        <w:t>Discharge factor</w:t>
      </w:r>
      <w:r w:rsidRPr="00E504D2">
        <w:rPr>
          <w:noProof/>
        </w:rPr>
        <w:tab/>
      </w:r>
      <w:r w:rsidRPr="00E504D2">
        <w:rPr>
          <w:noProof/>
        </w:rPr>
        <w:fldChar w:fldCharType="begin"/>
      </w:r>
      <w:r w:rsidRPr="00E504D2">
        <w:rPr>
          <w:noProof/>
        </w:rPr>
        <w:instrText xml:space="preserve"> PAGEREF _Toc454972759 \h </w:instrText>
      </w:r>
      <w:r w:rsidRPr="00E504D2">
        <w:rPr>
          <w:noProof/>
        </w:rPr>
      </w:r>
      <w:r w:rsidRPr="00E504D2">
        <w:rPr>
          <w:noProof/>
        </w:rPr>
        <w:fldChar w:fldCharType="separate"/>
      </w:r>
      <w:r w:rsidR="00573E98">
        <w:rPr>
          <w:noProof/>
        </w:rPr>
        <w:t>11</w:t>
      </w:r>
      <w:r w:rsidRPr="00E504D2">
        <w:rPr>
          <w:noProof/>
        </w:rPr>
        <w:fldChar w:fldCharType="end"/>
      </w:r>
    </w:p>
    <w:p w:rsidR="005B6028" w:rsidRPr="00E504D2" w:rsidRDefault="005B6028">
      <w:pPr>
        <w:pStyle w:val="TOC1"/>
        <w:rPr>
          <w:rFonts w:asciiTheme="minorHAnsi" w:eastAsiaTheme="minorEastAsia" w:hAnsiTheme="minorHAnsi" w:cstheme="minorBidi"/>
          <w:b w:val="0"/>
          <w:noProof/>
          <w:kern w:val="0"/>
          <w:sz w:val="22"/>
          <w:szCs w:val="22"/>
        </w:rPr>
      </w:pPr>
      <w:r w:rsidRPr="00E504D2">
        <w:rPr>
          <w:noProof/>
        </w:rPr>
        <w:t>Schedule</w:t>
      </w:r>
      <w:r w:rsidR="00E504D2" w:rsidRPr="00E504D2">
        <w:rPr>
          <w:noProof/>
        </w:rPr>
        <w:t> </w:t>
      </w:r>
      <w:r w:rsidRPr="00E504D2">
        <w:rPr>
          <w:noProof/>
        </w:rPr>
        <w:t>4—Fees for the supply of other water and sewerage services</w:t>
      </w:r>
      <w:r w:rsidRPr="00E504D2">
        <w:rPr>
          <w:b w:val="0"/>
          <w:noProof/>
          <w:sz w:val="18"/>
        </w:rPr>
        <w:tab/>
      </w:r>
      <w:r w:rsidRPr="00E504D2">
        <w:rPr>
          <w:b w:val="0"/>
          <w:noProof/>
          <w:sz w:val="18"/>
        </w:rPr>
        <w:fldChar w:fldCharType="begin"/>
      </w:r>
      <w:r w:rsidRPr="00E504D2">
        <w:rPr>
          <w:b w:val="0"/>
          <w:noProof/>
          <w:sz w:val="18"/>
        </w:rPr>
        <w:instrText xml:space="preserve"> PAGEREF _Toc454972760 \h </w:instrText>
      </w:r>
      <w:r w:rsidRPr="00E504D2">
        <w:rPr>
          <w:b w:val="0"/>
          <w:noProof/>
          <w:sz w:val="18"/>
        </w:rPr>
      </w:r>
      <w:r w:rsidRPr="00E504D2">
        <w:rPr>
          <w:b w:val="0"/>
          <w:noProof/>
          <w:sz w:val="18"/>
        </w:rPr>
        <w:fldChar w:fldCharType="separate"/>
      </w:r>
      <w:r w:rsidR="00573E98">
        <w:rPr>
          <w:b w:val="0"/>
          <w:noProof/>
          <w:sz w:val="18"/>
        </w:rPr>
        <w:t>12</w:t>
      </w:r>
      <w:r w:rsidRPr="00E504D2">
        <w:rPr>
          <w:b w:val="0"/>
          <w:noProof/>
          <w:sz w:val="18"/>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1</w:t>
      </w:r>
      <w:r w:rsidRPr="00E504D2">
        <w:rPr>
          <w:noProof/>
        </w:rPr>
        <w:tab/>
        <w:t>Fees for the supply of other water and sewerage services</w:t>
      </w:r>
      <w:r w:rsidRPr="00E504D2">
        <w:rPr>
          <w:noProof/>
        </w:rPr>
        <w:tab/>
      </w:r>
      <w:r w:rsidRPr="00E504D2">
        <w:rPr>
          <w:noProof/>
        </w:rPr>
        <w:fldChar w:fldCharType="begin"/>
      </w:r>
      <w:r w:rsidRPr="00E504D2">
        <w:rPr>
          <w:noProof/>
        </w:rPr>
        <w:instrText xml:space="preserve"> PAGEREF _Toc454972761 \h </w:instrText>
      </w:r>
      <w:r w:rsidRPr="00E504D2">
        <w:rPr>
          <w:noProof/>
        </w:rPr>
      </w:r>
      <w:r w:rsidRPr="00E504D2">
        <w:rPr>
          <w:noProof/>
        </w:rPr>
        <w:fldChar w:fldCharType="separate"/>
      </w:r>
      <w:r w:rsidR="00573E98">
        <w:rPr>
          <w:noProof/>
        </w:rPr>
        <w:t>12</w:t>
      </w:r>
      <w:r w:rsidRPr="00E504D2">
        <w:rPr>
          <w:noProof/>
        </w:rPr>
        <w:fldChar w:fldCharType="end"/>
      </w:r>
    </w:p>
    <w:p w:rsidR="005B6028" w:rsidRPr="00E504D2" w:rsidRDefault="005B6028">
      <w:pPr>
        <w:pStyle w:val="TOC1"/>
        <w:rPr>
          <w:rFonts w:asciiTheme="minorHAnsi" w:eastAsiaTheme="minorEastAsia" w:hAnsiTheme="minorHAnsi" w:cstheme="minorBidi"/>
          <w:b w:val="0"/>
          <w:noProof/>
          <w:kern w:val="0"/>
          <w:sz w:val="22"/>
          <w:szCs w:val="22"/>
        </w:rPr>
      </w:pPr>
      <w:r w:rsidRPr="00E504D2">
        <w:rPr>
          <w:noProof/>
        </w:rPr>
        <w:t>Schedule</w:t>
      </w:r>
      <w:r w:rsidR="00E504D2" w:rsidRPr="00E504D2">
        <w:rPr>
          <w:noProof/>
        </w:rPr>
        <w:t> </w:t>
      </w:r>
      <w:r w:rsidRPr="00E504D2">
        <w:rPr>
          <w:noProof/>
        </w:rPr>
        <w:t>5—Fees for the supply of building application services that relate to water and sewerage services</w:t>
      </w:r>
      <w:r w:rsidRPr="00E504D2">
        <w:rPr>
          <w:b w:val="0"/>
          <w:noProof/>
          <w:sz w:val="18"/>
        </w:rPr>
        <w:tab/>
      </w:r>
      <w:r w:rsidRPr="00E504D2">
        <w:rPr>
          <w:b w:val="0"/>
          <w:noProof/>
          <w:sz w:val="18"/>
        </w:rPr>
        <w:fldChar w:fldCharType="begin"/>
      </w:r>
      <w:r w:rsidRPr="00E504D2">
        <w:rPr>
          <w:b w:val="0"/>
          <w:noProof/>
          <w:sz w:val="18"/>
        </w:rPr>
        <w:instrText xml:space="preserve"> PAGEREF _Toc454972762 \h </w:instrText>
      </w:r>
      <w:r w:rsidRPr="00E504D2">
        <w:rPr>
          <w:b w:val="0"/>
          <w:noProof/>
          <w:sz w:val="18"/>
        </w:rPr>
      </w:r>
      <w:r w:rsidRPr="00E504D2">
        <w:rPr>
          <w:b w:val="0"/>
          <w:noProof/>
          <w:sz w:val="18"/>
        </w:rPr>
        <w:fldChar w:fldCharType="separate"/>
      </w:r>
      <w:r w:rsidR="00573E98">
        <w:rPr>
          <w:b w:val="0"/>
          <w:noProof/>
          <w:sz w:val="18"/>
        </w:rPr>
        <w:t>13</w:t>
      </w:r>
      <w:r w:rsidRPr="00E504D2">
        <w:rPr>
          <w:b w:val="0"/>
          <w:noProof/>
          <w:sz w:val="18"/>
        </w:rPr>
        <w:fldChar w:fldCharType="end"/>
      </w:r>
    </w:p>
    <w:p w:rsidR="005B6028" w:rsidRPr="00E504D2" w:rsidRDefault="005B6028">
      <w:pPr>
        <w:pStyle w:val="TOC5"/>
        <w:rPr>
          <w:rFonts w:asciiTheme="minorHAnsi" w:eastAsiaTheme="minorEastAsia" w:hAnsiTheme="minorHAnsi" w:cstheme="minorBidi"/>
          <w:noProof/>
          <w:kern w:val="0"/>
          <w:sz w:val="22"/>
          <w:szCs w:val="22"/>
        </w:rPr>
      </w:pPr>
      <w:r w:rsidRPr="00E504D2">
        <w:rPr>
          <w:noProof/>
        </w:rPr>
        <w:t>1</w:t>
      </w:r>
      <w:r w:rsidRPr="00E504D2">
        <w:rPr>
          <w:noProof/>
        </w:rPr>
        <w:tab/>
        <w:t>Fees for the supply of building application services that relate to water and sewerage services</w:t>
      </w:r>
      <w:r w:rsidRPr="00E504D2">
        <w:rPr>
          <w:noProof/>
        </w:rPr>
        <w:tab/>
      </w:r>
      <w:r w:rsidRPr="00E504D2">
        <w:rPr>
          <w:noProof/>
        </w:rPr>
        <w:fldChar w:fldCharType="begin"/>
      </w:r>
      <w:r w:rsidRPr="00E504D2">
        <w:rPr>
          <w:noProof/>
        </w:rPr>
        <w:instrText xml:space="preserve"> PAGEREF _Toc454972763 \h </w:instrText>
      </w:r>
      <w:r w:rsidRPr="00E504D2">
        <w:rPr>
          <w:noProof/>
        </w:rPr>
      </w:r>
      <w:r w:rsidRPr="00E504D2">
        <w:rPr>
          <w:noProof/>
        </w:rPr>
        <w:fldChar w:fldCharType="separate"/>
      </w:r>
      <w:r w:rsidR="00573E98">
        <w:rPr>
          <w:noProof/>
        </w:rPr>
        <w:t>13</w:t>
      </w:r>
      <w:r w:rsidRPr="00E504D2">
        <w:rPr>
          <w:noProof/>
        </w:rPr>
        <w:fldChar w:fldCharType="end"/>
      </w:r>
    </w:p>
    <w:p w:rsidR="00670EA1" w:rsidRPr="00E504D2" w:rsidRDefault="005B6028" w:rsidP="00715914">
      <w:r w:rsidRPr="00E504D2">
        <w:fldChar w:fldCharType="end"/>
      </w:r>
    </w:p>
    <w:p w:rsidR="00670EA1" w:rsidRPr="00E504D2" w:rsidRDefault="00670EA1" w:rsidP="00715914">
      <w:pPr>
        <w:sectPr w:rsidR="00670EA1" w:rsidRPr="00E504D2" w:rsidSect="00E47B3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504D2" w:rsidRDefault="00715914" w:rsidP="00715914">
      <w:pPr>
        <w:pStyle w:val="ActHead2"/>
      </w:pPr>
      <w:bookmarkStart w:id="3" w:name="_Toc454972740"/>
      <w:r w:rsidRPr="00E504D2">
        <w:rPr>
          <w:rStyle w:val="CharPartNo"/>
        </w:rPr>
        <w:lastRenderedPageBreak/>
        <w:t>Part</w:t>
      </w:r>
      <w:r w:rsidR="00E504D2" w:rsidRPr="00E504D2">
        <w:rPr>
          <w:rStyle w:val="CharPartNo"/>
        </w:rPr>
        <w:t> </w:t>
      </w:r>
      <w:r w:rsidRPr="00E504D2">
        <w:rPr>
          <w:rStyle w:val="CharPartNo"/>
        </w:rPr>
        <w:t>1</w:t>
      </w:r>
      <w:r w:rsidRPr="00E504D2">
        <w:t>—</w:t>
      </w:r>
      <w:r w:rsidRPr="00E504D2">
        <w:rPr>
          <w:rStyle w:val="CharPartText"/>
        </w:rPr>
        <w:t>Preliminary</w:t>
      </w:r>
      <w:bookmarkEnd w:id="3"/>
    </w:p>
    <w:p w:rsidR="00715914" w:rsidRPr="00E504D2" w:rsidRDefault="00715914" w:rsidP="00715914">
      <w:pPr>
        <w:pStyle w:val="Header"/>
      </w:pPr>
      <w:r w:rsidRPr="00E504D2">
        <w:rPr>
          <w:rStyle w:val="CharDivNo"/>
        </w:rPr>
        <w:t xml:space="preserve"> </w:t>
      </w:r>
      <w:r w:rsidRPr="00E504D2">
        <w:rPr>
          <w:rStyle w:val="CharDivText"/>
        </w:rPr>
        <w:t xml:space="preserve"> </w:t>
      </w:r>
    </w:p>
    <w:p w:rsidR="00715914" w:rsidRPr="00E504D2" w:rsidRDefault="00715914" w:rsidP="00715914">
      <w:pPr>
        <w:pStyle w:val="ActHead5"/>
      </w:pPr>
      <w:bookmarkStart w:id="4" w:name="_Toc454972741"/>
      <w:r w:rsidRPr="00E504D2">
        <w:rPr>
          <w:rStyle w:val="CharSectno"/>
        </w:rPr>
        <w:t>1</w:t>
      </w:r>
      <w:r w:rsidRPr="00E504D2">
        <w:t xml:space="preserve">  </w:t>
      </w:r>
      <w:r w:rsidR="00CE493D" w:rsidRPr="00E504D2">
        <w:t>Name</w:t>
      </w:r>
      <w:bookmarkEnd w:id="4"/>
    </w:p>
    <w:p w:rsidR="00715914" w:rsidRPr="00E504D2" w:rsidRDefault="00715914" w:rsidP="00715914">
      <w:pPr>
        <w:pStyle w:val="subsection"/>
      </w:pPr>
      <w:r w:rsidRPr="00E504D2">
        <w:tab/>
      </w:r>
      <w:r w:rsidRPr="00E504D2">
        <w:tab/>
        <w:t xml:space="preserve">This </w:t>
      </w:r>
      <w:r w:rsidR="00CE493D" w:rsidRPr="00E504D2">
        <w:t xml:space="preserve">is the </w:t>
      </w:r>
      <w:bookmarkStart w:id="5" w:name="BKCheck15B_3"/>
      <w:bookmarkEnd w:id="5"/>
      <w:r w:rsidR="00BC76AC" w:rsidRPr="00E504D2">
        <w:rPr>
          <w:i/>
        </w:rPr>
        <w:fldChar w:fldCharType="begin"/>
      </w:r>
      <w:r w:rsidR="00BC76AC" w:rsidRPr="00E504D2">
        <w:rPr>
          <w:i/>
        </w:rPr>
        <w:instrText xml:space="preserve"> STYLEREF  ShortT </w:instrText>
      </w:r>
      <w:r w:rsidR="00BC76AC" w:rsidRPr="00E504D2">
        <w:rPr>
          <w:i/>
        </w:rPr>
        <w:fldChar w:fldCharType="separate"/>
      </w:r>
      <w:r w:rsidR="00573E98">
        <w:rPr>
          <w:i/>
          <w:noProof/>
        </w:rPr>
        <w:t>Christmas Island Utilities and Services (Water, Sewerage and Building Application Services Fees) Determination 2016</w:t>
      </w:r>
      <w:r w:rsidR="00BC76AC" w:rsidRPr="00E504D2">
        <w:rPr>
          <w:i/>
        </w:rPr>
        <w:fldChar w:fldCharType="end"/>
      </w:r>
      <w:r w:rsidRPr="00E504D2">
        <w:t>.</w:t>
      </w:r>
    </w:p>
    <w:p w:rsidR="00715914" w:rsidRPr="00E504D2" w:rsidRDefault="00715914" w:rsidP="00715914">
      <w:pPr>
        <w:pStyle w:val="ActHead5"/>
      </w:pPr>
      <w:bookmarkStart w:id="6" w:name="_Toc454972742"/>
      <w:r w:rsidRPr="00E504D2">
        <w:rPr>
          <w:rStyle w:val="CharSectno"/>
        </w:rPr>
        <w:t>2</w:t>
      </w:r>
      <w:r w:rsidRPr="00E504D2">
        <w:t xml:space="preserve">  Commencement</w:t>
      </w:r>
      <w:bookmarkEnd w:id="6"/>
    </w:p>
    <w:p w:rsidR="00103FBA" w:rsidRPr="00E504D2" w:rsidRDefault="00103FBA" w:rsidP="00A664CA">
      <w:pPr>
        <w:pStyle w:val="subsection"/>
      </w:pPr>
      <w:r w:rsidRPr="00E504D2">
        <w:tab/>
        <w:t>(1)</w:t>
      </w:r>
      <w:r w:rsidRPr="00E504D2">
        <w:tab/>
        <w:t>Each provision of this instrument specified in column 1 of the table commences, or is taken to have commenced, in accordance with column 2 of the table. Any other statement in column 2 has effect according to its terms.</w:t>
      </w:r>
    </w:p>
    <w:p w:rsidR="00103FBA" w:rsidRPr="00E504D2" w:rsidRDefault="00103FBA"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03FBA" w:rsidRPr="00E504D2" w:rsidTr="00CA7CDF">
        <w:trPr>
          <w:tblHeader/>
        </w:trPr>
        <w:tc>
          <w:tcPr>
            <w:tcW w:w="8364" w:type="dxa"/>
            <w:gridSpan w:val="3"/>
            <w:tcBorders>
              <w:top w:val="single" w:sz="12" w:space="0" w:color="auto"/>
              <w:bottom w:val="single" w:sz="2" w:space="0" w:color="auto"/>
            </w:tcBorders>
            <w:shd w:val="clear" w:color="auto" w:fill="auto"/>
            <w:hideMark/>
          </w:tcPr>
          <w:p w:rsidR="00103FBA" w:rsidRPr="00E504D2" w:rsidRDefault="00103FBA" w:rsidP="00A664CA">
            <w:pPr>
              <w:pStyle w:val="TableHeading"/>
            </w:pPr>
            <w:r w:rsidRPr="00E504D2">
              <w:t>Commencement information</w:t>
            </w:r>
          </w:p>
        </w:tc>
      </w:tr>
      <w:tr w:rsidR="00103FBA" w:rsidRPr="00E504D2" w:rsidTr="00CA7CDF">
        <w:trPr>
          <w:tblHeader/>
        </w:trPr>
        <w:tc>
          <w:tcPr>
            <w:tcW w:w="2127" w:type="dxa"/>
            <w:tcBorders>
              <w:top w:val="single" w:sz="2" w:space="0" w:color="auto"/>
              <w:bottom w:val="single" w:sz="2" w:space="0" w:color="auto"/>
            </w:tcBorders>
            <w:shd w:val="clear" w:color="auto" w:fill="auto"/>
            <w:hideMark/>
          </w:tcPr>
          <w:p w:rsidR="00103FBA" w:rsidRPr="00E504D2" w:rsidRDefault="00103FBA" w:rsidP="00A664CA">
            <w:pPr>
              <w:pStyle w:val="TableHeading"/>
            </w:pPr>
            <w:r w:rsidRPr="00E504D2">
              <w:t>Column 1</w:t>
            </w:r>
          </w:p>
        </w:tc>
        <w:tc>
          <w:tcPr>
            <w:tcW w:w="4394" w:type="dxa"/>
            <w:tcBorders>
              <w:top w:val="single" w:sz="2" w:space="0" w:color="auto"/>
              <w:bottom w:val="single" w:sz="2" w:space="0" w:color="auto"/>
            </w:tcBorders>
            <w:shd w:val="clear" w:color="auto" w:fill="auto"/>
            <w:hideMark/>
          </w:tcPr>
          <w:p w:rsidR="00103FBA" w:rsidRPr="00E504D2" w:rsidRDefault="00103FBA" w:rsidP="00A664CA">
            <w:pPr>
              <w:pStyle w:val="TableHeading"/>
            </w:pPr>
            <w:r w:rsidRPr="00E504D2">
              <w:t>Column 2</w:t>
            </w:r>
          </w:p>
        </w:tc>
        <w:tc>
          <w:tcPr>
            <w:tcW w:w="1843" w:type="dxa"/>
            <w:tcBorders>
              <w:top w:val="single" w:sz="2" w:space="0" w:color="auto"/>
              <w:bottom w:val="single" w:sz="2" w:space="0" w:color="auto"/>
            </w:tcBorders>
            <w:shd w:val="clear" w:color="auto" w:fill="auto"/>
            <w:hideMark/>
          </w:tcPr>
          <w:p w:rsidR="00103FBA" w:rsidRPr="00E504D2" w:rsidRDefault="00103FBA" w:rsidP="00A664CA">
            <w:pPr>
              <w:pStyle w:val="TableHeading"/>
            </w:pPr>
            <w:r w:rsidRPr="00E504D2">
              <w:t>Column 3</w:t>
            </w:r>
          </w:p>
        </w:tc>
      </w:tr>
      <w:tr w:rsidR="00103FBA" w:rsidRPr="00E504D2" w:rsidTr="00CA7CDF">
        <w:trPr>
          <w:tblHeader/>
        </w:trPr>
        <w:tc>
          <w:tcPr>
            <w:tcW w:w="2127" w:type="dxa"/>
            <w:tcBorders>
              <w:top w:val="single" w:sz="2" w:space="0" w:color="auto"/>
              <w:bottom w:val="single" w:sz="12" w:space="0" w:color="auto"/>
            </w:tcBorders>
            <w:shd w:val="clear" w:color="auto" w:fill="auto"/>
            <w:hideMark/>
          </w:tcPr>
          <w:p w:rsidR="00103FBA" w:rsidRPr="00E504D2" w:rsidRDefault="00103FBA" w:rsidP="00A664CA">
            <w:pPr>
              <w:pStyle w:val="TableHeading"/>
            </w:pPr>
            <w:r w:rsidRPr="00E504D2">
              <w:t>Provisions</w:t>
            </w:r>
          </w:p>
        </w:tc>
        <w:tc>
          <w:tcPr>
            <w:tcW w:w="4394" w:type="dxa"/>
            <w:tcBorders>
              <w:top w:val="single" w:sz="2" w:space="0" w:color="auto"/>
              <w:bottom w:val="single" w:sz="12" w:space="0" w:color="auto"/>
            </w:tcBorders>
            <w:shd w:val="clear" w:color="auto" w:fill="auto"/>
            <w:hideMark/>
          </w:tcPr>
          <w:p w:rsidR="00103FBA" w:rsidRPr="00E504D2" w:rsidRDefault="00103FBA" w:rsidP="00A664CA">
            <w:pPr>
              <w:pStyle w:val="TableHeading"/>
            </w:pPr>
            <w:r w:rsidRPr="00E504D2">
              <w:t>Commencement</w:t>
            </w:r>
          </w:p>
        </w:tc>
        <w:tc>
          <w:tcPr>
            <w:tcW w:w="1843" w:type="dxa"/>
            <w:tcBorders>
              <w:top w:val="single" w:sz="2" w:space="0" w:color="auto"/>
              <w:bottom w:val="single" w:sz="12" w:space="0" w:color="auto"/>
            </w:tcBorders>
            <w:shd w:val="clear" w:color="auto" w:fill="auto"/>
            <w:hideMark/>
          </w:tcPr>
          <w:p w:rsidR="00103FBA" w:rsidRPr="00E504D2" w:rsidRDefault="00103FBA" w:rsidP="00A664CA">
            <w:pPr>
              <w:pStyle w:val="TableHeading"/>
            </w:pPr>
            <w:r w:rsidRPr="00E504D2">
              <w:t>Date/Details</w:t>
            </w:r>
          </w:p>
        </w:tc>
      </w:tr>
      <w:tr w:rsidR="00103FBA" w:rsidRPr="00E504D2" w:rsidTr="00CA7CDF">
        <w:tc>
          <w:tcPr>
            <w:tcW w:w="2127" w:type="dxa"/>
            <w:tcBorders>
              <w:top w:val="single" w:sz="12" w:space="0" w:color="auto"/>
              <w:bottom w:val="single" w:sz="12" w:space="0" w:color="auto"/>
            </w:tcBorders>
            <w:shd w:val="clear" w:color="auto" w:fill="auto"/>
            <w:hideMark/>
          </w:tcPr>
          <w:p w:rsidR="00103FBA" w:rsidRPr="00E504D2" w:rsidRDefault="00103FBA" w:rsidP="00CA7CDF">
            <w:pPr>
              <w:pStyle w:val="Tabletext"/>
            </w:pPr>
            <w:r w:rsidRPr="00E504D2">
              <w:t>1.  The whole of this instrument</w:t>
            </w:r>
          </w:p>
        </w:tc>
        <w:tc>
          <w:tcPr>
            <w:tcW w:w="4394" w:type="dxa"/>
            <w:tcBorders>
              <w:top w:val="single" w:sz="12" w:space="0" w:color="auto"/>
              <w:bottom w:val="single" w:sz="12" w:space="0" w:color="auto"/>
            </w:tcBorders>
            <w:shd w:val="clear" w:color="auto" w:fill="auto"/>
            <w:hideMark/>
          </w:tcPr>
          <w:p w:rsidR="00103FBA" w:rsidRPr="00E504D2" w:rsidRDefault="00103FBA" w:rsidP="00A664CA">
            <w:pPr>
              <w:pStyle w:val="Tabletext"/>
            </w:pPr>
            <w:r w:rsidRPr="00E504D2">
              <w:t>1</w:t>
            </w:r>
            <w:r w:rsidR="00E504D2" w:rsidRPr="00E504D2">
              <w:t> </w:t>
            </w:r>
            <w:r w:rsidRPr="00E504D2">
              <w:t>July 2016.</w:t>
            </w:r>
          </w:p>
        </w:tc>
        <w:tc>
          <w:tcPr>
            <w:tcW w:w="1843" w:type="dxa"/>
            <w:tcBorders>
              <w:top w:val="single" w:sz="12" w:space="0" w:color="auto"/>
              <w:bottom w:val="single" w:sz="12" w:space="0" w:color="auto"/>
            </w:tcBorders>
            <w:shd w:val="clear" w:color="auto" w:fill="auto"/>
          </w:tcPr>
          <w:p w:rsidR="00103FBA" w:rsidRPr="00E504D2" w:rsidRDefault="00103FBA" w:rsidP="00A664CA">
            <w:pPr>
              <w:pStyle w:val="Tabletext"/>
            </w:pPr>
            <w:r w:rsidRPr="00E504D2">
              <w:t>1</w:t>
            </w:r>
            <w:r w:rsidR="00E504D2" w:rsidRPr="00E504D2">
              <w:t> </w:t>
            </w:r>
            <w:r w:rsidRPr="00E504D2">
              <w:t>July 2016</w:t>
            </w:r>
          </w:p>
        </w:tc>
      </w:tr>
    </w:tbl>
    <w:p w:rsidR="00103FBA" w:rsidRPr="00E504D2" w:rsidRDefault="00103FBA" w:rsidP="00A664CA">
      <w:pPr>
        <w:pStyle w:val="notetext"/>
      </w:pPr>
      <w:r w:rsidRPr="00E504D2">
        <w:rPr>
          <w:snapToGrid w:val="0"/>
          <w:lang w:eastAsia="en-US"/>
        </w:rPr>
        <w:t>Note:</w:t>
      </w:r>
      <w:r w:rsidRPr="00E504D2">
        <w:rPr>
          <w:snapToGrid w:val="0"/>
          <w:lang w:eastAsia="en-US"/>
        </w:rPr>
        <w:tab/>
        <w:t xml:space="preserve">This table relates only to the provisions of this </w:t>
      </w:r>
      <w:r w:rsidRPr="00E504D2">
        <w:t xml:space="preserve">instrument </w:t>
      </w:r>
      <w:r w:rsidRPr="00E504D2">
        <w:rPr>
          <w:snapToGrid w:val="0"/>
          <w:lang w:eastAsia="en-US"/>
        </w:rPr>
        <w:t xml:space="preserve">as originally made. It will not be amended to deal with any later amendments of this </w:t>
      </w:r>
      <w:r w:rsidRPr="00E504D2">
        <w:t>instrument</w:t>
      </w:r>
      <w:r w:rsidRPr="00E504D2">
        <w:rPr>
          <w:snapToGrid w:val="0"/>
          <w:lang w:eastAsia="en-US"/>
        </w:rPr>
        <w:t>.</w:t>
      </w:r>
    </w:p>
    <w:p w:rsidR="00103FBA" w:rsidRPr="00E504D2" w:rsidRDefault="00103FBA" w:rsidP="00D455E3">
      <w:pPr>
        <w:pStyle w:val="subsection"/>
      </w:pPr>
      <w:r w:rsidRPr="00E504D2">
        <w:tab/>
        <w:t>(2)</w:t>
      </w:r>
      <w:r w:rsidRPr="00E504D2">
        <w:tab/>
        <w:t>Any information in column 3 of the table is not part of this instrument. Information may be inserted in this column, or information in it may be edited, in any published version of this instrument.</w:t>
      </w:r>
    </w:p>
    <w:p w:rsidR="007500C8" w:rsidRPr="00E504D2" w:rsidRDefault="007500C8" w:rsidP="007500C8">
      <w:pPr>
        <w:pStyle w:val="ActHead5"/>
      </w:pPr>
      <w:bookmarkStart w:id="7" w:name="_Toc454972743"/>
      <w:r w:rsidRPr="00E504D2">
        <w:rPr>
          <w:rStyle w:val="CharSectno"/>
        </w:rPr>
        <w:t>3</w:t>
      </w:r>
      <w:r w:rsidRPr="00E504D2">
        <w:t xml:space="preserve">  Authority</w:t>
      </w:r>
      <w:bookmarkEnd w:id="7"/>
    </w:p>
    <w:p w:rsidR="00157B8B" w:rsidRPr="00E504D2" w:rsidRDefault="007500C8" w:rsidP="007E667A">
      <w:pPr>
        <w:pStyle w:val="subsection"/>
      </w:pPr>
      <w:r w:rsidRPr="00E504D2">
        <w:tab/>
      </w:r>
      <w:r w:rsidRPr="00E504D2">
        <w:tab/>
        <w:t xml:space="preserve">This </w:t>
      </w:r>
      <w:r w:rsidR="00103FBA" w:rsidRPr="00E504D2">
        <w:t>instrument</w:t>
      </w:r>
      <w:r w:rsidRPr="00E504D2">
        <w:t xml:space="preserve"> is made under</w:t>
      </w:r>
      <w:r w:rsidR="00466200" w:rsidRPr="00E504D2">
        <w:t xml:space="preserve"> paragraph</w:t>
      </w:r>
      <w:r w:rsidR="00E504D2" w:rsidRPr="00E504D2">
        <w:t> </w:t>
      </w:r>
      <w:r w:rsidR="00466200" w:rsidRPr="00E504D2">
        <w:t>7(2)(a) of</w:t>
      </w:r>
      <w:r w:rsidRPr="00E504D2">
        <w:t xml:space="preserve"> the </w:t>
      </w:r>
      <w:r w:rsidR="00103FBA" w:rsidRPr="00E504D2">
        <w:rPr>
          <w:i/>
        </w:rPr>
        <w:t>Christmas Island Utilities and Services Ordinance 2016</w:t>
      </w:r>
      <w:r w:rsidR="00F4350D" w:rsidRPr="00E504D2">
        <w:t>.</w:t>
      </w:r>
    </w:p>
    <w:p w:rsidR="002527B9" w:rsidRPr="00E504D2" w:rsidRDefault="002527B9" w:rsidP="002527B9">
      <w:pPr>
        <w:pStyle w:val="ActHead5"/>
      </w:pPr>
      <w:bookmarkStart w:id="8" w:name="_Toc454972744"/>
      <w:r w:rsidRPr="00E504D2">
        <w:rPr>
          <w:rStyle w:val="CharSectno"/>
        </w:rPr>
        <w:t>4</w:t>
      </w:r>
      <w:r w:rsidRPr="00E504D2">
        <w:t xml:space="preserve">  Definitions</w:t>
      </w:r>
      <w:bookmarkEnd w:id="8"/>
    </w:p>
    <w:p w:rsidR="002527B9" w:rsidRPr="00E504D2" w:rsidRDefault="002527B9" w:rsidP="002527B9">
      <w:pPr>
        <w:pStyle w:val="subsection"/>
      </w:pPr>
      <w:r w:rsidRPr="00E504D2">
        <w:tab/>
      </w:r>
      <w:r w:rsidRPr="00E504D2">
        <w:tab/>
        <w:t>In this instrument:</w:t>
      </w:r>
    </w:p>
    <w:p w:rsidR="002527B9" w:rsidRPr="00E504D2" w:rsidRDefault="002527B9" w:rsidP="002527B9">
      <w:pPr>
        <w:pStyle w:val="Definition"/>
      </w:pPr>
      <w:r w:rsidRPr="00E504D2">
        <w:rPr>
          <w:b/>
          <w:i/>
        </w:rPr>
        <w:t>charitable purposes land</w:t>
      </w:r>
      <w:r w:rsidR="00FD27C0" w:rsidRPr="00E504D2">
        <w:t>: see subsection</w:t>
      </w:r>
      <w:r w:rsidR="00E504D2" w:rsidRPr="00E504D2">
        <w:t> </w:t>
      </w:r>
      <w:r w:rsidR="00FD27C0" w:rsidRPr="00E504D2">
        <w:t>5(10</w:t>
      </w:r>
      <w:r w:rsidRPr="00E504D2">
        <w:t>).</w:t>
      </w:r>
    </w:p>
    <w:p w:rsidR="002527B9" w:rsidRPr="00E504D2" w:rsidRDefault="002527B9" w:rsidP="002527B9">
      <w:pPr>
        <w:pStyle w:val="Definition"/>
      </w:pPr>
      <w:r w:rsidRPr="00E504D2">
        <w:rPr>
          <w:b/>
          <w:i/>
        </w:rPr>
        <w:t>commercial land</w:t>
      </w:r>
      <w:r w:rsidRPr="00E504D2">
        <w:t>: see subsection</w:t>
      </w:r>
      <w:r w:rsidR="00E504D2" w:rsidRPr="00E504D2">
        <w:t> </w:t>
      </w:r>
      <w:r w:rsidRPr="00E504D2">
        <w:t>5(</w:t>
      </w:r>
      <w:r w:rsidR="00863D63" w:rsidRPr="00E504D2">
        <w:t>4</w:t>
      </w:r>
      <w:r w:rsidRPr="00E504D2">
        <w:t>).</w:t>
      </w:r>
    </w:p>
    <w:p w:rsidR="008E2AE8" w:rsidRPr="00E504D2" w:rsidRDefault="008E2AE8" w:rsidP="008E2AE8">
      <w:pPr>
        <w:pStyle w:val="Definition"/>
      </w:pPr>
      <w:r w:rsidRPr="00E504D2">
        <w:rPr>
          <w:b/>
          <w:i/>
        </w:rPr>
        <w:t>commercial/residential land</w:t>
      </w:r>
      <w:r w:rsidRPr="00E504D2">
        <w:t>: see subsection</w:t>
      </w:r>
      <w:r w:rsidR="00E504D2" w:rsidRPr="00E504D2">
        <w:t> </w:t>
      </w:r>
      <w:r w:rsidR="00863D63" w:rsidRPr="00E504D2">
        <w:t>5(3</w:t>
      </w:r>
      <w:r w:rsidRPr="00E504D2">
        <w:t>).</w:t>
      </w:r>
    </w:p>
    <w:p w:rsidR="002527B9" w:rsidRPr="00E504D2" w:rsidRDefault="002527B9" w:rsidP="002527B9">
      <w:pPr>
        <w:pStyle w:val="Definition"/>
      </w:pPr>
      <w:r w:rsidRPr="00E504D2">
        <w:rPr>
          <w:b/>
          <w:i/>
        </w:rPr>
        <w:t>discharge factor</w:t>
      </w:r>
      <w:r w:rsidRPr="00E504D2">
        <w:t>, for a property: see clause</w:t>
      </w:r>
      <w:r w:rsidR="00E504D2" w:rsidRPr="00E504D2">
        <w:t> </w:t>
      </w:r>
      <w:r w:rsidRPr="00E504D2">
        <w:t>3 of Schedule</w:t>
      </w:r>
      <w:r w:rsidR="00E504D2" w:rsidRPr="00E504D2">
        <w:t> </w:t>
      </w:r>
      <w:r w:rsidRPr="00E504D2">
        <w:t>3.</w:t>
      </w:r>
    </w:p>
    <w:p w:rsidR="002527B9" w:rsidRPr="00E504D2" w:rsidRDefault="002527B9" w:rsidP="002527B9">
      <w:pPr>
        <w:pStyle w:val="Definition"/>
      </w:pPr>
      <w:r w:rsidRPr="00E504D2">
        <w:rPr>
          <w:b/>
          <w:i/>
        </w:rPr>
        <w:t>eligible pensioner</w:t>
      </w:r>
      <w:r w:rsidRPr="00E504D2">
        <w:t xml:space="preserve"> has the same meaning as in subsection</w:t>
      </w:r>
      <w:r w:rsidR="00E504D2" w:rsidRPr="00E504D2">
        <w:t> </w:t>
      </w:r>
      <w:r w:rsidRPr="00E504D2">
        <w:t xml:space="preserve">3(1) of the </w:t>
      </w:r>
      <w:r w:rsidRPr="00E504D2">
        <w:rPr>
          <w:i/>
        </w:rPr>
        <w:t>Rates and Charges (Rebates and Deferments) Act 1992</w:t>
      </w:r>
      <w:r w:rsidR="00625CDB" w:rsidRPr="00E504D2">
        <w:t xml:space="preserve"> (WA) (C</w:t>
      </w:r>
      <w:r w:rsidRPr="00E504D2">
        <w:t>I).</w:t>
      </w:r>
    </w:p>
    <w:p w:rsidR="002527B9" w:rsidRPr="00E504D2" w:rsidRDefault="002527B9" w:rsidP="002527B9">
      <w:pPr>
        <w:pStyle w:val="Definition"/>
      </w:pPr>
      <w:r w:rsidRPr="00E504D2">
        <w:rPr>
          <w:b/>
          <w:i/>
        </w:rPr>
        <w:t>eligible senior</w:t>
      </w:r>
      <w:r w:rsidRPr="00E504D2">
        <w:t xml:space="preserve"> has the same meaning as in subsection</w:t>
      </w:r>
      <w:r w:rsidR="00E504D2" w:rsidRPr="00E504D2">
        <w:t> </w:t>
      </w:r>
      <w:r w:rsidRPr="00E504D2">
        <w:t xml:space="preserve">3(1) of the </w:t>
      </w:r>
      <w:r w:rsidRPr="00E504D2">
        <w:rPr>
          <w:i/>
        </w:rPr>
        <w:t>Rates and Charges (Rebates and Deferments) Act 1992</w:t>
      </w:r>
      <w:r w:rsidR="00625CDB" w:rsidRPr="00E504D2">
        <w:t xml:space="preserve"> (WA) (C</w:t>
      </w:r>
      <w:r w:rsidRPr="00E504D2">
        <w:t>I).</w:t>
      </w:r>
    </w:p>
    <w:p w:rsidR="002527B9" w:rsidRPr="00E504D2" w:rsidRDefault="002527B9" w:rsidP="002527B9">
      <w:pPr>
        <w:pStyle w:val="Definition"/>
      </w:pPr>
      <w:r w:rsidRPr="00E504D2">
        <w:rPr>
          <w:b/>
          <w:i/>
        </w:rPr>
        <w:t>fire service</w:t>
      </w:r>
      <w:r w:rsidRPr="00E504D2">
        <w:t xml:space="preserve"> means a water supply connection provided for fire</w:t>
      </w:r>
      <w:r w:rsidR="00E504D2">
        <w:noBreakHyphen/>
      </w:r>
      <w:r w:rsidRPr="00E504D2">
        <w:t>fighting purposes.</w:t>
      </w:r>
    </w:p>
    <w:p w:rsidR="002527B9" w:rsidRPr="00E504D2" w:rsidRDefault="002527B9" w:rsidP="002527B9">
      <w:pPr>
        <w:pStyle w:val="Definition"/>
      </w:pPr>
      <w:r w:rsidRPr="00E504D2">
        <w:rPr>
          <w:b/>
          <w:i/>
        </w:rPr>
        <w:lastRenderedPageBreak/>
        <w:t>government land</w:t>
      </w:r>
      <w:r w:rsidR="00FD27C0" w:rsidRPr="00E504D2">
        <w:t>: see subsection</w:t>
      </w:r>
      <w:r w:rsidR="00E504D2" w:rsidRPr="00E504D2">
        <w:t> </w:t>
      </w:r>
      <w:r w:rsidR="00FD27C0" w:rsidRPr="00E504D2">
        <w:t>5(7</w:t>
      </w:r>
      <w:r w:rsidRPr="00E504D2">
        <w:t>).</w:t>
      </w:r>
    </w:p>
    <w:p w:rsidR="002527B9" w:rsidRPr="00E504D2" w:rsidRDefault="002527B9" w:rsidP="002527B9">
      <w:pPr>
        <w:pStyle w:val="Definition"/>
      </w:pPr>
      <w:r w:rsidRPr="00E504D2">
        <w:rPr>
          <w:b/>
          <w:i/>
        </w:rPr>
        <w:t>gross rental value</w:t>
      </w:r>
      <w:r w:rsidRPr="00E504D2">
        <w:t>, of land, has the same meaning as in subsection</w:t>
      </w:r>
      <w:r w:rsidR="00E504D2" w:rsidRPr="00E504D2">
        <w:t> </w:t>
      </w:r>
      <w:r w:rsidRPr="00E504D2">
        <w:t xml:space="preserve">4(1) of the </w:t>
      </w:r>
      <w:r w:rsidRPr="00E504D2">
        <w:rPr>
          <w:i/>
        </w:rPr>
        <w:t>Valuation of Land Act 1978</w:t>
      </w:r>
      <w:r w:rsidR="00625CDB" w:rsidRPr="00E504D2">
        <w:t xml:space="preserve"> (WA) (C</w:t>
      </w:r>
      <w:r w:rsidRPr="00E504D2">
        <w:t>I).</w:t>
      </w:r>
    </w:p>
    <w:p w:rsidR="002527B9" w:rsidRPr="00E504D2" w:rsidRDefault="002527B9" w:rsidP="002527B9">
      <w:pPr>
        <w:pStyle w:val="Definition"/>
      </w:pPr>
      <w:r w:rsidRPr="00E504D2">
        <w:rPr>
          <w:b/>
          <w:i/>
        </w:rPr>
        <w:t>holiday accommodation</w:t>
      </w:r>
      <w:r w:rsidRPr="00E504D2">
        <w:t>, of an owner or occupier, means accommodation that is:</w:t>
      </w:r>
    </w:p>
    <w:p w:rsidR="002527B9" w:rsidRPr="00E504D2" w:rsidRDefault="002527B9" w:rsidP="002527B9">
      <w:pPr>
        <w:pStyle w:val="paragraph"/>
      </w:pPr>
      <w:r w:rsidRPr="00E504D2">
        <w:tab/>
        <w:t>(a)</w:t>
      </w:r>
      <w:r w:rsidRPr="00E504D2">
        <w:tab/>
        <w:t>held out as being available, or made available, by the owner or occupier for occupation for holiday purposes by persons other than the owner or occupier; and</w:t>
      </w:r>
    </w:p>
    <w:p w:rsidR="002527B9" w:rsidRPr="00E504D2" w:rsidRDefault="002527B9" w:rsidP="002527B9">
      <w:pPr>
        <w:pStyle w:val="paragraph"/>
      </w:pPr>
      <w:r w:rsidRPr="00E504D2">
        <w:tab/>
        <w:t>(b)</w:t>
      </w:r>
      <w:r w:rsidRPr="00E504D2">
        <w:tab/>
        <w:t>not held out, or made available, substantially:</w:t>
      </w:r>
    </w:p>
    <w:p w:rsidR="002527B9" w:rsidRPr="00E504D2" w:rsidRDefault="002527B9" w:rsidP="002527B9">
      <w:pPr>
        <w:pStyle w:val="paragraphsub"/>
      </w:pPr>
      <w:r w:rsidRPr="00E504D2">
        <w:tab/>
        <w:t>(</w:t>
      </w:r>
      <w:proofErr w:type="spellStart"/>
      <w:r w:rsidRPr="00E504D2">
        <w:t>i</w:t>
      </w:r>
      <w:proofErr w:type="spellEnd"/>
      <w:r w:rsidRPr="00E504D2">
        <w:t>)</w:t>
      </w:r>
      <w:r w:rsidRPr="00E504D2">
        <w:tab/>
        <w:t>by way of trade or business; or</w:t>
      </w:r>
    </w:p>
    <w:p w:rsidR="002527B9" w:rsidRPr="00E504D2" w:rsidRDefault="002527B9" w:rsidP="002527B9">
      <w:pPr>
        <w:pStyle w:val="paragraphsub"/>
      </w:pPr>
      <w:r w:rsidRPr="00E504D2">
        <w:tab/>
        <w:t>(ii)</w:t>
      </w:r>
      <w:r w:rsidRPr="00E504D2">
        <w:tab/>
        <w:t>for the purpose of any trade or business.</w:t>
      </w:r>
    </w:p>
    <w:p w:rsidR="002527B9" w:rsidRPr="00E504D2" w:rsidRDefault="002527B9" w:rsidP="002527B9">
      <w:pPr>
        <w:pStyle w:val="Definition"/>
      </w:pPr>
      <w:r w:rsidRPr="00E504D2">
        <w:rPr>
          <w:b/>
          <w:i/>
        </w:rPr>
        <w:t>industrial land</w:t>
      </w:r>
      <w:r w:rsidR="00863D63" w:rsidRPr="00E504D2">
        <w:t>: see subsection</w:t>
      </w:r>
      <w:r w:rsidR="00E504D2" w:rsidRPr="00E504D2">
        <w:t> </w:t>
      </w:r>
      <w:r w:rsidR="00863D63" w:rsidRPr="00E504D2">
        <w:t>5(5</w:t>
      </w:r>
      <w:r w:rsidRPr="00E504D2">
        <w:t>).</w:t>
      </w:r>
    </w:p>
    <w:p w:rsidR="002527B9" w:rsidRPr="00E504D2" w:rsidRDefault="002527B9" w:rsidP="002527B9">
      <w:pPr>
        <w:pStyle w:val="Definition"/>
      </w:pPr>
      <w:r w:rsidRPr="00E504D2">
        <w:rPr>
          <w:b/>
          <w:i/>
        </w:rPr>
        <w:t>institutional/public land</w:t>
      </w:r>
      <w:r w:rsidR="00863D63" w:rsidRPr="00E504D2">
        <w:t>: see subsection</w:t>
      </w:r>
      <w:r w:rsidR="00E504D2" w:rsidRPr="00E504D2">
        <w:t> </w:t>
      </w:r>
      <w:r w:rsidR="00863D63" w:rsidRPr="00E504D2">
        <w:t>5(9</w:t>
      </w:r>
      <w:r w:rsidRPr="00E504D2">
        <w:t>).</w:t>
      </w:r>
    </w:p>
    <w:p w:rsidR="002527B9" w:rsidRPr="00E504D2" w:rsidRDefault="002527B9" w:rsidP="002527B9">
      <w:pPr>
        <w:pStyle w:val="Definition"/>
      </w:pPr>
      <w:r w:rsidRPr="00E504D2">
        <w:rPr>
          <w:b/>
          <w:i/>
        </w:rPr>
        <w:t>local government land</w:t>
      </w:r>
      <w:r w:rsidRPr="00E504D2">
        <w:t>: see subsection</w:t>
      </w:r>
      <w:r w:rsidR="00E504D2" w:rsidRPr="00E504D2">
        <w:t> </w:t>
      </w:r>
      <w:r w:rsidRPr="00E504D2">
        <w:t>5(</w:t>
      </w:r>
      <w:r w:rsidR="00FD27C0" w:rsidRPr="00E504D2">
        <w:t>11</w:t>
      </w:r>
      <w:r w:rsidRPr="00E504D2">
        <w:t>).</w:t>
      </w:r>
    </w:p>
    <w:p w:rsidR="002527B9" w:rsidRPr="00E504D2" w:rsidRDefault="002527B9" w:rsidP="002527B9">
      <w:pPr>
        <w:pStyle w:val="Definition"/>
      </w:pPr>
      <w:r w:rsidRPr="00E504D2">
        <w:rPr>
          <w:b/>
          <w:i/>
        </w:rPr>
        <w:t>major fixture</w:t>
      </w:r>
      <w:r w:rsidRPr="00E504D2">
        <w:t xml:space="preserve"> means any of the following:</w:t>
      </w:r>
    </w:p>
    <w:p w:rsidR="002527B9" w:rsidRPr="00E504D2" w:rsidRDefault="002527B9" w:rsidP="002527B9">
      <w:pPr>
        <w:pStyle w:val="paragraph"/>
      </w:pPr>
      <w:r w:rsidRPr="00E504D2">
        <w:tab/>
        <w:t>(a)</w:t>
      </w:r>
      <w:r w:rsidRPr="00E504D2">
        <w:tab/>
        <w:t>a water closet;</w:t>
      </w:r>
    </w:p>
    <w:p w:rsidR="002527B9" w:rsidRPr="00E504D2" w:rsidRDefault="002527B9" w:rsidP="002527B9">
      <w:pPr>
        <w:pStyle w:val="paragraph"/>
      </w:pPr>
      <w:r w:rsidRPr="00E504D2">
        <w:tab/>
        <w:t>(b)</w:t>
      </w:r>
      <w:r w:rsidRPr="00E504D2">
        <w:tab/>
        <w:t>each urinal outlet contained within a floor</w:t>
      </w:r>
      <w:r w:rsidR="00E504D2">
        <w:noBreakHyphen/>
      </w:r>
      <w:r w:rsidRPr="00E504D2">
        <w:t>mounted urinal;</w:t>
      </w:r>
    </w:p>
    <w:p w:rsidR="002527B9" w:rsidRPr="00E504D2" w:rsidRDefault="002527B9" w:rsidP="002527B9">
      <w:pPr>
        <w:pStyle w:val="paragraph"/>
      </w:pPr>
      <w:r w:rsidRPr="00E504D2">
        <w:tab/>
        <w:t>(c)</w:t>
      </w:r>
      <w:r w:rsidRPr="00E504D2">
        <w:tab/>
        <w:t>each stand of wall</w:t>
      </w:r>
      <w:r w:rsidR="00E504D2">
        <w:noBreakHyphen/>
      </w:r>
      <w:r w:rsidRPr="00E504D2">
        <w:t>hung urinals contained within a separate ablution area;</w:t>
      </w:r>
    </w:p>
    <w:p w:rsidR="002527B9" w:rsidRPr="00E504D2" w:rsidRDefault="002527B9" w:rsidP="002527B9">
      <w:pPr>
        <w:pStyle w:val="paragraph"/>
      </w:pPr>
      <w:r w:rsidRPr="00E504D2">
        <w:tab/>
        <w:t>(d)</w:t>
      </w:r>
      <w:r w:rsidRPr="00E504D2">
        <w:tab/>
        <w:t>a pan washer.</w:t>
      </w:r>
    </w:p>
    <w:p w:rsidR="008E2AE8" w:rsidRPr="00E504D2" w:rsidRDefault="008E2AE8" w:rsidP="008E2AE8">
      <w:pPr>
        <w:pStyle w:val="Definition"/>
      </w:pPr>
      <w:r w:rsidRPr="00E504D2">
        <w:rPr>
          <w:b/>
          <w:i/>
        </w:rPr>
        <w:t>mining land</w:t>
      </w:r>
      <w:r w:rsidRPr="00E504D2">
        <w:t>: see subsection</w:t>
      </w:r>
      <w:r w:rsidR="00E504D2" w:rsidRPr="00E504D2">
        <w:t> </w:t>
      </w:r>
      <w:r w:rsidRPr="00E504D2">
        <w:t>5(</w:t>
      </w:r>
      <w:r w:rsidR="00863D63" w:rsidRPr="00E504D2">
        <w:t>8</w:t>
      </w:r>
      <w:r w:rsidRPr="00E504D2">
        <w:t>).</w:t>
      </w:r>
    </w:p>
    <w:p w:rsidR="002527B9" w:rsidRPr="00E504D2" w:rsidRDefault="002527B9" w:rsidP="002527B9">
      <w:pPr>
        <w:pStyle w:val="Definition"/>
      </w:pPr>
      <w:r w:rsidRPr="00E504D2">
        <w:rPr>
          <w:b/>
          <w:i/>
        </w:rPr>
        <w:t>occupier</w:t>
      </w:r>
      <w:r w:rsidRPr="00E504D2">
        <w:t>, in relation to land, means the person in occupation of the land or, if there is no person in occupation, the person entitled to possession of the land.</w:t>
      </w:r>
    </w:p>
    <w:p w:rsidR="002527B9" w:rsidRPr="00E504D2" w:rsidRDefault="002527B9" w:rsidP="002527B9">
      <w:pPr>
        <w:pStyle w:val="Definition"/>
      </w:pPr>
      <w:r w:rsidRPr="00E504D2">
        <w:rPr>
          <w:b/>
          <w:i/>
        </w:rPr>
        <w:t>owner</w:t>
      </w:r>
      <w:r w:rsidRPr="00E504D2">
        <w:t>, in relation to land, has the same meaning as in section</w:t>
      </w:r>
      <w:r w:rsidR="00E504D2" w:rsidRPr="00E504D2">
        <w:t> </w:t>
      </w:r>
      <w:r w:rsidRPr="00E504D2">
        <w:t xml:space="preserve">1.4 of the </w:t>
      </w:r>
      <w:r w:rsidRPr="00E504D2">
        <w:rPr>
          <w:i/>
        </w:rPr>
        <w:t>Local Government Act 1995</w:t>
      </w:r>
      <w:r w:rsidR="00625CDB" w:rsidRPr="00E504D2">
        <w:t xml:space="preserve"> (WA) (C</w:t>
      </w:r>
      <w:r w:rsidRPr="00E504D2">
        <w:t>I).</w:t>
      </w:r>
    </w:p>
    <w:p w:rsidR="002527B9" w:rsidRPr="00E504D2" w:rsidRDefault="002527B9" w:rsidP="002527B9">
      <w:pPr>
        <w:pStyle w:val="Definition"/>
      </w:pPr>
      <w:r w:rsidRPr="00E504D2">
        <w:rPr>
          <w:b/>
          <w:i/>
        </w:rPr>
        <w:t>residence</w:t>
      </w:r>
      <w:r w:rsidRPr="00E504D2">
        <w:t xml:space="preserve"> means a private dwelling house, home unit or flat, including any yard, garden, outhouse or appurtenance belonging to, or usually enjoyed with, the private dwelling house, home unit or flat.</w:t>
      </w:r>
    </w:p>
    <w:p w:rsidR="002527B9" w:rsidRPr="00E504D2" w:rsidRDefault="002527B9" w:rsidP="002527B9">
      <w:pPr>
        <w:pStyle w:val="Definition"/>
      </w:pPr>
      <w:r w:rsidRPr="00E504D2">
        <w:rPr>
          <w:b/>
          <w:i/>
        </w:rPr>
        <w:t>residential land</w:t>
      </w:r>
      <w:r w:rsidRPr="00E504D2">
        <w:t>: see subsection</w:t>
      </w:r>
      <w:r w:rsidR="00E504D2" w:rsidRPr="00E504D2">
        <w:t> </w:t>
      </w:r>
      <w:r w:rsidRPr="00E504D2">
        <w:t>5(2).</w:t>
      </w:r>
    </w:p>
    <w:p w:rsidR="002527B9" w:rsidRPr="00E504D2" w:rsidRDefault="002527B9" w:rsidP="002527B9">
      <w:pPr>
        <w:pStyle w:val="Definition"/>
      </w:pPr>
      <w:r w:rsidRPr="00E504D2">
        <w:rPr>
          <w:b/>
          <w:i/>
        </w:rPr>
        <w:t>vacant land</w:t>
      </w:r>
      <w:r w:rsidR="00863D63" w:rsidRPr="00E504D2">
        <w:t>: see subsection</w:t>
      </w:r>
      <w:r w:rsidR="00E504D2" w:rsidRPr="00E504D2">
        <w:t> </w:t>
      </w:r>
      <w:r w:rsidR="00863D63" w:rsidRPr="00E504D2">
        <w:t>5(6</w:t>
      </w:r>
      <w:r w:rsidRPr="00E504D2">
        <w:t>).</w:t>
      </w:r>
    </w:p>
    <w:p w:rsidR="002527B9" w:rsidRPr="00E504D2" w:rsidRDefault="002527B9" w:rsidP="002527B9">
      <w:pPr>
        <w:pStyle w:val="ActHead5"/>
      </w:pPr>
      <w:bookmarkStart w:id="9" w:name="_Toc454972745"/>
      <w:r w:rsidRPr="00E504D2">
        <w:rPr>
          <w:rStyle w:val="CharSectno"/>
        </w:rPr>
        <w:t>5</w:t>
      </w:r>
      <w:r w:rsidRPr="00E504D2">
        <w:t xml:space="preserve">  Categories of land</w:t>
      </w:r>
      <w:bookmarkEnd w:id="9"/>
    </w:p>
    <w:p w:rsidR="002527B9" w:rsidRPr="00E504D2" w:rsidRDefault="002527B9" w:rsidP="002527B9">
      <w:pPr>
        <w:pStyle w:val="subsection"/>
      </w:pPr>
      <w:r w:rsidRPr="00E504D2">
        <w:tab/>
        <w:t>(1)</w:t>
      </w:r>
      <w:r w:rsidRPr="00E504D2">
        <w:tab/>
        <w:t>This section defines categories of land for the purposes of this instrument.</w:t>
      </w:r>
    </w:p>
    <w:p w:rsidR="002527B9" w:rsidRPr="00E504D2" w:rsidRDefault="002527B9" w:rsidP="002527B9">
      <w:pPr>
        <w:pStyle w:val="subsection"/>
      </w:pPr>
      <w:r w:rsidRPr="00E504D2">
        <w:tab/>
        <w:t>(2)</w:t>
      </w:r>
      <w:r w:rsidRPr="00E504D2">
        <w:tab/>
        <w:t xml:space="preserve">Land is </w:t>
      </w:r>
      <w:r w:rsidRPr="00E504D2">
        <w:rPr>
          <w:b/>
          <w:i/>
        </w:rPr>
        <w:t>residential land</w:t>
      </w:r>
      <w:r w:rsidRPr="00E504D2">
        <w:t xml:space="preserve"> if:</w:t>
      </w:r>
    </w:p>
    <w:p w:rsidR="002527B9" w:rsidRPr="00E504D2" w:rsidRDefault="002527B9" w:rsidP="002527B9">
      <w:pPr>
        <w:pStyle w:val="paragraph"/>
      </w:pPr>
      <w:r w:rsidRPr="00E504D2">
        <w:tab/>
        <w:t>(a)</w:t>
      </w:r>
      <w:r w:rsidRPr="00E504D2">
        <w:tab/>
        <w:t>the land is used wholly or primarily for the purpose of providing a residence for one or more of the following:</w:t>
      </w:r>
    </w:p>
    <w:p w:rsidR="002527B9" w:rsidRPr="00E504D2" w:rsidRDefault="002527B9" w:rsidP="002527B9">
      <w:pPr>
        <w:pStyle w:val="paragraphsub"/>
      </w:pPr>
      <w:r w:rsidRPr="00E504D2">
        <w:tab/>
        <w:t>(</w:t>
      </w:r>
      <w:proofErr w:type="spellStart"/>
      <w:r w:rsidRPr="00E504D2">
        <w:t>i</w:t>
      </w:r>
      <w:proofErr w:type="spellEnd"/>
      <w:r w:rsidRPr="00E504D2">
        <w:t>)</w:t>
      </w:r>
      <w:r w:rsidRPr="00E504D2">
        <w:tab/>
        <w:t>the owner or occupier of the land;</w:t>
      </w:r>
    </w:p>
    <w:p w:rsidR="002527B9" w:rsidRPr="00E504D2" w:rsidRDefault="002527B9" w:rsidP="002527B9">
      <w:pPr>
        <w:pStyle w:val="paragraphsub"/>
      </w:pPr>
      <w:r w:rsidRPr="00E504D2">
        <w:tab/>
        <w:t>(ii)</w:t>
      </w:r>
      <w:r w:rsidRPr="00E504D2">
        <w:tab/>
        <w:t>the family of the owner or occupier of the land;</w:t>
      </w:r>
    </w:p>
    <w:p w:rsidR="002527B9" w:rsidRPr="00E504D2" w:rsidRDefault="002527B9" w:rsidP="002527B9">
      <w:pPr>
        <w:pStyle w:val="paragraphsub"/>
      </w:pPr>
      <w:r w:rsidRPr="00E504D2">
        <w:tab/>
        <w:t>(iii)</w:t>
      </w:r>
      <w:r w:rsidRPr="00E504D2">
        <w:tab/>
        <w:t>the employees of the owner or occupier of the land; and</w:t>
      </w:r>
    </w:p>
    <w:p w:rsidR="002527B9" w:rsidRPr="00E504D2" w:rsidRDefault="002527B9" w:rsidP="002527B9">
      <w:pPr>
        <w:pStyle w:val="paragraph"/>
      </w:pPr>
      <w:r w:rsidRPr="00E504D2">
        <w:lastRenderedPageBreak/>
        <w:tab/>
        <w:t>(b)</w:t>
      </w:r>
      <w:r w:rsidRPr="00E504D2">
        <w:tab/>
        <w:t>the land is not used, in whole or in part, for the purpose of providing holiday accommodation.</w:t>
      </w:r>
    </w:p>
    <w:p w:rsidR="008E2AE8" w:rsidRPr="00E504D2" w:rsidRDefault="008E2AE8" w:rsidP="008E2AE8">
      <w:pPr>
        <w:pStyle w:val="subsection"/>
      </w:pPr>
      <w:r w:rsidRPr="00E504D2">
        <w:tab/>
        <w:t>(</w:t>
      </w:r>
      <w:r w:rsidR="00863D63" w:rsidRPr="00E504D2">
        <w:t>3</w:t>
      </w:r>
      <w:r w:rsidRPr="00E504D2">
        <w:t>)</w:t>
      </w:r>
      <w:r w:rsidRPr="00E504D2">
        <w:tab/>
        <w:t xml:space="preserve">Land is </w:t>
      </w:r>
      <w:r w:rsidRPr="00E504D2">
        <w:rPr>
          <w:b/>
          <w:i/>
        </w:rPr>
        <w:t>commercial/residential land</w:t>
      </w:r>
      <w:r w:rsidRPr="00E504D2">
        <w:t xml:space="preserve"> if:</w:t>
      </w:r>
    </w:p>
    <w:p w:rsidR="008E2AE8" w:rsidRPr="00E504D2" w:rsidRDefault="008E2AE8" w:rsidP="008E2AE8">
      <w:pPr>
        <w:pStyle w:val="paragraph"/>
      </w:pPr>
      <w:r w:rsidRPr="00E504D2">
        <w:tab/>
        <w:t>(a)</w:t>
      </w:r>
      <w:r w:rsidRPr="00E504D2">
        <w:tab/>
        <w:t xml:space="preserve">the land is used, </w:t>
      </w:r>
      <w:r w:rsidR="00FD27C0" w:rsidRPr="00E504D2">
        <w:t>but</w:t>
      </w:r>
      <w:r w:rsidRPr="00E504D2">
        <w:t xml:space="preserve"> not wholly or primarily, for the purpose mentioned in </w:t>
      </w:r>
      <w:r w:rsidR="00E504D2" w:rsidRPr="00E504D2">
        <w:t>paragraph (</w:t>
      </w:r>
      <w:r w:rsidRPr="00E504D2">
        <w:t xml:space="preserve">a) of the definition of </w:t>
      </w:r>
      <w:r w:rsidRPr="00E504D2">
        <w:rPr>
          <w:b/>
          <w:i/>
        </w:rPr>
        <w:t>residential land</w:t>
      </w:r>
      <w:r w:rsidRPr="00E504D2">
        <w:t>; and</w:t>
      </w:r>
    </w:p>
    <w:p w:rsidR="008E2AE8" w:rsidRPr="00E504D2" w:rsidRDefault="008E2AE8" w:rsidP="008E2AE8">
      <w:pPr>
        <w:pStyle w:val="paragraph"/>
      </w:pPr>
      <w:r w:rsidRPr="00E504D2">
        <w:tab/>
        <w:t>(b)</w:t>
      </w:r>
      <w:r w:rsidRPr="00E504D2">
        <w:tab/>
        <w:t>the land is used for one or more of the following purposes:</w:t>
      </w:r>
    </w:p>
    <w:p w:rsidR="008E2AE8" w:rsidRPr="00E504D2" w:rsidRDefault="008E2AE8" w:rsidP="008E2AE8">
      <w:pPr>
        <w:pStyle w:val="paragraphsub"/>
      </w:pPr>
      <w:r w:rsidRPr="00E504D2">
        <w:tab/>
        <w:t>(</w:t>
      </w:r>
      <w:proofErr w:type="spellStart"/>
      <w:r w:rsidRPr="00E504D2">
        <w:t>i</w:t>
      </w:r>
      <w:proofErr w:type="spellEnd"/>
      <w:r w:rsidRPr="00E504D2">
        <w:t>)</w:t>
      </w:r>
      <w:r w:rsidRPr="00E504D2">
        <w:tab/>
        <w:t>a shop;</w:t>
      </w:r>
    </w:p>
    <w:p w:rsidR="008E2AE8" w:rsidRPr="00E504D2" w:rsidRDefault="008E2AE8" w:rsidP="008E2AE8">
      <w:pPr>
        <w:pStyle w:val="paragraphsub"/>
      </w:pPr>
      <w:r w:rsidRPr="00E504D2">
        <w:tab/>
        <w:t>(ii)</w:t>
      </w:r>
      <w:r w:rsidRPr="00E504D2">
        <w:tab/>
        <w:t>a workshop;</w:t>
      </w:r>
    </w:p>
    <w:p w:rsidR="008E2AE8" w:rsidRPr="00E504D2" w:rsidRDefault="008E2AE8" w:rsidP="008E2AE8">
      <w:pPr>
        <w:pStyle w:val="paragraphsub"/>
      </w:pPr>
      <w:r w:rsidRPr="00E504D2">
        <w:tab/>
        <w:t>(iii)</w:t>
      </w:r>
      <w:r w:rsidRPr="00E504D2">
        <w:tab/>
        <w:t>an office;</w:t>
      </w:r>
    </w:p>
    <w:p w:rsidR="008E2AE8" w:rsidRPr="00E504D2" w:rsidRDefault="008E2AE8" w:rsidP="008E2AE8">
      <w:pPr>
        <w:pStyle w:val="paragraphsub"/>
      </w:pPr>
      <w:r w:rsidRPr="00E504D2">
        <w:tab/>
        <w:t>(iv)</w:t>
      </w:r>
      <w:r w:rsidRPr="00E504D2">
        <w:tab/>
        <w:t>a bakery;</w:t>
      </w:r>
    </w:p>
    <w:p w:rsidR="008E2AE8" w:rsidRPr="00E504D2" w:rsidRDefault="008E2AE8" w:rsidP="008E2AE8">
      <w:pPr>
        <w:pStyle w:val="paragraphsub"/>
      </w:pPr>
      <w:r w:rsidRPr="00E504D2">
        <w:tab/>
        <w:t>(v)</w:t>
      </w:r>
      <w:r w:rsidRPr="00E504D2">
        <w:tab/>
        <w:t>a surgery;</w:t>
      </w:r>
    </w:p>
    <w:p w:rsidR="008E2AE8" w:rsidRPr="00E504D2" w:rsidRDefault="008E2AE8" w:rsidP="008E2AE8">
      <w:pPr>
        <w:pStyle w:val="paragraphsub"/>
      </w:pPr>
      <w:r w:rsidRPr="00E504D2">
        <w:tab/>
        <w:t>(vi)</w:t>
      </w:r>
      <w:r w:rsidRPr="00E504D2">
        <w:tab/>
        <w:t>any other business purpose.</w:t>
      </w:r>
    </w:p>
    <w:p w:rsidR="002527B9" w:rsidRPr="00E504D2" w:rsidRDefault="00863D63" w:rsidP="002527B9">
      <w:pPr>
        <w:pStyle w:val="subsection"/>
      </w:pPr>
      <w:r w:rsidRPr="00E504D2">
        <w:tab/>
        <w:t>(4</w:t>
      </w:r>
      <w:r w:rsidR="002527B9" w:rsidRPr="00E504D2">
        <w:t>)</w:t>
      </w:r>
      <w:r w:rsidR="002527B9" w:rsidRPr="00E504D2">
        <w:tab/>
        <w:t xml:space="preserve">Land is </w:t>
      </w:r>
      <w:r w:rsidR="002527B9" w:rsidRPr="00E504D2">
        <w:rPr>
          <w:b/>
          <w:i/>
        </w:rPr>
        <w:t>commercial land</w:t>
      </w:r>
      <w:r w:rsidR="002527B9" w:rsidRPr="00E504D2">
        <w:t xml:space="preserve"> if:</w:t>
      </w:r>
    </w:p>
    <w:p w:rsidR="002527B9" w:rsidRPr="00E504D2" w:rsidRDefault="002527B9" w:rsidP="002527B9">
      <w:pPr>
        <w:pStyle w:val="paragraph"/>
      </w:pPr>
      <w:r w:rsidRPr="00E504D2">
        <w:tab/>
        <w:t>(a)</w:t>
      </w:r>
      <w:r w:rsidRPr="00E504D2">
        <w:tab/>
        <w:t>the land is used for one or more of the following purposes:</w:t>
      </w:r>
    </w:p>
    <w:p w:rsidR="002527B9" w:rsidRPr="00E504D2" w:rsidRDefault="002527B9" w:rsidP="002527B9">
      <w:pPr>
        <w:pStyle w:val="paragraphsub"/>
      </w:pPr>
      <w:r w:rsidRPr="00E504D2">
        <w:tab/>
        <w:t>(</w:t>
      </w:r>
      <w:proofErr w:type="spellStart"/>
      <w:r w:rsidRPr="00E504D2">
        <w:t>i</w:t>
      </w:r>
      <w:proofErr w:type="spellEnd"/>
      <w:r w:rsidRPr="00E504D2">
        <w:t>)</w:t>
      </w:r>
      <w:r w:rsidRPr="00E504D2">
        <w:tab/>
        <w:t>conducting a business;</w:t>
      </w:r>
    </w:p>
    <w:p w:rsidR="002527B9" w:rsidRPr="00E504D2" w:rsidRDefault="002527B9" w:rsidP="002527B9">
      <w:pPr>
        <w:pStyle w:val="paragraphsub"/>
      </w:pPr>
      <w:r w:rsidRPr="00E504D2">
        <w:tab/>
        <w:t>(ii)</w:t>
      </w:r>
      <w:r w:rsidRPr="00E504D2">
        <w:tab/>
        <w:t>the practice of a profession;</w:t>
      </w:r>
    </w:p>
    <w:p w:rsidR="002527B9" w:rsidRPr="00E504D2" w:rsidRDefault="002527B9" w:rsidP="002527B9">
      <w:pPr>
        <w:pStyle w:val="paragraphsub"/>
      </w:pPr>
      <w:r w:rsidRPr="00E504D2">
        <w:tab/>
        <w:t>(iii)</w:t>
      </w:r>
      <w:r w:rsidRPr="00E504D2">
        <w:tab/>
        <w:t>holiday accommodation;</w:t>
      </w:r>
    </w:p>
    <w:p w:rsidR="002527B9" w:rsidRPr="00E504D2" w:rsidRDefault="002527B9" w:rsidP="002527B9">
      <w:pPr>
        <w:pStyle w:val="paragraphsub"/>
      </w:pPr>
      <w:r w:rsidRPr="00E504D2">
        <w:t xml:space="preserve"> </w:t>
      </w:r>
      <w:r w:rsidRPr="00E504D2">
        <w:tab/>
        <w:t>(iv)</w:t>
      </w:r>
      <w:r w:rsidRPr="00E504D2">
        <w:tab/>
        <w:t>any other commercial purpose; and</w:t>
      </w:r>
    </w:p>
    <w:p w:rsidR="002527B9" w:rsidRPr="00E504D2" w:rsidRDefault="002527B9" w:rsidP="002527B9">
      <w:pPr>
        <w:pStyle w:val="paragraph"/>
      </w:pPr>
      <w:r w:rsidRPr="00E504D2">
        <w:tab/>
        <w:t>(b)</w:t>
      </w:r>
      <w:r w:rsidRPr="00E504D2">
        <w:tab/>
        <w:t>the land is not used for any other purpose mentioned in this section.</w:t>
      </w:r>
    </w:p>
    <w:p w:rsidR="002527B9" w:rsidRPr="00E504D2" w:rsidRDefault="00863D63" w:rsidP="002527B9">
      <w:pPr>
        <w:pStyle w:val="subsection"/>
      </w:pPr>
      <w:r w:rsidRPr="00E504D2">
        <w:tab/>
        <w:t>(5</w:t>
      </w:r>
      <w:r w:rsidR="002527B9" w:rsidRPr="00E504D2">
        <w:t>)</w:t>
      </w:r>
      <w:r w:rsidR="002527B9" w:rsidRPr="00E504D2">
        <w:tab/>
        <w:t xml:space="preserve">Land is </w:t>
      </w:r>
      <w:r w:rsidR="002527B9" w:rsidRPr="00E504D2">
        <w:rPr>
          <w:b/>
          <w:i/>
        </w:rPr>
        <w:t>industrial land</w:t>
      </w:r>
      <w:r w:rsidR="002527B9" w:rsidRPr="00E504D2">
        <w:t xml:space="preserve"> if:</w:t>
      </w:r>
    </w:p>
    <w:p w:rsidR="002527B9" w:rsidRPr="00E504D2" w:rsidRDefault="002527B9" w:rsidP="002527B9">
      <w:pPr>
        <w:pStyle w:val="paragraph"/>
      </w:pPr>
      <w:r w:rsidRPr="00E504D2">
        <w:tab/>
        <w:t>(a)</w:t>
      </w:r>
      <w:r w:rsidRPr="00E504D2">
        <w:tab/>
        <w:t>the land is used for manufacturing or processing; and</w:t>
      </w:r>
    </w:p>
    <w:p w:rsidR="002527B9" w:rsidRPr="00E504D2" w:rsidRDefault="002527B9" w:rsidP="002527B9">
      <w:pPr>
        <w:pStyle w:val="paragraph"/>
      </w:pPr>
      <w:r w:rsidRPr="00E504D2">
        <w:tab/>
        <w:t>(b)</w:t>
      </w:r>
      <w:r w:rsidRPr="00E504D2">
        <w:tab/>
        <w:t>the manufacturing or processing cannot be conducted without the use of water; and</w:t>
      </w:r>
    </w:p>
    <w:p w:rsidR="002527B9" w:rsidRPr="00E504D2" w:rsidRDefault="002527B9" w:rsidP="002527B9">
      <w:pPr>
        <w:pStyle w:val="paragraph"/>
      </w:pPr>
      <w:r w:rsidRPr="00E504D2">
        <w:tab/>
        <w:t>(c)</w:t>
      </w:r>
      <w:r w:rsidRPr="00E504D2">
        <w:tab/>
        <w:t>the land is not used for any other purpose mentioned in this section.</w:t>
      </w:r>
    </w:p>
    <w:p w:rsidR="002527B9" w:rsidRPr="00E504D2" w:rsidRDefault="00863D63" w:rsidP="002527B9">
      <w:pPr>
        <w:pStyle w:val="subsection"/>
      </w:pPr>
      <w:r w:rsidRPr="00E504D2">
        <w:tab/>
        <w:t>(6</w:t>
      </w:r>
      <w:r w:rsidR="002527B9" w:rsidRPr="00E504D2">
        <w:t>)</w:t>
      </w:r>
      <w:r w:rsidR="002527B9" w:rsidRPr="00E504D2">
        <w:tab/>
        <w:t xml:space="preserve">Land is </w:t>
      </w:r>
      <w:r w:rsidR="002527B9" w:rsidRPr="00E504D2">
        <w:rPr>
          <w:b/>
          <w:i/>
        </w:rPr>
        <w:t>vacant land</w:t>
      </w:r>
      <w:r w:rsidR="002527B9" w:rsidRPr="00E504D2">
        <w:t xml:space="preserve"> if:</w:t>
      </w:r>
    </w:p>
    <w:p w:rsidR="002527B9" w:rsidRPr="00E504D2" w:rsidRDefault="002527B9" w:rsidP="002527B9">
      <w:pPr>
        <w:pStyle w:val="paragraph"/>
      </w:pPr>
      <w:r w:rsidRPr="00E504D2">
        <w:tab/>
        <w:t>(a)</w:t>
      </w:r>
      <w:r w:rsidRPr="00E504D2">
        <w:tab/>
        <w:t>there is no building on the land; and</w:t>
      </w:r>
    </w:p>
    <w:p w:rsidR="002527B9" w:rsidRPr="00E504D2" w:rsidRDefault="002527B9" w:rsidP="002527B9">
      <w:pPr>
        <w:pStyle w:val="paragraph"/>
      </w:pPr>
      <w:r w:rsidRPr="00E504D2">
        <w:tab/>
        <w:t>(b)</w:t>
      </w:r>
      <w:r w:rsidRPr="00E504D2">
        <w:tab/>
        <w:t>the land is not used for any other purpose mentioned in this section.</w:t>
      </w:r>
    </w:p>
    <w:p w:rsidR="002527B9" w:rsidRPr="00E504D2" w:rsidRDefault="00863D63" w:rsidP="002527B9">
      <w:pPr>
        <w:pStyle w:val="subsection"/>
      </w:pPr>
      <w:r w:rsidRPr="00E504D2">
        <w:tab/>
        <w:t>(7</w:t>
      </w:r>
      <w:r w:rsidR="002527B9" w:rsidRPr="00E504D2">
        <w:t>)</w:t>
      </w:r>
      <w:r w:rsidR="002527B9" w:rsidRPr="00E504D2">
        <w:tab/>
        <w:t xml:space="preserve">Land is </w:t>
      </w:r>
      <w:r w:rsidR="002527B9" w:rsidRPr="00E504D2">
        <w:rPr>
          <w:b/>
          <w:i/>
        </w:rPr>
        <w:t>government land</w:t>
      </w:r>
      <w:r w:rsidR="002527B9" w:rsidRPr="00E504D2">
        <w:t xml:space="preserve"> if:</w:t>
      </w:r>
    </w:p>
    <w:p w:rsidR="002527B9" w:rsidRPr="00E504D2" w:rsidRDefault="002527B9" w:rsidP="002527B9">
      <w:pPr>
        <w:pStyle w:val="paragraph"/>
      </w:pPr>
      <w:r w:rsidRPr="00E504D2">
        <w:tab/>
        <w:t>(a)</w:t>
      </w:r>
      <w:r w:rsidRPr="00E504D2">
        <w:tab/>
        <w:t>the land is used by the Commonwealth Government or the government of a State for business, professional, commercial, or office purposes, or as a power station; and</w:t>
      </w:r>
    </w:p>
    <w:p w:rsidR="002527B9" w:rsidRPr="00E504D2" w:rsidRDefault="002527B9" w:rsidP="002527B9">
      <w:pPr>
        <w:pStyle w:val="paragraph"/>
      </w:pPr>
      <w:r w:rsidRPr="00E504D2">
        <w:tab/>
        <w:t>(b)</w:t>
      </w:r>
      <w:r w:rsidRPr="00E504D2">
        <w:tab/>
        <w:t>the land is not used for any other purpose mentioned in this section.</w:t>
      </w:r>
    </w:p>
    <w:p w:rsidR="008E2AE8" w:rsidRPr="00E504D2" w:rsidRDefault="008E2AE8" w:rsidP="008E2AE8">
      <w:pPr>
        <w:pStyle w:val="subsection"/>
      </w:pPr>
      <w:r w:rsidRPr="00E504D2">
        <w:tab/>
      </w:r>
      <w:r w:rsidR="00863D63" w:rsidRPr="00E504D2">
        <w:t>(8</w:t>
      </w:r>
      <w:r w:rsidRPr="00E504D2">
        <w:t>)</w:t>
      </w:r>
      <w:r w:rsidRPr="00E504D2">
        <w:tab/>
        <w:t xml:space="preserve">Land is </w:t>
      </w:r>
      <w:r w:rsidRPr="00E504D2">
        <w:rPr>
          <w:b/>
          <w:i/>
        </w:rPr>
        <w:t>mining land</w:t>
      </w:r>
      <w:r w:rsidRPr="00E504D2">
        <w:t xml:space="preserve"> if:</w:t>
      </w:r>
    </w:p>
    <w:p w:rsidR="008E2AE8" w:rsidRPr="00E504D2" w:rsidRDefault="008E2AE8" w:rsidP="008E2AE8">
      <w:pPr>
        <w:pStyle w:val="paragraph"/>
      </w:pPr>
      <w:r w:rsidRPr="00E504D2">
        <w:tab/>
        <w:t>(a)</w:t>
      </w:r>
      <w:r w:rsidRPr="00E504D2">
        <w:tab/>
        <w:t>the land is used for the purposes of mining; and</w:t>
      </w:r>
    </w:p>
    <w:p w:rsidR="008E2AE8" w:rsidRPr="00E504D2" w:rsidRDefault="008E2AE8" w:rsidP="008E2AE8">
      <w:pPr>
        <w:pStyle w:val="paragraph"/>
      </w:pPr>
      <w:r w:rsidRPr="00E504D2">
        <w:tab/>
        <w:t>(b)</w:t>
      </w:r>
      <w:r w:rsidRPr="00E504D2">
        <w:tab/>
        <w:t>the land is not used for any other purpose mentioned in this section.</w:t>
      </w:r>
    </w:p>
    <w:p w:rsidR="002527B9" w:rsidRPr="00E504D2" w:rsidRDefault="00863D63" w:rsidP="002527B9">
      <w:pPr>
        <w:pStyle w:val="subsection"/>
      </w:pPr>
      <w:r w:rsidRPr="00E504D2">
        <w:tab/>
        <w:t>(9</w:t>
      </w:r>
      <w:r w:rsidR="002527B9" w:rsidRPr="00E504D2">
        <w:t>)</w:t>
      </w:r>
      <w:r w:rsidR="002527B9" w:rsidRPr="00E504D2">
        <w:tab/>
        <w:t xml:space="preserve">Land is </w:t>
      </w:r>
      <w:r w:rsidR="002527B9" w:rsidRPr="00E504D2">
        <w:rPr>
          <w:b/>
          <w:i/>
        </w:rPr>
        <w:t>institutional/public land</w:t>
      </w:r>
      <w:r w:rsidR="002527B9" w:rsidRPr="00E504D2">
        <w:t xml:space="preserve"> if:</w:t>
      </w:r>
    </w:p>
    <w:p w:rsidR="002527B9" w:rsidRPr="00E504D2" w:rsidRDefault="002527B9" w:rsidP="002527B9">
      <w:pPr>
        <w:pStyle w:val="paragraph"/>
      </w:pPr>
      <w:r w:rsidRPr="00E504D2">
        <w:tab/>
        <w:t>(a)</w:t>
      </w:r>
      <w:r w:rsidRPr="00E504D2">
        <w:tab/>
        <w:t>the land is used for a club, institutional or public purpose that has been approved by the Administrator by notice in writing given to the owner or occupier of the land; and</w:t>
      </w:r>
    </w:p>
    <w:p w:rsidR="002527B9" w:rsidRPr="00E504D2" w:rsidRDefault="002527B9" w:rsidP="002527B9">
      <w:pPr>
        <w:pStyle w:val="paragraph"/>
      </w:pPr>
      <w:r w:rsidRPr="00E504D2">
        <w:tab/>
        <w:t>(b)</w:t>
      </w:r>
      <w:r w:rsidRPr="00E504D2">
        <w:tab/>
        <w:t>the land is not used for any other purpose mentioned in this section.</w:t>
      </w:r>
    </w:p>
    <w:p w:rsidR="002527B9" w:rsidRPr="00E504D2" w:rsidRDefault="00863D63" w:rsidP="002527B9">
      <w:pPr>
        <w:pStyle w:val="subsection"/>
      </w:pPr>
      <w:r w:rsidRPr="00E504D2">
        <w:lastRenderedPageBreak/>
        <w:tab/>
        <w:t>(10</w:t>
      </w:r>
      <w:r w:rsidR="002527B9" w:rsidRPr="00E504D2">
        <w:t>)</w:t>
      </w:r>
      <w:r w:rsidR="002527B9" w:rsidRPr="00E504D2">
        <w:tab/>
        <w:t xml:space="preserve">Land is </w:t>
      </w:r>
      <w:r w:rsidR="002527B9" w:rsidRPr="00E504D2">
        <w:rPr>
          <w:b/>
          <w:i/>
        </w:rPr>
        <w:t>charitable purposes land</w:t>
      </w:r>
      <w:r w:rsidR="002527B9" w:rsidRPr="00E504D2">
        <w:t xml:space="preserve"> if the land is used for one of the following purposes:</w:t>
      </w:r>
    </w:p>
    <w:p w:rsidR="002527B9" w:rsidRPr="00E504D2" w:rsidRDefault="002527B9" w:rsidP="002527B9">
      <w:pPr>
        <w:pStyle w:val="paragraph"/>
      </w:pPr>
      <w:r w:rsidRPr="00E504D2">
        <w:tab/>
        <w:t>(a)</w:t>
      </w:r>
      <w:r w:rsidRPr="00E504D2">
        <w:tab/>
        <w:t>providing relief or assistance to persons who are sick, aged, disadvantaged, unemployed or young;</w:t>
      </w:r>
    </w:p>
    <w:p w:rsidR="002527B9" w:rsidRPr="00E504D2" w:rsidRDefault="002527B9" w:rsidP="002527B9">
      <w:pPr>
        <w:pStyle w:val="paragraph"/>
      </w:pPr>
      <w:r w:rsidRPr="00E504D2">
        <w:tab/>
        <w:t>(b)</w:t>
      </w:r>
      <w:r w:rsidRPr="00E504D2">
        <w:tab/>
        <w:t>the conduct of activities:</w:t>
      </w:r>
    </w:p>
    <w:p w:rsidR="002527B9" w:rsidRPr="00E504D2" w:rsidRDefault="002527B9" w:rsidP="002527B9">
      <w:pPr>
        <w:pStyle w:val="paragraphsub"/>
      </w:pPr>
      <w:r w:rsidRPr="00E504D2">
        <w:tab/>
        <w:t>(</w:t>
      </w:r>
      <w:proofErr w:type="spellStart"/>
      <w:r w:rsidRPr="00E504D2">
        <w:t>i</w:t>
      </w:r>
      <w:proofErr w:type="spellEnd"/>
      <w:r w:rsidRPr="00E504D2">
        <w:t>)</w:t>
      </w:r>
      <w:r w:rsidRPr="00E504D2">
        <w:tab/>
        <w:t>by a private organisation that is not operated for the purpose of profit or gain to individual members, shareholders or owners; and</w:t>
      </w:r>
    </w:p>
    <w:p w:rsidR="002527B9" w:rsidRPr="00E504D2" w:rsidRDefault="002527B9" w:rsidP="002527B9">
      <w:pPr>
        <w:pStyle w:val="paragraphsub"/>
      </w:pPr>
      <w:r w:rsidRPr="00E504D2">
        <w:tab/>
        <w:t>(ii)</w:t>
      </w:r>
      <w:r w:rsidRPr="00E504D2">
        <w:tab/>
        <w:t>for the benefit of the public or in the interests of social welfare.</w:t>
      </w:r>
    </w:p>
    <w:p w:rsidR="002527B9" w:rsidRPr="00E504D2" w:rsidRDefault="00863D63" w:rsidP="002527B9">
      <w:pPr>
        <w:pStyle w:val="subsection"/>
      </w:pPr>
      <w:r w:rsidRPr="00E504D2">
        <w:tab/>
        <w:t>(11</w:t>
      </w:r>
      <w:r w:rsidR="002527B9" w:rsidRPr="00E504D2">
        <w:t>)</w:t>
      </w:r>
      <w:r w:rsidR="002527B9" w:rsidRPr="00E504D2">
        <w:tab/>
        <w:t xml:space="preserve">Land is </w:t>
      </w:r>
      <w:r w:rsidR="002527B9" w:rsidRPr="00E504D2">
        <w:rPr>
          <w:b/>
          <w:i/>
        </w:rPr>
        <w:t>local government land</w:t>
      </w:r>
      <w:r w:rsidR="002527B9" w:rsidRPr="00E504D2">
        <w:t xml:space="preserve"> if:</w:t>
      </w:r>
    </w:p>
    <w:p w:rsidR="002527B9" w:rsidRPr="00E504D2" w:rsidRDefault="002527B9" w:rsidP="002527B9">
      <w:pPr>
        <w:pStyle w:val="paragraph"/>
      </w:pPr>
      <w:r w:rsidRPr="00E504D2">
        <w:tab/>
        <w:t>(a)</w:t>
      </w:r>
      <w:r w:rsidRPr="00E504D2">
        <w:tab/>
        <w:t>the land is used by a local government for business or office purposes; and</w:t>
      </w:r>
    </w:p>
    <w:p w:rsidR="002527B9" w:rsidRPr="00E504D2" w:rsidRDefault="002527B9" w:rsidP="002527B9">
      <w:pPr>
        <w:pStyle w:val="paragraph"/>
      </w:pPr>
      <w:r w:rsidRPr="00E504D2">
        <w:tab/>
        <w:t>(b)</w:t>
      </w:r>
      <w:r w:rsidRPr="00E504D2">
        <w:tab/>
        <w:t>the land is not used for any other purpose mentioned in this section.</w:t>
      </w:r>
    </w:p>
    <w:p w:rsidR="002527B9" w:rsidRPr="00E504D2" w:rsidRDefault="002527B9" w:rsidP="002527B9">
      <w:pPr>
        <w:pStyle w:val="ActHead2"/>
        <w:pageBreakBefore/>
      </w:pPr>
      <w:bookmarkStart w:id="10" w:name="_Toc454972746"/>
      <w:r w:rsidRPr="00E504D2">
        <w:rPr>
          <w:rStyle w:val="CharPartNo"/>
        </w:rPr>
        <w:lastRenderedPageBreak/>
        <w:t>Part</w:t>
      </w:r>
      <w:r w:rsidR="00E504D2" w:rsidRPr="00E504D2">
        <w:rPr>
          <w:rStyle w:val="CharPartNo"/>
        </w:rPr>
        <w:t> </w:t>
      </w:r>
      <w:r w:rsidRPr="00E504D2">
        <w:rPr>
          <w:rStyle w:val="CharPartNo"/>
        </w:rPr>
        <w:t>2</w:t>
      </w:r>
      <w:r w:rsidRPr="00E504D2">
        <w:t>—</w:t>
      </w:r>
      <w:r w:rsidRPr="00E504D2">
        <w:rPr>
          <w:rStyle w:val="CharPartText"/>
        </w:rPr>
        <w:t>Fees</w:t>
      </w:r>
      <w:bookmarkEnd w:id="10"/>
    </w:p>
    <w:p w:rsidR="002527B9" w:rsidRPr="00E504D2" w:rsidRDefault="002527B9" w:rsidP="002527B9">
      <w:pPr>
        <w:pStyle w:val="Header"/>
      </w:pPr>
      <w:r w:rsidRPr="00E504D2">
        <w:rPr>
          <w:rStyle w:val="CharDivNo"/>
        </w:rPr>
        <w:t xml:space="preserve"> </w:t>
      </w:r>
      <w:r w:rsidRPr="00E504D2">
        <w:rPr>
          <w:rStyle w:val="CharDivText"/>
        </w:rPr>
        <w:t xml:space="preserve"> </w:t>
      </w:r>
    </w:p>
    <w:p w:rsidR="002527B9" w:rsidRPr="00E504D2" w:rsidRDefault="002527B9" w:rsidP="002527B9">
      <w:pPr>
        <w:pStyle w:val="ActHead5"/>
      </w:pPr>
      <w:bookmarkStart w:id="11" w:name="_Toc454972747"/>
      <w:r w:rsidRPr="00E504D2">
        <w:rPr>
          <w:rStyle w:val="CharSectno"/>
        </w:rPr>
        <w:t>6</w:t>
      </w:r>
      <w:r w:rsidRPr="00E504D2">
        <w:t xml:space="preserve">  Fees</w:t>
      </w:r>
      <w:bookmarkEnd w:id="11"/>
    </w:p>
    <w:p w:rsidR="002527B9" w:rsidRPr="00E504D2" w:rsidRDefault="002527B9" w:rsidP="002527B9">
      <w:pPr>
        <w:pStyle w:val="SubsectionHead"/>
      </w:pPr>
      <w:r w:rsidRPr="00E504D2">
        <w:t>Determination of fees that may be charged for the supply of services</w:t>
      </w:r>
    </w:p>
    <w:p w:rsidR="002527B9" w:rsidRPr="00E504D2" w:rsidRDefault="002527B9" w:rsidP="002527B9">
      <w:pPr>
        <w:pStyle w:val="subsection"/>
      </w:pPr>
      <w:r w:rsidRPr="00E504D2">
        <w:tab/>
        <w:t>(1)</w:t>
      </w:r>
      <w:r w:rsidRPr="00E504D2">
        <w:tab/>
        <w:t>This instrument determines fees that may be charged for the supply of water and sewerage services, and the supply of building application services that relate to water and sewerage services, for the financial year commencing on 1</w:t>
      </w:r>
      <w:r w:rsidR="00E504D2" w:rsidRPr="00E504D2">
        <w:t> </w:t>
      </w:r>
      <w:r w:rsidRPr="00E504D2">
        <w:t>July 2016.</w:t>
      </w:r>
    </w:p>
    <w:p w:rsidR="002527B9" w:rsidRPr="00E504D2" w:rsidRDefault="002527B9" w:rsidP="002527B9">
      <w:pPr>
        <w:pStyle w:val="subsection"/>
      </w:pPr>
      <w:r w:rsidRPr="00E504D2">
        <w:tab/>
        <w:t>(2)</w:t>
      </w:r>
      <w:r w:rsidRPr="00E504D2">
        <w:tab/>
        <w:t>The fees determined by this instrument apply from and including 1</w:t>
      </w:r>
      <w:r w:rsidR="00E504D2" w:rsidRPr="00E504D2">
        <w:t> </w:t>
      </w:r>
      <w:r w:rsidRPr="00E504D2">
        <w:t>July 2016.</w:t>
      </w:r>
    </w:p>
    <w:p w:rsidR="002527B9" w:rsidRPr="00E504D2" w:rsidRDefault="002527B9" w:rsidP="002527B9">
      <w:pPr>
        <w:pStyle w:val="subsection"/>
      </w:pPr>
      <w:r w:rsidRPr="00E504D2">
        <w:tab/>
        <w:t>(3)</w:t>
      </w:r>
      <w:r w:rsidRPr="00E504D2">
        <w:tab/>
        <w:t>The fees that may be charged are the following:</w:t>
      </w:r>
    </w:p>
    <w:p w:rsidR="002527B9" w:rsidRPr="00E504D2" w:rsidRDefault="002527B9" w:rsidP="002527B9">
      <w:pPr>
        <w:pStyle w:val="paragraph"/>
      </w:pPr>
      <w:r w:rsidRPr="00E504D2">
        <w:tab/>
        <w:t>(a)</w:t>
      </w:r>
      <w:r w:rsidRPr="00E504D2">
        <w:tab/>
        <w:t>fixed fees for the supply of water services as set out in Schedule</w:t>
      </w:r>
      <w:r w:rsidR="00E504D2" w:rsidRPr="00E504D2">
        <w:t> </w:t>
      </w:r>
      <w:r w:rsidRPr="00E504D2">
        <w:t>1;</w:t>
      </w:r>
    </w:p>
    <w:p w:rsidR="002527B9" w:rsidRPr="00E504D2" w:rsidRDefault="002527B9" w:rsidP="002527B9">
      <w:pPr>
        <w:pStyle w:val="paragraph"/>
      </w:pPr>
      <w:r w:rsidRPr="00E504D2">
        <w:tab/>
        <w:t>(b)</w:t>
      </w:r>
      <w:r w:rsidRPr="00E504D2">
        <w:tab/>
        <w:t>fixed fees for the supply of sewerage services as set out in Schedule</w:t>
      </w:r>
      <w:r w:rsidR="00E504D2" w:rsidRPr="00E504D2">
        <w:t> </w:t>
      </w:r>
      <w:r w:rsidRPr="00E504D2">
        <w:t>2;</w:t>
      </w:r>
    </w:p>
    <w:p w:rsidR="002527B9" w:rsidRPr="00E504D2" w:rsidRDefault="002527B9" w:rsidP="002527B9">
      <w:pPr>
        <w:pStyle w:val="paragraph"/>
      </w:pPr>
      <w:r w:rsidRPr="00E504D2">
        <w:tab/>
        <w:t>(c)</w:t>
      </w:r>
      <w:r w:rsidRPr="00E504D2">
        <w:tab/>
        <w:t>quantity fees for the supply of water and sewerage services as set out in Schedule</w:t>
      </w:r>
      <w:r w:rsidR="00E504D2" w:rsidRPr="00E504D2">
        <w:t> </w:t>
      </w:r>
      <w:r w:rsidRPr="00E504D2">
        <w:t>3;</w:t>
      </w:r>
    </w:p>
    <w:p w:rsidR="002527B9" w:rsidRPr="00E504D2" w:rsidRDefault="002527B9" w:rsidP="002527B9">
      <w:pPr>
        <w:pStyle w:val="paragraph"/>
      </w:pPr>
      <w:r w:rsidRPr="00E504D2">
        <w:tab/>
        <w:t>(d)</w:t>
      </w:r>
      <w:r w:rsidRPr="00E504D2">
        <w:tab/>
        <w:t>fees for the supply of other water and sewerage services as set out in Schedule</w:t>
      </w:r>
      <w:r w:rsidR="00E504D2" w:rsidRPr="00E504D2">
        <w:t> </w:t>
      </w:r>
      <w:r w:rsidRPr="00E504D2">
        <w:t>4;</w:t>
      </w:r>
    </w:p>
    <w:p w:rsidR="002527B9" w:rsidRPr="00E504D2" w:rsidRDefault="002527B9" w:rsidP="002527B9">
      <w:pPr>
        <w:pStyle w:val="paragraph"/>
      </w:pPr>
      <w:r w:rsidRPr="00E504D2">
        <w:tab/>
        <w:t>(e)</w:t>
      </w:r>
      <w:r w:rsidRPr="00E504D2">
        <w:tab/>
        <w:t>fees for the supply of building application services that relate to water and sewerage services as set out in Schedule</w:t>
      </w:r>
      <w:r w:rsidR="00E504D2" w:rsidRPr="00E504D2">
        <w:t> </w:t>
      </w:r>
      <w:r w:rsidRPr="00E504D2">
        <w:t>5.</w:t>
      </w:r>
    </w:p>
    <w:p w:rsidR="002527B9" w:rsidRPr="00E504D2" w:rsidRDefault="002527B9" w:rsidP="002527B9">
      <w:pPr>
        <w:pStyle w:val="subsection"/>
      </w:pPr>
      <w:r w:rsidRPr="00E504D2">
        <w:tab/>
        <w:t>(4)</w:t>
      </w:r>
      <w:r w:rsidRPr="00E504D2">
        <w:tab/>
        <w:t xml:space="preserve">Despite </w:t>
      </w:r>
      <w:r w:rsidR="00E504D2" w:rsidRPr="00E504D2">
        <w:t>paragraph (</w:t>
      </w:r>
      <w:r w:rsidRPr="00E504D2">
        <w:t>3)(c), if, in relation to particular land, the Administrator agrees, in writing, with the owner or occupier of the land on an amount of quantity fees that is lower than the amount of quantity fees for the land as set out in Schedule</w:t>
      </w:r>
      <w:r w:rsidR="00E504D2" w:rsidRPr="00E504D2">
        <w:t> </w:t>
      </w:r>
      <w:r w:rsidRPr="00E504D2">
        <w:t>3, the amount of quantity fees for the land is determined to be the amount agreed.</w:t>
      </w:r>
    </w:p>
    <w:p w:rsidR="002527B9" w:rsidRPr="00E504D2" w:rsidRDefault="002527B9" w:rsidP="002527B9">
      <w:pPr>
        <w:pStyle w:val="SubsectionHead"/>
      </w:pPr>
      <w:r w:rsidRPr="00E504D2">
        <w:t>Method of charging fees—notice to owner or occupier of land</w:t>
      </w:r>
    </w:p>
    <w:p w:rsidR="002527B9" w:rsidRPr="00E504D2" w:rsidRDefault="002527B9" w:rsidP="002527B9">
      <w:pPr>
        <w:pStyle w:val="subsection"/>
      </w:pPr>
      <w:r w:rsidRPr="00E504D2">
        <w:tab/>
        <w:t>(5)</w:t>
      </w:r>
      <w:r w:rsidRPr="00E504D2">
        <w:tab/>
        <w:t>If the Administrator charges a fee for the supply of a service mentioned in this instrument, the Administrator must do so by sending a notice to the owner or occupier of the land:</w:t>
      </w:r>
    </w:p>
    <w:p w:rsidR="002527B9" w:rsidRPr="00E504D2" w:rsidRDefault="002527B9" w:rsidP="002527B9">
      <w:pPr>
        <w:pStyle w:val="paragraph"/>
      </w:pPr>
      <w:r w:rsidRPr="00E504D2">
        <w:tab/>
        <w:t>(a)</w:t>
      </w:r>
      <w:r w:rsidRPr="00E504D2">
        <w:tab/>
        <w:t>to which the service is supplied (for a service mentioned in any of Schedules</w:t>
      </w:r>
      <w:r w:rsidR="00E504D2" w:rsidRPr="00E504D2">
        <w:t> </w:t>
      </w:r>
      <w:r w:rsidRPr="00E504D2">
        <w:t>1 to 4</w:t>
      </w:r>
      <w:r w:rsidR="004D7DDB" w:rsidRPr="00E504D2">
        <w:t>)</w:t>
      </w:r>
      <w:r w:rsidRPr="00E504D2">
        <w:t>; or</w:t>
      </w:r>
    </w:p>
    <w:p w:rsidR="002527B9" w:rsidRPr="00E504D2" w:rsidRDefault="002527B9" w:rsidP="002527B9">
      <w:pPr>
        <w:pStyle w:val="paragraph"/>
      </w:pPr>
      <w:r w:rsidRPr="00E504D2">
        <w:tab/>
        <w:t>(b)</w:t>
      </w:r>
      <w:r w:rsidRPr="00E504D2">
        <w:tab/>
        <w:t>to which the service relates (for a service mentioned in Schedule</w:t>
      </w:r>
      <w:r w:rsidR="00E504D2" w:rsidRPr="00E504D2">
        <w:t> </w:t>
      </w:r>
      <w:r w:rsidRPr="00E504D2">
        <w:t>5).</w:t>
      </w:r>
    </w:p>
    <w:p w:rsidR="002527B9" w:rsidRPr="00E504D2" w:rsidRDefault="002527B9" w:rsidP="002527B9">
      <w:pPr>
        <w:pStyle w:val="notetext"/>
      </w:pPr>
      <w:r w:rsidRPr="00E504D2">
        <w:t>Note:</w:t>
      </w:r>
      <w:r w:rsidRPr="00E504D2">
        <w:tab/>
        <w:t>The fee must also be notified in the Gazette—see section</w:t>
      </w:r>
      <w:r w:rsidR="00E504D2" w:rsidRPr="00E504D2">
        <w:t> </w:t>
      </w:r>
      <w:r w:rsidRPr="00E504D2">
        <w:t xml:space="preserve">8 of the </w:t>
      </w:r>
      <w:r w:rsidR="00FD27C0" w:rsidRPr="00E504D2">
        <w:rPr>
          <w:i/>
        </w:rPr>
        <w:t>Christmas Island Utilities and Services Ordinance 2016</w:t>
      </w:r>
      <w:r w:rsidRPr="00E504D2">
        <w:t>.</w:t>
      </w:r>
    </w:p>
    <w:p w:rsidR="002527B9" w:rsidRPr="00E504D2" w:rsidRDefault="002527B9" w:rsidP="002527B9">
      <w:pPr>
        <w:pStyle w:val="subsection"/>
      </w:pPr>
      <w:r w:rsidRPr="00E504D2">
        <w:tab/>
        <w:t>(6)</w:t>
      </w:r>
      <w:r w:rsidRPr="00E504D2">
        <w:tab/>
        <w:t>The notice must specify:</w:t>
      </w:r>
    </w:p>
    <w:p w:rsidR="002527B9" w:rsidRPr="00E504D2" w:rsidRDefault="002527B9" w:rsidP="002527B9">
      <w:pPr>
        <w:pStyle w:val="paragraph"/>
      </w:pPr>
      <w:r w:rsidRPr="00E504D2">
        <w:tab/>
        <w:t>(a)</w:t>
      </w:r>
      <w:r w:rsidRPr="00E504D2">
        <w:tab/>
        <w:t>the amount of the fee payable; and</w:t>
      </w:r>
    </w:p>
    <w:p w:rsidR="002527B9" w:rsidRPr="00E504D2" w:rsidRDefault="002527B9" w:rsidP="002527B9">
      <w:pPr>
        <w:pStyle w:val="paragraph"/>
      </w:pPr>
      <w:r w:rsidRPr="00E504D2">
        <w:tab/>
        <w:t>(b)</w:t>
      </w:r>
      <w:r w:rsidRPr="00E504D2">
        <w:tab/>
        <w:t>the day by which the fee must be paid.</w:t>
      </w:r>
    </w:p>
    <w:p w:rsidR="002527B9" w:rsidRPr="00E504D2" w:rsidRDefault="002527B9" w:rsidP="002527B9">
      <w:pPr>
        <w:pStyle w:val="subsection"/>
      </w:pPr>
      <w:r w:rsidRPr="00E504D2">
        <w:tab/>
        <w:t>(7)</w:t>
      </w:r>
      <w:r w:rsidRPr="00E504D2">
        <w:tab/>
        <w:t>The day specified in the notice must be at least 16 days after the day the notice is sent to the owner or occupier.</w:t>
      </w:r>
    </w:p>
    <w:p w:rsidR="002527B9" w:rsidRPr="00E504D2" w:rsidRDefault="002527B9" w:rsidP="002527B9">
      <w:pPr>
        <w:pStyle w:val="SubsectionHead"/>
      </w:pPr>
      <w:r w:rsidRPr="00E504D2">
        <w:lastRenderedPageBreak/>
        <w:t>Liability to pay fee and payment of fee</w:t>
      </w:r>
    </w:p>
    <w:p w:rsidR="002527B9" w:rsidRPr="00E504D2" w:rsidRDefault="002527B9" w:rsidP="002527B9">
      <w:pPr>
        <w:pStyle w:val="subsection"/>
      </w:pPr>
      <w:r w:rsidRPr="00E504D2">
        <w:tab/>
        <w:t>(8)</w:t>
      </w:r>
      <w:r w:rsidRPr="00E504D2">
        <w:tab/>
        <w:t xml:space="preserve">If the Administrator sends the notice under </w:t>
      </w:r>
      <w:r w:rsidR="00E504D2" w:rsidRPr="00E504D2">
        <w:t>subsection (</w:t>
      </w:r>
      <w:r w:rsidRPr="00E504D2">
        <w:t>5) to the owner or occupier:</w:t>
      </w:r>
    </w:p>
    <w:p w:rsidR="002527B9" w:rsidRPr="00E504D2" w:rsidRDefault="002527B9" w:rsidP="002527B9">
      <w:pPr>
        <w:pStyle w:val="paragraph"/>
      </w:pPr>
      <w:r w:rsidRPr="00E504D2">
        <w:tab/>
        <w:t>(a)</w:t>
      </w:r>
      <w:r w:rsidRPr="00E504D2">
        <w:tab/>
        <w:t>the owner or occupier is liable to pay the fee specified in the notice; and</w:t>
      </w:r>
    </w:p>
    <w:p w:rsidR="002527B9" w:rsidRPr="00E504D2" w:rsidRDefault="002527B9" w:rsidP="002527B9">
      <w:pPr>
        <w:pStyle w:val="paragraph"/>
      </w:pPr>
      <w:r w:rsidRPr="00E504D2">
        <w:tab/>
        <w:t>(b)</w:t>
      </w:r>
      <w:r w:rsidRPr="00E504D2">
        <w:tab/>
        <w:t>the fee is payable to the Administrator on behalf of the Commonwealth.</w:t>
      </w:r>
    </w:p>
    <w:p w:rsidR="002527B9" w:rsidRPr="00E504D2" w:rsidRDefault="002527B9" w:rsidP="002527B9">
      <w:pPr>
        <w:pStyle w:val="ActHead5"/>
      </w:pPr>
      <w:bookmarkStart w:id="12" w:name="_Toc454972748"/>
      <w:r w:rsidRPr="00E504D2">
        <w:rPr>
          <w:rStyle w:val="CharSectno"/>
        </w:rPr>
        <w:t>7</w:t>
      </w:r>
      <w:r w:rsidRPr="00E504D2">
        <w:t xml:space="preserve">  Concessions for eligible pensioners and eligible seniors</w:t>
      </w:r>
      <w:bookmarkEnd w:id="12"/>
    </w:p>
    <w:p w:rsidR="002527B9" w:rsidRPr="00E504D2" w:rsidRDefault="002527B9" w:rsidP="002527B9">
      <w:pPr>
        <w:pStyle w:val="SubsectionHead"/>
      </w:pPr>
      <w:r w:rsidRPr="00E504D2">
        <w:t>Fixed fees for water or sewerage services—eligible pensioners</w:t>
      </w:r>
    </w:p>
    <w:p w:rsidR="002527B9" w:rsidRPr="00E504D2" w:rsidRDefault="002527B9" w:rsidP="002527B9">
      <w:pPr>
        <w:pStyle w:val="subsection"/>
      </w:pPr>
      <w:r w:rsidRPr="00E504D2">
        <w:tab/>
        <w:t>(1)</w:t>
      </w:r>
      <w:r w:rsidRPr="00E504D2">
        <w:tab/>
        <w:t>Despite paragraphs 6(3)(a) and (b), an eligible pensioner may pay a fee mentioned in Schedule</w:t>
      </w:r>
      <w:r w:rsidR="00E504D2" w:rsidRPr="00E504D2">
        <w:t> </w:t>
      </w:r>
      <w:r w:rsidRPr="00E504D2">
        <w:t>1 or 2 at the pensioner rate if:</w:t>
      </w:r>
    </w:p>
    <w:p w:rsidR="002527B9" w:rsidRPr="00E504D2" w:rsidRDefault="002527B9" w:rsidP="002527B9">
      <w:pPr>
        <w:pStyle w:val="paragraph"/>
      </w:pPr>
      <w:r w:rsidRPr="00E504D2">
        <w:tab/>
        <w:t>(a)</w:t>
      </w:r>
      <w:r w:rsidRPr="00E504D2">
        <w:tab/>
        <w:t>the pensioner is the owner and occupier of residential land; and</w:t>
      </w:r>
    </w:p>
    <w:p w:rsidR="00466200" w:rsidRPr="00E504D2" w:rsidRDefault="00466200" w:rsidP="00466200">
      <w:pPr>
        <w:pStyle w:val="paragraph"/>
      </w:pPr>
      <w:r w:rsidRPr="00E504D2">
        <w:tab/>
        <w:t>(b)</w:t>
      </w:r>
      <w:r w:rsidRPr="00E504D2">
        <w:tab/>
        <w:t>the fee applies in relation to the land.</w:t>
      </w:r>
    </w:p>
    <w:p w:rsidR="002527B9" w:rsidRPr="00E504D2" w:rsidRDefault="002527B9" w:rsidP="002527B9">
      <w:pPr>
        <w:pStyle w:val="SubsectionHead"/>
      </w:pPr>
      <w:r w:rsidRPr="00E504D2">
        <w:t>Quantity fees for water and sewerage services—eligible pensioners</w:t>
      </w:r>
    </w:p>
    <w:p w:rsidR="002527B9" w:rsidRPr="00E504D2" w:rsidRDefault="002527B9" w:rsidP="002527B9">
      <w:pPr>
        <w:pStyle w:val="subsection"/>
      </w:pPr>
      <w:r w:rsidRPr="00E504D2">
        <w:tab/>
        <w:t>(2)</w:t>
      </w:r>
      <w:r w:rsidRPr="00E504D2">
        <w:tab/>
        <w:t>Despite paragraph</w:t>
      </w:r>
      <w:r w:rsidR="00E504D2" w:rsidRPr="00E504D2">
        <w:t> </w:t>
      </w:r>
      <w:r w:rsidRPr="00E504D2">
        <w:t>6(3)(c), an eligible pensioner may pay a fee mentioned in Schedule</w:t>
      </w:r>
      <w:r w:rsidR="00E504D2" w:rsidRPr="00E504D2">
        <w:t> </w:t>
      </w:r>
      <w:r w:rsidRPr="00E504D2">
        <w:t>3 at the pensioner rate, for up to 600 kilolitres of water used, if:</w:t>
      </w:r>
    </w:p>
    <w:p w:rsidR="002527B9" w:rsidRPr="00E504D2" w:rsidRDefault="002527B9" w:rsidP="002527B9">
      <w:pPr>
        <w:pStyle w:val="paragraph"/>
      </w:pPr>
      <w:r w:rsidRPr="00E504D2">
        <w:tab/>
        <w:t>(a)</w:t>
      </w:r>
      <w:r w:rsidRPr="00E504D2">
        <w:tab/>
        <w:t>the pensioner is the occupier of residential land; and</w:t>
      </w:r>
    </w:p>
    <w:p w:rsidR="002527B9" w:rsidRPr="00E504D2" w:rsidRDefault="002527B9" w:rsidP="002527B9">
      <w:pPr>
        <w:pStyle w:val="paragraph"/>
      </w:pPr>
      <w:r w:rsidRPr="00E504D2">
        <w:tab/>
        <w:t>(b)</w:t>
      </w:r>
      <w:r w:rsidRPr="00E504D2">
        <w:tab/>
        <w:t>the fee applies in relation to the land.</w:t>
      </w:r>
    </w:p>
    <w:p w:rsidR="002527B9" w:rsidRPr="00E504D2" w:rsidRDefault="002527B9" w:rsidP="002527B9">
      <w:pPr>
        <w:pStyle w:val="SubsectionHead"/>
      </w:pPr>
      <w:r w:rsidRPr="00E504D2">
        <w:t>Fixed fees for water or sewerage services—eligible seniors</w:t>
      </w:r>
    </w:p>
    <w:p w:rsidR="002527B9" w:rsidRPr="00E504D2" w:rsidRDefault="002527B9" w:rsidP="002527B9">
      <w:pPr>
        <w:pStyle w:val="subsection"/>
      </w:pPr>
      <w:r w:rsidRPr="00E504D2">
        <w:tab/>
        <w:t>(3)</w:t>
      </w:r>
      <w:r w:rsidRPr="00E504D2">
        <w:tab/>
        <w:t>Despite paragraphs 6(3)(a) and (b), an eligible senior may pay a fee mentioned in Schedule</w:t>
      </w:r>
      <w:r w:rsidR="00E504D2" w:rsidRPr="00E504D2">
        <w:t> </w:t>
      </w:r>
      <w:r w:rsidRPr="00E504D2">
        <w:t>1 or 2 at the senior rate if:</w:t>
      </w:r>
    </w:p>
    <w:p w:rsidR="002527B9" w:rsidRPr="00E504D2" w:rsidRDefault="002527B9" w:rsidP="002527B9">
      <w:pPr>
        <w:pStyle w:val="paragraph"/>
      </w:pPr>
      <w:r w:rsidRPr="00E504D2">
        <w:tab/>
        <w:t>(a)</w:t>
      </w:r>
      <w:r w:rsidRPr="00E504D2">
        <w:tab/>
        <w:t>the senior is the owner and occupier of residential land; and</w:t>
      </w:r>
    </w:p>
    <w:p w:rsidR="002527B9" w:rsidRPr="00E504D2" w:rsidRDefault="002527B9" w:rsidP="002527B9">
      <w:pPr>
        <w:pStyle w:val="paragraph"/>
      </w:pPr>
      <w:r w:rsidRPr="00E504D2">
        <w:tab/>
        <w:t>(b)</w:t>
      </w:r>
      <w:r w:rsidRPr="00E504D2">
        <w:tab/>
        <w:t>the fee applies in relation to the land.</w:t>
      </w:r>
    </w:p>
    <w:p w:rsidR="002527B9" w:rsidRPr="00E504D2" w:rsidRDefault="002527B9" w:rsidP="002527B9">
      <w:pPr>
        <w:pStyle w:val="SubsectionHead"/>
      </w:pPr>
      <w:r w:rsidRPr="00E504D2">
        <w:t>Definitions</w:t>
      </w:r>
    </w:p>
    <w:p w:rsidR="002527B9" w:rsidRPr="00E504D2" w:rsidRDefault="002527B9" w:rsidP="002527B9">
      <w:pPr>
        <w:pStyle w:val="subsection"/>
      </w:pPr>
      <w:r w:rsidRPr="00E504D2">
        <w:tab/>
        <w:t>(4)</w:t>
      </w:r>
      <w:r w:rsidRPr="00E504D2">
        <w:tab/>
        <w:t>In this section:</w:t>
      </w:r>
    </w:p>
    <w:p w:rsidR="002527B9" w:rsidRPr="00E504D2" w:rsidRDefault="002527B9" w:rsidP="002527B9">
      <w:pPr>
        <w:pStyle w:val="Definition"/>
      </w:pPr>
      <w:r w:rsidRPr="00E504D2">
        <w:rPr>
          <w:b/>
          <w:i/>
        </w:rPr>
        <w:t>pensioner rate</w:t>
      </w:r>
      <w:r w:rsidRPr="00E504D2">
        <w:t xml:space="preserve"> means a fee mentioned in Schedule</w:t>
      </w:r>
      <w:r w:rsidR="00E504D2" w:rsidRPr="00E504D2">
        <w:t> </w:t>
      </w:r>
      <w:r w:rsidRPr="00E504D2">
        <w:t>1, 2 or 3, reduced by 50%.</w:t>
      </w:r>
    </w:p>
    <w:p w:rsidR="002527B9" w:rsidRPr="00E504D2" w:rsidRDefault="002527B9" w:rsidP="002527B9">
      <w:pPr>
        <w:pStyle w:val="Definition"/>
      </w:pPr>
      <w:r w:rsidRPr="00E504D2">
        <w:rPr>
          <w:b/>
          <w:i/>
        </w:rPr>
        <w:t>senior rate</w:t>
      </w:r>
      <w:r w:rsidRPr="00E504D2">
        <w:t xml:space="preserve"> means a fee mentioned in Schedule</w:t>
      </w:r>
      <w:r w:rsidR="00E504D2" w:rsidRPr="00E504D2">
        <w:t> </w:t>
      </w:r>
      <w:r w:rsidRPr="00E504D2">
        <w:t>1 or 2, reduced by 25%.</w:t>
      </w:r>
    </w:p>
    <w:p w:rsidR="002527B9" w:rsidRPr="00E504D2" w:rsidRDefault="002527B9" w:rsidP="002527B9">
      <w:pPr>
        <w:pStyle w:val="ActHead5"/>
      </w:pPr>
      <w:bookmarkStart w:id="13" w:name="_Toc454972749"/>
      <w:r w:rsidRPr="00E504D2">
        <w:rPr>
          <w:rStyle w:val="CharSectno"/>
        </w:rPr>
        <w:t>8</w:t>
      </w:r>
      <w:r w:rsidRPr="00E504D2">
        <w:t xml:space="preserve">  Payment of fees</w:t>
      </w:r>
      <w:bookmarkEnd w:id="13"/>
    </w:p>
    <w:p w:rsidR="002527B9" w:rsidRPr="00E504D2" w:rsidRDefault="002527B9" w:rsidP="002527B9">
      <w:pPr>
        <w:pStyle w:val="subsection"/>
      </w:pPr>
      <w:r w:rsidRPr="00E504D2">
        <w:tab/>
      </w:r>
      <w:r w:rsidRPr="00E504D2">
        <w:tab/>
        <w:t>Subject to section</w:t>
      </w:r>
      <w:r w:rsidR="00E504D2" w:rsidRPr="00E504D2">
        <w:t> </w:t>
      </w:r>
      <w:r w:rsidRPr="00E504D2">
        <w:t>10, a fee that applies to an owner or occupier of land in accordance with this instrument is due for payment on or before the day specified in a notice under subsection</w:t>
      </w:r>
      <w:r w:rsidR="00E504D2" w:rsidRPr="00E504D2">
        <w:t> </w:t>
      </w:r>
      <w:r w:rsidRPr="00E504D2">
        <w:t>6(5).</w:t>
      </w:r>
    </w:p>
    <w:p w:rsidR="002527B9" w:rsidRPr="00E504D2" w:rsidRDefault="002527B9" w:rsidP="002527B9">
      <w:pPr>
        <w:pStyle w:val="ActHead5"/>
      </w:pPr>
      <w:bookmarkStart w:id="14" w:name="_Toc454972750"/>
      <w:r w:rsidRPr="00E504D2">
        <w:rPr>
          <w:rStyle w:val="CharSectno"/>
        </w:rPr>
        <w:t>9</w:t>
      </w:r>
      <w:r w:rsidRPr="00E504D2">
        <w:t xml:space="preserve">  When a fee is not paid</w:t>
      </w:r>
      <w:bookmarkEnd w:id="14"/>
    </w:p>
    <w:p w:rsidR="002527B9" w:rsidRPr="00E504D2" w:rsidRDefault="002527B9" w:rsidP="002527B9">
      <w:pPr>
        <w:pStyle w:val="subsection"/>
      </w:pPr>
      <w:r w:rsidRPr="00E504D2">
        <w:tab/>
        <w:t>(1)</w:t>
      </w:r>
      <w:r w:rsidRPr="00E504D2">
        <w:tab/>
        <w:t>This section applies if:</w:t>
      </w:r>
    </w:p>
    <w:p w:rsidR="002527B9" w:rsidRPr="00E504D2" w:rsidRDefault="002527B9" w:rsidP="002527B9">
      <w:pPr>
        <w:pStyle w:val="paragraph"/>
      </w:pPr>
      <w:r w:rsidRPr="00E504D2">
        <w:tab/>
        <w:t>(a)</w:t>
      </w:r>
      <w:r w:rsidRPr="00E504D2">
        <w:tab/>
        <w:t>an owner or occupier of land has not paid a fee for the supply of a service to, or in relation to, the land, in accordance with a notice under subsection</w:t>
      </w:r>
      <w:r w:rsidR="00E504D2" w:rsidRPr="00E504D2">
        <w:t> </w:t>
      </w:r>
      <w:r w:rsidRPr="00E504D2">
        <w:t>6(5); and</w:t>
      </w:r>
    </w:p>
    <w:p w:rsidR="002527B9" w:rsidRPr="00E504D2" w:rsidRDefault="002527B9" w:rsidP="002527B9">
      <w:pPr>
        <w:pStyle w:val="paragraph"/>
      </w:pPr>
      <w:r w:rsidRPr="00E504D2">
        <w:lastRenderedPageBreak/>
        <w:tab/>
        <w:t>(b)</w:t>
      </w:r>
      <w:r w:rsidRPr="00E504D2">
        <w:tab/>
        <w:t>at least 14 days have elapsed after the day specified in the notice as the day by which the fee must be paid; and</w:t>
      </w:r>
    </w:p>
    <w:p w:rsidR="002527B9" w:rsidRPr="00E504D2" w:rsidRDefault="002527B9" w:rsidP="002527B9">
      <w:pPr>
        <w:pStyle w:val="paragraph"/>
      </w:pPr>
      <w:r w:rsidRPr="00E504D2">
        <w:tab/>
        <w:t>(c)</w:t>
      </w:r>
      <w:r w:rsidRPr="00E504D2">
        <w:tab/>
        <w:t>a special payment arrangement under section</w:t>
      </w:r>
      <w:r w:rsidR="00E504D2" w:rsidRPr="00E504D2">
        <w:t> </w:t>
      </w:r>
      <w:r w:rsidRPr="00E504D2">
        <w:t>10 is not in force between the Administrator and the owner or occupier in relation to the fee.</w:t>
      </w:r>
    </w:p>
    <w:p w:rsidR="002527B9" w:rsidRPr="00E504D2" w:rsidRDefault="002527B9" w:rsidP="002527B9">
      <w:pPr>
        <w:pStyle w:val="subsection"/>
      </w:pPr>
      <w:r w:rsidRPr="00E504D2">
        <w:tab/>
        <w:t>(2)</w:t>
      </w:r>
      <w:r w:rsidRPr="00E504D2">
        <w:tab/>
        <w:t>The Administrator must send a reminder notice to the owner or occupier advising the owner or occupier that the Administrator may restrict access to the service if the fee is not paid within 10 days of the date of the reminder notice.</w:t>
      </w:r>
    </w:p>
    <w:p w:rsidR="002527B9" w:rsidRPr="00E504D2" w:rsidRDefault="002527B9" w:rsidP="002527B9">
      <w:pPr>
        <w:pStyle w:val="subsection"/>
      </w:pPr>
      <w:r w:rsidRPr="00E504D2">
        <w:tab/>
        <w:t>(3)</w:t>
      </w:r>
      <w:r w:rsidRPr="00E504D2">
        <w:tab/>
        <w:t>If the fee is not paid within 10 days of the date of the reminder notice, the Administrator may send the owner or occupier a notice to restrict.</w:t>
      </w:r>
    </w:p>
    <w:p w:rsidR="002527B9" w:rsidRPr="00E504D2" w:rsidRDefault="002527B9" w:rsidP="002527B9">
      <w:pPr>
        <w:pStyle w:val="subsection"/>
      </w:pPr>
      <w:r w:rsidRPr="00E504D2">
        <w:tab/>
        <w:t>(4)</w:t>
      </w:r>
      <w:r w:rsidRPr="00E504D2">
        <w:tab/>
        <w:t>The notice to restrict must tell the owner or occupier that, unless the fee is paid within the period stated in the notice to restrict, action may be taken to restrict access to the service.</w:t>
      </w:r>
    </w:p>
    <w:p w:rsidR="002527B9" w:rsidRPr="00E504D2" w:rsidRDefault="002527B9" w:rsidP="002527B9">
      <w:pPr>
        <w:pStyle w:val="subsection"/>
      </w:pPr>
      <w:r w:rsidRPr="00E504D2">
        <w:tab/>
        <w:t>(5)</w:t>
      </w:r>
      <w:r w:rsidRPr="00E504D2">
        <w:tab/>
        <w:t xml:space="preserve">The period mentioned in </w:t>
      </w:r>
      <w:r w:rsidR="00E504D2" w:rsidRPr="00E504D2">
        <w:t>subsection (</w:t>
      </w:r>
      <w:r w:rsidRPr="00E504D2">
        <w:t>4) must not be less than 7 days.</w:t>
      </w:r>
    </w:p>
    <w:p w:rsidR="002527B9" w:rsidRPr="00E504D2" w:rsidRDefault="002527B9" w:rsidP="002527B9">
      <w:pPr>
        <w:pStyle w:val="subsection"/>
      </w:pPr>
      <w:r w:rsidRPr="00E504D2">
        <w:tab/>
        <w:t>(6)</w:t>
      </w:r>
      <w:r w:rsidRPr="00E504D2">
        <w:tab/>
        <w:t>If the owner or occupier does not pay the fee within the period stated in the notice to restrict, the Administrator may restrict the supply of the service to the land until:</w:t>
      </w:r>
    </w:p>
    <w:p w:rsidR="002527B9" w:rsidRPr="00E504D2" w:rsidRDefault="002527B9" w:rsidP="002527B9">
      <w:pPr>
        <w:pStyle w:val="paragraph"/>
      </w:pPr>
      <w:r w:rsidRPr="00E504D2">
        <w:tab/>
        <w:t>(a)</w:t>
      </w:r>
      <w:r w:rsidRPr="00E504D2">
        <w:tab/>
        <w:t>the owner or occupier has paid:</w:t>
      </w:r>
    </w:p>
    <w:p w:rsidR="002527B9" w:rsidRPr="00E504D2" w:rsidRDefault="002527B9" w:rsidP="002527B9">
      <w:pPr>
        <w:pStyle w:val="paragraphsub"/>
      </w:pPr>
      <w:r w:rsidRPr="00E504D2">
        <w:tab/>
        <w:t>(</w:t>
      </w:r>
      <w:proofErr w:type="spellStart"/>
      <w:r w:rsidRPr="00E504D2">
        <w:t>i</w:t>
      </w:r>
      <w:proofErr w:type="spellEnd"/>
      <w:r w:rsidRPr="00E504D2">
        <w:t>)</w:t>
      </w:r>
      <w:r w:rsidRPr="00E504D2">
        <w:tab/>
        <w:t>the fee; and</w:t>
      </w:r>
    </w:p>
    <w:p w:rsidR="002527B9" w:rsidRPr="00E504D2" w:rsidRDefault="002527B9" w:rsidP="002527B9">
      <w:pPr>
        <w:pStyle w:val="paragraphsub"/>
      </w:pPr>
      <w:r w:rsidRPr="00E504D2">
        <w:tab/>
        <w:t>(ii)</w:t>
      </w:r>
      <w:r w:rsidRPr="00E504D2">
        <w:tab/>
        <w:t xml:space="preserve">if the Administrator charges a fee for restoring the service after </w:t>
      </w:r>
      <w:r w:rsidR="00FD27C0" w:rsidRPr="00E504D2">
        <w:t>the</w:t>
      </w:r>
      <w:r w:rsidRPr="00E504D2">
        <w:t xml:space="preserve"> restriction—that fee; or</w:t>
      </w:r>
    </w:p>
    <w:p w:rsidR="002527B9" w:rsidRPr="00E504D2" w:rsidRDefault="002527B9" w:rsidP="002527B9">
      <w:pPr>
        <w:pStyle w:val="paragraph"/>
      </w:pPr>
      <w:r w:rsidRPr="00E504D2">
        <w:tab/>
        <w:t>(b)</w:t>
      </w:r>
      <w:r w:rsidRPr="00E504D2">
        <w:tab/>
        <w:t>a special payment arrangement under section</w:t>
      </w:r>
      <w:r w:rsidR="00E504D2" w:rsidRPr="00E504D2">
        <w:t> </w:t>
      </w:r>
      <w:r w:rsidRPr="00E504D2">
        <w:t>10 is in force between the Administrator and the owner or occupier in relation to the fee.</w:t>
      </w:r>
    </w:p>
    <w:p w:rsidR="002527B9" w:rsidRPr="00E504D2" w:rsidRDefault="002527B9" w:rsidP="002527B9">
      <w:pPr>
        <w:pStyle w:val="ActHead5"/>
      </w:pPr>
      <w:bookmarkStart w:id="15" w:name="_Toc454972751"/>
      <w:r w:rsidRPr="00E504D2">
        <w:rPr>
          <w:rStyle w:val="CharSectno"/>
        </w:rPr>
        <w:t>10</w:t>
      </w:r>
      <w:r w:rsidRPr="00E504D2">
        <w:t xml:space="preserve">  Special payment arrangements</w:t>
      </w:r>
      <w:bookmarkEnd w:id="15"/>
    </w:p>
    <w:p w:rsidR="002527B9" w:rsidRPr="00E504D2" w:rsidRDefault="002527B9" w:rsidP="002527B9">
      <w:pPr>
        <w:pStyle w:val="subsection"/>
      </w:pPr>
      <w:r w:rsidRPr="00E504D2">
        <w:tab/>
        <w:t>(1)</w:t>
      </w:r>
      <w:r w:rsidRPr="00E504D2">
        <w:tab/>
        <w:t>The Administrator may agree, in writing, to a special payment arrangement with an owner or occupier of land if:</w:t>
      </w:r>
    </w:p>
    <w:p w:rsidR="002527B9" w:rsidRPr="00E504D2" w:rsidRDefault="002527B9" w:rsidP="002527B9">
      <w:pPr>
        <w:pStyle w:val="paragraph"/>
      </w:pPr>
      <w:r w:rsidRPr="00E504D2">
        <w:tab/>
        <w:t>(a)</w:t>
      </w:r>
      <w:r w:rsidRPr="00E504D2">
        <w:tab/>
        <w:t>the owner or occupier is experiencing difficulties in paying a fee mentioned in this instrument for the supply of a service to, or in relation to, the land; and</w:t>
      </w:r>
    </w:p>
    <w:p w:rsidR="002527B9" w:rsidRPr="00E504D2" w:rsidRDefault="002527B9" w:rsidP="002527B9">
      <w:pPr>
        <w:pStyle w:val="paragraph"/>
      </w:pPr>
      <w:r w:rsidRPr="00E504D2">
        <w:tab/>
        <w:t>(b)</w:t>
      </w:r>
      <w:r w:rsidRPr="00E504D2">
        <w:tab/>
        <w:t>the owner or occupier notifies the Administrator of the difficulties.</w:t>
      </w:r>
    </w:p>
    <w:p w:rsidR="002527B9" w:rsidRPr="00E504D2" w:rsidRDefault="002527B9" w:rsidP="002527B9">
      <w:pPr>
        <w:pStyle w:val="subsection"/>
      </w:pPr>
      <w:r w:rsidRPr="00E504D2">
        <w:tab/>
        <w:t>(2)</w:t>
      </w:r>
      <w:r w:rsidRPr="00E504D2">
        <w:tab/>
        <w:t>If a special payment arrangement under this section is in force between the Administrator and the owner or occupier in relation to a fee, the fee is due for payment in accordance with the arrangement.</w:t>
      </w:r>
    </w:p>
    <w:p w:rsidR="002527B9" w:rsidRPr="00E504D2" w:rsidRDefault="002527B9" w:rsidP="002527B9">
      <w:pPr>
        <w:sectPr w:rsidR="002527B9" w:rsidRPr="00E504D2" w:rsidSect="00E47B35">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2527B9" w:rsidRPr="00E504D2" w:rsidRDefault="002527B9" w:rsidP="00F3334A">
      <w:pPr>
        <w:pStyle w:val="ActHead1"/>
        <w:pageBreakBefore/>
      </w:pPr>
      <w:bookmarkStart w:id="16" w:name="_Toc454972752"/>
      <w:r w:rsidRPr="00E504D2">
        <w:rPr>
          <w:rStyle w:val="CharChapNo"/>
        </w:rPr>
        <w:lastRenderedPageBreak/>
        <w:t>Schedule</w:t>
      </w:r>
      <w:r w:rsidR="00E504D2" w:rsidRPr="00E504D2">
        <w:rPr>
          <w:rStyle w:val="CharChapNo"/>
        </w:rPr>
        <w:t> </w:t>
      </w:r>
      <w:r w:rsidRPr="00E504D2">
        <w:rPr>
          <w:rStyle w:val="CharChapNo"/>
        </w:rPr>
        <w:t>1</w:t>
      </w:r>
      <w:r w:rsidRPr="00E504D2">
        <w:t>—</w:t>
      </w:r>
      <w:r w:rsidRPr="00E504D2">
        <w:rPr>
          <w:rStyle w:val="CharChapText"/>
        </w:rPr>
        <w:t>Fixed fees for the supply of water services</w:t>
      </w:r>
      <w:bookmarkEnd w:id="16"/>
    </w:p>
    <w:p w:rsidR="002527B9" w:rsidRPr="00E504D2" w:rsidRDefault="002527B9" w:rsidP="002527B9">
      <w:pPr>
        <w:pStyle w:val="notemargin"/>
      </w:pPr>
      <w:r w:rsidRPr="00E504D2">
        <w:t>Note:</w:t>
      </w:r>
      <w:r w:rsidRPr="00E504D2">
        <w:tab/>
        <w:t>See paragraph</w:t>
      </w:r>
      <w:r w:rsidR="00E504D2" w:rsidRPr="00E504D2">
        <w:t> </w:t>
      </w:r>
      <w:r w:rsidRPr="00E504D2">
        <w:t>6(3)(a).</w:t>
      </w:r>
    </w:p>
    <w:p w:rsidR="002527B9" w:rsidRPr="00E504D2" w:rsidRDefault="002527B9" w:rsidP="002527B9">
      <w:pPr>
        <w:pStyle w:val="Header"/>
      </w:pPr>
      <w:r w:rsidRPr="00E504D2">
        <w:rPr>
          <w:rStyle w:val="CharPartNo"/>
        </w:rPr>
        <w:t xml:space="preserve"> </w:t>
      </w:r>
      <w:r w:rsidRPr="00E504D2">
        <w:rPr>
          <w:rStyle w:val="CharPartText"/>
        </w:rPr>
        <w:t xml:space="preserve"> </w:t>
      </w:r>
    </w:p>
    <w:p w:rsidR="002527B9" w:rsidRPr="00E504D2" w:rsidRDefault="002527B9" w:rsidP="002527B9">
      <w:pPr>
        <w:pStyle w:val="Header"/>
      </w:pPr>
      <w:r w:rsidRPr="00E504D2">
        <w:rPr>
          <w:rStyle w:val="CharDivNo"/>
        </w:rPr>
        <w:t xml:space="preserve"> </w:t>
      </w:r>
      <w:r w:rsidRPr="00E504D2">
        <w:rPr>
          <w:rStyle w:val="CharDivText"/>
        </w:rPr>
        <w:t xml:space="preserve"> </w:t>
      </w:r>
    </w:p>
    <w:p w:rsidR="002527B9" w:rsidRPr="00E504D2" w:rsidRDefault="002527B9" w:rsidP="002527B9">
      <w:pPr>
        <w:pStyle w:val="ActHead5"/>
      </w:pPr>
      <w:bookmarkStart w:id="17" w:name="_Toc454972753"/>
      <w:r w:rsidRPr="00E504D2">
        <w:rPr>
          <w:rStyle w:val="CharSectno"/>
        </w:rPr>
        <w:t>1</w:t>
      </w:r>
      <w:r w:rsidRPr="00E504D2">
        <w:t xml:space="preserve">  Fixed fees for the supply of water services</w:t>
      </w:r>
      <w:bookmarkEnd w:id="17"/>
    </w:p>
    <w:p w:rsidR="002527B9" w:rsidRPr="00E504D2" w:rsidRDefault="002527B9" w:rsidP="002527B9">
      <w:pPr>
        <w:pStyle w:val="subsection"/>
      </w:pPr>
      <w:r w:rsidRPr="00E504D2">
        <w:tab/>
        <w:t>(1)</w:t>
      </w:r>
      <w:r w:rsidRPr="00E504D2">
        <w:tab/>
        <w:t>The table in this clause sets out fixed fees for the supply of water services.</w:t>
      </w:r>
    </w:p>
    <w:p w:rsidR="002527B9" w:rsidRPr="00E504D2" w:rsidRDefault="002527B9" w:rsidP="002527B9">
      <w:pPr>
        <w:pStyle w:val="notetext"/>
      </w:pPr>
      <w:r w:rsidRPr="00E504D2">
        <w:t>Note:</w:t>
      </w:r>
      <w:r w:rsidRPr="00E504D2">
        <w:tab/>
        <w:t>An eligible pensioner or eligible senior may pay a fee at a reduced rate—see subsections</w:t>
      </w:r>
      <w:r w:rsidR="00E504D2" w:rsidRPr="00E504D2">
        <w:t> </w:t>
      </w:r>
      <w:r w:rsidRPr="00E504D2">
        <w:t>7(1) and (3).</w:t>
      </w:r>
    </w:p>
    <w:p w:rsidR="002527B9" w:rsidRPr="00E504D2" w:rsidRDefault="002527B9" w:rsidP="002527B9">
      <w:pPr>
        <w:pStyle w:val="subsection"/>
      </w:pPr>
      <w:r w:rsidRPr="00E504D2">
        <w:tab/>
        <w:t>(2)</w:t>
      </w:r>
      <w:r w:rsidRPr="00E504D2">
        <w:tab/>
        <w:t>If an additional water service is required, the fees mentioned in the table also apply to that additional service.</w:t>
      </w:r>
    </w:p>
    <w:p w:rsidR="002527B9" w:rsidRPr="00E504D2" w:rsidRDefault="002527B9" w:rsidP="002527B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0"/>
        <w:gridCol w:w="6269"/>
        <w:gridCol w:w="1450"/>
      </w:tblGrid>
      <w:tr w:rsidR="002527B9" w:rsidRPr="00E504D2" w:rsidTr="00730C96">
        <w:trPr>
          <w:tblHeader/>
        </w:trPr>
        <w:tc>
          <w:tcPr>
            <w:tcW w:w="5000" w:type="pct"/>
            <w:gridSpan w:val="3"/>
            <w:tcBorders>
              <w:top w:val="single" w:sz="12" w:space="0" w:color="auto"/>
              <w:bottom w:val="single" w:sz="6" w:space="0" w:color="auto"/>
            </w:tcBorders>
            <w:shd w:val="clear" w:color="auto" w:fill="auto"/>
          </w:tcPr>
          <w:p w:rsidR="002527B9" w:rsidRPr="00E504D2" w:rsidRDefault="002527B9" w:rsidP="00730C96">
            <w:pPr>
              <w:pStyle w:val="TableHeading"/>
            </w:pPr>
            <w:r w:rsidRPr="00E504D2">
              <w:t>Fixed fees for the supply of water services</w:t>
            </w:r>
          </w:p>
        </w:tc>
      </w:tr>
      <w:tr w:rsidR="002527B9" w:rsidRPr="00E504D2" w:rsidTr="00730C96">
        <w:trPr>
          <w:tblHeader/>
        </w:trPr>
        <w:tc>
          <w:tcPr>
            <w:tcW w:w="475" w:type="pct"/>
            <w:tcBorders>
              <w:top w:val="single" w:sz="6" w:space="0" w:color="auto"/>
              <w:bottom w:val="single" w:sz="12" w:space="0" w:color="auto"/>
            </w:tcBorders>
            <w:shd w:val="clear" w:color="auto" w:fill="auto"/>
          </w:tcPr>
          <w:p w:rsidR="002527B9" w:rsidRPr="00E504D2" w:rsidRDefault="002527B9" w:rsidP="00730C96">
            <w:pPr>
              <w:pStyle w:val="TableHeading"/>
            </w:pPr>
            <w:r w:rsidRPr="00E504D2">
              <w:t>Item</w:t>
            </w:r>
          </w:p>
        </w:tc>
        <w:tc>
          <w:tcPr>
            <w:tcW w:w="3675" w:type="pct"/>
            <w:tcBorders>
              <w:top w:val="single" w:sz="6" w:space="0" w:color="auto"/>
              <w:bottom w:val="single" w:sz="12" w:space="0" w:color="auto"/>
            </w:tcBorders>
            <w:shd w:val="clear" w:color="auto" w:fill="auto"/>
          </w:tcPr>
          <w:p w:rsidR="002527B9" w:rsidRPr="00E504D2" w:rsidRDefault="002527B9" w:rsidP="00730C96">
            <w:pPr>
              <w:pStyle w:val="TableHeading"/>
            </w:pPr>
            <w:r w:rsidRPr="00E504D2">
              <w:t>Supply of water services to ...</w:t>
            </w:r>
          </w:p>
        </w:tc>
        <w:tc>
          <w:tcPr>
            <w:tcW w:w="850" w:type="pct"/>
            <w:tcBorders>
              <w:top w:val="single" w:sz="6" w:space="0" w:color="auto"/>
              <w:bottom w:val="single" w:sz="12" w:space="0" w:color="auto"/>
            </w:tcBorders>
            <w:shd w:val="clear" w:color="auto" w:fill="auto"/>
          </w:tcPr>
          <w:p w:rsidR="002527B9" w:rsidRPr="00E504D2" w:rsidRDefault="002527B9" w:rsidP="00E06CA6">
            <w:pPr>
              <w:pStyle w:val="TableHeading"/>
              <w:jc w:val="right"/>
            </w:pPr>
            <w:r w:rsidRPr="00E504D2">
              <w:t>Fixed fee</w:t>
            </w:r>
          </w:p>
        </w:tc>
      </w:tr>
      <w:tr w:rsidR="002527B9" w:rsidRPr="00E504D2" w:rsidTr="00730C96">
        <w:tc>
          <w:tcPr>
            <w:tcW w:w="475" w:type="pct"/>
            <w:tcBorders>
              <w:top w:val="single" w:sz="12" w:space="0" w:color="auto"/>
              <w:bottom w:val="single" w:sz="4" w:space="0" w:color="auto"/>
            </w:tcBorders>
            <w:shd w:val="clear" w:color="auto" w:fill="auto"/>
          </w:tcPr>
          <w:p w:rsidR="002527B9" w:rsidRPr="00E504D2" w:rsidRDefault="002527B9" w:rsidP="00730C96">
            <w:pPr>
              <w:pStyle w:val="Tabletext"/>
            </w:pPr>
            <w:r w:rsidRPr="00E504D2">
              <w:t>1</w:t>
            </w:r>
          </w:p>
        </w:tc>
        <w:tc>
          <w:tcPr>
            <w:tcW w:w="3675" w:type="pct"/>
            <w:tcBorders>
              <w:top w:val="single" w:sz="12" w:space="0" w:color="auto"/>
              <w:bottom w:val="single" w:sz="4" w:space="0" w:color="auto"/>
            </w:tcBorders>
            <w:shd w:val="clear" w:color="auto" w:fill="auto"/>
          </w:tcPr>
          <w:p w:rsidR="002527B9" w:rsidRPr="00E504D2" w:rsidRDefault="002527B9" w:rsidP="00730C96">
            <w:pPr>
              <w:pStyle w:val="Tabletext"/>
            </w:pPr>
            <w:r w:rsidRPr="00E504D2">
              <w:t>residential land</w:t>
            </w:r>
          </w:p>
        </w:tc>
        <w:tc>
          <w:tcPr>
            <w:tcW w:w="850" w:type="pct"/>
            <w:tcBorders>
              <w:top w:val="single" w:sz="12" w:space="0" w:color="auto"/>
              <w:bottom w:val="single" w:sz="4" w:space="0" w:color="auto"/>
            </w:tcBorders>
            <w:shd w:val="clear" w:color="auto" w:fill="auto"/>
          </w:tcPr>
          <w:p w:rsidR="002527B9" w:rsidRPr="00E504D2" w:rsidRDefault="002527B9" w:rsidP="00E06CA6">
            <w:pPr>
              <w:pStyle w:val="Tabletext"/>
              <w:jc w:val="right"/>
            </w:pPr>
            <w:r w:rsidRPr="00E504D2">
              <w:t>$236.22</w:t>
            </w:r>
          </w:p>
        </w:tc>
      </w:tr>
      <w:tr w:rsidR="00AE69E4" w:rsidRPr="00E504D2" w:rsidTr="00730C96">
        <w:tc>
          <w:tcPr>
            <w:tcW w:w="475" w:type="pct"/>
            <w:vMerge w:val="restart"/>
            <w:tcBorders>
              <w:top w:val="single" w:sz="4" w:space="0" w:color="auto"/>
            </w:tcBorders>
            <w:shd w:val="clear" w:color="auto" w:fill="auto"/>
          </w:tcPr>
          <w:p w:rsidR="00AE69E4" w:rsidRPr="00E504D2" w:rsidRDefault="00AE69E4" w:rsidP="00730C96">
            <w:pPr>
              <w:pStyle w:val="Tabletext"/>
            </w:pPr>
            <w:r w:rsidRPr="00E504D2">
              <w:t>2</w:t>
            </w:r>
          </w:p>
        </w:tc>
        <w:tc>
          <w:tcPr>
            <w:tcW w:w="3675" w:type="pct"/>
            <w:tcBorders>
              <w:top w:val="single" w:sz="4" w:space="0" w:color="auto"/>
              <w:bottom w:val="nil"/>
            </w:tcBorders>
            <w:shd w:val="clear" w:color="auto" w:fill="auto"/>
          </w:tcPr>
          <w:p w:rsidR="00AE69E4" w:rsidRPr="00E504D2" w:rsidRDefault="00AE69E4" w:rsidP="00524DA0">
            <w:pPr>
              <w:pStyle w:val="Tabletext"/>
            </w:pPr>
            <w:r w:rsidRPr="00E504D2">
              <w:t>commercial</w:t>
            </w:r>
            <w:r w:rsidR="00FD27C0" w:rsidRPr="00E504D2">
              <w:t xml:space="preserve"> land</w:t>
            </w:r>
            <w:r w:rsidRPr="00E504D2">
              <w:t xml:space="preserve"> or industrial land (other than land mentioned in item</w:t>
            </w:r>
            <w:r w:rsidR="00E504D2" w:rsidRPr="00E504D2">
              <w:t> </w:t>
            </w:r>
            <w:r w:rsidRPr="00E504D2">
              <w:t>5), commercial/residential land, mining land or government land, or shipping (supply of water services to land for the purpose of water being taken on board a ship in a port), with:</w:t>
            </w:r>
          </w:p>
        </w:tc>
        <w:tc>
          <w:tcPr>
            <w:tcW w:w="850" w:type="pct"/>
            <w:tcBorders>
              <w:top w:val="single" w:sz="4" w:space="0" w:color="auto"/>
              <w:bottom w:val="nil"/>
            </w:tcBorders>
            <w:shd w:val="clear" w:color="auto" w:fill="auto"/>
          </w:tcPr>
          <w:p w:rsidR="00AE69E4" w:rsidRPr="00E504D2" w:rsidRDefault="00AE69E4" w:rsidP="00E06CA6">
            <w:pPr>
              <w:pStyle w:val="Tabletext"/>
              <w:jc w:val="right"/>
            </w:pPr>
          </w:p>
        </w:tc>
      </w:tr>
      <w:tr w:rsidR="00AE69E4" w:rsidRPr="00E504D2" w:rsidTr="00730C96">
        <w:tc>
          <w:tcPr>
            <w:tcW w:w="475" w:type="pct"/>
            <w:vMerge/>
            <w:shd w:val="clear" w:color="auto" w:fill="auto"/>
          </w:tcPr>
          <w:p w:rsidR="00AE69E4" w:rsidRPr="00E504D2" w:rsidRDefault="00AE69E4" w:rsidP="00730C96">
            <w:pPr>
              <w:pStyle w:val="Tabletext"/>
            </w:pPr>
          </w:p>
        </w:tc>
        <w:tc>
          <w:tcPr>
            <w:tcW w:w="3675" w:type="pct"/>
            <w:tcBorders>
              <w:top w:val="nil"/>
              <w:bottom w:val="nil"/>
            </w:tcBorders>
            <w:shd w:val="clear" w:color="auto" w:fill="auto"/>
          </w:tcPr>
          <w:p w:rsidR="00AE69E4" w:rsidRPr="00E504D2" w:rsidRDefault="00AE69E4" w:rsidP="00730C96">
            <w:pPr>
              <w:pStyle w:val="Tablea"/>
            </w:pPr>
            <w:r w:rsidRPr="00E504D2">
              <w:t>(a) no meter or</w:t>
            </w:r>
            <w:r w:rsidR="00FD27C0" w:rsidRPr="00E504D2">
              <w:t xml:space="preserve"> a</w:t>
            </w:r>
            <w:r w:rsidRPr="00E504D2">
              <w:t xml:space="preserve"> 15 or 20 mm meter</w:t>
            </w:r>
          </w:p>
        </w:tc>
        <w:tc>
          <w:tcPr>
            <w:tcW w:w="850" w:type="pct"/>
            <w:tcBorders>
              <w:top w:val="nil"/>
              <w:bottom w:val="nil"/>
            </w:tcBorders>
            <w:shd w:val="clear" w:color="auto" w:fill="auto"/>
          </w:tcPr>
          <w:p w:rsidR="00AE69E4" w:rsidRPr="00E504D2" w:rsidRDefault="00AE69E4" w:rsidP="00E06CA6">
            <w:pPr>
              <w:pStyle w:val="Tabletext"/>
              <w:jc w:val="right"/>
            </w:pPr>
            <w:r w:rsidRPr="00E504D2">
              <w:t>$236.22</w:t>
            </w:r>
          </w:p>
        </w:tc>
      </w:tr>
      <w:tr w:rsidR="00AE69E4" w:rsidRPr="00E504D2" w:rsidTr="00730C96">
        <w:tc>
          <w:tcPr>
            <w:tcW w:w="475" w:type="pct"/>
            <w:vMerge/>
            <w:shd w:val="clear" w:color="auto" w:fill="auto"/>
          </w:tcPr>
          <w:p w:rsidR="00AE69E4" w:rsidRPr="00E504D2" w:rsidRDefault="00AE69E4" w:rsidP="00730C96">
            <w:pPr>
              <w:pStyle w:val="Tabletext"/>
            </w:pPr>
          </w:p>
        </w:tc>
        <w:tc>
          <w:tcPr>
            <w:tcW w:w="3675" w:type="pct"/>
            <w:tcBorders>
              <w:top w:val="nil"/>
              <w:bottom w:val="nil"/>
            </w:tcBorders>
            <w:shd w:val="clear" w:color="auto" w:fill="auto"/>
          </w:tcPr>
          <w:p w:rsidR="00AE69E4" w:rsidRPr="00E504D2" w:rsidRDefault="00AE69E4" w:rsidP="00730C96">
            <w:pPr>
              <w:pStyle w:val="Tablea"/>
            </w:pPr>
            <w:r w:rsidRPr="00E504D2">
              <w:t>(b) a 25 mm meter</w:t>
            </w:r>
          </w:p>
        </w:tc>
        <w:tc>
          <w:tcPr>
            <w:tcW w:w="850" w:type="pct"/>
            <w:tcBorders>
              <w:top w:val="nil"/>
              <w:bottom w:val="nil"/>
            </w:tcBorders>
            <w:shd w:val="clear" w:color="auto" w:fill="auto"/>
          </w:tcPr>
          <w:p w:rsidR="00AE69E4" w:rsidRPr="00E504D2" w:rsidRDefault="00AE69E4" w:rsidP="00E06CA6">
            <w:pPr>
              <w:pStyle w:val="Tabletext"/>
              <w:jc w:val="right"/>
            </w:pPr>
            <w:r w:rsidRPr="00E504D2">
              <w:t>$369.11</w:t>
            </w:r>
          </w:p>
        </w:tc>
      </w:tr>
      <w:tr w:rsidR="00AE69E4" w:rsidRPr="00E504D2" w:rsidTr="00730C96">
        <w:tc>
          <w:tcPr>
            <w:tcW w:w="475" w:type="pct"/>
            <w:vMerge/>
            <w:shd w:val="clear" w:color="auto" w:fill="auto"/>
          </w:tcPr>
          <w:p w:rsidR="00AE69E4" w:rsidRPr="00E504D2" w:rsidRDefault="00AE69E4" w:rsidP="00730C96">
            <w:pPr>
              <w:pStyle w:val="Tabletext"/>
            </w:pPr>
          </w:p>
        </w:tc>
        <w:tc>
          <w:tcPr>
            <w:tcW w:w="3675" w:type="pct"/>
            <w:tcBorders>
              <w:top w:val="nil"/>
              <w:bottom w:val="nil"/>
            </w:tcBorders>
            <w:shd w:val="clear" w:color="auto" w:fill="auto"/>
          </w:tcPr>
          <w:p w:rsidR="00AE69E4" w:rsidRPr="00E504D2" w:rsidRDefault="00AE69E4" w:rsidP="00730C96">
            <w:pPr>
              <w:pStyle w:val="Tablea"/>
            </w:pPr>
            <w:r w:rsidRPr="00E504D2">
              <w:t>(c) a 40 mm meter</w:t>
            </w:r>
          </w:p>
        </w:tc>
        <w:tc>
          <w:tcPr>
            <w:tcW w:w="850" w:type="pct"/>
            <w:tcBorders>
              <w:top w:val="nil"/>
              <w:bottom w:val="nil"/>
            </w:tcBorders>
            <w:shd w:val="clear" w:color="auto" w:fill="auto"/>
          </w:tcPr>
          <w:p w:rsidR="00AE69E4" w:rsidRPr="00E504D2" w:rsidRDefault="00AE69E4" w:rsidP="00E06CA6">
            <w:pPr>
              <w:pStyle w:val="Tabletext"/>
              <w:jc w:val="right"/>
            </w:pPr>
            <w:r w:rsidRPr="00E504D2">
              <w:t>$944.93</w:t>
            </w:r>
          </w:p>
        </w:tc>
      </w:tr>
      <w:tr w:rsidR="00AE69E4" w:rsidRPr="00E504D2" w:rsidTr="00730C96">
        <w:tc>
          <w:tcPr>
            <w:tcW w:w="475" w:type="pct"/>
            <w:vMerge/>
            <w:shd w:val="clear" w:color="auto" w:fill="auto"/>
          </w:tcPr>
          <w:p w:rsidR="00AE69E4" w:rsidRPr="00E504D2" w:rsidRDefault="00AE69E4" w:rsidP="00730C96">
            <w:pPr>
              <w:pStyle w:val="Tabletext"/>
            </w:pPr>
          </w:p>
        </w:tc>
        <w:tc>
          <w:tcPr>
            <w:tcW w:w="3675" w:type="pct"/>
            <w:tcBorders>
              <w:top w:val="nil"/>
              <w:bottom w:val="nil"/>
            </w:tcBorders>
            <w:shd w:val="clear" w:color="auto" w:fill="auto"/>
          </w:tcPr>
          <w:p w:rsidR="00AE69E4" w:rsidRPr="00E504D2" w:rsidRDefault="00AE69E4" w:rsidP="000849F2">
            <w:pPr>
              <w:pStyle w:val="Tablea"/>
            </w:pPr>
            <w:r w:rsidRPr="00E504D2">
              <w:t>(d) a 50 mm meter</w:t>
            </w:r>
          </w:p>
        </w:tc>
        <w:tc>
          <w:tcPr>
            <w:tcW w:w="850" w:type="pct"/>
            <w:tcBorders>
              <w:top w:val="nil"/>
              <w:bottom w:val="nil"/>
            </w:tcBorders>
            <w:shd w:val="clear" w:color="auto" w:fill="auto"/>
          </w:tcPr>
          <w:p w:rsidR="00AE69E4" w:rsidRPr="00E504D2" w:rsidRDefault="00C5486C" w:rsidP="00E06CA6">
            <w:pPr>
              <w:pStyle w:val="Tabletext"/>
              <w:jc w:val="right"/>
            </w:pPr>
            <w:r w:rsidRPr="00E504D2">
              <w:t>$1,</w:t>
            </w:r>
            <w:r w:rsidR="00AE69E4" w:rsidRPr="00E504D2">
              <w:t>476.44</w:t>
            </w:r>
          </w:p>
        </w:tc>
      </w:tr>
      <w:tr w:rsidR="00AE69E4" w:rsidRPr="00E504D2" w:rsidTr="00730C96">
        <w:tc>
          <w:tcPr>
            <w:tcW w:w="475" w:type="pct"/>
            <w:vMerge/>
            <w:shd w:val="clear" w:color="auto" w:fill="auto"/>
          </w:tcPr>
          <w:p w:rsidR="00AE69E4" w:rsidRPr="00E504D2" w:rsidRDefault="00AE69E4" w:rsidP="00730C96">
            <w:pPr>
              <w:pStyle w:val="Tabletext"/>
            </w:pPr>
          </w:p>
        </w:tc>
        <w:tc>
          <w:tcPr>
            <w:tcW w:w="3675" w:type="pct"/>
            <w:tcBorders>
              <w:top w:val="nil"/>
              <w:bottom w:val="nil"/>
            </w:tcBorders>
            <w:shd w:val="clear" w:color="auto" w:fill="auto"/>
          </w:tcPr>
          <w:p w:rsidR="00AE69E4" w:rsidRPr="00E504D2" w:rsidRDefault="00AE69E4" w:rsidP="00730C96">
            <w:pPr>
              <w:pStyle w:val="Tablea"/>
            </w:pPr>
            <w:r w:rsidRPr="00E504D2">
              <w:t>(e) a 80 mm meter</w:t>
            </w:r>
          </w:p>
        </w:tc>
        <w:tc>
          <w:tcPr>
            <w:tcW w:w="850" w:type="pct"/>
            <w:tcBorders>
              <w:top w:val="nil"/>
              <w:bottom w:val="nil"/>
            </w:tcBorders>
            <w:shd w:val="clear" w:color="auto" w:fill="auto"/>
          </w:tcPr>
          <w:p w:rsidR="00AE69E4" w:rsidRPr="00E504D2" w:rsidRDefault="00C5486C" w:rsidP="00E06CA6">
            <w:pPr>
              <w:pStyle w:val="Tabletext"/>
              <w:jc w:val="right"/>
            </w:pPr>
            <w:r w:rsidRPr="00E504D2">
              <w:t>$3,</w:t>
            </w:r>
            <w:r w:rsidR="00AE69E4" w:rsidRPr="00E504D2">
              <w:t>779.68</w:t>
            </w:r>
          </w:p>
        </w:tc>
      </w:tr>
      <w:tr w:rsidR="00AE69E4" w:rsidRPr="00E504D2" w:rsidTr="00730C96">
        <w:tc>
          <w:tcPr>
            <w:tcW w:w="475" w:type="pct"/>
            <w:vMerge/>
            <w:shd w:val="clear" w:color="auto" w:fill="auto"/>
          </w:tcPr>
          <w:p w:rsidR="00AE69E4" w:rsidRPr="00E504D2" w:rsidRDefault="00AE69E4" w:rsidP="00730C96">
            <w:pPr>
              <w:pStyle w:val="Tabletext"/>
            </w:pPr>
          </w:p>
        </w:tc>
        <w:tc>
          <w:tcPr>
            <w:tcW w:w="3675" w:type="pct"/>
            <w:tcBorders>
              <w:top w:val="nil"/>
              <w:bottom w:val="nil"/>
            </w:tcBorders>
            <w:shd w:val="clear" w:color="auto" w:fill="auto"/>
          </w:tcPr>
          <w:p w:rsidR="00AE69E4" w:rsidRPr="00E504D2" w:rsidRDefault="00AE69E4" w:rsidP="00730C96">
            <w:pPr>
              <w:pStyle w:val="Tablea"/>
            </w:pPr>
            <w:r w:rsidRPr="00E504D2">
              <w:t>(f) a 100 mm meter</w:t>
            </w:r>
          </w:p>
        </w:tc>
        <w:tc>
          <w:tcPr>
            <w:tcW w:w="850" w:type="pct"/>
            <w:tcBorders>
              <w:top w:val="nil"/>
              <w:bottom w:val="nil"/>
            </w:tcBorders>
            <w:shd w:val="clear" w:color="auto" w:fill="auto"/>
          </w:tcPr>
          <w:p w:rsidR="00AE69E4" w:rsidRPr="00E504D2" w:rsidRDefault="00C5486C" w:rsidP="00E06CA6">
            <w:pPr>
              <w:pStyle w:val="Tabletext"/>
              <w:jc w:val="right"/>
            </w:pPr>
            <w:r w:rsidRPr="00E504D2">
              <w:t>$5,</w:t>
            </w:r>
            <w:r w:rsidR="00AE69E4" w:rsidRPr="00E504D2">
              <w:t>905.75</w:t>
            </w:r>
          </w:p>
        </w:tc>
      </w:tr>
      <w:tr w:rsidR="00AE69E4" w:rsidRPr="00E504D2" w:rsidTr="00730C96">
        <w:tc>
          <w:tcPr>
            <w:tcW w:w="475" w:type="pct"/>
            <w:vMerge/>
            <w:shd w:val="clear" w:color="auto" w:fill="auto"/>
          </w:tcPr>
          <w:p w:rsidR="00AE69E4" w:rsidRPr="00E504D2" w:rsidRDefault="00AE69E4" w:rsidP="00730C96">
            <w:pPr>
              <w:pStyle w:val="Tabletext"/>
            </w:pPr>
          </w:p>
        </w:tc>
        <w:tc>
          <w:tcPr>
            <w:tcW w:w="3675" w:type="pct"/>
            <w:tcBorders>
              <w:top w:val="nil"/>
              <w:bottom w:val="nil"/>
            </w:tcBorders>
            <w:shd w:val="clear" w:color="auto" w:fill="auto"/>
          </w:tcPr>
          <w:p w:rsidR="00AE69E4" w:rsidRPr="00E504D2" w:rsidRDefault="00AE69E4" w:rsidP="00C302DB">
            <w:pPr>
              <w:pStyle w:val="Tablea"/>
            </w:pPr>
            <w:r w:rsidRPr="00E504D2">
              <w:t>(g) a 150 mm meter</w:t>
            </w:r>
          </w:p>
        </w:tc>
        <w:tc>
          <w:tcPr>
            <w:tcW w:w="850" w:type="pct"/>
            <w:tcBorders>
              <w:top w:val="nil"/>
              <w:bottom w:val="nil"/>
            </w:tcBorders>
            <w:shd w:val="clear" w:color="auto" w:fill="auto"/>
          </w:tcPr>
          <w:p w:rsidR="00AE69E4" w:rsidRPr="00E504D2" w:rsidRDefault="00C5486C" w:rsidP="00E06CA6">
            <w:pPr>
              <w:pStyle w:val="Tabletext"/>
              <w:jc w:val="right"/>
            </w:pPr>
            <w:r w:rsidRPr="00E504D2">
              <w:t>$13,</w:t>
            </w:r>
            <w:r w:rsidR="00AE69E4" w:rsidRPr="00E504D2">
              <w:t>287.95</w:t>
            </w:r>
          </w:p>
        </w:tc>
      </w:tr>
      <w:tr w:rsidR="00AE69E4" w:rsidRPr="00E504D2" w:rsidTr="00730C96">
        <w:tc>
          <w:tcPr>
            <w:tcW w:w="475" w:type="pct"/>
            <w:tcBorders>
              <w:top w:val="single" w:sz="4" w:space="0" w:color="auto"/>
            </w:tcBorders>
            <w:shd w:val="clear" w:color="auto" w:fill="auto"/>
          </w:tcPr>
          <w:p w:rsidR="00AE69E4" w:rsidRPr="00E504D2" w:rsidRDefault="00AE69E4" w:rsidP="00730C96">
            <w:pPr>
              <w:pStyle w:val="Tabletext"/>
            </w:pPr>
            <w:r w:rsidRPr="00E504D2">
              <w:t>3</w:t>
            </w:r>
          </w:p>
        </w:tc>
        <w:tc>
          <w:tcPr>
            <w:tcW w:w="3675" w:type="pct"/>
            <w:tcBorders>
              <w:top w:val="single" w:sz="4" w:space="0" w:color="auto"/>
            </w:tcBorders>
            <w:shd w:val="clear" w:color="auto" w:fill="auto"/>
          </w:tcPr>
          <w:p w:rsidR="00AE69E4" w:rsidRPr="00E504D2" w:rsidRDefault="00AE69E4" w:rsidP="00730C96">
            <w:pPr>
              <w:pStyle w:val="Tabletext"/>
            </w:pPr>
            <w:r w:rsidRPr="00E504D2">
              <w:t>institutional/public land, charitable purposes land or local government land</w:t>
            </w:r>
          </w:p>
        </w:tc>
        <w:tc>
          <w:tcPr>
            <w:tcW w:w="850" w:type="pct"/>
            <w:tcBorders>
              <w:top w:val="single" w:sz="4" w:space="0" w:color="auto"/>
            </w:tcBorders>
            <w:shd w:val="clear" w:color="auto" w:fill="auto"/>
          </w:tcPr>
          <w:p w:rsidR="00AE69E4" w:rsidRPr="00E504D2" w:rsidRDefault="00AE69E4" w:rsidP="00E06CA6">
            <w:pPr>
              <w:pStyle w:val="Tabletext"/>
              <w:jc w:val="right"/>
            </w:pPr>
            <w:r w:rsidRPr="00E504D2">
              <w:t>Nil</w:t>
            </w:r>
          </w:p>
        </w:tc>
      </w:tr>
      <w:tr w:rsidR="00AE69E4" w:rsidRPr="00E504D2" w:rsidTr="00730C96">
        <w:tc>
          <w:tcPr>
            <w:tcW w:w="475" w:type="pct"/>
            <w:shd w:val="clear" w:color="auto" w:fill="auto"/>
          </w:tcPr>
          <w:p w:rsidR="00AE69E4" w:rsidRPr="00E504D2" w:rsidRDefault="00AE69E4" w:rsidP="00730C96">
            <w:pPr>
              <w:pStyle w:val="Tabletext"/>
            </w:pPr>
            <w:r w:rsidRPr="00E504D2">
              <w:t>4</w:t>
            </w:r>
          </w:p>
        </w:tc>
        <w:tc>
          <w:tcPr>
            <w:tcW w:w="3675" w:type="pct"/>
            <w:shd w:val="clear" w:color="auto" w:fill="auto"/>
          </w:tcPr>
          <w:p w:rsidR="00AE69E4" w:rsidRPr="00E504D2" w:rsidRDefault="00AE69E4" w:rsidP="00730C96">
            <w:pPr>
              <w:pStyle w:val="Tabletext"/>
            </w:pPr>
            <w:r w:rsidRPr="00E504D2">
              <w:t>vacant land</w:t>
            </w:r>
          </w:p>
        </w:tc>
        <w:tc>
          <w:tcPr>
            <w:tcW w:w="850" w:type="pct"/>
            <w:shd w:val="clear" w:color="auto" w:fill="auto"/>
          </w:tcPr>
          <w:p w:rsidR="00AE69E4" w:rsidRPr="00E504D2" w:rsidRDefault="00AE69E4" w:rsidP="00E06CA6">
            <w:pPr>
              <w:pStyle w:val="Tabletext"/>
              <w:jc w:val="right"/>
            </w:pPr>
            <w:r w:rsidRPr="00E504D2">
              <w:t>$236.22</w:t>
            </w:r>
          </w:p>
        </w:tc>
      </w:tr>
      <w:tr w:rsidR="00AE69E4" w:rsidRPr="00E504D2" w:rsidTr="00730C96">
        <w:tc>
          <w:tcPr>
            <w:tcW w:w="475" w:type="pct"/>
            <w:shd w:val="clear" w:color="auto" w:fill="auto"/>
          </w:tcPr>
          <w:p w:rsidR="00AE69E4" w:rsidRPr="00E504D2" w:rsidRDefault="00AE69E4" w:rsidP="00730C96">
            <w:pPr>
              <w:pStyle w:val="Tabletext"/>
            </w:pPr>
            <w:r w:rsidRPr="00E504D2">
              <w:t>5</w:t>
            </w:r>
          </w:p>
        </w:tc>
        <w:tc>
          <w:tcPr>
            <w:tcW w:w="3675" w:type="pct"/>
            <w:shd w:val="clear" w:color="auto" w:fill="auto"/>
          </w:tcPr>
          <w:p w:rsidR="00AE69E4" w:rsidRPr="00E504D2" w:rsidRDefault="00AE69E4" w:rsidP="00730C96">
            <w:pPr>
              <w:pStyle w:val="Tabletext"/>
            </w:pPr>
            <w:r w:rsidRPr="00E504D2">
              <w:t>strata</w:t>
            </w:r>
            <w:r w:rsidR="00E504D2">
              <w:noBreakHyphen/>
            </w:r>
            <w:r w:rsidRPr="00E504D2">
              <w:t>titled commercial</w:t>
            </w:r>
            <w:r w:rsidR="00FD27C0" w:rsidRPr="00E504D2">
              <w:t xml:space="preserve"> land</w:t>
            </w:r>
            <w:r w:rsidRPr="00E504D2">
              <w:t xml:space="preserve"> or industrial land, if sharing a water service</w:t>
            </w:r>
          </w:p>
        </w:tc>
        <w:tc>
          <w:tcPr>
            <w:tcW w:w="850" w:type="pct"/>
            <w:shd w:val="clear" w:color="auto" w:fill="auto"/>
          </w:tcPr>
          <w:p w:rsidR="00AE69E4" w:rsidRPr="00E504D2" w:rsidRDefault="00AE69E4" w:rsidP="00E06CA6">
            <w:pPr>
              <w:pStyle w:val="Tabletext"/>
              <w:jc w:val="right"/>
            </w:pPr>
            <w:r w:rsidRPr="00E504D2">
              <w:t>$236.22</w:t>
            </w:r>
          </w:p>
        </w:tc>
      </w:tr>
      <w:tr w:rsidR="00AE69E4" w:rsidRPr="00E504D2" w:rsidTr="00730C96">
        <w:tc>
          <w:tcPr>
            <w:tcW w:w="475" w:type="pct"/>
            <w:tcBorders>
              <w:bottom w:val="single" w:sz="12" w:space="0" w:color="auto"/>
            </w:tcBorders>
            <w:shd w:val="clear" w:color="auto" w:fill="auto"/>
          </w:tcPr>
          <w:p w:rsidR="00AE69E4" w:rsidRPr="00E504D2" w:rsidRDefault="00AE69E4" w:rsidP="00730C96">
            <w:pPr>
              <w:pStyle w:val="Tabletext"/>
            </w:pPr>
            <w:r w:rsidRPr="00E504D2">
              <w:t>6</w:t>
            </w:r>
          </w:p>
        </w:tc>
        <w:tc>
          <w:tcPr>
            <w:tcW w:w="3675" w:type="pct"/>
            <w:tcBorders>
              <w:bottom w:val="single" w:sz="12" w:space="0" w:color="auto"/>
            </w:tcBorders>
            <w:shd w:val="clear" w:color="auto" w:fill="auto"/>
          </w:tcPr>
          <w:p w:rsidR="00AE69E4" w:rsidRPr="00E504D2" w:rsidRDefault="00AE69E4" w:rsidP="00730C96">
            <w:pPr>
              <w:pStyle w:val="Tabletext"/>
            </w:pPr>
            <w:r w:rsidRPr="00E504D2">
              <w:t>any land, for the supply of a fire service</w:t>
            </w:r>
          </w:p>
        </w:tc>
        <w:tc>
          <w:tcPr>
            <w:tcW w:w="850" w:type="pct"/>
            <w:tcBorders>
              <w:bottom w:val="single" w:sz="12" w:space="0" w:color="auto"/>
            </w:tcBorders>
            <w:shd w:val="clear" w:color="auto" w:fill="auto"/>
          </w:tcPr>
          <w:p w:rsidR="00AE69E4" w:rsidRPr="00E504D2" w:rsidRDefault="00AE69E4" w:rsidP="00E06CA6">
            <w:pPr>
              <w:pStyle w:val="Tabletext"/>
              <w:jc w:val="right"/>
            </w:pPr>
            <w:r w:rsidRPr="00E504D2">
              <w:t>$236.22</w:t>
            </w:r>
          </w:p>
        </w:tc>
      </w:tr>
    </w:tbl>
    <w:p w:rsidR="002527B9" w:rsidRPr="00E504D2" w:rsidRDefault="002527B9" w:rsidP="002527B9">
      <w:pPr>
        <w:pStyle w:val="ActHead1"/>
        <w:pageBreakBefore/>
      </w:pPr>
      <w:bookmarkStart w:id="18" w:name="_Toc454972754"/>
      <w:r w:rsidRPr="00E504D2">
        <w:rPr>
          <w:rStyle w:val="CharChapNo"/>
        </w:rPr>
        <w:lastRenderedPageBreak/>
        <w:t>Schedule</w:t>
      </w:r>
      <w:r w:rsidR="00E504D2" w:rsidRPr="00E504D2">
        <w:rPr>
          <w:rStyle w:val="CharChapNo"/>
        </w:rPr>
        <w:t> </w:t>
      </w:r>
      <w:r w:rsidRPr="00E504D2">
        <w:rPr>
          <w:rStyle w:val="CharChapNo"/>
        </w:rPr>
        <w:t>2</w:t>
      </w:r>
      <w:r w:rsidRPr="00E504D2">
        <w:t>—</w:t>
      </w:r>
      <w:r w:rsidRPr="00E504D2">
        <w:rPr>
          <w:rStyle w:val="CharChapText"/>
        </w:rPr>
        <w:t>Fixed fees for the supply of sewerage services</w:t>
      </w:r>
      <w:bookmarkEnd w:id="18"/>
    </w:p>
    <w:p w:rsidR="002527B9" w:rsidRPr="00E504D2" w:rsidRDefault="002527B9" w:rsidP="002527B9">
      <w:pPr>
        <w:pStyle w:val="notemargin"/>
      </w:pPr>
      <w:r w:rsidRPr="00E504D2">
        <w:t>Note:</w:t>
      </w:r>
      <w:r w:rsidRPr="00E504D2">
        <w:tab/>
        <w:t>See paragraph</w:t>
      </w:r>
      <w:r w:rsidR="00E504D2" w:rsidRPr="00E504D2">
        <w:t> </w:t>
      </w:r>
      <w:r w:rsidRPr="00E504D2">
        <w:t>6(3)(b).</w:t>
      </w:r>
    </w:p>
    <w:p w:rsidR="002527B9" w:rsidRPr="00E504D2" w:rsidRDefault="002527B9" w:rsidP="002527B9">
      <w:pPr>
        <w:pStyle w:val="Header"/>
      </w:pPr>
      <w:r w:rsidRPr="00E504D2">
        <w:rPr>
          <w:rStyle w:val="CharPartNo"/>
        </w:rPr>
        <w:t xml:space="preserve"> </w:t>
      </w:r>
      <w:r w:rsidRPr="00E504D2">
        <w:rPr>
          <w:rStyle w:val="CharPartText"/>
        </w:rPr>
        <w:t xml:space="preserve"> </w:t>
      </w:r>
    </w:p>
    <w:p w:rsidR="002527B9" w:rsidRPr="00E504D2" w:rsidRDefault="002527B9" w:rsidP="002527B9">
      <w:pPr>
        <w:pStyle w:val="Header"/>
      </w:pPr>
      <w:r w:rsidRPr="00E504D2">
        <w:rPr>
          <w:rStyle w:val="CharDivNo"/>
        </w:rPr>
        <w:t xml:space="preserve"> </w:t>
      </w:r>
      <w:r w:rsidRPr="00E504D2">
        <w:rPr>
          <w:rStyle w:val="CharDivText"/>
        </w:rPr>
        <w:t xml:space="preserve"> </w:t>
      </w:r>
    </w:p>
    <w:p w:rsidR="002527B9" w:rsidRPr="00E504D2" w:rsidRDefault="002527B9" w:rsidP="002527B9">
      <w:pPr>
        <w:pStyle w:val="ActHead5"/>
      </w:pPr>
      <w:bookmarkStart w:id="19" w:name="_Toc454972755"/>
      <w:r w:rsidRPr="00E504D2">
        <w:rPr>
          <w:rStyle w:val="CharSectno"/>
        </w:rPr>
        <w:t>1</w:t>
      </w:r>
      <w:r w:rsidRPr="00E504D2">
        <w:t xml:space="preserve">  Fixed fees for the supply of sewerage services</w:t>
      </w:r>
      <w:bookmarkEnd w:id="19"/>
    </w:p>
    <w:p w:rsidR="002527B9" w:rsidRPr="00E504D2" w:rsidRDefault="002527B9" w:rsidP="002527B9">
      <w:pPr>
        <w:pStyle w:val="subsection"/>
      </w:pPr>
      <w:r w:rsidRPr="00E504D2">
        <w:tab/>
      </w:r>
      <w:r w:rsidRPr="00E504D2">
        <w:tab/>
        <w:t>The table in this clause sets out fixed fees for the supply of sewerage services.</w:t>
      </w:r>
    </w:p>
    <w:p w:rsidR="002527B9" w:rsidRPr="00E504D2" w:rsidRDefault="002527B9" w:rsidP="002527B9">
      <w:pPr>
        <w:pStyle w:val="notetext"/>
      </w:pPr>
      <w:r w:rsidRPr="00E504D2">
        <w:t>Note:</w:t>
      </w:r>
      <w:r w:rsidRPr="00E504D2">
        <w:tab/>
        <w:t>An eligible pensioner or eligible senior may pay a fee at a reduced rate—see subsections</w:t>
      </w:r>
      <w:r w:rsidR="00E504D2" w:rsidRPr="00E504D2">
        <w:t> </w:t>
      </w:r>
      <w:r w:rsidRPr="00E504D2">
        <w:t>7(1) and (3).</w:t>
      </w:r>
    </w:p>
    <w:p w:rsidR="002527B9" w:rsidRPr="00E504D2" w:rsidRDefault="002527B9" w:rsidP="002527B9">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5807"/>
        <w:gridCol w:w="1757"/>
      </w:tblGrid>
      <w:tr w:rsidR="002527B9" w:rsidRPr="00E504D2" w:rsidTr="00730C96">
        <w:trPr>
          <w:tblHeader/>
        </w:trPr>
        <w:tc>
          <w:tcPr>
            <w:tcW w:w="5000" w:type="pct"/>
            <w:gridSpan w:val="3"/>
            <w:tcBorders>
              <w:top w:val="single" w:sz="12" w:space="0" w:color="auto"/>
              <w:left w:val="nil"/>
              <w:bottom w:val="single" w:sz="6" w:space="0" w:color="auto"/>
              <w:right w:val="nil"/>
            </w:tcBorders>
            <w:shd w:val="clear" w:color="auto" w:fill="auto"/>
          </w:tcPr>
          <w:p w:rsidR="002527B9" w:rsidRPr="00E504D2" w:rsidRDefault="002527B9" w:rsidP="00730C96">
            <w:pPr>
              <w:pStyle w:val="TableHeading"/>
            </w:pPr>
            <w:r w:rsidRPr="00E504D2">
              <w:t>Fixed fees for the supply of sewerage services</w:t>
            </w:r>
          </w:p>
        </w:tc>
      </w:tr>
      <w:tr w:rsidR="002527B9" w:rsidRPr="00E504D2" w:rsidTr="00730C96">
        <w:trPr>
          <w:trHeight w:val="340"/>
          <w:tblHeader/>
        </w:trPr>
        <w:tc>
          <w:tcPr>
            <w:tcW w:w="566" w:type="pct"/>
            <w:tcBorders>
              <w:left w:val="nil"/>
              <w:bottom w:val="single" w:sz="4" w:space="0" w:color="auto"/>
              <w:right w:val="nil"/>
            </w:tcBorders>
            <w:shd w:val="clear" w:color="auto" w:fill="auto"/>
          </w:tcPr>
          <w:p w:rsidR="002527B9" w:rsidRPr="00E504D2" w:rsidRDefault="002527B9" w:rsidP="00730C96">
            <w:pPr>
              <w:pStyle w:val="TableHeading"/>
            </w:pPr>
            <w:r w:rsidRPr="00E504D2">
              <w:t>Item</w:t>
            </w:r>
          </w:p>
        </w:tc>
        <w:tc>
          <w:tcPr>
            <w:tcW w:w="3404" w:type="pct"/>
            <w:tcBorders>
              <w:left w:val="nil"/>
              <w:bottom w:val="single" w:sz="4" w:space="0" w:color="auto"/>
              <w:right w:val="nil"/>
            </w:tcBorders>
            <w:shd w:val="clear" w:color="auto" w:fill="auto"/>
          </w:tcPr>
          <w:p w:rsidR="002527B9" w:rsidRPr="00E504D2" w:rsidRDefault="002527B9" w:rsidP="00730C96">
            <w:pPr>
              <w:pStyle w:val="TableHeading"/>
            </w:pPr>
            <w:r w:rsidRPr="00E504D2">
              <w:t>Supply of sewerage services to …</w:t>
            </w:r>
          </w:p>
        </w:tc>
        <w:tc>
          <w:tcPr>
            <w:tcW w:w="1030" w:type="pct"/>
            <w:tcBorders>
              <w:left w:val="nil"/>
              <w:bottom w:val="single" w:sz="4" w:space="0" w:color="auto"/>
              <w:right w:val="nil"/>
            </w:tcBorders>
            <w:shd w:val="clear" w:color="auto" w:fill="auto"/>
          </w:tcPr>
          <w:p w:rsidR="002527B9" w:rsidRPr="00E504D2" w:rsidRDefault="002527B9" w:rsidP="001C2171">
            <w:pPr>
              <w:pStyle w:val="TableHeading"/>
              <w:jc w:val="right"/>
            </w:pPr>
            <w:r w:rsidRPr="00E504D2">
              <w:t>Fixed fee</w:t>
            </w:r>
          </w:p>
        </w:tc>
      </w:tr>
      <w:tr w:rsidR="002527B9" w:rsidRPr="00E504D2" w:rsidTr="00730C96">
        <w:tc>
          <w:tcPr>
            <w:tcW w:w="566" w:type="pct"/>
            <w:vMerge w:val="restart"/>
            <w:tcBorders>
              <w:top w:val="single" w:sz="4" w:space="0" w:color="auto"/>
              <w:left w:val="nil"/>
              <w:right w:val="nil"/>
            </w:tcBorders>
            <w:shd w:val="clear" w:color="auto" w:fill="auto"/>
          </w:tcPr>
          <w:p w:rsidR="002527B9" w:rsidRPr="00E504D2" w:rsidRDefault="002527B9" w:rsidP="00730C96">
            <w:pPr>
              <w:pStyle w:val="Tabletext"/>
            </w:pPr>
            <w:r w:rsidRPr="00E504D2">
              <w:t>1</w:t>
            </w:r>
          </w:p>
        </w:tc>
        <w:tc>
          <w:tcPr>
            <w:tcW w:w="3404" w:type="pct"/>
            <w:tcBorders>
              <w:top w:val="single" w:sz="4" w:space="0" w:color="auto"/>
              <w:left w:val="nil"/>
              <w:bottom w:val="nil"/>
              <w:right w:val="nil"/>
            </w:tcBorders>
            <w:shd w:val="clear" w:color="auto" w:fill="auto"/>
          </w:tcPr>
          <w:p w:rsidR="002527B9" w:rsidRPr="00E504D2" w:rsidRDefault="002527B9" w:rsidP="00730C96">
            <w:pPr>
              <w:pStyle w:val="Tabletext"/>
            </w:pPr>
            <w:r w:rsidRPr="00E504D2">
              <w:t>residential land:</w:t>
            </w:r>
          </w:p>
        </w:tc>
        <w:tc>
          <w:tcPr>
            <w:tcW w:w="1030" w:type="pct"/>
            <w:tcBorders>
              <w:top w:val="single" w:sz="4" w:space="0" w:color="auto"/>
              <w:left w:val="nil"/>
              <w:bottom w:val="nil"/>
              <w:right w:val="nil"/>
            </w:tcBorders>
            <w:shd w:val="clear" w:color="auto" w:fill="auto"/>
          </w:tcPr>
          <w:p w:rsidR="002527B9" w:rsidRPr="00E504D2" w:rsidRDefault="002527B9" w:rsidP="001C2171">
            <w:pPr>
              <w:pStyle w:val="Tabletext"/>
              <w:jc w:val="right"/>
            </w:pP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(a) rate in the dollar</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$0.1254 per $</w:t>
            </w:r>
            <w:r w:rsidR="00EC6A8D" w:rsidRPr="00E504D2">
              <w:t>1</w:t>
            </w:r>
            <w:r w:rsidRPr="00E504D2">
              <w:t xml:space="preserve"> of gross rental value</w:t>
            </w: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(b) minimum annual fee</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$381.26</w:t>
            </w:r>
          </w:p>
        </w:tc>
      </w:tr>
      <w:tr w:rsidR="002527B9" w:rsidRPr="00E504D2" w:rsidTr="00730C96">
        <w:tc>
          <w:tcPr>
            <w:tcW w:w="566" w:type="pct"/>
            <w:vMerge/>
            <w:tcBorders>
              <w:left w:val="nil"/>
              <w:bottom w:val="single" w:sz="4" w:space="0" w:color="auto"/>
              <w:right w:val="nil"/>
            </w:tcBorders>
            <w:shd w:val="clear" w:color="auto" w:fill="auto"/>
          </w:tcPr>
          <w:p w:rsidR="002527B9" w:rsidRPr="00E504D2" w:rsidRDefault="002527B9" w:rsidP="00730C96">
            <w:pPr>
              <w:pStyle w:val="Tabletext"/>
            </w:pPr>
          </w:p>
        </w:tc>
        <w:tc>
          <w:tcPr>
            <w:tcW w:w="3404" w:type="pct"/>
            <w:tcBorders>
              <w:top w:val="nil"/>
              <w:left w:val="nil"/>
              <w:bottom w:val="single" w:sz="4" w:space="0" w:color="auto"/>
              <w:right w:val="nil"/>
            </w:tcBorders>
            <w:shd w:val="clear" w:color="auto" w:fill="auto"/>
          </w:tcPr>
          <w:p w:rsidR="002527B9" w:rsidRPr="00E504D2" w:rsidRDefault="002527B9" w:rsidP="00730C96">
            <w:pPr>
              <w:pStyle w:val="Tablea"/>
            </w:pPr>
            <w:r w:rsidRPr="00E504D2">
              <w:t>(c) maximum annual fee</w:t>
            </w:r>
          </w:p>
        </w:tc>
        <w:tc>
          <w:tcPr>
            <w:tcW w:w="1030" w:type="pct"/>
            <w:tcBorders>
              <w:top w:val="nil"/>
              <w:left w:val="nil"/>
              <w:bottom w:val="single" w:sz="4" w:space="0" w:color="auto"/>
              <w:right w:val="nil"/>
            </w:tcBorders>
            <w:shd w:val="clear" w:color="auto" w:fill="auto"/>
          </w:tcPr>
          <w:p w:rsidR="002527B9" w:rsidRPr="00E504D2" w:rsidRDefault="002527B9" w:rsidP="001C2171">
            <w:pPr>
              <w:pStyle w:val="Tabletext"/>
              <w:jc w:val="right"/>
            </w:pPr>
            <w:r w:rsidRPr="00E504D2">
              <w:t>$1</w:t>
            </w:r>
            <w:r w:rsidR="00EA625C" w:rsidRPr="00E504D2">
              <w:t>,</w:t>
            </w:r>
            <w:r w:rsidRPr="00E504D2">
              <w:t>040.89</w:t>
            </w:r>
          </w:p>
        </w:tc>
      </w:tr>
      <w:tr w:rsidR="002527B9" w:rsidRPr="00E504D2" w:rsidTr="00730C96">
        <w:tc>
          <w:tcPr>
            <w:tcW w:w="566" w:type="pct"/>
            <w:vMerge w:val="restart"/>
            <w:tcBorders>
              <w:top w:val="single" w:sz="4" w:space="0" w:color="auto"/>
              <w:left w:val="nil"/>
              <w:right w:val="nil"/>
            </w:tcBorders>
            <w:shd w:val="clear" w:color="auto" w:fill="auto"/>
          </w:tcPr>
          <w:p w:rsidR="002527B9" w:rsidRPr="00E504D2" w:rsidRDefault="002527B9" w:rsidP="00730C96">
            <w:pPr>
              <w:pStyle w:val="Tabletext"/>
            </w:pPr>
            <w:r w:rsidRPr="00E504D2">
              <w:t>2</w:t>
            </w:r>
          </w:p>
        </w:tc>
        <w:tc>
          <w:tcPr>
            <w:tcW w:w="3404" w:type="pct"/>
            <w:tcBorders>
              <w:top w:val="single" w:sz="4" w:space="0" w:color="auto"/>
              <w:left w:val="nil"/>
              <w:bottom w:val="nil"/>
              <w:right w:val="nil"/>
            </w:tcBorders>
            <w:shd w:val="clear" w:color="auto" w:fill="auto"/>
          </w:tcPr>
          <w:p w:rsidR="002527B9" w:rsidRPr="00E504D2" w:rsidRDefault="002527B9" w:rsidP="00524DA0">
            <w:pPr>
              <w:pStyle w:val="Tabletext"/>
            </w:pPr>
            <w:r w:rsidRPr="00E504D2">
              <w:t>commercial</w:t>
            </w:r>
            <w:r w:rsidR="00FD27C0" w:rsidRPr="00E504D2">
              <w:t xml:space="preserve"> land</w:t>
            </w:r>
            <w:r w:rsidRPr="00E504D2">
              <w:t xml:space="preserve"> or industrial land (other than land mentioned in item</w:t>
            </w:r>
            <w:r w:rsidR="00E504D2" w:rsidRPr="00E504D2">
              <w:t> </w:t>
            </w:r>
            <w:r w:rsidRPr="00E504D2">
              <w:t>6)</w:t>
            </w:r>
            <w:r w:rsidR="00524DA0" w:rsidRPr="00E504D2">
              <w:t xml:space="preserve"> or mining land</w:t>
            </w:r>
            <w:r w:rsidRPr="00E504D2">
              <w:t>:</w:t>
            </w:r>
          </w:p>
        </w:tc>
        <w:tc>
          <w:tcPr>
            <w:tcW w:w="1030" w:type="pct"/>
            <w:tcBorders>
              <w:top w:val="single" w:sz="4" w:space="0" w:color="auto"/>
              <w:left w:val="nil"/>
              <w:bottom w:val="nil"/>
              <w:right w:val="nil"/>
            </w:tcBorders>
            <w:shd w:val="clear" w:color="auto" w:fill="auto"/>
          </w:tcPr>
          <w:p w:rsidR="002527B9" w:rsidRPr="00E504D2" w:rsidRDefault="002527B9" w:rsidP="001C2171">
            <w:pPr>
              <w:pStyle w:val="Tabletext"/>
              <w:jc w:val="right"/>
              <w:rPr>
                <w:i/>
              </w:rPr>
            </w:pP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(a) first major fixture</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$886.68</w:t>
            </w: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(b) second major fixture</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$379.55</w:t>
            </w: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(c) third major fixture</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$506.88</w:t>
            </w: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(d) each subsequent major fixture</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$551.20</w:t>
            </w:r>
          </w:p>
        </w:tc>
      </w:tr>
      <w:tr w:rsidR="002527B9" w:rsidRPr="00E504D2" w:rsidTr="00730C96">
        <w:tc>
          <w:tcPr>
            <w:tcW w:w="566" w:type="pct"/>
            <w:vMerge/>
            <w:tcBorders>
              <w:left w:val="nil"/>
              <w:bottom w:val="single" w:sz="4" w:space="0" w:color="auto"/>
              <w:right w:val="nil"/>
            </w:tcBorders>
            <w:shd w:val="clear" w:color="auto" w:fill="auto"/>
          </w:tcPr>
          <w:p w:rsidR="002527B9" w:rsidRPr="00E504D2" w:rsidRDefault="002527B9" w:rsidP="00730C96">
            <w:pPr>
              <w:pStyle w:val="Tabletext"/>
            </w:pPr>
          </w:p>
        </w:tc>
        <w:tc>
          <w:tcPr>
            <w:tcW w:w="3404" w:type="pct"/>
            <w:tcBorders>
              <w:top w:val="nil"/>
              <w:left w:val="nil"/>
              <w:bottom w:val="single" w:sz="4" w:space="0" w:color="auto"/>
              <w:right w:val="nil"/>
            </w:tcBorders>
            <w:shd w:val="clear" w:color="auto" w:fill="auto"/>
          </w:tcPr>
          <w:p w:rsidR="002527B9" w:rsidRPr="00E504D2" w:rsidRDefault="002527B9" w:rsidP="00730C96">
            <w:pPr>
              <w:pStyle w:val="Tablea"/>
            </w:pPr>
            <w:r w:rsidRPr="00E504D2">
              <w:t>(e) minimum annual fee</w:t>
            </w:r>
          </w:p>
        </w:tc>
        <w:tc>
          <w:tcPr>
            <w:tcW w:w="1030" w:type="pct"/>
            <w:tcBorders>
              <w:top w:val="nil"/>
              <w:left w:val="nil"/>
              <w:bottom w:val="single" w:sz="4" w:space="0" w:color="auto"/>
              <w:right w:val="nil"/>
            </w:tcBorders>
            <w:shd w:val="clear" w:color="auto" w:fill="auto"/>
          </w:tcPr>
          <w:p w:rsidR="002527B9" w:rsidRPr="00E504D2" w:rsidRDefault="002527B9" w:rsidP="001C2171">
            <w:pPr>
              <w:pStyle w:val="Tabletext"/>
              <w:jc w:val="right"/>
            </w:pPr>
            <w:r w:rsidRPr="00E504D2">
              <w:t>$886.68</w:t>
            </w:r>
          </w:p>
        </w:tc>
      </w:tr>
      <w:tr w:rsidR="002527B9" w:rsidRPr="00E504D2" w:rsidTr="00730C96">
        <w:tc>
          <w:tcPr>
            <w:tcW w:w="566" w:type="pct"/>
            <w:vMerge w:val="restart"/>
            <w:tcBorders>
              <w:top w:val="single" w:sz="4" w:space="0" w:color="auto"/>
              <w:left w:val="nil"/>
              <w:right w:val="nil"/>
            </w:tcBorders>
            <w:shd w:val="clear" w:color="auto" w:fill="auto"/>
          </w:tcPr>
          <w:p w:rsidR="002527B9" w:rsidRPr="00E504D2" w:rsidRDefault="002527B9" w:rsidP="00730C96">
            <w:pPr>
              <w:pStyle w:val="Tabletext"/>
            </w:pPr>
            <w:r w:rsidRPr="00E504D2">
              <w:t>3</w:t>
            </w:r>
          </w:p>
        </w:tc>
        <w:tc>
          <w:tcPr>
            <w:tcW w:w="3404" w:type="pct"/>
            <w:tcBorders>
              <w:top w:val="single" w:sz="4" w:space="0" w:color="auto"/>
              <w:left w:val="nil"/>
              <w:bottom w:val="nil"/>
              <w:right w:val="nil"/>
            </w:tcBorders>
            <w:shd w:val="clear" w:color="auto" w:fill="auto"/>
          </w:tcPr>
          <w:p w:rsidR="002527B9" w:rsidRPr="00E504D2" w:rsidRDefault="002527B9" w:rsidP="00730C96">
            <w:pPr>
              <w:pStyle w:val="Tabletext"/>
            </w:pPr>
            <w:r w:rsidRPr="00E504D2">
              <w:t>vacant land:</w:t>
            </w:r>
          </w:p>
        </w:tc>
        <w:tc>
          <w:tcPr>
            <w:tcW w:w="1030" w:type="pct"/>
            <w:tcBorders>
              <w:top w:val="single" w:sz="4" w:space="0" w:color="auto"/>
              <w:left w:val="nil"/>
              <w:bottom w:val="nil"/>
              <w:right w:val="nil"/>
            </w:tcBorders>
            <w:shd w:val="clear" w:color="auto" w:fill="auto"/>
          </w:tcPr>
          <w:p w:rsidR="002527B9" w:rsidRPr="00E504D2" w:rsidRDefault="002527B9" w:rsidP="001C2171">
            <w:pPr>
              <w:pStyle w:val="Tabletext"/>
              <w:jc w:val="right"/>
            </w:pP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(a) rate in the dollar</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$0.1254 per $</w:t>
            </w:r>
            <w:r w:rsidR="00EC6A8D" w:rsidRPr="00E504D2">
              <w:t>1</w:t>
            </w:r>
            <w:r w:rsidRPr="00E504D2">
              <w:t xml:space="preserve"> of gross rental value</w:t>
            </w: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(b) minimum annual fee</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$250.88</w:t>
            </w:r>
          </w:p>
        </w:tc>
      </w:tr>
      <w:tr w:rsidR="002527B9" w:rsidRPr="00E504D2" w:rsidTr="00730C96">
        <w:tc>
          <w:tcPr>
            <w:tcW w:w="566" w:type="pct"/>
            <w:vMerge/>
            <w:tcBorders>
              <w:left w:val="nil"/>
              <w:bottom w:val="single" w:sz="4" w:space="0" w:color="auto"/>
              <w:right w:val="nil"/>
            </w:tcBorders>
            <w:shd w:val="clear" w:color="auto" w:fill="auto"/>
          </w:tcPr>
          <w:p w:rsidR="002527B9" w:rsidRPr="00E504D2" w:rsidRDefault="002527B9" w:rsidP="00730C96">
            <w:pPr>
              <w:pStyle w:val="Tabletext"/>
            </w:pPr>
          </w:p>
        </w:tc>
        <w:tc>
          <w:tcPr>
            <w:tcW w:w="3404" w:type="pct"/>
            <w:tcBorders>
              <w:top w:val="nil"/>
              <w:left w:val="nil"/>
              <w:bottom w:val="single" w:sz="4" w:space="0" w:color="auto"/>
              <w:right w:val="nil"/>
            </w:tcBorders>
            <w:shd w:val="clear" w:color="auto" w:fill="auto"/>
          </w:tcPr>
          <w:p w:rsidR="002527B9" w:rsidRPr="00E504D2" w:rsidRDefault="002527B9" w:rsidP="00730C96">
            <w:pPr>
              <w:pStyle w:val="Tablea"/>
            </w:pPr>
            <w:r w:rsidRPr="00E504D2">
              <w:t>(c) maximum annual fee (if zoned for future residential use)</w:t>
            </w:r>
          </w:p>
        </w:tc>
        <w:tc>
          <w:tcPr>
            <w:tcW w:w="1030" w:type="pct"/>
            <w:tcBorders>
              <w:top w:val="nil"/>
              <w:left w:val="nil"/>
              <w:bottom w:val="single" w:sz="4" w:space="0" w:color="auto"/>
              <w:right w:val="nil"/>
            </w:tcBorders>
            <w:shd w:val="clear" w:color="auto" w:fill="auto"/>
          </w:tcPr>
          <w:p w:rsidR="002527B9" w:rsidRPr="00E504D2" w:rsidRDefault="002527B9" w:rsidP="001C2171">
            <w:pPr>
              <w:pStyle w:val="Tabletext"/>
              <w:jc w:val="right"/>
            </w:pPr>
            <w:r w:rsidRPr="00E504D2">
              <w:t>$1</w:t>
            </w:r>
            <w:r w:rsidR="00EA625C" w:rsidRPr="00E504D2">
              <w:t>,</w:t>
            </w:r>
            <w:r w:rsidRPr="00E504D2">
              <w:t>040.89</w:t>
            </w:r>
          </w:p>
        </w:tc>
      </w:tr>
      <w:tr w:rsidR="002527B9" w:rsidRPr="00E504D2" w:rsidTr="00730C96">
        <w:tc>
          <w:tcPr>
            <w:tcW w:w="566" w:type="pct"/>
            <w:vMerge w:val="restart"/>
            <w:tcBorders>
              <w:top w:val="single" w:sz="4" w:space="0" w:color="auto"/>
              <w:left w:val="nil"/>
              <w:right w:val="nil"/>
            </w:tcBorders>
            <w:shd w:val="clear" w:color="auto" w:fill="auto"/>
          </w:tcPr>
          <w:p w:rsidR="002527B9" w:rsidRPr="00E504D2" w:rsidRDefault="002527B9" w:rsidP="00730C96">
            <w:pPr>
              <w:pStyle w:val="Tabletext"/>
            </w:pPr>
            <w:r w:rsidRPr="00E504D2">
              <w:t>4</w:t>
            </w:r>
          </w:p>
        </w:tc>
        <w:tc>
          <w:tcPr>
            <w:tcW w:w="3404" w:type="pct"/>
            <w:tcBorders>
              <w:top w:val="single" w:sz="4" w:space="0" w:color="auto"/>
              <w:left w:val="nil"/>
              <w:bottom w:val="nil"/>
              <w:right w:val="nil"/>
            </w:tcBorders>
            <w:shd w:val="clear" w:color="auto" w:fill="auto"/>
          </w:tcPr>
          <w:p w:rsidR="002527B9" w:rsidRPr="00E504D2" w:rsidRDefault="002527B9" w:rsidP="00730C96">
            <w:pPr>
              <w:pStyle w:val="Tabletext"/>
            </w:pPr>
            <w:r w:rsidRPr="00E504D2">
              <w:t>institutional/public land, charitable purposes land or local government land:</w:t>
            </w:r>
          </w:p>
        </w:tc>
        <w:tc>
          <w:tcPr>
            <w:tcW w:w="1030" w:type="pct"/>
            <w:tcBorders>
              <w:top w:val="single" w:sz="4" w:space="0" w:color="auto"/>
              <w:left w:val="nil"/>
              <w:bottom w:val="nil"/>
              <w:right w:val="nil"/>
            </w:tcBorders>
            <w:shd w:val="clear" w:color="auto" w:fill="auto"/>
          </w:tcPr>
          <w:p w:rsidR="002527B9" w:rsidRPr="00E504D2" w:rsidRDefault="002527B9" w:rsidP="001C2171">
            <w:pPr>
              <w:pStyle w:val="Tabletext"/>
              <w:jc w:val="right"/>
            </w:pP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(a) first major fixture</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$238.23</w:t>
            </w:r>
          </w:p>
        </w:tc>
      </w:tr>
      <w:tr w:rsidR="002527B9" w:rsidRPr="00E504D2" w:rsidTr="00730C96">
        <w:tc>
          <w:tcPr>
            <w:tcW w:w="566" w:type="pct"/>
            <w:vMerge/>
            <w:tcBorders>
              <w:left w:val="nil"/>
              <w:bottom w:val="single" w:sz="4" w:space="0" w:color="auto"/>
              <w:right w:val="nil"/>
            </w:tcBorders>
            <w:shd w:val="clear" w:color="auto" w:fill="auto"/>
          </w:tcPr>
          <w:p w:rsidR="002527B9" w:rsidRPr="00E504D2" w:rsidRDefault="002527B9" w:rsidP="00730C96">
            <w:pPr>
              <w:pStyle w:val="Tabletext"/>
            </w:pPr>
          </w:p>
        </w:tc>
        <w:tc>
          <w:tcPr>
            <w:tcW w:w="3404" w:type="pct"/>
            <w:tcBorders>
              <w:top w:val="nil"/>
              <w:left w:val="nil"/>
              <w:bottom w:val="single" w:sz="4" w:space="0" w:color="auto"/>
              <w:right w:val="nil"/>
            </w:tcBorders>
            <w:shd w:val="clear" w:color="auto" w:fill="auto"/>
          </w:tcPr>
          <w:p w:rsidR="002527B9" w:rsidRPr="00E504D2" w:rsidRDefault="002527B9" w:rsidP="00730C96">
            <w:pPr>
              <w:pStyle w:val="Tablea"/>
            </w:pPr>
            <w:r w:rsidRPr="00E504D2">
              <w:t>(b) each subsequent major fixture</w:t>
            </w:r>
          </w:p>
        </w:tc>
        <w:tc>
          <w:tcPr>
            <w:tcW w:w="1030" w:type="pct"/>
            <w:tcBorders>
              <w:top w:val="nil"/>
              <w:left w:val="nil"/>
              <w:bottom w:val="single" w:sz="4" w:space="0" w:color="auto"/>
              <w:right w:val="nil"/>
            </w:tcBorders>
            <w:shd w:val="clear" w:color="auto" w:fill="auto"/>
          </w:tcPr>
          <w:p w:rsidR="002527B9" w:rsidRPr="00E504D2" w:rsidRDefault="002527B9" w:rsidP="001C2171">
            <w:pPr>
              <w:pStyle w:val="Tabletext"/>
              <w:jc w:val="right"/>
            </w:pPr>
            <w:r w:rsidRPr="00E504D2">
              <w:t>$104.81</w:t>
            </w:r>
          </w:p>
        </w:tc>
      </w:tr>
      <w:tr w:rsidR="002527B9" w:rsidRPr="00E504D2" w:rsidTr="00730C96">
        <w:tc>
          <w:tcPr>
            <w:tcW w:w="566" w:type="pct"/>
            <w:vMerge w:val="restart"/>
            <w:tcBorders>
              <w:top w:val="single" w:sz="4" w:space="0" w:color="auto"/>
              <w:left w:val="nil"/>
              <w:right w:val="nil"/>
            </w:tcBorders>
            <w:shd w:val="clear" w:color="auto" w:fill="auto"/>
          </w:tcPr>
          <w:p w:rsidR="002527B9" w:rsidRPr="00E504D2" w:rsidRDefault="002527B9" w:rsidP="00730C96">
            <w:pPr>
              <w:pStyle w:val="Tabletext"/>
            </w:pPr>
            <w:r w:rsidRPr="00E504D2">
              <w:t>5</w:t>
            </w:r>
          </w:p>
        </w:tc>
        <w:tc>
          <w:tcPr>
            <w:tcW w:w="3404" w:type="pct"/>
            <w:tcBorders>
              <w:top w:val="single" w:sz="4" w:space="0" w:color="auto"/>
              <w:left w:val="nil"/>
              <w:bottom w:val="nil"/>
              <w:right w:val="nil"/>
            </w:tcBorders>
            <w:shd w:val="clear" w:color="auto" w:fill="auto"/>
          </w:tcPr>
          <w:p w:rsidR="002527B9" w:rsidRPr="00E504D2" w:rsidRDefault="002527B9" w:rsidP="00730C96">
            <w:pPr>
              <w:pStyle w:val="Tabletext"/>
            </w:pPr>
            <w:r w:rsidRPr="00E504D2">
              <w:t>government land:</w:t>
            </w:r>
          </w:p>
        </w:tc>
        <w:tc>
          <w:tcPr>
            <w:tcW w:w="1030" w:type="pct"/>
            <w:tcBorders>
              <w:top w:val="single" w:sz="4" w:space="0" w:color="auto"/>
              <w:left w:val="nil"/>
              <w:bottom w:val="nil"/>
              <w:right w:val="nil"/>
            </w:tcBorders>
            <w:shd w:val="clear" w:color="auto" w:fill="auto"/>
          </w:tcPr>
          <w:p w:rsidR="002527B9" w:rsidRPr="00E504D2" w:rsidRDefault="002527B9" w:rsidP="001C2171">
            <w:pPr>
              <w:pStyle w:val="Tabletext"/>
              <w:jc w:val="right"/>
            </w:pP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(a) first major fixture</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$886.68</w:t>
            </w: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(b) second major fixture</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$379.55</w:t>
            </w:r>
          </w:p>
        </w:tc>
      </w:tr>
      <w:tr w:rsidR="002527B9" w:rsidRPr="00E504D2" w:rsidTr="00730C96">
        <w:tc>
          <w:tcPr>
            <w:tcW w:w="566" w:type="pct"/>
            <w:vMerge/>
            <w:tcBorders>
              <w:left w:val="nil"/>
              <w:right w:val="nil"/>
            </w:tcBorders>
            <w:shd w:val="clear" w:color="auto" w:fill="auto"/>
          </w:tcPr>
          <w:p w:rsidR="002527B9" w:rsidRPr="00E504D2" w:rsidRDefault="002527B9" w:rsidP="00730C96">
            <w:pPr>
              <w:pStyle w:val="Tabletext"/>
            </w:pPr>
          </w:p>
        </w:tc>
        <w:tc>
          <w:tcPr>
            <w:tcW w:w="3404" w:type="pct"/>
            <w:tcBorders>
              <w:top w:val="nil"/>
              <w:left w:val="nil"/>
              <w:bottom w:val="nil"/>
              <w:right w:val="nil"/>
            </w:tcBorders>
            <w:shd w:val="clear" w:color="auto" w:fill="auto"/>
          </w:tcPr>
          <w:p w:rsidR="002527B9" w:rsidRPr="00E504D2" w:rsidRDefault="002527B9" w:rsidP="00730C96">
            <w:pPr>
              <w:pStyle w:val="Tablea"/>
            </w:pPr>
            <w:r w:rsidRPr="00E504D2">
              <w:t>(c) third major fixture</w:t>
            </w:r>
          </w:p>
        </w:tc>
        <w:tc>
          <w:tcPr>
            <w:tcW w:w="1030" w:type="pct"/>
            <w:tcBorders>
              <w:top w:val="nil"/>
              <w:left w:val="nil"/>
              <w:bottom w:val="nil"/>
              <w:right w:val="nil"/>
            </w:tcBorders>
            <w:shd w:val="clear" w:color="auto" w:fill="auto"/>
          </w:tcPr>
          <w:p w:rsidR="002527B9" w:rsidRPr="00E504D2" w:rsidRDefault="002527B9" w:rsidP="001C2171">
            <w:pPr>
              <w:pStyle w:val="Tabletext"/>
              <w:jc w:val="right"/>
            </w:pPr>
            <w:r w:rsidRPr="00E504D2">
              <w:t>$506.88</w:t>
            </w:r>
          </w:p>
        </w:tc>
      </w:tr>
      <w:tr w:rsidR="002527B9" w:rsidRPr="00E504D2" w:rsidTr="00730C96">
        <w:tc>
          <w:tcPr>
            <w:tcW w:w="566" w:type="pct"/>
            <w:vMerge/>
            <w:tcBorders>
              <w:left w:val="nil"/>
              <w:bottom w:val="single" w:sz="4" w:space="0" w:color="auto"/>
              <w:right w:val="nil"/>
            </w:tcBorders>
            <w:shd w:val="clear" w:color="auto" w:fill="auto"/>
          </w:tcPr>
          <w:p w:rsidR="002527B9" w:rsidRPr="00E504D2" w:rsidRDefault="002527B9" w:rsidP="00730C96">
            <w:pPr>
              <w:pStyle w:val="Tabletext"/>
            </w:pPr>
          </w:p>
        </w:tc>
        <w:tc>
          <w:tcPr>
            <w:tcW w:w="3404" w:type="pct"/>
            <w:tcBorders>
              <w:top w:val="nil"/>
              <w:left w:val="nil"/>
              <w:bottom w:val="single" w:sz="4" w:space="0" w:color="auto"/>
              <w:right w:val="nil"/>
            </w:tcBorders>
            <w:shd w:val="clear" w:color="auto" w:fill="auto"/>
          </w:tcPr>
          <w:p w:rsidR="002527B9" w:rsidRPr="00E504D2" w:rsidRDefault="002527B9" w:rsidP="00730C96">
            <w:pPr>
              <w:pStyle w:val="Tablea"/>
            </w:pPr>
            <w:r w:rsidRPr="00E504D2">
              <w:t>(d) each subsequent major fixture</w:t>
            </w:r>
          </w:p>
        </w:tc>
        <w:tc>
          <w:tcPr>
            <w:tcW w:w="1030" w:type="pct"/>
            <w:tcBorders>
              <w:top w:val="nil"/>
              <w:left w:val="nil"/>
              <w:bottom w:val="single" w:sz="4" w:space="0" w:color="auto"/>
              <w:right w:val="nil"/>
            </w:tcBorders>
            <w:shd w:val="clear" w:color="auto" w:fill="auto"/>
          </w:tcPr>
          <w:p w:rsidR="002527B9" w:rsidRPr="00E504D2" w:rsidRDefault="002527B9" w:rsidP="001C2171">
            <w:pPr>
              <w:pStyle w:val="Tabletext"/>
              <w:jc w:val="right"/>
            </w:pPr>
            <w:r w:rsidRPr="00E504D2">
              <w:t>$551.20</w:t>
            </w:r>
          </w:p>
        </w:tc>
      </w:tr>
      <w:tr w:rsidR="002527B9" w:rsidRPr="00E504D2" w:rsidTr="00730C96">
        <w:trPr>
          <w:trHeight w:val="584"/>
        </w:trPr>
        <w:tc>
          <w:tcPr>
            <w:tcW w:w="566" w:type="pct"/>
            <w:tcBorders>
              <w:top w:val="single" w:sz="4" w:space="0" w:color="auto"/>
              <w:left w:val="nil"/>
              <w:bottom w:val="single" w:sz="12" w:space="0" w:color="auto"/>
              <w:right w:val="nil"/>
            </w:tcBorders>
            <w:shd w:val="clear" w:color="auto" w:fill="auto"/>
          </w:tcPr>
          <w:p w:rsidR="002527B9" w:rsidRPr="00E504D2" w:rsidRDefault="002527B9" w:rsidP="00730C96">
            <w:pPr>
              <w:pStyle w:val="Tabletext"/>
            </w:pPr>
            <w:r w:rsidRPr="00E504D2">
              <w:t>6</w:t>
            </w:r>
          </w:p>
        </w:tc>
        <w:tc>
          <w:tcPr>
            <w:tcW w:w="3404" w:type="pct"/>
            <w:tcBorders>
              <w:top w:val="single" w:sz="4" w:space="0" w:color="auto"/>
              <w:left w:val="nil"/>
              <w:bottom w:val="single" w:sz="12" w:space="0" w:color="auto"/>
              <w:right w:val="nil"/>
            </w:tcBorders>
            <w:shd w:val="clear" w:color="auto" w:fill="auto"/>
          </w:tcPr>
          <w:p w:rsidR="002527B9" w:rsidRPr="00E504D2" w:rsidRDefault="002527B9" w:rsidP="00730C96">
            <w:pPr>
              <w:pStyle w:val="Tabletext"/>
            </w:pPr>
            <w:r w:rsidRPr="00E504D2">
              <w:t>strata</w:t>
            </w:r>
            <w:r w:rsidR="00E504D2">
              <w:noBreakHyphen/>
            </w:r>
            <w:r w:rsidRPr="00E504D2">
              <w:t>titled commercial</w:t>
            </w:r>
            <w:r w:rsidR="00FD27C0" w:rsidRPr="00E504D2">
              <w:t xml:space="preserve"> land</w:t>
            </w:r>
            <w:r w:rsidRPr="00E504D2">
              <w:t xml:space="preserve"> or industrial land, if sharing a major fixture</w:t>
            </w:r>
          </w:p>
        </w:tc>
        <w:tc>
          <w:tcPr>
            <w:tcW w:w="1030" w:type="pct"/>
            <w:tcBorders>
              <w:top w:val="single" w:sz="4" w:space="0" w:color="auto"/>
              <w:left w:val="nil"/>
              <w:bottom w:val="single" w:sz="12" w:space="0" w:color="auto"/>
              <w:right w:val="nil"/>
            </w:tcBorders>
            <w:shd w:val="clear" w:color="auto" w:fill="auto"/>
          </w:tcPr>
          <w:p w:rsidR="002527B9" w:rsidRPr="00E504D2" w:rsidRDefault="002527B9" w:rsidP="001C2171">
            <w:pPr>
              <w:pStyle w:val="Tabletext"/>
              <w:jc w:val="right"/>
              <w:rPr>
                <w:i/>
              </w:rPr>
            </w:pPr>
            <w:r w:rsidRPr="00E504D2">
              <w:t>$551.20</w:t>
            </w:r>
          </w:p>
        </w:tc>
      </w:tr>
    </w:tbl>
    <w:p w:rsidR="002527B9" w:rsidRPr="00E504D2" w:rsidRDefault="002527B9" w:rsidP="002527B9">
      <w:pPr>
        <w:pStyle w:val="ActHead1"/>
        <w:pageBreakBefore/>
      </w:pPr>
      <w:bookmarkStart w:id="20" w:name="_Toc454972756"/>
      <w:r w:rsidRPr="00E504D2">
        <w:rPr>
          <w:rStyle w:val="CharChapNo"/>
        </w:rPr>
        <w:lastRenderedPageBreak/>
        <w:t>Schedule</w:t>
      </w:r>
      <w:r w:rsidR="00E504D2" w:rsidRPr="00E504D2">
        <w:rPr>
          <w:rStyle w:val="CharChapNo"/>
        </w:rPr>
        <w:t> </w:t>
      </w:r>
      <w:r w:rsidRPr="00E504D2">
        <w:rPr>
          <w:rStyle w:val="CharChapNo"/>
        </w:rPr>
        <w:t>3</w:t>
      </w:r>
      <w:r w:rsidRPr="00E504D2">
        <w:t>—</w:t>
      </w:r>
      <w:r w:rsidRPr="00E504D2">
        <w:rPr>
          <w:rStyle w:val="CharChapText"/>
        </w:rPr>
        <w:t>Quantity fees for the supply of water and sewerage services</w:t>
      </w:r>
      <w:bookmarkEnd w:id="20"/>
    </w:p>
    <w:p w:rsidR="002527B9" w:rsidRPr="00E504D2" w:rsidRDefault="002527B9" w:rsidP="002527B9">
      <w:pPr>
        <w:pStyle w:val="notemargin"/>
      </w:pPr>
      <w:r w:rsidRPr="00E504D2">
        <w:t>Note:</w:t>
      </w:r>
      <w:r w:rsidRPr="00E504D2">
        <w:tab/>
        <w:t>See paragraph</w:t>
      </w:r>
      <w:r w:rsidR="00E504D2" w:rsidRPr="00E504D2">
        <w:t> </w:t>
      </w:r>
      <w:r w:rsidRPr="00E504D2">
        <w:t>6(3)(c).</w:t>
      </w:r>
    </w:p>
    <w:p w:rsidR="002527B9" w:rsidRPr="00E504D2" w:rsidRDefault="002527B9" w:rsidP="002527B9">
      <w:pPr>
        <w:pStyle w:val="Header"/>
      </w:pPr>
      <w:r w:rsidRPr="00E504D2">
        <w:rPr>
          <w:rStyle w:val="CharPartNo"/>
        </w:rPr>
        <w:t xml:space="preserve"> </w:t>
      </w:r>
      <w:r w:rsidRPr="00E504D2">
        <w:rPr>
          <w:rStyle w:val="CharPartText"/>
        </w:rPr>
        <w:t xml:space="preserve"> </w:t>
      </w:r>
    </w:p>
    <w:p w:rsidR="002527B9" w:rsidRPr="00E504D2" w:rsidRDefault="002527B9" w:rsidP="002527B9">
      <w:pPr>
        <w:pStyle w:val="Header"/>
      </w:pPr>
      <w:r w:rsidRPr="00E504D2">
        <w:rPr>
          <w:rStyle w:val="CharDivNo"/>
        </w:rPr>
        <w:t xml:space="preserve"> </w:t>
      </w:r>
      <w:r w:rsidRPr="00E504D2">
        <w:rPr>
          <w:rStyle w:val="CharDivText"/>
        </w:rPr>
        <w:t xml:space="preserve"> </w:t>
      </w:r>
    </w:p>
    <w:p w:rsidR="002527B9" w:rsidRPr="00E504D2" w:rsidRDefault="002527B9" w:rsidP="002527B9">
      <w:pPr>
        <w:pStyle w:val="ActHead5"/>
      </w:pPr>
      <w:bookmarkStart w:id="21" w:name="_Toc454972757"/>
      <w:r w:rsidRPr="00E504D2">
        <w:rPr>
          <w:rStyle w:val="CharSectno"/>
        </w:rPr>
        <w:t>1</w:t>
      </w:r>
      <w:r w:rsidRPr="00E504D2">
        <w:t xml:space="preserve">  Quantity fees for the supply of water and sewerage services</w:t>
      </w:r>
      <w:bookmarkEnd w:id="21"/>
    </w:p>
    <w:p w:rsidR="002527B9" w:rsidRPr="00E504D2" w:rsidRDefault="002527B9" w:rsidP="002527B9">
      <w:pPr>
        <w:pStyle w:val="subsection"/>
      </w:pPr>
      <w:r w:rsidRPr="00E504D2">
        <w:tab/>
      </w:r>
      <w:r w:rsidRPr="00E504D2">
        <w:tab/>
        <w:t>The table in this clause sets out quantity fees for the supply of water and sewerage services.</w:t>
      </w:r>
    </w:p>
    <w:p w:rsidR="002527B9" w:rsidRPr="00E504D2" w:rsidRDefault="002527B9" w:rsidP="002527B9">
      <w:pPr>
        <w:pStyle w:val="notetext"/>
      </w:pPr>
      <w:r w:rsidRPr="00E504D2">
        <w:t>Note:</w:t>
      </w:r>
      <w:r w:rsidRPr="00E504D2">
        <w:tab/>
        <w:t>An eligible pensioner may pay a fee at a reduced rate—see subsection</w:t>
      </w:r>
      <w:r w:rsidR="00E504D2" w:rsidRPr="00E504D2">
        <w:t> </w:t>
      </w:r>
      <w:r w:rsidRPr="00E504D2">
        <w:t>7(2).</w:t>
      </w:r>
    </w:p>
    <w:p w:rsidR="002527B9" w:rsidRPr="00E504D2" w:rsidRDefault="002527B9" w:rsidP="002527B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81"/>
        <w:gridCol w:w="6131"/>
        <w:gridCol w:w="1617"/>
      </w:tblGrid>
      <w:tr w:rsidR="002527B9" w:rsidRPr="00E504D2" w:rsidTr="00730C96">
        <w:trPr>
          <w:tblHeader/>
        </w:trPr>
        <w:tc>
          <w:tcPr>
            <w:tcW w:w="5000" w:type="pct"/>
            <w:gridSpan w:val="3"/>
            <w:tcBorders>
              <w:top w:val="single" w:sz="12" w:space="0" w:color="auto"/>
              <w:bottom w:val="single" w:sz="6" w:space="0" w:color="auto"/>
            </w:tcBorders>
            <w:shd w:val="clear" w:color="auto" w:fill="auto"/>
          </w:tcPr>
          <w:p w:rsidR="002527B9" w:rsidRPr="00E504D2" w:rsidRDefault="002527B9" w:rsidP="00730C96">
            <w:pPr>
              <w:pStyle w:val="TableHeading"/>
            </w:pPr>
            <w:r w:rsidRPr="00E504D2">
              <w:t>Quantity fees for the supply of water and sewerage services</w:t>
            </w:r>
          </w:p>
        </w:tc>
      </w:tr>
      <w:tr w:rsidR="002527B9" w:rsidRPr="00E504D2" w:rsidTr="00730C96">
        <w:trPr>
          <w:tblHeader/>
        </w:trPr>
        <w:tc>
          <w:tcPr>
            <w:tcW w:w="458" w:type="pct"/>
            <w:tcBorders>
              <w:top w:val="single" w:sz="6" w:space="0" w:color="auto"/>
              <w:bottom w:val="single" w:sz="12" w:space="0" w:color="auto"/>
            </w:tcBorders>
            <w:shd w:val="clear" w:color="auto" w:fill="auto"/>
          </w:tcPr>
          <w:p w:rsidR="002527B9" w:rsidRPr="00E504D2" w:rsidRDefault="002527B9" w:rsidP="00730C96">
            <w:pPr>
              <w:pStyle w:val="TableHeading"/>
            </w:pPr>
            <w:r w:rsidRPr="00E504D2">
              <w:t>Item</w:t>
            </w:r>
          </w:p>
        </w:tc>
        <w:tc>
          <w:tcPr>
            <w:tcW w:w="3594" w:type="pct"/>
            <w:tcBorders>
              <w:top w:val="single" w:sz="6" w:space="0" w:color="auto"/>
              <w:bottom w:val="single" w:sz="12" w:space="0" w:color="auto"/>
            </w:tcBorders>
            <w:shd w:val="clear" w:color="auto" w:fill="auto"/>
          </w:tcPr>
          <w:p w:rsidR="002527B9" w:rsidRPr="00E504D2" w:rsidRDefault="002527B9" w:rsidP="00730C96">
            <w:pPr>
              <w:pStyle w:val="TableHeading"/>
            </w:pPr>
            <w:r w:rsidRPr="00E504D2">
              <w:t>Supply of water and sewerage services to ...</w:t>
            </w:r>
          </w:p>
        </w:tc>
        <w:tc>
          <w:tcPr>
            <w:tcW w:w="948" w:type="pct"/>
            <w:tcBorders>
              <w:top w:val="single" w:sz="6" w:space="0" w:color="auto"/>
              <w:bottom w:val="single" w:sz="12" w:space="0" w:color="auto"/>
            </w:tcBorders>
            <w:shd w:val="clear" w:color="auto" w:fill="auto"/>
          </w:tcPr>
          <w:p w:rsidR="002527B9" w:rsidRPr="00E504D2" w:rsidRDefault="002527B9" w:rsidP="001C2171">
            <w:pPr>
              <w:pStyle w:val="TableHeading"/>
              <w:jc w:val="right"/>
            </w:pPr>
            <w:r w:rsidRPr="00E504D2">
              <w:t xml:space="preserve">Quantity fee (per </w:t>
            </w:r>
            <w:proofErr w:type="spellStart"/>
            <w:r w:rsidRPr="00E504D2">
              <w:t>kL</w:t>
            </w:r>
            <w:proofErr w:type="spellEnd"/>
            <w:r w:rsidRPr="00E504D2">
              <w:t xml:space="preserve"> of water used)</w:t>
            </w:r>
          </w:p>
        </w:tc>
      </w:tr>
      <w:tr w:rsidR="002527B9" w:rsidRPr="00E504D2" w:rsidTr="00730C96">
        <w:tc>
          <w:tcPr>
            <w:tcW w:w="458" w:type="pct"/>
            <w:vMerge w:val="restart"/>
            <w:tcBorders>
              <w:top w:val="single" w:sz="12" w:space="0" w:color="auto"/>
            </w:tcBorders>
            <w:shd w:val="clear" w:color="auto" w:fill="auto"/>
          </w:tcPr>
          <w:p w:rsidR="002527B9" w:rsidRPr="00E504D2" w:rsidRDefault="002527B9" w:rsidP="00730C96">
            <w:pPr>
              <w:pStyle w:val="Tabletext"/>
            </w:pPr>
            <w:r w:rsidRPr="00E504D2">
              <w:t>1</w:t>
            </w:r>
          </w:p>
        </w:tc>
        <w:tc>
          <w:tcPr>
            <w:tcW w:w="3594" w:type="pct"/>
            <w:tcBorders>
              <w:top w:val="single" w:sz="12" w:space="0" w:color="auto"/>
              <w:bottom w:val="nil"/>
            </w:tcBorders>
            <w:shd w:val="clear" w:color="auto" w:fill="auto"/>
          </w:tcPr>
          <w:p w:rsidR="002527B9" w:rsidRPr="00E504D2" w:rsidRDefault="002527B9" w:rsidP="00730C96">
            <w:pPr>
              <w:pStyle w:val="Tabletext"/>
            </w:pPr>
            <w:r w:rsidRPr="00E504D2">
              <w:t>residential land or vacant land that has been zoned for residential purposes:</w:t>
            </w:r>
          </w:p>
        </w:tc>
        <w:tc>
          <w:tcPr>
            <w:tcW w:w="948" w:type="pct"/>
            <w:tcBorders>
              <w:top w:val="single" w:sz="12" w:space="0" w:color="auto"/>
              <w:bottom w:val="nil"/>
            </w:tcBorders>
            <w:shd w:val="clear" w:color="auto" w:fill="auto"/>
          </w:tcPr>
          <w:p w:rsidR="002527B9" w:rsidRPr="00E504D2" w:rsidRDefault="002527B9" w:rsidP="001C2171">
            <w:pPr>
              <w:pStyle w:val="Tabletext"/>
              <w:jc w:val="right"/>
            </w:pPr>
          </w:p>
        </w:tc>
      </w:tr>
      <w:tr w:rsidR="002527B9" w:rsidRPr="00E504D2" w:rsidTr="00730C96">
        <w:tc>
          <w:tcPr>
            <w:tcW w:w="458" w:type="pct"/>
            <w:vMerge/>
            <w:shd w:val="clear" w:color="auto" w:fill="auto"/>
          </w:tcPr>
          <w:p w:rsidR="002527B9" w:rsidRPr="00E504D2" w:rsidRDefault="002527B9" w:rsidP="00730C96">
            <w:pPr>
              <w:pStyle w:val="Tabletext"/>
            </w:pPr>
          </w:p>
        </w:tc>
        <w:tc>
          <w:tcPr>
            <w:tcW w:w="3594" w:type="pct"/>
            <w:tcBorders>
              <w:top w:val="nil"/>
              <w:bottom w:val="nil"/>
            </w:tcBorders>
            <w:shd w:val="clear" w:color="auto" w:fill="auto"/>
          </w:tcPr>
          <w:p w:rsidR="002527B9" w:rsidRPr="00E504D2" w:rsidRDefault="002527B9" w:rsidP="00730C96">
            <w:pPr>
              <w:pStyle w:val="Tablea"/>
            </w:pPr>
            <w:r w:rsidRPr="00E504D2">
              <w:t xml:space="preserve">(a) 0 to 350 </w:t>
            </w:r>
            <w:proofErr w:type="spellStart"/>
            <w:r w:rsidRPr="00E504D2">
              <w:t>kL</w:t>
            </w:r>
            <w:proofErr w:type="spellEnd"/>
          </w:p>
        </w:tc>
        <w:tc>
          <w:tcPr>
            <w:tcW w:w="948" w:type="pct"/>
            <w:tcBorders>
              <w:top w:val="nil"/>
              <w:bottom w:val="nil"/>
            </w:tcBorders>
            <w:shd w:val="clear" w:color="auto" w:fill="auto"/>
          </w:tcPr>
          <w:p w:rsidR="002527B9" w:rsidRPr="00E504D2" w:rsidRDefault="002527B9" w:rsidP="001C2171">
            <w:pPr>
              <w:pStyle w:val="Tabletext"/>
              <w:jc w:val="right"/>
            </w:pPr>
            <w:r w:rsidRPr="00E504D2">
              <w:t>$1.586</w:t>
            </w:r>
          </w:p>
        </w:tc>
      </w:tr>
      <w:tr w:rsidR="002527B9" w:rsidRPr="00E504D2" w:rsidTr="00730C96">
        <w:tc>
          <w:tcPr>
            <w:tcW w:w="458" w:type="pct"/>
            <w:vMerge/>
            <w:shd w:val="clear" w:color="auto" w:fill="auto"/>
          </w:tcPr>
          <w:p w:rsidR="002527B9" w:rsidRPr="00E504D2" w:rsidRDefault="002527B9" w:rsidP="00730C96">
            <w:pPr>
              <w:pStyle w:val="Tabletext"/>
            </w:pPr>
          </w:p>
        </w:tc>
        <w:tc>
          <w:tcPr>
            <w:tcW w:w="3594" w:type="pct"/>
            <w:tcBorders>
              <w:top w:val="nil"/>
              <w:bottom w:val="nil"/>
            </w:tcBorders>
            <w:shd w:val="clear" w:color="auto" w:fill="auto"/>
          </w:tcPr>
          <w:p w:rsidR="002527B9" w:rsidRPr="00E504D2" w:rsidRDefault="002527B9" w:rsidP="00730C96">
            <w:pPr>
              <w:pStyle w:val="Tablea"/>
            </w:pPr>
            <w:r w:rsidRPr="00E504D2">
              <w:t xml:space="preserve">(b) 351 to 500 </w:t>
            </w:r>
            <w:proofErr w:type="spellStart"/>
            <w:r w:rsidRPr="00E504D2">
              <w:t>kL</w:t>
            </w:r>
            <w:proofErr w:type="spellEnd"/>
          </w:p>
        </w:tc>
        <w:tc>
          <w:tcPr>
            <w:tcW w:w="948" w:type="pct"/>
            <w:tcBorders>
              <w:top w:val="nil"/>
              <w:bottom w:val="nil"/>
            </w:tcBorders>
            <w:shd w:val="clear" w:color="auto" w:fill="auto"/>
          </w:tcPr>
          <w:p w:rsidR="002527B9" w:rsidRPr="00E504D2" w:rsidRDefault="002527B9" w:rsidP="001C2171">
            <w:pPr>
              <w:pStyle w:val="Tabletext"/>
              <w:jc w:val="right"/>
            </w:pPr>
            <w:r w:rsidRPr="00E504D2">
              <w:t>$2.114</w:t>
            </w:r>
          </w:p>
        </w:tc>
      </w:tr>
      <w:tr w:rsidR="002527B9" w:rsidRPr="00E504D2" w:rsidTr="00730C96">
        <w:tc>
          <w:tcPr>
            <w:tcW w:w="458" w:type="pct"/>
            <w:vMerge/>
            <w:shd w:val="clear" w:color="auto" w:fill="auto"/>
          </w:tcPr>
          <w:p w:rsidR="002527B9" w:rsidRPr="00E504D2" w:rsidRDefault="002527B9" w:rsidP="00730C96">
            <w:pPr>
              <w:pStyle w:val="Tabletext"/>
            </w:pPr>
          </w:p>
        </w:tc>
        <w:tc>
          <w:tcPr>
            <w:tcW w:w="3594" w:type="pct"/>
            <w:tcBorders>
              <w:top w:val="nil"/>
              <w:bottom w:val="nil"/>
            </w:tcBorders>
            <w:shd w:val="clear" w:color="auto" w:fill="auto"/>
          </w:tcPr>
          <w:p w:rsidR="002527B9" w:rsidRPr="00E504D2" w:rsidRDefault="002527B9" w:rsidP="00730C96">
            <w:pPr>
              <w:pStyle w:val="Tablea"/>
            </w:pPr>
            <w:r w:rsidRPr="00E504D2">
              <w:t xml:space="preserve">(c) 501 to 750 </w:t>
            </w:r>
            <w:proofErr w:type="spellStart"/>
            <w:r w:rsidRPr="00E504D2">
              <w:t>kL</w:t>
            </w:r>
            <w:proofErr w:type="spellEnd"/>
          </w:p>
        </w:tc>
        <w:tc>
          <w:tcPr>
            <w:tcW w:w="948" w:type="pct"/>
            <w:tcBorders>
              <w:top w:val="nil"/>
              <w:bottom w:val="nil"/>
            </w:tcBorders>
            <w:shd w:val="clear" w:color="auto" w:fill="auto"/>
          </w:tcPr>
          <w:p w:rsidR="002527B9" w:rsidRPr="00E504D2" w:rsidRDefault="002527B9" w:rsidP="001C2171">
            <w:pPr>
              <w:pStyle w:val="Tabletext"/>
              <w:jc w:val="right"/>
            </w:pPr>
            <w:r w:rsidRPr="00E504D2">
              <w:t>$4.324</w:t>
            </w:r>
          </w:p>
        </w:tc>
      </w:tr>
      <w:tr w:rsidR="002527B9" w:rsidRPr="00E504D2" w:rsidTr="00730C96">
        <w:tc>
          <w:tcPr>
            <w:tcW w:w="458" w:type="pct"/>
            <w:vMerge/>
            <w:shd w:val="clear" w:color="auto" w:fill="auto"/>
          </w:tcPr>
          <w:p w:rsidR="002527B9" w:rsidRPr="00E504D2" w:rsidRDefault="002527B9" w:rsidP="00730C96">
            <w:pPr>
              <w:pStyle w:val="Tabletext"/>
            </w:pPr>
          </w:p>
        </w:tc>
        <w:tc>
          <w:tcPr>
            <w:tcW w:w="3594" w:type="pct"/>
            <w:tcBorders>
              <w:top w:val="nil"/>
              <w:bottom w:val="single" w:sz="4" w:space="0" w:color="auto"/>
            </w:tcBorders>
            <w:shd w:val="clear" w:color="auto" w:fill="auto"/>
          </w:tcPr>
          <w:p w:rsidR="002527B9" w:rsidRPr="00E504D2" w:rsidRDefault="002527B9" w:rsidP="00730C96">
            <w:pPr>
              <w:pStyle w:val="Tablea"/>
            </w:pPr>
            <w:r w:rsidRPr="00E504D2">
              <w:t xml:space="preserve">(d) over 750 </w:t>
            </w:r>
            <w:proofErr w:type="spellStart"/>
            <w:r w:rsidRPr="00E504D2">
              <w:t>kL</w:t>
            </w:r>
            <w:proofErr w:type="spellEnd"/>
          </w:p>
        </w:tc>
        <w:tc>
          <w:tcPr>
            <w:tcW w:w="948" w:type="pct"/>
            <w:tcBorders>
              <w:top w:val="nil"/>
              <w:bottom w:val="single" w:sz="4" w:space="0" w:color="auto"/>
            </w:tcBorders>
            <w:shd w:val="clear" w:color="auto" w:fill="auto"/>
          </w:tcPr>
          <w:p w:rsidR="002527B9" w:rsidRPr="00E504D2" w:rsidRDefault="002527B9" w:rsidP="001C2171">
            <w:pPr>
              <w:pStyle w:val="Tabletext"/>
              <w:jc w:val="right"/>
            </w:pPr>
            <w:r w:rsidRPr="00E504D2">
              <w:t>$7.434</w:t>
            </w:r>
          </w:p>
        </w:tc>
      </w:tr>
      <w:tr w:rsidR="00CA3B4B" w:rsidRPr="00E504D2" w:rsidTr="00CA3B4B">
        <w:tc>
          <w:tcPr>
            <w:tcW w:w="458" w:type="pct"/>
            <w:vMerge w:val="restart"/>
            <w:tcBorders>
              <w:top w:val="single" w:sz="2" w:space="0" w:color="auto"/>
            </w:tcBorders>
            <w:shd w:val="clear" w:color="auto" w:fill="auto"/>
          </w:tcPr>
          <w:p w:rsidR="00CA3B4B" w:rsidRPr="00E504D2" w:rsidRDefault="00CA3B4B" w:rsidP="006F44B7">
            <w:pPr>
              <w:pStyle w:val="Tabletext"/>
            </w:pPr>
            <w:r w:rsidRPr="00E504D2">
              <w:t>2</w:t>
            </w:r>
          </w:p>
        </w:tc>
        <w:tc>
          <w:tcPr>
            <w:tcW w:w="3594" w:type="pct"/>
            <w:tcBorders>
              <w:top w:val="single" w:sz="2" w:space="0" w:color="auto"/>
              <w:bottom w:val="nil"/>
            </w:tcBorders>
            <w:shd w:val="clear" w:color="auto" w:fill="auto"/>
          </w:tcPr>
          <w:p w:rsidR="00CA3B4B" w:rsidRPr="00E504D2" w:rsidRDefault="00CA3B4B" w:rsidP="00CA3B4B">
            <w:pPr>
              <w:pStyle w:val="Tabletext"/>
            </w:pPr>
            <w:r w:rsidRPr="00E504D2">
              <w:t>commercial/residential land:</w:t>
            </w:r>
          </w:p>
        </w:tc>
        <w:tc>
          <w:tcPr>
            <w:tcW w:w="948" w:type="pct"/>
            <w:tcBorders>
              <w:top w:val="single" w:sz="2" w:space="0" w:color="auto"/>
              <w:bottom w:val="nil"/>
            </w:tcBorders>
            <w:shd w:val="clear" w:color="auto" w:fill="auto"/>
          </w:tcPr>
          <w:p w:rsidR="00CA3B4B" w:rsidRPr="00E504D2" w:rsidRDefault="00CA3B4B" w:rsidP="001C2171">
            <w:pPr>
              <w:pStyle w:val="Tabletext"/>
              <w:jc w:val="right"/>
            </w:pPr>
          </w:p>
        </w:tc>
      </w:tr>
      <w:tr w:rsidR="00CA3B4B" w:rsidRPr="00E504D2" w:rsidTr="00610AED">
        <w:tc>
          <w:tcPr>
            <w:tcW w:w="458" w:type="pct"/>
            <w:vMerge/>
            <w:shd w:val="clear" w:color="auto" w:fill="auto"/>
          </w:tcPr>
          <w:p w:rsidR="00CA3B4B" w:rsidRPr="00E504D2" w:rsidRDefault="00CA3B4B" w:rsidP="007E6B69">
            <w:pPr>
              <w:pStyle w:val="Tabletext"/>
            </w:pPr>
          </w:p>
        </w:tc>
        <w:tc>
          <w:tcPr>
            <w:tcW w:w="3594" w:type="pct"/>
            <w:tcBorders>
              <w:top w:val="nil"/>
              <w:bottom w:val="nil"/>
            </w:tcBorders>
            <w:shd w:val="clear" w:color="auto" w:fill="auto"/>
          </w:tcPr>
          <w:p w:rsidR="00CA3B4B" w:rsidRPr="00E504D2" w:rsidRDefault="00AC4081" w:rsidP="008E0CB1">
            <w:pPr>
              <w:pStyle w:val="Tablea"/>
            </w:pPr>
            <w:r w:rsidRPr="00E504D2">
              <w:t>(a)</w:t>
            </w:r>
            <w:r w:rsidR="008E0CB1" w:rsidRPr="00E504D2">
              <w:t xml:space="preserve"> </w:t>
            </w:r>
            <w:r w:rsidRPr="00E504D2">
              <w:t xml:space="preserve">0 to 150 </w:t>
            </w:r>
            <w:proofErr w:type="spellStart"/>
            <w:r w:rsidRPr="00E504D2">
              <w:t>kL</w:t>
            </w:r>
            <w:proofErr w:type="spellEnd"/>
          </w:p>
        </w:tc>
        <w:tc>
          <w:tcPr>
            <w:tcW w:w="948" w:type="pct"/>
            <w:tcBorders>
              <w:top w:val="nil"/>
              <w:bottom w:val="nil"/>
            </w:tcBorders>
            <w:shd w:val="clear" w:color="auto" w:fill="auto"/>
          </w:tcPr>
          <w:p w:rsidR="00CA3B4B" w:rsidRPr="00E504D2" w:rsidRDefault="00610AED" w:rsidP="001C2171">
            <w:pPr>
              <w:pStyle w:val="Tabletext"/>
              <w:jc w:val="right"/>
            </w:pPr>
            <w:r w:rsidRPr="00E504D2">
              <w:t>$1.586</w:t>
            </w:r>
          </w:p>
        </w:tc>
      </w:tr>
      <w:tr w:rsidR="00CA3B4B" w:rsidRPr="00E504D2" w:rsidTr="00610AED">
        <w:tc>
          <w:tcPr>
            <w:tcW w:w="458" w:type="pct"/>
            <w:vMerge/>
            <w:tcBorders>
              <w:bottom w:val="single" w:sz="2" w:space="0" w:color="auto"/>
            </w:tcBorders>
            <w:shd w:val="clear" w:color="auto" w:fill="auto"/>
          </w:tcPr>
          <w:p w:rsidR="00CA3B4B" w:rsidRPr="00E504D2" w:rsidRDefault="00CA3B4B" w:rsidP="007E6B69">
            <w:pPr>
              <w:pStyle w:val="Tabletext"/>
            </w:pPr>
          </w:p>
        </w:tc>
        <w:tc>
          <w:tcPr>
            <w:tcW w:w="3594" w:type="pct"/>
            <w:tcBorders>
              <w:top w:val="nil"/>
              <w:bottom w:val="single" w:sz="4" w:space="0" w:color="auto"/>
            </w:tcBorders>
            <w:shd w:val="clear" w:color="auto" w:fill="auto"/>
          </w:tcPr>
          <w:p w:rsidR="00CA3B4B" w:rsidRPr="00E504D2" w:rsidRDefault="00CA3B4B" w:rsidP="008E0CB1">
            <w:pPr>
              <w:pStyle w:val="Tablea"/>
            </w:pPr>
            <w:r w:rsidRPr="00E504D2">
              <w:t>(b)</w:t>
            </w:r>
            <w:r w:rsidR="008E0CB1" w:rsidRPr="00E504D2">
              <w:t xml:space="preserve"> </w:t>
            </w:r>
            <w:r w:rsidRPr="00E504D2">
              <w:t xml:space="preserve">over 150 </w:t>
            </w:r>
            <w:proofErr w:type="spellStart"/>
            <w:r w:rsidRPr="00E504D2">
              <w:t>kL</w:t>
            </w:r>
            <w:proofErr w:type="spellEnd"/>
          </w:p>
        </w:tc>
        <w:tc>
          <w:tcPr>
            <w:tcW w:w="948" w:type="pct"/>
            <w:tcBorders>
              <w:top w:val="nil"/>
              <w:bottom w:val="single" w:sz="2" w:space="0" w:color="auto"/>
            </w:tcBorders>
            <w:shd w:val="clear" w:color="auto" w:fill="auto"/>
          </w:tcPr>
          <w:p w:rsidR="00CA3B4B" w:rsidRPr="00E504D2" w:rsidRDefault="00610AED" w:rsidP="001C2171">
            <w:pPr>
              <w:pStyle w:val="Tabletext"/>
              <w:jc w:val="right"/>
            </w:pPr>
            <w:r w:rsidRPr="00E504D2">
              <w:t>$7.434</w:t>
            </w:r>
          </w:p>
        </w:tc>
      </w:tr>
      <w:tr w:rsidR="00CA3B4B" w:rsidRPr="00E504D2" w:rsidTr="00CA3B4B">
        <w:tc>
          <w:tcPr>
            <w:tcW w:w="458" w:type="pct"/>
            <w:tcBorders>
              <w:bottom w:val="single" w:sz="2" w:space="0" w:color="auto"/>
            </w:tcBorders>
            <w:shd w:val="clear" w:color="auto" w:fill="auto"/>
          </w:tcPr>
          <w:p w:rsidR="00CA3B4B" w:rsidRPr="00E504D2" w:rsidRDefault="00CA3B4B" w:rsidP="007E6B69">
            <w:pPr>
              <w:pStyle w:val="Tabletext"/>
            </w:pPr>
            <w:r w:rsidRPr="00E504D2">
              <w:t>3</w:t>
            </w:r>
          </w:p>
        </w:tc>
        <w:tc>
          <w:tcPr>
            <w:tcW w:w="3594" w:type="pct"/>
            <w:tcBorders>
              <w:top w:val="single" w:sz="4" w:space="0" w:color="auto"/>
              <w:bottom w:val="single" w:sz="2" w:space="0" w:color="auto"/>
            </w:tcBorders>
            <w:shd w:val="clear" w:color="auto" w:fill="auto"/>
          </w:tcPr>
          <w:p w:rsidR="00CA3B4B" w:rsidRPr="00E504D2" w:rsidRDefault="00CA3B4B" w:rsidP="007E6B69">
            <w:pPr>
              <w:pStyle w:val="Tabletext"/>
            </w:pPr>
            <w:r w:rsidRPr="00E504D2">
              <w:t>vacant land not mentioned in item</w:t>
            </w:r>
            <w:r w:rsidR="00E504D2" w:rsidRPr="00E504D2">
              <w:t> </w:t>
            </w:r>
            <w:r w:rsidRPr="00E504D2">
              <w:t>1</w:t>
            </w:r>
          </w:p>
        </w:tc>
        <w:tc>
          <w:tcPr>
            <w:tcW w:w="948" w:type="pct"/>
            <w:tcBorders>
              <w:top w:val="single" w:sz="4" w:space="0" w:color="auto"/>
              <w:bottom w:val="single" w:sz="2" w:space="0" w:color="auto"/>
            </w:tcBorders>
            <w:shd w:val="clear" w:color="auto" w:fill="auto"/>
          </w:tcPr>
          <w:p w:rsidR="00CA3B4B" w:rsidRPr="00E504D2" w:rsidRDefault="00CA3B4B" w:rsidP="001C2171">
            <w:pPr>
              <w:pStyle w:val="Tabletext"/>
              <w:jc w:val="right"/>
            </w:pPr>
            <w:r w:rsidRPr="00E504D2">
              <w:t>$7.434</w:t>
            </w:r>
          </w:p>
        </w:tc>
      </w:tr>
      <w:tr w:rsidR="00512462" w:rsidRPr="00E504D2" w:rsidTr="00730C96">
        <w:tc>
          <w:tcPr>
            <w:tcW w:w="458" w:type="pct"/>
            <w:tcBorders>
              <w:top w:val="single" w:sz="2" w:space="0" w:color="auto"/>
              <w:bottom w:val="single" w:sz="4" w:space="0" w:color="auto"/>
            </w:tcBorders>
            <w:shd w:val="clear" w:color="auto" w:fill="auto"/>
          </w:tcPr>
          <w:p w:rsidR="00512462" w:rsidRPr="00E504D2" w:rsidRDefault="00512462" w:rsidP="00730C96">
            <w:pPr>
              <w:pStyle w:val="Tabletext"/>
            </w:pPr>
            <w:r w:rsidRPr="00E504D2">
              <w:t>4</w:t>
            </w:r>
          </w:p>
        </w:tc>
        <w:tc>
          <w:tcPr>
            <w:tcW w:w="3594" w:type="pct"/>
            <w:tcBorders>
              <w:top w:val="single" w:sz="2" w:space="0" w:color="auto"/>
              <w:bottom w:val="single" w:sz="4" w:space="0" w:color="auto"/>
            </w:tcBorders>
            <w:shd w:val="clear" w:color="auto" w:fill="auto"/>
          </w:tcPr>
          <w:p w:rsidR="00512462" w:rsidRPr="00E504D2" w:rsidRDefault="00610AED" w:rsidP="00610AED">
            <w:pPr>
              <w:pStyle w:val="Tabletext"/>
            </w:pPr>
            <w:r w:rsidRPr="00E504D2">
              <w:t>government land</w:t>
            </w:r>
          </w:p>
        </w:tc>
        <w:tc>
          <w:tcPr>
            <w:tcW w:w="948" w:type="pct"/>
            <w:tcBorders>
              <w:top w:val="single" w:sz="2" w:space="0" w:color="auto"/>
              <w:bottom w:val="single" w:sz="4" w:space="0" w:color="auto"/>
            </w:tcBorders>
            <w:shd w:val="clear" w:color="auto" w:fill="auto"/>
          </w:tcPr>
          <w:p w:rsidR="00512462" w:rsidRPr="00E504D2" w:rsidRDefault="00B44D27" w:rsidP="001C2171">
            <w:pPr>
              <w:pStyle w:val="Tabletext"/>
              <w:jc w:val="right"/>
            </w:pPr>
            <w:r w:rsidRPr="00E504D2">
              <w:t>$7.434</w:t>
            </w:r>
          </w:p>
        </w:tc>
      </w:tr>
      <w:tr w:rsidR="00CA3B4B" w:rsidRPr="00E504D2" w:rsidTr="00730C96">
        <w:tc>
          <w:tcPr>
            <w:tcW w:w="458" w:type="pct"/>
            <w:tcBorders>
              <w:top w:val="single" w:sz="2" w:space="0" w:color="auto"/>
              <w:bottom w:val="single" w:sz="4" w:space="0" w:color="auto"/>
            </w:tcBorders>
            <w:shd w:val="clear" w:color="auto" w:fill="auto"/>
          </w:tcPr>
          <w:p w:rsidR="00CA3B4B" w:rsidRPr="00E504D2" w:rsidRDefault="00512462" w:rsidP="00730C96">
            <w:pPr>
              <w:pStyle w:val="Tabletext"/>
            </w:pPr>
            <w:r w:rsidRPr="00E504D2">
              <w:t>5</w:t>
            </w:r>
          </w:p>
        </w:tc>
        <w:tc>
          <w:tcPr>
            <w:tcW w:w="3594" w:type="pct"/>
            <w:tcBorders>
              <w:top w:val="single" w:sz="2" w:space="0" w:color="auto"/>
              <w:bottom w:val="single" w:sz="4" w:space="0" w:color="auto"/>
            </w:tcBorders>
            <w:shd w:val="clear" w:color="auto" w:fill="auto"/>
          </w:tcPr>
          <w:p w:rsidR="00CA3B4B" w:rsidRPr="00E504D2" w:rsidRDefault="00CA3B4B" w:rsidP="00730C96">
            <w:pPr>
              <w:pStyle w:val="Tabletext"/>
            </w:pPr>
            <w:r w:rsidRPr="00E504D2">
              <w:t>institutional/public land used for non</w:t>
            </w:r>
            <w:r w:rsidR="00E504D2">
              <w:noBreakHyphen/>
            </w:r>
            <w:r w:rsidRPr="00E504D2">
              <w:t>government schools, churches or community facilities, charitable purposes land or local government land</w:t>
            </w:r>
          </w:p>
        </w:tc>
        <w:tc>
          <w:tcPr>
            <w:tcW w:w="948" w:type="pct"/>
            <w:tcBorders>
              <w:top w:val="single" w:sz="2" w:space="0" w:color="auto"/>
              <w:bottom w:val="single" w:sz="4" w:space="0" w:color="auto"/>
            </w:tcBorders>
            <w:shd w:val="clear" w:color="auto" w:fill="auto"/>
          </w:tcPr>
          <w:p w:rsidR="00CA3B4B" w:rsidRPr="00E504D2" w:rsidRDefault="00CA3B4B" w:rsidP="001C2171">
            <w:pPr>
              <w:pStyle w:val="Tabletext"/>
              <w:jc w:val="right"/>
            </w:pPr>
            <w:r w:rsidRPr="00E504D2">
              <w:t>$2.256</w:t>
            </w:r>
          </w:p>
        </w:tc>
      </w:tr>
      <w:tr w:rsidR="00CA3B4B" w:rsidRPr="00E504D2" w:rsidTr="00730C96">
        <w:tc>
          <w:tcPr>
            <w:tcW w:w="458" w:type="pct"/>
            <w:tcBorders>
              <w:bottom w:val="single" w:sz="2" w:space="0" w:color="auto"/>
            </w:tcBorders>
            <w:shd w:val="clear" w:color="auto" w:fill="auto"/>
          </w:tcPr>
          <w:p w:rsidR="00CA3B4B" w:rsidRPr="00E504D2" w:rsidRDefault="00512462" w:rsidP="00730C96">
            <w:pPr>
              <w:pStyle w:val="Tabletext"/>
            </w:pPr>
            <w:r w:rsidRPr="00E504D2">
              <w:t>6</w:t>
            </w:r>
          </w:p>
        </w:tc>
        <w:tc>
          <w:tcPr>
            <w:tcW w:w="3594" w:type="pct"/>
            <w:tcBorders>
              <w:top w:val="single" w:sz="4" w:space="0" w:color="auto"/>
              <w:bottom w:val="single" w:sz="2" w:space="0" w:color="auto"/>
            </w:tcBorders>
            <w:shd w:val="clear" w:color="auto" w:fill="auto"/>
          </w:tcPr>
          <w:p w:rsidR="00CA3B4B" w:rsidRPr="00E504D2" w:rsidRDefault="00CA3B4B" w:rsidP="00CA3B4B">
            <w:pPr>
              <w:pStyle w:val="Tabletext"/>
            </w:pPr>
            <w:r w:rsidRPr="00E504D2">
              <w:t>commercial</w:t>
            </w:r>
            <w:r w:rsidR="00FD27C0" w:rsidRPr="00E504D2">
              <w:t xml:space="preserve"> land</w:t>
            </w:r>
            <w:r w:rsidRPr="00E504D2">
              <w:t>, industrial</w:t>
            </w:r>
            <w:r w:rsidR="00FD27C0" w:rsidRPr="00E504D2">
              <w:t xml:space="preserve"> land</w:t>
            </w:r>
            <w:r w:rsidRPr="00E504D2">
              <w:t xml:space="preserve"> or mining land, or shipping (supply of water services to land for the purpose of water being taken on board a ship in a port)</w:t>
            </w:r>
          </w:p>
        </w:tc>
        <w:tc>
          <w:tcPr>
            <w:tcW w:w="948" w:type="pct"/>
            <w:tcBorders>
              <w:top w:val="single" w:sz="4" w:space="0" w:color="auto"/>
              <w:bottom w:val="single" w:sz="2" w:space="0" w:color="auto"/>
            </w:tcBorders>
            <w:shd w:val="clear" w:color="auto" w:fill="auto"/>
          </w:tcPr>
          <w:p w:rsidR="00CA3B4B" w:rsidRPr="00E504D2" w:rsidRDefault="00CA3B4B" w:rsidP="001C2171">
            <w:pPr>
              <w:pStyle w:val="Tabletext"/>
              <w:jc w:val="right"/>
            </w:pPr>
            <w:r w:rsidRPr="00E504D2">
              <w:t>$7.434</w:t>
            </w:r>
          </w:p>
        </w:tc>
      </w:tr>
      <w:tr w:rsidR="00CA3B4B" w:rsidRPr="00E504D2" w:rsidTr="00730C96">
        <w:tc>
          <w:tcPr>
            <w:tcW w:w="458" w:type="pct"/>
            <w:vMerge w:val="restart"/>
            <w:tcBorders>
              <w:top w:val="single" w:sz="4" w:space="0" w:color="auto"/>
            </w:tcBorders>
            <w:shd w:val="clear" w:color="auto" w:fill="auto"/>
          </w:tcPr>
          <w:p w:rsidR="00CA3B4B" w:rsidRPr="00E504D2" w:rsidRDefault="00512462" w:rsidP="00730C96">
            <w:pPr>
              <w:pStyle w:val="Tabletext"/>
            </w:pPr>
            <w:r w:rsidRPr="00E504D2">
              <w:t>7</w:t>
            </w:r>
          </w:p>
        </w:tc>
        <w:tc>
          <w:tcPr>
            <w:tcW w:w="3594" w:type="pct"/>
            <w:tcBorders>
              <w:top w:val="single" w:sz="4" w:space="0" w:color="auto"/>
              <w:bottom w:val="nil"/>
            </w:tcBorders>
            <w:shd w:val="clear" w:color="auto" w:fill="auto"/>
          </w:tcPr>
          <w:p w:rsidR="00CA3B4B" w:rsidRPr="00E504D2" w:rsidRDefault="00CA3B4B" w:rsidP="00730C96">
            <w:pPr>
              <w:pStyle w:val="Tabletext"/>
            </w:pPr>
            <w:r w:rsidRPr="00E504D2">
              <w:t>commercial</w:t>
            </w:r>
            <w:r w:rsidR="00FD27C0" w:rsidRPr="00E504D2">
              <w:t xml:space="preserve"> land</w:t>
            </w:r>
            <w:r w:rsidRPr="00E504D2">
              <w:t xml:space="preserve">, government </w:t>
            </w:r>
            <w:r w:rsidR="00FD27C0" w:rsidRPr="00E504D2">
              <w:t xml:space="preserve">land </w:t>
            </w:r>
            <w:r w:rsidRPr="00E504D2">
              <w:t>or industrial land—discharge to sewer:</w:t>
            </w:r>
          </w:p>
        </w:tc>
        <w:tc>
          <w:tcPr>
            <w:tcW w:w="948" w:type="pct"/>
            <w:tcBorders>
              <w:top w:val="single" w:sz="4" w:space="0" w:color="auto"/>
              <w:bottom w:val="nil"/>
            </w:tcBorders>
            <w:shd w:val="clear" w:color="auto" w:fill="auto"/>
          </w:tcPr>
          <w:p w:rsidR="00CA3B4B" w:rsidRPr="00E504D2" w:rsidRDefault="00CA3B4B" w:rsidP="001C2171">
            <w:pPr>
              <w:pStyle w:val="Tabletext"/>
              <w:jc w:val="right"/>
            </w:pPr>
          </w:p>
        </w:tc>
      </w:tr>
      <w:tr w:rsidR="00CA3B4B" w:rsidRPr="00E504D2" w:rsidTr="00730C96">
        <w:tc>
          <w:tcPr>
            <w:tcW w:w="458" w:type="pct"/>
            <w:vMerge/>
            <w:shd w:val="clear" w:color="auto" w:fill="auto"/>
          </w:tcPr>
          <w:p w:rsidR="00CA3B4B" w:rsidRPr="00E504D2" w:rsidRDefault="00CA3B4B" w:rsidP="00730C96">
            <w:pPr>
              <w:pStyle w:val="Tablea"/>
            </w:pPr>
          </w:p>
        </w:tc>
        <w:tc>
          <w:tcPr>
            <w:tcW w:w="3594" w:type="pct"/>
            <w:tcBorders>
              <w:top w:val="nil"/>
              <w:bottom w:val="nil"/>
            </w:tcBorders>
            <w:shd w:val="clear" w:color="auto" w:fill="auto"/>
          </w:tcPr>
          <w:p w:rsidR="00CA3B4B" w:rsidRPr="00E504D2" w:rsidRDefault="00CA3B4B" w:rsidP="00730C96">
            <w:pPr>
              <w:pStyle w:val="Tablea"/>
            </w:pPr>
            <w:r w:rsidRPr="00E504D2">
              <w:t xml:space="preserve">(a) 0 to 200 </w:t>
            </w:r>
            <w:proofErr w:type="spellStart"/>
            <w:r w:rsidRPr="00E504D2">
              <w:t>kL</w:t>
            </w:r>
            <w:proofErr w:type="spellEnd"/>
            <w:r w:rsidRPr="00E504D2">
              <w:t xml:space="preserve"> per property (allowance)</w:t>
            </w:r>
          </w:p>
        </w:tc>
        <w:tc>
          <w:tcPr>
            <w:tcW w:w="948" w:type="pct"/>
            <w:tcBorders>
              <w:top w:val="nil"/>
              <w:bottom w:val="nil"/>
            </w:tcBorders>
            <w:shd w:val="clear" w:color="auto" w:fill="auto"/>
          </w:tcPr>
          <w:p w:rsidR="00CA3B4B" w:rsidRPr="00E504D2" w:rsidRDefault="00CA3B4B" w:rsidP="001C2171">
            <w:pPr>
              <w:pStyle w:val="Tabletext"/>
              <w:jc w:val="right"/>
            </w:pPr>
            <w:r w:rsidRPr="00E504D2">
              <w:t>Nil</w:t>
            </w:r>
          </w:p>
        </w:tc>
      </w:tr>
      <w:tr w:rsidR="00CA3B4B" w:rsidRPr="00E504D2" w:rsidTr="00730C96">
        <w:tc>
          <w:tcPr>
            <w:tcW w:w="458" w:type="pct"/>
            <w:vMerge/>
            <w:tcBorders>
              <w:bottom w:val="single" w:sz="12" w:space="0" w:color="auto"/>
            </w:tcBorders>
            <w:shd w:val="clear" w:color="auto" w:fill="auto"/>
          </w:tcPr>
          <w:p w:rsidR="00CA3B4B" w:rsidRPr="00E504D2" w:rsidRDefault="00CA3B4B" w:rsidP="00730C96">
            <w:pPr>
              <w:pStyle w:val="Tablea"/>
            </w:pPr>
          </w:p>
        </w:tc>
        <w:tc>
          <w:tcPr>
            <w:tcW w:w="3594" w:type="pct"/>
            <w:tcBorders>
              <w:top w:val="nil"/>
              <w:bottom w:val="single" w:sz="12" w:space="0" w:color="auto"/>
            </w:tcBorders>
            <w:shd w:val="clear" w:color="auto" w:fill="auto"/>
          </w:tcPr>
          <w:p w:rsidR="00CA3B4B" w:rsidRPr="00E504D2" w:rsidRDefault="00CA3B4B" w:rsidP="00730C96">
            <w:pPr>
              <w:pStyle w:val="Tablea"/>
            </w:pPr>
            <w:r w:rsidRPr="00E504D2">
              <w:t xml:space="preserve">(b) over 200 </w:t>
            </w:r>
            <w:proofErr w:type="spellStart"/>
            <w:r w:rsidRPr="00E504D2">
              <w:t>kL</w:t>
            </w:r>
            <w:proofErr w:type="spellEnd"/>
          </w:p>
        </w:tc>
        <w:tc>
          <w:tcPr>
            <w:tcW w:w="948" w:type="pct"/>
            <w:tcBorders>
              <w:top w:val="nil"/>
              <w:bottom w:val="single" w:sz="12" w:space="0" w:color="auto"/>
            </w:tcBorders>
            <w:shd w:val="clear" w:color="auto" w:fill="auto"/>
          </w:tcPr>
          <w:p w:rsidR="00CA3B4B" w:rsidRPr="00E504D2" w:rsidRDefault="00CA3B4B" w:rsidP="001C2171">
            <w:pPr>
              <w:pStyle w:val="Tabletext"/>
              <w:jc w:val="right"/>
            </w:pPr>
            <w:r w:rsidRPr="00E504D2">
              <w:t>$3.258</w:t>
            </w:r>
          </w:p>
        </w:tc>
      </w:tr>
    </w:tbl>
    <w:p w:rsidR="002527B9" w:rsidRPr="00E504D2" w:rsidRDefault="002527B9" w:rsidP="002527B9">
      <w:pPr>
        <w:pStyle w:val="Tabletext"/>
      </w:pPr>
    </w:p>
    <w:p w:rsidR="002527B9" w:rsidRPr="00E504D2" w:rsidRDefault="002527B9" w:rsidP="002527B9">
      <w:pPr>
        <w:pStyle w:val="ActHead5"/>
      </w:pPr>
      <w:bookmarkStart w:id="22" w:name="_Toc454972758"/>
      <w:r w:rsidRPr="00E504D2">
        <w:rPr>
          <w:rStyle w:val="CharSectno"/>
        </w:rPr>
        <w:t>2</w:t>
      </w:r>
      <w:r w:rsidRPr="00E504D2">
        <w:t xml:space="preserve">  Calculation of kilolitres of water used—quantity fee for discharge to sewer for commercial, government or industrial land</w:t>
      </w:r>
      <w:bookmarkEnd w:id="22"/>
    </w:p>
    <w:p w:rsidR="002527B9" w:rsidRPr="00E504D2" w:rsidRDefault="002527B9" w:rsidP="002527B9">
      <w:pPr>
        <w:pStyle w:val="subsection"/>
      </w:pPr>
      <w:r w:rsidRPr="00E504D2">
        <w:tab/>
      </w:r>
      <w:r w:rsidRPr="00E504D2">
        <w:tab/>
        <w:t>For</w:t>
      </w:r>
      <w:r w:rsidR="006C6794" w:rsidRPr="00E504D2">
        <w:t xml:space="preserve"> item</w:t>
      </w:r>
      <w:r w:rsidR="00E504D2" w:rsidRPr="00E504D2">
        <w:t> </w:t>
      </w:r>
      <w:r w:rsidR="006C6794" w:rsidRPr="00E504D2">
        <w:t>6</w:t>
      </w:r>
      <w:r w:rsidRPr="00E504D2">
        <w:t xml:space="preserve"> of the table in clause</w:t>
      </w:r>
      <w:r w:rsidR="00E504D2" w:rsidRPr="00E504D2">
        <w:t> </w:t>
      </w:r>
      <w:r w:rsidRPr="00E504D2">
        <w:t>1, the number of kilolitres of water used in a period for a property is worked out using the following formula:</w:t>
      </w:r>
    </w:p>
    <w:bookmarkStart w:id="23" w:name="BKCheck15B_4"/>
    <w:bookmarkEnd w:id="23"/>
    <w:p w:rsidR="002527B9" w:rsidRPr="00E504D2" w:rsidRDefault="002527B9" w:rsidP="002527B9">
      <w:pPr>
        <w:pStyle w:val="subsection2"/>
      </w:pPr>
      <w:r w:rsidRPr="00E504D2">
        <w:object w:dxaOrig="42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5pt;height:50.25pt" o:ole="">
            <v:imagedata r:id="rId26" o:title=""/>
          </v:shape>
          <o:OLEObject Type="Embed" ProgID="Equation.DSMT4" ShapeID="_x0000_i1025" DrawAspect="Content" ObjectID="_1528800896" r:id="rId27"/>
        </w:object>
      </w:r>
    </w:p>
    <w:p w:rsidR="002527B9" w:rsidRPr="00E504D2" w:rsidRDefault="002527B9" w:rsidP="002527B9">
      <w:pPr>
        <w:pStyle w:val="ActHead5"/>
      </w:pPr>
      <w:bookmarkStart w:id="24" w:name="_Toc454972759"/>
      <w:r w:rsidRPr="00E504D2">
        <w:rPr>
          <w:rStyle w:val="CharSectno"/>
        </w:rPr>
        <w:t>3</w:t>
      </w:r>
      <w:r w:rsidRPr="00E504D2">
        <w:t xml:space="preserve">  Discharge factor</w:t>
      </w:r>
      <w:bookmarkEnd w:id="24"/>
    </w:p>
    <w:p w:rsidR="002527B9" w:rsidRPr="00E504D2" w:rsidRDefault="002527B9" w:rsidP="002527B9">
      <w:pPr>
        <w:pStyle w:val="subsection"/>
      </w:pPr>
      <w:r w:rsidRPr="00E504D2">
        <w:tab/>
      </w:r>
      <w:r w:rsidRPr="00E504D2">
        <w:tab/>
        <w:t xml:space="preserve">The </w:t>
      </w:r>
      <w:r w:rsidRPr="00E504D2">
        <w:rPr>
          <w:b/>
          <w:i/>
        </w:rPr>
        <w:t>discharge factor</w:t>
      </w:r>
      <w:r w:rsidRPr="00E504D2">
        <w:t>, for calculating the number of kilolitres of water used in a period for a property, is the following percentage of the water supplied to the property in the period:</w:t>
      </w:r>
    </w:p>
    <w:p w:rsidR="002527B9" w:rsidRPr="00E504D2" w:rsidRDefault="002527B9" w:rsidP="002527B9">
      <w:pPr>
        <w:pStyle w:val="paragraph"/>
      </w:pPr>
      <w:r w:rsidRPr="00E504D2">
        <w:tab/>
        <w:t>(a)</w:t>
      </w:r>
      <w:r w:rsidRPr="00E504D2">
        <w:tab/>
        <w:t xml:space="preserve">if </w:t>
      </w:r>
      <w:r w:rsidR="00E504D2" w:rsidRPr="00E504D2">
        <w:t>paragraph (</w:t>
      </w:r>
      <w:r w:rsidRPr="00E504D2">
        <w:t>b) does not apply—95%;</w:t>
      </w:r>
    </w:p>
    <w:p w:rsidR="002527B9" w:rsidRPr="00E504D2" w:rsidRDefault="002527B9" w:rsidP="002527B9">
      <w:pPr>
        <w:pStyle w:val="paragraph"/>
      </w:pPr>
      <w:r w:rsidRPr="00E504D2">
        <w:tab/>
        <w:t>(b)</w:t>
      </w:r>
      <w:r w:rsidRPr="00E504D2">
        <w:tab/>
        <w:t>if the Administrator agrees, in writing, with the owner or occupier of the property on a percentage that is lower than 95%—the agreed percentage.</w:t>
      </w:r>
    </w:p>
    <w:p w:rsidR="002527B9" w:rsidRPr="00E504D2" w:rsidRDefault="002527B9" w:rsidP="00A80741">
      <w:pPr>
        <w:pStyle w:val="ActHead1"/>
        <w:pageBreakBefore/>
      </w:pPr>
      <w:bookmarkStart w:id="25" w:name="_Toc454972760"/>
      <w:r w:rsidRPr="00E504D2">
        <w:rPr>
          <w:rStyle w:val="CharChapNo"/>
        </w:rPr>
        <w:lastRenderedPageBreak/>
        <w:t>Schedule</w:t>
      </w:r>
      <w:r w:rsidR="00E504D2" w:rsidRPr="00E504D2">
        <w:rPr>
          <w:rStyle w:val="CharChapNo"/>
        </w:rPr>
        <w:t> </w:t>
      </w:r>
      <w:r w:rsidRPr="00E504D2">
        <w:rPr>
          <w:rStyle w:val="CharChapNo"/>
        </w:rPr>
        <w:t>4</w:t>
      </w:r>
      <w:r w:rsidRPr="00E504D2">
        <w:t>—</w:t>
      </w:r>
      <w:r w:rsidRPr="00E504D2">
        <w:rPr>
          <w:rStyle w:val="CharChapText"/>
        </w:rPr>
        <w:t>Fees for the supply of other water and sewerage services</w:t>
      </w:r>
      <w:bookmarkEnd w:id="25"/>
    </w:p>
    <w:p w:rsidR="002527B9" w:rsidRPr="00E504D2" w:rsidRDefault="002527B9" w:rsidP="002527B9">
      <w:pPr>
        <w:pStyle w:val="notemargin"/>
      </w:pPr>
      <w:r w:rsidRPr="00E504D2">
        <w:t>Note:</w:t>
      </w:r>
      <w:r w:rsidRPr="00E504D2">
        <w:tab/>
        <w:t>See paragraph</w:t>
      </w:r>
      <w:r w:rsidR="00E504D2" w:rsidRPr="00E504D2">
        <w:t> </w:t>
      </w:r>
      <w:r w:rsidRPr="00E504D2">
        <w:t>6(3)(d).</w:t>
      </w:r>
    </w:p>
    <w:p w:rsidR="002527B9" w:rsidRPr="00E504D2" w:rsidRDefault="002527B9" w:rsidP="002527B9">
      <w:pPr>
        <w:pStyle w:val="Header"/>
      </w:pPr>
      <w:r w:rsidRPr="00E504D2">
        <w:rPr>
          <w:rStyle w:val="CharPartNo"/>
        </w:rPr>
        <w:t xml:space="preserve"> </w:t>
      </w:r>
      <w:r w:rsidRPr="00E504D2">
        <w:rPr>
          <w:rStyle w:val="CharPartText"/>
        </w:rPr>
        <w:t xml:space="preserve"> </w:t>
      </w:r>
    </w:p>
    <w:p w:rsidR="002527B9" w:rsidRPr="00E504D2" w:rsidRDefault="002527B9" w:rsidP="002527B9">
      <w:pPr>
        <w:pStyle w:val="Header"/>
      </w:pPr>
      <w:r w:rsidRPr="00E504D2">
        <w:rPr>
          <w:rStyle w:val="CharDivNo"/>
        </w:rPr>
        <w:t xml:space="preserve"> </w:t>
      </w:r>
      <w:r w:rsidRPr="00E504D2">
        <w:rPr>
          <w:rStyle w:val="CharDivText"/>
        </w:rPr>
        <w:t xml:space="preserve"> </w:t>
      </w:r>
    </w:p>
    <w:p w:rsidR="002527B9" w:rsidRPr="00E504D2" w:rsidRDefault="002527B9" w:rsidP="002527B9">
      <w:pPr>
        <w:pStyle w:val="ActHead5"/>
      </w:pPr>
      <w:bookmarkStart w:id="26" w:name="_Toc454972761"/>
      <w:r w:rsidRPr="00E504D2">
        <w:rPr>
          <w:rStyle w:val="CharSectno"/>
        </w:rPr>
        <w:t>1</w:t>
      </w:r>
      <w:r w:rsidRPr="00E504D2">
        <w:t xml:space="preserve">  Fees for the supply of other water and sewerage services</w:t>
      </w:r>
      <w:bookmarkEnd w:id="26"/>
    </w:p>
    <w:p w:rsidR="002527B9" w:rsidRPr="00E504D2" w:rsidRDefault="002527B9" w:rsidP="002527B9">
      <w:pPr>
        <w:pStyle w:val="subsection"/>
      </w:pPr>
      <w:r w:rsidRPr="00E504D2">
        <w:tab/>
        <w:t>(1)</w:t>
      </w:r>
      <w:r w:rsidRPr="00E504D2">
        <w:tab/>
        <w:t>The table in this clause sets out fees for the supply of water and sewerage services other than tho</w:t>
      </w:r>
      <w:r w:rsidR="00985219" w:rsidRPr="00E504D2">
        <w:t>se mentioned in Schedules</w:t>
      </w:r>
      <w:r w:rsidR="00E504D2" w:rsidRPr="00E504D2">
        <w:t> </w:t>
      </w:r>
      <w:r w:rsidR="00985219" w:rsidRPr="00E504D2">
        <w:t>1 to 3</w:t>
      </w:r>
      <w:r w:rsidRPr="00E504D2">
        <w:t>.</w:t>
      </w:r>
    </w:p>
    <w:p w:rsidR="002527B9" w:rsidRPr="00E504D2" w:rsidRDefault="002527B9" w:rsidP="002527B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1"/>
        <w:gridCol w:w="6351"/>
        <w:gridCol w:w="1397"/>
      </w:tblGrid>
      <w:tr w:rsidR="002527B9" w:rsidRPr="00E504D2" w:rsidTr="00730C96">
        <w:trPr>
          <w:tblHeader/>
        </w:trPr>
        <w:tc>
          <w:tcPr>
            <w:tcW w:w="5000" w:type="pct"/>
            <w:gridSpan w:val="3"/>
            <w:tcBorders>
              <w:top w:val="single" w:sz="12" w:space="0" w:color="auto"/>
              <w:bottom w:val="single" w:sz="6" w:space="0" w:color="auto"/>
            </w:tcBorders>
            <w:shd w:val="clear" w:color="auto" w:fill="auto"/>
          </w:tcPr>
          <w:p w:rsidR="002527B9" w:rsidRPr="00E504D2" w:rsidRDefault="002527B9" w:rsidP="00730C96">
            <w:pPr>
              <w:pStyle w:val="TableHeading"/>
            </w:pPr>
            <w:r w:rsidRPr="00E504D2">
              <w:t>Fees for the supply of other water and sewerage services</w:t>
            </w:r>
          </w:p>
        </w:tc>
      </w:tr>
      <w:tr w:rsidR="002527B9" w:rsidRPr="00E504D2" w:rsidTr="00730C96">
        <w:trPr>
          <w:tblHeader/>
        </w:trPr>
        <w:tc>
          <w:tcPr>
            <w:tcW w:w="458" w:type="pct"/>
            <w:tcBorders>
              <w:top w:val="single" w:sz="6" w:space="0" w:color="auto"/>
              <w:bottom w:val="single" w:sz="12" w:space="0" w:color="auto"/>
            </w:tcBorders>
            <w:shd w:val="clear" w:color="auto" w:fill="auto"/>
          </w:tcPr>
          <w:p w:rsidR="002527B9" w:rsidRPr="00E504D2" w:rsidRDefault="002527B9" w:rsidP="00730C96">
            <w:pPr>
              <w:pStyle w:val="TableHeading"/>
            </w:pPr>
            <w:r w:rsidRPr="00E504D2">
              <w:t>Item</w:t>
            </w:r>
          </w:p>
        </w:tc>
        <w:tc>
          <w:tcPr>
            <w:tcW w:w="3723" w:type="pct"/>
            <w:tcBorders>
              <w:top w:val="single" w:sz="6" w:space="0" w:color="auto"/>
              <w:bottom w:val="single" w:sz="12" w:space="0" w:color="auto"/>
            </w:tcBorders>
            <w:shd w:val="clear" w:color="auto" w:fill="auto"/>
          </w:tcPr>
          <w:p w:rsidR="002527B9" w:rsidRPr="00E504D2" w:rsidRDefault="002527B9" w:rsidP="00730C96">
            <w:pPr>
              <w:pStyle w:val="TableHeading"/>
            </w:pPr>
            <w:r w:rsidRPr="00E504D2">
              <w:t>Type of service</w:t>
            </w:r>
          </w:p>
        </w:tc>
        <w:tc>
          <w:tcPr>
            <w:tcW w:w="819" w:type="pct"/>
            <w:tcBorders>
              <w:top w:val="single" w:sz="6" w:space="0" w:color="auto"/>
              <w:bottom w:val="single" w:sz="12" w:space="0" w:color="auto"/>
            </w:tcBorders>
            <w:shd w:val="clear" w:color="auto" w:fill="auto"/>
          </w:tcPr>
          <w:p w:rsidR="002527B9" w:rsidRPr="00E504D2" w:rsidRDefault="002527B9" w:rsidP="001C2171">
            <w:pPr>
              <w:pStyle w:val="TableHeading"/>
              <w:jc w:val="right"/>
            </w:pPr>
            <w:r w:rsidRPr="00E504D2">
              <w:t>Fee</w:t>
            </w:r>
          </w:p>
        </w:tc>
      </w:tr>
      <w:tr w:rsidR="002527B9" w:rsidRPr="00E504D2" w:rsidTr="00730C96">
        <w:tc>
          <w:tcPr>
            <w:tcW w:w="458" w:type="pct"/>
            <w:tcBorders>
              <w:top w:val="single" w:sz="12" w:space="0" w:color="auto"/>
            </w:tcBorders>
            <w:shd w:val="clear" w:color="auto" w:fill="auto"/>
          </w:tcPr>
          <w:p w:rsidR="002527B9" w:rsidRPr="00E504D2" w:rsidRDefault="002527B9" w:rsidP="00730C96">
            <w:pPr>
              <w:pStyle w:val="Tabletext"/>
            </w:pPr>
            <w:r w:rsidRPr="00E504D2">
              <w:t>1</w:t>
            </w:r>
          </w:p>
        </w:tc>
        <w:tc>
          <w:tcPr>
            <w:tcW w:w="3723" w:type="pct"/>
            <w:tcBorders>
              <w:top w:val="single" w:sz="12" w:space="0" w:color="auto"/>
            </w:tcBorders>
            <w:shd w:val="clear" w:color="auto" w:fill="auto"/>
          </w:tcPr>
          <w:p w:rsidR="002527B9" w:rsidRPr="00E504D2" w:rsidRDefault="002527B9" w:rsidP="00730C96">
            <w:pPr>
              <w:pStyle w:val="Tabletext"/>
            </w:pPr>
            <w:r w:rsidRPr="00E504D2">
              <w:t>Relocation of service</w:t>
            </w:r>
          </w:p>
        </w:tc>
        <w:tc>
          <w:tcPr>
            <w:tcW w:w="819" w:type="pct"/>
            <w:tcBorders>
              <w:top w:val="single" w:sz="12" w:space="0" w:color="auto"/>
            </w:tcBorders>
            <w:shd w:val="clear" w:color="auto" w:fill="auto"/>
          </w:tcPr>
          <w:p w:rsidR="002527B9" w:rsidRPr="00E504D2" w:rsidRDefault="002527B9" w:rsidP="001C2171">
            <w:pPr>
              <w:pStyle w:val="Tabletext"/>
              <w:jc w:val="right"/>
            </w:pPr>
            <w:r w:rsidRPr="00E504D2">
              <w:t>quoted cost</w:t>
            </w:r>
          </w:p>
        </w:tc>
      </w:tr>
      <w:tr w:rsidR="002527B9" w:rsidRPr="00E504D2" w:rsidTr="00730C96">
        <w:tc>
          <w:tcPr>
            <w:tcW w:w="458" w:type="pct"/>
            <w:shd w:val="clear" w:color="auto" w:fill="auto"/>
          </w:tcPr>
          <w:p w:rsidR="002527B9" w:rsidRPr="00E504D2" w:rsidRDefault="002527B9" w:rsidP="00730C96">
            <w:pPr>
              <w:pStyle w:val="Tabletext"/>
            </w:pPr>
            <w:r w:rsidRPr="00E504D2">
              <w:t>2</w:t>
            </w:r>
          </w:p>
        </w:tc>
        <w:tc>
          <w:tcPr>
            <w:tcW w:w="3723" w:type="pct"/>
            <w:shd w:val="clear" w:color="auto" w:fill="auto"/>
          </w:tcPr>
          <w:p w:rsidR="002527B9" w:rsidRPr="00E504D2" w:rsidRDefault="002527B9" w:rsidP="00730C96">
            <w:pPr>
              <w:pStyle w:val="Tabletext"/>
            </w:pPr>
            <w:r w:rsidRPr="00E504D2">
              <w:t>Disconnection or reconnection of water service</w:t>
            </w:r>
          </w:p>
        </w:tc>
        <w:tc>
          <w:tcPr>
            <w:tcW w:w="819" w:type="pct"/>
            <w:shd w:val="clear" w:color="auto" w:fill="auto"/>
          </w:tcPr>
          <w:p w:rsidR="002527B9" w:rsidRPr="00E504D2" w:rsidRDefault="002527B9" w:rsidP="001C2171">
            <w:pPr>
              <w:pStyle w:val="Tabletext"/>
              <w:jc w:val="right"/>
            </w:pPr>
            <w:r w:rsidRPr="00E504D2">
              <w:t>quoted cost</w:t>
            </w:r>
          </w:p>
        </w:tc>
      </w:tr>
      <w:tr w:rsidR="002527B9" w:rsidRPr="00E504D2" w:rsidTr="00730C96">
        <w:tc>
          <w:tcPr>
            <w:tcW w:w="458" w:type="pct"/>
            <w:vMerge w:val="restart"/>
            <w:shd w:val="clear" w:color="auto" w:fill="auto"/>
          </w:tcPr>
          <w:p w:rsidR="002527B9" w:rsidRPr="00E504D2" w:rsidRDefault="002527B9" w:rsidP="00730C96">
            <w:pPr>
              <w:pStyle w:val="Tabletext"/>
            </w:pPr>
            <w:r w:rsidRPr="00E504D2">
              <w:t>3</w:t>
            </w:r>
          </w:p>
        </w:tc>
        <w:tc>
          <w:tcPr>
            <w:tcW w:w="3723" w:type="pct"/>
            <w:tcBorders>
              <w:bottom w:val="nil"/>
            </w:tcBorders>
            <w:shd w:val="clear" w:color="auto" w:fill="auto"/>
          </w:tcPr>
          <w:p w:rsidR="002527B9" w:rsidRPr="00E504D2" w:rsidRDefault="002527B9" w:rsidP="00730C96">
            <w:pPr>
              <w:pStyle w:val="Tabletext"/>
            </w:pPr>
            <w:r w:rsidRPr="00E504D2">
              <w:t>Special meter readings for change of owner/occupier:</w:t>
            </w:r>
          </w:p>
        </w:tc>
        <w:tc>
          <w:tcPr>
            <w:tcW w:w="819" w:type="pct"/>
            <w:tcBorders>
              <w:bottom w:val="nil"/>
            </w:tcBorders>
            <w:shd w:val="clear" w:color="auto" w:fill="auto"/>
          </w:tcPr>
          <w:p w:rsidR="002527B9" w:rsidRPr="00E504D2" w:rsidRDefault="002527B9" w:rsidP="001C2171">
            <w:pPr>
              <w:pStyle w:val="Tabletext"/>
              <w:jc w:val="right"/>
            </w:pPr>
          </w:p>
        </w:tc>
      </w:tr>
      <w:tr w:rsidR="002527B9" w:rsidRPr="00E504D2" w:rsidTr="00730C96">
        <w:tc>
          <w:tcPr>
            <w:tcW w:w="458" w:type="pct"/>
            <w:vMerge/>
            <w:shd w:val="clear" w:color="auto" w:fill="auto"/>
          </w:tcPr>
          <w:p w:rsidR="002527B9" w:rsidRPr="00E504D2" w:rsidRDefault="002527B9" w:rsidP="00730C96">
            <w:pPr>
              <w:pStyle w:val="Tabletext"/>
            </w:pPr>
          </w:p>
        </w:tc>
        <w:tc>
          <w:tcPr>
            <w:tcW w:w="3723" w:type="pct"/>
            <w:tcBorders>
              <w:top w:val="nil"/>
              <w:bottom w:val="nil"/>
            </w:tcBorders>
            <w:shd w:val="clear" w:color="auto" w:fill="auto"/>
          </w:tcPr>
          <w:p w:rsidR="002527B9" w:rsidRPr="00E504D2" w:rsidRDefault="002527B9" w:rsidP="00730C96">
            <w:pPr>
              <w:pStyle w:val="Tablea"/>
            </w:pPr>
            <w:r w:rsidRPr="00E504D2">
              <w:t>(a) within 7 days of being requested</w:t>
            </w:r>
          </w:p>
        </w:tc>
        <w:tc>
          <w:tcPr>
            <w:tcW w:w="819" w:type="pct"/>
            <w:tcBorders>
              <w:top w:val="nil"/>
              <w:bottom w:val="nil"/>
            </w:tcBorders>
            <w:shd w:val="clear" w:color="auto" w:fill="auto"/>
          </w:tcPr>
          <w:p w:rsidR="002527B9" w:rsidRPr="00E504D2" w:rsidRDefault="002527B9" w:rsidP="001C2171">
            <w:pPr>
              <w:pStyle w:val="Tabletext"/>
              <w:jc w:val="right"/>
            </w:pPr>
            <w:r w:rsidRPr="00E504D2">
              <w:t>$16.78</w:t>
            </w:r>
          </w:p>
        </w:tc>
      </w:tr>
      <w:tr w:rsidR="002527B9" w:rsidRPr="00E504D2" w:rsidTr="00730C96">
        <w:tc>
          <w:tcPr>
            <w:tcW w:w="458" w:type="pct"/>
            <w:vMerge/>
            <w:tcBorders>
              <w:bottom w:val="single" w:sz="4" w:space="0" w:color="auto"/>
            </w:tcBorders>
            <w:shd w:val="clear" w:color="auto" w:fill="auto"/>
          </w:tcPr>
          <w:p w:rsidR="002527B9" w:rsidRPr="00E504D2" w:rsidRDefault="002527B9" w:rsidP="00730C96">
            <w:pPr>
              <w:pStyle w:val="Tabletext"/>
            </w:pPr>
          </w:p>
        </w:tc>
        <w:tc>
          <w:tcPr>
            <w:tcW w:w="3723" w:type="pct"/>
            <w:tcBorders>
              <w:top w:val="nil"/>
              <w:bottom w:val="single" w:sz="4" w:space="0" w:color="auto"/>
            </w:tcBorders>
            <w:shd w:val="clear" w:color="auto" w:fill="auto"/>
          </w:tcPr>
          <w:p w:rsidR="002527B9" w:rsidRPr="00E504D2" w:rsidRDefault="002527B9" w:rsidP="00730C96">
            <w:pPr>
              <w:pStyle w:val="Tablea"/>
            </w:pPr>
            <w:r w:rsidRPr="00E504D2">
              <w:t>(b) within 2 days of being requested</w:t>
            </w:r>
          </w:p>
        </w:tc>
        <w:tc>
          <w:tcPr>
            <w:tcW w:w="819" w:type="pct"/>
            <w:tcBorders>
              <w:top w:val="nil"/>
              <w:bottom w:val="single" w:sz="4" w:space="0" w:color="auto"/>
            </w:tcBorders>
            <w:shd w:val="clear" w:color="auto" w:fill="auto"/>
          </w:tcPr>
          <w:p w:rsidR="002527B9" w:rsidRPr="00E504D2" w:rsidRDefault="002527B9" w:rsidP="001C2171">
            <w:pPr>
              <w:pStyle w:val="Tabletext"/>
              <w:jc w:val="right"/>
            </w:pPr>
            <w:r w:rsidRPr="00E504D2">
              <w:t>$56.37</w:t>
            </w:r>
          </w:p>
        </w:tc>
      </w:tr>
      <w:tr w:rsidR="002527B9" w:rsidRPr="00E504D2" w:rsidTr="00730C96">
        <w:tc>
          <w:tcPr>
            <w:tcW w:w="458" w:type="pct"/>
            <w:vMerge w:val="restart"/>
            <w:tcBorders>
              <w:top w:val="single" w:sz="4" w:space="0" w:color="auto"/>
            </w:tcBorders>
            <w:shd w:val="clear" w:color="auto" w:fill="auto"/>
          </w:tcPr>
          <w:p w:rsidR="002527B9" w:rsidRPr="00E504D2" w:rsidRDefault="002527B9" w:rsidP="00730C96">
            <w:pPr>
              <w:pStyle w:val="Tabletext"/>
            </w:pPr>
            <w:r w:rsidRPr="00E504D2">
              <w:t>4</w:t>
            </w:r>
          </w:p>
        </w:tc>
        <w:tc>
          <w:tcPr>
            <w:tcW w:w="3723" w:type="pct"/>
            <w:tcBorders>
              <w:top w:val="single" w:sz="4" w:space="0" w:color="auto"/>
              <w:bottom w:val="nil"/>
            </w:tcBorders>
            <w:shd w:val="clear" w:color="auto" w:fill="auto"/>
          </w:tcPr>
          <w:p w:rsidR="002527B9" w:rsidRPr="00E504D2" w:rsidRDefault="002527B9" w:rsidP="00730C96">
            <w:pPr>
              <w:pStyle w:val="Tabletext"/>
            </w:pPr>
            <w:r w:rsidRPr="00E504D2">
              <w:t>Advice of sale requests:</w:t>
            </w:r>
          </w:p>
        </w:tc>
        <w:tc>
          <w:tcPr>
            <w:tcW w:w="819" w:type="pct"/>
            <w:tcBorders>
              <w:top w:val="single" w:sz="4" w:space="0" w:color="auto"/>
              <w:bottom w:val="nil"/>
            </w:tcBorders>
            <w:shd w:val="clear" w:color="auto" w:fill="auto"/>
          </w:tcPr>
          <w:p w:rsidR="002527B9" w:rsidRPr="00E504D2" w:rsidRDefault="002527B9" w:rsidP="001C2171">
            <w:pPr>
              <w:pStyle w:val="Tabletext"/>
              <w:jc w:val="right"/>
            </w:pPr>
          </w:p>
        </w:tc>
      </w:tr>
      <w:tr w:rsidR="002527B9" w:rsidRPr="00E504D2" w:rsidTr="00730C96">
        <w:tc>
          <w:tcPr>
            <w:tcW w:w="458" w:type="pct"/>
            <w:vMerge/>
            <w:shd w:val="clear" w:color="auto" w:fill="auto"/>
          </w:tcPr>
          <w:p w:rsidR="002527B9" w:rsidRPr="00E504D2" w:rsidRDefault="002527B9" w:rsidP="00730C96">
            <w:pPr>
              <w:pStyle w:val="Tabletext"/>
            </w:pPr>
          </w:p>
        </w:tc>
        <w:tc>
          <w:tcPr>
            <w:tcW w:w="3723" w:type="pct"/>
            <w:tcBorders>
              <w:top w:val="nil"/>
              <w:bottom w:val="nil"/>
            </w:tcBorders>
            <w:shd w:val="clear" w:color="auto" w:fill="auto"/>
          </w:tcPr>
          <w:p w:rsidR="002527B9" w:rsidRPr="00E504D2" w:rsidRDefault="002527B9" w:rsidP="00730C96">
            <w:pPr>
              <w:pStyle w:val="Tablea"/>
            </w:pPr>
            <w:r w:rsidRPr="00E504D2">
              <w:t>(a)</w:t>
            </w:r>
            <w:r w:rsidRPr="00E504D2">
              <w:rPr>
                <w:lang w:eastAsia="en-US"/>
              </w:rPr>
              <w:t xml:space="preserve"> </w:t>
            </w:r>
            <w:r w:rsidRPr="00E504D2">
              <w:t>electronic advice—standard</w:t>
            </w:r>
          </w:p>
        </w:tc>
        <w:tc>
          <w:tcPr>
            <w:tcW w:w="819" w:type="pct"/>
            <w:tcBorders>
              <w:top w:val="nil"/>
              <w:bottom w:val="nil"/>
            </w:tcBorders>
            <w:shd w:val="clear" w:color="auto" w:fill="auto"/>
          </w:tcPr>
          <w:p w:rsidR="002527B9" w:rsidRPr="00E504D2" w:rsidRDefault="002527B9" w:rsidP="001C2171">
            <w:pPr>
              <w:pStyle w:val="Tabletext"/>
              <w:jc w:val="right"/>
            </w:pPr>
            <w:r w:rsidRPr="00E504D2">
              <w:t>$44.55</w:t>
            </w:r>
          </w:p>
        </w:tc>
      </w:tr>
      <w:tr w:rsidR="002527B9" w:rsidRPr="00E504D2" w:rsidTr="00730C96">
        <w:tc>
          <w:tcPr>
            <w:tcW w:w="458" w:type="pct"/>
            <w:vMerge/>
            <w:shd w:val="clear" w:color="auto" w:fill="auto"/>
          </w:tcPr>
          <w:p w:rsidR="002527B9" w:rsidRPr="00E504D2" w:rsidRDefault="002527B9" w:rsidP="00730C96">
            <w:pPr>
              <w:pStyle w:val="Tabletext"/>
            </w:pPr>
          </w:p>
        </w:tc>
        <w:tc>
          <w:tcPr>
            <w:tcW w:w="3723" w:type="pct"/>
            <w:tcBorders>
              <w:top w:val="nil"/>
              <w:bottom w:val="nil"/>
            </w:tcBorders>
            <w:shd w:val="clear" w:color="auto" w:fill="auto"/>
          </w:tcPr>
          <w:p w:rsidR="002527B9" w:rsidRPr="00E504D2" w:rsidRDefault="002527B9" w:rsidP="00730C96">
            <w:pPr>
              <w:pStyle w:val="Tablea"/>
            </w:pPr>
            <w:r w:rsidRPr="00E504D2">
              <w:t>(b) electronic advice—urgent</w:t>
            </w:r>
          </w:p>
        </w:tc>
        <w:tc>
          <w:tcPr>
            <w:tcW w:w="819" w:type="pct"/>
            <w:tcBorders>
              <w:top w:val="nil"/>
              <w:bottom w:val="nil"/>
            </w:tcBorders>
            <w:shd w:val="clear" w:color="auto" w:fill="auto"/>
          </w:tcPr>
          <w:p w:rsidR="002527B9" w:rsidRPr="00E504D2" w:rsidRDefault="002527B9" w:rsidP="001C2171">
            <w:pPr>
              <w:pStyle w:val="Tabletext"/>
              <w:jc w:val="right"/>
            </w:pPr>
            <w:r w:rsidRPr="00E504D2">
              <w:t>$84.04</w:t>
            </w:r>
          </w:p>
        </w:tc>
      </w:tr>
      <w:tr w:rsidR="002527B9" w:rsidRPr="00E504D2" w:rsidTr="00730C96">
        <w:tc>
          <w:tcPr>
            <w:tcW w:w="458" w:type="pct"/>
            <w:vMerge/>
            <w:shd w:val="clear" w:color="auto" w:fill="auto"/>
          </w:tcPr>
          <w:p w:rsidR="002527B9" w:rsidRPr="00E504D2" w:rsidRDefault="002527B9" w:rsidP="00730C96">
            <w:pPr>
              <w:pStyle w:val="Tabletext"/>
            </w:pPr>
          </w:p>
        </w:tc>
        <w:tc>
          <w:tcPr>
            <w:tcW w:w="3723" w:type="pct"/>
            <w:tcBorders>
              <w:top w:val="nil"/>
              <w:bottom w:val="nil"/>
            </w:tcBorders>
            <w:shd w:val="clear" w:color="auto" w:fill="auto"/>
          </w:tcPr>
          <w:p w:rsidR="002527B9" w:rsidRPr="00E504D2" w:rsidRDefault="002527B9" w:rsidP="00730C96">
            <w:pPr>
              <w:pStyle w:val="Tablea"/>
            </w:pPr>
            <w:r w:rsidRPr="00E504D2">
              <w:t>(c) manual advice—standard</w:t>
            </w:r>
          </w:p>
        </w:tc>
        <w:tc>
          <w:tcPr>
            <w:tcW w:w="819" w:type="pct"/>
            <w:tcBorders>
              <w:top w:val="nil"/>
              <w:bottom w:val="nil"/>
            </w:tcBorders>
            <w:shd w:val="clear" w:color="auto" w:fill="auto"/>
          </w:tcPr>
          <w:p w:rsidR="002527B9" w:rsidRPr="00E504D2" w:rsidRDefault="002527B9" w:rsidP="001C2171">
            <w:pPr>
              <w:pStyle w:val="Tabletext"/>
              <w:jc w:val="right"/>
            </w:pPr>
            <w:r w:rsidRPr="00E504D2">
              <w:t>$76.44</w:t>
            </w:r>
          </w:p>
        </w:tc>
      </w:tr>
      <w:tr w:rsidR="002527B9" w:rsidRPr="00E504D2" w:rsidTr="00730C96">
        <w:tc>
          <w:tcPr>
            <w:tcW w:w="458" w:type="pct"/>
            <w:vMerge/>
            <w:tcBorders>
              <w:bottom w:val="single" w:sz="4" w:space="0" w:color="auto"/>
            </w:tcBorders>
            <w:shd w:val="clear" w:color="auto" w:fill="auto"/>
          </w:tcPr>
          <w:p w:rsidR="002527B9" w:rsidRPr="00E504D2" w:rsidRDefault="002527B9" w:rsidP="00730C96">
            <w:pPr>
              <w:pStyle w:val="Tabletext"/>
            </w:pPr>
          </w:p>
        </w:tc>
        <w:tc>
          <w:tcPr>
            <w:tcW w:w="3723" w:type="pct"/>
            <w:tcBorders>
              <w:top w:val="nil"/>
              <w:bottom w:val="single" w:sz="4" w:space="0" w:color="auto"/>
            </w:tcBorders>
            <w:shd w:val="clear" w:color="auto" w:fill="auto"/>
          </w:tcPr>
          <w:p w:rsidR="002527B9" w:rsidRPr="00E504D2" w:rsidRDefault="002527B9" w:rsidP="00730C96">
            <w:pPr>
              <w:pStyle w:val="Tablea"/>
            </w:pPr>
            <w:r w:rsidRPr="00E504D2">
              <w:t>(d) manual advice—urgent</w:t>
            </w:r>
          </w:p>
        </w:tc>
        <w:tc>
          <w:tcPr>
            <w:tcW w:w="819" w:type="pct"/>
            <w:tcBorders>
              <w:top w:val="nil"/>
              <w:bottom w:val="single" w:sz="4" w:space="0" w:color="auto"/>
            </w:tcBorders>
            <w:shd w:val="clear" w:color="auto" w:fill="auto"/>
          </w:tcPr>
          <w:p w:rsidR="002527B9" w:rsidRPr="00E504D2" w:rsidRDefault="002527B9" w:rsidP="001C2171">
            <w:pPr>
              <w:pStyle w:val="Tabletext"/>
              <w:jc w:val="right"/>
            </w:pPr>
            <w:r w:rsidRPr="00E504D2">
              <w:t>$115.61</w:t>
            </w:r>
          </w:p>
        </w:tc>
      </w:tr>
      <w:tr w:rsidR="002527B9" w:rsidRPr="00E504D2" w:rsidTr="00730C96">
        <w:tc>
          <w:tcPr>
            <w:tcW w:w="458" w:type="pct"/>
            <w:vMerge w:val="restart"/>
            <w:tcBorders>
              <w:top w:val="single" w:sz="4" w:space="0" w:color="auto"/>
            </w:tcBorders>
            <w:shd w:val="clear" w:color="auto" w:fill="auto"/>
          </w:tcPr>
          <w:p w:rsidR="002527B9" w:rsidRPr="00E504D2" w:rsidRDefault="002527B9" w:rsidP="00730C96">
            <w:pPr>
              <w:pStyle w:val="Tabletext"/>
            </w:pPr>
            <w:r w:rsidRPr="00E504D2">
              <w:t>5</w:t>
            </w:r>
          </w:p>
        </w:tc>
        <w:tc>
          <w:tcPr>
            <w:tcW w:w="3723" w:type="pct"/>
            <w:tcBorders>
              <w:top w:val="single" w:sz="4" w:space="0" w:color="auto"/>
              <w:bottom w:val="nil"/>
            </w:tcBorders>
            <w:shd w:val="clear" w:color="auto" w:fill="auto"/>
          </w:tcPr>
          <w:p w:rsidR="002527B9" w:rsidRPr="00E504D2" w:rsidRDefault="002527B9" w:rsidP="00730C96">
            <w:pPr>
              <w:pStyle w:val="Tabletext"/>
            </w:pPr>
            <w:r w:rsidRPr="00E504D2">
              <w:t>Meter tests:</w:t>
            </w:r>
          </w:p>
        </w:tc>
        <w:tc>
          <w:tcPr>
            <w:tcW w:w="819" w:type="pct"/>
            <w:tcBorders>
              <w:top w:val="single" w:sz="4" w:space="0" w:color="auto"/>
              <w:bottom w:val="nil"/>
            </w:tcBorders>
            <w:shd w:val="clear" w:color="auto" w:fill="auto"/>
          </w:tcPr>
          <w:p w:rsidR="002527B9" w:rsidRPr="00E504D2" w:rsidRDefault="002527B9" w:rsidP="001C2171">
            <w:pPr>
              <w:pStyle w:val="Tabletext"/>
              <w:jc w:val="right"/>
            </w:pPr>
          </w:p>
        </w:tc>
      </w:tr>
      <w:tr w:rsidR="002527B9" w:rsidRPr="00E504D2" w:rsidTr="00730C96">
        <w:tc>
          <w:tcPr>
            <w:tcW w:w="458" w:type="pct"/>
            <w:vMerge/>
            <w:shd w:val="clear" w:color="auto" w:fill="auto"/>
          </w:tcPr>
          <w:p w:rsidR="002527B9" w:rsidRPr="00E504D2" w:rsidRDefault="002527B9" w:rsidP="00730C96">
            <w:pPr>
              <w:pStyle w:val="Tabletext"/>
            </w:pPr>
          </w:p>
        </w:tc>
        <w:tc>
          <w:tcPr>
            <w:tcW w:w="3723" w:type="pct"/>
            <w:tcBorders>
              <w:top w:val="nil"/>
              <w:bottom w:val="nil"/>
            </w:tcBorders>
            <w:shd w:val="clear" w:color="auto" w:fill="auto"/>
          </w:tcPr>
          <w:p w:rsidR="002527B9" w:rsidRPr="00E504D2" w:rsidRDefault="002527B9" w:rsidP="00730C96">
            <w:pPr>
              <w:pStyle w:val="Tablea"/>
            </w:pPr>
            <w:r w:rsidRPr="00E504D2">
              <w:t>(a) 20 to 25 mm meters</w:t>
            </w:r>
          </w:p>
        </w:tc>
        <w:tc>
          <w:tcPr>
            <w:tcW w:w="819" w:type="pct"/>
            <w:tcBorders>
              <w:top w:val="nil"/>
              <w:bottom w:val="nil"/>
            </w:tcBorders>
            <w:shd w:val="clear" w:color="auto" w:fill="auto"/>
          </w:tcPr>
          <w:p w:rsidR="002527B9" w:rsidRPr="00E504D2" w:rsidRDefault="002527B9" w:rsidP="001C2171">
            <w:pPr>
              <w:pStyle w:val="Tabletext"/>
              <w:jc w:val="right"/>
            </w:pPr>
            <w:r w:rsidRPr="00E504D2">
              <w:t>$107.68</w:t>
            </w:r>
          </w:p>
        </w:tc>
      </w:tr>
      <w:tr w:rsidR="002527B9" w:rsidRPr="00E504D2" w:rsidTr="00730C96">
        <w:tc>
          <w:tcPr>
            <w:tcW w:w="458" w:type="pct"/>
            <w:vMerge/>
            <w:tcBorders>
              <w:bottom w:val="single" w:sz="4" w:space="0" w:color="auto"/>
            </w:tcBorders>
            <w:shd w:val="clear" w:color="auto" w:fill="auto"/>
          </w:tcPr>
          <w:p w:rsidR="002527B9" w:rsidRPr="00E504D2" w:rsidRDefault="002527B9" w:rsidP="00730C96">
            <w:pPr>
              <w:pStyle w:val="Tabletext"/>
            </w:pPr>
          </w:p>
        </w:tc>
        <w:tc>
          <w:tcPr>
            <w:tcW w:w="3723" w:type="pct"/>
            <w:tcBorders>
              <w:top w:val="nil"/>
              <w:bottom w:val="single" w:sz="4" w:space="0" w:color="auto"/>
            </w:tcBorders>
            <w:shd w:val="clear" w:color="auto" w:fill="auto"/>
          </w:tcPr>
          <w:p w:rsidR="002527B9" w:rsidRPr="00E504D2" w:rsidRDefault="002527B9" w:rsidP="00730C96">
            <w:pPr>
              <w:pStyle w:val="Tablea"/>
            </w:pPr>
            <w:r w:rsidRPr="00E504D2">
              <w:t>(b) over 25 mm meters</w:t>
            </w:r>
          </w:p>
        </w:tc>
        <w:tc>
          <w:tcPr>
            <w:tcW w:w="819" w:type="pct"/>
            <w:tcBorders>
              <w:top w:val="nil"/>
              <w:bottom w:val="single" w:sz="4" w:space="0" w:color="auto"/>
            </w:tcBorders>
            <w:shd w:val="clear" w:color="auto" w:fill="auto"/>
          </w:tcPr>
          <w:p w:rsidR="002527B9" w:rsidRPr="00E504D2" w:rsidRDefault="002527B9" w:rsidP="001C2171">
            <w:pPr>
              <w:pStyle w:val="Tabletext"/>
              <w:jc w:val="right"/>
            </w:pPr>
            <w:r w:rsidRPr="00E504D2">
              <w:t>actual cost</w:t>
            </w:r>
          </w:p>
        </w:tc>
      </w:tr>
      <w:tr w:rsidR="002527B9" w:rsidRPr="00E504D2" w:rsidTr="00730C96">
        <w:tc>
          <w:tcPr>
            <w:tcW w:w="458" w:type="pct"/>
            <w:vMerge w:val="restart"/>
            <w:tcBorders>
              <w:top w:val="single" w:sz="4" w:space="0" w:color="auto"/>
            </w:tcBorders>
            <w:shd w:val="clear" w:color="auto" w:fill="auto"/>
          </w:tcPr>
          <w:p w:rsidR="002527B9" w:rsidRPr="00E504D2" w:rsidRDefault="002527B9" w:rsidP="00730C96">
            <w:pPr>
              <w:pStyle w:val="Tabletext"/>
            </w:pPr>
            <w:r w:rsidRPr="00E504D2">
              <w:t>6</w:t>
            </w:r>
          </w:p>
        </w:tc>
        <w:tc>
          <w:tcPr>
            <w:tcW w:w="3723" w:type="pct"/>
            <w:tcBorders>
              <w:top w:val="single" w:sz="4" w:space="0" w:color="auto"/>
              <w:bottom w:val="nil"/>
            </w:tcBorders>
            <w:shd w:val="clear" w:color="auto" w:fill="auto"/>
          </w:tcPr>
          <w:p w:rsidR="002527B9" w:rsidRPr="00E504D2" w:rsidRDefault="002527B9" w:rsidP="00730C96">
            <w:pPr>
              <w:pStyle w:val="Tabletext"/>
            </w:pPr>
            <w:r w:rsidRPr="00E504D2">
              <w:t>Restoration of service after restriction:</w:t>
            </w:r>
          </w:p>
        </w:tc>
        <w:tc>
          <w:tcPr>
            <w:tcW w:w="819" w:type="pct"/>
            <w:tcBorders>
              <w:top w:val="single" w:sz="4" w:space="0" w:color="auto"/>
              <w:bottom w:val="nil"/>
            </w:tcBorders>
            <w:shd w:val="clear" w:color="auto" w:fill="auto"/>
          </w:tcPr>
          <w:p w:rsidR="002527B9" w:rsidRPr="00E504D2" w:rsidRDefault="002527B9" w:rsidP="001C2171">
            <w:pPr>
              <w:pStyle w:val="Tabletext"/>
              <w:jc w:val="right"/>
            </w:pPr>
          </w:p>
        </w:tc>
      </w:tr>
      <w:tr w:rsidR="002527B9" w:rsidRPr="00E504D2" w:rsidTr="00730C96">
        <w:tc>
          <w:tcPr>
            <w:tcW w:w="458" w:type="pct"/>
            <w:vMerge/>
            <w:shd w:val="clear" w:color="auto" w:fill="auto"/>
          </w:tcPr>
          <w:p w:rsidR="002527B9" w:rsidRPr="00E504D2" w:rsidRDefault="002527B9" w:rsidP="00730C96">
            <w:pPr>
              <w:pStyle w:val="Tabletext"/>
            </w:pPr>
          </w:p>
        </w:tc>
        <w:tc>
          <w:tcPr>
            <w:tcW w:w="3723" w:type="pct"/>
            <w:tcBorders>
              <w:top w:val="nil"/>
              <w:bottom w:val="nil"/>
            </w:tcBorders>
            <w:shd w:val="clear" w:color="auto" w:fill="auto"/>
          </w:tcPr>
          <w:p w:rsidR="002527B9" w:rsidRPr="00E504D2" w:rsidRDefault="002527B9" w:rsidP="00FD27C0">
            <w:pPr>
              <w:pStyle w:val="Tablea"/>
            </w:pPr>
            <w:r w:rsidRPr="00E504D2">
              <w:t xml:space="preserve">(a) between 7 am and 4 pm any day except Saturday, Sunday </w:t>
            </w:r>
            <w:r w:rsidR="00FD27C0" w:rsidRPr="00E504D2">
              <w:t>or a public holiday</w:t>
            </w:r>
          </w:p>
        </w:tc>
        <w:tc>
          <w:tcPr>
            <w:tcW w:w="819" w:type="pct"/>
            <w:tcBorders>
              <w:top w:val="nil"/>
              <w:bottom w:val="nil"/>
            </w:tcBorders>
            <w:shd w:val="clear" w:color="auto" w:fill="auto"/>
          </w:tcPr>
          <w:p w:rsidR="002527B9" w:rsidRPr="00E504D2" w:rsidRDefault="002527B9" w:rsidP="001C2171">
            <w:pPr>
              <w:pStyle w:val="Tabletext"/>
              <w:jc w:val="right"/>
            </w:pPr>
            <w:r w:rsidRPr="00E504D2">
              <w:t>$154.15</w:t>
            </w:r>
          </w:p>
        </w:tc>
      </w:tr>
      <w:tr w:rsidR="002527B9" w:rsidRPr="00E504D2" w:rsidTr="00730C96">
        <w:tc>
          <w:tcPr>
            <w:tcW w:w="458" w:type="pct"/>
            <w:vMerge/>
            <w:tcBorders>
              <w:bottom w:val="single" w:sz="4" w:space="0" w:color="auto"/>
            </w:tcBorders>
            <w:shd w:val="clear" w:color="auto" w:fill="auto"/>
          </w:tcPr>
          <w:p w:rsidR="002527B9" w:rsidRPr="00E504D2" w:rsidRDefault="002527B9" w:rsidP="00730C96">
            <w:pPr>
              <w:pStyle w:val="Tabletext"/>
            </w:pPr>
          </w:p>
        </w:tc>
        <w:tc>
          <w:tcPr>
            <w:tcW w:w="3723" w:type="pct"/>
            <w:tcBorders>
              <w:top w:val="nil"/>
              <w:bottom w:val="single" w:sz="4" w:space="0" w:color="auto"/>
            </w:tcBorders>
            <w:shd w:val="clear" w:color="auto" w:fill="auto"/>
          </w:tcPr>
          <w:p w:rsidR="002527B9" w:rsidRPr="00E504D2" w:rsidRDefault="002527B9" w:rsidP="00730C96">
            <w:pPr>
              <w:pStyle w:val="Tablea"/>
            </w:pPr>
            <w:r w:rsidRPr="00E504D2">
              <w:t>(b) any other time</w:t>
            </w:r>
          </w:p>
        </w:tc>
        <w:tc>
          <w:tcPr>
            <w:tcW w:w="819" w:type="pct"/>
            <w:tcBorders>
              <w:top w:val="nil"/>
              <w:bottom w:val="single" w:sz="4" w:space="0" w:color="auto"/>
            </w:tcBorders>
            <w:shd w:val="clear" w:color="auto" w:fill="auto"/>
          </w:tcPr>
          <w:p w:rsidR="002527B9" w:rsidRPr="00E504D2" w:rsidRDefault="002527B9" w:rsidP="001C2171">
            <w:pPr>
              <w:pStyle w:val="Tabletext"/>
              <w:jc w:val="right"/>
            </w:pPr>
            <w:r w:rsidRPr="00E504D2">
              <w:t>$244.95</w:t>
            </w:r>
          </w:p>
        </w:tc>
      </w:tr>
      <w:tr w:rsidR="002527B9" w:rsidRPr="00E504D2" w:rsidTr="00730C96">
        <w:tc>
          <w:tcPr>
            <w:tcW w:w="458" w:type="pct"/>
            <w:tcBorders>
              <w:top w:val="single" w:sz="4" w:space="0" w:color="auto"/>
              <w:bottom w:val="single" w:sz="4" w:space="0" w:color="auto"/>
            </w:tcBorders>
            <w:shd w:val="clear" w:color="auto" w:fill="auto"/>
          </w:tcPr>
          <w:p w:rsidR="002527B9" w:rsidRPr="00E504D2" w:rsidRDefault="002527B9" w:rsidP="00730C96">
            <w:pPr>
              <w:pStyle w:val="Tabletext"/>
            </w:pPr>
            <w:r w:rsidRPr="00E504D2">
              <w:t>7</w:t>
            </w:r>
          </w:p>
        </w:tc>
        <w:tc>
          <w:tcPr>
            <w:tcW w:w="3723" w:type="pct"/>
            <w:tcBorders>
              <w:top w:val="single" w:sz="4" w:space="0" w:color="auto"/>
              <w:bottom w:val="single" w:sz="4" w:space="0" w:color="auto"/>
            </w:tcBorders>
            <w:shd w:val="clear" w:color="auto" w:fill="auto"/>
          </w:tcPr>
          <w:p w:rsidR="002527B9" w:rsidRPr="00E504D2" w:rsidRDefault="002527B9" w:rsidP="00730C96">
            <w:pPr>
              <w:pStyle w:val="Tabletext"/>
            </w:pPr>
            <w:r w:rsidRPr="00E504D2">
              <w:t>Sewer connection</w:t>
            </w:r>
          </w:p>
        </w:tc>
        <w:tc>
          <w:tcPr>
            <w:tcW w:w="819" w:type="pct"/>
            <w:tcBorders>
              <w:top w:val="single" w:sz="4" w:space="0" w:color="auto"/>
              <w:bottom w:val="single" w:sz="4" w:space="0" w:color="auto"/>
            </w:tcBorders>
            <w:shd w:val="clear" w:color="auto" w:fill="auto"/>
          </w:tcPr>
          <w:p w:rsidR="002527B9" w:rsidRPr="00E504D2" w:rsidRDefault="002527B9" w:rsidP="001C2171">
            <w:pPr>
              <w:pStyle w:val="Tabletext"/>
              <w:jc w:val="right"/>
            </w:pPr>
            <w:r w:rsidRPr="00E504D2">
              <w:t>quoted cost</w:t>
            </w:r>
          </w:p>
        </w:tc>
      </w:tr>
      <w:tr w:rsidR="002527B9" w:rsidRPr="00E504D2" w:rsidTr="00730C96">
        <w:tc>
          <w:tcPr>
            <w:tcW w:w="458" w:type="pct"/>
            <w:tcBorders>
              <w:bottom w:val="single" w:sz="12" w:space="0" w:color="auto"/>
            </w:tcBorders>
            <w:shd w:val="clear" w:color="auto" w:fill="auto"/>
          </w:tcPr>
          <w:p w:rsidR="002527B9" w:rsidRPr="00E504D2" w:rsidRDefault="002527B9" w:rsidP="00730C96">
            <w:pPr>
              <w:pStyle w:val="Tabletext"/>
            </w:pPr>
            <w:r w:rsidRPr="00E504D2">
              <w:t>8</w:t>
            </w:r>
          </w:p>
        </w:tc>
        <w:tc>
          <w:tcPr>
            <w:tcW w:w="3723" w:type="pct"/>
            <w:tcBorders>
              <w:bottom w:val="single" w:sz="12" w:space="0" w:color="auto"/>
            </w:tcBorders>
            <w:shd w:val="clear" w:color="auto" w:fill="auto"/>
          </w:tcPr>
          <w:p w:rsidR="002527B9" w:rsidRPr="00E504D2" w:rsidRDefault="002527B9" w:rsidP="00730C96">
            <w:pPr>
              <w:pStyle w:val="Tabletext"/>
            </w:pPr>
            <w:r w:rsidRPr="00E504D2">
              <w:t>Installation of sewer junction</w:t>
            </w:r>
          </w:p>
        </w:tc>
        <w:tc>
          <w:tcPr>
            <w:tcW w:w="819" w:type="pct"/>
            <w:tcBorders>
              <w:bottom w:val="single" w:sz="12" w:space="0" w:color="auto"/>
            </w:tcBorders>
            <w:shd w:val="clear" w:color="auto" w:fill="auto"/>
          </w:tcPr>
          <w:p w:rsidR="002527B9" w:rsidRPr="00E504D2" w:rsidRDefault="002527B9" w:rsidP="001C2171">
            <w:pPr>
              <w:pStyle w:val="Tabletext"/>
              <w:jc w:val="right"/>
            </w:pPr>
            <w:r w:rsidRPr="00E504D2">
              <w:t>quoted cost</w:t>
            </w:r>
          </w:p>
        </w:tc>
      </w:tr>
    </w:tbl>
    <w:p w:rsidR="002527B9" w:rsidRPr="00E504D2" w:rsidRDefault="002527B9" w:rsidP="002527B9">
      <w:pPr>
        <w:pStyle w:val="Tabletext"/>
      </w:pPr>
    </w:p>
    <w:p w:rsidR="002527B9" w:rsidRPr="00E504D2" w:rsidRDefault="002527B9" w:rsidP="002527B9">
      <w:pPr>
        <w:pStyle w:val="subsection"/>
      </w:pPr>
      <w:r w:rsidRPr="00E504D2">
        <w:tab/>
        <w:t>(2)</w:t>
      </w:r>
      <w:r w:rsidRPr="00E504D2">
        <w:tab/>
        <w:t>In the table:</w:t>
      </w:r>
    </w:p>
    <w:p w:rsidR="002527B9" w:rsidRPr="00E504D2" w:rsidRDefault="002527B9" w:rsidP="002527B9">
      <w:pPr>
        <w:pStyle w:val="Definition"/>
      </w:pPr>
      <w:r w:rsidRPr="00E504D2">
        <w:rPr>
          <w:b/>
          <w:i/>
        </w:rPr>
        <w:t>actual cost</w:t>
      </w:r>
      <w:r w:rsidRPr="00E504D2">
        <w:t>, for a meter test, is the cost incurred in removing the meter and sending it for testing.</w:t>
      </w:r>
    </w:p>
    <w:p w:rsidR="002527B9" w:rsidRPr="00E504D2" w:rsidRDefault="002527B9" w:rsidP="002527B9">
      <w:pPr>
        <w:pStyle w:val="Definition"/>
      </w:pPr>
      <w:r w:rsidRPr="00E504D2">
        <w:rPr>
          <w:b/>
          <w:i/>
        </w:rPr>
        <w:t>quoted cost</w:t>
      </w:r>
      <w:r w:rsidRPr="00E504D2">
        <w:t xml:space="preserve">, for a service, means the cost quoted by </w:t>
      </w:r>
      <w:r w:rsidR="00FD27C0" w:rsidRPr="00E504D2">
        <w:t>a</w:t>
      </w:r>
      <w:r w:rsidRPr="00E504D2">
        <w:t xml:space="preserve"> contractor engaged to perform the service.</w:t>
      </w:r>
    </w:p>
    <w:p w:rsidR="002527B9" w:rsidRPr="00E504D2" w:rsidRDefault="002527B9" w:rsidP="00F3334A">
      <w:pPr>
        <w:pStyle w:val="ActHead1"/>
        <w:pageBreakBefore/>
      </w:pPr>
      <w:bookmarkStart w:id="27" w:name="_Toc454972762"/>
      <w:r w:rsidRPr="00E504D2">
        <w:rPr>
          <w:rStyle w:val="CharChapNo"/>
        </w:rPr>
        <w:lastRenderedPageBreak/>
        <w:t>Schedule</w:t>
      </w:r>
      <w:r w:rsidR="00E504D2" w:rsidRPr="00E504D2">
        <w:rPr>
          <w:rStyle w:val="CharChapNo"/>
        </w:rPr>
        <w:t> </w:t>
      </w:r>
      <w:r w:rsidRPr="00E504D2">
        <w:rPr>
          <w:rStyle w:val="CharChapNo"/>
        </w:rPr>
        <w:t>5</w:t>
      </w:r>
      <w:r w:rsidRPr="00E504D2">
        <w:t>—</w:t>
      </w:r>
      <w:r w:rsidRPr="00E504D2">
        <w:rPr>
          <w:rStyle w:val="CharChapText"/>
        </w:rPr>
        <w:t>Fees for the supply of building application services that relate to water and sewerage services</w:t>
      </w:r>
      <w:bookmarkEnd w:id="27"/>
    </w:p>
    <w:p w:rsidR="002527B9" w:rsidRPr="00E504D2" w:rsidRDefault="002527B9" w:rsidP="002527B9">
      <w:pPr>
        <w:pStyle w:val="notemargin"/>
      </w:pPr>
      <w:r w:rsidRPr="00E504D2">
        <w:t>Note:</w:t>
      </w:r>
      <w:r w:rsidRPr="00E504D2">
        <w:tab/>
        <w:t>See paragraph</w:t>
      </w:r>
      <w:r w:rsidR="00E504D2" w:rsidRPr="00E504D2">
        <w:t> </w:t>
      </w:r>
      <w:r w:rsidRPr="00E504D2">
        <w:t>6(3)(e).</w:t>
      </w:r>
    </w:p>
    <w:p w:rsidR="002527B9" w:rsidRPr="00E504D2" w:rsidRDefault="002527B9" w:rsidP="002527B9">
      <w:pPr>
        <w:pStyle w:val="Header"/>
      </w:pPr>
      <w:bookmarkStart w:id="28" w:name="f_Check_Lines_below"/>
      <w:bookmarkEnd w:id="28"/>
      <w:r w:rsidRPr="00E504D2">
        <w:rPr>
          <w:rStyle w:val="CharPartNo"/>
        </w:rPr>
        <w:t xml:space="preserve"> </w:t>
      </w:r>
      <w:r w:rsidRPr="00E504D2">
        <w:rPr>
          <w:rStyle w:val="CharPartText"/>
        </w:rPr>
        <w:t xml:space="preserve"> </w:t>
      </w:r>
    </w:p>
    <w:p w:rsidR="002527B9" w:rsidRPr="00E504D2" w:rsidRDefault="002527B9" w:rsidP="002527B9">
      <w:pPr>
        <w:pStyle w:val="Header"/>
      </w:pPr>
      <w:r w:rsidRPr="00E504D2">
        <w:rPr>
          <w:rStyle w:val="CharDivNo"/>
        </w:rPr>
        <w:t xml:space="preserve"> </w:t>
      </w:r>
      <w:r w:rsidRPr="00E504D2">
        <w:rPr>
          <w:rStyle w:val="CharDivText"/>
        </w:rPr>
        <w:t xml:space="preserve"> </w:t>
      </w:r>
    </w:p>
    <w:p w:rsidR="002527B9" w:rsidRPr="00E504D2" w:rsidRDefault="002527B9" w:rsidP="002527B9">
      <w:pPr>
        <w:pStyle w:val="ActHead5"/>
      </w:pPr>
      <w:bookmarkStart w:id="29" w:name="_Toc454972763"/>
      <w:r w:rsidRPr="00E504D2">
        <w:rPr>
          <w:rStyle w:val="CharSectno"/>
        </w:rPr>
        <w:t>1</w:t>
      </w:r>
      <w:r w:rsidRPr="00E504D2">
        <w:t xml:space="preserve">  Fees for the supply of building application services that relate to water and sewerage services</w:t>
      </w:r>
      <w:bookmarkEnd w:id="29"/>
    </w:p>
    <w:p w:rsidR="002527B9" w:rsidRPr="00E504D2" w:rsidRDefault="002527B9" w:rsidP="002527B9">
      <w:pPr>
        <w:pStyle w:val="subsection"/>
      </w:pPr>
      <w:r w:rsidRPr="00E504D2">
        <w:tab/>
      </w:r>
      <w:r w:rsidRPr="00E504D2">
        <w:tab/>
        <w:t>The table in this clause sets out fees for the supply of building application services that relate to water and sewerage services.</w:t>
      </w:r>
    </w:p>
    <w:p w:rsidR="002527B9" w:rsidRPr="00E504D2" w:rsidRDefault="002527B9" w:rsidP="002527B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2"/>
        <w:gridCol w:w="5847"/>
        <w:gridCol w:w="1900"/>
      </w:tblGrid>
      <w:tr w:rsidR="002527B9" w:rsidRPr="00E504D2" w:rsidTr="00730C96">
        <w:trPr>
          <w:tblHeader/>
        </w:trPr>
        <w:tc>
          <w:tcPr>
            <w:tcW w:w="5000" w:type="pct"/>
            <w:gridSpan w:val="3"/>
            <w:tcBorders>
              <w:top w:val="single" w:sz="12" w:space="0" w:color="auto"/>
              <w:bottom w:val="single" w:sz="6" w:space="0" w:color="auto"/>
            </w:tcBorders>
            <w:shd w:val="clear" w:color="auto" w:fill="auto"/>
          </w:tcPr>
          <w:p w:rsidR="002527B9" w:rsidRPr="00E504D2" w:rsidRDefault="002527B9" w:rsidP="00730C96">
            <w:pPr>
              <w:pStyle w:val="TableHeading"/>
            </w:pPr>
            <w:r w:rsidRPr="00E504D2">
              <w:t>Fees for the supply of building application services that relate to water and sewerage services</w:t>
            </w:r>
          </w:p>
        </w:tc>
      </w:tr>
      <w:tr w:rsidR="002527B9" w:rsidRPr="00E504D2" w:rsidTr="00730C96">
        <w:trPr>
          <w:tblHeader/>
        </w:trPr>
        <w:tc>
          <w:tcPr>
            <w:tcW w:w="458" w:type="pct"/>
            <w:tcBorders>
              <w:top w:val="single" w:sz="6" w:space="0" w:color="auto"/>
              <w:bottom w:val="single" w:sz="12" w:space="0" w:color="auto"/>
            </w:tcBorders>
            <w:shd w:val="clear" w:color="auto" w:fill="auto"/>
          </w:tcPr>
          <w:p w:rsidR="002527B9" w:rsidRPr="00E504D2" w:rsidRDefault="002527B9" w:rsidP="00730C96">
            <w:pPr>
              <w:pStyle w:val="TableHeading"/>
            </w:pPr>
            <w:r w:rsidRPr="00E504D2">
              <w:t>Item</w:t>
            </w:r>
          </w:p>
        </w:tc>
        <w:tc>
          <w:tcPr>
            <w:tcW w:w="3428" w:type="pct"/>
            <w:tcBorders>
              <w:top w:val="single" w:sz="6" w:space="0" w:color="auto"/>
              <w:bottom w:val="single" w:sz="12" w:space="0" w:color="auto"/>
            </w:tcBorders>
            <w:shd w:val="clear" w:color="auto" w:fill="auto"/>
          </w:tcPr>
          <w:p w:rsidR="002527B9" w:rsidRPr="00E504D2" w:rsidRDefault="002527B9" w:rsidP="00730C96">
            <w:pPr>
              <w:pStyle w:val="TableHeading"/>
            </w:pPr>
            <w:r w:rsidRPr="00E504D2">
              <w:t>Supply of the building application service of dealing with a notice to construct or alter …</w:t>
            </w:r>
          </w:p>
        </w:tc>
        <w:tc>
          <w:tcPr>
            <w:tcW w:w="1114" w:type="pct"/>
            <w:tcBorders>
              <w:top w:val="single" w:sz="6" w:space="0" w:color="auto"/>
              <w:bottom w:val="single" w:sz="12" w:space="0" w:color="auto"/>
            </w:tcBorders>
            <w:shd w:val="clear" w:color="auto" w:fill="auto"/>
          </w:tcPr>
          <w:p w:rsidR="002527B9" w:rsidRPr="00E504D2" w:rsidRDefault="002527B9" w:rsidP="00730C96">
            <w:pPr>
              <w:pStyle w:val="TableHeading"/>
            </w:pPr>
            <w:r w:rsidRPr="00E504D2">
              <w:t>Fee</w:t>
            </w:r>
          </w:p>
        </w:tc>
      </w:tr>
      <w:tr w:rsidR="002527B9" w:rsidRPr="00E504D2" w:rsidTr="00730C96">
        <w:tc>
          <w:tcPr>
            <w:tcW w:w="458" w:type="pct"/>
            <w:tcBorders>
              <w:top w:val="single" w:sz="12" w:space="0" w:color="auto"/>
            </w:tcBorders>
            <w:shd w:val="clear" w:color="auto" w:fill="auto"/>
          </w:tcPr>
          <w:p w:rsidR="002527B9" w:rsidRPr="00E504D2" w:rsidRDefault="002527B9" w:rsidP="00730C96">
            <w:pPr>
              <w:pStyle w:val="Tabletext"/>
            </w:pPr>
            <w:r w:rsidRPr="00E504D2">
              <w:t>1</w:t>
            </w:r>
          </w:p>
        </w:tc>
        <w:tc>
          <w:tcPr>
            <w:tcW w:w="3428" w:type="pct"/>
            <w:tcBorders>
              <w:top w:val="single" w:sz="12" w:space="0" w:color="auto"/>
            </w:tcBorders>
            <w:shd w:val="clear" w:color="auto" w:fill="auto"/>
          </w:tcPr>
          <w:p w:rsidR="002527B9" w:rsidRPr="00E504D2" w:rsidRDefault="002527B9" w:rsidP="00730C96">
            <w:pPr>
              <w:pStyle w:val="Tabletext"/>
            </w:pPr>
            <w:r w:rsidRPr="00E504D2">
              <w:t>a residential building</w:t>
            </w:r>
          </w:p>
        </w:tc>
        <w:tc>
          <w:tcPr>
            <w:tcW w:w="1114" w:type="pct"/>
            <w:tcBorders>
              <w:top w:val="single" w:sz="12" w:space="0" w:color="auto"/>
            </w:tcBorders>
            <w:shd w:val="clear" w:color="auto" w:fill="auto"/>
          </w:tcPr>
          <w:p w:rsidR="002527B9" w:rsidRPr="00E504D2" w:rsidRDefault="002527B9" w:rsidP="00730C96">
            <w:pPr>
              <w:pStyle w:val="Tabletext"/>
            </w:pPr>
            <w:r w:rsidRPr="00E504D2">
              <w:t>$124.37 per residential unit</w:t>
            </w:r>
          </w:p>
        </w:tc>
      </w:tr>
      <w:tr w:rsidR="002527B9" w:rsidRPr="00E504D2" w:rsidTr="00730C96">
        <w:tc>
          <w:tcPr>
            <w:tcW w:w="458" w:type="pct"/>
            <w:tcBorders>
              <w:bottom w:val="single" w:sz="4" w:space="0" w:color="auto"/>
            </w:tcBorders>
            <w:shd w:val="clear" w:color="auto" w:fill="auto"/>
          </w:tcPr>
          <w:p w:rsidR="002527B9" w:rsidRPr="00E504D2" w:rsidRDefault="002527B9" w:rsidP="00730C96">
            <w:pPr>
              <w:pStyle w:val="Tabletext"/>
            </w:pPr>
            <w:r w:rsidRPr="00E504D2">
              <w:t>2</w:t>
            </w:r>
          </w:p>
        </w:tc>
        <w:tc>
          <w:tcPr>
            <w:tcW w:w="3428" w:type="pct"/>
            <w:tcBorders>
              <w:bottom w:val="single" w:sz="4" w:space="0" w:color="auto"/>
            </w:tcBorders>
            <w:shd w:val="clear" w:color="auto" w:fill="auto"/>
          </w:tcPr>
          <w:p w:rsidR="002527B9" w:rsidRPr="00E504D2" w:rsidRDefault="002527B9" w:rsidP="00730C96">
            <w:pPr>
              <w:pStyle w:val="Tabletext"/>
            </w:pPr>
            <w:r w:rsidRPr="00E504D2">
              <w:t>an outbuilding to a single residential building, including pools, garages and pergolas (in sewered areas only)</w:t>
            </w:r>
          </w:p>
        </w:tc>
        <w:tc>
          <w:tcPr>
            <w:tcW w:w="1114" w:type="pct"/>
            <w:tcBorders>
              <w:bottom w:val="single" w:sz="4" w:space="0" w:color="auto"/>
            </w:tcBorders>
            <w:shd w:val="clear" w:color="auto" w:fill="auto"/>
          </w:tcPr>
          <w:p w:rsidR="002527B9" w:rsidRPr="00E504D2" w:rsidRDefault="002527B9" w:rsidP="00730C96">
            <w:pPr>
              <w:pStyle w:val="Tabletext"/>
            </w:pPr>
            <w:r w:rsidRPr="00E504D2">
              <w:t>$36.31</w:t>
            </w:r>
          </w:p>
        </w:tc>
      </w:tr>
      <w:tr w:rsidR="002527B9" w:rsidRPr="00E504D2" w:rsidTr="00730C96">
        <w:tc>
          <w:tcPr>
            <w:tcW w:w="458" w:type="pct"/>
            <w:tcBorders>
              <w:bottom w:val="single" w:sz="4" w:space="0" w:color="auto"/>
            </w:tcBorders>
            <w:shd w:val="clear" w:color="auto" w:fill="auto"/>
          </w:tcPr>
          <w:p w:rsidR="002527B9" w:rsidRPr="00E504D2" w:rsidRDefault="002527B9" w:rsidP="00730C96">
            <w:pPr>
              <w:pStyle w:val="Tabletext"/>
            </w:pPr>
            <w:r w:rsidRPr="00E504D2">
              <w:t>3</w:t>
            </w:r>
          </w:p>
        </w:tc>
        <w:tc>
          <w:tcPr>
            <w:tcW w:w="3428" w:type="pct"/>
            <w:tcBorders>
              <w:bottom w:val="single" w:sz="4" w:space="0" w:color="auto"/>
            </w:tcBorders>
            <w:shd w:val="clear" w:color="auto" w:fill="auto"/>
          </w:tcPr>
          <w:p w:rsidR="002527B9" w:rsidRPr="00E504D2" w:rsidRDefault="002527B9" w:rsidP="00730C96">
            <w:pPr>
              <w:pStyle w:val="Tabletext"/>
            </w:pPr>
            <w:r w:rsidRPr="00E504D2">
              <w:t>a multi</w:t>
            </w:r>
            <w:r w:rsidR="00E504D2">
              <w:noBreakHyphen/>
            </w:r>
            <w:r w:rsidRPr="00E504D2">
              <w:t>residential unit building</w:t>
            </w:r>
          </w:p>
        </w:tc>
        <w:tc>
          <w:tcPr>
            <w:tcW w:w="1114" w:type="pct"/>
            <w:tcBorders>
              <w:bottom w:val="single" w:sz="4" w:space="0" w:color="auto"/>
            </w:tcBorders>
            <w:shd w:val="clear" w:color="auto" w:fill="auto"/>
          </w:tcPr>
          <w:p w:rsidR="002527B9" w:rsidRPr="00E504D2" w:rsidRDefault="002527B9" w:rsidP="00730C96">
            <w:pPr>
              <w:pStyle w:val="Tabletext"/>
            </w:pPr>
            <w:r w:rsidRPr="00E504D2">
              <w:t>$124.37 per residential unit</w:t>
            </w:r>
          </w:p>
        </w:tc>
      </w:tr>
      <w:tr w:rsidR="002527B9" w:rsidRPr="00E504D2" w:rsidTr="00730C96">
        <w:tc>
          <w:tcPr>
            <w:tcW w:w="458" w:type="pct"/>
            <w:vMerge w:val="restart"/>
            <w:tcBorders>
              <w:top w:val="single" w:sz="4" w:space="0" w:color="auto"/>
            </w:tcBorders>
            <w:shd w:val="clear" w:color="auto" w:fill="auto"/>
          </w:tcPr>
          <w:p w:rsidR="002527B9" w:rsidRPr="00E504D2" w:rsidRDefault="002527B9" w:rsidP="00730C96">
            <w:pPr>
              <w:pStyle w:val="Tabletext"/>
            </w:pPr>
            <w:r w:rsidRPr="00E504D2">
              <w:t>4</w:t>
            </w:r>
          </w:p>
        </w:tc>
        <w:tc>
          <w:tcPr>
            <w:tcW w:w="3428" w:type="pct"/>
            <w:tcBorders>
              <w:top w:val="single" w:sz="4" w:space="0" w:color="auto"/>
              <w:bottom w:val="nil"/>
            </w:tcBorders>
            <w:shd w:val="clear" w:color="auto" w:fill="auto"/>
          </w:tcPr>
          <w:p w:rsidR="002527B9" w:rsidRPr="00E504D2" w:rsidRDefault="002527B9" w:rsidP="00730C96">
            <w:pPr>
              <w:pStyle w:val="Tabletext"/>
            </w:pPr>
            <w:r w:rsidRPr="00E504D2">
              <w:t>a building other than a residential building or a multi</w:t>
            </w:r>
            <w:r w:rsidR="00E504D2">
              <w:noBreakHyphen/>
            </w:r>
            <w:r w:rsidRPr="00E504D2">
              <w:t>residential unit building at a cost of:</w:t>
            </w:r>
          </w:p>
        </w:tc>
        <w:tc>
          <w:tcPr>
            <w:tcW w:w="1114" w:type="pct"/>
            <w:tcBorders>
              <w:top w:val="single" w:sz="4" w:space="0" w:color="auto"/>
              <w:bottom w:val="nil"/>
            </w:tcBorders>
            <w:shd w:val="clear" w:color="auto" w:fill="auto"/>
          </w:tcPr>
          <w:p w:rsidR="002527B9" w:rsidRPr="00E504D2" w:rsidRDefault="002527B9" w:rsidP="00730C96">
            <w:pPr>
              <w:pStyle w:val="Tabletext"/>
              <w:jc w:val="right"/>
            </w:pPr>
          </w:p>
        </w:tc>
      </w:tr>
      <w:tr w:rsidR="002527B9" w:rsidRPr="00E504D2" w:rsidTr="00730C96">
        <w:tc>
          <w:tcPr>
            <w:tcW w:w="458" w:type="pct"/>
            <w:vMerge/>
            <w:shd w:val="clear" w:color="auto" w:fill="auto"/>
          </w:tcPr>
          <w:p w:rsidR="002527B9" w:rsidRPr="00E504D2" w:rsidRDefault="002527B9" w:rsidP="00730C96">
            <w:pPr>
              <w:pStyle w:val="Tabletext"/>
            </w:pPr>
          </w:p>
        </w:tc>
        <w:tc>
          <w:tcPr>
            <w:tcW w:w="3428" w:type="pct"/>
            <w:tcBorders>
              <w:top w:val="nil"/>
              <w:bottom w:val="nil"/>
            </w:tcBorders>
            <w:shd w:val="clear" w:color="auto" w:fill="auto"/>
          </w:tcPr>
          <w:p w:rsidR="002527B9" w:rsidRPr="00E504D2" w:rsidRDefault="002527B9" w:rsidP="00730C96">
            <w:pPr>
              <w:pStyle w:val="Tablea"/>
            </w:pPr>
            <w:r w:rsidRPr="00E504D2">
              <w:t>(a) not more than $22</w:t>
            </w:r>
            <w:r w:rsidR="00EA625C" w:rsidRPr="00E504D2">
              <w:t>,</w:t>
            </w:r>
            <w:r w:rsidRPr="00E504D2">
              <w:t>500 (sewered area only)</w:t>
            </w:r>
          </w:p>
        </w:tc>
        <w:tc>
          <w:tcPr>
            <w:tcW w:w="1114" w:type="pct"/>
            <w:tcBorders>
              <w:top w:val="nil"/>
              <w:bottom w:val="nil"/>
            </w:tcBorders>
            <w:shd w:val="clear" w:color="auto" w:fill="auto"/>
          </w:tcPr>
          <w:p w:rsidR="002527B9" w:rsidRPr="00E504D2" w:rsidRDefault="002527B9" w:rsidP="00730C96">
            <w:pPr>
              <w:pStyle w:val="Tabletext"/>
            </w:pPr>
            <w:r w:rsidRPr="00E504D2">
              <w:t>$25.00</w:t>
            </w:r>
          </w:p>
        </w:tc>
      </w:tr>
      <w:tr w:rsidR="002527B9" w:rsidRPr="00E504D2" w:rsidTr="00730C96">
        <w:tc>
          <w:tcPr>
            <w:tcW w:w="458" w:type="pct"/>
            <w:vMerge/>
            <w:shd w:val="clear" w:color="auto" w:fill="auto"/>
          </w:tcPr>
          <w:p w:rsidR="002527B9" w:rsidRPr="00E504D2" w:rsidRDefault="002527B9" w:rsidP="00730C96">
            <w:pPr>
              <w:pStyle w:val="Tabletext"/>
            </w:pPr>
          </w:p>
        </w:tc>
        <w:tc>
          <w:tcPr>
            <w:tcW w:w="3428" w:type="pct"/>
            <w:tcBorders>
              <w:top w:val="nil"/>
              <w:bottom w:val="nil"/>
            </w:tcBorders>
            <w:shd w:val="clear" w:color="auto" w:fill="auto"/>
          </w:tcPr>
          <w:p w:rsidR="002527B9" w:rsidRPr="00E504D2" w:rsidRDefault="002527B9" w:rsidP="00730C96">
            <w:pPr>
              <w:pStyle w:val="Tablea"/>
            </w:pPr>
            <w:r w:rsidRPr="00E504D2">
              <w:t>(b) more than $22</w:t>
            </w:r>
            <w:r w:rsidR="00EA625C" w:rsidRPr="00E504D2">
              <w:t>,</w:t>
            </w:r>
            <w:r w:rsidRPr="00E504D2">
              <w:t>500 but not more than $200</w:t>
            </w:r>
            <w:r w:rsidR="00EA625C" w:rsidRPr="00E504D2">
              <w:t>,</w:t>
            </w:r>
            <w:r w:rsidRPr="00E504D2">
              <w:t>000</w:t>
            </w:r>
          </w:p>
        </w:tc>
        <w:tc>
          <w:tcPr>
            <w:tcW w:w="1114" w:type="pct"/>
            <w:tcBorders>
              <w:top w:val="nil"/>
              <w:bottom w:val="nil"/>
            </w:tcBorders>
            <w:shd w:val="clear" w:color="auto" w:fill="auto"/>
          </w:tcPr>
          <w:p w:rsidR="002527B9" w:rsidRPr="00E504D2" w:rsidRDefault="002527B9" w:rsidP="00730C96">
            <w:pPr>
              <w:pStyle w:val="Tabletext"/>
            </w:pPr>
            <w:r w:rsidRPr="00E504D2">
              <w:t>$85.00</w:t>
            </w:r>
          </w:p>
        </w:tc>
      </w:tr>
      <w:tr w:rsidR="002527B9" w:rsidRPr="00E504D2" w:rsidTr="00730C96">
        <w:tc>
          <w:tcPr>
            <w:tcW w:w="458" w:type="pct"/>
            <w:vMerge/>
            <w:shd w:val="clear" w:color="auto" w:fill="auto"/>
          </w:tcPr>
          <w:p w:rsidR="002527B9" w:rsidRPr="00E504D2" w:rsidRDefault="002527B9" w:rsidP="00730C96">
            <w:pPr>
              <w:pStyle w:val="Tabletext"/>
            </w:pPr>
          </w:p>
        </w:tc>
        <w:tc>
          <w:tcPr>
            <w:tcW w:w="3428" w:type="pct"/>
            <w:tcBorders>
              <w:top w:val="nil"/>
              <w:bottom w:val="nil"/>
            </w:tcBorders>
            <w:shd w:val="clear" w:color="auto" w:fill="auto"/>
          </w:tcPr>
          <w:p w:rsidR="002527B9" w:rsidRPr="00E504D2" w:rsidRDefault="002527B9" w:rsidP="00730C96">
            <w:pPr>
              <w:pStyle w:val="Tablea"/>
            </w:pPr>
            <w:r w:rsidRPr="00E504D2">
              <w:t>(c) more than $200</w:t>
            </w:r>
            <w:r w:rsidR="00EA625C" w:rsidRPr="00E504D2">
              <w:t>,</w:t>
            </w:r>
            <w:r w:rsidRPr="00E504D2">
              <w:t>000 but not more than $500</w:t>
            </w:r>
            <w:r w:rsidR="00EA625C" w:rsidRPr="00E504D2">
              <w:t>,</w:t>
            </w:r>
            <w:r w:rsidRPr="00E504D2">
              <w:t>000</w:t>
            </w:r>
          </w:p>
        </w:tc>
        <w:tc>
          <w:tcPr>
            <w:tcW w:w="1114" w:type="pct"/>
            <w:tcBorders>
              <w:top w:val="nil"/>
              <w:bottom w:val="nil"/>
            </w:tcBorders>
            <w:shd w:val="clear" w:color="auto" w:fill="auto"/>
          </w:tcPr>
          <w:p w:rsidR="002527B9" w:rsidRPr="00E504D2" w:rsidRDefault="002527B9" w:rsidP="00730C96">
            <w:pPr>
              <w:pStyle w:val="Tabletext"/>
            </w:pPr>
            <w:r w:rsidRPr="00E504D2">
              <w:t>$330.00</w:t>
            </w:r>
          </w:p>
        </w:tc>
      </w:tr>
      <w:tr w:rsidR="002527B9" w:rsidRPr="00E504D2" w:rsidTr="00730C96">
        <w:tc>
          <w:tcPr>
            <w:tcW w:w="458" w:type="pct"/>
            <w:vMerge/>
            <w:tcBorders>
              <w:bottom w:val="single" w:sz="4" w:space="0" w:color="auto"/>
            </w:tcBorders>
            <w:shd w:val="clear" w:color="auto" w:fill="auto"/>
          </w:tcPr>
          <w:p w:rsidR="002527B9" w:rsidRPr="00E504D2" w:rsidRDefault="002527B9" w:rsidP="00730C96">
            <w:pPr>
              <w:pStyle w:val="Tabletext"/>
            </w:pPr>
          </w:p>
        </w:tc>
        <w:tc>
          <w:tcPr>
            <w:tcW w:w="3428" w:type="pct"/>
            <w:tcBorders>
              <w:top w:val="nil"/>
              <w:bottom w:val="single" w:sz="4" w:space="0" w:color="auto"/>
            </w:tcBorders>
            <w:shd w:val="clear" w:color="auto" w:fill="auto"/>
          </w:tcPr>
          <w:p w:rsidR="002527B9" w:rsidRPr="00E504D2" w:rsidRDefault="002527B9" w:rsidP="00AF77C7">
            <w:pPr>
              <w:pStyle w:val="Tablea"/>
            </w:pPr>
            <w:r w:rsidRPr="00E504D2">
              <w:t>(d) more than $500</w:t>
            </w:r>
            <w:r w:rsidR="00EA625C" w:rsidRPr="00E504D2">
              <w:t>,</w:t>
            </w:r>
            <w:r w:rsidRPr="00E504D2">
              <w:t>000 but not more than $1</w:t>
            </w:r>
            <w:r w:rsidR="00AF77C7" w:rsidRPr="00E504D2">
              <w:t xml:space="preserve"> million</w:t>
            </w:r>
          </w:p>
        </w:tc>
        <w:tc>
          <w:tcPr>
            <w:tcW w:w="1114" w:type="pct"/>
            <w:tcBorders>
              <w:top w:val="nil"/>
              <w:bottom w:val="single" w:sz="4" w:space="0" w:color="auto"/>
            </w:tcBorders>
            <w:shd w:val="clear" w:color="auto" w:fill="auto"/>
          </w:tcPr>
          <w:p w:rsidR="002527B9" w:rsidRPr="00E504D2" w:rsidRDefault="002527B9" w:rsidP="00730C96">
            <w:pPr>
              <w:pStyle w:val="Tabletext"/>
            </w:pPr>
            <w:r w:rsidRPr="00E504D2">
              <w:t>$550.00</w:t>
            </w:r>
          </w:p>
        </w:tc>
      </w:tr>
      <w:tr w:rsidR="002527B9" w:rsidRPr="00E504D2" w:rsidTr="00730C96">
        <w:tc>
          <w:tcPr>
            <w:tcW w:w="458" w:type="pct"/>
            <w:tcBorders>
              <w:top w:val="single" w:sz="4" w:space="0" w:color="auto"/>
            </w:tcBorders>
            <w:shd w:val="clear" w:color="auto" w:fill="auto"/>
          </w:tcPr>
          <w:p w:rsidR="002527B9" w:rsidRPr="00E504D2" w:rsidRDefault="002527B9" w:rsidP="00730C96">
            <w:pPr>
              <w:pStyle w:val="Tabletext"/>
            </w:pPr>
            <w:r w:rsidRPr="00E504D2">
              <w:t>5</w:t>
            </w:r>
          </w:p>
        </w:tc>
        <w:tc>
          <w:tcPr>
            <w:tcW w:w="3428" w:type="pct"/>
            <w:tcBorders>
              <w:top w:val="single" w:sz="4" w:space="0" w:color="auto"/>
            </w:tcBorders>
            <w:shd w:val="clear" w:color="auto" w:fill="auto"/>
          </w:tcPr>
          <w:p w:rsidR="002527B9" w:rsidRPr="00E504D2" w:rsidRDefault="002527B9" w:rsidP="00AF77C7">
            <w:pPr>
              <w:pStyle w:val="Tabletext"/>
            </w:pPr>
            <w:r w:rsidRPr="00E504D2">
              <w:t>a building other than a residential building or a multi</w:t>
            </w:r>
            <w:r w:rsidR="00E504D2">
              <w:noBreakHyphen/>
            </w:r>
            <w:r w:rsidRPr="00E504D2">
              <w:t xml:space="preserve">residential unit building at a cost of more than </w:t>
            </w:r>
            <w:r w:rsidR="00EA625C" w:rsidRPr="00E504D2">
              <w:t>$1</w:t>
            </w:r>
            <w:r w:rsidR="00AF77C7" w:rsidRPr="00E504D2">
              <w:t xml:space="preserve"> million</w:t>
            </w:r>
            <w:r w:rsidRPr="00E504D2">
              <w:t xml:space="preserve"> but not more than </w:t>
            </w:r>
            <w:r w:rsidR="00EA625C" w:rsidRPr="00E504D2">
              <w:t>$10</w:t>
            </w:r>
            <w:r w:rsidR="00AF77C7" w:rsidRPr="00E504D2">
              <w:t xml:space="preserve"> million</w:t>
            </w:r>
          </w:p>
        </w:tc>
        <w:tc>
          <w:tcPr>
            <w:tcW w:w="1114" w:type="pct"/>
            <w:tcBorders>
              <w:top w:val="single" w:sz="4" w:space="0" w:color="auto"/>
            </w:tcBorders>
            <w:shd w:val="clear" w:color="auto" w:fill="auto"/>
          </w:tcPr>
          <w:p w:rsidR="002527B9" w:rsidRPr="00E504D2" w:rsidRDefault="002527B9" w:rsidP="00730C96">
            <w:pPr>
              <w:pStyle w:val="Tabletext"/>
            </w:pPr>
            <w:r w:rsidRPr="00E504D2">
              <w:t>$0.90 per $1</w:t>
            </w:r>
            <w:r w:rsidR="00EA625C" w:rsidRPr="00E504D2">
              <w:t>,</w:t>
            </w:r>
            <w:r w:rsidRPr="00E504D2">
              <w:t>000 of the building cost</w:t>
            </w:r>
          </w:p>
        </w:tc>
      </w:tr>
      <w:tr w:rsidR="002527B9" w:rsidRPr="00E504D2" w:rsidTr="00730C96">
        <w:tc>
          <w:tcPr>
            <w:tcW w:w="458" w:type="pct"/>
            <w:tcBorders>
              <w:bottom w:val="single" w:sz="12" w:space="0" w:color="auto"/>
            </w:tcBorders>
            <w:shd w:val="clear" w:color="auto" w:fill="auto"/>
          </w:tcPr>
          <w:p w:rsidR="002527B9" w:rsidRPr="00E504D2" w:rsidRDefault="002527B9" w:rsidP="00730C96">
            <w:pPr>
              <w:pStyle w:val="Tabletext"/>
            </w:pPr>
            <w:r w:rsidRPr="00E504D2">
              <w:t>6</w:t>
            </w:r>
          </w:p>
        </w:tc>
        <w:tc>
          <w:tcPr>
            <w:tcW w:w="3428" w:type="pct"/>
            <w:tcBorders>
              <w:bottom w:val="single" w:sz="12" w:space="0" w:color="auto"/>
            </w:tcBorders>
            <w:shd w:val="clear" w:color="auto" w:fill="auto"/>
          </w:tcPr>
          <w:p w:rsidR="002527B9" w:rsidRPr="00E504D2" w:rsidRDefault="002527B9" w:rsidP="00AF77C7">
            <w:pPr>
              <w:pStyle w:val="Tabletext"/>
            </w:pPr>
            <w:r w:rsidRPr="00E504D2">
              <w:t>a building other than a residential building or a multi</w:t>
            </w:r>
            <w:r w:rsidR="00E504D2">
              <w:noBreakHyphen/>
            </w:r>
            <w:r w:rsidRPr="00E504D2">
              <w:t xml:space="preserve">residential unit building at a cost of more than </w:t>
            </w:r>
            <w:r w:rsidR="00EA625C" w:rsidRPr="00E504D2">
              <w:t>$10</w:t>
            </w:r>
            <w:r w:rsidR="00AF77C7" w:rsidRPr="00E504D2">
              <w:t xml:space="preserve"> million</w:t>
            </w:r>
          </w:p>
        </w:tc>
        <w:tc>
          <w:tcPr>
            <w:tcW w:w="1114" w:type="pct"/>
            <w:tcBorders>
              <w:bottom w:val="single" w:sz="12" w:space="0" w:color="auto"/>
            </w:tcBorders>
            <w:shd w:val="clear" w:color="auto" w:fill="auto"/>
          </w:tcPr>
          <w:p w:rsidR="002527B9" w:rsidRPr="00E504D2" w:rsidRDefault="002527B9" w:rsidP="00730C96">
            <w:pPr>
              <w:pStyle w:val="Tabletext"/>
            </w:pPr>
            <w:r w:rsidRPr="00E504D2">
              <w:t>The sum of:</w:t>
            </w:r>
          </w:p>
          <w:p w:rsidR="002527B9" w:rsidRPr="00E504D2" w:rsidRDefault="002527B9" w:rsidP="00730C96">
            <w:pPr>
              <w:pStyle w:val="Tablea"/>
            </w:pPr>
            <w:r w:rsidRPr="00E504D2">
              <w:t>(a) $9</w:t>
            </w:r>
            <w:r w:rsidR="00EA625C" w:rsidRPr="00E504D2">
              <w:t>,</w:t>
            </w:r>
            <w:r w:rsidRPr="00E504D2">
              <w:t>000.00; and</w:t>
            </w:r>
          </w:p>
          <w:p w:rsidR="002527B9" w:rsidRPr="00E504D2" w:rsidRDefault="002527B9" w:rsidP="00730C96">
            <w:pPr>
              <w:pStyle w:val="Tablea"/>
            </w:pPr>
            <w:r w:rsidRPr="00E504D2">
              <w:t>(b) $0.25 per $1</w:t>
            </w:r>
            <w:r w:rsidR="00EA625C" w:rsidRPr="00E504D2">
              <w:t>,</w:t>
            </w:r>
            <w:r w:rsidRPr="00E504D2">
              <w:t>000 of the building cost over $10 million</w:t>
            </w:r>
          </w:p>
        </w:tc>
      </w:tr>
    </w:tbl>
    <w:p w:rsidR="00BE2FA3" w:rsidRPr="00E504D2" w:rsidRDefault="00BE2FA3" w:rsidP="00E5695A"/>
    <w:p w:rsidR="00AE69E4" w:rsidRPr="00E504D2" w:rsidRDefault="00AE69E4" w:rsidP="00E5695A">
      <w:pPr>
        <w:sectPr w:rsidR="00AE69E4" w:rsidRPr="00E504D2" w:rsidSect="00E47B35">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20"/>
          <w:docGrid w:linePitch="299"/>
        </w:sectPr>
      </w:pPr>
    </w:p>
    <w:p w:rsidR="00E5695A" w:rsidRPr="00E504D2" w:rsidRDefault="00E5695A" w:rsidP="00AE69E4"/>
    <w:sectPr w:rsidR="00E5695A" w:rsidRPr="00E504D2" w:rsidSect="00E47B35">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FBA" w:rsidRDefault="00103FBA" w:rsidP="00715914">
      <w:pPr>
        <w:spacing w:line="240" w:lineRule="auto"/>
      </w:pPr>
      <w:r>
        <w:separator/>
      </w:r>
    </w:p>
  </w:endnote>
  <w:endnote w:type="continuationSeparator" w:id="0">
    <w:p w:rsidR="00103FBA" w:rsidRDefault="00103FB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35" w:rsidRPr="00E47B35" w:rsidRDefault="00E47B35" w:rsidP="00E47B35">
    <w:pPr>
      <w:pStyle w:val="Footer"/>
      <w:rPr>
        <w:i/>
        <w:sz w:val="18"/>
      </w:rPr>
    </w:pPr>
    <w:r w:rsidRPr="00E47B35">
      <w:rPr>
        <w:i/>
        <w:sz w:val="18"/>
      </w:rPr>
      <w:t>OPC62077 -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5A" w:rsidRPr="00D1021D" w:rsidRDefault="00E5695A" w:rsidP="00441E4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5695A" w:rsidTr="00441E4D">
      <w:tc>
        <w:tcPr>
          <w:tcW w:w="1384" w:type="dxa"/>
          <w:tcBorders>
            <w:top w:val="nil"/>
            <w:left w:val="nil"/>
            <w:bottom w:val="nil"/>
            <w:right w:val="nil"/>
          </w:tcBorders>
        </w:tcPr>
        <w:p w:rsidR="00E5695A" w:rsidRDefault="00E5695A" w:rsidP="00441E4D">
          <w:pPr>
            <w:spacing w:line="0" w:lineRule="atLeast"/>
            <w:rPr>
              <w:sz w:val="18"/>
            </w:rPr>
          </w:pPr>
        </w:p>
      </w:tc>
      <w:tc>
        <w:tcPr>
          <w:tcW w:w="6379" w:type="dxa"/>
          <w:tcBorders>
            <w:top w:val="nil"/>
            <w:left w:val="nil"/>
            <w:bottom w:val="nil"/>
            <w:right w:val="nil"/>
          </w:tcBorders>
        </w:tcPr>
        <w:p w:rsidR="00E5695A" w:rsidRDefault="00E5695A" w:rsidP="00DC4C0D">
          <w:pPr>
            <w:spacing w:line="0" w:lineRule="atLeast"/>
            <w:jc w:val="center"/>
            <w:rPr>
              <w:sz w:val="18"/>
            </w:rPr>
          </w:pPr>
          <w:r w:rsidRPr="00DC4C0D">
            <w:rPr>
              <w:sz w:val="18"/>
            </w:rPr>
            <w:t xml:space="preserve">Water and Sewerage Services Fees and Charges (Christmas Island) </w:t>
          </w:r>
        </w:p>
        <w:p w:rsidR="00E5695A" w:rsidRDefault="00E5695A" w:rsidP="00D90FC2">
          <w:pPr>
            <w:spacing w:line="0" w:lineRule="atLeast"/>
            <w:jc w:val="center"/>
            <w:rPr>
              <w:sz w:val="18"/>
            </w:rPr>
          </w:pPr>
          <w:r w:rsidRPr="00DC4C0D">
            <w:rPr>
              <w:sz w:val="18"/>
            </w:rPr>
            <w:t xml:space="preserve">Determination </w:t>
          </w:r>
          <w:r>
            <w:rPr>
              <w:sz w:val="18"/>
            </w:rPr>
            <w:t>2015</w:t>
          </w:r>
        </w:p>
      </w:tc>
      <w:tc>
        <w:tcPr>
          <w:tcW w:w="709" w:type="dxa"/>
          <w:tcBorders>
            <w:top w:val="nil"/>
            <w:left w:val="nil"/>
            <w:bottom w:val="nil"/>
            <w:right w:val="nil"/>
          </w:tcBorders>
        </w:tcPr>
        <w:p w:rsidR="00E5695A" w:rsidRDefault="00E5695A" w:rsidP="00441E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3E98">
            <w:rPr>
              <w:i/>
              <w:noProof/>
              <w:sz w:val="18"/>
            </w:rPr>
            <w:t>13</w:t>
          </w:r>
          <w:r w:rsidRPr="00ED79B6">
            <w:rPr>
              <w:i/>
              <w:sz w:val="18"/>
            </w:rPr>
            <w:fldChar w:fldCharType="end"/>
          </w:r>
        </w:p>
      </w:tc>
    </w:tr>
  </w:tbl>
  <w:p w:rsidR="00E5695A" w:rsidRPr="00D1021D" w:rsidRDefault="00E47B35" w:rsidP="00E47B35">
    <w:pPr>
      <w:rPr>
        <w:i/>
        <w:sz w:val="18"/>
      </w:rPr>
    </w:pPr>
    <w:r w:rsidRPr="00E47B35">
      <w:rPr>
        <w:rFonts w:cs="Times New Roman"/>
        <w:i/>
        <w:sz w:val="18"/>
      </w:rPr>
      <w:t>OPC62077 -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5A" w:rsidRDefault="00E5695A">
    <w:pPr>
      <w:pBdr>
        <w:top w:val="single" w:sz="6" w:space="1" w:color="auto"/>
      </w:pBdr>
      <w:rPr>
        <w:sz w:val="18"/>
      </w:rPr>
    </w:pPr>
  </w:p>
  <w:p w:rsidR="00E5695A" w:rsidRDefault="00E5695A">
    <w:pPr>
      <w:jc w:val="right"/>
      <w:rPr>
        <w:i/>
        <w:sz w:val="18"/>
      </w:rPr>
    </w:pPr>
    <w:r>
      <w:rPr>
        <w:i/>
        <w:sz w:val="18"/>
      </w:rPr>
      <w:fldChar w:fldCharType="begin"/>
    </w:r>
    <w:r>
      <w:rPr>
        <w:i/>
        <w:sz w:val="18"/>
      </w:rPr>
      <w:instrText xml:space="preserve"> STYLEREF ShortT </w:instrText>
    </w:r>
    <w:r>
      <w:rPr>
        <w:i/>
        <w:sz w:val="18"/>
      </w:rPr>
      <w:fldChar w:fldCharType="separate"/>
    </w:r>
    <w:r w:rsidR="00573E98">
      <w:rPr>
        <w:i/>
        <w:noProof/>
        <w:sz w:val="18"/>
      </w:rPr>
      <w:t>Christmas Island Utilities and Services (Water, Sewerage and Building Application Services Fees) Determination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73E9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73E98">
      <w:rPr>
        <w:i/>
        <w:noProof/>
        <w:sz w:val="18"/>
      </w:rPr>
      <w:t>13</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47B35"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E47B35" w:rsidTr="00E504D2">
      <w:tc>
        <w:tcPr>
          <w:tcW w:w="709" w:type="dxa"/>
          <w:tcBorders>
            <w:top w:val="nil"/>
            <w:left w:val="nil"/>
            <w:bottom w:val="nil"/>
            <w:right w:val="nil"/>
          </w:tcBorders>
        </w:tcPr>
        <w:p w:rsidR="007500C8" w:rsidRPr="00E47B35" w:rsidRDefault="007500C8" w:rsidP="00830B62">
          <w:pPr>
            <w:spacing w:line="0" w:lineRule="atLeast"/>
            <w:rPr>
              <w:rFonts w:cs="Times New Roman"/>
              <w:i/>
              <w:sz w:val="18"/>
            </w:rPr>
          </w:pPr>
          <w:r w:rsidRPr="00E47B35">
            <w:rPr>
              <w:rFonts w:cs="Times New Roman"/>
              <w:i/>
              <w:sz w:val="18"/>
            </w:rPr>
            <w:fldChar w:fldCharType="begin"/>
          </w:r>
          <w:r w:rsidRPr="00E47B35">
            <w:rPr>
              <w:rFonts w:cs="Times New Roman"/>
              <w:i/>
              <w:sz w:val="18"/>
            </w:rPr>
            <w:instrText xml:space="preserve"> PAGE </w:instrText>
          </w:r>
          <w:r w:rsidRPr="00E47B35">
            <w:rPr>
              <w:rFonts w:cs="Times New Roman"/>
              <w:i/>
              <w:sz w:val="18"/>
            </w:rPr>
            <w:fldChar w:fldCharType="separate"/>
          </w:r>
          <w:r w:rsidR="00573E98">
            <w:rPr>
              <w:rFonts w:cs="Times New Roman"/>
              <w:i/>
              <w:noProof/>
              <w:sz w:val="18"/>
            </w:rPr>
            <w:t>13</w:t>
          </w:r>
          <w:r w:rsidRPr="00E47B35">
            <w:rPr>
              <w:rFonts w:cs="Times New Roman"/>
              <w:i/>
              <w:sz w:val="18"/>
            </w:rPr>
            <w:fldChar w:fldCharType="end"/>
          </w:r>
        </w:p>
      </w:tc>
      <w:tc>
        <w:tcPr>
          <w:tcW w:w="6379" w:type="dxa"/>
          <w:tcBorders>
            <w:top w:val="nil"/>
            <w:left w:val="nil"/>
            <w:bottom w:val="nil"/>
            <w:right w:val="nil"/>
          </w:tcBorders>
        </w:tcPr>
        <w:p w:rsidR="007500C8" w:rsidRPr="00E47B35" w:rsidRDefault="007500C8" w:rsidP="00830B62">
          <w:pPr>
            <w:spacing w:line="0" w:lineRule="atLeast"/>
            <w:jc w:val="center"/>
            <w:rPr>
              <w:rFonts w:cs="Times New Roman"/>
              <w:i/>
              <w:sz w:val="18"/>
            </w:rPr>
          </w:pPr>
          <w:r w:rsidRPr="00E47B35">
            <w:rPr>
              <w:rFonts w:cs="Times New Roman"/>
              <w:i/>
              <w:sz w:val="18"/>
            </w:rPr>
            <w:fldChar w:fldCharType="begin"/>
          </w:r>
          <w:r w:rsidRPr="00E47B35">
            <w:rPr>
              <w:rFonts w:cs="Times New Roman"/>
              <w:i/>
              <w:sz w:val="18"/>
            </w:rPr>
            <w:instrText xml:space="preserve"> DOCPROPERTY ShortT </w:instrText>
          </w:r>
          <w:r w:rsidRPr="00E47B35">
            <w:rPr>
              <w:rFonts w:cs="Times New Roman"/>
              <w:i/>
              <w:sz w:val="18"/>
            </w:rPr>
            <w:fldChar w:fldCharType="separate"/>
          </w:r>
          <w:r w:rsidR="00573E98">
            <w:rPr>
              <w:rFonts w:cs="Times New Roman"/>
              <w:i/>
              <w:sz w:val="18"/>
            </w:rPr>
            <w:t>Christmas Island Utilities and Services (Water, Sewerage and Building Application Services Fees) Determination 2016</w:t>
          </w:r>
          <w:r w:rsidRPr="00E47B35">
            <w:rPr>
              <w:rFonts w:cs="Times New Roman"/>
              <w:i/>
              <w:sz w:val="18"/>
            </w:rPr>
            <w:fldChar w:fldCharType="end"/>
          </w:r>
        </w:p>
      </w:tc>
      <w:tc>
        <w:tcPr>
          <w:tcW w:w="1384" w:type="dxa"/>
          <w:tcBorders>
            <w:top w:val="nil"/>
            <w:left w:val="nil"/>
            <w:bottom w:val="nil"/>
            <w:right w:val="nil"/>
          </w:tcBorders>
        </w:tcPr>
        <w:p w:rsidR="007500C8" w:rsidRPr="00E47B35" w:rsidRDefault="007500C8" w:rsidP="00830B62">
          <w:pPr>
            <w:spacing w:line="0" w:lineRule="atLeast"/>
            <w:jc w:val="right"/>
            <w:rPr>
              <w:rFonts w:cs="Times New Roman"/>
              <w:i/>
              <w:sz w:val="18"/>
            </w:rPr>
          </w:pPr>
        </w:p>
      </w:tc>
    </w:tr>
  </w:tbl>
  <w:p w:rsidR="007500C8" w:rsidRPr="00E47B35" w:rsidRDefault="00E47B35" w:rsidP="00E47B35">
    <w:pPr>
      <w:rPr>
        <w:rFonts w:cs="Times New Roman"/>
        <w:i/>
        <w:sz w:val="18"/>
      </w:rPr>
    </w:pPr>
    <w:r w:rsidRPr="00E47B35">
      <w:rPr>
        <w:rFonts w:cs="Times New Roman"/>
        <w:i/>
        <w:sz w:val="18"/>
      </w:rPr>
      <w:t>OPC62077 -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3E98">
            <w:rPr>
              <w:i/>
              <w:sz w:val="18"/>
            </w:rPr>
            <w:t>Christmas Island Utilities and Services (Water, Sewerage and Building Application Services Fees) Determination 2016</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3E98">
            <w:rPr>
              <w:i/>
              <w:noProof/>
              <w:sz w:val="18"/>
            </w:rPr>
            <w:t>13</w:t>
          </w:r>
          <w:r w:rsidRPr="00ED79B6">
            <w:rPr>
              <w:i/>
              <w:sz w:val="18"/>
            </w:rPr>
            <w:fldChar w:fldCharType="end"/>
          </w:r>
        </w:p>
      </w:tc>
    </w:tr>
  </w:tbl>
  <w:p w:rsidR="00472DBE" w:rsidRPr="00ED79B6" w:rsidRDefault="00E47B35" w:rsidP="00E47B35">
    <w:pPr>
      <w:rPr>
        <w:i/>
        <w:sz w:val="18"/>
      </w:rPr>
    </w:pPr>
    <w:r w:rsidRPr="00E47B35">
      <w:rPr>
        <w:rFonts w:cs="Times New Roman"/>
        <w:i/>
        <w:sz w:val="18"/>
      </w:rPr>
      <w:t>OPC62077 -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3E98">
            <w:rPr>
              <w:i/>
              <w:sz w:val="18"/>
            </w:rPr>
            <w:t>Christmas Island Utilities and Services (Water, Sewerage and Building Application Services Fees) Determination 2016</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3E98">
            <w:rPr>
              <w:i/>
              <w:noProof/>
              <w:sz w:val="18"/>
            </w:rPr>
            <w:t>13</w:t>
          </w:r>
          <w:r w:rsidRPr="00ED79B6">
            <w:rPr>
              <w:i/>
              <w:sz w:val="18"/>
            </w:rPr>
            <w:fldChar w:fldCharType="end"/>
          </w:r>
        </w:p>
      </w:tc>
    </w:tr>
  </w:tbl>
  <w:p w:rsidR="007500C8" w:rsidRPr="00ED79B6" w:rsidRDefault="007500C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7500C8">
    <w:pPr>
      <w:pStyle w:val="Footer"/>
    </w:pPr>
  </w:p>
  <w:p w:rsidR="00756272" w:rsidRPr="007500C8" w:rsidRDefault="00E47B35" w:rsidP="00E47B35">
    <w:pPr>
      <w:pStyle w:val="Footer"/>
    </w:pPr>
    <w:r w:rsidRPr="00E47B35">
      <w:rPr>
        <w:i/>
        <w:sz w:val="18"/>
      </w:rPr>
      <w:t>OPC62077 -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47B35"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E47B35" w:rsidTr="00E504D2">
      <w:tc>
        <w:tcPr>
          <w:tcW w:w="709" w:type="dxa"/>
          <w:tcBorders>
            <w:top w:val="nil"/>
            <w:left w:val="nil"/>
            <w:bottom w:val="nil"/>
            <w:right w:val="nil"/>
          </w:tcBorders>
        </w:tcPr>
        <w:p w:rsidR="007500C8" w:rsidRPr="00E47B35" w:rsidRDefault="007500C8" w:rsidP="00830B62">
          <w:pPr>
            <w:spacing w:line="0" w:lineRule="atLeast"/>
            <w:rPr>
              <w:rFonts w:cs="Times New Roman"/>
              <w:i/>
              <w:sz w:val="18"/>
            </w:rPr>
          </w:pPr>
          <w:r w:rsidRPr="00E47B35">
            <w:rPr>
              <w:rFonts w:cs="Times New Roman"/>
              <w:i/>
              <w:sz w:val="18"/>
            </w:rPr>
            <w:fldChar w:fldCharType="begin"/>
          </w:r>
          <w:r w:rsidRPr="00E47B35">
            <w:rPr>
              <w:rFonts w:cs="Times New Roman"/>
              <w:i/>
              <w:sz w:val="18"/>
            </w:rPr>
            <w:instrText xml:space="preserve"> PAGE </w:instrText>
          </w:r>
          <w:r w:rsidRPr="00E47B35">
            <w:rPr>
              <w:rFonts w:cs="Times New Roman"/>
              <w:i/>
              <w:sz w:val="18"/>
            </w:rPr>
            <w:fldChar w:fldCharType="separate"/>
          </w:r>
          <w:r w:rsidR="00573E98">
            <w:rPr>
              <w:rFonts w:cs="Times New Roman"/>
              <w:i/>
              <w:noProof/>
              <w:sz w:val="18"/>
            </w:rPr>
            <w:t>xiii</w:t>
          </w:r>
          <w:r w:rsidRPr="00E47B35">
            <w:rPr>
              <w:rFonts w:cs="Times New Roman"/>
              <w:i/>
              <w:sz w:val="18"/>
            </w:rPr>
            <w:fldChar w:fldCharType="end"/>
          </w:r>
        </w:p>
      </w:tc>
      <w:tc>
        <w:tcPr>
          <w:tcW w:w="6379" w:type="dxa"/>
          <w:tcBorders>
            <w:top w:val="nil"/>
            <w:left w:val="nil"/>
            <w:bottom w:val="nil"/>
            <w:right w:val="nil"/>
          </w:tcBorders>
        </w:tcPr>
        <w:p w:rsidR="007500C8" w:rsidRPr="00E47B35" w:rsidRDefault="007500C8" w:rsidP="00830B62">
          <w:pPr>
            <w:spacing w:line="0" w:lineRule="atLeast"/>
            <w:jc w:val="center"/>
            <w:rPr>
              <w:rFonts w:cs="Times New Roman"/>
              <w:i/>
              <w:sz w:val="18"/>
            </w:rPr>
          </w:pPr>
          <w:r w:rsidRPr="00E47B35">
            <w:rPr>
              <w:rFonts w:cs="Times New Roman"/>
              <w:i/>
              <w:sz w:val="18"/>
            </w:rPr>
            <w:fldChar w:fldCharType="begin"/>
          </w:r>
          <w:r w:rsidRPr="00E47B35">
            <w:rPr>
              <w:rFonts w:cs="Times New Roman"/>
              <w:i/>
              <w:sz w:val="18"/>
            </w:rPr>
            <w:instrText xml:space="preserve"> DOCPROPERTY ShortT </w:instrText>
          </w:r>
          <w:r w:rsidRPr="00E47B35">
            <w:rPr>
              <w:rFonts w:cs="Times New Roman"/>
              <w:i/>
              <w:sz w:val="18"/>
            </w:rPr>
            <w:fldChar w:fldCharType="separate"/>
          </w:r>
          <w:r w:rsidR="00573E98">
            <w:rPr>
              <w:rFonts w:cs="Times New Roman"/>
              <w:i/>
              <w:sz w:val="18"/>
            </w:rPr>
            <w:t>Christmas Island Utilities and Services (Water, Sewerage and Building Application Services Fees) Determination 2016</w:t>
          </w:r>
          <w:r w:rsidRPr="00E47B35">
            <w:rPr>
              <w:rFonts w:cs="Times New Roman"/>
              <w:i/>
              <w:sz w:val="18"/>
            </w:rPr>
            <w:fldChar w:fldCharType="end"/>
          </w:r>
        </w:p>
      </w:tc>
      <w:tc>
        <w:tcPr>
          <w:tcW w:w="1384" w:type="dxa"/>
          <w:tcBorders>
            <w:top w:val="nil"/>
            <w:left w:val="nil"/>
            <w:bottom w:val="nil"/>
            <w:right w:val="nil"/>
          </w:tcBorders>
        </w:tcPr>
        <w:p w:rsidR="007500C8" w:rsidRPr="00E47B35" w:rsidRDefault="007500C8" w:rsidP="00830B62">
          <w:pPr>
            <w:spacing w:line="0" w:lineRule="atLeast"/>
            <w:jc w:val="right"/>
            <w:rPr>
              <w:rFonts w:cs="Times New Roman"/>
              <w:i/>
              <w:sz w:val="18"/>
            </w:rPr>
          </w:pPr>
        </w:p>
      </w:tc>
    </w:tr>
  </w:tbl>
  <w:p w:rsidR="007500C8" w:rsidRPr="00E47B35" w:rsidRDefault="00E47B35" w:rsidP="00E47B35">
    <w:pPr>
      <w:rPr>
        <w:rFonts w:cs="Times New Roman"/>
        <w:i/>
        <w:sz w:val="18"/>
      </w:rPr>
    </w:pPr>
    <w:r w:rsidRPr="00E47B35">
      <w:rPr>
        <w:rFonts w:cs="Times New Roman"/>
        <w:i/>
        <w:sz w:val="18"/>
      </w:rPr>
      <w:t>OPC62077 -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3E98">
            <w:rPr>
              <w:i/>
              <w:sz w:val="18"/>
            </w:rPr>
            <w:t>Christmas Island Utilities and Services (Water, Sewerage and Building Application Services Fees) Determination 2016</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3E98">
            <w:rPr>
              <w:i/>
              <w:noProof/>
              <w:sz w:val="18"/>
            </w:rPr>
            <w:t>i</w:t>
          </w:r>
          <w:r w:rsidRPr="00ED79B6">
            <w:rPr>
              <w:i/>
              <w:sz w:val="18"/>
            </w:rPr>
            <w:fldChar w:fldCharType="end"/>
          </w:r>
        </w:p>
      </w:tc>
    </w:tr>
  </w:tbl>
  <w:p w:rsidR="007500C8" w:rsidRPr="00ED79B6" w:rsidRDefault="00E47B35" w:rsidP="00E47B35">
    <w:pPr>
      <w:rPr>
        <w:i/>
        <w:sz w:val="18"/>
      </w:rPr>
    </w:pPr>
    <w:r w:rsidRPr="00E47B35">
      <w:rPr>
        <w:rFonts w:cs="Times New Roman"/>
        <w:i/>
        <w:sz w:val="18"/>
      </w:rPr>
      <w:t>OPC62077 -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B9" w:rsidRPr="00E47B35" w:rsidRDefault="002527B9" w:rsidP="0085779D">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713"/>
      <w:gridCol w:w="6422"/>
      <w:gridCol w:w="1394"/>
    </w:tblGrid>
    <w:tr w:rsidR="002527B9" w:rsidRPr="00E47B35" w:rsidTr="0085779D">
      <w:tc>
        <w:tcPr>
          <w:tcW w:w="418" w:type="pct"/>
          <w:tcBorders>
            <w:top w:val="nil"/>
            <w:left w:val="nil"/>
            <w:bottom w:val="nil"/>
            <w:right w:val="nil"/>
          </w:tcBorders>
        </w:tcPr>
        <w:p w:rsidR="002527B9" w:rsidRPr="00E47B35" w:rsidRDefault="002527B9" w:rsidP="0085779D">
          <w:pPr>
            <w:spacing w:line="0" w:lineRule="atLeast"/>
            <w:rPr>
              <w:rFonts w:cs="Times New Roman"/>
              <w:i/>
              <w:sz w:val="18"/>
            </w:rPr>
          </w:pPr>
          <w:r w:rsidRPr="00E47B35">
            <w:rPr>
              <w:rFonts w:cs="Times New Roman"/>
              <w:i/>
              <w:sz w:val="18"/>
            </w:rPr>
            <w:fldChar w:fldCharType="begin"/>
          </w:r>
          <w:r w:rsidRPr="00E47B35">
            <w:rPr>
              <w:rFonts w:cs="Times New Roman"/>
              <w:i/>
              <w:sz w:val="18"/>
            </w:rPr>
            <w:instrText xml:space="preserve"> PAGE </w:instrText>
          </w:r>
          <w:r w:rsidRPr="00E47B35">
            <w:rPr>
              <w:rFonts w:cs="Times New Roman"/>
              <w:i/>
              <w:sz w:val="18"/>
            </w:rPr>
            <w:fldChar w:fldCharType="separate"/>
          </w:r>
          <w:r w:rsidR="00573E98">
            <w:rPr>
              <w:rFonts w:cs="Times New Roman"/>
              <w:i/>
              <w:noProof/>
              <w:sz w:val="18"/>
            </w:rPr>
            <w:t>6</w:t>
          </w:r>
          <w:r w:rsidRPr="00E47B35">
            <w:rPr>
              <w:rFonts w:cs="Times New Roman"/>
              <w:i/>
              <w:sz w:val="18"/>
            </w:rPr>
            <w:fldChar w:fldCharType="end"/>
          </w:r>
        </w:p>
      </w:tc>
      <w:tc>
        <w:tcPr>
          <w:tcW w:w="3765" w:type="pct"/>
          <w:tcBorders>
            <w:top w:val="nil"/>
            <w:left w:val="nil"/>
            <w:bottom w:val="nil"/>
            <w:right w:val="nil"/>
          </w:tcBorders>
        </w:tcPr>
        <w:p w:rsidR="002527B9" w:rsidRPr="00E47B35" w:rsidRDefault="002527B9" w:rsidP="0085779D">
          <w:pPr>
            <w:spacing w:line="0" w:lineRule="atLeast"/>
            <w:jc w:val="center"/>
            <w:rPr>
              <w:rFonts w:cs="Times New Roman"/>
              <w:i/>
              <w:sz w:val="18"/>
            </w:rPr>
          </w:pPr>
          <w:r w:rsidRPr="00E47B35">
            <w:rPr>
              <w:rFonts w:cs="Times New Roman"/>
              <w:i/>
              <w:sz w:val="18"/>
            </w:rPr>
            <w:fldChar w:fldCharType="begin"/>
          </w:r>
          <w:r w:rsidRPr="00E47B35">
            <w:rPr>
              <w:rFonts w:cs="Times New Roman"/>
              <w:i/>
              <w:sz w:val="18"/>
            </w:rPr>
            <w:instrText xml:space="preserve"> DOCPROPERTY ShortT </w:instrText>
          </w:r>
          <w:r w:rsidRPr="00E47B35">
            <w:rPr>
              <w:rFonts w:cs="Times New Roman"/>
              <w:i/>
              <w:sz w:val="18"/>
            </w:rPr>
            <w:fldChar w:fldCharType="separate"/>
          </w:r>
          <w:r w:rsidR="00573E98">
            <w:rPr>
              <w:rFonts w:cs="Times New Roman"/>
              <w:i/>
              <w:sz w:val="18"/>
            </w:rPr>
            <w:t>Christmas Island Utilities and Services (Water, Sewerage and Building Application Services Fees) Determination 2016</w:t>
          </w:r>
          <w:r w:rsidRPr="00E47B35">
            <w:rPr>
              <w:rFonts w:cs="Times New Roman"/>
              <w:i/>
              <w:sz w:val="18"/>
            </w:rPr>
            <w:fldChar w:fldCharType="end"/>
          </w:r>
        </w:p>
      </w:tc>
      <w:tc>
        <w:tcPr>
          <w:tcW w:w="817" w:type="pct"/>
          <w:tcBorders>
            <w:top w:val="nil"/>
            <w:left w:val="nil"/>
            <w:bottom w:val="nil"/>
            <w:right w:val="nil"/>
          </w:tcBorders>
        </w:tcPr>
        <w:p w:rsidR="002527B9" w:rsidRPr="00E47B35" w:rsidRDefault="002527B9" w:rsidP="0085779D">
          <w:pPr>
            <w:spacing w:line="0" w:lineRule="atLeast"/>
            <w:jc w:val="right"/>
            <w:rPr>
              <w:rFonts w:cs="Times New Roman"/>
              <w:i/>
              <w:sz w:val="18"/>
            </w:rPr>
          </w:pPr>
        </w:p>
      </w:tc>
    </w:tr>
  </w:tbl>
  <w:p w:rsidR="002527B9" w:rsidRPr="00E47B35" w:rsidRDefault="002527B9" w:rsidP="0085779D">
    <w:pPr>
      <w:rPr>
        <w:rFonts w:cs="Times New Roman"/>
        <w:i/>
        <w:sz w:val="18"/>
      </w:rPr>
    </w:pPr>
  </w:p>
  <w:p w:rsidR="002527B9" w:rsidRPr="00E47B35" w:rsidRDefault="00E47B35" w:rsidP="00E47B35">
    <w:pPr>
      <w:pStyle w:val="Footer"/>
      <w:rPr>
        <w:i/>
        <w:sz w:val="18"/>
      </w:rPr>
    </w:pPr>
    <w:r w:rsidRPr="00E47B35">
      <w:rPr>
        <w:i/>
        <w:sz w:val="18"/>
      </w:rPr>
      <w:t>OPC62077 -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B9" w:rsidRPr="00E33C1C" w:rsidRDefault="002527B9" w:rsidP="0085779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2527B9" w:rsidTr="0085779D">
      <w:tc>
        <w:tcPr>
          <w:tcW w:w="817" w:type="pct"/>
          <w:tcBorders>
            <w:top w:val="nil"/>
            <w:left w:val="nil"/>
            <w:bottom w:val="nil"/>
            <w:right w:val="nil"/>
          </w:tcBorders>
        </w:tcPr>
        <w:p w:rsidR="002527B9" w:rsidRDefault="002527B9" w:rsidP="0085779D">
          <w:pPr>
            <w:spacing w:line="0" w:lineRule="atLeast"/>
            <w:rPr>
              <w:sz w:val="18"/>
            </w:rPr>
          </w:pPr>
        </w:p>
      </w:tc>
      <w:tc>
        <w:tcPr>
          <w:tcW w:w="3765" w:type="pct"/>
          <w:tcBorders>
            <w:top w:val="nil"/>
            <w:left w:val="nil"/>
            <w:bottom w:val="nil"/>
            <w:right w:val="nil"/>
          </w:tcBorders>
        </w:tcPr>
        <w:p w:rsidR="002527B9" w:rsidRDefault="002527B9" w:rsidP="008577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3E98">
            <w:rPr>
              <w:i/>
              <w:sz w:val="18"/>
            </w:rPr>
            <w:t>Christmas Island Utilities and Services (Water, Sewerage and Building Application Services Fees) Determination 2016</w:t>
          </w:r>
          <w:r w:rsidRPr="007A1328">
            <w:rPr>
              <w:i/>
              <w:sz w:val="18"/>
            </w:rPr>
            <w:fldChar w:fldCharType="end"/>
          </w:r>
        </w:p>
      </w:tc>
      <w:tc>
        <w:tcPr>
          <w:tcW w:w="418" w:type="pct"/>
          <w:tcBorders>
            <w:top w:val="nil"/>
            <w:left w:val="nil"/>
            <w:bottom w:val="nil"/>
            <w:right w:val="nil"/>
          </w:tcBorders>
        </w:tcPr>
        <w:p w:rsidR="002527B9" w:rsidRDefault="002527B9" w:rsidP="008577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3E98">
            <w:rPr>
              <w:i/>
              <w:noProof/>
              <w:sz w:val="18"/>
            </w:rPr>
            <w:t>7</w:t>
          </w:r>
          <w:r w:rsidRPr="00ED79B6">
            <w:rPr>
              <w:i/>
              <w:sz w:val="18"/>
            </w:rPr>
            <w:fldChar w:fldCharType="end"/>
          </w:r>
        </w:p>
      </w:tc>
    </w:tr>
  </w:tbl>
  <w:p w:rsidR="002527B9" w:rsidRPr="00ED79B6" w:rsidRDefault="002527B9" w:rsidP="0085779D">
    <w:pPr>
      <w:rPr>
        <w:i/>
        <w:sz w:val="18"/>
      </w:rPr>
    </w:pPr>
  </w:p>
  <w:p w:rsidR="002527B9" w:rsidRPr="0085779D" w:rsidRDefault="00573E98" w:rsidP="00E47B35">
    <w:pPr>
      <w:pStyle w:val="Footer"/>
    </w:pPr>
    <w:r>
      <w:fldChar w:fldCharType="begin"/>
    </w:r>
    <w:r>
      <w:instrText xml:space="preserve"> DOCPROPERTY ID \* MERGEFORMAT </w:instrText>
    </w:r>
    <w:r>
      <w:fldChar w:fldCharType="separate"/>
    </w:r>
    <w:r>
      <w:t>OPC62077</w:t>
    </w:r>
    <w:r>
      <w:fldChar w:fldCharType="end"/>
    </w:r>
    <w:r w:rsidR="00E47B35" w:rsidRPr="00E47B35">
      <w:rPr>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B9" w:rsidRPr="00E33C1C" w:rsidRDefault="002527B9" w:rsidP="0085779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2527B9" w:rsidTr="0085779D">
      <w:tc>
        <w:tcPr>
          <w:tcW w:w="817" w:type="pct"/>
          <w:tcBorders>
            <w:top w:val="nil"/>
            <w:left w:val="nil"/>
            <w:bottom w:val="nil"/>
            <w:right w:val="nil"/>
          </w:tcBorders>
        </w:tcPr>
        <w:p w:rsidR="002527B9" w:rsidRDefault="002527B9" w:rsidP="0085779D">
          <w:pPr>
            <w:spacing w:line="0" w:lineRule="atLeast"/>
            <w:rPr>
              <w:sz w:val="18"/>
            </w:rPr>
          </w:pPr>
        </w:p>
      </w:tc>
      <w:tc>
        <w:tcPr>
          <w:tcW w:w="3765" w:type="pct"/>
          <w:tcBorders>
            <w:top w:val="nil"/>
            <w:left w:val="nil"/>
            <w:bottom w:val="nil"/>
            <w:right w:val="nil"/>
          </w:tcBorders>
        </w:tcPr>
        <w:p w:rsidR="002527B9" w:rsidRDefault="002527B9" w:rsidP="008577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3E98">
            <w:rPr>
              <w:i/>
              <w:sz w:val="18"/>
            </w:rPr>
            <w:t>Christmas Island Utilities and Services (Water, Sewerage and Building Application Services Fees) Determination 2016</w:t>
          </w:r>
          <w:r w:rsidRPr="007A1328">
            <w:rPr>
              <w:i/>
              <w:sz w:val="18"/>
            </w:rPr>
            <w:fldChar w:fldCharType="end"/>
          </w:r>
        </w:p>
      </w:tc>
      <w:tc>
        <w:tcPr>
          <w:tcW w:w="418" w:type="pct"/>
          <w:tcBorders>
            <w:top w:val="nil"/>
            <w:left w:val="nil"/>
            <w:bottom w:val="nil"/>
            <w:right w:val="nil"/>
          </w:tcBorders>
        </w:tcPr>
        <w:p w:rsidR="002527B9" w:rsidRDefault="002527B9" w:rsidP="008577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3E98">
            <w:rPr>
              <w:i/>
              <w:noProof/>
              <w:sz w:val="18"/>
            </w:rPr>
            <w:t>13</w:t>
          </w:r>
          <w:r w:rsidRPr="00ED79B6">
            <w:rPr>
              <w:i/>
              <w:sz w:val="18"/>
            </w:rPr>
            <w:fldChar w:fldCharType="end"/>
          </w:r>
        </w:p>
      </w:tc>
    </w:tr>
  </w:tbl>
  <w:p w:rsidR="002527B9" w:rsidRPr="00ED79B6" w:rsidRDefault="002527B9" w:rsidP="0085779D">
    <w:pPr>
      <w:rPr>
        <w:i/>
        <w:sz w:val="18"/>
      </w:rPr>
    </w:pPr>
  </w:p>
  <w:p w:rsidR="002527B9" w:rsidRPr="0085779D" w:rsidRDefault="002527B9" w:rsidP="0085779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5A" w:rsidRPr="00E47B35" w:rsidRDefault="00E5695A" w:rsidP="00441E4D">
    <w:pPr>
      <w:pBdr>
        <w:top w:val="single" w:sz="6" w:space="1" w:color="auto"/>
      </w:pBdr>
      <w:spacing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5695A" w:rsidRPr="00E47B35" w:rsidTr="00E504D2">
      <w:tc>
        <w:tcPr>
          <w:tcW w:w="709" w:type="dxa"/>
          <w:tcBorders>
            <w:top w:val="nil"/>
            <w:left w:val="nil"/>
            <w:bottom w:val="nil"/>
            <w:right w:val="nil"/>
          </w:tcBorders>
        </w:tcPr>
        <w:p w:rsidR="00E5695A" w:rsidRPr="00E47B35" w:rsidRDefault="00E5695A" w:rsidP="00441E4D">
          <w:pPr>
            <w:spacing w:line="0" w:lineRule="atLeast"/>
            <w:rPr>
              <w:rFonts w:cs="Times New Roman"/>
              <w:i/>
              <w:sz w:val="18"/>
            </w:rPr>
          </w:pPr>
          <w:r w:rsidRPr="00E47B35">
            <w:rPr>
              <w:rFonts w:cs="Times New Roman"/>
              <w:i/>
              <w:sz w:val="18"/>
            </w:rPr>
            <w:fldChar w:fldCharType="begin"/>
          </w:r>
          <w:r w:rsidRPr="00E47B35">
            <w:rPr>
              <w:rFonts w:cs="Times New Roman"/>
              <w:i/>
              <w:sz w:val="18"/>
            </w:rPr>
            <w:instrText xml:space="preserve"> PAGE </w:instrText>
          </w:r>
          <w:r w:rsidRPr="00E47B35">
            <w:rPr>
              <w:rFonts w:cs="Times New Roman"/>
              <w:i/>
              <w:sz w:val="18"/>
            </w:rPr>
            <w:fldChar w:fldCharType="separate"/>
          </w:r>
          <w:r w:rsidR="00573E98">
            <w:rPr>
              <w:rFonts w:cs="Times New Roman"/>
              <w:i/>
              <w:noProof/>
              <w:sz w:val="18"/>
            </w:rPr>
            <w:t>12</w:t>
          </w:r>
          <w:r w:rsidRPr="00E47B35">
            <w:rPr>
              <w:rFonts w:cs="Times New Roman"/>
              <w:i/>
              <w:sz w:val="18"/>
            </w:rPr>
            <w:fldChar w:fldCharType="end"/>
          </w:r>
        </w:p>
      </w:tc>
      <w:tc>
        <w:tcPr>
          <w:tcW w:w="6379" w:type="dxa"/>
          <w:tcBorders>
            <w:top w:val="nil"/>
            <w:left w:val="nil"/>
            <w:bottom w:val="nil"/>
            <w:right w:val="nil"/>
          </w:tcBorders>
        </w:tcPr>
        <w:p w:rsidR="00E5695A" w:rsidRPr="00E47B35" w:rsidRDefault="00E5695A" w:rsidP="00107108">
          <w:pPr>
            <w:spacing w:line="0" w:lineRule="atLeast"/>
            <w:jc w:val="center"/>
            <w:rPr>
              <w:rFonts w:cs="Times New Roman"/>
              <w:i/>
              <w:sz w:val="18"/>
            </w:rPr>
          </w:pPr>
          <w:r w:rsidRPr="00E47B35">
            <w:rPr>
              <w:rFonts w:cs="Times New Roman"/>
              <w:i/>
              <w:sz w:val="18"/>
            </w:rPr>
            <w:t xml:space="preserve">Water and Sewerage Services Fees and Charges (Christmas Island) </w:t>
          </w:r>
        </w:p>
        <w:p w:rsidR="00E5695A" w:rsidRPr="00E47B35" w:rsidRDefault="00E5695A" w:rsidP="00D90FC2">
          <w:pPr>
            <w:spacing w:line="0" w:lineRule="atLeast"/>
            <w:jc w:val="center"/>
            <w:rPr>
              <w:rFonts w:cs="Times New Roman"/>
              <w:i/>
              <w:sz w:val="18"/>
            </w:rPr>
          </w:pPr>
          <w:r w:rsidRPr="00E47B35">
            <w:rPr>
              <w:rFonts w:cs="Times New Roman"/>
              <w:i/>
              <w:sz w:val="18"/>
            </w:rPr>
            <w:t>Determination 2015</w:t>
          </w:r>
        </w:p>
      </w:tc>
      <w:tc>
        <w:tcPr>
          <w:tcW w:w="1384" w:type="dxa"/>
          <w:tcBorders>
            <w:top w:val="nil"/>
            <w:left w:val="nil"/>
            <w:bottom w:val="nil"/>
            <w:right w:val="nil"/>
          </w:tcBorders>
        </w:tcPr>
        <w:p w:rsidR="00E5695A" w:rsidRPr="00E47B35" w:rsidRDefault="00E5695A" w:rsidP="00441E4D">
          <w:pPr>
            <w:spacing w:line="0" w:lineRule="atLeast"/>
            <w:jc w:val="right"/>
            <w:rPr>
              <w:rFonts w:cs="Times New Roman"/>
              <w:i/>
              <w:sz w:val="18"/>
            </w:rPr>
          </w:pPr>
        </w:p>
      </w:tc>
    </w:tr>
  </w:tbl>
  <w:p w:rsidR="00E5695A" w:rsidRPr="00E47B35" w:rsidRDefault="00E47B35" w:rsidP="00E47B35">
    <w:pPr>
      <w:rPr>
        <w:rFonts w:cs="Times New Roman"/>
        <w:i/>
        <w:sz w:val="18"/>
      </w:rPr>
    </w:pPr>
    <w:r w:rsidRPr="00E47B35">
      <w:rPr>
        <w:rFonts w:cs="Times New Roman"/>
        <w:i/>
        <w:sz w:val="18"/>
      </w:rPr>
      <w:t>OPC62077 -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FBA" w:rsidRDefault="00103FBA" w:rsidP="00715914">
      <w:pPr>
        <w:spacing w:line="240" w:lineRule="auto"/>
      </w:pPr>
      <w:r>
        <w:separator/>
      </w:r>
    </w:p>
  </w:footnote>
  <w:footnote w:type="continuationSeparator" w:id="0">
    <w:p w:rsidR="00103FBA" w:rsidRDefault="00103FB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5A" w:rsidRPr="00D1021D" w:rsidRDefault="00E5695A">
    <w:pPr>
      <w:jc w:val="right"/>
      <w:rPr>
        <w:sz w:val="20"/>
      </w:rPr>
    </w:pPr>
    <w:r>
      <w:rPr>
        <w:sz w:val="20"/>
      </w:rPr>
      <w:fldChar w:fldCharType="begin"/>
    </w:r>
    <w:r>
      <w:rPr>
        <w:sz w:val="20"/>
      </w:rPr>
      <w:instrText xml:space="preserve"> STYLEREF  CharChapText </w:instrText>
    </w:r>
    <w:r w:rsidR="00573E98">
      <w:rPr>
        <w:sz w:val="20"/>
      </w:rPr>
      <w:fldChar w:fldCharType="separate"/>
    </w:r>
    <w:r w:rsidR="00573E98">
      <w:rPr>
        <w:noProof/>
        <w:sz w:val="20"/>
      </w:rPr>
      <w:t>Fees for the supply of building application services that relate to water and sewerage services</w:t>
    </w:r>
    <w:r>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573E98">
      <w:rPr>
        <w:b/>
        <w:sz w:val="20"/>
      </w:rPr>
      <w:fldChar w:fldCharType="separate"/>
    </w:r>
    <w:r w:rsidR="00573E98">
      <w:rPr>
        <w:b/>
        <w:noProof/>
        <w:sz w:val="20"/>
      </w:rPr>
      <w:t>Schedule 5</w:t>
    </w:r>
    <w:r w:rsidRPr="00D1021D">
      <w:rPr>
        <w:b/>
        <w:sz w:val="20"/>
      </w:rPr>
      <w:fldChar w:fldCharType="end"/>
    </w:r>
  </w:p>
  <w:p w:rsidR="00E5695A" w:rsidRPr="00D1021D" w:rsidRDefault="00E5695A">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E5695A" w:rsidRPr="00D1021D" w:rsidRDefault="00E5695A">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E5695A" w:rsidRPr="00D1021D" w:rsidRDefault="00E5695A">
    <w:pPr>
      <w:jc w:val="right"/>
      <w:rPr>
        <w:b/>
      </w:rPr>
    </w:pPr>
  </w:p>
  <w:p w:rsidR="00E5695A" w:rsidRPr="00D1021D" w:rsidRDefault="00E5695A">
    <w:pPr>
      <w:pBdr>
        <w:bottom w:val="single" w:sz="6" w:space="1" w:color="auto"/>
      </w:pBdr>
      <w:jc w:val="right"/>
    </w:pPr>
    <w:r w:rsidRPr="00D1021D">
      <w:t xml:space="preserve">Clause </w:t>
    </w:r>
    <w:r w:rsidR="00573E98">
      <w:fldChar w:fldCharType="begin"/>
    </w:r>
    <w:r w:rsidR="00573E98">
      <w:instrText xml:space="preserve"> STYLEREF CharSectno </w:instrText>
    </w:r>
    <w:r w:rsidR="00573E98">
      <w:fldChar w:fldCharType="separate"/>
    </w:r>
    <w:r w:rsidR="00573E98">
      <w:rPr>
        <w:noProof/>
      </w:rPr>
      <w:t>1</w:t>
    </w:r>
    <w:r w:rsidR="00573E98">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5A" w:rsidRDefault="00E5695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separate"/>
    </w:r>
    <w:r w:rsidR="00573E98">
      <w:rPr>
        <w:b/>
        <w:noProof/>
        <w:sz w:val="20"/>
      </w:rPr>
      <w:t>Schedule 5</w: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separate"/>
    </w:r>
    <w:r w:rsidR="00573E98">
      <w:rPr>
        <w:noProof/>
        <w:sz w:val="20"/>
      </w:rPr>
      <w:t>Fees for the supply of building application services that relate to water and sewerage services</w: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573E98">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573E98">
      <w:rPr>
        <w:noProof/>
        <w:sz w:val="24"/>
      </w:rPr>
      <w:t>1</w:t>
    </w:r>
    <w:r w:rsidR="00F83989"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separate"/>
    </w:r>
    <w:r w:rsidR="00573E98">
      <w:rPr>
        <w:noProof/>
        <w:sz w:val="20"/>
      </w:rPr>
      <w:t>Fees for the supply of building application services that relate to water and sewerage services</w: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separate"/>
    </w:r>
    <w:r w:rsidR="00573E98">
      <w:rPr>
        <w:b/>
        <w:noProof/>
        <w:sz w:val="20"/>
      </w:rPr>
      <w:t>Schedule 5</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573E98">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573E98">
      <w:rPr>
        <w:noProof/>
        <w:sz w:val="24"/>
      </w:rPr>
      <w:t>1</w:t>
    </w:r>
    <w:r w:rsidR="00F83989"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B9" w:rsidRPr="00D675F1" w:rsidRDefault="002527B9">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2527B9" w:rsidRPr="00D675F1" w:rsidRDefault="002527B9">
    <w:pPr>
      <w:rPr>
        <w:b/>
        <w:sz w:val="20"/>
      </w:rPr>
    </w:pPr>
    <w:r w:rsidRPr="00D675F1">
      <w:rPr>
        <w:b/>
        <w:sz w:val="20"/>
      </w:rPr>
      <w:fldChar w:fldCharType="begin"/>
    </w:r>
    <w:r w:rsidRPr="00D675F1">
      <w:rPr>
        <w:b/>
        <w:sz w:val="20"/>
      </w:rPr>
      <w:instrText xml:space="preserve"> STYLEREF CharPartNo </w:instrText>
    </w:r>
    <w:r w:rsidR="00573E98">
      <w:rPr>
        <w:b/>
        <w:sz w:val="20"/>
      </w:rPr>
      <w:fldChar w:fldCharType="separate"/>
    </w:r>
    <w:r w:rsidR="00573E98">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573E98">
      <w:rPr>
        <w:sz w:val="20"/>
      </w:rPr>
      <w:fldChar w:fldCharType="separate"/>
    </w:r>
    <w:r w:rsidR="00573E98">
      <w:rPr>
        <w:noProof/>
        <w:sz w:val="20"/>
      </w:rPr>
      <w:t>Fees</w:t>
    </w:r>
    <w:r w:rsidRPr="00D675F1">
      <w:rPr>
        <w:sz w:val="20"/>
      </w:rPr>
      <w:fldChar w:fldCharType="end"/>
    </w:r>
  </w:p>
  <w:p w:rsidR="002527B9" w:rsidRPr="00D675F1" w:rsidRDefault="002527B9">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2527B9" w:rsidRPr="00D675F1" w:rsidRDefault="002527B9">
    <w:pPr>
      <w:rPr>
        <w:b/>
      </w:rPr>
    </w:pPr>
  </w:p>
  <w:p w:rsidR="002527B9" w:rsidRPr="00D675F1" w:rsidRDefault="002527B9" w:rsidP="0085779D">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573E98">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573E98">
      <w:rPr>
        <w:noProof/>
        <w:sz w:val="24"/>
      </w:rPr>
      <w:t>7</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B9" w:rsidRPr="00D675F1" w:rsidRDefault="002527B9">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2527B9" w:rsidRPr="00D675F1" w:rsidRDefault="002527B9">
    <w:pPr>
      <w:jc w:val="right"/>
      <w:rPr>
        <w:b/>
        <w:sz w:val="20"/>
      </w:rPr>
    </w:pPr>
    <w:r w:rsidRPr="00D675F1">
      <w:rPr>
        <w:sz w:val="20"/>
      </w:rPr>
      <w:fldChar w:fldCharType="begin"/>
    </w:r>
    <w:r w:rsidRPr="00D675F1">
      <w:rPr>
        <w:sz w:val="20"/>
      </w:rPr>
      <w:instrText xml:space="preserve"> STYLEREF CharPartText </w:instrText>
    </w:r>
    <w:r w:rsidR="00573E98">
      <w:rPr>
        <w:sz w:val="20"/>
      </w:rPr>
      <w:fldChar w:fldCharType="separate"/>
    </w:r>
    <w:r w:rsidR="00573E98">
      <w:rPr>
        <w:noProof/>
        <w:sz w:val="20"/>
      </w:rPr>
      <w:t>Fees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573E98">
      <w:rPr>
        <w:b/>
        <w:sz w:val="20"/>
      </w:rPr>
      <w:fldChar w:fldCharType="separate"/>
    </w:r>
    <w:r w:rsidR="00573E98">
      <w:rPr>
        <w:b/>
        <w:noProof/>
        <w:sz w:val="20"/>
      </w:rPr>
      <w:t>Part 2</w:t>
    </w:r>
    <w:r w:rsidRPr="00D675F1">
      <w:rPr>
        <w:b/>
        <w:sz w:val="20"/>
      </w:rPr>
      <w:fldChar w:fldCharType="end"/>
    </w:r>
  </w:p>
  <w:p w:rsidR="002527B9" w:rsidRPr="00D675F1" w:rsidRDefault="002527B9">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2527B9" w:rsidRPr="00D675F1" w:rsidRDefault="002527B9">
    <w:pPr>
      <w:jc w:val="right"/>
      <w:rPr>
        <w:b/>
      </w:rPr>
    </w:pPr>
  </w:p>
  <w:p w:rsidR="002527B9" w:rsidRPr="00D675F1" w:rsidRDefault="002527B9" w:rsidP="0085779D">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573E98">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573E98">
      <w:rPr>
        <w:noProof/>
        <w:sz w:val="24"/>
      </w:rPr>
      <w:t>10</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95A" w:rsidRPr="00D1021D" w:rsidRDefault="00E5695A">
    <w:pPr>
      <w:rPr>
        <w:sz w:val="20"/>
      </w:rPr>
    </w:pPr>
    <w:r w:rsidRPr="00D1021D">
      <w:rPr>
        <w:b/>
        <w:sz w:val="20"/>
      </w:rPr>
      <w:fldChar w:fldCharType="begin"/>
    </w:r>
    <w:r w:rsidRPr="00D1021D">
      <w:rPr>
        <w:b/>
        <w:sz w:val="20"/>
      </w:rPr>
      <w:instrText xml:space="preserve"> STYLEREF CharChapNo </w:instrText>
    </w:r>
    <w:r w:rsidR="00573E98">
      <w:rPr>
        <w:b/>
        <w:sz w:val="20"/>
      </w:rPr>
      <w:fldChar w:fldCharType="separate"/>
    </w:r>
    <w:r w:rsidR="00573E98">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573E98">
      <w:rPr>
        <w:sz w:val="20"/>
      </w:rPr>
      <w:fldChar w:fldCharType="separate"/>
    </w:r>
    <w:r w:rsidR="00573E98">
      <w:rPr>
        <w:noProof/>
        <w:sz w:val="20"/>
      </w:rPr>
      <w:t>Fees for the supply of other water and sewerage services</w:t>
    </w:r>
    <w:r w:rsidRPr="00D1021D">
      <w:rPr>
        <w:sz w:val="20"/>
      </w:rPr>
      <w:fldChar w:fldCharType="end"/>
    </w:r>
  </w:p>
  <w:p w:rsidR="00E5695A" w:rsidRPr="00D1021D" w:rsidRDefault="00E5695A">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E5695A" w:rsidRPr="00D1021D" w:rsidRDefault="00E5695A">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E5695A" w:rsidRPr="00D1021D" w:rsidRDefault="00E5695A">
    <w:pPr>
      <w:rPr>
        <w:b/>
      </w:rPr>
    </w:pPr>
  </w:p>
  <w:p w:rsidR="00E5695A" w:rsidRPr="00D1021D" w:rsidRDefault="00E5695A">
    <w:pPr>
      <w:pBdr>
        <w:bottom w:val="single" w:sz="6" w:space="1" w:color="auto"/>
      </w:pBdr>
    </w:pPr>
    <w:r w:rsidRPr="00D1021D">
      <w:t xml:space="preserve">Clause </w:t>
    </w:r>
    <w:r w:rsidR="00573E98">
      <w:fldChar w:fldCharType="begin"/>
    </w:r>
    <w:r w:rsidR="00573E98">
      <w:instrText xml:space="preserve"> STYLEREF CharSectno </w:instrText>
    </w:r>
    <w:r w:rsidR="00573E98">
      <w:fldChar w:fldCharType="separate"/>
    </w:r>
    <w:r w:rsidR="00573E98">
      <w:rPr>
        <w:noProof/>
      </w:rPr>
      <w:t>1</w:t>
    </w:r>
    <w:r w:rsidR="00573E9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F644CF"/>
    <w:multiLevelType w:val="hybridMultilevel"/>
    <w:tmpl w:val="1B609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2306EF3"/>
    <w:multiLevelType w:val="hybridMultilevel"/>
    <w:tmpl w:val="417C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447344"/>
    <w:multiLevelType w:val="hybridMultilevel"/>
    <w:tmpl w:val="E7D8D2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nsid w:val="408201AD"/>
    <w:multiLevelType w:val="hybridMultilevel"/>
    <w:tmpl w:val="F1749388"/>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7">
    <w:nsid w:val="4B7D2F39"/>
    <w:multiLevelType w:val="hybridMultilevel"/>
    <w:tmpl w:val="A36AA9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57227937"/>
    <w:multiLevelType w:val="hybridMultilevel"/>
    <w:tmpl w:val="2D66EFE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9">
    <w:nsid w:val="66604D15"/>
    <w:multiLevelType w:val="hybridMultilevel"/>
    <w:tmpl w:val="EC7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4841D1"/>
    <w:multiLevelType w:val="hybridMultilevel"/>
    <w:tmpl w:val="7774F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20"/>
  </w:num>
  <w:num w:numId="15">
    <w:abstractNumId w:val="16"/>
  </w:num>
  <w:num w:numId="16">
    <w:abstractNumId w:val="17"/>
  </w:num>
  <w:num w:numId="17">
    <w:abstractNumId w:val="13"/>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FBA"/>
    <w:rsid w:val="00004470"/>
    <w:rsid w:val="00011692"/>
    <w:rsid w:val="000122DA"/>
    <w:rsid w:val="000136AF"/>
    <w:rsid w:val="000437C1"/>
    <w:rsid w:val="0005365D"/>
    <w:rsid w:val="000614BF"/>
    <w:rsid w:val="000849F2"/>
    <w:rsid w:val="000B58FA"/>
    <w:rsid w:val="000C4BB6"/>
    <w:rsid w:val="000D05EF"/>
    <w:rsid w:val="000E2261"/>
    <w:rsid w:val="000F21C1"/>
    <w:rsid w:val="00103FBA"/>
    <w:rsid w:val="0010745C"/>
    <w:rsid w:val="00132CEB"/>
    <w:rsid w:val="00142B62"/>
    <w:rsid w:val="0014539C"/>
    <w:rsid w:val="00157B8B"/>
    <w:rsid w:val="0016130B"/>
    <w:rsid w:val="00166C2F"/>
    <w:rsid w:val="001809D7"/>
    <w:rsid w:val="00187EE9"/>
    <w:rsid w:val="001939E1"/>
    <w:rsid w:val="00194C3E"/>
    <w:rsid w:val="00195382"/>
    <w:rsid w:val="001C2171"/>
    <w:rsid w:val="001C61C5"/>
    <w:rsid w:val="001C69C4"/>
    <w:rsid w:val="001D37EF"/>
    <w:rsid w:val="001D4966"/>
    <w:rsid w:val="001E3590"/>
    <w:rsid w:val="001E7407"/>
    <w:rsid w:val="001F5D5E"/>
    <w:rsid w:val="001F6219"/>
    <w:rsid w:val="001F6CD4"/>
    <w:rsid w:val="00206C4D"/>
    <w:rsid w:val="0021053C"/>
    <w:rsid w:val="00215AF1"/>
    <w:rsid w:val="0022357B"/>
    <w:rsid w:val="002321E8"/>
    <w:rsid w:val="00236EEC"/>
    <w:rsid w:val="0024010F"/>
    <w:rsid w:val="00240749"/>
    <w:rsid w:val="00243018"/>
    <w:rsid w:val="00247D2A"/>
    <w:rsid w:val="002527B9"/>
    <w:rsid w:val="002564A4"/>
    <w:rsid w:val="0026736C"/>
    <w:rsid w:val="00281308"/>
    <w:rsid w:val="00284719"/>
    <w:rsid w:val="00297ECB"/>
    <w:rsid w:val="002A7BCF"/>
    <w:rsid w:val="002C243E"/>
    <w:rsid w:val="002D043A"/>
    <w:rsid w:val="002D6224"/>
    <w:rsid w:val="002E3F4B"/>
    <w:rsid w:val="002F7192"/>
    <w:rsid w:val="00304F8B"/>
    <w:rsid w:val="00321204"/>
    <w:rsid w:val="003354D2"/>
    <w:rsid w:val="00335BC6"/>
    <w:rsid w:val="003415D3"/>
    <w:rsid w:val="00344701"/>
    <w:rsid w:val="00352B0F"/>
    <w:rsid w:val="00356690"/>
    <w:rsid w:val="00360459"/>
    <w:rsid w:val="003C6231"/>
    <w:rsid w:val="003D0BFE"/>
    <w:rsid w:val="003D5700"/>
    <w:rsid w:val="003E341B"/>
    <w:rsid w:val="003E4EB7"/>
    <w:rsid w:val="004116CD"/>
    <w:rsid w:val="004144EC"/>
    <w:rsid w:val="00417EB9"/>
    <w:rsid w:val="00424CA9"/>
    <w:rsid w:val="00431E9B"/>
    <w:rsid w:val="004328DE"/>
    <w:rsid w:val="004379E3"/>
    <w:rsid w:val="0044015E"/>
    <w:rsid w:val="0044291A"/>
    <w:rsid w:val="00444ABD"/>
    <w:rsid w:val="00466200"/>
    <w:rsid w:val="00467661"/>
    <w:rsid w:val="004705B7"/>
    <w:rsid w:val="00472DBE"/>
    <w:rsid w:val="00474A19"/>
    <w:rsid w:val="00496F97"/>
    <w:rsid w:val="004C6AE8"/>
    <w:rsid w:val="004D7DDB"/>
    <w:rsid w:val="004E063A"/>
    <w:rsid w:val="004E436A"/>
    <w:rsid w:val="004E7BEC"/>
    <w:rsid w:val="00505D3D"/>
    <w:rsid w:val="00506AF6"/>
    <w:rsid w:val="00512462"/>
    <w:rsid w:val="00516B8D"/>
    <w:rsid w:val="00524DA0"/>
    <w:rsid w:val="00537FBC"/>
    <w:rsid w:val="0055604B"/>
    <w:rsid w:val="005574D1"/>
    <w:rsid w:val="00573E98"/>
    <w:rsid w:val="00575743"/>
    <w:rsid w:val="00576E95"/>
    <w:rsid w:val="00584811"/>
    <w:rsid w:val="00585784"/>
    <w:rsid w:val="00593AA6"/>
    <w:rsid w:val="00594161"/>
    <w:rsid w:val="00594749"/>
    <w:rsid w:val="005B4067"/>
    <w:rsid w:val="005B6028"/>
    <w:rsid w:val="005C3F41"/>
    <w:rsid w:val="005D1C08"/>
    <w:rsid w:val="005D2D09"/>
    <w:rsid w:val="005D55F8"/>
    <w:rsid w:val="005E0C14"/>
    <w:rsid w:val="00600219"/>
    <w:rsid w:val="00603DC4"/>
    <w:rsid w:val="00610AED"/>
    <w:rsid w:val="00615CBA"/>
    <w:rsid w:val="00620076"/>
    <w:rsid w:val="00625CDB"/>
    <w:rsid w:val="00670EA1"/>
    <w:rsid w:val="00677CC2"/>
    <w:rsid w:val="006905DE"/>
    <w:rsid w:val="0069207B"/>
    <w:rsid w:val="00692264"/>
    <w:rsid w:val="006B5789"/>
    <w:rsid w:val="006C30C5"/>
    <w:rsid w:val="006C5414"/>
    <w:rsid w:val="006C6794"/>
    <w:rsid w:val="006C7F8C"/>
    <w:rsid w:val="006E6246"/>
    <w:rsid w:val="006F237F"/>
    <w:rsid w:val="006F318F"/>
    <w:rsid w:val="006F4226"/>
    <w:rsid w:val="0070017E"/>
    <w:rsid w:val="00700B2C"/>
    <w:rsid w:val="007050A2"/>
    <w:rsid w:val="00713084"/>
    <w:rsid w:val="00714F20"/>
    <w:rsid w:val="0071590F"/>
    <w:rsid w:val="00715914"/>
    <w:rsid w:val="00724F23"/>
    <w:rsid w:val="00731E00"/>
    <w:rsid w:val="00736B1B"/>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7F3361"/>
    <w:rsid w:val="007F4F43"/>
    <w:rsid w:val="00803587"/>
    <w:rsid w:val="008117E9"/>
    <w:rsid w:val="00824498"/>
    <w:rsid w:val="00856A31"/>
    <w:rsid w:val="00863D63"/>
    <w:rsid w:val="00863FF1"/>
    <w:rsid w:val="00864B24"/>
    <w:rsid w:val="00867B37"/>
    <w:rsid w:val="00874114"/>
    <w:rsid w:val="008754D0"/>
    <w:rsid w:val="008855C9"/>
    <w:rsid w:val="00886456"/>
    <w:rsid w:val="008A46E1"/>
    <w:rsid w:val="008A4F43"/>
    <w:rsid w:val="008B1E01"/>
    <w:rsid w:val="008B2706"/>
    <w:rsid w:val="008D0EE0"/>
    <w:rsid w:val="008E0CB1"/>
    <w:rsid w:val="008E2AE8"/>
    <w:rsid w:val="008E6067"/>
    <w:rsid w:val="008F54E7"/>
    <w:rsid w:val="00903422"/>
    <w:rsid w:val="00915DF9"/>
    <w:rsid w:val="009254C3"/>
    <w:rsid w:val="00932377"/>
    <w:rsid w:val="00947D5A"/>
    <w:rsid w:val="009532A5"/>
    <w:rsid w:val="00954ACA"/>
    <w:rsid w:val="00967C88"/>
    <w:rsid w:val="00982242"/>
    <w:rsid w:val="00983095"/>
    <w:rsid w:val="00985219"/>
    <w:rsid w:val="009868E9"/>
    <w:rsid w:val="009A2BC9"/>
    <w:rsid w:val="009E5CFC"/>
    <w:rsid w:val="00A079CB"/>
    <w:rsid w:val="00A12128"/>
    <w:rsid w:val="00A22C98"/>
    <w:rsid w:val="00A231E2"/>
    <w:rsid w:val="00A4434F"/>
    <w:rsid w:val="00A64912"/>
    <w:rsid w:val="00A70A74"/>
    <w:rsid w:val="00A80741"/>
    <w:rsid w:val="00AC4081"/>
    <w:rsid w:val="00AD5641"/>
    <w:rsid w:val="00AD7889"/>
    <w:rsid w:val="00AE69E4"/>
    <w:rsid w:val="00AF021B"/>
    <w:rsid w:val="00AF06CF"/>
    <w:rsid w:val="00AF77C7"/>
    <w:rsid w:val="00B05CF4"/>
    <w:rsid w:val="00B07CDB"/>
    <w:rsid w:val="00B16A31"/>
    <w:rsid w:val="00B16F63"/>
    <w:rsid w:val="00B17DFD"/>
    <w:rsid w:val="00B308FE"/>
    <w:rsid w:val="00B33709"/>
    <w:rsid w:val="00B33B3C"/>
    <w:rsid w:val="00B44D27"/>
    <w:rsid w:val="00B50ADC"/>
    <w:rsid w:val="00B566B1"/>
    <w:rsid w:val="00B63834"/>
    <w:rsid w:val="00B72734"/>
    <w:rsid w:val="00B80199"/>
    <w:rsid w:val="00B83204"/>
    <w:rsid w:val="00BA220B"/>
    <w:rsid w:val="00BA3A57"/>
    <w:rsid w:val="00BA691F"/>
    <w:rsid w:val="00BB4E1A"/>
    <w:rsid w:val="00BC015E"/>
    <w:rsid w:val="00BC76AC"/>
    <w:rsid w:val="00BD0ECB"/>
    <w:rsid w:val="00BE2155"/>
    <w:rsid w:val="00BE2213"/>
    <w:rsid w:val="00BE2FA3"/>
    <w:rsid w:val="00BE719A"/>
    <w:rsid w:val="00BE720A"/>
    <w:rsid w:val="00BF0D73"/>
    <w:rsid w:val="00BF2465"/>
    <w:rsid w:val="00C25E7F"/>
    <w:rsid w:val="00C2746F"/>
    <w:rsid w:val="00C324A0"/>
    <w:rsid w:val="00C3300F"/>
    <w:rsid w:val="00C42BF8"/>
    <w:rsid w:val="00C50043"/>
    <w:rsid w:val="00C5486C"/>
    <w:rsid w:val="00C7573B"/>
    <w:rsid w:val="00C93C03"/>
    <w:rsid w:val="00CA3B4B"/>
    <w:rsid w:val="00CB2C8E"/>
    <w:rsid w:val="00CB602E"/>
    <w:rsid w:val="00CE051D"/>
    <w:rsid w:val="00CE1335"/>
    <w:rsid w:val="00CE493D"/>
    <w:rsid w:val="00CF07FA"/>
    <w:rsid w:val="00CF0BB2"/>
    <w:rsid w:val="00CF3EE8"/>
    <w:rsid w:val="00D050E6"/>
    <w:rsid w:val="00D13441"/>
    <w:rsid w:val="00D150E7"/>
    <w:rsid w:val="00D32F65"/>
    <w:rsid w:val="00D52DC2"/>
    <w:rsid w:val="00D53BCC"/>
    <w:rsid w:val="00D70DFB"/>
    <w:rsid w:val="00D766DF"/>
    <w:rsid w:val="00DA186E"/>
    <w:rsid w:val="00DA4116"/>
    <w:rsid w:val="00DB251C"/>
    <w:rsid w:val="00DB4630"/>
    <w:rsid w:val="00DC2C0C"/>
    <w:rsid w:val="00DC4F88"/>
    <w:rsid w:val="00DE3410"/>
    <w:rsid w:val="00E05704"/>
    <w:rsid w:val="00E06CA6"/>
    <w:rsid w:val="00E11E44"/>
    <w:rsid w:val="00E3270E"/>
    <w:rsid w:val="00E338EF"/>
    <w:rsid w:val="00E47B35"/>
    <w:rsid w:val="00E504D2"/>
    <w:rsid w:val="00E544BB"/>
    <w:rsid w:val="00E5695A"/>
    <w:rsid w:val="00E662CB"/>
    <w:rsid w:val="00E67877"/>
    <w:rsid w:val="00E74DC7"/>
    <w:rsid w:val="00E8075A"/>
    <w:rsid w:val="00E94D5E"/>
    <w:rsid w:val="00EA625C"/>
    <w:rsid w:val="00EA7100"/>
    <w:rsid w:val="00EA7B20"/>
    <w:rsid w:val="00EA7F9F"/>
    <w:rsid w:val="00EB1274"/>
    <w:rsid w:val="00EB1676"/>
    <w:rsid w:val="00EC6A8D"/>
    <w:rsid w:val="00ED2BB6"/>
    <w:rsid w:val="00ED34E1"/>
    <w:rsid w:val="00ED3B8D"/>
    <w:rsid w:val="00EF2E3A"/>
    <w:rsid w:val="00F072A7"/>
    <w:rsid w:val="00F078DC"/>
    <w:rsid w:val="00F32BA8"/>
    <w:rsid w:val="00F3334A"/>
    <w:rsid w:val="00F349F1"/>
    <w:rsid w:val="00F4350D"/>
    <w:rsid w:val="00F567F7"/>
    <w:rsid w:val="00F62036"/>
    <w:rsid w:val="00F65B52"/>
    <w:rsid w:val="00F67BCA"/>
    <w:rsid w:val="00F73BD6"/>
    <w:rsid w:val="00F82CFD"/>
    <w:rsid w:val="00F83989"/>
    <w:rsid w:val="00F85099"/>
    <w:rsid w:val="00F9379C"/>
    <w:rsid w:val="00F9632C"/>
    <w:rsid w:val="00FA1E52"/>
    <w:rsid w:val="00FD27C0"/>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04D2"/>
    <w:pPr>
      <w:spacing w:line="260" w:lineRule="atLeast"/>
    </w:pPr>
    <w:rPr>
      <w:sz w:val="22"/>
    </w:rPr>
  </w:style>
  <w:style w:type="paragraph" w:styleId="Heading1">
    <w:name w:val="heading 1"/>
    <w:basedOn w:val="Normal"/>
    <w:next w:val="Normal"/>
    <w:link w:val="Heading1Char"/>
    <w:qFormat/>
    <w:rsid w:val="00103F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3F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3F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3F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F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03F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3F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03F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03F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504D2"/>
  </w:style>
  <w:style w:type="paragraph" w:customStyle="1" w:styleId="OPCParaBase">
    <w:name w:val="OPCParaBase"/>
    <w:qFormat/>
    <w:rsid w:val="00E504D2"/>
    <w:pPr>
      <w:spacing w:line="260" w:lineRule="atLeast"/>
    </w:pPr>
    <w:rPr>
      <w:rFonts w:eastAsia="Times New Roman" w:cs="Times New Roman"/>
      <w:sz w:val="22"/>
      <w:lang w:eastAsia="en-AU"/>
    </w:rPr>
  </w:style>
  <w:style w:type="paragraph" w:customStyle="1" w:styleId="ShortT">
    <w:name w:val="ShortT"/>
    <w:basedOn w:val="OPCParaBase"/>
    <w:next w:val="Normal"/>
    <w:qFormat/>
    <w:rsid w:val="00E504D2"/>
    <w:pPr>
      <w:spacing w:line="240" w:lineRule="auto"/>
    </w:pPr>
    <w:rPr>
      <w:b/>
      <w:sz w:val="40"/>
    </w:rPr>
  </w:style>
  <w:style w:type="paragraph" w:customStyle="1" w:styleId="ActHead1">
    <w:name w:val="ActHead 1"/>
    <w:aliases w:val="c"/>
    <w:basedOn w:val="OPCParaBase"/>
    <w:next w:val="Normal"/>
    <w:qFormat/>
    <w:rsid w:val="00E504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04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04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04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504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504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504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04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504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504D2"/>
  </w:style>
  <w:style w:type="paragraph" w:customStyle="1" w:styleId="Blocks">
    <w:name w:val="Blocks"/>
    <w:aliases w:val="bb"/>
    <w:basedOn w:val="OPCParaBase"/>
    <w:qFormat/>
    <w:rsid w:val="00E504D2"/>
    <w:pPr>
      <w:spacing w:line="240" w:lineRule="auto"/>
    </w:pPr>
    <w:rPr>
      <w:sz w:val="24"/>
    </w:rPr>
  </w:style>
  <w:style w:type="paragraph" w:customStyle="1" w:styleId="BoxText">
    <w:name w:val="BoxText"/>
    <w:aliases w:val="bt"/>
    <w:basedOn w:val="OPCParaBase"/>
    <w:qFormat/>
    <w:rsid w:val="00E504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04D2"/>
    <w:rPr>
      <w:b/>
    </w:rPr>
  </w:style>
  <w:style w:type="paragraph" w:customStyle="1" w:styleId="BoxHeadItalic">
    <w:name w:val="BoxHeadItalic"/>
    <w:aliases w:val="bhi"/>
    <w:basedOn w:val="BoxText"/>
    <w:next w:val="BoxStep"/>
    <w:qFormat/>
    <w:rsid w:val="00E504D2"/>
    <w:rPr>
      <w:i/>
    </w:rPr>
  </w:style>
  <w:style w:type="paragraph" w:customStyle="1" w:styleId="BoxList">
    <w:name w:val="BoxList"/>
    <w:aliases w:val="bl"/>
    <w:basedOn w:val="BoxText"/>
    <w:qFormat/>
    <w:rsid w:val="00E504D2"/>
    <w:pPr>
      <w:ind w:left="1559" w:hanging="425"/>
    </w:pPr>
  </w:style>
  <w:style w:type="paragraph" w:customStyle="1" w:styleId="BoxNote">
    <w:name w:val="BoxNote"/>
    <w:aliases w:val="bn"/>
    <w:basedOn w:val="BoxText"/>
    <w:qFormat/>
    <w:rsid w:val="00E504D2"/>
    <w:pPr>
      <w:tabs>
        <w:tab w:val="left" w:pos="1985"/>
      </w:tabs>
      <w:spacing w:before="122" w:line="198" w:lineRule="exact"/>
      <w:ind w:left="2948" w:hanging="1814"/>
    </w:pPr>
    <w:rPr>
      <w:sz w:val="18"/>
    </w:rPr>
  </w:style>
  <w:style w:type="paragraph" w:customStyle="1" w:styleId="BoxPara">
    <w:name w:val="BoxPara"/>
    <w:aliases w:val="bp"/>
    <w:basedOn w:val="BoxText"/>
    <w:qFormat/>
    <w:rsid w:val="00E504D2"/>
    <w:pPr>
      <w:tabs>
        <w:tab w:val="right" w:pos="2268"/>
      </w:tabs>
      <w:ind w:left="2552" w:hanging="1418"/>
    </w:pPr>
  </w:style>
  <w:style w:type="paragraph" w:customStyle="1" w:styleId="BoxStep">
    <w:name w:val="BoxStep"/>
    <w:aliases w:val="bs"/>
    <w:basedOn w:val="BoxText"/>
    <w:qFormat/>
    <w:rsid w:val="00E504D2"/>
    <w:pPr>
      <w:ind w:left="1985" w:hanging="851"/>
    </w:pPr>
  </w:style>
  <w:style w:type="character" w:customStyle="1" w:styleId="CharAmPartNo">
    <w:name w:val="CharAmPartNo"/>
    <w:basedOn w:val="OPCCharBase"/>
    <w:uiPriority w:val="1"/>
    <w:qFormat/>
    <w:rsid w:val="00E504D2"/>
  </w:style>
  <w:style w:type="character" w:customStyle="1" w:styleId="CharAmPartText">
    <w:name w:val="CharAmPartText"/>
    <w:basedOn w:val="OPCCharBase"/>
    <w:uiPriority w:val="1"/>
    <w:qFormat/>
    <w:rsid w:val="00E504D2"/>
  </w:style>
  <w:style w:type="character" w:customStyle="1" w:styleId="CharAmSchNo">
    <w:name w:val="CharAmSchNo"/>
    <w:basedOn w:val="OPCCharBase"/>
    <w:uiPriority w:val="1"/>
    <w:qFormat/>
    <w:rsid w:val="00E504D2"/>
  </w:style>
  <w:style w:type="character" w:customStyle="1" w:styleId="CharAmSchText">
    <w:name w:val="CharAmSchText"/>
    <w:basedOn w:val="OPCCharBase"/>
    <w:uiPriority w:val="1"/>
    <w:qFormat/>
    <w:rsid w:val="00E504D2"/>
  </w:style>
  <w:style w:type="character" w:customStyle="1" w:styleId="CharBoldItalic">
    <w:name w:val="CharBoldItalic"/>
    <w:basedOn w:val="OPCCharBase"/>
    <w:uiPriority w:val="1"/>
    <w:qFormat/>
    <w:rsid w:val="00E504D2"/>
    <w:rPr>
      <w:b/>
      <w:i/>
    </w:rPr>
  </w:style>
  <w:style w:type="character" w:customStyle="1" w:styleId="CharChapNo">
    <w:name w:val="CharChapNo"/>
    <w:basedOn w:val="OPCCharBase"/>
    <w:qFormat/>
    <w:rsid w:val="00E504D2"/>
  </w:style>
  <w:style w:type="character" w:customStyle="1" w:styleId="CharChapText">
    <w:name w:val="CharChapText"/>
    <w:basedOn w:val="OPCCharBase"/>
    <w:qFormat/>
    <w:rsid w:val="00E504D2"/>
  </w:style>
  <w:style w:type="character" w:customStyle="1" w:styleId="CharDivNo">
    <w:name w:val="CharDivNo"/>
    <w:basedOn w:val="OPCCharBase"/>
    <w:qFormat/>
    <w:rsid w:val="00E504D2"/>
  </w:style>
  <w:style w:type="character" w:customStyle="1" w:styleId="CharDivText">
    <w:name w:val="CharDivText"/>
    <w:basedOn w:val="OPCCharBase"/>
    <w:qFormat/>
    <w:rsid w:val="00E504D2"/>
  </w:style>
  <w:style w:type="character" w:customStyle="1" w:styleId="CharItalic">
    <w:name w:val="CharItalic"/>
    <w:basedOn w:val="OPCCharBase"/>
    <w:uiPriority w:val="1"/>
    <w:qFormat/>
    <w:rsid w:val="00E504D2"/>
    <w:rPr>
      <w:i/>
    </w:rPr>
  </w:style>
  <w:style w:type="character" w:customStyle="1" w:styleId="CharPartNo">
    <w:name w:val="CharPartNo"/>
    <w:basedOn w:val="OPCCharBase"/>
    <w:qFormat/>
    <w:rsid w:val="00E504D2"/>
  </w:style>
  <w:style w:type="character" w:customStyle="1" w:styleId="CharPartText">
    <w:name w:val="CharPartText"/>
    <w:basedOn w:val="OPCCharBase"/>
    <w:qFormat/>
    <w:rsid w:val="00E504D2"/>
  </w:style>
  <w:style w:type="character" w:customStyle="1" w:styleId="CharSectno">
    <w:name w:val="CharSectno"/>
    <w:basedOn w:val="OPCCharBase"/>
    <w:qFormat/>
    <w:rsid w:val="00E504D2"/>
  </w:style>
  <w:style w:type="character" w:customStyle="1" w:styleId="CharSubdNo">
    <w:name w:val="CharSubdNo"/>
    <w:basedOn w:val="OPCCharBase"/>
    <w:uiPriority w:val="1"/>
    <w:qFormat/>
    <w:rsid w:val="00E504D2"/>
  </w:style>
  <w:style w:type="character" w:customStyle="1" w:styleId="CharSubdText">
    <w:name w:val="CharSubdText"/>
    <w:basedOn w:val="OPCCharBase"/>
    <w:uiPriority w:val="1"/>
    <w:qFormat/>
    <w:rsid w:val="00E504D2"/>
  </w:style>
  <w:style w:type="paragraph" w:customStyle="1" w:styleId="CTA--">
    <w:name w:val="CTA --"/>
    <w:basedOn w:val="OPCParaBase"/>
    <w:next w:val="Normal"/>
    <w:rsid w:val="00E504D2"/>
    <w:pPr>
      <w:spacing w:before="60" w:line="240" w:lineRule="atLeast"/>
      <w:ind w:left="142" w:hanging="142"/>
    </w:pPr>
    <w:rPr>
      <w:sz w:val="20"/>
    </w:rPr>
  </w:style>
  <w:style w:type="paragraph" w:customStyle="1" w:styleId="CTA-">
    <w:name w:val="CTA -"/>
    <w:basedOn w:val="OPCParaBase"/>
    <w:rsid w:val="00E504D2"/>
    <w:pPr>
      <w:spacing w:before="60" w:line="240" w:lineRule="atLeast"/>
      <w:ind w:left="85" w:hanging="85"/>
    </w:pPr>
    <w:rPr>
      <w:sz w:val="20"/>
    </w:rPr>
  </w:style>
  <w:style w:type="paragraph" w:customStyle="1" w:styleId="CTA---">
    <w:name w:val="CTA ---"/>
    <w:basedOn w:val="OPCParaBase"/>
    <w:next w:val="Normal"/>
    <w:rsid w:val="00E504D2"/>
    <w:pPr>
      <w:spacing w:before="60" w:line="240" w:lineRule="atLeast"/>
      <w:ind w:left="198" w:hanging="198"/>
    </w:pPr>
    <w:rPr>
      <w:sz w:val="20"/>
    </w:rPr>
  </w:style>
  <w:style w:type="paragraph" w:customStyle="1" w:styleId="CTA----">
    <w:name w:val="CTA ----"/>
    <w:basedOn w:val="OPCParaBase"/>
    <w:next w:val="Normal"/>
    <w:rsid w:val="00E504D2"/>
    <w:pPr>
      <w:spacing w:before="60" w:line="240" w:lineRule="atLeast"/>
      <w:ind w:left="255" w:hanging="255"/>
    </w:pPr>
    <w:rPr>
      <w:sz w:val="20"/>
    </w:rPr>
  </w:style>
  <w:style w:type="paragraph" w:customStyle="1" w:styleId="CTA1a">
    <w:name w:val="CTA 1(a)"/>
    <w:basedOn w:val="OPCParaBase"/>
    <w:rsid w:val="00E504D2"/>
    <w:pPr>
      <w:tabs>
        <w:tab w:val="right" w:pos="414"/>
      </w:tabs>
      <w:spacing w:before="40" w:line="240" w:lineRule="atLeast"/>
      <w:ind w:left="675" w:hanging="675"/>
    </w:pPr>
    <w:rPr>
      <w:sz w:val="20"/>
    </w:rPr>
  </w:style>
  <w:style w:type="paragraph" w:customStyle="1" w:styleId="CTA1ai">
    <w:name w:val="CTA 1(a)(i)"/>
    <w:basedOn w:val="OPCParaBase"/>
    <w:rsid w:val="00E504D2"/>
    <w:pPr>
      <w:tabs>
        <w:tab w:val="right" w:pos="1004"/>
      </w:tabs>
      <w:spacing w:before="40" w:line="240" w:lineRule="atLeast"/>
      <w:ind w:left="1253" w:hanging="1253"/>
    </w:pPr>
    <w:rPr>
      <w:sz w:val="20"/>
    </w:rPr>
  </w:style>
  <w:style w:type="paragraph" w:customStyle="1" w:styleId="CTA2a">
    <w:name w:val="CTA 2(a)"/>
    <w:basedOn w:val="OPCParaBase"/>
    <w:rsid w:val="00E504D2"/>
    <w:pPr>
      <w:tabs>
        <w:tab w:val="right" w:pos="482"/>
      </w:tabs>
      <w:spacing w:before="40" w:line="240" w:lineRule="atLeast"/>
      <w:ind w:left="748" w:hanging="748"/>
    </w:pPr>
    <w:rPr>
      <w:sz w:val="20"/>
    </w:rPr>
  </w:style>
  <w:style w:type="paragraph" w:customStyle="1" w:styleId="CTA2ai">
    <w:name w:val="CTA 2(a)(i)"/>
    <w:basedOn w:val="OPCParaBase"/>
    <w:rsid w:val="00E504D2"/>
    <w:pPr>
      <w:tabs>
        <w:tab w:val="right" w:pos="1089"/>
      </w:tabs>
      <w:spacing w:before="40" w:line="240" w:lineRule="atLeast"/>
      <w:ind w:left="1327" w:hanging="1327"/>
    </w:pPr>
    <w:rPr>
      <w:sz w:val="20"/>
    </w:rPr>
  </w:style>
  <w:style w:type="paragraph" w:customStyle="1" w:styleId="CTA3a">
    <w:name w:val="CTA 3(a)"/>
    <w:basedOn w:val="OPCParaBase"/>
    <w:rsid w:val="00E504D2"/>
    <w:pPr>
      <w:tabs>
        <w:tab w:val="right" w:pos="556"/>
      </w:tabs>
      <w:spacing w:before="40" w:line="240" w:lineRule="atLeast"/>
      <w:ind w:left="805" w:hanging="805"/>
    </w:pPr>
    <w:rPr>
      <w:sz w:val="20"/>
    </w:rPr>
  </w:style>
  <w:style w:type="paragraph" w:customStyle="1" w:styleId="CTA3ai">
    <w:name w:val="CTA 3(a)(i)"/>
    <w:basedOn w:val="OPCParaBase"/>
    <w:rsid w:val="00E504D2"/>
    <w:pPr>
      <w:tabs>
        <w:tab w:val="right" w:pos="1140"/>
      </w:tabs>
      <w:spacing w:before="40" w:line="240" w:lineRule="atLeast"/>
      <w:ind w:left="1361" w:hanging="1361"/>
    </w:pPr>
    <w:rPr>
      <w:sz w:val="20"/>
    </w:rPr>
  </w:style>
  <w:style w:type="paragraph" w:customStyle="1" w:styleId="CTA4a">
    <w:name w:val="CTA 4(a)"/>
    <w:basedOn w:val="OPCParaBase"/>
    <w:rsid w:val="00E504D2"/>
    <w:pPr>
      <w:tabs>
        <w:tab w:val="right" w:pos="624"/>
      </w:tabs>
      <w:spacing w:before="40" w:line="240" w:lineRule="atLeast"/>
      <w:ind w:left="873" w:hanging="873"/>
    </w:pPr>
    <w:rPr>
      <w:sz w:val="20"/>
    </w:rPr>
  </w:style>
  <w:style w:type="paragraph" w:customStyle="1" w:styleId="CTA4ai">
    <w:name w:val="CTA 4(a)(i)"/>
    <w:basedOn w:val="OPCParaBase"/>
    <w:rsid w:val="00E504D2"/>
    <w:pPr>
      <w:tabs>
        <w:tab w:val="right" w:pos="1213"/>
      </w:tabs>
      <w:spacing w:before="40" w:line="240" w:lineRule="atLeast"/>
      <w:ind w:left="1452" w:hanging="1452"/>
    </w:pPr>
    <w:rPr>
      <w:sz w:val="20"/>
    </w:rPr>
  </w:style>
  <w:style w:type="paragraph" w:customStyle="1" w:styleId="CTACAPS">
    <w:name w:val="CTA CAPS"/>
    <w:basedOn w:val="OPCParaBase"/>
    <w:rsid w:val="00E504D2"/>
    <w:pPr>
      <w:spacing w:before="60" w:line="240" w:lineRule="atLeast"/>
    </w:pPr>
    <w:rPr>
      <w:sz w:val="20"/>
    </w:rPr>
  </w:style>
  <w:style w:type="paragraph" w:customStyle="1" w:styleId="CTAright">
    <w:name w:val="CTA right"/>
    <w:basedOn w:val="OPCParaBase"/>
    <w:rsid w:val="00E504D2"/>
    <w:pPr>
      <w:spacing w:before="60" w:line="240" w:lineRule="auto"/>
      <w:jc w:val="right"/>
    </w:pPr>
    <w:rPr>
      <w:sz w:val="20"/>
    </w:rPr>
  </w:style>
  <w:style w:type="paragraph" w:customStyle="1" w:styleId="subsection">
    <w:name w:val="subsection"/>
    <w:aliases w:val="ss"/>
    <w:basedOn w:val="OPCParaBase"/>
    <w:link w:val="subsectionChar"/>
    <w:rsid w:val="00E504D2"/>
    <w:pPr>
      <w:tabs>
        <w:tab w:val="right" w:pos="1021"/>
      </w:tabs>
      <w:spacing w:before="180" w:line="240" w:lineRule="auto"/>
      <w:ind w:left="1134" w:hanging="1134"/>
    </w:pPr>
  </w:style>
  <w:style w:type="paragraph" w:customStyle="1" w:styleId="Definition">
    <w:name w:val="Definition"/>
    <w:aliases w:val="dd"/>
    <w:basedOn w:val="OPCParaBase"/>
    <w:rsid w:val="00E504D2"/>
    <w:pPr>
      <w:spacing w:before="180" w:line="240" w:lineRule="auto"/>
      <w:ind w:left="1134"/>
    </w:pPr>
  </w:style>
  <w:style w:type="paragraph" w:customStyle="1" w:styleId="EndNotespara">
    <w:name w:val="EndNotes(para)"/>
    <w:aliases w:val="eta"/>
    <w:basedOn w:val="OPCParaBase"/>
    <w:next w:val="EndNotessubpara"/>
    <w:rsid w:val="00E504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504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504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504D2"/>
    <w:pPr>
      <w:tabs>
        <w:tab w:val="right" w:pos="1412"/>
      </w:tabs>
      <w:spacing w:before="60" w:line="240" w:lineRule="auto"/>
      <w:ind w:left="1525" w:hanging="1525"/>
    </w:pPr>
    <w:rPr>
      <w:sz w:val="20"/>
    </w:rPr>
  </w:style>
  <w:style w:type="paragraph" w:customStyle="1" w:styleId="Formula">
    <w:name w:val="Formula"/>
    <w:basedOn w:val="OPCParaBase"/>
    <w:rsid w:val="00E504D2"/>
    <w:pPr>
      <w:spacing w:line="240" w:lineRule="auto"/>
      <w:ind w:left="1134"/>
    </w:pPr>
    <w:rPr>
      <w:sz w:val="20"/>
    </w:rPr>
  </w:style>
  <w:style w:type="paragraph" w:styleId="Header">
    <w:name w:val="header"/>
    <w:basedOn w:val="OPCParaBase"/>
    <w:link w:val="HeaderChar"/>
    <w:unhideWhenUsed/>
    <w:rsid w:val="00E504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504D2"/>
    <w:rPr>
      <w:rFonts w:eastAsia="Times New Roman" w:cs="Times New Roman"/>
      <w:sz w:val="16"/>
      <w:lang w:eastAsia="en-AU"/>
    </w:rPr>
  </w:style>
  <w:style w:type="paragraph" w:customStyle="1" w:styleId="House">
    <w:name w:val="House"/>
    <w:basedOn w:val="OPCParaBase"/>
    <w:rsid w:val="00E504D2"/>
    <w:pPr>
      <w:spacing w:line="240" w:lineRule="auto"/>
    </w:pPr>
    <w:rPr>
      <w:sz w:val="28"/>
    </w:rPr>
  </w:style>
  <w:style w:type="paragraph" w:customStyle="1" w:styleId="Item">
    <w:name w:val="Item"/>
    <w:aliases w:val="i"/>
    <w:basedOn w:val="OPCParaBase"/>
    <w:next w:val="ItemHead"/>
    <w:rsid w:val="00E504D2"/>
    <w:pPr>
      <w:keepLines/>
      <w:spacing w:before="80" w:line="240" w:lineRule="auto"/>
      <w:ind w:left="709"/>
    </w:pPr>
  </w:style>
  <w:style w:type="paragraph" w:customStyle="1" w:styleId="ItemHead">
    <w:name w:val="ItemHead"/>
    <w:aliases w:val="ih"/>
    <w:basedOn w:val="OPCParaBase"/>
    <w:next w:val="Item"/>
    <w:rsid w:val="00E504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504D2"/>
    <w:pPr>
      <w:spacing w:line="240" w:lineRule="auto"/>
    </w:pPr>
    <w:rPr>
      <w:b/>
      <w:sz w:val="32"/>
    </w:rPr>
  </w:style>
  <w:style w:type="paragraph" w:customStyle="1" w:styleId="notedraft">
    <w:name w:val="note(draft)"/>
    <w:aliases w:val="nd"/>
    <w:basedOn w:val="OPCParaBase"/>
    <w:rsid w:val="00E504D2"/>
    <w:pPr>
      <w:spacing w:before="240" w:line="240" w:lineRule="auto"/>
      <w:ind w:left="284" w:hanging="284"/>
    </w:pPr>
    <w:rPr>
      <w:i/>
      <w:sz w:val="24"/>
    </w:rPr>
  </w:style>
  <w:style w:type="paragraph" w:customStyle="1" w:styleId="notemargin">
    <w:name w:val="note(margin)"/>
    <w:aliases w:val="nm"/>
    <w:basedOn w:val="OPCParaBase"/>
    <w:rsid w:val="00E504D2"/>
    <w:pPr>
      <w:tabs>
        <w:tab w:val="left" w:pos="709"/>
      </w:tabs>
      <w:spacing w:before="122" w:line="198" w:lineRule="exact"/>
      <w:ind w:left="709" w:hanging="709"/>
    </w:pPr>
    <w:rPr>
      <w:sz w:val="18"/>
    </w:rPr>
  </w:style>
  <w:style w:type="paragraph" w:customStyle="1" w:styleId="noteToPara">
    <w:name w:val="noteToPara"/>
    <w:aliases w:val="ntp"/>
    <w:basedOn w:val="OPCParaBase"/>
    <w:rsid w:val="00E504D2"/>
    <w:pPr>
      <w:spacing w:before="122" w:line="198" w:lineRule="exact"/>
      <w:ind w:left="2353" w:hanging="709"/>
    </w:pPr>
    <w:rPr>
      <w:sz w:val="18"/>
    </w:rPr>
  </w:style>
  <w:style w:type="paragraph" w:customStyle="1" w:styleId="noteParlAmend">
    <w:name w:val="note(ParlAmend)"/>
    <w:aliases w:val="npp"/>
    <w:basedOn w:val="OPCParaBase"/>
    <w:next w:val="ParlAmend"/>
    <w:rsid w:val="00E504D2"/>
    <w:pPr>
      <w:spacing w:line="240" w:lineRule="auto"/>
      <w:jc w:val="right"/>
    </w:pPr>
    <w:rPr>
      <w:rFonts w:ascii="Arial" w:hAnsi="Arial"/>
      <w:b/>
      <w:i/>
    </w:rPr>
  </w:style>
  <w:style w:type="paragraph" w:customStyle="1" w:styleId="Page1">
    <w:name w:val="Page1"/>
    <w:basedOn w:val="OPCParaBase"/>
    <w:rsid w:val="00E504D2"/>
    <w:pPr>
      <w:spacing w:before="5600" w:line="240" w:lineRule="auto"/>
    </w:pPr>
    <w:rPr>
      <w:b/>
      <w:sz w:val="32"/>
    </w:rPr>
  </w:style>
  <w:style w:type="paragraph" w:customStyle="1" w:styleId="PageBreak">
    <w:name w:val="PageBreak"/>
    <w:aliases w:val="pb"/>
    <w:basedOn w:val="OPCParaBase"/>
    <w:rsid w:val="00E504D2"/>
    <w:pPr>
      <w:spacing w:line="240" w:lineRule="auto"/>
    </w:pPr>
    <w:rPr>
      <w:sz w:val="20"/>
    </w:rPr>
  </w:style>
  <w:style w:type="paragraph" w:customStyle="1" w:styleId="paragraphsub">
    <w:name w:val="paragraph(sub)"/>
    <w:aliases w:val="aa"/>
    <w:basedOn w:val="OPCParaBase"/>
    <w:rsid w:val="00E504D2"/>
    <w:pPr>
      <w:tabs>
        <w:tab w:val="right" w:pos="1985"/>
      </w:tabs>
      <w:spacing w:before="40" w:line="240" w:lineRule="auto"/>
      <w:ind w:left="2098" w:hanging="2098"/>
    </w:pPr>
  </w:style>
  <w:style w:type="paragraph" w:customStyle="1" w:styleId="paragraphsub-sub">
    <w:name w:val="paragraph(sub-sub)"/>
    <w:aliases w:val="aaa"/>
    <w:basedOn w:val="OPCParaBase"/>
    <w:rsid w:val="00E504D2"/>
    <w:pPr>
      <w:tabs>
        <w:tab w:val="right" w:pos="2722"/>
      </w:tabs>
      <w:spacing w:before="40" w:line="240" w:lineRule="auto"/>
      <w:ind w:left="2835" w:hanging="2835"/>
    </w:pPr>
  </w:style>
  <w:style w:type="paragraph" w:customStyle="1" w:styleId="paragraph">
    <w:name w:val="paragraph"/>
    <w:aliases w:val="a"/>
    <w:basedOn w:val="OPCParaBase"/>
    <w:rsid w:val="00E504D2"/>
    <w:pPr>
      <w:tabs>
        <w:tab w:val="right" w:pos="1531"/>
      </w:tabs>
      <w:spacing w:before="40" w:line="240" w:lineRule="auto"/>
      <w:ind w:left="1644" w:hanging="1644"/>
    </w:pPr>
  </w:style>
  <w:style w:type="paragraph" w:customStyle="1" w:styleId="ParlAmend">
    <w:name w:val="ParlAmend"/>
    <w:aliases w:val="pp"/>
    <w:basedOn w:val="OPCParaBase"/>
    <w:rsid w:val="00E504D2"/>
    <w:pPr>
      <w:spacing w:before="240" w:line="240" w:lineRule="atLeast"/>
      <w:ind w:hanging="567"/>
    </w:pPr>
    <w:rPr>
      <w:sz w:val="24"/>
    </w:rPr>
  </w:style>
  <w:style w:type="paragraph" w:customStyle="1" w:styleId="Penalty">
    <w:name w:val="Penalty"/>
    <w:basedOn w:val="OPCParaBase"/>
    <w:rsid w:val="00E504D2"/>
    <w:pPr>
      <w:tabs>
        <w:tab w:val="left" w:pos="2977"/>
      </w:tabs>
      <w:spacing w:before="180" w:line="240" w:lineRule="auto"/>
      <w:ind w:left="1985" w:hanging="851"/>
    </w:pPr>
  </w:style>
  <w:style w:type="paragraph" w:customStyle="1" w:styleId="Portfolio">
    <w:name w:val="Portfolio"/>
    <w:basedOn w:val="OPCParaBase"/>
    <w:rsid w:val="00E504D2"/>
    <w:pPr>
      <w:spacing w:line="240" w:lineRule="auto"/>
    </w:pPr>
    <w:rPr>
      <w:i/>
      <w:sz w:val="20"/>
    </w:rPr>
  </w:style>
  <w:style w:type="paragraph" w:customStyle="1" w:styleId="Preamble">
    <w:name w:val="Preamble"/>
    <w:basedOn w:val="OPCParaBase"/>
    <w:next w:val="Normal"/>
    <w:rsid w:val="00E504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04D2"/>
    <w:pPr>
      <w:spacing w:line="240" w:lineRule="auto"/>
    </w:pPr>
    <w:rPr>
      <w:i/>
      <w:sz w:val="20"/>
    </w:rPr>
  </w:style>
  <w:style w:type="paragraph" w:customStyle="1" w:styleId="Session">
    <w:name w:val="Session"/>
    <w:basedOn w:val="OPCParaBase"/>
    <w:rsid w:val="00E504D2"/>
    <w:pPr>
      <w:spacing w:line="240" w:lineRule="auto"/>
    </w:pPr>
    <w:rPr>
      <w:sz w:val="28"/>
    </w:rPr>
  </w:style>
  <w:style w:type="paragraph" w:customStyle="1" w:styleId="Sponsor">
    <w:name w:val="Sponsor"/>
    <w:basedOn w:val="OPCParaBase"/>
    <w:rsid w:val="00E504D2"/>
    <w:pPr>
      <w:spacing w:line="240" w:lineRule="auto"/>
    </w:pPr>
    <w:rPr>
      <w:i/>
    </w:rPr>
  </w:style>
  <w:style w:type="paragraph" w:customStyle="1" w:styleId="Subitem">
    <w:name w:val="Subitem"/>
    <w:aliases w:val="iss"/>
    <w:basedOn w:val="OPCParaBase"/>
    <w:rsid w:val="00E504D2"/>
    <w:pPr>
      <w:spacing w:before="180" w:line="240" w:lineRule="auto"/>
      <w:ind w:left="709" w:hanging="709"/>
    </w:pPr>
  </w:style>
  <w:style w:type="paragraph" w:customStyle="1" w:styleId="SubitemHead">
    <w:name w:val="SubitemHead"/>
    <w:aliases w:val="issh"/>
    <w:basedOn w:val="OPCParaBase"/>
    <w:rsid w:val="00E504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504D2"/>
    <w:pPr>
      <w:spacing w:before="40" w:line="240" w:lineRule="auto"/>
      <w:ind w:left="1134"/>
    </w:pPr>
  </w:style>
  <w:style w:type="paragraph" w:customStyle="1" w:styleId="SubsectionHead">
    <w:name w:val="SubsectionHead"/>
    <w:aliases w:val="ssh"/>
    <w:basedOn w:val="OPCParaBase"/>
    <w:next w:val="subsection"/>
    <w:rsid w:val="00E504D2"/>
    <w:pPr>
      <w:keepNext/>
      <w:keepLines/>
      <w:spacing w:before="240" w:line="240" w:lineRule="auto"/>
      <w:ind w:left="1134"/>
    </w:pPr>
    <w:rPr>
      <w:i/>
    </w:rPr>
  </w:style>
  <w:style w:type="paragraph" w:customStyle="1" w:styleId="Tablea">
    <w:name w:val="Table(a)"/>
    <w:aliases w:val="ta"/>
    <w:basedOn w:val="OPCParaBase"/>
    <w:rsid w:val="00E504D2"/>
    <w:pPr>
      <w:spacing w:before="60" w:line="240" w:lineRule="auto"/>
      <w:ind w:left="284" w:hanging="284"/>
    </w:pPr>
    <w:rPr>
      <w:sz w:val="20"/>
    </w:rPr>
  </w:style>
  <w:style w:type="paragraph" w:customStyle="1" w:styleId="TableAA">
    <w:name w:val="Table(AA)"/>
    <w:aliases w:val="taaa"/>
    <w:basedOn w:val="OPCParaBase"/>
    <w:rsid w:val="00E504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504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504D2"/>
    <w:pPr>
      <w:spacing w:before="60" w:line="240" w:lineRule="atLeast"/>
    </w:pPr>
    <w:rPr>
      <w:sz w:val="20"/>
    </w:rPr>
  </w:style>
  <w:style w:type="paragraph" w:customStyle="1" w:styleId="TLPBoxTextnote">
    <w:name w:val="TLPBoxText(note"/>
    <w:aliases w:val="right)"/>
    <w:basedOn w:val="OPCParaBase"/>
    <w:rsid w:val="00E504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04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04D2"/>
    <w:pPr>
      <w:spacing w:before="122" w:line="198" w:lineRule="exact"/>
      <w:ind w:left="1985" w:hanging="851"/>
      <w:jc w:val="right"/>
    </w:pPr>
    <w:rPr>
      <w:sz w:val="18"/>
    </w:rPr>
  </w:style>
  <w:style w:type="paragraph" w:customStyle="1" w:styleId="TLPTableBullet">
    <w:name w:val="TLPTableBullet"/>
    <w:aliases w:val="ttb"/>
    <w:basedOn w:val="OPCParaBase"/>
    <w:rsid w:val="00E504D2"/>
    <w:pPr>
      <w:spacing w:line="240" w:lineRule="exact"/>
      <w:ind w:left="284" w:hanging="284"/>
    </w:pPr>
    <w:rPr>
      <w:sz w:val="20"/>
    </w:rPr>
  </w:style>
  <w:style w:type="paragraph" w:styleId="TOC1">
    <w:name w:val="toc 1"/>
    <w:basedOn w:val="OPCParaBase"/>
    <w:next w:val="Normal"/>
    <w:uiPriority w:val="39"/>
    <w:unhideWhenUsed/>
    <w:rsid w:val="00E504D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504D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504D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504D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504D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504D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504D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504D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504D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504D2"/>
    <w:pPr>
      <w:keepLines/>
      <w:spacing w:before="240" w:after="120" w:line="240" w:lineRule="auto"/>
      <w:ind w:left="794"/>
    </w:pPr>
    <w:rPr>
      <w:b/>
      <w:kern w:val="28"/>
      <w:sz w:val="20"/>
    </w:rPr>
  </w:style>
  <w:style w:type="paragraph" w:customStyle="1" w:styleId="TofSectsHeading">
    <w:name w:val="TofSects(Heading)"/>
    <w:basedOn w:val="OPCParaBase"/>
    <w:rsid w:val="00E504D2"/>
    <w:pPr>
      <w:spacing w:before="240" w:after="120" w:line="240" w:lineRule="auto"/>
    </w:pPr>
    <w:rPr>
      <w:b/>
      <w:sz w:val="24"/>
    </w:rPr>
  </w:style>
  <w:style w:type="paragraph" w:customStyle="1" w:styleId="TofSectsSection">
    <w:name w:val="TofSects(Section)"/>
    <w:basedOn w:val="OPCParaBase"/>
    <w:rsid w:val="00E504D2"/>
    <w:pPr>
      <w:keepLines/>
      <w:spacing w:before="40" w:line="240" w:lineRule="auto"/>
      <w:ind w:left="1588" w:hanging="794"/>
    </w:pPr>
    <w:rPr>
      <w:kern w:val="28"/>
      <w:sz w:val="18"/>
    </w:rPr>
  </w:style>
  <w:style w:type="paragraph" w:customStyle="1" w:styleId="TofSectsSubdiv">
    <w:name w:val="TofSects(Subdiv)"/>
    <w:basedOn w:val="OPCParaBase"/>
    <w:rsid w:val="00E504D2"/>
    <w:pPr>
      <w:keepLines/>
      <w:spacing w:before="80" w:line="240" w:lineRule="auto"/>
      <w:ind w:left="1588" w:hanging="794"/>
    </w:pPr>
    <w:rPr>
      <w:kern w:val="28"/>
    </w:rPr>
  </w:style>
  <w:style w:type="paragraph" w:customStyle="1" w:styleId="WRStyle">
    <w:name w:val="WR Style"/>
    <w:aliases w:val="WR"/>
    <w:basedOn w:val="OPCParaBase"/>
    <w:rsid w:val="00E504D2"/>
    <w:pPr>
      <w:spacing w:before="240" w:line="240" w:lineRule="auto"/>
      <w:ind w:left="284" w:hanging="284"/>
    </w:pPr>
    <w:rPr>
      <w:b/>
      <w:i/>
      <w:kern w:val="28"/>
      <w:sz w:val="24"/>
    </w:rPr>
  </w:style>
  <w:style w:type="paragraph" w:customStyle="1" w:styleId="notepara">
    <w:name w:val="note(para)"/>
    <w:aliases w:val="na"/>
    <w:basedOn w:val="OPCParaBase"/>
    <w:rsid w:val="00E504D2"/>
    <w:pPr>
      <w:spacing w:before="40" w:line="198" w:lineRule="exact"/>
      <w:ind w:left="2354" w:hanging="369"/>
    </w:pPr>
    <w:rPr>
      <w:sz w:val="18"/>
    </w:rPr>
  </w:style>
  <w:style w:type="paragraph" w:styleId="Footer">
    <w:name w:val="footer"/>
    <w:link w:val="FooterChar"/>
    <w:rsid w:val="00E504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504D2"/>
    <w:rPr>
      <w:rFonts w:eastAsia="Times New Roman" w:cs="Times New Roman"/>
      <w:sz w:val="22"/>
      <w:szCs w:val="24"/>
      <w:lang w:eastAsia="en-AU"/>
    </w:rPr>
  </w:style>
  <w:style w:type="character" w:styleId="LineNumber">
    <w:name w:val="line number"/>
    <w:basedOn w:val="OPCCharBase"/>
    <w:uiPriority w:val="99"/>
    <w:semiHidden/>
    <w:unhideWhenUsed/>
    <w:rsid w:val="00E504D2"/>
    <w:rPr>
      <w:sz w:val="16"/>
    </w:rPr>
  </w:style>
  <w:style w:type="table" w:customStyle="1" w:styleId="CFlag">
    <w:name w:val="CFlag"/>
    <w:basedOn w:val="TableNormal"/>
    <w:uiPriority w:val="99"/>
    <w:rsid w:val="00E504D2"/>
    <w:rPr>
      <w:rFonts w:eastAsia="Times New Roman" w:cs="Times New Roman"/>
      <w:lang w:eastAsia="en-AU"/>
    </w:rPr>
    <w:tblPr/>
  </w:style>
  <w:style w:type="paragraph" w:styleId="BalloonText">
    <w:name w:val="Balloon Text"/>
    <w:basedOn w:val="Normal"/>
    <w:link w:val="BalloonTextChar"/>
    <w:uiPriority w:val="99"/>
    <w:semiHidden/>
    <w:unhideWhenUsed/>
    <w:rsid w:val="00E504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4D2"/>
    <w:rPr>
      <w:rFonts w:ascii="Tahoma" w:hAnsi="Tahoma" w:cs="Tahoma"/>
      <w:sz w:val="16"/>
      <w:szCs w:val="16"/>
    </w:rPr>
  </w:style>
  <w:style w:type="table" w:styleId="TableGrid">
    <w:name w:val="Table Grid"/>
    <w:basedOn w:val="TableNormal"/>
    <w:uiPriority w:val="59"/>
    <w:rsid w:val="00E5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504D2"/>
    <w:rPr>
      <w:b/>
      <w:sz w:val="28"/>
      <w:szCs w:val="32"/>
    </w:rPr>
  </w:style>
  <w:style w:type="paragraph" w:customStyle="1" w:styleId="LegislationMadeUnder">
    <w:name w:val="LegislationMadeUnder"/>
    <w:basedOn w:val="OPCParaBase"/>
    <w:next w:val="Normal"/>
    <w:rsid w:val="00E504D2"/>
    <w:rPr>
      <w:i/>
      <w:sz w:val="32"/>
      <w:szCs w:val="32"/>
    </w:rPr>
  </w:style>
  <w:style w:type="paragraph" w:customStyle="1" w:styleId="SignCoverPageEnd">
    <w:name w:val="SignCoverPageEnd"/>
    <w:basedOn w:val="OPCParaBase"/>
    <w:next w:val="Normal"/>
    <w:rsid w:val="00E504D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504D2"/>
    <w:pPr>
      <w:pBdr>
        <w:top w:val="single" w:sz="4" w:space="1" w:color="auto"/>
      </w:pBdr>
      <w:spacing w:before="360"/>
      <w:ind w:right="397"/>
      <w:jc w:val="both"/>
    </w:pPr>
  </w:style>
  <w:style w:type="paragraph" w:customStyle="1" w:styleId="NotesHeading1">
    <w:name w:val="NotesHeading 1"/>
    <w:basedOn w:val="OPCParaBase"/>
    <w:next w:val="Normal"/>
    <w:rsid w:val="00E504D2"/>
    <w:pPr>
      <w:outlineLvl w:val="0"/>
    </w:pPr>
    <w:rPr>
      <w:b/>
      <w:sz w:val="28"/>
      <w:szCs w:val="28"/>
    </w:rPr>
  </w:style>
  <w:style w:type="paragraph" w:customStyle="1" w:styleId="NotesHeading2">
    <w:name w:val="NotesHeading 2"/>
    <w:basedOn w:val="OPCParaBase"/>
    <w:next w:val="Normal"/>
    <w:rsid w:val="00E504D2"/>
    <w:rPr>
      <w:b/>
      <w:sz w:val="28"/>
      <w:szCs w:val="28"/>
    </w:rPr>
  </w:style>
  <w:style w:type="paragraph" w:customStyle="1" w:styleId="CompiledActNo">
    <w:name w:val="CompiledActNo"/>
    <w:basedOn w:val="OPCParaBase"/>
    <w:next w:val="Normal"/>
    <w:rsid w:val="00E504D2"/>
    <w:rPr>
      <w:b/>
      <w:sz w:val="24"/>
      <w:szCs w:val="24"/>
    </w:rPr>
  </w:style>
  <w:style w:type="paragraph" w:customStyle="1" w:styleId="ENotesText">
    <w:name w:val="ENotesText"/>
    <w:aliases w:val="Ent"/>
    <w:basedOn w:val="OPCParaBase"/>
    <w:next w:val="Normal"/>
    <w:rsid w:val="00E504D2"/>
    <w:pPr>
      <w:spacing w:before="120"/>
    </w:pPr>
  </w:style>
  <w:style w:type="paragraph" w:customStyle="1" w:styleId="CompiledMadeUnder">
    <w:name w:val="CompiledMadeUnder"/>
    <w:basedOn w:val="OPCParaBase"/>
    <w:next w:val="Normal"/>
    <w:rsid w:val="00E504D2"/>
    <w:rPr>
      <w:i/>
      <w:sz w:val="24"/>
      <w:szCs w:val="24"/>
    </w:rPr>
  </w:style>
  <w:style w:type="paragraph" w:customStyle="1" w:styleId="Paragraphsub-sub-sub">
    <w:name w:val="Paragraph(sub-sub-sub)"/>
    <w:aliases w:val="aaaa"/>
    <w:basedOn w:val="OPCParaBase"/>
    <w:rsid w:val="00E504D2"/>
    <w:pPr>
      <w:tabs>
        <w:tab w:val="right" w:pos="3402"/>
      </w:tabs>
      <w:spacing w:before="40" w:line="240" w:lineRule="auto"/>
      <w:ind w:left="3402" w:hanging="3402"/>
    </w:pPr>
  </w:style>
  <w:style w:type="paragraph" w:customStyle="1" w:styleId="TableTextEndNotes">
    <w:name w:val="TableTextEndNotes"/>
    <w:aliases w:val="Tten"/>
    <w:basedOn w:val="Normal"/>
    <w:rsid w:val="00E504D2"/>
    <w:pPr>
      <w:spacing w:before="60" w:line="240" w:lineRule="auto"/>
    </w:pPr>
    <w:rPr>
      <w:rFonts w:cs="Arial"/>
      <w:sz w:val="20"/>
      <w:szCs w:val="22"/>
    </w:rPr>
  </w:style>
  <w:style w:type="paragraph" w:customStyle="1" w:styleId="NoteToSubpara">
    <w:name w:val="NoteToSubpara"/>
    <w:aliases w:val="nts"/>
    <w:basedOn w:val="OPCParaBase"/>
    <w:rsid w:val="00E504D2"/>
    <w:pPr>
      <w:spacing w:before="40" w:line="198" w:lineRule="exact"/>
      <w:ind w:left="2835" w:hanging="709"/>
    </w:pPr>
    <w:rPr>
      <w:sz w:val="18"/>
    </w:rPr>
  </w:style>
  <w:style w:type="paragraph" w:customStyle="1" w:styleId="ENoteTableHeading">
    <w:name w:val="ENoteTableHeading"/>
    <w:aliases w:val="enth"/>
    <w:basedOn w:val="OPCParaBase"/>
    <w:rsid w:val="00E504D2"/>
    <w:pPr>
      <w:keepNext/>
      <w:spacing w:before="60" w:line="240" w:lineRule="atLeast"/>
    </w:pPr>
    <w:rPr>
      <w:rFonts w:ascii="Arial" w:hAnsi="Arial"/>
      <w:b/>
      <w:sz w:val="16"/>
    </w:rPr>
  </w:style>
  <w:style w:type="paragraph" w:customStyle="1" w:styleId="ENoteTTi">
    <w:name w:val="ENoteTTi"/>
    <w:aliases w:val="entti"/>
    <w:basedOn w:val="OPCParaBase"/>
    <w:rsid w:val="00E504D2"/>
    <w:pPr>
      <w:keepNext/>
      <w:spacing w:before="60" w:line="240" w:lineRule="atLeast"/>
      <w:ind w:left="170"/>
    </w:pPr>
    <w:rPr>
      <w:sz w:val="16"/>
    </w:rPr>
  </w:style>
  <w:style w:type="paragraph" w:customStyle="1" w:styleId="ENotesHeading1">
    <w:name w:val="ENotesHeading 1"/>
    <w:aliases w:val="Enh1"/>
    <w:basedOn w:val="OPCParaBase"/>
    <w:next w:val="Normal"/>
    <w:rsid w:val="00E504D2"/>
    <w:pPr>
      <w:spacing w:before="120"/>
      <w:outlineLvl w:val="1"/>
    </w:pPr>
    <w:rPr>
      <w:b/>
      <w:sz w:val="28"/>
      <w:szCs w:val="28"/>
    </w:rPr>
  </w:style>
  <w:style w:type="paragraph" w:customStyle="1" w:styleId="ENotesHeading2">
    <w:name w:val="ENotesHeading 2"/>
    <w:aliases w:val="Enh2"/>
    <w:basedOn w:val="OPCParaBase"/>
    <w:next w:val="Normal"/>
    <w:rsid w:val="00E504D2"/>
    <w:pPr>
      <w:spacing w:before="120" w:after="120"/>
      <w:outlineLvl w:val="2"/>
    </w:pPr>
    <w:rPr>
      <w:b/>
      <w:sz w:val="24"/>
      <w:szCs w:val="28"/>
    </w:rPr>
  </w:style>
  <w:style w:type="paragraph" w:customStyle="1" w:styleId="ENoteTTIndentHeading">
    <w:name w:val="ENoteTTIndentHeading"/>
    <w:aliases w:val="enTTHi"/>
    <w:basedOn w:val="OPCParaBase"/>
    <w:rsid w:val="00E504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504D2"/>
    <w:pPr>
      <w:spacing w:before="60" w:line="240" w:lineRule="atLeast"/>
    </w:pPr>
    <w:rPr>
      <w:sz w:val="16"/>
    </w:rPr>
  </w:style>
  <w:style w:type="paragraph" w:customStyle="1" w:styleId="MadeunderText">
    <w:name w:val="MadeunderText"/>
    <w:basedOn w:val="OPCParaBase"/>
    <w:next w:val="CompiledMadeUnder"/>
    <w:rsid w:val="00E504D2"/>
    <w:pPr>
      <w:spacing w:before="240"/>
    </w:pPr>
    <w:rPr>
      <w:sz w:val="24"/>
      <w:szCs w:val="24"/>
    </w:rPr>
  </w:style>
  <w:style w:type="paragraph" w:customStyle="1" w:styleId="ENotesHeading3">
    <w:name w:val="ENotesHeading 3"/>
    <w:aliases w:val="Enh3"/>
    <w:basedOn w:val="OPCParaBase"/>
    <w:next w:val="Normal"/>
    <w:rsid w:val="00E504D2"/>
    <w:pPr>
      <w:keepNext/>
      <w:spacing w:before="120" w:line="240" w:lineRule="auto"/>
      <w:outlineLvl w:val="4"/>
    </w:pPr>
    <w:rPr>
      <w:b/>
      <w:szCs w:val="24"/>
    </w:rPr>
  </w:style>
  <w:style w:type="character" w:customStyle="1" w:styleId="CharSubPartTextCASA">
    <w:name w:val="CharSubPartText(CASA)"/>
    <w:basedOn w:val="OPCCharBase"/>
    <w:uiPriority w:val="1"/>
    <w:rsid w:val="00E504D2"/>
  </w:style>
  <w:style w:type="character" w:customStyle="1" w:styleId="CharSubPartNoCASA">
    <w:name w:val="CharSubPartNo(CASA)"/>
    <w:basedOn w:val="OPCCharBase"/>
    <w:uiPriority w:val="1"/>
    <w:rsid w:val="00E504D2"/>
  </w:style>
  <w:style w:type="paragraph" w:customStyle="1" w:styleId="ENoteTTIndentHeadingSub">
    <w:name w:val="ENoteTTIndentHeadingSub"/>
    <w:aliases w:val="enTTHis"/>
    <w:basedOn w:val="OPCParaBase"/>
    <w:rsid w:val="00E504D2"/>
    <w:pPr>
      <w:keepNext/>
      <w:spacing w:before="60" w:line="240" w:lineRule="atLeast"/>
      <w:ind w:left="340"/>
    </w:pPr>
    <w:rPr>
      <w:b/>
      <w:sz w:val="16"/>
    </w:rPr>
  </w:style>
  <w:style w:type="paragraph" w:customStyle="1" w:styleId="ENoteTTiSub">
    <w:name w:val="ENoteTTiSub"/>
    <w:aliases w:val="enttis"/>
    <w:basedOn w:val="OPCParaBase"/>
    <w:rsid w:val="00E504D2"/>
    <w:pPr>
      <w:keepNext/>
      <w:spacing w:before="60" w:line="240" w:lineRule="atLeast"/>
      <w:ind w:left="340"/>
    </w:pPr>
    <w:rPr>
      <w:sz w:val="16"/>
    </w:rPr>
  </w:style>
  <w:style w:type="paragraph" w:customStyle="1" w:styleId="SubDivisionMigration">
    <w:name w:val="SubDivisionMigration"/>
    <w:aliases w:val="sdm"/>
    <w:basedOn w:val="OPCParaBase"/>
    <w:rsid w:val="00E504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04D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504D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504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504D2"/>
    <w:rPr>
      <w:sz w:val="22"/>
    </w:rPr>
  </w:style>
  <w:style w:type="paragraph" w:customStyle="1" w:styleId="SOTextNote">
    <w:name w:val="SO TextNote"/>
    <w:aliases w:val="sont"/>
    <w:basedOn w:val="SOText"/>
    <w:qFormat/>
    <w:rsid w:val="00E504D2"/>
    <w:pPr>
      <w:spacing w:before="122" w:line="198" w:lineRule="exact"/>
      <w:ind w:left="1843" w:hanging="709"/>
    </w:pPr>
    <w:rPr>
      <w:sz w:val="18"/>
    </w:rPr>
  </w:style>
  <w:style w:type="paragraph" w:customStyle="1" w:styleId="SOPara">
    <w:name w:val="SO Para"/>
    <w:aliases w:val="soa"/>
    <w:basedOn w:val="SOText"/>
    <w:link w:val="SOParaChar"/>
    <w:qFormat/>
    <w:rsid w:val="00E504D2"/>
    <w:pPr>
      <w:tabs>
        <w:tab w:val="right" w:pos="1786"/>
      </w:tabs>
      <w:spacing w:before="40"/>
      <w:ind w:left="2070" w:hanging="936"/>
    </w:pPr>
  </w:style>
  <w:style w:type="character" w:customStyle="1" w:styleId="SOParaChar">
    <w:name w:val="SO Para Char"/>
    <w:aliases w:val="soa Char"/>
    <w:basedOn w:val="DefaultParagraphFont"/>
    <w:link w:val="SOPara"/>
    <w:rsid w:val="00E504D2"/>
    <w:rPr>
      <w:sz w:val="22"/>
    </w:rPr>
  </w:style>
  <w:style w:type="paragraph" w:customStyle="1" w:styleId="FileName">
    <w:name w:val="FileName"/>
    <w:basedOn w:val="Normal"/>
    <w:rsid w:val="00E504D2"/>
  </w:style>
  <w:style w:type="paragraph" w:customStyle="1" w:styleId="TableHeading">
    <w:name w:val="TableHeading"/>
    <w:aliases w:val="th"/>
    <w:basedOn w:val="OPCParaBase"/>
    <w:next w:val="Tabletext"/>
    <w:rsid w:val="00E504D2"/>
    <w:pPr>
      <w:keepNext/>
      <w:spacing w:before="60" w:line="240" w:lineRule="atLeast"/>
    </w:pPr>
    <w:rPr>
      <w:b/>
      <w:sz w:val="20"/>
    </w:rPr>
  </w:style>
  <w:style w:type="paragraph" w:customStyle="1" w:styleId="SOHeadBold">
    <w:name w:val="SO HeadBold"/>
    <w:aliases w:val="sohb"/>
    <w:basedOn w:val="SOText"/>
    <w:next w:val="SOText"/>
    <w:link w:val="SOHeadBoldChar"/>
    <w:qFormat/>
    <w:rsid w:val="00E504D2"/>
    <w:rPr>
      <w:b/>
    </w:rPr>
  </w:style>
  <w:style w:type="character" w:customStyle="1" w:styleId="SOHeadBoldChar">
    <w:name w:val="SO HeadBold Char"/>
    <w:aliases w:val="sohb Char"/>
    <w:basedOn w:val="DefaultParagraphFont"/>
    <w:link w:val="SOHeadBold"/>
    <w:rsid w:val="00E504D2"/>
    <w:rPr>
      <w:b/>
      <w:sz w:val="22"/>
    </w:rPr>
  </w:style>
  <w:style w:type="paragraph" w:customStyle="1" w:styleId="SOHeadItalic">
    <w:name w:val="SO HeadItalic"/>
    <w:aliases w:val="sohi"/>
    <w:basedOn w:val="SOText"/>
    <w:next w:val="SOText"/>
    <w:link w:val="SOHeadItalicChar"/>
    <w:qFormat/>
    <w:rsid w:val="00E504D2"/>
    <w:rPr>
      <w:i/>
    </w:rPr>
  </w:style>
  <w:style w:type="character" w:customStyle="1" w:styleId="SOHeadItalicChar">
    <w:name w:val="SO HeadItalic Char"/>
    <w:aliases w:val="sohi Char"/>
    <w:basedOn w:val="DefaultParagraphFont"/>
    <w:link w:val="SOHeadItalic"/>
    <w:rsid w:val="00E504D2"/>
    <w:rPr>
      <w:i/>
      <w:sz w:val="22"/>
    </w:rPr>
  </w:style>
  <w:style w:type="paragraph" w:customStyle="1" w:styleId="SOBullet">
    <w:name w:val="SO Bullet"/>
    <w:aliases w:val="sotb"/>
    <w:basedOn w:val="SOText"/>
    <w:link w:val="SOBulletChar"/>
    <w:qFormat/>
    <w:rsid w:val="00E504D2"/>
    <w:pPr>
      <w:ind w:left="1559" w:hanging="425"/>
    </w:pPr>
  </w:style>
  <w:style w:type="character" w:customStyle="1" w:styleId="SOBulletChar">
    <w:name w:val="SO Bullet Char"/>
    <w:aliases w:val="sotb Char"/>
    <w:basedOn w:val="DefaultParagraphFont"/>
    <w:link w:val="SOBullet"/>
    <w:rsid w:val="00E504D2"/>
    <w:rPr>
      <w:sz w:val="22"/>
    </w:rPr>
  </w:style>
  <w:style w:type="paragraph" w:customStyle="1" w:styleId="SOBulletNote">
    <w:name w:val="SO BulletNote"/>
    <w:aliases w:val="sonb"/>
    <w:basedOn w:val="SOTextNote"/>
    <w:link w:val="SOBulletNoteChar"/>
    <w:qFormat/>
    <w:rsid w:val="00E504D2"/>
    <w:pPr>
      <w:tabs>
        <w:tab w:val="left" w:pos="1560"/>
      </w:tabs>
      <w:ind w:left="2268" w:hanging="1134"/>
    </w:pPr>
  </w:style>
  <w:style w:type="character" w:customStyle="1" w:styleId="SOBulletNoteChar">
    <w:name w:val="SO BulletNote Char"/>
    <w:aliases w:val="sonb Char"/>
    <w:basedOn w:val="DefaultParagraphFont"/>
    <w:link w:val="SOBulletNote"/>
    <w:rsid w:val="00E504D2"/>
    <w:rPr>
      <w:sz w:val="18"/>
    </w:rPr>
  </w:style>
  <w:style w:type="paragraph" w:customStyle="1" w:styleId="SOText2">
    <w:name w:val="SO Text2"/>
    <w:aliases w:val="sot2"/>
    <w:basedOn w:val="Normal"/>
    <w:next w:val="SOText"/>
    <w:link w:val="SOText2Char"/>
    <w:rsid w:val="00E504D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504D2"/>
    <w:rPr>
      <w:sz w:val="22"/>
    </w:rPr>
  </w:style>
  <w:style w:type="paragraph" w:customStyle="1" w:styleId="SubPartCASA">
    <w:name w:val="SubPart(CASA)"/>
    <w:aliases w:val="csp"/>
    <w:basedOn w:val="OPCParaBase"/>
    <w:next w:val="ActHead3"/>
    <w:rsid w:val="00E504D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03FBA"/>
    <w:rPr>
      <w:rFonts w:eastAsia="Times New Roman" w:cs="Times New Roman"/>
      <w:sz w:val="22"/>
      <w:lang w:eastAsia="en-AU"/>
    </w:rPr>
  </w:style>
  <w:style w:type="character" w:customStyle="1" w:styleId="notetextChar">
    <w:name w:val="note(text) Char"/>
    <w:aliases w:val="n Char"/>
    <w:basedOn w:val="DefaultParagraphFont"/>
    <w:link w:val="notetext"/>
    <w:rsid w:val="00103FBA"/>
    <w:rPr>
      <w:rFonts w:eastAsia="Times New Roman" w:cs="Times New Roman"/>
      <w:sz w:val="18"/>
      <w:lang w:eastAsia="en-AU"/>
    </w:rPr>
  </w:style>
  <w:style w:type="character" w:customStyle="1" w:styleId="Heading1Char">
    <w:name w:val="Heading 1 Char"/>
    <w:basedOn w:val="DefaultParagraphFont"/>
    <w:link w:val="Heading1"/>
    <w:rsid w:val="00103F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03F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03F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03F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03F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103F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03F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03F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03FBA"/>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2527B9"/>
    <w:rPr>
      <w:rFonts w:eastAsia="Times New Roman" w:cs="Times New Roman"/>
      <w:b/>
      <w:kern w:val="28"/>
      <w:sz w:val="24"/>
      <w:lang w:eastAsia="en-AU"/>
    </w:rPr>
  </w:style>
  <w:style w:type="paragraph" w:styleId="ListParagraph">
    <w:name w:val="List Paragraph"/>
    <w:basedOn w:val="Normal"/>
    <w:uiPriority w:val="34"/>
    <w:qFormat/>
    <w:rsid w:val="002527B9"/>
    <w:pPr>
      <w:spacing w:line="240" w:lineRule="auto"/>
      <w:ind w:left="720"/>
    </w:pPr>
    <w:rPr>
      <w:rFonts w:asciiTheme="minorHAnsi" w:hAnsiTheme="minorHAnsi"/>
      <w:szCs w:val="22"/>
    </w:rPr>
  </w:style>
  <w:style w:type="numbering" w:customStyle="1" w:styleId="OPCBodyList">
    <w:name w:val="OPCBodyList"/>
    <w:uiPriority w:val="99"/>
    <w:rsid w:val="002527B9"/>
    <w:pPr>
      <w:numPr>
        <w:numId w:val="17"/>
      </w:numPr>
    </w:pPr>
  </w:style>
  <w:style w:type="character" w:styleId="Emphasis">
    <w:name w:val="Emphasis"/>
    <w:basedOn w:val="DefaultParagraphFont"/>
    <w:uiPriority w:val="20"/>
    <w:qFormat/>
    <w:rsid w:val="002527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04D2"/>
    <w:pPr>
      <w:spacing w:line="260" w:lineRule="atLeast"/>
    </w:pPr>
    <w:rPr>
      <w:sz w:val="22"/>
    </w:rPr>
  </w:style>
  <w:style w:type="paragraph" w:styleId="Heading1">
    <w:name w:val="heading 1"/>
    <w:basedOn w:val="Normal"/>
    <w:next w:val="Normal"/>
    <w:link w:val="Heading1Char"/>
    <w:qFormat/>
    <w:rsid w:val="00103F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3F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3F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03F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F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03F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03F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03F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03F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504D2"/>
  </w:style>
  <w:style w:type="paragraph" w:customStyle="1" w:styleId="OPCParaBase">
    <w:name w:val="OPCParaBase"/>
    <w:qFormat/>
    <w:rsid w:val="00E504D2"/>
    <w:pPr>
      <w:spacing w:line="260" w:lineRule="atLeast"/>
    </w:pPr>
    <w:rPr>
      <w:rFonts w:eastAsia="Times New Roman" w:cs="Times New Roman"/>
      <w:sz w:val="22"/>
      <w:lang w:eastAsia="en-AU"/>
    </w:rPr>
  </w:style>
  <w:style w:type="paragraph" w:customStyle="1" w:styleId="ShortT">
    <w:name w:val="ShortT"/>
    <w:basedOn w:val="OPCParaBase"/>
    <w:next w:val="Normal"/>
    <w:qFormat/>
    <w:rsid w:val="00E504D2"/>
    <w:pPr>
      <w:spacing w:line="240" w:lineRule="auto"/>
    </w:pPr>
    <w:rPr>
      <w:b/>
      <w:sz w:val="40"/>
    </w:rPr>
  </w:style>
  <w:style w:type="paragraph" w:customStyle="1" w:styleId="ActHead1">
    <w:name w:val="ActHead 1"/>
    <w:aliases w:val="c"/>
    <w:basedOn w:val="OPCParaBase"/>
    <w:next w:val="Normal"/>
    <w:qFormat/>
    <w:rsid w:val="00E504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04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04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04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504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504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504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04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504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504D2"/>
  </w:style>
  <w:style w:type="paragraph" w:customStyle="1" w:styleId="Blocks">
    <w:name w:val="Blocks"/>
    <w:aliases w:val="bb"/>
    <w:basedOn w:val="OPCParaBase"/>
    <w:qFormat/>
    <w:rsid w:val="00E504D2"/>
    <w:pPr>
      <w:spacing w:line="240" w:lineRule="auto"/>
    </w:pPr>
    <w:rPr>
      <w:sz w:val="24"/>
    </w:rPr>
  </w:style>
  <w:style w:type="paragraph" w:customStyle="1" w:styleId="BoxText">
    <w:name w:val="BoxText"/>
    <w:aliases w:val="bt"/>
    <w:basedOn w:val="OPCParaBase"/>
    <w:qFormat/>
    <w:rsid w:val="00E504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04D2"/>
    <w:rPr>
      <w:b/>
    </w:rPr>
  </w:style>
  <w:style w:type="paragraph" w:customStyle="1" w:styleId="BoxHeadItalic">
    <w:name w:val="BoxHeadItalic"/>
    <w:aliases w:val="bhi"/>
    <w:basedOn w:val="BoxText"/>
    <w:next w:val="BoxStep"/>
    <w:qFormat/>
    <w:rsid w:val="00E504D2"/>
    <w:rPr>
      <w:i/>
    </w:rPr>
  </w:style>
  <w:style w:type="paragraph" w:customStyle="1" w:styleId="BoxList">
    <w:name w:val="BoxList"/>
    <w:aliases w:val="bl"/>
    <w:basedOn w:val="BoxText"/>
    <w:qFormat/>
    <w:rsid w:val="00E504D2"/>
    <w:pPr>
      <w:ind w:left="1559" w:hanging="425"/>
    </w:pPr>
  </w:style>
  <w:style w:type="paragraph" w:customStyle="1" w:styleId="BoxNote">
    <w:name w:val="BoxNote"/>
    <w:aliases w:val="bn"/>
    <w:basedOn w:val="BoxText"/>
    <w:qFormat/>
    <w:rsid w:val="00E504D2"/>
    <w:pPr>
      <w:tabs>
        <w:tab w:val="left" w:pos="1985"/>
      </w:tabs>
      <w:spacing w:before="122" w:line="198" w:lineRule="exact"/>
      <w:ind w:left="2948" w:hanging="1814"/>
    </w:pPr>
    <w:rPr>
      <w:sz w:val="18"/>
    </w:rPr>
  </w:style>
  <w:style w:type="paragraph" w:customStyle="1" w:styleId="BoxPara">
    <w:name w:val="BoxPara"/>
    <w:aliases w:val="bp"/>
    <w:basedOn w:val="BoxText"/>
    <w:qFormat/>
    <w:rsid w:val="00E504D2"/>
    <w:pPr>
      <w:tabs>
        <w:tab w:val="right" w:pos="2268"/>
      </w:tabs>
      <w:ind w:left="2552" w:hanging="1418"/>
    </w:pPr>
  </w:style>
  <w:style w:type="paragraph" w:customStyle="1" w:styleId="BoxStep">
    <w:name w:val="BoxStep"/>
    <w:aliases w:val="bs"/>
    <w:basedOn w:val="BoxText"/>
    <w:qFormat/>
    <w:rsid w:val="00E504D2"/>
    <w:pPr>
      <w:ind w:left="1985" w:hanging="851"/>
    </w:pPr>
  </w:style>
  <w:style w:type="character" w:customStyle="1" w:styleId="CharAmPartNo">
    <w:name w:val="CharAmPartNo"/>
    <w:basedOn w:val="OPCCharBase"/>
    <w:uiPriority w:val="1"/>
    <w:qFormat/>
    <w:rsid w:val="00E504D2"/>
  </w:style>
  <w:style w:type="character" w:customStyle="1" w:styleId="CharAmPartText">
    <w:name w:val="CharAmPartText"/>
    <w:basedOn w:val="OPCCharBase"/>
    <w:uiPriority w:val="1"/>
    <w:qFormat/>
    <w:rsid w:val="00E504D2"/>
  </w:style>
  <w:style w:type="character" w:customStyle="1" w:styleId="CharAmSchNo">
    <w:name w:val="CharAmSchNo"/>
    <w:basedOn w:val="OPCCharBase"/>
    <w:uiPriority w:val="1"/>
    <w:qFormat/>
    <w:rsid w:val="00E504D2"/>
  </w:style>
  <w:style w:type="character" w:customStyle="1" w:styleId="CharAmSchText">
    <w:name w:val="CharAmSchText"/>
    <w:basedOn w:val="OPCCharBase"/>
    <w:uiPriority w:val="1"/>
    <w:qFormat/>
    <w:rsid w:val="00E504D2"/>
  </w:style>
  <w:style w:type="character" w:customStyle="1" w:styleId="CharBoldItalic">
    <w:name w:val="CharBoldItalic"/>
    <w:basedOn w:val="OPCCharBase"/>
    <w:uiPriority w:val="1"/>
    <w:qFormat/>
    <w:rsid w:val="00E504D2"/>
    <w:rPr>
      <w:b/>
      <w:i/>
    </w:rPr>
  </w:style>
  <w:style w:type="character" w:customStyle="1" w:styleId="CharChapNo">
    <w:name w:val="CharChapNo"/>
    <w:basedOn w:val="OPCCharBase"/>
    <w:qFormat/>
    <w:rsid w:val="00E504D2"/>
  </w:style>
  <w:style w:type="character" w:customStyle="1" w:styleId="CharChapText">
    <w:name w:val="CharChapText"/>
    <w:basedOn w:val="OPCCharBase"/>
    <w:qFormat/>
    <w:rsid w:val="00E504D2"/>
  </w:style>
  <w:style w:type="character" w:customStyle="1" w:styleId="CharDivNo">
    <w:name w:val="CharDivNo"/>
    <w:basedOn w:val="OPCCharBase"/>
    <w:qFormat/>
    <w:rsid w:val="00E504D2"/>
  </w:style>
  <w:style w:type="character" w:customStyle="1" w:styleId="CharDivText">
    <w:name w:val="CharDivText"/>
    <w:basedOn w:val="OPCCharBase"/>
    <w:qFormat/>
    <w:rsid w:val="00E504D2"/>
  </w:style>
  <w:style w:type="character" w:customStyle="1" w:styleId="CharItalic">
    <w:name w:val="CharItalic"/>
    <w:basedOn w:val="OPCCharBase"/>
    <w:uiPriority w:val="1"/>
    <w:qFormat/>
    <w:rsid w:val="00E504D2"/>
    <w:rPr>
      <w:i/>
    </w:rPr>
  </w:style>
  <w:style w:type="character" w:customStyle="1" w:styleId="CharPartNo">
    <w:name w:val="CharPartNo"/>
    <w:basedOn w:val="OPCCharBase"/>
    <w:qFormat/>
    <w:rsid w:val="00E504D2"/>
  </w:style>
  <w:style w:type="character" w:customStyle="1" w:styleId="CharPartText">
    <w:name w:val="CharPartText"/>
    <w:basedOn w:val="OPCCharBase"/>
    <w:qFormat/>
    <w:rsid w:val="00E504D2"/>
  </w:style>
  <w:style w:type="character" w:customStyle="1" w:styleId="CharSectno">
    <w:name w:val="CharSectno"/>
    <w:basedOn w:val="OPCCharBase"/>
    <w:qFormat/>
    <w:rsid w:val="00E504D2"/>
  </w:style>
  <w:style w:type="character" w:customStyle="1" w:styleId="CharSubdNo">
    <w:name w:val="CharSubdNo"/>
    <w:basedOn w:val="OPCCharBase"/>
    <w:uiPriority w:val="1"/>
    <w:qFormat/>
    <w:rsid w:val="00E504D2"/>
  </w:style>
  <w:style w:type="character" w:customStyle="1" w:styleId="CharSubdText">
    <w:name w:val="CharSubdText"/>
    <w:basedOn w:val="OPCCharBase"/>
    <w:uiPriority w:val="1"/>
    <w:qFormat/>
    <w:rsid w:val="00E504D2"/>
  </w:style>
  <w:style w:type="paragraph" w:customStyle="1" w:styleId="CTA--">
    <w:name w:val="CTA --"/>
    <w:basedOn w:val="OPCParaBase"/>
    <w:next w:val="Normal"/>
    <w:rsid w:val="00E504D2"/>
    <w:pPr>
      <w:spacing w:before="60" w:line="240" w:lineRule="atLeast"/>
      <w:ind w:left="142" w:hanging="142"/>
    </w:pPr>
    <w:rPr>
      <w:sz w:val="20"/>
    </w:rPr>
  </w:style>
  <w:style w:type="paragraph" w:customStyle="1" w:styleId="CTA-">
    <w:name w:val="CTA -"/>
    <w:basedOn w:val="OPCParaBase"/>
    <w:rsid w:val="00E504D2"/>
    <w:pPr>
      <w:spacing w:before="60" w:line="240" w:lineRule="atLeast"/>
      <w:ind w:left="85" w:hanging="85"/>
    </w:pPr>
    <w:rPr>
      <w:sz w:val="20"/>
    </w:rPr>
  </w:style>
  <w:style w:type="paragraph" w:customStyle="1" w:styleId="CTA---">
    <w:name w:val="CTA ---"/>
    <w:basedOn w:val="OPCParaBase"/>
    <w:next w:val="Normal"/>
    <w:rsid w:val="00E504D2"/>
    <w:pPr>
      <w:spacing w:before="60" w:line="240" w:lineRule="atLeast"/>
      <w:ind w:left="198" w:hanging="198"/>
    </w:pPr>
    <w:rPr>
      <w:sz w:val="20"/>
    </w:rPr>
  </w:style>
  <w:style w:type="paragraph" w:customStyle="1" w:styleId="CTA----">
    <w:name w:val="CTA ----"/>
    <w:basedOn w:val="OPCParaBase"/>
    <w:next w:val="Normal"/>
    <w:rsid w:val="00E504D2"/>
    <w:pPr>
      <w:spacing w:before="60" w:line="240" w:lineRule="atLeast"/>
      <w:ind w:left="255" w:hanging="255"/>
    </w:pPr>
    <w:rPr>
      <w:sz w:val="20"/>
    </w:rPr>
  </w:style>
  <w:style w:type="paragraph" w:customStyle="1" w:styleId="CTA1a">
    <w:name w:val="CTA 1(a)"/>
    <w:basedOn w:val="OPCParaBase"/>
    <w:rsid w:val="00E504D2"/>
    <w:pPr>
      <w:tabs>
        <w:tab w:val="right" w:pos="414"/>
      </w:tabs>
      <w:spacing w:before="40" w:line="240" w:lineRule="atLeast"/>
      <w:ind w:left="675" w:hanging="675"/>
    </w:pPr>
    <w:rPr>
      <w:sz w:val="20"/>
    </w:rPr>
  </w:style>
  <w:style w:type="paragraph" w:customStyle="1" w:styleId="CTA1ai">
    <w:name w:val="CTA 1(a)(i)"/>
    <w:basedOn w:val="OPCParaBase"/>
    <w:rsid w:val="00E504D2"/>
    <w:pPr>
      <w:tabs>
        <w:tab w:val="right" w:pos="1004"/>
      </w:tabs>
      <w:spacing w:before="40" w:line="240" w:lineRule="atLeast"/>
      <w:ind w:left="1253" w:hanging="1253"/>
    </w:pPr>
    <w:rPr>
      <w:sz w:val="20"/>
    </w:rPr>
  </w:style>
  <w:style w:type="paragraph" w:customStyle="1" w:styleId="CTA2a">
    <w:name w:val="CTA 2(a)"/>
    <w:basedOn w:val="OPCParaBase"/>
    <w:rsid w:val="00E504D2"/>
    <w:pPr>
      <w:tabs>
        <w:tab w:val="right" w:pos="482"/>
      </w:tabs>
      <w:spacing w:before="40" w:line="240" w:lineRule="atLeast"/>
      <w:ind w:left="748" w:hanging="748"/>
    </w:pPr>
    <w:rPr>
      <w:sz w:val="20"/>
    </w:rPr>
  </w:style>
  <w:style w:type="paragraph" w:customStyle="1" w:styleId="CTA2ai">
    <w:name w:val="CTA 2(a)(i)"/>
    <w:basedOn w:val="OPCParaBase"/>
    <w:rsid w:val="00E504D2"/>
    <w:pPr>
      <w:tabs>
        <w:tab w:val="right" w:pos="1089"/>
      </w:tabs>
      <w:spacing w:before="40" w:line="240" w:lineRule="atLeast"/>
      <w:ind w:left="1327" w:hanging="1327"/>
    </w:pPr>
    <w:rPr>
      <w:sz w:val="20"/>
    </w:rPr>
  </w:style>
  <w:style w:type="paragraph" w:customStyle="1" w:styleId="CTA3a">
    <w:name w:val="CTA 3(a)"/>
    <w:basedOn w:val="OPCParaBase"/>
    <w:rsid w:val="00E504D2"/>
    <w:pPr>
      <w:tabs>
        <w:tab w:val="right" w:pos="556"/>
      </w:tabs>
      <w:spacing w:before="40" w:line="240" w:lineRule="atLeast"/>
      <w:ind w:left="805" w:hanging="805"/>
    </w:pPr>
    <w:rPr>
      <w:sz w:val="20"/>
    </w:rPr>
  </w:style>
  <w:style w:type="paragraph" w:customStyle="1" w:styleId="CTA3ai">
    <w:name w:val="CTA 3(a)(i)"/>
    <w:basedOn w:val="OPCParaBase"/>
    <w:rsid w:val="00E504D2"/>
    <w:pPr>
      <w:tabs>
        <w:tab w:val="right" w:pos="1140"/>
      </w:tabs>
      <w:spacing w:before="40" w:line="240" w:lineRule="atLeast"/>
      <w:ind w:left="1361" w:hanging="1361"/>
    </w:pPr>
    <w:rPr>
      <w:sz w:val="20"/>
    </w:rPr>
  </w:style>
  <w:style w:type="paragraph" w:customStyle="1" w:styleId="CTA4a">
    <w:name w:val="CTA 4(a)"/>
    <w:basedOn w:val="OPCParaBase"/>
    <w:rsid w:val="00E504D2"/>
    <w:pPr>
      <w:tabs>
        <w:tab w:val="right" w:pos="624"/>
      </w:tabs>
      <w:spacing w:before="40" w:line="240" w:lineRule="atLeast"/>
      <w:ind w:left="873" w:hanging="873"/>
    </w:pPr>
    <w:rPr>
      <w:sz w:val="20"/>
    </w:rPr>
  </w:style>
  <w:style w:type="paragraph" w:customStyle="1" w:styleId="CTA4ai">
    <w:name w:val="CTA 4(a)(i)"/>
    <w:basedOn w:val="OPCParaBase"/>
    <w:rsid w:val="00E504D2"/>
    <w:pPr>
      <w:tabs>
        <w:tab w:val="right" w:pos="1213"/>
      </w:tabs>
      <w:spacing w:before="40" w:line="240" w:lineRule="atLeast"/>
      <w:ind w:left="1452" w:hanging="1452"/>
    </w:pPr>
    <w:rPr>
      <w:sz w:val="20"/>
    </w:rPr>
  </w:style>
  <w:style w:type="paragraph" w:customStyle="1" w:styleId="CTACAPS">
    <w:name w:val="CTA CAPS"/>
    <w:basedOn w:val="OPCParaBase"/>
    <w:rsid w:val="00E504D2"/>
    <w:pPr>
      <w:spacing w:before="60" w:line="240" w:lineRule="atLeast"/>
    </w:pPr>
    <w:rPr>
      <w:sz w:val="20"/>
    </w:rPr>
  </w:style>
  <w:style w:type="paragraph" w:customStyle="1" w:styleId="CTAright">
    <w:name w:val="CTA right"/>
    <w:basedOn w:val="OPCParaBase"/>
    <w:rsid w:val="00E504D2"/>
    <w:pPr>
      <w:spacing w:before="60" w:line="240" w:lineRule="auto"/>
      <w:jc w:val="right"/>
    </w:pPr>
    <w:rPr>
      <w:sz w:val="20"/>
    </w:rPr>
  </w:style>
  <w:style w:type="paragraph" w:customStyle="1" w:styleId="subsection">
    <w:name w:val="subsection"/>
    <w:aliases w:val="ss"/>
    <w:basedOn w:val="OPCParaBase"/>
    <w:link w:val="subsectionChar"/>
    <w:rsid w:val="00E504D2"/>
    <w:pPr>
      <w:tabs>
        <w:tab w:val="right" w:pos="1021"/>
      </w:tabs>
      <w:spacing w:before="180" w:line="240" w:lineRule="auto"/>
      <w:ind w:left="1134" w:hanging="1134"/>
    </w:pPr>
  </w:style>
  <w:style w:type="paragraph" w:customStyle="1" w:styleId="Definition">
    <w:name w:val="Definition"/>
    <w:aliases w:val="dd"/>
    <w:basedOn w:val="OPCParaBase"/>
    <w:rsid w:val="00E504D2"/>
    <w:pPr>
      <w:spacing w:before="180" w:line="240" w:lineRule="auto"/>
      <w:ind w:left="1134"/>
    </w:pPr>
  </w:style>
  <w:style w:type="paragraph" w:customStyle="1" w:styleId="EndNotespara">
    <w:name w:val="EndNotes(para)"/>
    <w:aliases w:val="eta"/>
    <w:basedOn w:val="OPCParaBase"/>
    <w:next w:val="EndNotessubpara"/>
    <w:rsid w:val="00E504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504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504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504D2"/>
    <w:pPr>
      <w:tabs>
        <w:tab w:val="right" w:pos="1412"/>
      </w:tabs>
      <w:spacing w:before="60" w:line="240" w:lineRule="auto"/>
      <w:ind w:left="1525" w:hanging="1525"/>
    </w:pPr>
    <w:rPr>
      <w:sz w:val="20"/>
    </w:rPr>
  </w:style>
  <w:style w:type="paragraph" w:customStyle="1" w:styleId="Formula">
    <w:name w:val="Formula"/>
    <w:basedOn w:val="OPCParaBase"/>
    <w:rsid w:val="00E504D2"/>
    <w:pPr>
      <w:spacing w:line="240" w:lineRule="auto"/>
      <w:ind w:left="1134"/>
    </w:pPr>
    <w:rPr>
      <w:sz w:val="20"/>
    </w:rPr>
  </w:style>
  <w:style w:type="paragraph" w:styleId="Header">
    <w:name w:val="header"/>
    <w:basedOn w:val="OPCParaBase"/>
    <w:link w:val="HeaderChar"/>
    <w:unhideWhenUsed/>
    <w:rsid w:val="00E504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504D2"/>
    <w:rPr>
      <w:rFonts w:eastAsia="Times New Roman" w:cs="Times New Roman"/>
      <w:sz w:val="16"/>
      <w:lang w:eastAsia="en-AU"/>
    </w:rPr>
  </w:style>
  <w:style w:type="paragraph" w:customStyle="1" w:styleId="House">
    <w:name w:val="House"/>
    <w:basedOn w:val="OPCParaBase"/>
    <w:rsid w:val="00E504D2"/>
    <w:pPr>
      <w:spacing w:line="240" w:lineRule="auto"/>
    </w:pPr>
    <w:rPr>
      <w:sz w:val="28"/>
    </w:rPr>
  </w:style>
  <w:style w:type="paragraph" w:customStyle="1" w:styleId="Item">
    <w:name w:val="Item"/>
    <w:aliases w:val="i"/>
    <w:basedOn w:val="OPCParaBase"/>
    <w:next w:val="ItemHead"/>
    <w:rsid w:val="00E504D2"/>
    <w:pPr>
      <w:keepLines/>
      <w:spacing w:before="80" w:line="240" w:lineRule="auto"/>
      <w:ind w:left="709"/>
    </w:pPr>
  </w:style>
  <w:style w:type="paragraph" w:customStyle="1" w:styleId="ItemHead">
    <w:name w:val="ItemHead"/>
    <w:aliases w:val="ih"/>
    <w:basedOn w:val="OPCParaBase"/>
    <w:next w:val="Item"/>
    <w:rsid w:val="00E504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504D2"/>
    <w:pPr>
      <w:spacing w:line="240" w:lineRule="auto"/>
    </w:pPr>
    <w:rPr>
      <w:b/>
      <w:sz w:val="32"/>
    </w:rPr>
  </w:style>
  <w:style w:type="paragraph" w:customStyle="1" w:styleId="notedraft">
    <w:name w:val="note(draft)"/>
    <w:aliases w:val="nd"/>
    <w:basedOn w:val="OPCParaBase"/>
    <w:rsid w:val="00E504D2"/>
    <w:pPr>
      <w:spacing w:before="240" w:line="240" w:lineRule="auto"/>
      <w:ind w:left="284" w:hanging="284"/>
    </w:pPr>
    <w:rPr>
      <w:i/>
      <w:sz w:val="24"/>
    </w:rPr>
  </w:style>
  <w:style w:type="paragraph" w:customStyle="1" w:styleId="notemargin">
    <w:name w:val="note(margin)"/>
    <w:aliases w:val="nm"/>
    <w:basedOn w:val="OPCParaBase"/>
    <w:rsid w:val="00E504D2"/>
    <w:pPr>
      <w:tabs>
        <w:tab w:val="left" w:pos="709"/>
      </w:tabs>
      <w:spacing w:before="122" w:line="198" w:lineRule="exact"/>
      <w:ind w:left="709" w:hanging="709"/>
    </w:pPr>
    <w:rPr>
      <w:sz w:val="18"/>
    </w:rPr>
  </w:style>
  <w:style w:type="paragraph" w:customStyle="1" w:styleId="noteToPara">
    <w:name w:val="noteToPara"/>
    <w:aliases w:val="ntp"/>
    <w:basedOn w:val="OPCParaBase"/>
    <w:rsid w:val="00E504D2"/>
    <w:pPr>
      <w:spacing w:before="122" w:line="198" w:lineRule="exact"/>
      <w:ind w:left="2353" w:hanging="709"/>
    </w:pPr>
    <w:rPr>
      <w:sz w:val="18"/>
    </w:rPr>
  </w:style>
  <w:style w:type="paragraph" w:customStyle="1" w:styleId="noteParlAmend">
    <w:name w:val="note(ParlAmend)"/>
    <w:aliases w:val="npp"/>
    <w:basedOn w:val="OPCParaBase"/>
    <w:next w:val="ParlAmend"/>
    <w:rsid w:val="00E504D2"/>
    <w:pPr>
      <w:spacing w:line="240" w:lineRule="auto"/>
      <w:jc w:val="right"/>
    </w:pPr>
    <w:rPr>
      <w:rFonts w:ascii="Arial" w:hAnsi="Arial"/>
      <w:b/>
      <w:i/>
    </w:rPr>
  </w:style>
  <w:style w:type="paragraph" w:customStyle="1" w:styleId="Page1">
    <w:name w:val="Page1"/>
    <w:basedOn w:val="OPCParaBase"/>
    <w:rsid w:val="00E504D2"/>
    <w:pPr>
      <w:spacing w:before="5600" w:line="240" w:lineRule="auto"/>
    </w:pPr>
    <w:rPr>
      <w:b/>
      <w:sz w:val="32"/>
    </w:rPr>
  </w:style>
  <w:style w:type="paragraph" w:customStyle="1" w:styleId="PageBreak">
    <w:name w:val="PageBreak"/>
    <w:aliases w:val="pb"/>
    <w:basedOn w:val="OPCParaBase"/>
    <w:rsid w:val="00E504D2"/>
    <w:pPr>
      <w:spacing w:line="240" w:lineRule="auto"/>
    </w:pPr>
    <w:rPr>
      <w:sz w:val="20"/>
    </w:rPr>
  </w:style>
  <w:style w:type="paragraph" w:customStyle="1" w:styleId="paragraphsub">
    <w:name w:val="paragraph(sub)"/>
    <w:aliases w:val="aa"/>
    <w:basedOn w:val="OPCParaBase"/>
    <w:rsid w:val="00E504D2"/>
    <w:pPr>
      <w:tabs>
        <w:tab w:val="right" w:pos="1985"/>
      </w:tabs>
      <w:spacing w:before="40" w:line="240" w:lineRule="auto"/>
      <w:ind w:left="2098" w:hanging="2098"/>
    </w:pPr>
  </w:style>
  <w:style w:type="paragraph" w:customStyle="1" w:styleId="paragraphsub-sub">
    <w:name w:val="paragraph(sub-sub)"/>
    <w:aliases w:val="aaa"/>
    <w:basedOn w:val="OPCParaBase"/>
    <w:rsid w:val="00E504D2"/>
    <w:pPr>
      <w:tabs>
        <w:tab w:val="right" w:pos="2722"/>
      </w:tabs>
      <w:spacing w:before="40" w:line="240" w:lineRule="auto"/>
      <w:ind w:left="2835" w:hanging="2835"/>
    </w:pPr>
  </w:style>
  <w:style w:type="paragraph" w:customStyle="1" w:styleId="paragraph">
    <w:name w:val="paragraph"/>
    <w:aliases w:val="a"/>
    <w:basedOn w:val="OPCParaBase"/>
    <w:rsid w:val="00E504D2"/>
    <w:pPr>
      <w:tabs>
        <w:tab w:val="right" w:pos="1531"/>
      </w:tabs>
      <w:spacing w:before="40" w:line="240" w:lineRule="auto"/>
      <w:ind w:left="1644" w:hanging="1644"/>
    </w:pPr>
  </w:style>
  <w:style w:type="paragraph" w:customStyle="1" w:styleId="ParlAmend">
    <w:name w:val="ParlAmend"/>
    <w:aliases w:val="pp"/>
    <w:basedOn w:val="OPCParaBase"/>
    <w:rsid w:val="00E504D2"/>
    <w:pPr>
      <w:spacing w:before="240" w:line="240" w:lineRule="atLeast"/>
      <w:ind w:hanging="567"/>
    </w:pPr>
    <w:rPr>
      <w:sz w:val="24"/>
    </w:rPr>
  </w:style>
  <w:style w:type="paragraph" w:customStyle="1" w:styleId="Penalty">
    <w:name w:val="Penalty"/>
    <w:basedOn w:val="OPCParaBase"/>
    <w:rsid w:val="00E504D2"/>
    <w:pPr>
      <w:tabs>
        <w:tab w:val="left" w:pos="2977"/>
      </w:tabs>
      <w:spacing w:before="180" w:line="240" w:lineRule="auto"/>
      <w:ind w:left="1985" w:hanging="851"/>
    </w:pPr>
  </w:style>
  <w:style w:type="paragraph" w:customStyle="1" w:styleId="Portfolio">
    <w:name w:val="Portfolio"/>
    <w:basedOn w:val="OPCParaBase"/>
    <w:rsid w:val="00E504D2"/>
    <w:pPr>
      <w:spacing w:line="240" w:lineRule="auto"/>
    </w:pPr>
    <w:rPr>
      <w:i/>
      <w:sz w:val="20"/>
    </w:rPr>
  </w:style>
  <w:style w:type="paragraph" w:customStyle="1" w:styleId="Preamble">
    <w:name w:val="Preamble"/>
    <w:basedOn w:val="OPCParaBase"/>
    <w:next w:val="Normal"/>
    <w:rsid w:val="00E504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04D2"/>
    <w:pPr>
      <w:spacing w:line="240" w:lineRule="auto"/>
    </w:pPr>
    <w:rPr>
      <w:i/>
      <w:sz w:val="20"/>
    </w:rPr>
  </w:style>
  <w:style w:type="paragraph" w:customStyle="1" w:styleId="Session">
    <w:name w:val="Session"/>
    <w:basedOn w:val="OPCParaBase"/>
    <w:rsid w:val="00E504D2"/>
    <w:pPr>
      <w:spacing w:line="240" w:lineRule="auto"/>
    </w:pPr>
    <w:rPr>
      <w:sz w:val="28"/>
    </w:rPr>
  </w:style>
  <w:style w:type="paragraph" w:customStyle="1" w:styleId="Sponsor">
    <w:name w:val="Sponsor"/>
    <w:basedOn w:val="OPCParaBase"/>
    <w:rsid w:val="00E504D2"/>
    <w:pPr>
      <w:spacing w:line="240" w:lineRule="auto"/>
    </w:pPr>
    <w:rPr>
      <w:i/>
    </w:rPr>
  </w:style>
  <w:style w:type="paragraph" w:customStyle="1" w:styleId="Subitem">
    <w:name w:val="Subitem"/>
    <w:aliases w:val="iss"/>
    <w:basedOn w:val="OPCParaBase"/>
    <w:rsid w:val="00E504D2"/>
    <w:pPr>
      <w:spacing w:before="180" w:line="240" w:lineRule="auto"/>
      <w:ind w:left="709" w:hanging="709"/>
    </w:pPr>
  </w:style>
  <w:style w:type="paragraph" w:customStyle="1" w:styleId="SubitemHead">
    <w:name w:val="SubitemHead"/>
    <w:aliases w:val="issh"/>
    <w:basedOn w:val="OPCParaBase"/>
    <w:rsid w:val="00E504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504D2"/>
    <w:pPr>
      <w:spacing w:before="40" w:line="240" w:lineRule="auto"/>
      <w:ind w:left="1134"/>
    </w:pPr>
  </w:style>
  <w:style w:type="paragraph" w:customStyle="1" w:styleId="SubsectionHead">
    <w:name w:val="SubsectionHead"/>
    <w:aliases w:val="ssh"/>
    <w:basedOn w:val="OPCParaBase"/>
    <w:next w:val="subsection"/>
    <w:rsid w:val="00E504D2"/>
    <w:pPr>
      <w:keepNext/>
      <w:keepLines/>
      <w:spacing w:before="240" w:line="240" w:lineRule="auto"/>
      <w:ind w:left="1134"/>
    </w:pPr>
    <w:rPr>
      <w:i/>
    </w:rPr>
  </w:style>
  <w:style w:type="paragraph" w:customStyle="1" w:styleId="Tablea">
    <w:name w:val="Table(a)"/>
    <w:aliases w:val="ta"/>
    <w:basedOn w:val="OPCParaBase"/>
    <w:rsid w:val="00E504D2"/>
    <w:pPr>
      <w:spacing w:before="60" w:line="240" w:lineRule="auto"/>
      <w:ind w:left="284" w:hanging="284"/>
    </w:pPr>
    <w:rPr>
      <w:sz w:val="20"/>
    </w:rPr>
  </w:style>
  <w:style w:type="paragraph" w:customStyle="1" w:styleId="TableAA">
    <w:name w:val="Table(AA)"/>
    <w:aliases w:val="taaa"/>
    <w:basedOn w:val="OPCParaBase"/>
    <w:rsid w:val="00E504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504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504D2"/>
    <w:pPr>
      <w:spacing w:before="60" w:line="240" w:lineRule="atLeast"/>
    </w:pPr>
    <w:rPr>
      <w:sz w:val="20"/>
    </w:rPr>
  </w:style>
  <w:style w:type="paragraph" w:customStyle="1" w:styleId="TLPBoxTextnote">
    <w:name w:val="TLPBoxText(note"/>
    <w:aliases w:val="right)"/>
    <w:basedOn w:val="OPCParaBase"/>
    <w:rsid w:val="00E504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04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04D2"/>
    <w:pPr>
      <w:spacing w:before="122" w:line="198" w:lineRule="exact"/>
      <w:ind w:left="1985" w:hanging="851"/>
      <w:jc w:val="right"/>
    </w:pPr>
    <w:rPr>
      <w:sz w:val="18"/>
    </w:rPr>
  </w:style>
  <w:style w:type="paragraph" w:customStyle="1" w:styleId="TLPTableBullet">
    <w:name w:val="TLPTableBullet"/>
    <w:aliases w:val="ttb"/>
    <w:basedOn w:val="OPCParaBase"/>
    <w:rsid w:val="00E504D2"/>
    <w:pPr>
      <w:spacing w:line="240" w:lineRule="exact"/>
      <w:ind w:left="284" w:hanging="284"/>
    </w:pPr>
    <w:rPr>
      <w:sz w:val="20"/>
    </w:rPr>
  </w:style>
  <w:style w:type="paragraph" w:styleId="TOC1">
    <w:name w:val="toc 1"/>
    <w:basedOn w:val="OPCParaBase"/>
    <w:next w:val="Normal"/>
    <w:uiPriority w:val="39"/>
    <w:unhideWhenUsed/>
    <w:rsid w:val="00E504D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504D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504D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504D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504D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504D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504D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504D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504D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504D2"/>
    <w:pPr>
      <w:keepLines/>
      <w:spacing w:before="240" w:after="120" w:line="240" w:lineRule="auto"/>
      <w:ind w:left="794"/>
    </w:pPr>
    <w:rPr>
      <w:b/>
      <w:kern w:val="28"/>
      <w:sz w:val="20"/>
    </w:rPr>
  </w:style>
  <w:style w:type="paragraph" w:customStyle="1" w:styleId="TofSectsHeading">
    <w:name w:val="TofSects(Heading)"/>
    <w:basedOn w:val="OPCParaBase"/>
    <w:rsid w:val="00E504D2"/>
    <w:pPr>
      <w:spacing w:before="240" w:after="120" w:line="240" w:lineRule="auto"/>
    </w:pPr>
    <w:rPr>
      <w:b/>
      <w:sz w:val="24"/>
    </w:rPr>
  </w:style>
  <w:style w:type="paragraph" w:customStyle="1" w:styleId="TofSectsSection">
    <w:name w:val="TofSects(Section)"/>
    <w:basedOn w:val="OPCParaBase"/>
    <w:rsid w:val="00E504D2"/>
    <w:pPr>
      <w:keepLines/>
      <w:spacing w:before="40" w:line="240" w:lineRule="auto"/>
      <w:ind w:left="1588" w:hanging="794"/>
    </w:pPr>
    <w:rPr>
      <w:kern w:val="28"/>
      <w:sz w:val="18"/>
    </w:rPr>
  </w:style>
  <w:style w:type="paragraph" w:customStyle="1" w:styleId="TofSectsSubdiv">
    <w:name w:val="TofSects(Subdiv)"/>
    <w:basedOn w:val="OPCParaBase"/>
    <w:rsid w:val="00E504D2"/>
    <w:pPr>
      <w:keepLines/>
      <w:spacing w:before="80" w:line="240" w:lineRule="auto"/>
      <w:ind w:left="1588" w:hanging="794"/>
    </w:pPr>
    <w:rPr>
      <w:kern w:val="28"/>
    </w:rPr>
  </w:style>
  <w:style w:type="paragraph" w:customStyle="1" w:styleId="WRStyle">
    <w:name w:val="WR Style"/>
    <w:aliases w:val="WR"/>
    <w:basedOn w:val="OPCParaBase"/>
    <w:rsid w:val="00E504D2"/>
    <w:pPr>
      <w:spacing w:before="240" w:line="240" w:lineRule="auto"/>
      <w:ind w:left="284" w:hanging="284"/>
    </w:pPr>
    <w:rPr>
      <w:b/>
      <w:i/>
      <w:kern w:val="28"/>
      <w:sz w:val="24"/>
    </w:rPr>
  </w:style>
  <w:style w:type="paragraph" w:customStyle="1" w:styleId="notepara">
    <w:name w:val="note(para)"/>
    <w:aliases w:val="na"/>
    <w:basedOn w:val="OPCParaBase"/>
    <w:rsid w:val="00E504D2"/>
    <w:pPr>
      <w:spacing w:before="40" w:line="198" w:lineRule="exact"/>
      <w:ind w:left="2354" w:hanging="369"/>
    </w:pPr>
    <w:rPr>
      <w:sz w:val="18"/>
    </w:rPr>
  </w:style>
  <w:style w:type="paragraph" w:styleId="Footer">
    <w:name w:val="footer"/>
    <w:link w:val="FooterChar"/>
    <w:rsid w:val="00E504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504D2"/>
    <w:rPr>
      <w:rFonts w:eastAsia="Times New Roman" w:cs="Times New Roman"/>
      <w:sz w:val="22"/>
      <w:szCs w:val="24"/>
      <w:lang w:eastAsia="en-AU"/>
    </w:rPr>
  </w:style>
  <w:style w:type="character" w:styleId="LineNumber">
    <w:name w:val="line number"/>
    <w:basedOn w:val="OPCCharBase"/>
    <w:uiPriority w:val="99"/>
    <w:semiHidden/>
    <w:unhideWhenUsed/>
    <w:rsid w:val="00E504D2"/>
    <w:rPr>
      <w:sz w:val="16"/>
    </w:rPr>
  </w:style>
  <w:style w:type="table" w:customStyle="1" w:styleId="CFlag">
    <w:name w:val="CFlag"/>
    <w:basedOn w:val="TableNormal"/>
    <w:uiPriority w:val="99"/>
    <w:rsid w:val="00E504D2"/>
    <w:rPr>
      <w:rFonts w:eastAsia="Times New Roman" w:cs="Times New Roman"/>
      <w:lang w:eastAsia="en-AU"/>
    </w:rPr>
    <w:tblPr/>
  </w:style>
  <w:style w:type="paragraph" w:styleId="BalloonText">
    <w:name w:val="Balloon Text"/>
    <w:basedOn w:val="Normal"/>
    <w:link w:val="BalloonTextChar"/>
    <w:uiPriority w:val="99"/>
    <w:semiHidden/>
    <w:unhideWhenUsed/>
    <w:rsid w:val="00E504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4D2"/>
    <w:rPr>
      <w:rFonts w:ascii="Tahoma" w:hAnsi="Tahoma" w:cs="Tahoma"/>
      <w:sz w:val="16"/>
      <w:szCs w:val="16"/>
    </w:rPr>
  </w:style>
  <w:style w:type="table" w:styleId="TableGrid">
    <w:name w:val="Table Grid"/>
    <w:basedOn w:val="TableNormal"/>
    <w:uiPriority w:val="59"/>
    <w:rsid w:val="00E5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504D2"/>
    <w:rPr>
      <w:b/>
      <w:sz w:val="28"/>
      <w:szCs w:val="32"/>
    </w:rPr>
  </w:style>
  <w:style w:type="paragraph" w:customStyle="1" w:styleId="LegislationMadeUnder">
    <w:name w:val="LegislationMadeUnder"/>
    <w:basedOn w:val="OPCParaBase"/>
    <w:next w:val="Normal"/>
    <w:rsid w:val="00E504D2"/>
    <w:rPr>
      <w:i/>
      <w:sz w:val="32"/>
      <w:szCs w:val="32"/>
    </w:rPr>
  </w:style>
  <w:style w:type="paragraph" w:customStyle="1" w:styleId="SignCoverPageEnd">
    <w:name w:val="SignCoverPageEnd"/>
    <w:basedOn w:val="OPCParaBase"/>
    <w:next w:val="Normal"/>
    <w:rsid w:val="00E504D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504D2"/>
    <w:pPr>
      <w:pBdr>
        <w:top w:val="single" w:sz="4" w:space="1" w:color="auto"/>
      </w:pBdr>
      <w:spacing w:before="360"/>
      <w:ind w:right="397"/>
      <w:jc w:val="both"/>
    </w:pPr>
  </w:style>
  <w:style w:type="paragraph" w:customStyle="1" w:styleId="NotesHeading1">
    <w:name w:val="NotesHeading 1"/>
    <w:basedOn w:val="OPCParaBase"/>
    <w:next w:val="Normal"/>
    <w:rsid w:val="00E504D2"/>
    <w:pPr>
      <w:outlineLvl w:val="0"/>
    </w:pPr>
    <w:rPr>
      <w:b/>
      <w:sz w:val="28"/>
      <w:szCs w:val="28"/>
    </w:rPr>
  </w:style>
  <w:style w:type="paragraph" w:customStyle="1" w:styleId="NotesHeading2">
    <w:name w:val="NotesHeading 2"/>
    <w:basedOn w:val="OPCParaBase"/>
    <w:next w:val="Normal"/>
    <w:rsid w:val="00E504D2"/>
    <w:rPr>
      <w:b/>
      <w:sz w:val="28"/>
      <w:szCs w:val="28"/>
    </w:rPr>
  </w:style>
  <w:style w:type="paragraph" w:customStyle="1" w:styleId="CompiledActNo">
    <w:name w:val="CompiledActNo"/>
    <w:basedOn w:val="OPCParaBase"/>
    <w:next w:val="Normal"/>
    <w:rsid w:val="00E504D2"/>
    <w:rPr>
      <w:b/>
      <w:sz w:val="24"/>
      <w:szCs w:val="24"/>
    </w:rPr>
  </w:style>
  <w:style w:type="paragraph" w:customStyle="1" w:styleId="ENotesText">
    <w:name w:val="ENotesText"/>
    <w:aliases w:val="Ent"/>
    <w:basedOn w:val="OPCParaBase"/>
    <w:next w:val="Normal"/>
    <w:rsid w:val="00E504D2"/>
    <w:pPr>
      <w:spacing w:before="120"/>
    </w:pPr>
  </w:style>
  <w:style w:type="paragraph" w:customStyle="1" w:styleId="CompiledMadeUnder">
    <w:name w:val="CompiledMadeUnder"/>
    <w:basedOn w:val="OPCParaBase"/>
    <w:next w:val="Normal"/>
    <w:rsid w:val="00E504D2"/>
    <w:rPr>
      <w:i/>
      <w:sz w:val="24"/>
      <w:szCs w:val="24"/>
    </w:rPr>
  </w:style>
  <w:style w:type="paragraph" w:customStyle="1" w:styleId="Paragraphsub-sub-sub">
    <w:name w:val="Paragraph(sub-sub-sub)"/>
    <w:aliases w:val="aaaa"/>
    <w:basedOn w:val="OPCParaBase"/>
    <w:rsid w:val="00E504D2"/>
    <w:pPr>
      <w:tabs>
        <w:tab w:val="right" w:pos="3402"/>
      </w:tabs>
      <w:spacing w:before="40" w:line="240" w:lineRule="auto"/>
      <w:ind w:left="3402" w:hanging="3402"/>
    </w:pPr>
  </w:style>
  <w:style w:type="paragraph" w:customStyle="1" w:styleId="TableTextEndNotes">
    <w:name w:val="TableTextEndNotes"/>
    <w:aliases w:val="Tten"/>
    <w:basedOn w:val="Normal"/>
    <w:rsid w:val="00E504D2"/>
    <w:pPr>
      <w:spacing w:before="60" w:line="240" w:lineRule="auto"/>
    </w:pPr>
    <w:rPr>
      <w:rFonts w:cs="Arial"/>
      <w:sz w:val="20"/>
      <w:szCs w:val="22"/>
    </w:rPr>
  </w:style>
  <w:style w:type="paragraph" w:customStyle="1" w:styleId="NoteToSubpara">
    <w:name w:val="NoteToSubpara"/>
    <w:aliases w:val="nts"/>
    <w:basedOn w:val="OPCParaBase"/>
    <w:rsid w:val="00E504D2"/>
    <w:pPr>
      <w:spacing w:before="40" w:line="198" w:lineRule="exact"/>
      <w:ind w:left="2835" w:hanging="709"/>
    </w:pPr>
    <w:rPr>
      <w:sz w:val="18"/>
    </w:rPr>
  </w:style>
  <w:style w:type="paragraph" w:customStyle="1" w:styleId="ENoteTableHeading">
    <w:name w:val="ENoteTableHeading"/>
    <w:aliases w:val="enth"/>
    <w:basedOn w:val="OPCParaBase"/>
    <w:rsid w:val="00E504D2"/>
    <w:pPr>
      <w:keepNext/>
      <w:spacing w:before="60" w:line="240" w:lineRule="atLeast"/>
    </w:pPr>
    <w:rPr>
      <w:rFonts w:ascii="Arial" w:hAnsi="Arial"/>
      <w:b/>
      <w:sz w:val="16"/>
    </w:rPr>
  </w:style>
  <w:style w:type="paragraph" w:customStyle="1" w:styleId="ENoteTTi">
    <w:name w:val="ENoteTTi"/>
    <w:aliases w:val="entti"/>
    <w:basedOn w:val="OPCParaBase"/>
    <w:rsid w:val="00E504D2"/>
    <w:pPr>
      <w:keepNext/>
      <w:spacing w:before="60" w:line="240" w:lineRule="atLeast"/>
      <w:ind w:left="170"/>
    </w:pPr>
    <w:rPr>
      <w:sz w:val="16"/>
    </w:rPr>
  </w:style>
  <w:style w:type="paragraph" w:customStyle="1" w:styleId="ENotesHeading1">
    <w:name w:val="ENotesHeading 1"/>
    <w:aliases w:val="Enh1"/>
    <w:basedOn w:val="OPCParaBase"/>
    <w:next w:val="Normal"/>
    <w:rsid w:val="00E504D2"/>
    <w:pPr>
      <w:spacing w:before="120"/>
      <w:outlineLvl w:val="1"/>
    </w:pPr>
    <w:rPr>
      <w:b/>
      <w:sz w:val="28"/>
      <w:szCs w:val="28"/>
    </w:rPr>
  </w:style>
  <w:style w:type="paragraph" w:customStyle="1" w:styleId="ENotesHeading2">
    <w:name w:val="ENotesHeading 2"/>
    <w:aliases w:val="Enh2"/>
    <w:basedOn w:val="OPCParaBase"/>
    <w:next w:val="Normal"/>
    <w:rsid w:val="00E504D2"/>
    <w:pPr>
      <w:spacing w:before="120" w:after="120"/>
      <w:outlineLvl w:val="2"/>
    </w:pPr>
    <w:rPr>
      <w:b/>
      <w:sz w:val="24"/>
      <w:szCs w:val="28"/>
    </w:rPr>
  </w:style>
  <w:style w:type="paragraph" w:customStyle="1" w:styleId="ENoteTTIndentHeading">
    <w:name w:val="ENoteTTIndentHeading"/>
    <w:aliases w:val="enTTHi"/>
    <w:basedOn w:val="OPCParaBase"/>
    <w:rsid w:val="00E504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504D2"/>
    <w:pPr>
      <w:spacing w:before="60" w:line="240" w:lineRule="atLeast"/>
    </w:pPr>
    <w:rPr>
      <w:sz w:val="16"/>
    </w:rPr>
  </w:style>
  <w:style w:type="paragraph" w:customStyle="1" w:styleId="MadeunderText">
    <w:name w:val="MadeunderText"/>
    <w:basedOn w:val="OPCParaBase"/>
    <w:next w:val="CompiledMadeUnder"/>
    <w:rsid w:val="00E504D2"/>
    <w:pPr>
      <w:spacing w:before="240"/>
    </w:pPr>
    <w:rPr>
      <w:sz w:val="24"/>
      <w:szCs w:val="24"/>
    </w:rPr>
  </w:style>
  <w:style w:type="paragraph" w:customStyle="1" w:styleId="ENotesHeading3">
    <w:name w:val="ENotesHeading 3"/>
    <w:aliases w:val="Enh3"/>
    <w:basedOn w:val="OPCParaBase"/>
    <w:next w:val="Normal"/>
    <w:rsid w:val="00E504D2"/>
    <w:pPr>
      <w:keepNext/>
      <w:spacing w:before="120" w:line="240" w:lineRule="auto"/>
      <w:outlineLvl w:val="4"/>
    </w:pPr>
    <w:rPr>
      <w:b/>
      <w:szCs w:val="24"/>
    </w:rPr>
  </w:style>
  <w:style w:type="character" w:customStyle="1" w:styleId="CharSubPartTextCASA">
    <w:name w:val="CharSubPartText(CASA)"/>
    <w:basedOn w:val="OPCCharBase"/>
    <w:uiPriority w:val="1"/>
    <w:rsid w:val="00E504D2"/>
  </w:style>
  <w:style w:type="character" w:customStyle="1" w:styleId="CharSubPartNoCASA">
    <w:name w:val="CharSubPartNo(CASA)"/>
    <w:basedOn w:val="OPCCharBase"/>
    <w:uiPriority w:val="1"/>
    <w:rsid w:val="00E504D2"/>
  </w:style>
  <w:style w:type="paragraph" w:customStyle="1" w:styleId="ENoteTTIndentHeadingSub">
    <w:name w:val="ENoteTTIndentHeadingSub"/>
    <w:aliases w:val="enTTHis"/>
    <w:basedOn w:val="OPCParaBase"/>
    <w:rsid w:val="00E504D2"/>
    <w:pPr>
      <w:keepNext/>
      <w:spacing w:before="60" w:line="240" w:lineRule="atLeast"/>
      <w:ind w:left="340"/>
    </w:pPr>
    <w:rPr>
      <w:b/>
      <w:sz w:val="16"/>
    </w:rPr>
  </w:style>
  <w:style w:type="paragraph" w:customStyle="1" w:styleId="ENoteTTiSub">
    <w:name w:val="ENoteTTiSub"/>
    <w:aliases w:val="enttis"/>
    <w:basedOn w:val="OPCParaBase"/>
    <w:rsid w:val="00E504D2"/>
    <w:pPr>
      <w:keepNext/>
      <w:spacing w:before="60" w:line="240" w:lineRule="atLeast"/>
      <w:ind w:left="340"/>
    </w:pPr>
    <w:rPr>
      <w:sz w:val="16"/>
    </w:rPr>
  </w:style>
  <w:style w:type="paragraph" w:customStyle="1" w:styleId="SubDivisionMigration">
    <w:name w:val="SubDivisionMigration"/>
    <w:aliases w:val="sdm"/>
    <w:basedOn w:val="OPCParaBase"/>
    <w:rsid w:val="00E504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04D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504D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504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504D2"/>
    <w:rPr>
      <w:sz w:val="22"/>
    </w:rPr>
  </w:style>
  <w:style w:type="paragraph" w:customStyle="1" w:styleId="SOTextNote">
    <w:name w:val="SO TextNote"/>
    <w:aliases w:val="sont"/>
    <w:basedOn w:val="SOText"/>
    <w:qFormat/>
    <w:rsid w:val="00E504D2"/>
    <w:pPr>
      <w:spacing w:before="122" w:line="198" w:lineRule="exact"/>
      <w:ind w:left="1843" w:hanging="709"/>
    </w:pPr>
    <w:rPr>
      <w:sz w:val="18"/>
    </w:rPr>
  </w:style>
  <w:style w:type="paragraph" w:customStyle="1" w:styleId="SOPara">
    <w:name w:val="SO Para"/>
    <w:aliases w:val="soa"/>
    <w:basedOn w:val="SOText"/>
    <w:link w:val="SOParaChar"/>
    <w:qFormat/>
    <w:rsid w:val="00E504D2"/>
    <w:pPr>
      <w:tabs>
        <w:tab w:val="right" w:pos="1786"/>
      </w:tabs>
      <w:spacing w:before="40"/>
      <w:ind w:left="2070" w:hanging="936"/>
    </w:pPr>
  </w:style>
  <w:style w:type="character" w:customStyle="1" w:styleId="SOParaChar">
    <w:name w:val="SO Para Char"/>
    <w:aliases w:val="soa Char"/>
    <w:basedOn w:val="DefaultParagraphFont"/>
    <w:link w:val="SOPara"/>
    <w:rsid w:val="00E504D2"/>
    <w:rPr>
      <w:sz w:val="22"/>
    </w:rPr>
  </w:style>
  <w:style w:type="paragraph" w:customStyle="1" w:styleId="FileName">
    <w:name w:val="FileName"/>
    <w:basedOn w:val="Normal"/>
    <w:rsid w:val="00E504D2"/>
  </w:style>
  <w:style w:type="paragraph" w:customStyle="1" w:styleId="TableHeading">
    <w:name w:val="TableHeading"/>
    <w:aliases w:val="th"/>
    <w:basedOn w:val="OPCParaBase"/>
    <w:next w:val="Tabletext"/>
    <w:rsid w:val="00E504D2"/>
    <w:pPr>
      <w:keepNext/>
      <w:spacing w:before="60" w:line="240" w:lineRule="atLeast"/>
    </w:pPr>
    <w:rPr>
      <w:b/>
      <w:sz w:val="20"/>
    </w:rPr>
  </w:style>
  <w:style w:type="paragraph" w:customStyle="1" w:styleId="SOHeadBold">
    <w:name w:val="SO HeadBold"/>
    <w:aliases w:val="sohb"/>
    <w:basedOn w:val="SOText"/>
    <w:next w:val="SOText"/>
    <w:link w:val="SOHeadBoldChar"/>
    <w:qFormat/>
    <w:rsid w:val="00E504D2"/>
    <w:rPr>
      <w:b/>
    </w:rPr>
  </w:style>
  <w:style w:type="character" w:customStyle="1" w:styleId="SOHeadBoldChar">
    <w:name w:val="SO HeadBold Char"/>
    <w:aliases w:val="sohb Char"/>
    <w:basedOn w:val="DefaultParagraphFont"/>
    <w:link w:val="SOHeadBold"/>
    <w:rsid w:val="00E504D2"/>
    <w:rPr>
      <w:b/>
      <w:sz w:val="22"/>
    </w:rPr>
  </w:style>
  <w:style w:type="paragraph" w:customStyle="1" w:styleId="SOHeadItalic">
    <w:name w:val="SO HeadItalic"/>
    <w:aliases w:val="sohi"/>
    <w:basedOn w:val="SOText"/>
    <w:next w:val="SOText"/>
    <w:link w:val="SOHeadItalicChar"/>
    <w:qFormat/>
    <w:rsid w:val="00E504D2"/>
    <w:rPr>
      <w:i/>
    </w:rPr>
  </w:style>
  <w:style w:type="character" w:customStyle="1" w:styleId="SOHeadItalicChar">
    <w:name w:val="SO HeadItalic Char"/>
    <w:aliases w:val="sohi Char"/>
    <w:basedOn w:val="DefaultParagraphFont"/>
    <w:link w:val="SOHeadItalic"/>
    <w:rsid w:val="00E504D2"/>
    <w:rPr>
      <w:i/>
      <w:sz w:val="22"/>
    </w:rPr>
  </w:style>
  <w:style w:type="paragraph" w:customStyle="1" w:styleId="SOBullet">
    <w:name w:val="SO Bullet"/>
    <w:aliases w:val="sotb"/>
    <w:basedOn w:val="SOText"/>
    <w:link w:val="SOBulletChar"/>
    <w:qFormat/>
    <w:rsid w:val="00E504D2"/>
    <w:pPr>
      <w:ind w:left="1559" w:hanging="425"/>
    </w:pPr>
  </w:style>
  <w:style w:type="character" w:customStyle="1" w:styleId="SOBulletChar">
    <w:name w:val="SO Bullet Char"/>
    <w:aliases w:val="sotb Char"/>
    <w:basedOn w:val="DefaultParagraphFont"/>
    <w:link w:val="SOBullet"/>
    <w:rsid w:val="00E504D2"/>
    <w:rPr>
      <w:sz w:val="22"/>
    </w:rPr>
  </w:style>
  <w:style w:type="paragraph" w:customStyle="1" w:styleId="SOBulletNote">
    <w:name w:val="SO BulletNote"/>
    <w:aliases w:val="sonb"/>
    <w:basedOn w:val="SOTextNote"/>
    <w:link w:val="SOBulletNoteChar"/>
    <w:qFormat/>
    <w:rsid w:val="00E504D2"/>
    <w:pPr>
      <w:tabs>
        <w:tab w:val="left" w:pos="1560"/>
      </w:tabs>
      <w:ind w:left="2268" w:hanging="1134"/>
    </w:pPr>
  </w:style>
  <w:style w:type="character" w:customStyle="1" w:styleId="SOBulletNoteChar">
    <w:name w:val="SO BulletNote Char"/>
    <w:aliases w:val="sonb Char"/>
    <w:basedOn w:val="DefaultParagraphFont"/>
    <w:link w:val="SOBulletNote"/>
    <w:rsid w:val="00E504D2"/>
    <w:rPr>
      <w:sz w:val="18"/>
    </w:rPr>
  </w:style>
  <w:style w:type="paragraph" w:customStyle="1" w:styleId="SOText2">
    <w:name w:val="SO Text2"/>
    <w:aliases w:val="sot2"/>
    <w:basedOn w:val="Normal"/>
    <w:next w:val="SOText"/>
    <w:link w:val="SOText2Char"/>
    <w:rsid w:val="00E504D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504D2"/>
    <w:rPr>
      <w:sz w:val="22"/>
    </w:rPr>
  </w:style>
  <w:style w:type="paragraph" w:customStyle="1" w:styleId="SubPartCASA">
    <w:name w:val="SubPart(CASA)"/>
    <w:aliases w:val="csp"/>
    <w:basedOn w:val="OPCParaBase"/>
    <w:next w:val="ActHead3"/>
    <w:rsid w:val="00E504D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03FBA"/>
    <w:rPr>
      <w:rFonts w:eastAsia="Times New Roman" w:cs="Times New Roman"/>
      <w:sz w:val="22"/>
      <w:lang w:eastAsia="en-AU"/>
    </w:rPr>
  </w:style>
  <w:style w:type="character" w:customStyle="1" w:styleId="notetextChar">
    <w:name w:val="note(text) Char"/>
    <w:aliases w:val="n Char"/>
    <w:basedOn w:val="DefaultParagraphFont"/>
    <w:link w:val="notetext"/>
    <w:rsid w:val="00103FBA"/>
    <w:rPr>
      <w:rFonts w:eastAsia="Times New Roman" w:cs="Times New Roman"/>
      <w:sz w:val="18"/>
      <w:lang w:eastAsia="en-AU"/>
    </w:rPr>
  </w:style>
  <w:style w:type="character" w:customStyle="1" w:styleId="Heading1Char">
    <w:name w:val="Heading 1 Char"/>
    <w:basedOn w:val="DefaultParagraphFont"/>
    <w:link w:val="Heading1"/>
    <w:rsid w:val="00103F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03F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03F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03F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03F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103F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03F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03F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03FBA"/>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2527B9"/>
    <w:rPr>
      <w:rFonts w:eastAsia="Times New Roman" w:cs="Times New Roman"/>
      <w:b/>
      <w:kern w:val="28"/>
      <w:sz w:val="24"/>
      <w:lang w:eastAsia="en-AU"/>
    </w:rPr>
  </w:style>
  <w:style w:type="paragraph" w:styleId="ListParagraph">
    <w:name w:val="List Paragraph"/>
    <w:basedOn w:val="Normal"/>
    <w:uiPriority w:val="34"/>
    <w:qFormat/>
    <w:rsid w:val="002527B9"/>
    <w:pPr>
      <w:spacing w:line="240" w:lineRule="auto"/>
      <w:ind w:left="720"/>
    </w:pPr>
    <w:rPr>
      <w:rFonts w:asciiTheme="minorHAnsi" w:hAnsiTheme="minorHAnsi"/>
      <w:szCs w:val="22"/>
    </w:rPr>
  </w:style>
  <w:style w:type="numbering" w:customStyle="1" w:styleId="OPCBodyList">
    <w:name w:val="OPCBodyList"/>
    <w:uiPriority w:val="99"/>
    <w:rsid w:val="002527B9"/>
    <w:pPr>
      <w:numPr>
        <w:numId w:val="17"/>
      </w:numPr>
    </w:pPr>
  </w:style>
  <w:style w:type="character" w:styleId="Emphasis">
    <w:name w:val="Emphasis"/>
    <w:basedOn w:val="DefaultParagraphFont"/>
    <w:uiPriority w:val="20"/>
    <w:qFormat/>
    <w:rsid w:val="0025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wmf"/><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oleObject" Target="embeddings/oleObject1.bin"/><Relationship Id="rId30" Type="http://schemas.openxmlformats.org/officeDocument/2006/relationships/footer" Target="footer9.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3D2CD-B4CD-48FA-BF58-39A46F6B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17</Pages>
  <Words>3836</Words>
  <Characters>18069</Characters>
  <Application>Microsoft Office Word</Application>
  <DocSecurity>0</DocSecurity>
  <PresentationFormat/>
  <Lines>694</Lines>
  <Paragraphs>534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2016-06-30T04:08:00Z</dcterms:created>
  <dcterms:modified xsi:type="dcterms:W3CDTF">2016-06-30T04:08:00Z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Christmas Island Utilities and Services (Water, Sewerage and Building Application Services Fees)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OPC62077</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Christmas Island Utilities and Services Ordinance 2016</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30 June 2016</vt:lpwstr>
  </property>
</Properties>
</file>