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5D1" w:rsidRPr="00E202BD" w:rsidRDefault="00FE4537" w:rsidP="00674B00">
      <w:r>
        <w:rPr>
          <w:noProof/>
        </w:rPr>
        <w:drawing>
          <wp:inline distT="0" distB="0" distL="0" distR="0">
            <wp:extent cx="14160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19D" w:rsidRPr="00E202BD" w:rsidRDefault="00D4419D">
      <w:pPr>
        <w:pStyle w:val="Title"/>
        <w:pBdr>
          <w:bottom w:val="single" w:sz="4" w:space="3" w:color="auto"/>
        </w:pBdr>
      </w:pPr>
      <w:bookmarkStart w:id="0" w:name="Citation"/>
      <w:r w:rsidRPr="00E202BD">
        <w:t>Building Energy Efficiency Disclosure (Disclosure Affected Bui</w:t>
      </w:r>
      <w:r w:rsidR="00252D4E" w:rsidRPr="00E202BD">
        <w:t>ld</w:t>
      </w:r>
      <w:r w:rsidRPr="00E202BD">
        <w:t>ings) Determination</w:t>
      </w:r>
      <w:r w:rsidR="00E82B97">
        <w:t xml:space="preserve"> 201</w:t>
      </w:r>
      <w:r w:rsidR="00AA243A">
        <w:t>6</w:t>
      </w:r>
      <w:bookmarkEnd w:id="0"/>
    </w:p>
    <w:p w:rsidR="00D4419D" w:rsidRPr="006B2580" w:rsidRDefault="00D4419D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E202BD">
        <w:rPr>
          <w:rFonts w:ascii="Arial" w:hAnsi="Arial" w:cs="Arial"/>
          <w:i/>
          <w:sz w:val="28"/>
          <w:szCs w:val="28"/>
          <w:lang w:val="en-US"/>
        </w:rPr>
        <w:t xml:space="preserve">Building Energy Efficiency </w:t>
      </w:r>
      <w:r w:rsidRPr="006B2580">
        <w:rPr>
          <w:rFonts w:ascii="Arial" w:hAnsi="Arial" w:cs="Arial"/>
          <w:i/>
          <w:sz w:val="28"/>
          <w:szCs w:val="28"/>
          <w:lang w:val="en-US"/>
        </w:rPr>
        <w:t>Discl</w:t>
      </w:r>
      <w:r w:rsidR="006C4D65" w:rsidRPr="006B2580">
        <w:rPr>
          <w:rFonts w:ascii="Arial" w:hAnsi="Arial" w:cs="Arial"/>
          <w:i/>
          <w:sz w:val="28"/>
          <w:szCs w:val="28"/>
          <w:lang w:val="en-US"/>
        </w:rPr>
        <w:t>o</w:t>
      </w:r>
      <w:r w:rsidRPr="006B2580">
        <w:rPr>
          <w:rFonts w:ascii="Arial" w:hAnsi="Arial" w:cs="Arial"/>
          <w:i/>
          <w:sz w:val="28"/>
          <w:szCs w:val="28"/>
          <w:lang w:val="en-US"/>
        </w:rPr>
        <w:t>sure Act 2010</w:t>
      </w:r>
    </w:p>
    <w:p w:rsidR="00614E60" w:rsidRDefault="00614E60">
      <w:pPr>
        <w:spacing w:before="360"/>
        <w:jc w:val="both"/>
      </w:pPr>
    </w:p>
    <w:p w:rsidR="00D4419D" w:rsidRPr="006B2580" w:rsidRDefault="00D4419D">
      <w:pPr>
        <w:spacing w:before="360"/>
        <w:jc w:val="both"/>
      </w:pPr>
      <w:r w:rsidRPr="006B2580">
        <w:t xml:space="preserve">I, </w:t>
      </w:r>
      <w:r w:rsidR="00021FA6">
        <w:t>Josh Frydenberg</w:t>
      </w:r>
      <w:r w:rsidR="005D6112" w:rsidRPr="006B2580">
        <w:t xml:space="preserve">, Minister </w:t>
      </w:r>
      <w:r w:rsidR="00021FA6" w:rsidRPr="006B2580">
        <w:t>for</w:t>
      </w:r>
      <w:r w:rsidR="00021FA6">
        <w:t xml:space="preserve"> Resources, Energy and Northern Australia</w:t>
      </w:r>
      <w:r w:rsidR="009B5E64" w:rsidRPr="006B2580">
        <w:t>,</w:t>
      </w:r>
      <w:r w:rsidRPr="006B2580">
        <w:t xml:space="preserve"> make this Determination under section 10 of the </w:t>
      </w:r>
      <w:r w:rsidRPr="006B2580">
        <w:rPr>
          <w:i/>
        </w:rPr>
        <w:t>Building Energy Efficiency Discl</w:t>
      </w:r>
      <w:r w:rsidR="00A531AB" w:rsidRPr="006B2580">
        <w:rPr>
          <w:i/>
        </w:rPr>
        <w:t>o</w:t>
      </w:r>
      <w:r w:rsidRPr="006B2580">
        <w:rPr>
          <w:i/>
        </w:rPr>
        <w:t>sure Act 2010</w:t>
      </w:r>
      <w:r w:rsidRPr="006B2580">
        <w:t>.</w:t>
      </w:r>
    </w:p>
    <w:p w:rsidR="00614E60" w:rsidRDefault="00614E60" w:rsidP="00D4419D">
      <w:pPr>
        <w:tabs>
          <w:tab w:val="left" w:pos="3119"/>
        </w:tabs>
        <w:spacing w:before="300" w:after="600" w:line="300" w:lineRule="atLeast"/>
      </w:pPr>
    </w:p>
    <w:p w:rsidR="00614E60" w:rsidRDefault="00614E60" w:rsidP="00D4419D">
      <w:pPr>
        <w:tabs>
          <w:tab w:val="left" w:pos="3119"/>
        </w:tabs>
        <w:spacing w:before="300" w:after="600" w:line="300" w:lineRule="atLeast"/>
      </w:pPr>
    </w:p>
    <w:p w:rsidR="00614E60" w:rsidRDefault="00614E60" w:rsidP="00D4419D">
      <w:pPr>
        <w:tabs>
          <w:tab w:val="left" w:pos="3119"/>
        </w:tabs>
        <w:spacing w:before="300" w:after="600" w:line="300" w:lineRule="atLeast"/>
      </w:pPr>
    </w:p>
    <w:p w:rsidR="00D4419D" w:rsidRPr="00E202BD" w:rsidRDefault="005A3808" w:rsidP="00D4419D">
      <w:pPr>
        <w:tabs>
          <w:tab w:val="left" w:pos="3119"/>
        </w:tabs>
        <w:spacing w:before="300" w:after="600" w:line="300" w:lineRule="atLeast"/>
      </w:pPr>
      <w:r w:rsidRPr="00E202BD">
        <w:t>Dated</w:t>
      </w:r>
      <w:r w:rsidR="00E274A7">
        <w:t>:</w:t>
      </w:r>
      <w:r w:rsidRPr="00E202BD">
        <w:t xml:space="preserve"> </w:t>
      </w:r>
      <w:r w:rsidR="00614E60">
        <w:t xml:space="preserve"> </w:t>
      </w:r>
      <w:r w:rsidR="00E274A7">
        <w:t>6 May 2016</w:t>
      </w:r>
    </w:p>
    <w:p w:rsidR="00614E60" w:rsidRDefault="00614E60">
      <w:pPr>
        <w:tabs>
          <w:tab w:val="left" w:pos="3119"/>
        </w:tabs>
        <w:spacing w:before="600" w:line="300" w:lineRule="atLeast"/>
        <w:jc w:val="right"/>
      </w:pPr>
    </w:p>
    <w:p w:rsidR="00614E60" w:rsidRDefault="00E274A7" w:rsidP="00E274A7">
      <w:pPr>
        <w:tabs>
          <w:tab w:val="left" w:pos="3119"/>
        </w:tabs>
        <w:spacing w:before="600" w:line="300" w:lineRule="atLeast"/>
      </w:pPr>
      <w:r>
        <w:t>JOSH FRYDENBERG</w:t>
      </w:r>
      <w:bookmarkStart w:id="1" w:name="_GoBack"/>
      <w:bookmarkEnd w:id="1"/>
    </w:p>
    <w:p w:rsidR="00614E60" w:rsidRPr="00E202BD" w:rsidRDefault="00614E60" w:rsidP="00E274A7">
      <w:pPr>
        <w:tabs>
          <w:tab w:val="left" w:pos="3119"/>
        </w:tabs>
        <w:spacing w:line="300" w:lineRule="atLeast"/>
      </w:pPr>
      <w:r>
        <w:t>_________________________</w:t>
      </w:r>
    </w:p>
    <w:p w:rsidR="00D4419D" w:rsidRPr="009334F3" w:rsidRDefault="00AA243A" w:rsidP="0017144C">
      <w:pPr>
        <w:tabs>
          <w:tab w:val="left" w:pos="3969"/>
        </w:tabs>
        <w:spacing w:line="300" w:lineRule="atLeast"/>
      </w:pPr>
      <w:r>
        <w:t>JOSH FRYDENBERG</w:t>
      </w:r>
    </w:p>
    <w:p w:rsidR="00D4419D" w:rsidRPr="00E202BD" w:rsidRDefault="00D4419D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  <w:r w:rsidRPr="009334F3">
        <w:t>Minister for</w:t>
      </w:r>
      <w:r w:rsidR="00AA243A">
        <w:t xml:space="preserve"> Resources, Energy and Northern Australia</w:t>
      </w:r>
      <w:r w:rsidRPr="009334F3">
        <w:t xml:space="preserve"> </w:t>
      </w:r>
      <w:bookmarkEnd w:id="2"/>
    </w:p>
    <w:p w:rsidR="00D4419D" w:rsidRPr="00E202BD" w:rsidRDefault="00D4419D">
      <w:pPr>
        <w:pStyle w:val="SigningPageBreak"/>
        <w:sectPr w:rsidR="00D4419D" w:rsidRPr="00E202BD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D4419D" w:rsidRPr="00E202BD" w:rsidRDefault="008268B9" w:rsidP="007F0B78">
      <w:pPr>
        <w:pStyle w:val="HR"/>
      </w:pPr>
      <w:r>
        <w:rPr>
          <w:rStyle w:val="CharSectno"/>
        </w:rPr>
        <w:br w:type="page"/>
      </w:r>
      <w:r w:rsidR="00D4419D" w:rsidRPr="00E202BD">
        <w:rPr>
          <w:rStyle w:val="CharSectno"/>
        </w:rPr>
        <w:lastRenderedPageBreak/>
        <w:t>1</w:t>
      </w:r>
      <w:r w:rsidR="00D4419D" w:rsidRPr="00E202BD">
        <w:tab/>
        <w:t>Name of Determination</w:t>
      </w:r>
    </w:p>
    <w:p w:rsidR="00D4419D" w:rsidRPr="00E202BD" w:rsidRDefault="00D4419D" w:rsidP="007F0B78">
      <w:pPr>
        <w:pStyle w:val="R1"/>
        <w:tabs>
          <w:tab w:val="clear" w:pos="794"/>
        </w:tabs>
        <w:ind w:left="993" w:firstLine="0"/>
        <w:jc w:val="left"/>
      </w:pPr>
      <w:r w:rsidRPr="00E202BD">
        <w:t xml:space="preserve">This Determination is the </w:t>
      </w:r>
      <w:r w:rsidR="00B07E44" w:rsidRPr="00C103F3">
        <w:rPr>
          <w:i/>
        </w:rPr>
        <w:fldChar w:fldCharType="begin"/>
      </w:r>
      <w:r w:rsidR="00577EBB" w:rsidRPr="00C103F3">
        <w:rPr>
          <w:i/>
        </w:rPr>
        <w:instrText xml:space="preserve"> REF Citation \*charformat  \* MERGEFORMAT </w:instrText>
      </w:r>
      <w:r w:rsidR="00B07E44" w:rsidRPr="00C103F3">
        <w:rPr>
          <w:i/>
        </w:rPr>
        <w:fldChar w:fldCharType="separate"/>
      </w:r>
      <w:r w:rsidR="009B233F" w:rsidRPr="009B233F">
        <w:rPr>
          <w:i/>
        </w:rPr>
        <w:t>Building Energy Efficiency Disclosure (Disclosure Affected Buildings) Determination 201</w:t>
      </w:r>
      <w:r w:rsidR="00AA243A">
        <w:rPr>
          <w:i/>
        </w:rPr>
        <w:t>6</w:t>
      </w:r>
      <w:r w:rsidR="00B07E44" w:rsidRPr="00C103F3">
        <w:rPr>
          <w:i/>
        </w:rPr>
        <w:fldChar w:fldCharType="end"/>
      </w:r>
      <w:r w:rsidR="00D64B3C">
        <w:rPr>
          <w:i/>
        </w:rPr>
        <w:t>.</w:t>
      </w:r>
    </w:p>
    <w:p w:rsidR="00D4419D" w:rsidRPr="00E202BD" w:rsidRDefault="00D4419D" w:rsidP="007F0B78">
      <w:pPr>
        <w:pStyle w:val="HR"/>
      </w:pPr>
      <w:r w:rsidRPr="00E202BD">
        <w:rPr>
          <w:rStyle w:val="CharSectno"/>
        </w:rPr>
        <w:t>2</w:t>
      </w:r>
      <w:r w:rsidRPr="00E202BD">
        <w:tab/>
        <w:t>Commencement</w:t>
      </w:r>
    </w:p>
    <w:p w:rsidR="00040008" w:rsidRPr="00E202BD" w:rsidRDefault="00D4419D" w:rsidP="007F0B78">
      <w:pPr>
        <w:pStyle w:val="R1"/>
        <w:tabs>
          <w:tab w:val="clear" w:pos="794"/>
        </w:tabs>
        <w:ind w:left="993" w:firstLine="0"/>
        <w:jc w:val="left"/>
      </w:pPr>
      <w:r w:rsidRPr="009334F3">
        <w:t xml:space="preserve">This Determination commences </w:t>
      </w:r>
      <w:r w:rsidR="009A0F6B">
        <w:t>the day after registration.</w:t>
      </w:r>
    </w:p>
    <w:p w:rsidR="009334F3" w:rsidRDefault="009334F3" w:rsidP="007F0B78">
      <w:pPr>
        <w:pStyle w:val="HR"/>
        <w:rPr>
          <w:rStyle w:val="CharSectno"/>
        </w:rPr>
      </w:pPr>
      <w:r>
        <w:rPr>
          <w:rStyle w:val="CharSectno"/>
        </w:rPr>
        <w:t>3</w:t>
      </w:r>
      <w:r>
        <w:rPr>
          <w:rStyle w:val="CharSectno"/>
        </w:rPr>
        <w:tab/>
        <w:t>Repeal</w:t>
      </w:r>
    </w:p>
    <w:p w:rsidR="009334F3" w:rsidRPr="009334F3" w:rsidRDefault="009334F3" w:rsidP="007F0B78">
      <w:pPr>
        <w:pStyle w:val="R1"/>
        <w:tabs>
          <w:tab w:val="clear" w:pos="794"/>
        </w:tabs>
        <w:ind w:left="993" w:firstLine="0"/>
        <w:jc w:val="left"/>
      </w:pPr>
      <w:r>
        <w:t xml:space="preserve">The </w:t>
      </w:r>
      <w:r w:rsidRPr="0017144C">
        <w:rPr>
          <w:i/>
        </w:rPr>
        <w:t>Building Energy Efficiency Disclosure (Disclosure Affected Buildings) Determination 201</w:t>
      </w:r>
      <w:r w:rsidR="00AA243A" w:rsidRPr="0017144C">
        <w:rPr>
          <w:i/>
        </w:rPr>
        <w:t>5</w:t>
      </w:r>
      <w:r w:rsidR="009A0F6B">
        <w:t xml:space="preserve"> (F2015L01074)</w:t>
      </w:r>
      <w:r w:rsidRPr="00D96C88">
        <w:t xml:space="preserve"> </w:t>
      </w:r>
      <w:r>
        <w:t>is repealed.</w:t>
      </w:r>
    </w:p>
    <w:p w:rsidR="00220AA9" w:rsidRPr="00E202BD" w:rsidRDefault="009334F3" w:rsidP="007F0B78">
      <w:pPr>
        <w:pStyle w:val="HR"/>
      </w:pPr>
      <w:r>
        <w:rPr>
          <w:rStyle w:val="CharSectno"/>
        </w:rPr>
        <w:t>4</w:t>
      </w:r>
      <w:r w:rsidR="00D4419D" w:rsidRPr="00E202BD">
        <w:tab/>
      </w:r>
      <w:r w:rsidR="00220AA9" w:rsidRPr="00E202BD">
        <w:t>Definitions</w:t>
      </w:r>
    </w:p>
    <w:p w:rsidR="00627258" w:rsidRPr="00E202BD" w:rsidRDefault="007A71E4" w:rsidP="007F0B78">
      <w:pPr>
        <w:pStyle w:val="R1"/>
        <w:tabs>
          <w:tab w:val="clear" w:pos="794"/>
        </w:tabs>
        <w:spacing w:after="120"/>
        <w:ind w:left="992" w:firstLine="0"/>
        <w:jc w:val="left"/>
      </w:pPr>
      <w:r w:rsidRPr="00E202BD">
        <w:t>In this Determination</w:t>
      </w:r>
      <w:r w:rsidR="00627258" w:rsidRPr="00E202BD">
        <w:t>:</w:t>
      </w:r>
    </w:p>
    <w:p w:rsidR="00220AA9" w:rsidRPr="00E202BD" w:rsidRDefault="00220AA9" w:rsidP="007F0B78">
      <w:pPr>
        <w:pStyle w:val="definition"/>
        <w:spacing w:before="0" w:after="120"/>
        <w:jc w:val="left"/>
      </w:pPr>
      <w:r w:rsidRPr="00E202BD">
        <w:rPr>
          <w:b/>
          <w:i/>
        </w:rPr>
        <w:t>Act</w:t>
      </w:r>
      <w:r w:rsidRPr="00E202BD">
        <w:t xml:space="preserve"> means the </w:t>
      </w:r>
      <w:r w:rsidRPr="00E202BD">
        <w:rPr>
          <w:i/>
        </w:rPr>
        <w:t>Building Energy Efficiency Disclosure Act 2010</w:t>
      </w:r>
      <w:r w:rsidRPr="00E202BD">
        <w:t>.</w:t>
      </w:r>
    </w:p>
    <w:p w:rsidR="005D6112" w:rsidRDefault="00F61D42" w:rsidP="007F0B78">
      <w:pPr>
        <w:pStyle w:val="Zdefinition"/>
        <w:spacing w:before="0" w:after="120"/>
        <w:jc w:val="left"/>
      </w:pPr>
      <w:r>
        <w:rPr>
          <w:b/>
          <w:i/>
        </w:rPr>
        <w:t>A</w:t>
      </w:r>
      <w:r w:rsidR="005D6112" w:rsidRPr="00E259F9">
        <w:rPr>
          <w:b/>
          <w:i/>
        </w:rPr>
        <w:t xml:space="preserve">rea of a </w:t>
      </w:r>
      <w:r>
        <w:rPr>
          <w:b/>
          <w:i/>
        </w:rPr>
        <w:t>B</w:t>
      </w:r>
      <w:r w:rsidR="005D6112" w:rsidRPr="00E259F9">
        <w:rPr>
          <w:b/>
          <w:i/>
        </w:rPr>
        <w:t>uilding</w:t>
      </w:r>
      <w:r w:rsidR="005D6112" w:rsidRPr="00E259F9">
        <w:rPr>
          <w:b/>
        </w:rPr>
        <w:t xml:space="preserve"> </w:t>
      </w:r>
      <w:r w:rsidR="00E259F9" w:rsidRPr="00E259F9">
        <w:t>includes physically separate spaces within the building that share access to the outside of the building, or that are linked internally to a space that pro</w:t>
      </w:r>
      <w:r w:rsidR="00C71388">
        <w:t>vides such external access, that</w:t>
      </w:r>
      <w:r w:rsidR="00E259F9" w:rsidRPr="00E259F9">
        <w:t xml:space="preserve"> </w:t>
      </w:r>
      <w:r w:rsidR="00FD678D">
        <w:t xml:space="preserve">may be </w:t>
      </w:r>
      <w:r w:rsidR="00E259F9" w:rsidRPr="00E259F9">
        <w:t xml:space="preserve">grouped together for the purposes of </w:t>
      </w:r>
      <w:r w:rsidR="00A64ECF">
        <w:t>offering to let or sublet or inviting offers to lease or sublease.</w:t>
      </w:r>
    </w:p>
    <w:p w:rsidR="00837855" w:rsidRDefault="00A64ECF" w:rsidP="007F0B78">
      <w:pPr>
        <w:pStyle w:val="Note"/>
        <w:spacing w:before="0" w:after="120"/>
        <w:jc w:val="left"/>
      </w:pPr>
      <w:r w:rsidRPr="00E202BD">
        <w:rPr>
          <w:i/>
        </w:rPr>
        <w:t>Note</w:t>
      </w:r>
      <w:r w:rsidRPr="00E202BD">
        <w:t>   </w:t>
      </w:r>
      <w:r>
        <w:t>Refer to section 5 of the Act for the meaning of ‘offering to let or sublet or inviting offers to lease or sublease’</w:t>
      </w:r>
      <w:r w:rsidRPr="00E202BD">
        <w:t>.</w:t>
      </w:r>
    </w:p>
    <w:p w:rsidR="00C75BDD" w:rsidRPr="00C75BDD" w:rsidRDefault="00C75BDD" w:rsidP="007F0B78">
      <w:pPr>
        <w:pStyle w:val="Zdefinition"/>
        <w:spacing w:before="0" w:after="120"/>
        <w:jc w:val="left"/>
      </w:pPr>
      <w:r>
        <w:rPr>
          <w:b/>
          <w:i/>
        </w:rPr>
        <w:t>Certificate of Occupancy</w:t>
      </w:r>
      <w:r w:rsidR="0095284C">
        <w:t xml:space="preserve"> is a document, however described,</w:t>
      </w:r>
      <w:r>
        <w:t xml:space="preserve"> issued by a local authority under a State or Territory law indicating that a building is safe for occupancy.</w:t>
      </w:r>
    </w:p>
    <w:p w:rsidR="00DC2E39" w:rsidRPr="00E202BD" w:rsidRDefault="00F61D42" w:rsidP="007F0B78">
      <w:pPr>
        <w:pStyle w:val="Zdefinition"/>
        <w:spacing w:before="0" w:after="120"/>
        <w:jc w:val="left"/>
      </w:pPr>
      <w:r>
        <w:rPr>
          <w:b/>
          <w:i/>
        </w:rPr>
        <w:t>G</w:t>
      </w:r>
      <w:r w:rsidR="00E259F9">
        <w:rPr>
          <w:b/>
          <w:i/>
        </w:rPr>
        <w:t xml:space="preserve">ross </w:t>
      </w:r>
      <w:r>
        <w:rPr>
          <w:b/>
          <w:i/>
        </w:rPr>
        <w:t>L</w:t>
      </w:r>
      <w:r w:rsidR="00E259F9">
        <w:rPr>
          <w:b/>
          <w:i/>
        </w:rPr>
        <w:t xml:space="preserve">ettable </w:t>
      </w:r>
      <w:r>
        <w:rPr>
          <w:b/>
          <w:i/>
        </w:rPr>
        <w:t>A</w:t>
      </w:r>
      <w:r w:rsidR="00E259F9">
        <w:rPr>
          <w:b/>
          <w:i/>
        </w:rPr>
        <w:t>rea</w:t>
      </w:r>
      <w:r w:rsidR="00E259F9">
        <w:t xml:space="preserve"> and </w:t>
      </w:r>
      <w:r>
        <w:t>N</w:t>
      </w:r>
      <w:r w:rsidR="00E259F9" w:rsidRPr="00E202BD">
        <w:rPr>
          <w:b/>
          <w:i/>
        </w:rPr>
        <w:t xml:space="preserve">et </w:t>
      </w:r>
      <w:r>
        <w:rPr>
          <w:b/>
          <w:i/>
        </w:rPr>
        <w:t>L</w:t>
      </w:r>
      <w:r w:rsidR="00E259F9" w:rsidRPr="00E202BD">
        <w:rPr>
          <w:b/>
          <w:i/>
        </w:rPr>
        <w:t xml:space="preserve">ettable </w:t>
      </w:r>
      <w:r>
        <w:rPr>
          <w:b/>
          <w:i/>
        </w:rPr>
        <w:t>A</w:t>
      </w:r>
      <w:r w:rsidR="00E259F9" w:rsidRPr="00E202BD">
        <w:rPr>
          <w:b/>
          <w:i/>
        </w:rPr>
        <w:t>rea</w:t>
      </w:r>
      <w:r w:rsidR="00830D39" w:rsidRPr="00E202BD">
        <w:t xml:space="preserve">, for a building or an </w:t>
      </w:r>
      <w:r>
        <w:t>Area of a Building</w:t>
      </w:r>
      <w:r w:rsidR="00830D39" w:rsidRPr="00E202BD">
        <w:t xml:space="preserve">, </w:t>
      </w:r>
      <w:r w:rsidR="006E48D8" w:rsidRPr="00E202BD">
        <w:t>ha</w:t>
      </w:r>
      <w:r w:rsidR="00E259F9">
        <w:t>ve</w:t>
      </w:r>
      <w:r w:rsidR="006E48D8" w:rsidRPr="00E202BD">
        <w:t xml:space="preserve"> the same meaning as in </w:t>
      </w:r>
      <w:r w:rsidR="00585154" w:rsidRPr="00E202BD">
        <w:t xml:space="preserve">the document </w:t>
      </w:r>
      <w:r w:rsidR="00C923AE" w:rsidRPr="00E202BD">
        <w:rPr>
          <w:i/>
        </w:rPr>
        <w:t>Method of Meas</w:t>
      </w:r>
      <w:r w:rsidR="004E5D8C" w:rsidRPr="00E202BD">
        <w:rPr>
          <w:i/>
        </w:rPr>
        <w:t>urement for Lettable Area</w:t>
      </w:r>
      <w:r w:rsidR="00175AF1" w:rsidRPr="00E202BD">
        <w:t xml:space="preserve">, dated March 1997, </w:t>
      </w:r>
      <w:r w:rsidR="00C923AE" w:rsidRPr="00E202BD">
        <w:t>published by the Property Council of Australia</w:t>
      </w:r>
      <w:r w:rsidR="00B55FEC" w:rsidRPr="00E202BD">
        <w:t xml:space="preserve"> Limited</w:t>
      </w:r>
      <w:r w:rsidR="003E28E4" w:rsidRPr="00E202BD">
        <w:t xml:space="preserve">, </w:t>
      </w:r>
      <w:r w:rsidR="0037610D" w:rsidRPr="00E202BD">
        <w:t xml:space="preserve">as in force at the commencement of </w:t>
      </w:r>
      <w:r w:rsidR="00FC1296" w:rsidRPr="00E202BD">
        <w:t>this Determination</w:t>
      </w:r>
      <w:r w:rsidR="00C923AE" w:rsidRPr="00E202BD">
        <w:t>.</w:t>
      </w:r>
    </w:p>
    <w:p w:rsidR="00627258" w:rsidRDefault="007251E1" w:rsidP="007F0B78">
      <w:pPr>
        <w:pStyle w:val="Note"/>
        <w:tabs>
          <w:tab w:val="left" w:pos="1701"/>
        </w:tabs>
        <w:spacing w:before="0" w:after="120"/>
        <w:ind w:left="1699" w:hanging="735"/>
        <w:jc w:val="left"/>
      </w:pPr>
      <w:r w:rsidRPr="0017144C">
        <w:rPr>
          <w:i/>
        </w:rPr>
        <w:t>Note</w:t>
      </w:r>
      <w:r w:rsidR="000C616B" w:rsidRPr="0017144C">
        <w:rPr>
          <w:i/>
        </w:rPr>
        <w:t>:</w:t>
      </w:r>
      <w:r w:rsidR="00F12125" w:rsidRPr="00E202BD">
        <w:t>   </w:t>
      </w:r>
      <w:r w:rsidR="000C616B">
        <w:tab/>
      </w:r>
      <w:r w:rsidR="00627258" w:rsidRPr="00E202BD">
        <w:t xml:space="preserve">The </w:t>
      </w:r>
      <w:r w:rsidR="00585154" w:rsidRPr="00E202BD">
        <w:t xml:space="preserve">document </w:t>
      </w:r>
      <w:r w:rsidR="00627258" w:rsidRPr="00E202BD">
        <w:rPr>
          <w:i/>
        </w:rPr>
        <w:t>Method of Measurement for Lettable Area</w:t>
      </w:r>
      <w:r w:rsidR="0068679B" w:rsidRPr="00E202BD">
        <w:t xml:space="preserve"> is available from the Property Council of Australia Limited’s website at </w:t>
      </w:r>
      <w:hyperlink r:id="rId17" w:history="1">
        <w:r w:rsidR="005349CD" w:rsidRPr="00C2551B">
          <w:rPr>
            <w:rStyle w:val="Hyperlink"/>
          </w:rPr>
          <w:t>http://www.propertyoz.com.au</w:t>
        </w:r>
      </w:hyperlink>
      <w:r w:rsidR="0068679B" w:rsidRPr="00E202BD">
        <w:t>.</w:t>
      </w:r>
    </w:p>
    <w:p w:rsidR="003F0190" w:rsidRDefault="00F61D42" w:rsidP="007F0B78">
      <w:pPr>
        <w:pStyle w:val="definition"/>
        <w:tabs>
          <w:tab w:val="left" w:pos="4678"/>
        </w:tabs>
        <w:spacing w:before="0" w:after="120"/>
        <w:jc w:val="left"/>
      </w:pPr>
      <w:r>
        <w:rPr>
          <w:b/>
          <w:i/>
        </w:rPr>
        <w:t>M</w:t>
      </w:r>
      <w:r w:rsidR="00B37A86">
        <w:rPr>
          <w:b/>
          <w:i/>
        </w:rPr>
        <w:t xml:space="preserve">ajor </w:t>
      </w:r>
      <w:r>
        <w:rPr>
          <w:b/>
          <w:i/>
        </w:rPr>
        <w:t>R</w:t>
      </w:r>
      <w:r w:rsidR="00B37A86">
        <w:rPr>
          <w:b/>
          <w:i/>
        </w:rPr>
        <w:t xml:space="preserve">efurbishment </w:t>
      </w:r>
      <w:r w:rsidR="00B37A86">
        <w:t xml:space="preserve">has the meaning given to it in the </w:t>
      </w:r>
      <w:r w:rsidR="0025293F" w:rsidRPr="000C616B">
        <w:rPr>
          <w:i/>
        </w:rPr>
        <w:t>Building Energy Efficiency Disclosure Regulations 2010</w:t>
      </w:r>
      <w:r w:rsidR="00B37A86">
        <w:t xml:space="preserve">.  </w:t>
      </w:r>
    </w:p>
    <w:p w:rsidR="009D618B" w:rsidRDefault="00614E60" w:rsidP="007F0B78">
      <w:pPr>
        <w:pStyle w:val="ZR2"/>
        <w:keepNext w:val="0"/>
        <w:tabs>
          <w:tab w:val="clear" w:pos="794"/>
        </w:tabs>
        <w:spacing w:before="0" w:after="120"/>
        <w:ind w:left="1701" w:hanging="686"/>
        <w:jc w:val="left"/>
        <w:rPr>
          <w:sz w:val="20"/>
        </w:rPr>
      </w:pPr>
      <w:r w:rsidRPr="0017144C">
        <w:rPr>
          <w:i/>
          <w:sz w:val="20"/>
        </w:rPr>
        <w:t>N</w:t>
      </w:r>
      <w:r w:rsidR="002B5C33" w:rsidRPr="0017144C">
        <w:rPr>
          <w:i/>
          <w:sz w:val="20"/>
        </w:rPr>
        <w:t>ote</w:t>
      </w:r>
      <w:r w:rsidRPr="0017144C">
        <w:rPr>
          <w:i/>
          <w:sz w:val="20"/>
        </w:rPr>
        <w:t>:</w:t>
      </w:r>
      <w:r w:rsidRPr="0017144C">
        <w:rPr>
          <w:sz w:val="20"/>
        </w:rPr>
        <w:t>   </w:t>
      </w:r>
      <w:r w:rsidR="002B5C33" w:rsidRPr="0017144C">
        <w:rPr>
          <w:sz w:val="20"/>
        </w:rPr>
        <w:t>Several other words and expressions used in this Determination have the meaning</w:t>
      </w:r>
      <w:r w:rsidRPr="0017144C">
        <w:rPr>
          <w:sz w:val="20"/>
        </w:rPr>
        <w:t xml:space="preserve"> </w:t>
      </w:r>
      <w:r w:rsidR="002B5C33" w:rsidRPr="0017144C">
        <w:rPr>
          <w:sz w:val="20"/>
        </w:rPr>
        <w:t>given by section 3 of the Act.</w:t>
      </w:r>
    </w:p>
    <w:p w:rsidR="0095284C" w:rsidRPr="00073D14" w:rsidRDefault="0095284C" w:rsidP="0095284C">
      <w:pPr>
        <w:pStyle w:val="Zdefinition"/>
        <w:spacing w:before="0" w:after="120"/>
        <w:jc w:val="left"/>
      </w:pPr>
      <w:r w:rsidRPr="00073D14">
        <w:rPr>
          <w:b/>
          <w:i/>
        </w:rPr>
        <w:t xml:space="preserve">Support Facility </w:t>
      </w:r>
      <w:r w:rsidRPr="00073D14">
        <w:t>means a part of a building that:</w:t>
      </w:r>
    </w:p>
    <w:p w:rsidR="0095284C" w:rsidRPr="00073D14" w:rsidRDefault="0095284C" w:rsidP="0095284C">
      <w:pPr>
        <w:pStyle w:val="Zdefinition"/>
        <w:numPr>
          <w:ilvl w:val="0"/>
          <w:numId w:val="13"/>
        </w:numPr>
        <w:spacing w:before="0" w:after="120"/>
        <w:jc w:val="left"/>
      </w:pPr>
      <w:r w:rsidRPr="00073D14">
        <w:t>is not used for administrative, clerical, professional or similar information</w:t>
      </w:r>
      <w:r w:rsidRPr="00073D14">
        <w:noBreakHyphen/>
        <w:t>based activities; and</w:t>
      </w:r>
    </w:p>
    <w:p w:rsidR="0095284C" w:rsidRPr="00073D14" w:rsidRDefault="0095284C" w:rsidP="0095284C">
      <w:pPr>
        <w:pStyle w:val="Zdefinition"/>
        <w:numPr>
          <w:ilvl w:val="0"/>
          <w:numId w:val="13"/>
        </w:numPr>
        <w:spacing w:before="0" w:after="120"/>
        <w:jc w:val="left"/>
      </w:pPr>
      <w:r w:rsidRPr="00073D14">
        <w:t>is available to support those activities; and</w:t>
      </w:r>
    </w:p>
    <w:p w:rsidR="0095284C" w:rsidRPr="00073D14" w:rsidRDefault="0095284C" w:rsidP="0095284C">
      <w:pPr>
        <w:pStyle w:val="Zdefinition"/>
        <w:numPr>
          <w:ilvl w:val="0"/>
          <w:numId w:val="13"/>
        </w:numPr>
        <w:spacing w:before="0" w:after="120"/>
        <w:jc w:val="left"/>
      </w:pPr>
      <w:r w:rsidRPr="00073D14">
        <w:t>occupies a space that is Fit to be Used for those activities; and</w:t>
      </w:r>
    </w:p>
    <w:p w:rsidR="0095284C" w:rsidRPr="00073D14" w:rsidRDefault="0095284C" w:rsidP="0095284C">
      <w:pPr>
        <w:pStyle w:val="Zdefinition"/>
        <w:keepNext w:val="0"/>
        <w:numPr>
          <w:ilvl w:val="0"/>
          <w:numId w:val="13"/>
        </w:numPr>
        <w:spacing w:before="0" w:after="120"/>
        <w:ind w:hanging="357"/>
        <w:jc w:val="left"/>
      </w:pPr>
      <w:r w:rsidRPr="00073D14">
        <w:t>is exclusively for the use of office tenants.</w:t>
      </w:r>
    </w:p>
    <w:p w:rsidR="0095284C" w:rsidRDefault="0095284C" w:rsidP="007F0B78">
      <w:pPr>
        <w:pStyle w:val="ZR2"/>
        <w:keepNext w:val="0"/>
        <w:tabs>
          <w:tab w:val="clear" w:pos="794"/>
        </w:tabs>
        <w:spacing w:before="0" w:after="120"/>
        <w:ind w:left="1701" w:hanging="686"/>
        <w:jc w:val="left"/>
        <w:rPr>
          <w:sz w:val="20"/>
        </w:rPr>
      </w:pPr>
    </w:p>
    <w:p w:rsidR="00732DA2" w:rsidRPr="00E202BD" w:rsidRDefault="009334F3" w:rsidP="007F0B78">
      <w:pPr>
        <w:pStyle w:val="HR"/>
      </w:pPr>
      <w:r>
        <w:lastRenderedPageBreak/>
        <w:t>5</w:t>
      </w:r>
      <w:r w:rsidR="00732DA2" w:rsidRPr="00E202BD">
        <w:tab/>
        <w:t>Disclosure affected buildings</w:t>
      </w:r>
    </w:p>
    <w:p w:rsidR="00BB685D" w:rsidRPr="00BB685D" w:rsidRDefault="00DC2E39" w:rsidP="007F0B78">
      <w:pPr>
        <w:pStyle w:val="R1"/>
        <w:ind w:left="1440" w:hanging="589"/>
        <w:jc w:val="left"/>
      </w:pPr>
      <w:r w:rsidRPr="00E202BD">
        <w:t>(1)</w:t>
      </w:r>
      <w:r w:rsidR="00BB685D">
        <w:tab/>
      </w:r>
      <w:r w:rsidRPr="00E202BD">
        <w:t>For subsection 10</w:t>
      </w:r>
      <w:r w:rsidR="00F12125" w:rsidRPr="00E202BD">
        <w:t> </w:t>
      </w:r>
      <w:r w:rsidRPr="00E202BD">
        <w:t xml:space="preserve">(1) of the Act, this section </w:t>
      </w:r>
      <w:r w:rsidR="007C7FC5" w:rsidRPr="00E202BD">
        <w:t>specifies the kinds of</w:t>
      </w:r>
      <w:r w:rsidRPr="00E202BD">
        <w:t xml:space="preserve"> buildings that are disclosure affected.</w:t>
      </w:r>
    </w:p>
    <w:p w:rsidR="00C103F3" w:rsidRPr="00EE0B8E" w:rsidRDefault="00732DA2" w:rsidP="007F0B78">
      <w:pPr>
        <w:pStyle w:val="ZR2"/>
        <w:ind w:left="1440" w:hanging="589"/>
        <w:jc w:val="left"/>
      </w:pPr>
      <w:r w:rsidRPr="00EE0B8E">
        <w:t>(2)</w:t>
      </w:r>
      <w:r w:rsidRPr="00EE0B8E">
        <w:tab/>
      </w:r>
      <w:r w:rsidR="005D6B72" w:rsidRPr="00EE0B8E">
        <w:t xml:space="preserve">Subject to subsections </w:t>
      </w:r>
      <w:r w:rsidR="009D618B">
        <w:t>5</w:t>
      </w:r>
      <w:r w:rsidR="005D6B72" w:rsidRPr="00EE0B8E">
        <w:t>(</w:t>
      </w:r>
      <w:r w:rsidR="000C546E">
        <w:t>4</w:t>
      </w:r>
      <w:r w:rsidR="005D6B72" w:rsidRPr="00EE0B8E">
        <w:t>)</w:t>
      </w:r>
      <w:r w:rsidR="001F71CD">
        <w:t>,</w:t>
      </w:r>
      <w:r w:rsidR="00C103F3" w:rsidRPr="00EE0B8E">
        <w:t xml:space="preserve"> </w:t>
      </w:r>
      <w:r w:rsidR="009D618B">
        <w:t>5</w:t>
      </w:r>
      <w:r w:rsidR="00F27EB5" w:rsidRPr="00EE0B8E">
        <w:t>(</w:t>
      </w:r>
      <w:r w:rsidR="000C546E">
        <w:t>5</w:t>
      </w:r>
      <w:r w:rsidR="005D6B72" w:rsidRPr="00EE0B8E">
        <w:t>)</w:t>
      </w:r>
      <w:r w:rsidR="001F71CD">
        <w:t xml:space="preserve"> and </w:t>
      </w:r>
      <w:r w:rsidR="009D618B">
        <w:t>5</w:t>
      </w:r>
      <w:r w:rsidR="001F71CD">
        <w:t>(</w:t>
      </w:r>
      <w:r w:rsidR="000C546E">
        <w:t>6</w:t>
      </w:r>
      <w:r w:rsidR="001F71CD">
        <w:t>)</w:t>
      </w:r>
      <w:r w:rsidR="009D618B">
        <w:t xml:space="preserve"> of this Determination</w:t>
      </w:r>
      <w:r w:rsidR="005D6B72" w:rsidRPr="00EE0B8E">
        <w:t>,</w:t>
      </w:r>
      <w:r w:rsidR="000C546E">
        <w:t xml:space="preserve"> from the commencement of this Determination until 1 July 2017,</w:t>
      </w:r>
      <w:r w:rsidR="006E48D8" w:rsidRPr="00EE0B8E">
        <w:t xml:space="preserve"> a</w:t>
      </w:r>
      <w:r w:rsidRPr="00EE0B8E">
        <w:t xml:space="preserve"> building </w:t>
      </w:r>
      <w:r w:rsidR="002B7037" w:rsidRPr="00EE0B8E">
        <w:t>is disclosure affected if</w:t>
      </w:r>
      <w:r w:rsidR="00C103F3" w:rsidRPr="00EE0B8E">
        <w:t>:</w:t>
      </w:r>
    </w:p>
    <w:p w:rsidR="00A90531" w:rsidRPr="00E259F9" w:rsidRDefault="00C103F3" w:rsidP="007F0B78">
      <w:pPr>
        <w:pStyle w:val="ZR2"/>
        <w:tabs>
          <w:tab w:val="clear" w:pos="794"/>
        </w:tabs>
        <w:ind w:left="1843" w:hanging="425"/>
        <w:jc w:val="left"/>
      </w:pPr>
      <w:r w:rsidRPr="00E259F9">
        <w:t>(a)</w:t>
      </w:r>
      <w:r w:rsidR="0086599D" w:rsidRPr="00E259F9">
        <w:t xml:space="preserve"> </w:t>
      </w:r>
      <w:r w:rsidRPr="00E259F9">
        <w:tab/>
      </w:r>
      <w:r w:rsidR="005D6112" w:rsidRPr="00E259F9">
        <w:t xml:space="preserve">at least 75% of the space in the building by </w:t>
      </w:r>
      <w:r w:rsidR="00F61D42">
        <w:t>Net Lettable Area</w:t>
      </w:r>
      <w:r w:rsidR="00E259F9">
        <w:t xml:space="preserve"> (or </w:t>
      </w:r>
      <w:r w:rsidR="00F61D42">
        <w:t>Gross Lettable Area</w:t>
      </w:r>
      <w:r w:rsidR="00FD678D">
        <w:t xml:space="preserve"> if </w:t>
      </w:r>
      <w:r w:rsidR="00F61D42">
        <w:t>Net Lettable Area</w:t>
      </w:r>
      <w:r w:rsidR="00FD678D">
        <w:t xml:space="preserve"> is not available</w:t>
      </w:r>
      <w:r w:rsidR="00C71388">
        <w:t>)</w:t>
      </w:r>
      <w:r w:rsidR="008428E8" w:rsidRPr="00E259F9">
        <w:t xml:space="preserve"> is for administrative, clerical, </w:t>
      </w:r>
      <w:r w:rsidR="0086599D" w:rsidRPr="00E259F9">
        <w:t>professional or similar information</w:t>
      </w:r>
      <w:r w:rsidR="0086599D" w:rsidRPr="00E259F9">
        <w:noBreakHyphen/>
        <w:t>based activities, including any support facilities for those activities</w:t>
      </w:r>
      <w:r w:rsidRPr="00E259F9">
        <w:t>; and</w:t>
      </w:r>
    </w:p>
    <w:p w:rsidR="00C103F3" w:rsidRDefault="00C103F3" w:rsidP="007F0B78">
      <w:pPr>
        <w:pStyle w:val="R2"/>
        <w:ind w:left="1843" w:hanging="425"/>
        <w:jc w:val="left"/>
      </w:pPr>
      <w:r w:rsidRPr="00E259F9">
        <w:t>(b)</w:t>
      </w:r>
      <w:r w:rsidRPr="00E259F9">
        <w:tab/>
      </w:r>
      <w:r w:rsidR="008428E8" w:rsidRPr="00E259F9">
        <w:t xml:space="preserve">the </w:t>
      </w:r>
      <w:r w:rsidR="00F61D42">
        <w:t>Net Lettable Area</w:t>
      </w:r>
      <w:r w:rsidR="00E259F9">
        <w:t xml:space="preserve"> (or </w:t>
      </w:r>
      <w:r w:rsidR="00F61D42">
        <w:t>Gross Lettable Area</w:t>
      </w:r>
      <w:r w:rsidR="00FD678D" w:rsidRPr="00FD678D">
        <w:t xml:space="preserve"> </w:t>
      </w:r>
      <w:r w:rsidR="00FD678D">
        <w:t xml:space="preserve">if </w:t>
      </w:r>
      <w:r w:rsidR="00F61D42">
        <w:t>Net Lettable Area</w:t>
      </w:r>
      <w:r w:rsidR="00FD678D">
        <w:t xml:space="preserve"> is not available</w:t>
      </w:r>
      <w:r w:rsidR="00E259F9">
        <w:t>)</w:t>
      </w:r>
      <w:r w:rsidR="008428E8" w:rsidRPr="00E259F9">
        <w:t xml:space="preserve"> of the space in the building that is for</w:t>
      </w:r>
      <w:r w:rsidRPr="00E259F9">
        <w:t xml:space="preserve"> administrative, clerical, professional or similar information</w:t>
      </w:r>
      <w:r w:rsidRPr="00E259F9">
        <w:noBreakHyphen/>
        <w:t>based activities</w:t>
      </w:r>
      <w:r w:rsidR="008428E8" w:rsidRPr="00E259F9">
        <w:t>, including any support facilities for those activities, is at least 2000 square metres</w:t>
      </w:r>
      <w:r w:rsidRPr="00E259F9">
        <w:t>.</w:t>
      </w:r>
    </w:p>
    <w:p w:rsidR="000C546E" w:rsidRPr="00EE0B8E" w:rsidRDefault="000C546E" w:rsidP="007F0B78">
      <w:pPr>
        <w:pStyle w:val="ZR2"/>
        <w:ind w:left="1440" w:hanging="589"/>
        <w:jc w:val="left"/>
      </w:pPr>
      <w:r>
        <w:t>(3</w:t>
      </w:r>
      <w:r w:rsidRPr="00EE0B8E">
        <w:t>)</w:t>
      </w:r>
      <w:r w:rsidRPr="00EE0B8E">
        <w:tab/>
        <w:t xml:space="preserve">Subject to subsections </w:t>
      </w:r>
      <w:r w:rsidR="002B5C33">
        <w:t>5</w:t>
      </w:r>
      <w:r w:rsidRPr="00EE0B8E">
        <w:t>(</w:t>
      </w:r>
      <w:r>
        <w:t>4</w:t>
      </w:r>
      <w:r w:rsidRPr="00EE0B8E">
        <w:t>)</w:t>
      </w:r>
      <w:r>
        <w:t>,</w:t>
      </w:r>
      <w:r w:rsidRPr="00EE0B8E">
        <w:t xml:space="preserve"> </w:t>
      </w:r>
      <w:r w:rsidR="002B5C33">
        <w:t>5</w:t>
      </w:r>
      <w:r w:rsidRPr="00EE0B8E">
        <w:t>(</w:t>
      </w:r>
      <w:r>
        <w:t>5</w:t>
      </w:r>
      <w:r w:rsidRPr="00EE0B8E">
        <w:t>)</w:t>
      </w:r>
      <w:r>
        <w:t xml:space="preserve"> and </w:t>
      </w:r>
      <w:r w:rsidR="002B5C33">
        <w:t>5</w:t>
      </w:r>
      <w:r>
        <w:t>(6)</w:t>
      </w:r>
      <w:r w:rsidR="002B5C33">
        <w:t xml:space="preserve"> of this Determination</w:t>
      </w:r>
      <w:r w:rsidRPr="00EE0B8E">
        <w:t>,</w:t>
      </w:r>
      <w:r w:rsidR="009802FB">
        <w:t xml:space="preserve"> from 1</w:t>
      </w:r>
      <w:r w:rsidR="0017144C">
        <w:t> </w:t>
      </w:r>
      <w:r w:rsidR="009802FB">
        <w:t>July 2017</w:t>
      </w:r>
      <w:r w:rsidR="00FC7F2E">
        <w:t>,</w:t>
      </w:r>
      <w:r w:rsidR="009802FB" w:rsidRPr="00E202BD">
        <w:t xml:space="preserve"> </w:t>
      </w:r>
      <w:r w:rsidRPr="00EE0B8E">
        <w:t>a building is disclosure affected if:</w:t>
      </w:r>
    </w:p>
    <w:p w:rsidR="000C546E" w:rsidRPr="00E259F9" w:rsidRDefault="000C546E" w:rsidP="007F0B78">
      <w:pPr>
        <w:pStyle w:val="ZR2"/>
        <w:tabs>
          <w:tab w:val="clear" w:pos="794"/>
        </w:tabs>
        <w:ind w:left="1843" w:hanging="425"/>
        <w:jc w:val="left"/>
      </w:pPr>
      <w:r w:rsidRPr="00E259F9">
        <w:t xml:space="preserve">(a) </w:t>
      </w:r>
      <w:r w:rsidRPr="00E259F9">
        <w:tab/>
        <w:t xml:space="preserve">at least 75% of the space in the building by </w:t>
      </w:r>
      <w:r w:rsidR="00F61D42">
        <w:t>Net Lettable Area</w:t>
      </w:r>
      <w:r>
        <w:t xml:space="preserve"> (or </w:t>
      </w:r>
      <w:r w:rsidR="00F61D42">
        <w:t>Gross Lettable Area</w:t>
      </w:r>
      <w:r>
        <w:t xml:space="preserve"> if </w:t>
      </w:r>
      <w:r w:rsidR="00F61D42">
        <w:t>Net Lettable Area</w:t>
      </w:r>
      <w:r>
        <w:t xml:space="preserve"> is not available)</w:t>
      </w:r>
      <w:r w:rsidRPr="00E259F9">
        <w:t xml:space="preserve"> is for administrative, clerical, professional or similar information</w:t>
      </w:r>
      <w:r w:rsidRPr="00E259F9">
        <w:noBreakHyphen/>
        <w:t>based activities, including any support facilities for those activities; and</w:t>
      </w:r>
    </w:p>
    <w:p w:rsidR="000C546E" w:rsidRPr="009063CD" w:rsidRDefault="000C546E" w:rsidP="007F0B78">
      <w:pPr>
        <w:pStyle w:val="R2"/>
        <w:ind w:left="1843" w:hanging="425"/>
        <w:jc w:val="left"/>
      </w:pPr>
      <w:r w:rsidRPr="00E259F9">
        <w:t>(b)</w:t>
      </w:r>
      <w:r w:rsidRPr="00E259F9">
        <w:tab/>
        <w:t xml:space="preserve">the </w:t>
      </w:r>
      <w:r w:rsidR="00F61D42">
        <w:t>Net Lettable Area</w:t>
      </w:r>
      <w:r>
        <w:t xml:space="preserve"> (or </w:t>
      </w:r>
      <w:r w:rsidR="00F61D42">
        <w:t>Gross Lettable Area</w:t>
      </w:r>
      <w:r w:rsidRPr="00FD678D">
        <w:t xml:space="preserve"> </w:t>
      </w:r>
      <w:r>
        <w:t xml:space="preserve">if </w:t>
      </w:r>
      <w:r w:rsidR="00F61D42">
        <w:t>Net Lettable Area</w:t>
      </w:r>
      <w:r>
        <w:t xml:space="preserve"> is not available)</w:t>
      </w:r>
      <w:r w:rsidRPr="00E259F9">
        <w:t xml:space="preserve"> of the space in the building that is for administrative, clerical, professional or similar information</w:t>
      </w:r>
      <w:r w:rsidRPr="00E259F9">
        <w:noBreakHyphen/>
        <w:t xml:space="preserve">based activities, including any support facilities for those activities, is at least </w:t>
      </w:r>
      <w:r>
        <w:t>1</w:t>
      </w:r>
      <w:r w:rsidRPr="00E259F9">
        <w:t>000 square metres.</w:t>
      </w:r>
    </w:p>
    <w:p w:rsidR="008268B9" w:rsidRDefault="00F27EB5" w:rsidP="007F0B78">
      <w:pPr>
        <w:pStyle w:val="ZR2"/>
        <w:ind w:hanging="113"/>
        <w:jc w:val="left"/>
      </w:pPr>
      <w:r w:rsidRPr="008428E8">
        <w:t>(</w:t>
      </w:r>
      <w:r w:rsidR="000C546E">
        <w:t>4</w:t>
      </w:r>
      <w:r w:rsidR="001058D4" w:rsidRPr="008428E8">
        <w:t>)</w:t>
      </w:r>
      <w:r w:rsidR="001058D4" w:rsidRPr="008428E8">
        <w:tab/>
      </w:r>
      <w:r w:rsidR="001800B9" w:rsidRPr="008428E8">
        <w:t>A building is not</w:t>
      </w:r>
      <w:r w:rsidR="00C75BDD">
        <w:t xml:space="preserve"> </w:t>
      </w:r>
      <w:r w:rsidR="001800B9" w:rsidRPr="00E259F9">
        <w:t>disclosure</w:t>
      </w:r>
      <w:r w:rsidR="002D37FE" w:rsidRPr="00E259F9">
        <w:t xml:space="preserve"> affected if</w:t>
      </w:r>
      <w:r w:rsidR="008268B9">
        <w:t>:</w:t>
      </w:r>
    </w:p>
    <w:p w:rsidR="0079313A" w:rsidRDefault="00E259F9" w:rsidP="007F0B78">
      <w:pPr>
        <w:pStyle w:val="P1"/>
        <w:numPr>
          <w:ilvl w:val="0"/>
          <w:numId w:val="5"/>
        </w:numPr>
        <w:tabs>
          <w:tab w:val="clear" w:pos="1191"/>
        </w:tabs>
        <w:spacing w:before="180"/>
        <w:ind w:left="1985" w:hanging="567"/>
        <w:jc w:val="left"/>
      </w:pPr>
      <w:r w:rsidRPr="00E259F9">
        <w:t>it is new</w:t>
      </w:r>
      <w:r w:rsidR="0079313A">
        <w:t>;</w:t>
      </w:r>
      <w:r w:rsidRPr="00E259F9">
        <w:t xml:space="preserve"> and</w:t>
      </w:r>
    </w:p>
    <w:p w:rsidR="0079313A" w:rsidRDefault="0079313A" w:rsidP="007F0B78">
      <w:pPr>
        <w:pStyle w:val="P1"/>
        <w:numPr>
          <w:ilvl w:val="0"/>
          <w:numId w:val="5"/>
        </w:numPr>
        <w:tabs>
          <w:tab w:val="clear" w:pos="1191"/>
        </w:tabs>
        <w:spacing w:before="180"/>
        <w:ind w:left="1985" w:hanging="567"/>
        <w:jc w:val="left"/>
      </w:pPr>
      <w:r w:rsidRPr="00E259F9">
        <w:t xml:space="preserve">a </w:t>
      </w:r>
      <w:r w:rsidR="00C75BDD">
        <w:t>C</w:t>
      </w:r>
      <w:r w:rsidRPr="00E259F9">
        <w:t xml:space="preserve">ertificate of </w:t>
      </w:r>
      <w:r w:rsidR="00C75BDD">
        <w:t>O</w:t>
      </w:r>
      <w:r w:rsidRPr="00E259F9">
        <w:t>ccupancy</w:t>
      </w:r>
      <w:r>
        <w:t>:</w:t>
      </w:r>
    </w:p>
    <w:p w:rsidR="00184398" w:rsidRPr="00577EBB" w:rsidRDefault="0089170E" w:rsidP="007F0B78">
      <w:pPr>
        <w:pStyle w:val="P1"/>
        <w:numPr>
          <w:ilvl w:val="0"/>
          <w:numId w:val="6"/>
        </w:numPr>
        <w:tabs>
          <w:tab w:val="clear" w:pos="1191"/>
        </w:tabs>
        <w:spacing w:before="180"/>
        <w:ind w:left="2552" w:hanging="567"/>
        <w:jc w:val="left"/>
      </w:pPr>
      <w:r w:rsidRPr="00577EBB">
        <w:t xml:space="preserve">has not </w:t>
      </w:r>
      <w:r w:rsidR="001142A9" w:rsidRPr="00577EBB">
        <w:t xml:space="preserve">yet </w:t>
      </w:r>
      <w:r w:rsidRPr="00577EBB">
        <w:t>been issued</w:t>
      </w:r>
      <w:r w:rsidR="00184398" w:rsidRPr="00577EBB">
        <w:t xml:space="preserve">; </w:t>
      </w:r>
      <w:r w:rsidRPr="00577EBB">
        <w:t>or</w:t>
      </w:r>
    </w:p>
    <w:p w:rsidR="0079313A" w:rsidRPr="00577EBB" w:rsidRDefault="00C75BDD" w:rsidP="007F0B78">
      <w:pPr>
        <w:pStyle w:val="P1"/>
        <w:numPr>
          <w:ilvl w:val="0"/>
          <w:numId w:val="6"/>
        </w:numPr>
        <w:tabs>
          <w:tab w:val="clear" w:pos="1191"/>
        </w:tabs>
        <w:spacing w:before="180"/>
        <w:ind w:left="2552" w:hanging="567"/>
        <w:jc w:val="left"/>
      </w:pPr>
      <w:r>
        <w:t xml:space="preserve">is </w:t>
      </w:r>
      <w:r w:rsidR="00260DD3">
        <w:t xml:space="preserve">less than 2 years </w:t>
      </w:r>
      <w:r>
        <w:t>old</w:t>
      </w:r>
      <w:r w:rsidR="00260DD3">
        <w:t>.</w:t>
      </w:r>
    </w:p>
    <w:p w:rsidR="00220F8C" w:rsidRDefault="00220F8C" w:rsidP="007F0B78">
      <w:pPr>
        <w:pStyle w:val="ZR2"/>
        <w:ind w:hanging="113"/>
        <w:jc w:val="left"/>
      </w:pPr>
      <w:r w:rsidRPr="008428E8">
        <w:t>(</w:t>
      </w:r>
      <w:r w:rsidR="000C546E">
        <w:t>5</w:t>
      </w:r>
      <w:r w:rsidRPr="008428E8">
        <w:t>)</w:t>
      </w:r>
      <w:r w:rsidRPr="008428E8">
        <w:tab/>
        <w:t>A building is not</w:t>
      </w:r>
      <w:r w:rsidR="00C75BDD">
        <w:t xml:space="preserve"> </w:t>
      </w:r>
      <w:r w:rsidRPr="00E259F9">
        <w:t>disclosure affected if</w:t>
      </w:r>
      <w:r>
        <w:t>:</w:t>
      </w:r>
    </w:p>
    <w:p w:rsidR="00220F8C" w:rsidRDefault="00220F8C" w:rsidP="007F0B78">
      <w:pPr>
        <w:pStyle w:val="P1"/>
        <w:numPr>
          <w:ilvl w:val="0"/>
          <w:numId w:val="9"/>
        </w:numPr>
        <w:tabs>
          <w:tab w:val="clear" w:pos="1191"/>
        </w:tabs>
        <w:spacing w:before="180"/>
        <w:jc w:val="left"/>
      </w:pPr>
      <w:r w:rsidRPr="00E259F9">
        <w:t xml:space="preserve">it </w:t>
      </w:r>
      <w:r>
        <w:t xml:space="preserve">has had a </w:t>
      </w:r>
      <w:r w:rsidR="00F61D42">
        <w:t>Major Refurbishment</w:t>
      </w:r>
      <w:r>
        <w:t>;</w:t>
      </w:r>
      <w:r w:rsidRPr="00E259F9">
        <w:t xml:space="preserve"> and</w:t>
      </w:r>
    </w:p>
    <w:p w:rsidR="00220F8C" w:rsidRDefault="0091789F" w:rsidP="007F0B78">
      <w:pPr>
        <w:pStyle w:val="P1"/>
        <w:numPr>
          <w:ilvl w:val="0"/>
          <w:numId w:val="9"/>
        </w:numPr>
        <w:tabs>
          <w:tab w:val="clear" w:pos="1191"/>
        </w:tabs>
        <w:spacing w:before="180"/>
        <w:jc w:val="left"/>
      </w:pPr>
      <w:r w:rsidRPr="00E259F9">
        <w:t xml:space="preserve">a </w:t>
      </w:r>
      <w:r w:rsidR="00C75BDD">
        <w:t>C</w:t>
      </w:r>
      <w:r w:rsidRPr="00E259F9">
        <w:t xml:space="preserve">ertificate of </w:t>
      </w:r>
      <w:r w:rsidR="00C75BDD">
        <w:t>O</w:t>
      </w:r>
      <w:r w:rsidRPr="00E259F9">
        <w:t xml:space="preserve">ccupancy </w:t>
      </w:r>
      <w:r w:rsidR="00C75BDD">
        <w:t xml:space="preserve">is </w:t>
      </w:r>
      <w:r w:rsidR="00466B63">
        <w:t xml:space="preserve">less than 2 years </w:t>
      </w:r>
      <w:r w:rsidR="00C75BDD">
        <w:t>old</w:t>
      </w:r>
      <w:r w:rsidR="00466B63">
        <w:t>.</w:t>
      </w:r>
      <w:r w:rsidR="00220F8C">
        <w:t xml:space="preserve">  </w:t>
      </w:r>
    </w:p>
    <w:p w:rsidR="002B7037" w:rsidRDefault="00F27EB5" w:rsidP="007F0B78">
      <w:pPr>
        <w:pStyle w:val="ZR2"/>
        <w:ind w:left="1440" w:hanging="589"/>
        <w:jc w:val="left"/>
      </w:pPr>
      <w:r w:rsidRPr="00E202BD">
        <w:t>(</w:t>
      </w:r>
      <w:r w:rsidR="000C546E">
        <w:t>6</w:t>
      </w:r>
      <w:r w:rsidR="005D6B72" w:rsidRPr="00E202BD">
        <w:t>)</w:t>
      </w:r>
      <w:r w:rsidR="008428E8">
        <w:tab/>
      </w:r>
      <w:r w:rsidR="005D6B72" w:rsidRPr="00E202BD">
        <w:t xml:space="preserve">A building is not disclosure affected if the building is held under </w:t>
      </w:r>
      <w:r w:rsidR="009A6594" w:rsidRPr="00E202BD">
        <w:t xml:space="preserve">a </w:t>
      </w:r>
      <w:r w:rsidR="00585154" w:rsidRPr="00E202BD">
        <w:t>strata title system (however described</w:t>
      </w:r>
      <w:r w:rsidR="006A2B2E" w:rsidRPr="00E202BD">
        <w:t>) established under a law of a State or Territory.</w:t>
      </w:r>
    </w:p>
    <w:p w:rsidR="001104A7" w:rsidRPr="00E202BD" w:rsidRDefault="001104A7" w:rsidP="007F0B78">
      <w:pPr>
        <w:pStyle w:val="Note"/>
        <w:tabs>
          <w:tab w:val="left" w:pos="1701"/>
        </w:tabs>
        <w:jc w:val="left"/>
      </w:pPr>
      <w:r w:rsidRPr="0017144C">
        <w:rPr>
          <w:i/>
        </w:rPr>
        <w:t>Note</w:t>
      </w:r>
      <w:r w:rsidR="006B2580" w:rsidRPr="0017144C">
        <w:rPr>
          <w:i/>
        </w:rPr>
        <w:t>:</w:t>
      </w:r>
      <w:r w:rsidR="00F12125" w:rsidRPr="00E202BD">
        <w:t>   </w:t>
      </w:r>
      <w:r w:rsidR="006B2580">
        <w:tab/>
      </w:r>
      <w:r w:rsidRPr="00E202BD">
        <w:t xml:space="preserve">See the definition of </w:t>
      </w:r>
      <w:r w:rsidRPr="00E202BD">
        <w:rPr>
          <w:b/>
          <w:i/>
        </w:rPr>
        <w:t>disclosure affected building</w:t>
      </w:r>
      <w:r w:rsidRPr="00E202BD">
        <w:t xml:space="preserve"> in the Act.</w:t>
      </w:r>
    </w:p>
    <w:p w:rsidR="004E550F" w:rsidRPr="00E202BD" w:rsidRDefault="009334F3" w:rsidP="007F0B78">
      <w:pPr>
        <w:pStyle w:val="HR"/>
      </w:pPr>
      <w:r>
        <w:t>6</w:t>
      </w:r>
      <w:r w:rsidR="00520D36" w:rsidRPr="00E202BD">
        <w:tab/>
        <w:t>Disclosure affected areas of a building</w:t>
      </w:r>
    </w:p>
    <w:p w:rsidR="00520D36" w:rsidRPr="00E202BD" w:rsidRDefault="00520D36" w:rsidP="007F0B78">
      <w:pPr>
        <w:pStyle w:val="ZR2"/>
        <w:ind w:left="1440" w:hanging="589"/>
        <w:jc w:val="left"/>
      </w:pPr>
      <w:r w:rsidRPr="00E202BD">
        <w:t>(1)</w:t>
      </w:r>
      <w:r w:rsidRPr="00E202BD">
        <w:tab/>
        <w:t>For subsection 10</w:t>
      </w:r>
      <w:r w:rsidR="00F12125" w:rsidRPr="00E202BD">
        <w:t> </w:t>
      </w:r>
      <w:r w:rsidRPr="00E202BD">
        <w:t xml:space="preserve">(2) of the Act, this section </w:t>
      </w:r>
      <w:r w:rsidR="007C7FC5" w:rsidRPr="00E202BD">
        <w:t xml:space="preserve">specifies the </w:t>
      </w:r>
      <w:r w:rsidR="000E33C1">
        <w:t>various types of an A</w:t>
      </w:r>
      <w:r w:rsidRPr="00E202BD">
        <w:t xml:space="preserve">rea of </w:t>
      </w:r>
      <w:r w:rsidR="000E33C1">
        <w:t>a B</w:t>
      </w:r>
      <w:r w:rsidRPr="00E202BD">
        <w:t xml:space="preserve">uilding that </w:t>
      </w:r>
      <w:r w:rsidR="000E33C1">
        <w:t xml:space="preserve">is </w:t>
      </w:r>
      <w:r w:rsidRPr="00E202BD">
        <w:t>disclosure affected.</w:t>
      </w:r>
    </w:p>
    <w:p w:rsidR="004B4992" w:rsidRPr="009178FC" w:rsidRDefault="009E3117" w:rsidP="007F0B78">
      <w:pPr>
        <w:pStyle w:val="ZR2"/>
        <w:ind w:left="1440" w:hanging="589"/>
        <w:jc w:val="left"/>
      </w:pPr>
      <w:r w:rsidRPr="00E202BD">
        <w:t>(2)</w:t>
      </w:r>
      <w:r w:rsidRPr="00E202BD">
        <w:tab/>
      </w:r>
      <w:r w:rsidR="00A0782B" w:rsidRPr="00E202BD">
        <w:t>Subject to subsection</w:t>
      </w:r>
      <w:r w:rsidR="00627258" w:rsidRPr="00E202BD">
        <w:t>s</w:t>
      </w:r>
      <w:r w:rsidR="00A0782B" w:rsidRPr="00E202BD">
        <w:t xml:space="preserve"> (</w:t>
      </w:r>
      <w:r w:rsidR="000C546E">
        <w:t>4</w:t>
      </w:r>
      <w:r w:rsidR="00A0782B" w:rsidRPr="00E202BD">
        <w:t>)</w:t>
      </w:r>
      <w:r w:rsidR="00CD3E64">
        <w:t>, (</w:t>
      </w:r>
      <w:r w:rsidR="000C546E">
        <w:t>5</w:t>
      </w:r>
      <w:r w:rsidR="00CD3E64">
        <w:t>) and</w:t>
      </w:r>
      <w:r w:rsidR="00C103F3">
        <w:t xml:space="preserve"> </w:t>
      </w:r>
      <w:r w:rsidR="00F27EB5" w:rsidRPr="00E202BD">
        <w:t>(</w:t>
      </w:r>
      <w:r w:rsidR="000C546E">
        <w:t>6</w:t>
      </w:r>
      <w:r w:rsidR="00530CA4" w:rsidRPr="00E202BD">
        <w:t>),</w:t>
      </w:r>
      <w:r w:rsidR="000C546E">
        <w:t xml:space="preserve"> from the commencement of this Determination until 1 July 2017,</w:t>
      </w:r>
      <w:r w:rsidR="00A0782B" w:rsidRPr="00E202BD">
        <w:t xml:space="preserve"> a</w:t>
      </w:r>
      <w:r w:rsidRPr="00E202BD">
        <w:t xml:space="preserve">n </w:t>
      </w:r>
      <w:r w:rsidR="00F61D42">
        <w:t>Area of a Building</w:t>
      </w:r>
      <w:r w:rsidR="00C103F3">
        <w:t xml:space="preserve"> </w:t>
      </w:r>
      <w:r w:rsidR="0004593A" w:rsidRPr="00E202BD">
        <w:t xml:space="preserve">is </w:t>
      </w:r>
      <w:r w:rsidR="0004593A" w:rsidRPr="009178FC">
        <w:t>disclosure affected if</w:t>
      </w:r>
      <w:r w:rsidR="004B4992" w:rsidRPr="009178FC">
        <w:t>:</w:t>
      </w:r>
    </w:p>
    <w:p w:rsidR="008428E8" w:rsidRPr="00E259F9" w:rsidRDefault="008428E8" w:rsidP="007F0B78">
      <w:pPr>
        <w:pStyle w:val="ZR2"/>
        <w:tabs>
          <w:tab w:val="clear" w:pos="794"/>
        </w:tabs>
        <w:ind w:left="1985" w:hanging="567"/>
        <w:jc w:val="left"/>
      </w:pPr>
      <w:r w:rsidRPr="00E259F9">
        <w:t>(a)</w:t>
      </w:r>
      <w:r w:rsidRPr="00E259F9">
        <w:tab/>
        <w:t xml:space="preserve">at least 75% of the space in the </w:t>
      </w:r>
      <w:r w:rsidRPr="00A64ECF">
        <w:t xml:space="preserve">building </w:t>
      </w:r>
      <w:r w:rsidRPr="00E259F9">
        <w:t xml:space="preserve">by </w:t>
      </w:r>
      <w:r w:rsidR="00F61D42">
        <w:t>Net Lettable Area</w:t>
      </w:r>
      <w:r w:rsidR="00E259F9">
        <w:t xml:space="preserve"> (or </w:t>
      </w:r>
      <w:r w:rsidR="00F61D42">
        <w:t>Gross Lettable Area</w:t>
      </w:r>
      <w:r w:rsidR="00FD678D" w:rsidRPr="00FD678D">
        <w:t xml:space="preserve"> </w:t>
      </w:r>
      <w:r w:rsidR="00FD678D">
        <w:t xml:space="preserve">if </w:t>
      </w:r>
      <w:r w:rsidR="00F61D42">
        <w:t>Net Lettable Area</w:t>
      </w:r>
      <w:r w:rsidR="00FD678D">
        <w:t xml:space="preserve"> is not available</w:t>
      </w:r>
      <w:r w:rsidR="00C71388">
        <w:t>)</w:t>
      </w:r>
      <w:r w:rsidRPr="00E259F9">
        <w:t xml:space="preserve"> is for administrative, clerical, professional or similar information</w:t>
      </w:r>
      <w:r w:rsidRPr="00E259F9">
        <w:noBreakHyphen/>
        <w:t>based activities, including any support facilities for those activities; and</w:t>
      </w:r>
    </w:p>
    <w:p w:rsidR="008428E8" w:rsidRDefault="008428E8" w:rsidP="007F0B78">
      <w:pPr>
        <w:pStyle w:val="R2"/>
        <w:ind w:left="1985" w:hanging="567"/>
        <w:jc w:val="left"/>
      </w:pPr>
      <w:r w:rsidRPr="00E259F9">
        <w:t>(b)</w:t>
      </w:r>
      <w:r w:rsidRPr="00E259F9">
        <w:tab/>
        <w:t xml:space="preserve">the </w:t>
      </w:r>
      <w:r w:rsidR="00F61D42">
        <w:t>Net Lettable Area</w:t>
      </w:r>
      <w:r w:rsidR="00E259F9">
        <w:t xml:space="preserve"> (or </w:t>
      </w:r>
      <w:r w:rsidR="00F61D42">
        <w:t>Gross Lettable Area</w:t>
      </w:r>
      <w:r w:rsidR="00FD678D" w:rsidRPr="00FD678D">
        <w:t xml:space="preserve"> </w:t>
      </w:r>
      <w:r w:rsidR="00FD678D">
        <w:t xml:space="preserve">if </w:t>
      </w:r>
      <w:r w:rsidR="00F61D42">
        <w:t>Net Lettable Area</w:t>
      </w:r>
      <w:r w:rsidR="00FD678D">
        <w:t xml:space="preserve"> is not available</w:t>
      </w:r>
      <w:r w:rsidR="00E259F9">
        <w:t>)</w:t>
      </w:r>
      <w:r w:rsidRPr="00E259F9">
        <w:t xml:space="preserve"> of the space in the area that is for administrative, clerical, professional or similar information</w:t>
      </w:r>
      <w:r w:rsidRPr="00E259F9">
        <w:noBreakHyphen/>
        <w:t>based activities, including any support facilities for those activities, is at least 2000 square metres.</w:t>
      </w:r>
    </w:p>
    <w:p w:rsidR="000C546E" w:rsidRPr="009178FC" w:rsidRDefault="00073D14" w:rsidP="007F0B78">
      <w:pPr>
        <w:pStyle w:val="ZR2"/>
        <w:ind w:left="1440" w:hanging="589"/>
        <w:jc w:val="left"/>
      </w:pPr>
      <w:r>
        <w:t>(3)</w:t>
      </w:r>
      <w:r w:rsidR="0025293F">
        <w:tab/>
      </w:r>
      <w:r w:rsidR="000C546E" w:rsidRPr="00E202BD">
        <w:t>Subject to subsections</w:t>
      </w:r>
      <w:r w:rsidR="000C546E">
        <w:t xml:space="preserve"> (4</w:t>
      </w:r>
      <w:r w:rsidR="000C546E" w:rsidRPr="00E202BD">
        <w:t>)</w:t>
      </w:r>
      <w:r w:rsidR="000C546E">
        <w:t xml:space="preserve">, (5) and </w:t>
      </w:r>
      <w:r w:rsidR="000C546E" w:rsidRPr="00E202BD">
        <w:t>(</w:t>
      </w:r>
      <w:r w:rsidR="000C546E">
        <w:t>6</w:t>
      </w:r>
      <w:r w:rsidR="000C546E" w:rsidRPr="00E202BD">
        <w:t>),</w:t>
      </w:r>
      <w:r w:rsidR="000C546E">
        <w:t xml:space="preserve"> from 1 July 2017,</w:t>
      </w:r>
      <w:r w:rsidR="000C546E" w:rsidRPr="00E202BD">
        <w:t xml:space="preserve"> an </w:t>
      </w:r>
      <w:r w:rsidR="00F61D42">
        <w:t>Area of a Building</w:t>
      </w:r>
      <w:r w:rsidR="000C546E">
        <w:t xml:space="preserve"> </w:t>
      </w:r>
      <w:r w:rsidR="000C546E" w:rsidRPr="00E202BD">
        <w:t xml:space="preserve">is </w:t>
      </w:r>
      <w:r w:rsidR="000C546E" w:rsidRPr="009178FC">
        <w:t>disclosure affected if:</w:t>
      </w:r>
    </w:p>
    <w:p w:rsidR="000C546E" w:rsidRPr="00E259F9" w:rsidRDefault="000C546E" w:rsidP="007F0B78">
      <w:pPr>
        <w:pStyle w:val="ZR2"/>
        <w:tabs>
          <w:tab w:val="clear" w:pos="794"/>
        </w:tabs>
        <w:ind w:left="1985" w:hanging="567"/>
        <w:jc w:val="left"/>
      </w:pPr>
      <w:r w:rsidRPr="00E259F9">
        <w:t>(a)</w:t>
      </w:r>
      <w:r w:rsidRPr="00E259F9">
        <w:tab/>
        <w:t xml:space="preserve">at least 75% of the space in the </w:t>
      </w:r>
      <w:r w:rsidRPr="00A64ECF">
        <w:t xml:space="preserve">building </w:t>
      </w:r>
      <w:r w:rsidRPr="00E259F9">
        <w:t xml:space="preserve">by </w:t>
      </w:r>
      <w:r w:rsidR="00F61D42">
        <w:t>Net Lettable Area</w:t>
      </w:r>
      <w:r>
        <w:t xml:space="preserve"> (or </w:t>
      </w:r>
      <w:r w:rsidR="00F61D42">
        <w:t>Gross Lettable Area</w:t>
      </w:r>
      <w:r w:rsidRPr="00FD678D">
        <w:t xml:space="preserve"> </w:t>
      </w:r>
      <w:r>
        <w:t xml:space="preserve">if </w:t>
      </w:r>
      <w:r w:rsidR="00F61D42">
        <w:t>Net Lettable Area</w:t>
      </w:r>
      <w:r>
        <w:t xml:space="preserve"> is not available)</w:t>
      </w:r>
      <w:r w:rsidRPr="00E259F9">
        <w:t xml:space="preserve"> is for administrative, clerical, professional or similar information</w:t>
      </w:r>
      <w:r w:rsidRPr="00E259F9">
        <w:noBreakHyphen/>
        <w:t>based activities, including any support facilities for those activities; and</w:t>
      </w:r>
    </w:p>
    <w:p w:rsidR="000C546E" w:rsidRDefault="000C546E" w:rsidP="007F0B78">
      <w:pPr>
        <w:pStyle w:val="ZR2"/>
        <w:tabs>
          <w:tab w:val="clear" w:pos="794"/>
        </w:tabs>
        <w:ind w:left="1985" w:hanging="567"/>
        <w:jc w:val="left"/>
      </w:pPr>
      <w:r w:rsidRPr="00E259F9">
        <w:t>(b)</w:t>
      </w:r>
      <w:r w:rsidRPr="00E259F9">
        <w:tab/>
        <w:t xml:space="preserve">the </w:t>
      </w:r>
      <w:r w:rsidR="00F61D42">
        <w:t>Net Lettable Area</w:t>
      </w:r>
      <w:r>
        <w:t xml:space="preserve"> (or </w:t>
      </w:r>
      <w:r w:rsidR="00F61D42">
        <w:t>Gross Lettable Area</w:t>
      </w:r>
      <w:r w:rsidRPr="00FD678D">
        <w:t xml:space="preserve"> </w:t>
      </w:r>
      <w:r>
        <w:t xml:space="preserve">if </w:t>
      </w:r>
      <w:r w:rsidR="00F61D42">
        <w:t>Net Lettable Area</w:t>
      </w:r>
      <w:r>
        <w:t xml:space="preserve"> is not available)</w:t>
      </w:r>
      <w:r w:rsidRPr="00E259F9">
        <w:t xml:space="preserve"> of the space in the area that is for administrative, clerical, professional or similar information</w:t>
      </w:r>
      <w:r w:rsidRPr="00E259F9">
        <w:noBreakHyphen/>
        <w:t xml:space="preserve">based activities, including any support facilities for those activities, is at least </w:t>
      </w:r>
      <w:r>
        <w:t>1</w:t>
      </w:r>
      <w:r w:rsidRPr="00E259F9">
        <w:t>000 square metres.</w:t>
      </w:r>
    </w:p>
    <w:p w:rsidR="0079313A" w:rsidRDefault="0089170E" w:rsidP="007F0B78">
      <w:pPr>
        <w:pStyle w:val="ZR2"/>
        <w:ind w:left="1440" w:hanging="589"/>
        <w:jc w:val="left"/>
      </w:pPr>
      <w:r w:rsidRPr="00EA5688">
        <w:t>(</w:t>
      </w:r>
      <w:r w:rsidR="000C546E">
        <w:t>4</w:t>
      </w:r>
      <w:r w:rsidRPr="00EA5688">
        <w:t>)</w:t>
      </w:r>
      <w:r w:rsidRPr="00EA5688">
        <w:tab/>
        <w:t xml:space="preserve">An </w:t>
      </w:r>
      <w:r w:rsidR="00F61D42">
        <w:t>Area of a Building</w:t>
      </w:r>
      <w:r w:rsidRPr="00EA5688">
        <w:t xml:space="preserve"> is not disclosure affected</w:t>
      </w:r>
      <w:r w:rsidR="0025293F">
        <w:t>,</w:t>
      </w:r>
      <w:r w:rsidRPr="00EA5688">
        <w:t xml:space="preserve"> if</w:t>
      </w:r>
      <w:r w:rsidR="0079313A">
        <w:t>:</w:t>
      </w:r>
    </w:p>
    <w:p w:rsidR="00BB685D" w:rsidRDefault="00837855" w:rsidP="007F0B78">
      <w:pPr>
        <w:pStyle w:val="ZR2"/>
        <w:numPr>
          <w:ilvl w:val="0"/>
          <w:numId w:val="7"/>
        </w:numPr>
        <w:tabs>
          <w:tab w:val="clear" w:pos="794"/>
          <w:tab w:val="right" w:pos="1985"/>
        </w:tabs>
        <w:ind w:left="1985" w:hanging="567"/>
        <w:jc w:val="left"/>
      </w:pPr>
      <w:r>
        <w:t>the building in which it is located</w:t>
      </w:r>
      <w:r w:rsidDel="00837855">
        <w:t xml:space="preserve"> </w:t>
      </w:r>
      <w:r w:rsidR="00E259F9">
        <w:t>is new</w:t>
      </w:r>
      <w:r w:rsidR="0079313A">
        <w:t>;</w:t>
      </w:r>
      <w:r w:rsidR="00E259F9">
        <w:t xml:space="preserve"> and</w:t>
      </w:r>
    </w:p>
    <w:p w:rsidR="0079313A" w:rsidRDefault="0089170E" w:rsidP="007F0B78">
      <w:pPr>
        <w:pStyle w:val="ZR2"/>
        <w:numPr>
          <w:ilvl w:val="0"/>
          <w:numId w:val="7"/>
        </w:numPr>
        <w:tabs>
          <w:tab w:val="clear" w:pos="794"/>
          <w:tab w:val="right" w:pos="1985"/>
        </w:tabs>
        <w:ind w:left="1985" w:hanging="567"/>
        <w:jc w:val="left"/>
      </w:pPr>
      <w:r w:rsidRPr="00EA5688">
        <w:t xml:space="preserve">a </w:t>
      </w:r>
      <w:r w:rsidR="00304448">
        <w:t>C</w:t>
      </w:r>
      <w:r w:rsidRPr="00EA5688">
        <w:t xml:space="preserve">ertificate of </w:t>
      </w:r>
      <w:r w:rsidR="00304448">
        <w:t>O</w:t>
      </w:r>
      <w:r w:rsidRPr="00EA5688">
        <w:t>ccupancy</w:t>
      </w:r>
      <w:r w:rsidR="0079313A">
        <w:t>:</w:t>
      </w:r>
    </w:p>
    <w:p w:rsidR="0089170E" w:rsidRPr="0089170E" w:rsidRDefault="0089170E" w:rsidP="007F0B78">
      <w:pPr>
        <w:pStyle w:val="ZR2"/>
        <w:numPr>
          <w:ilvl w:val="0"/>
          <w:numId w:val="8"/>
        </w:numPr>
        <w:tabs>
          <w:tab w:val="clear" w:pos="794"/>
          <w:tab w:val="right" w:pos="1418"/>
        </w:tabs>
        <w:ind w:left="2410" w:hanging="425"/>
        <w:jc w:val="left"/>
      </w:pPr>
      <w:r w:rsidRPr="00EA5688">
        <w:t xml:space="preserve">has not </w:t>
      </w:r>
      <w:r w:rsidR="001142A9">
        <w:t xml:space="preserve">yet </w:t>
      </w:r>
      <w:r w:rsidRPr="00EA5688">
        <w:t>been issued; or</w:t>
      </w:r>
    </w:p>
    <w:p w:rsidR="0089170E" w:rsidRDefault="00304448" w:rsidP="007F0B78">
      <w:pPr>
        <w:pStyle w:val="ZR2"/>
        <w:numPr>
          <w:ilvl w:val="0"/>
          <w:numId w:val="8"/>
        </w:numPr>
        <w:tabs>
          <w:tab w:val="clear" w:pos="794"/>
          <w:tab w:val="right" w:pos="1418"/>
        </w:tabs>
        <w:ind w:left="2410" w:hanging="425"/>
        <w:jc w:val="left"/>
      </w:pPr>
      <w:r>
        <w:t xml:space="preserve">is </w:t>
      </w:r>
      <w:r w:rsidR="0089170E" w:rsidRPr="0089170E">
        <w:t xml:space="preserve">less than 2 years </w:t>
      </w:r>
      <w:r>
        <w:t>old</w:t>
      </w:r>
      <w:r w:rsidR="0089170E" w:rsidRPr="0089170E">
        <w:t>.</w:t>
      </w:r>
    </w:p>
    <w:p w:rsidR="008A00CA" w:rsidRDefault="008A00CA" w:rsidP="007F0B78">
      <w:pPr>
        <w:pStyle w:val="ZR2"/>
        <w:ind w:hanging="113"/>
        <w:jc w:val="left"/>
      </w:pPr>
      <w:r w:rsidRPr="008428E8">
        <w:t>(</w:t>
      </w:r>
      <w:r w:rsidR="000C546E">
        <w:t>5</w:t>
      </w:r>
      <w:r w:rsidRPr="008428E8">
        <w:t>)</w:t>
      </w:r>
      <w:r w:rsidRPr="008428E8">
        <w:tab/>
        <w:t>A</w:t>
      </w:r>
      <w:r>
        <w:t xml:space="preserve">n </w:t>
      </w:r>
      <w:r w:rsidR="00F61D42">
        <w:t>Area of a Building</w:t>
      </w:r>
      <w:r w:rsidRPr="008428E8">
        <w:t xml:space="preserve"> is not</w:t>
      </w:r>
      <w:r w:rsidRPr="00E259F9">
        <w:t xml:space="preserve"> disclosure affected if</w:t>
      </w:r>
      <w:r>
        <w:t>:</w:t>
      </w:r>
    </w:p>
    <w:p w:rsidR="008A00CA" w:rsidRDefault="007912AB" w:rsidP="007F0B78">
      <w:pPr>
        <w:pStyle w:val="P1"/>
        <w:numPr>
          <w:ilvl w:val="0"/>
          <w:numId w:val="12"/>
        </w:numPr>
        <w:tabs>
          <w:tab w:val="clear" w:pos="1191"/>
        </w:tabs>
        <w:spacing w:before="180"/>
        <w:jc w:val="left"/>
      </w:pPr>
      <w:r>
        <w:t xml:space="preserve">the building in which it is located </w:t>
      </w:r>
      <w:r w:rsidR="008A00CA">
        <w:t xml:space="preserve">has had a </w:t>
      </w:r>
      <w:r w:rsidR="00F61D42">
        <w:t>Major Refurbishment</w:t>
      </w:r>
      <w:r w:rsidR="008A00CA">
        <w:t>;</w:t>
      </w:r>
      <w:r w:rsidR="008A00CA" w:rsidRPr="00E259F9">
        <w:t xml:space="preserve"> and</w:t>
      </w:r>
    </w:p>
    <w:p w:rsidR="008A00CA" w:rsidRDefault="008A00CA" w:rsidP="007F0B78">
      <w:pPr>
        <w:pStyle w:val="P1"/>
        <w:numPr>
          <w:ilvl w:val="0"/>
          <w:numId w:val="12"/>
        </w:numPr>
        <w:tabs>
          <w:tab w:val="clear" w:pos="1191"/>
        </w:tabs>
        <w:spacing w:before="180"/>
        <w:jc w:val="left"/>
      </w:pPr>
      <w:r w:rsidRPr="00E259F9">
        <w:t xml:space="preserve">a </w:t>
      </w:r>
      <w:r w:rsidR="00304448">
        <w:t>C</w:t>
      </w:r>
      <w:r w:rsidRPr="00E259F9">
        <w:t xml:space="preserve">ertificate of </w:t>
      </w:r>
      <w:r w:rsidR="00304448">
        <w:t>O</w:t>
      </w:r>
      <w:r w:rsidRPr="00E259F9">
        <w:t xml:space="preserve">ccupancy </w:t>
      </w:r>
      <w:r w:rsidR="00304448">
        <w:t xml:space="preserve">is </w:t>
      </w:r>
      <w:r>
        <w:t xml:space="preserve">less than 2 years </w:t>
      </w:r>
      <w:r w:rsidR="00304448">
        <w:t>old</w:t>
      </w:r>
      <w:r>
        <w:t xml:space="preserve">.  </w:t>
      </w:r>
    </w:p>
    <w:p w:rsidR="003234ED" w:rsidRDefault="00F27EB5" w:rsidP="007F0B78">
      <w:pPr>
        <w:pStyle w:val="ZR2"/>
        <w:ind w:left="1440" w:hanging="589"/>
        <w:jc w:val="left"/>
      </w:pPr>
      <w:r w:rsidRPr="00E202BD">
        <w:t>(</w:t>
      </w:r>
      <w:r w:rsidR="000C546E">
        <w:t>6</w:t>
      </w:r>
      <w:r w:rsidR="003234ED" w:rsidRPr="00E202BD">
        <w:t>)</w:t>
      </w:r>
      <w:r w:rsidR="003234ED" w:rsidRPr="00E202BD">
        <w:tab/>
      </w:r>
      <w:r w:rsidR="006A2B2E" w:rsidRPr="00E202BD">
        <w:t xml:space="preserve">An </w:t>
      </w:r>
      <w:r w:rsidR="00F61D42">
        <w:t>Area of a Building</w:t>
      </w:r>
      <w:r w:rsidR="006A2B2E" w:rsidRPr="00E202BD">
        <w:t xml:space="preserve"> is not disclosure affected if the area is held under a strata title system (</w:t>
      </w:r>
      <w:r w:rsidR="00104060" w:rsidRPr="00E202BD">
        <w:t>however described</w:t>
      </w:r>
      <w:r w:rsidR="006A2B2E" w:rsidRPr="00E202BD">
        <w:t>) established under a law of a State or Territory.</w:t>
      </w:r>
    </w:p>
    <w:p w:rsidR="00073D14" w:rsidRDefault="001104A7" w:rsidP="007F0B78">
      <w:pPr>
        <w:pStyle w:val="Note"/>
        <w:tabs>
          <w:tab w:val="left" w:pos="1701"/>
        </w:tabs>
        <w:jc w:val="left"/>
      </w:pPr>
      <w:r w:rsidRPr="0017144C">
        <w:rPr>
          <w:i/>
        </w:rPr>
        <w:t>Note</w:t>
      </w:r>
      <w:r w:rsidR="006B2580" w:rsidRPr="0017144C">
        <w:rPr>
          <w:i/>
        </w:rPr>
        <w:t>:</w:t>
      </w:r>
      <w:r w:rsidR="00F12125" w:rsidRPr="00E202BD">
        <w:t>   </w:t>
      </w:r>
      <w:r w:rsidR="006B2580">
        <w:tab/>
      </w:r>
      <w:r w:rsidRPr="00E202BD">
        <w:t xml:space="preserve">See the definition of </w:t>
      </w:r>
      <w:r w:rsidRPr="00E202BD">
        <w:rPr>
          <w:b/>
          <w:i/>
        </w:rPr>
        <w:t>disclosure affected area of a building</w:t>
      </w:r>
      <w:r w:rsidRPr="00E202BD">
        <w:t xml:space="preserve"> in the Act.</w:t>
      </w:r>
    </w:p>
    <w:p w:rsidR="00252D4E" w:rsidRPr="00E202BD" w:rsidRDefault="00252D4E" w:rsidP="007F0B78">
      <w:pPr>
        <w:pStyle w:val="NoteEnd"/>
        <w:keepNext/>
        <w:pBdr>
          <w:top w:val="single" w:sz="4" w:space="3" w:color="auto"/>
        </w:pBdr>
        <w:spacing w:before="480"/>
        <w:jc w:val="left"/>
        <w:rPr>
          <w:rFonts w:ascii="Arial" w:hAnsi="Arial"/>
          <w:b/>
          <w:sz w:val="24"/>
        </w:rPr>
      </w:pPr>
      <w:r w:rsidRPr="00E202BD">
        <w:rPr>
          <w:rFonts w:ascii="Arial" w:hAnsi="Arial"/>
          <w:b/>
          <w:sz w:val="24"/>
        </w:rPr>
        <w:t>Note</w:t>
      </w:r>
    </w:p>
    <w:p w:rsidR="004C3987" w:rsidRPr="00E202BD" w:rsidRDefault="00252D4E" w:rsidP="007F0B78">
      <w:pPr>
        <w:pStyle w:val="NoteEnd"/>
        <w:jc w:val="left"/>
      </w:pPr>
      <w:r w:rsidRPr="00E202BD">
        <w:t>1.</w:t>
      </w:r>
      <w:r w:rsidRPr="00E202BD">
        <w:tab/>
        <w:t xml:space="preserve">All legislative instruments and compilations are registered on the Federal Register of </w:t>
      </w:r>
      <w:r w:rsidR="00614E60">
        <w:t xml:space="preserve">Legislation </w:t>
      </w:r>
      <w:r w:rsidRPr="00E202BD">
        <w:t xml:space="preserve">kept under the </w:t>
      </w:r>
      <w:r w:rsidR="00614E60">
        <w:rPr>
          <w:i/>
        </w:rPr>
        <w:t xml:space="preserve">Legislation </w:t>
      </w:r>
      <w:r w:rsidRPr="00E202BD">
        <w:rPr>
          <w:i/>
        </w:rPr>
        <w:t xml:space="preserve">Act 2003. </w:t>
      </w:r>
      <w:r w:rsidRPr="00E202BD">
        <w:t xml:space="preserve">See </w:t>
      </w:r>
      <w:hyperlink r:id="rId18" w:history="1">
        <w:r w:rsidR="0017144C" w:rsidRPr="00976850">
          <w:rPr>
            <w:rStyle w:val="Hyperlink"/>
          </w:rPr>
          <w:t>http://comlaw.gov.au</w:t>
        </w:r>
      </w:hyperlink>
      <w:r w:rsidR="0017144C">
        <w:rPr>
          <w:u w:val="single"/>
        </w:rPr>
        <w:t xml:space="preserve"> </w:t>
      </w:r>
    </w:p>
    <w:sectPr w:rsidR="004C3987" w:rsidRPr="00E202BD" w:rsidSect="00073D14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type w:val="continuous"/>
      <w:pgSz w:w="11907" w:h="16839" w:code="9"/>
      <w:pgMar w:top="1104" w:right="1797" w:bottom="1440" w:left="179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417" w:rsidRDefault="003C2417">
      <w:r>
        <w:separator/>
      </w:r>
    </w:p>
  </w:endnote>
  <w:endnote w:type="continuationSeparator" w:id="0">
    <w:p w:rsidR="003C2417" w:rsidRDefault="003C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E64" w:rsidRDefault="00CD3E64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D3E64" w:rsidRPr="000E1CC4">
      <w:tc>
        <w:tcPr>
          <w:tcW w:w="1134" w:type="dxa"/>
        </w:tcPr>
        <w:p w:rsidR="00CD3E64" w:rsidRPr="000E1CC4" w:rsidRDefault="00B07E44" w:rsidP="00FF0028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CD3E64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614E60"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CD3E64" w:rsidRPr="0056689B" w:rsidRDefault="00B07E44" w:rsidP="00FF0028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i w:val="0"/>
              <w:sz w:val="24"/>
              <w:szCs w:val="24"/>
            </w:rPr>
          </w:pP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begin"/>
          </w:r>
          <w:r w:rsidR="00CD3E64" w:rsidRPr="0056689B">
            <w:rPr>
              <w:rFonts w:ascii="Times New Roman" w:hAnsi="Times New Roman"/>
              <w:i w:val="0"/>
              <w:sz w:val="24"/>
              <w:szCs w:val="24"/>
            </w:rPr>
            <w:instrText xml:space="preserve"> REF  Citation\*charformat </w:instrTex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separate"/>
          </w:r>
          <w:r w:rsidR="009B233F" w:rsidRPr="009B233F">
            <w:rPr>
              <w:rFonts w:ascii="Times New Roman" w:hAnsi="Times New Roman"/>
              <w:i w:val="0"/>
              <w:sz w:val="24"/>
              <w:szCs w:val="24"/>
            </w:rPr>
            <w:t>Building Energy Efficiency Disclosure (Disclosure Affected Buildings) Determination 2015</w: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:rsidR="00CD3E64" w:rsidRPr="000E1CC4" w:rsidRDefault="00CD3E64" w:rsidP="00FF0028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CD3E64" w:rsidRDefault="00CD3E64">
    <w:pPr>
      <w:pStyle w:val="FooterDraft"/>
      <w:ind w:right="360" w:firstLine="360"/>
    </w:pPr>
  </w:p>
  <w:p w:rsidR="00CD3E64" w:rsidRDefault="00CD3E64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E64" w:rsidRDefault="00CD3E64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D3E64" w:rsidRPr="000E1CC4">
      <w:tc>
        <w:tcPr>
          <w:tcW w:w="1134" w:type="dxa"/>
        </w:tcPr>
        <w:p w:rsidR="00CD3E64" w:rsidRPr="000E1CC4" w:rsidRDefault="00CD3E64" w:rsidP="00FF0028">
          <w:pPr>
            <w:spacing w:line="240" w:lineRule="exact"/>
          </w:pPr>
        </w:p>
      </w:tc>
      <w:tc>
        <w:tcPr>
          <w:tcW w:w="6095" w:type="dxa"/>
        </w:tcPr>
        <w:p w:rsidR="00CD3E64" w:rsidRPr="0056689B" w:rsidRDefault="00B07E44" w:rsidP="00FF0028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56689B">
            <w:rPr>
              <w:rFonts w:ascii="Times New Roman" w:hAnsi="Times New Roman"/>
              <w:i w:val="0"/>
              <w:sz w:val="24"/>
            </w:rPr>
            <w:fldChar w:fldCharType="begin"/>
          </w:r>
          <w:r w:rsidR="00CD3E64">
            <w:rPr>
              <w:rFonts w:ascii="Times New Roman" w:hAnsi="Times New Roman"/>
              <w:i w:val="0"/>
              <w:sz w:val="24"/>
            </w:rPr>
            <w:instrText>REF Citation</w:instrText>
          </w:r>
          <w:r w:rsidRPr="0056689B">
            <w:rPr>
              <w:rFonts w:ascii="Times New Roman" w:hAnsi="Times New Roman"/>
              <w:i w:val="0"/>
              <w:sz w:val="24"/>
            </w:rPr>
            <w:fldChar w:fldCharType="separate"/>
          </w:r>
          <w:r w:rsidR="009B233F" w:rsidRPr="00E202BD">
            <w:t>Building Energy Efficiency Disclosure (Disclosure Affected Buildings) Determination</w:t>
          </w:r>
          <w:r w:rsidR="009B233F">
            <w:t xml:space="preserve"> 2015</w:t>
          </w:r>
          <w:r w:rsidRPr="0056689B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:rsidR="00CD3E64" w:rsidRPr="000E1CC4" w:rsidRDefault="00B07E44" w:rsidP="00FF0028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CD3E64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6817F8">
            <w:rPr>
              <w:rStyle w:val="PageNumber"/>
              <w:rFonts w:cs="Arial"/>
              <w:noProof/>
              <w:szCs w:val="22"/>
            </w:rPr>
            <w:t>5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CD3E64" w:rsidRDefault="00CD3E64">
    <w:pPr>
      <w:pStyle w:val="FooterDraft"/>
    </w:pPr>
  </w:p>
  <w:p w:rsidR="00CD3E64" w:rsidRDefault="00CD3E64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E64" w:rsidRDefault="00CD3E64" w:rsidP="00D50BFA">
    <w:pPr>
      <w:pStyle w:val="FooterDraft"/>
    </w:pPr>
  </w:p>
  <w:p w:rsidR="00CD3E64" w:rsidRPr="00974D8C" w:rsidRDefault="00CD3E64">
    <w:pPr>
      <w:pStyle w:val="FooterInfo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E64" w:rsidRDefault="00CD3E64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D3E64">
      <w:tc>
        <w:tcPr>
          <w:tcW w:w="1134" w:type="dxa"/>
        </w:tcPr>
        <w:p w:rsidR="00CD3E64" w:rsidRPr="003D7214" w:rsidRDefault="00B07E44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CD3E64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E274A7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CD3E64" w:rsidRPr="004F5D6D" w:rsidRDefault="00E274A7" w:rsidP="00BD545A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9B233F" w:rsidRPr="00E202BD">
            <w:t>Building Energy Efficiency Disclosure (Disclosure Affected Buildings) Determination</w:t>
          </w:r>
          <w:r w:rsidR="009B233F">
            <w:t xml:space="preserve"> 2015</w:t>
          </w:r>
          <w:r>
            <w:fldChar w:fldCharType="end"/>
          </w:r>
        </w:p>
      </w:tc>
      <w:tc>
        <w:tcPr>
          <w:tcW w:w="1134" w:type="dxa"/>
        </w:tcPr>
        <w:p w:rsidR="00CD3E64" w:rsidRPr="00451BF5" w:rsidRDefault="00CD3E64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CD3E64" w:rsidRDefault="00CD3E64" w:rsidP="00073D14">
    <w:pPr>
      <w:pStyle w:val="FooterInfo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E64" w:rsidRDefault="00CD3E64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D3E64">
      <w:tc>
        <w:tcPr>
          <w:tcW w:w="1134" w:type="dxa"/>
        </w:tcPr>
        <w:p w:rsidR="00CD3E64" w:rsidRDefault="00CD3E64" w:rsidP="00BD545A">
          <w:pPr>
            <w:spacing w:line="240" w:lineRule="exact"/>
          </w:pPr>
        </w:p>
      </w:tc>
      <w:tc>
        <w:tcPr>
          <w:tcW w:w="6095" w:type="dxa"/>
        </w:tcPr>
        <w:p w:rsidR="00CD3E64" w:rsidRPr="004F5D6D" w:rsidRDefault="00E274A7" w:rsidP="00BD545A">
          <w:pPr>
            <w:pStyle w:val="FooterCitation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9B233F" w:rsidRPr="00E202BD">
            <w:t>Building Energy Efficiency Disclosure (Disclosure Affected Buildings) Determination</w:t>
          </w:r>
          <w:r w:rsidR="009B233F">
            <w:t xml:space="preserve"> 2015</w:t>
          </w:r>
          <w:r>
            <w:fldChar w:fldCharType="end"/>
          </w:r>
        </w:p>
      </w:tc>
      <w:tc>
        <w:tcPr>
          <w:tcW w:w="1134" w:type="dxa"/>
        </w:tcPr>
        <w:p w:rsidR="00CD3E64" w:rsidRPr="003D7214" w:rsidRDefault="00B07E44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CD3E64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E274A7">
            <w:rPr>
              <w:rStyle w:val="PageNumber"/>
              <w:rFonts w:cs="Arial"/>
              <w:noProof/>
              <w:szCs w:val="22"/>
            </w:rPr>
            <w:t>5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CD3E64" w:rsidRDefault="00CD3E64" w:rsidP="00073D14">
    <w:pPr>
      <w:pStyle w:val="FooterInfo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E64" w:rsidRDefault="00CD3E64">
    <w:pPr>
      <w:pStyle w:val="FooterDraft"/>
    </w:pPr>
  </w:p>
  <w:p w:rsidR="00CD3E64" w:rsidRPr="00974D8C" w:rsidRDefault="00CD3E64">
    <w:pPr>
      <w:pStyle w:val="FooterInfo"/>
    </w:pPr>
    <w:r>
      <w:rPr>
        <w:noProof/>
      </w:rPr>
      <w:t>1004941B-100707Z.doc</w:t>
    </w:r>
    <w:r w:rsidRPr="00974D8C"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417" w:rsidRDefault="003C2417">
      <w:r>
        <w:separator/>
      </w:r>
    </w:p>
  </w:footnote>
  <w:footnote w:type="continuationSeparator" w:id="0">
    <w:p w:rsidR="003C2417" w:rsidRDefault="003C2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CD3E64" w:rsidRPr="000E1CC4">
      <w:tc>
        <w:tcPr>
          <w:tcW w:w="8385" w:type="dxa"/>
        </w:tcPr>
        <w:p w:rsidR="00CD3E64" w:rsidRPr="000E1CC4" w:rsidRDefault="00CD3E64" w:rsidP="00FF0028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CD3E64" w:rsidRPr="000E1CC4">
      <w:tc>
        <w:tcPr>
          <w:tcW w:w="8385" w:type="dxa"/>
        </w:tcPr>
        <w:p w:rsidR="00CD3E64" w:rsidRPr="000E1CC4" w:rsidRDefault="00CD3E64" w:rsidP="00FF0028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CD3E64" w:rsidRPr="000E1CC4">
      <w:tc>
        <w:tcPr>
          <w:tcW w:w="8385" w:type="dxa"/>
        </w:tcPr>
        <w:p w:rsidR="00CD3E64" w:rsidRPr="0056689B" w:rsidRDefault="00CD3E64" w:rsidP="00FF0028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:rsidR="00CD3E64" w:rsidRDefault="00CD3E6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CD3E64" w:rsidRPr="000E1CC4">
      <w:tc>
        <w:tcPr>
          <w:tcW w:w="8385" w:type="dxa"/>
        </w:tcPr>
        <w:p w:rsidR="00CD3E64" w:rsidRPr="000E1CC4" w:rsidRDefault="00CD3E64"/>
      </w:tc>
    </w:tr>
    <w:tr w:rsidR="00CD3E64" w:rsidRPr="000E1CC4">
      <w:tc>
        <w:tcPr>
          <w:tcW w:w="8385" w:type="dxa"/>
        </w:tcPr>
        <w:p w:rsidR="00CD3E64" w:rsidRPr="000E1CC4" w:rsidRDefault="00CD3E64"/>
      </w:tc>
    </w:tr>
    <w:tr w:rsidR="00CD3E64" w:rsidRPr="000E1CC4">
      <w:tc>
        <w:tcPr>
          <w:tcW w:w="8385" w:type="dxa"/>
        </w:tcPr>
        <w:p w:rsidR="00CD3E64" w:rsidRPr="000E1CC4" w:rsidRDefault="00CD3E64"/>
      </w:tc>
    </w:tr>
  </w:tbl>
  <w:p w:rsidR="00CD3E64" w:rsidRDefault="00CD3E6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E64" w:rsidRDefault="00CD3E64" w:rsidP="00BD545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E64" w:rsidRDefault="00CD3E64" w:rsidP="00BD5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B3648D8"/>
    <w:multiLevelType w:val="hybridMultilevel"/>
    <w:tmpl w:val="73C83D92"/>
    <w:lvl w:ilvl="0" w:tplc="5ED69548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4736F7"/>
    <w:multiLevelType w:val="multilevel"/>
    <w:tmpl w:val="FACA9CAE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1F58AC"/>
    <w:multiLevelType w:val="hybridMultilevel"/>
    <w:tmpl w:val="9C8651A6"/>
    <w:lvl w:ilvl="0" w:tplc="C5E46074">
      <w:start w:val="1"/>
      <w:numFmt w:val="lowerRoman"/>
      <w:lvlText w:val="(%1)"/>
      <w:lvlJc w:val="left"/>
      <w:pPr>
        <w:ind w:left="5019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5739" w:hanging="360"/>
      </w:pPr>
    </w:lvl>
    <w:lvl w:ilvl="2" w:tplc="0C09001B" w:tentative="1">
      <w:start w:val="1"/>
      <w:numFmt w:val="lowerRoman"/>
      <w:lvlText w:val="%3."/>
      <w:lvlJc w:val="right"/>
      <w:pPr>
        <w:ind w:left="6459" w:hanging="180"/>
      </w:pPr>
    </w:lvl>
    <w:lvl w:ilvl="3" w:tplc="0C09000F" w:tentative="1">
      <w:start w:val="1"/>
      <w:numFmt w:val="decimal"/>
      <w:lvlText w:val="%4."/>
      <w:lvlJc w:val="left"/>
      <w:pPr>
        <w:ind w:left="7179" w:hanging="360"/>
      </w:pPr>
    </w:lvl>
    <w:lvl w:ilvl="4" w:tplc="0C090019" w:tentative="1">
      <w:start w:val="1"/>
      <w:numFmt w:val="lowerLetter"/>
      <w:lvlText w:val="%5."/>
      <w:lvlJc w:val="left"/>
      <w:pPr>
        <w:ind w:left="7899" w:hanging="360"/>
      </w:pPr>
    </w:lvl>
    <w:lvl w:ilvl="5" w:tplc="0C09001B" w:tentative="1">
      <w:start w:val="1"/>
      <w:numFmt w:val="lowerRoman"/>
      <w:lvlText w:val="%6."/>
      <w:lvlJc w:val="right"/>
      <w:pPr>
        <w:ind w:left="8619" w:hanging="180"/>
      </w:pPr>
    </w:lvl>
    <w:lvl w:ilvl="6" w:tplc="0C09000F" w:tentative="1">
      <w:start w:val="1"/>
      <w:numFmt w:val="decimal"/>
      <w:lvlText w:val="%7."/>
      <w:lvlJc w:val="left"/>
      <w:pPr>
        <w:ind w:left="9339" w:hanging="360"/>
      </w:pPr>
    </w:lvl>
    <w:lvl w:ilvl="7" w:tplc="0C090019" w:tentative="1">
      <w:start w:val="1"/>
      <w:numFmt w:val="lowerLetter"/>
      <w:lvlText w:val="%8."/>
      <w:lvlJc w:val="left"/>
      <w:pPr>
        <w:ind w:left="10059" w:hanging="360"/>
      </w:pPr>
    </w:lvl>
    <w:lvl w:ilvl="8" w:tplc="0C09001B" w:tentative="1">
      <w:start w:val="1"/>
      <w:numFmt w:val="lowerRoman"/>
      <w:lvlText w:val="%9."/>
      <w:lvlJc w:val="right"/>
      <w:pPr>
        <w:ind w:left="10779" w:hanging="180"/>
      </w:pPr>
    </w:lvl>
  </w:abstractNum>
  <w:abstractNum w:abstractNumId="4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B1446AA"/>
    <w:multiLevelType w:val="hybridMultilevel"/>
    <w:tmpl w:val="40648A92"/>
    <w:lvl w:ilvl="0" w:tplc="4CEEA1EE">
      <w:start w:val="1"/>
      <w:numFmt w:val="lowerLetter"/>
      <w:lvlText w:val="(%1)"/>
      <w:lvlJc w:val="left"/>
      <w:pPr>
        <w:ind w:left="28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575" w:hanging="360"/>
      </w:pPr>
    </w:lvl>
    <w:lvl w:ilvl="2" w:tplc="0C09001B" w:tentative="1">
      <w:start w:val="1"/>
      <w:numFmt w:val="lowerRoman"/>
      <w:lvlText w:val="%3."/>
      <w:lvlJc w:val="right"/>
      <w:pPr>
        <w:ind w:left="4295" w:hanging="180"/>
      </w:pPr>
    </w:lvl>
    <w:lvl w:ilvl="3" w:tplc="0C09000F" w:tentative="1">
      <w:start w:val="1"/>
      <w:numFmt w:val="decimal"/>
      <w:lvlText w:val="%4."/>
      <w:lvlJc w:val="left"/>
      <w:pPr>
        <w:ind w:left="5015" w:hanging="360"/>
      </w:pPr>
    </w:lvl>
    <w:lvl w:ilvl="4" w:tplc="0C090019" w:tentative="1">
      <w:start w:val="1"/>
      <w:numFmt w:val="lowerLetter"/>
      <w:lvlText w:val="%5."/>
      <w:lvlJc w:val="left"/>
      <w:pPr>
        <w:ind w:left="5735" w:hanging="360"/>
      </w:pPr>
    </w:lvl>
    <w:lvl w:ilvl="5" w:tplc="0C09001B" w:tentative="1">
      <w:start w:val="1"/>
      <w:numFmt w:val="lowerRoman"/>
      <w:lvlText w:val="%6."/>
      <w:lvlJc w:val="right"/>
      <w:pPr>
        <w:ind w:left="6455" w:hanging="180"/>
      </w:pPr>
    </w:lvl>
    <w:lvl w:ilvl="6" w:tplc="0C09000F" w:tentative="1">
      <w:start w:val="1"/>
      <w:numFmt w:val="decimal"/>
      <w:lvlText w:val="%7."/>
      <w:lvlJc w:val="left"/>
      <w:pPr>
        <w:ind w:left="7175" w:hanging="360"/>
      </w:pPr>
    </w:lvl>
    <w:lvl w:ilvl="7" w:tplc="0C090019" w:tentative="1">
      <w:start w:val="1"/>
      <w:numFmt w:val="lowerLetter"/>
      <w:lvlText w:val="%8."/>
      <w:lvlJc w:val="left"/>
      <w:pPr>
        <w:ind w:left="7895" w:hanging="360"/>
      </w:pPr>
    </w:lvl>
    <w:lvl w:ilvl="8" w:tplc="0C09001B" w:tentative="1">
      <w:start w:val="1"/>
      <w:numFmt w:val="lowerRoman"/>
      <w:lvlText w:val="%9."/>
      <w:lvlJc w:val="right"/>
      <w:pPr>
        <w:ind w:left="8615" w:hanging="180"/>
      </w:pPr>
    </w:lvl>
  </w:abstractNum>
  <w:abstractNum w:abstractNumId="6" w15:restartNumberingAfterBreak="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BF86321"/>
    <w:multiLevelType w:val="hybridMultilevel"/>
    <w:tmpl w:val="5E86A7AC"/>
    <w:lvl w:ilvl="0" w:tplc="17406EC8">
      <w:start w:val="1"/>
      <w:numFmt w:val="lowerLetter"/>
      <w:lvlText w:val="(%1)"/>
      <w:lvlJc w:val="left"/>
      <w:pPr>
        <w:ind w:left="1444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8" w15:restartNumberingAfterBreak="0">
    <w:nsid w:val="43C34392"/>
    <w:multiLevelType w:val="hybridMultilevel"/>
    <w:tmpl w:val="F0FCB6EC"/>
    <w:lvl w:ilvl="0" w:tplc="4CEEA1EE">
      <w:start w:val="1"/>
      <w:numFmt w:val="lowerLetter"/>
      <w:lvlText w:val="(%1)"/>
      <w:lvlJc w:val="left"/>
      <w:pPr>
        <w:ind w:left="21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6" w:hanging="360"/>
      </w:pPr>
    </w:lvl>
    <w:lvl w:ilvl="2" w:tplc="0C09001B" w:tentative="1">
      <w:start w:val="1"/>
      <w:numFmt w:val="lowerRoman"/>
      <w:lvlText w:val="%3."/>
      <w:lvlJc w:val="right"/>
      <w:pPr>
        <w:ind w:left="3576" w:hanging="180"/>
      </w:pPr>
    </w:lvl>
    <w:lvl w:ilvl="3" w:tplc="0C09000F" w:tentative="1">
      <w:start w:val="1"/>
      <w:numFmt w:val="decimal"/>
      <w:lvlText w:val="%4."/>
      <w:lvlJc w:val="left"/>
      <w:pPr>
        <w:ind w:left="4296" w:hanging="360"/>
      </w:pPr>
    </w:lvl>
    <w:lvl w:ilvl="4" w:tplc="0C090019" w:tentative="1">
      <w:start w:val="1"/>
      <w:numFmt w:val="lowerLetter"/>
      <w:lvlText w:val="%5."/>
      <w:lvlJc w:val="left"/>
      <w:pPr>
        <w:ind w:left="5016" w:hanging="360"/>
      </w:pPr>
    </w:lvl>
    <w:lvl w:ilvl="5" w:tplc="0C09001B" w:tentative="1">
      <w:start w:val="1"/>
      <w:numFmt w:val="lowerRoman"/>
      <w:lvlText w:val="%6."/>
      <w:lvlJc w:val="right"/>
      <w:pPr>
        <w:ind w:left="5736" w:hanging="180"/>
      </w:pPr>
    </w:lvl>
    <w:lvl w:ilvl="6" w:tplc="0C09000F" w:tentative="1">
      <w:start w:val="1"/>
      <w:numFmt w:val="decimal"/>
      <w:lvlText w:val="%7."/>
      <w:lvlJc w:val="left"/>
      <w:pPr>
        <w:ind w:left="6456" w:hanging="360"/>
      </w:pPr>
    </w:lvl>
    <w:lvl w:ilvl="7" w:tplc="0C090019" w:tentative="1">
      <w:start w:val="1"/>
      <w:numFmt w:val="lowerLetter"/>
      <w:lvlText w:val="%8."/>
      <w:lvlJc w:val="left"/>
      <w:pPr>
        <w:ind w:left="7176" w:hanging="360"/>
      </w:pPr>
    </w:lvl>
    <w:lvl w:ilvl="8" w:tplc="0C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5DB65126"/>
    <w:multiLevelType w:val="multilevel"/>
    <w:tmpl w:val="F00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49874F7"/>
    <w:multiLevelType w:val="hybridMultilevel"/>
    <w:tmpl w:val="FDE03B10"/>
    <w:lvl w:ilvl="0" w:tplc="4CEEA1E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F66EDF"/>
    <w:multiLevelType w:val="hybridMultilevel"/>
    <w:tmpl w:val="47A844C4"/>
    <w:lvl w:ilvl="0" w:tplc="7DEC364E">
      <w:start w:val="1"/>
      <w:numFmt w:val="lowerLetter"/>
      <w:lvlText w:val="(%1)"/>
      <w:lvlJc w:val="left"/>
      <w:pPr>
        <w:ind w:left="168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04" w:hanging="360"/>
      </w:pPr>
    </w:lvl>
    <w:lvl w:ilvl="2" w:tplc="0C09001B" w:tentative="1">
      <w:start w:val="1"/>
      <w:numFmt w:val="lowerRoman"/>
      <w:lvlText w:val="%3."/>
      <w:lvlJc w:val="right"/>
      <w:pPr>
        <w:ind w:left="3124" w:hanging="180"/>
      </w:pPr>
    </w:lvl>
    <w:lvl w:ilvl="3" w:tplc="0C09000F" w:tentative="1">
      <w:start w:val="1"/>
      <w:numFmt w:val="decimal"/>
      <w:lvlText w:val="%4."/>
      <w:lvlJc w:val="left"/>
      <w:pPr>
        <w:ind w:left="3844" w:hanging="360"/>
      </w:pPr>
    </w:lvl>
    <w:lvl w:ilvl="4" w:tplc="0C090019" w:tentative="1">
      <w:start w:val="1"/>
      <w:numFmt w:val="lowerLetter"/>
      <w:lvlText w:val="%5."/>
      <w:lvlJc w:val="left"/>
      <w:pPr>
        <w:ind w:left="4564" w:hanging="360"/>
      </w:pPr>
    </w:lvl>
    <w:lvl w:ilvl="5" w:tplc="0C09001B" w:tentative="1">
      <w:start w:val="1"/>
      <w:numFmt w:val="lowerRoman"/>
      <w:lvlText w:val="%6."/>
      <w:lvlJc w:val="right"/>
      <w:pPr>
        <w:ind w:left="5284" w:hanging="180"/>
      </w:pPr>
    </w:lvl>
    <w:lvl w:ilvl="6" w:tplc="0C09000F" w:tentative="1">
      <w:start w:val="1"/>
      <w:numFmt w:val="decimal"/>
      <w:lvlText w:val="%7."/>
      <w:lvlJc w:val="left"/>
      <w:pPr>
        <w:ind w:left="6004" w:hanging="360"/>
      </w:pPr>
    </w:lvl>
    <w:lvl w:ilvl="7" w:tplc="0C090019" w:tentative="1">
      <w:start w:val="1"/>
      <w:numFmt w:val="lowerLetter"/>
      <w:lvlText w:val="%8."/>
      <w:lvlJc w:val="left"/>
      <w:pPr>
        <w:ind w:left="6724" w:hanging="360"/>
      </w:pPr>
    </w:lvl>
    <w:lvl w:ilvl="8" w:tplc="0C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 w15:restartNumberingAfterBreak="0">
    <w:nsid w:val="6F450BE5"/>
    <w:multiLevelType w:val="hybridMultilevel"/>
    <w:tmpl w:val="DB62D494"/>
    <w:lvl w:ilvl="0" w:tplc="0C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F155B4"/>
    <w:multiLevelType w:val="hybridMultilevel"/>
    <w:tmpl w:val="36583B7C"/>
    <w:lvl w:ilvl="0" w:tplc="4CEEA1E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13"/>
  </w:num>
  <w:num w:numId="10">
    <w:abstractNumId w:val="12"/>
  </w:num>
  <w:num w:numId="11">
    <w:abstractNumId w:val="2"/>
  </w:num>
  <w:num w:numId="12">
    <w:abstractNumId w:val="10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trackRevisions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252D4E"/>
    <w:rsid w:val="00000058"/>
    <w:rsid w:val="00002715"/>
    <w:rsid w:val="000038A0"/>
    <w:rsid w:val="0000452B"/>
    <w:rsid w:val="00007401"/>
    <w:rsid w:val="00012F8A"/>
    <w:rsid w:val="0001662A"/>
    <w:rsid w:val="00020108"/>
    <w:rsid w:val="00021FA6"/>
    <w:rsid w:val="00026426"/>
    <w:rsid w:val="00032A09"/>
    <w:rsid w:val="00032F2C"/>
    <w:rsid w:val="000338C4"/>
    <w:rsid w:val="00040008"/>
    <w:rsid w:val="00040090"/>
    <w:rsid w:val="000403D5"/>
    <w:rsid w:val="000427E4"/>
    <w:rsid w:val="00042F54"/>
    <w:rsid w:val="00043CB6"/>
    <w:rsid w:val="0004456C"/>
    <w:rsid w:val="0004593A"/>
    <w:rsid w:val="00045BA4"/>
    <w:rsid w:val="00045F1B"/>
    <w:rsid w:val="00050E0B"/>
    <w:rsid w:val="0005102A"/>
    <w:rsid w:val="000521B7"/>
    <w:rsid w:val="0005339D"/>
    <w:rsid w:val="000564EC"/>
    <w:rsid w:val="00060076"/>
    <w:rsid w:val="000600E4"/>
    <w:rsid w:val="00061795"/>
    <w:rsid w:val="000646EC"/>
    <w:rsid w:val="00065118"/>
    <w:rsid w:val="00065296"/>
    <w:rsid w:val="000653EB"/>
    <w:rsid w:val="00067F81"/>
    <w:rsid w:val="000715D1"/>
    <w:rsid w:val="00071CF3"/>
    <w:rsid w:val="00073D14"/>
    <w:rsid w:val="00076DD4"/>
    <w:rsid w:val="00080095"/>
    <w:rsid w:val="00082916"/>
    <w:rsid w:val="00083189"/>
    <w:rsid w:val="00084C99"/>
    <w:rsid w:val="0008560A"/>
    <w:rsid w:val="000871C6"/>
    <w:rsid w:val="00091146"/>
    <w:rsid w:val="00095849"/>
    <w:rsid w:val="00095924"/>
    <w:rsid w:val="00095CDC"/>
    <w:rsid w:val="00096EAF"/>
    <w:rsid w:val="000A0788"/>
    <w:rsid w:val="000A0CCA"/>
    <w:rsid w:val="000A1742"/>
    <w:rsid w:val="000A620C"/>
    <w:rsid w:val="000A68BD"/>
    <w:rsid w:val="000A7869"/>
    <w:rsid w:val="000B4121"/>
    <w:rsid w:val="000B51B3"/>
    <w:rsid w:val="000C2F03"/>
    <w:rsid w:val="000C546E"/>
    <w:rsid w:val="000C57A5"/>
    <w:rsid w:val="000C616B"/>
    <w:rsid w:val="000D1916"/>
    <w:rsid w:val="000D2085"/>
    <w:rsid w:val="000D4C35"/>
    <w:rsid w:val="000E16EC"/>
    <w:rsid w:val="000E263B"/>
    <w:rsid w:val="000E27E3"/>
    <w:rsid w:val="000E33C1"/>
    <w:rsid w:val="000E48BD"/>
    <w:rsid w:val="000E7494"/>
    <w:rsid w:val="00104060"/>
    <w:rsid w:val="001058D4"/>
    <w:rsid w:val="00105BB8"/>
    <w:rsid w:val="001104A7"/>
    <w:rsid w:val="00111319"/>
    <w:rsid w:val="00111D90"/>
    <w:rsid w:val="001142A9"/>
    <w:rsid w:val="001143AB"/>
    <w:rsid w:val="00116989"/>
    <w:rsid w:val="00125657"/>
    <w:rsid w:val="001312D8"/>
    <w:rsid w:val="001328CE"/>
    <w:rsid w:val="00134DDC"/>
    <w:rsid w:val="00140090"/>
    <w:rsid w:val="001409F1"/>
    <w:rsid w:val="001414AE"/>
    <w:rsid w:val="0014186A"/>
    <w:rsid w:val="00141CBA"/>
    <w:rsid w:val="001423A8"/>
    <w:rsid w:val="00144DE3"/>
    <w:rsid w:val="0015045A"/>
    <w:rsid w:val="00153195"/>
    <w:rsid w:val="00160288"/>
    <w:rsid w:val="0016255A"/>
    <w:rsid w:val="00162609"/>
    <w:rsid w:val="00164935"/>
    <w:rsid w:val="00165D61"/>
    <w:rsid w:val="0017144C"/>
    <w:rsid w:val="0017420C"/>
    <w:rsid w:val="00175AF1"/>
    <w:rsid w:val="0017685B"/>
    <w:rsid w:val="001800B9"/>
    <w:rsid w:val="00184398"/>
    <w:rsid w:val="00185F83"/>
    <w:rsid w:val="00186360"/>
    <w:rsid w:val="00186676"/>
    <w:rsid w:val="00187D63"/>
    <w:rsid w:val="0019137F"/>
    <w:rsid w:val="00191FA5"/>
    <w:rsid w:val="00192C10"/>
    <w:rsid w:val="00193F32"/>
    <w:rsid w:val="00197119"/>
    <w:rsid w:val="001A1E59"/>
    <w:rsid w:val="001A2187"/>
    <w:rsid w:val="001A4DD7"/>
    <w:rsid w:val="001A6C59"/>
    <w:rsid w:val="001B0044"/>
    <w:rsid w:val="001B087F"/>
    <w:rsid w:val="001C22F5"/>
    <w:rsid w:val="001C25FE"/>
    <w:rsid w:val="001C7118"/>
    <w:rsid w:val="001C769F"/>
    <w:rsid w:val="001D4D2D"/>
    <w:rsid w:val="001D5D70"/>
    <w:rsid w:val="001D619B"/>
    <w:rsid w:val="001D6D71"/>
    <w:rsid w:val="001E092D"/>
    <w:rsid w:val="001E1749"/>
    <w:rsid w:val="001E244F"/>
    <w:rsid w:val="001E654F"/>
    <w:rsid w:val="001F108C"/>
    <w:rsid w:val="001F41C5"/>
    <w:rsid w:val="001F42CB"/>
    <w:rsid w:val="001F71CD"/>
    <w:rsid w:val="00201571"/>
    <w:rsid w:val="002015B2"/>
    <w:rsid w:val="00203232"/>
    <w:rsid w:val="002044A8"/>
    <w:rsid w:val="00204E35"/>
    <w:rsid w:val="00205BA1"/>
    <w:rsid w:val="00205BB2"/>
    <w:rsid w:val="002074BD"/>
    <w:rsid w:val="00210652"/>
    <w:rsid w:val="00213362"/>
    <w:rsid w:val="00214C3B"/>
    <w:rsid w:val="00220AA9"/>
    <w:rsid w:val="00220DD3"/>
    <w:rsid w:val="00220F8C"/>
    <w:rsid w:val="00221073"/>
    <w:rsid w:val="00222FD0"/>
    <w:rsid w:val="002241FB"/>
    <w:rsid w:val="002252C7"/>
    <w:rsid w:val="0022734F"/>
    <w:rsid w:val="00233C57"/>
    <w:rsid w:val="0023489C"/>
    <w:rsid w:val="0024097E"/>
    <w:rsid w:val="0024222C"/>
    <w:rsid w:val="00243601"/>
    <w:rsid w:val="00244C01"/>
    <w:rsid w:val="00245537"/>
    <w:rsid w:val="00246042"/>
    <w:rsid w:val="0025293F"/>
    <w:rsid w:val="00252D4E"/>
    <w:rsid w:val="00252F17"/>
    <w:rsid w:val="002532F2"/>
    <w:rsid w:val="00253DDD"/>
    <w:rsid w:val="00254787"/>
    <w:rsid w:val="00260912"/>
    <w:rsid w:val="00260DD3"/>
    <w:rsid w:val="00270D6B"/>
    <w:rsid w:val="00273462"/>
    <w:rsid w:val="00275245"/>
    <w:rsid w:val="002777C4"/>
    <w:rsid w:val="00281E63"/>
    <w:rsid w:val="0028609E"/>
    <w:rsid w:val="00286CEA"/>
    <w:rsid w:val="00293BC3"/>
    <w:rsid w:val="002A0763"/>
    <w:rsid w:val="002A0984"/>
    <w:rsid w:val="002A19B0"/>
    <w:rsid w:val="002A37DA"/>
    <w:rsid w:val="002A5637"/>
    <w:rsid w:val="002B104A"/>
    <w:rsid w:val="002B1EBA"/>
    <w:rsid w:val="002B255B"/>
    <w:rsid w:val="002B265A"/>
    <w:rsid w:val="002B3023"/>
    <w:rsid w:val="002B3196"/>
    <w:rsid w:val="002B32C5"/>
    <w:rsid w:val="002B519A"/>
    <w:rsid w:val="002B5C33"/>
    <w:rsid w:val="002B63A0"/>
    <w:rsid w:val="002B7037"/>
    <w:rsid w:val="002B7DCF"/>
    <w:rsid w:val="002C6334"/>
    <w:rsid w:val="002D20CE"/>
    <w:rsid w:val="002D2D1F"/>
    <w:rsid w:val="002D37FE"/>
    <w:rsid w:val="002D4558"/>
    <w:rsid w:val="002D71AC"/>
    <w:rsid w:val="002D7932"/>
    <w:rsid w:val="002E5749"/>
    <w:rsid w:val="002F350E"/>
    <w:rsid w:val="002F3AEC"/>
    <w:rsid w:val="002F6965"/>
    <w:rsid w:val="002F78D5"/>
    <w:rsid w:val="00304448"/>
    <w:rsid w:val="00306194"/>
    <w:rsid w:val="003072E7"/>
    <w:rsid w:val="00311B08"/>
    <w:rsid w:val="0032096A"/>
    <w:rsid w:val="00323066"/>
    <w:rsid w:val="003231FF"/>
    <w:rsid w:val="003234ED"/>
    <w:rsid w:val="00323A44"/>
    <w:rsid w:val="00324BBD"/>
    <w:rsid w:val="00331F79"/>
    <w:rsid w:val="00333227"/>
    <w:rsid w:val="0033573E"/>
    <w:rsid w:val="00336031"/>
    <w:rsid w:val="0033659A"/>
    <w:rsid w:val="00336724"/>
    <w:rsid w:val="003435A9"/>
    <w:rsid w:val="00343B24"/>
    <w:rsid w:val="00345602"/>
    <w:rsid w:val="003469E3"/>
    <w:rsid w:val="0035001E"/>
    <w:rsid w:val="00353F3B"/>
    <w:rsid w:val="00357657"/>
    <w:rsid w:val="00362C00"/>
    <w:rsid w:val="00367E3F"/>
    <w:rsid w:val="00370D93"/>
    <w:rsid w:val="00370DD7"/>
    <w:rsid w:val="0037255F"/>
    <w:rsid w:val="0037610D"/>
    <w:rsid w:val="00376320"/>
    <w:rsid w:val="00377B28"/>
    <w:rsid w:val="0038056F"/>
    <w:rsid w:val="0038199B"/>
    <w:rsid w:val="00385AD6"/>
    <w:rsid w:val="00387F34"/>
    <w:rsid w:val="00392557"/>
    <w:rsid w:val="0039396B"/>
    <w:rsid w:val="003A4177"/>
    <w:rsid w:val="003A5AF1"/>
    <w:rsid w:val="003A77F7"/>
    <w:rsid w:val="003B0D29"/>
    <w:rsid w:val="003B197D"/>
    <w:rsid w:val="003B7E2B"/>
    <w:rsid w:val="003C1D25"/>
    <w:rsid w:val="003C2417"/>
    <w:rsid w:val="003C319F"/>
    <w:rsid w:val="003C56AD"/>
    <w:rsid w:val="003D033C"/>
    <w:rsid w:val="003D1079"/>
    <w:rsid w:val="003D1491"/>
    <w:rsid w:val="003D15E3"/>
    <w:rsid w:val="003D1FD3"/>
    <w:rsid w:val="003D441C"/>
    <w:rsid w:val="003D5FC8"/>
    <w:rsid w:val="003D659C"/>
    <w:rsid w:val="003D6CE8"/>
    <w:rsid w:val="003D6F03"/>
    <w:rsid w:val="003D72D3"/>
    <w:rsid w:val="003D7BEA"/>
    <w:rsid w:val="003E28E4"/>
    <w:rsid w:val="003E4EAF"/>
    <w:rsid w:val="003E6D06"/>
    <w:rsid w:val="003F0190"/>
    <w:rsid w:val="003F670A"/>
    <w:rsid w:val="003F6833"/>
    <w:rsid w:val="003F77CA"/>
    <w:rsid w:val="004005D4"/>
    <w:rsid w:val="004009CA"/>
    <w:rsid w:val="004031A0"/>
    <w:rsid w:val="00403F78"/>
    <w:rsid w:val="004118BF"/>
    <w:rsid w:val="00411A8F"/>
    <w:rsid w:val="0041308B"/>
    <w:rsid w:val="00415C14"/>
    <w:rsid w:val="00421964"/>
    <w:rsid w:val="00422522"/>
    <w:rsid w:val="00424D05"/>
    <w:rsid w:val="004255DD"/>
    <w:rsid w:val="0042578D"/>
    <w:rsid w:val="004311E3"/>
    <w:rsid w:val="00431E25"/>
    <w:rsid w:val="00433B06"/>
    <w:rsid w:val="004361A5"/>
    <w:rsid w:val="00440B24"/>
    <w:rsid w:val="00442AA3"/>
    <w:rsid w:val="00443427"/>
    <w:rsid w:val="00443890"/>
    <w:rsid w:val="0044430D"/>
    <w:rsid w:val="004447F9"/>
    <w:rsid w:val="00444F77"/>
    <w:rsid w:val="004459DE"/>
    <w:rsid w:val="00450DE1"/>
    <w:rsid w:val="0045256E"/>
    <w:rsid w:val="004533FC"/>
    <w:rsid w:val="0045460D"/>
    <w:rsid w:val="004546E0"/>
    <w:rsid w:val="004624D8"/>
    <w:rsid w:val="00464092"/>
    <w:rsid w:val="004640EA"/>
    <w:rsid w:val="00464AD1"/>
    <w:rsid w:val="00464F04"/>
    <w:rsid w:val="00466B63"/>
    <w:rsid w:val="00466DBA"/>
    <w:rsid w:val="00466E0E"/>
    <w:rsid w:val="00482EFB"/>
    <w:rsid w:val="004839A4"/>
    <w:rsid w:val="004868F1"/>
    <w:rsid w:val="004879CB"/>
    <w:rsid w:val="0049172E"/>
    <w:rsid w:val="004944B0"/>
    <w:rsid w:val="004A20E2"/>
    <w:rsid w:val="004A7713"/>
    <w:rsid w:val="004A7AA7"/>
    <w:rsid w:val="004B02EB"/>
    <w:rsid w:val="004B1AC1"/>
    <w:rsid w:val="004B4992"/>
    <w:rsid w:val="004B6C4F"/>
    <w:rsid w:val="004B6E69"/>
    <w:rsid w:val="004C3987"/>
    <w:rsid w:val="004D164D"/>
    <w:rsid w:val="004D2382"/>
    <w:rsid w:val="004D32C2"/>
    <w:rsid w:val="004D5EAB"/>
    <w:rsid w:val="004D6045"/>
    <w:rsid w:val="004E0619"/>
    <w:rsid w:val="004E1C75"/>
    <w:rsid w:val="004E2FEB"/>
    <w:rsid w:val="004E550F"/>
    <w:rsid w:val="004E5D8C"/>
    <w:rsid w:val="004E7590"/>
    <w:rsid w:val="004F0FA3"/>
    <w:rsid w:val="004F4C27"/>
    <w:rsid w:val="004F4F5D"/>
    <w:rsid w:val="004F5D6D"/>
    <w:rsid w:val="00501E0C"/>
    <w:rsid w:val="005056C8"/>
    <w:rsid w:val="00506067"/>
    <w:rsid w:val="0051137B"/>
    <w:rsid w:val="00511776"/>
    <w:rsid w:val="00511924"/>
    <w:rsid w:val="00512974"/>
    <w:rsid w:val="0051511D"/>
    <w:rsid w:val="00520D36"/>
    <w:rsid w:val="00521980"/>
    <w:rsid w:val="0052220C"/>
    <w:rsid w:val="005234C7"/>
    <w:rsid w:val="005238E0"/>
    <w:rsid w:val="005277E8"/>
    <w:rsid w:val="00530CA4"/>
    <w:rsid w:val="005349CD"/>
    <w:rsid w:val="005358C0"/>
    <w:rsid w:val="0054351E"/>
    <w:rsid w:val="005516CA"/>
    <w:rsid w:val="005672DE"/>
    <w:rsid w:val="00567FFE"/>
    <w:rsid w:val="005749F6"/>
    <w:rsid w:val="00576569"/>
    <w:rsid w:val="00576EB6"/>
    <w:rsid w:val="00577EBB"/>
    <w:rsid w:val="00580301"/>
    <w:rsid w:val="00585154"/>
    <w:rsid w:val="005859FB"/>
    <w:rsid w:val="005924C4"/>
    <w:rsid w:val="005943B6"/>
    <w:rsid w:val="005A3808"/>
    <w:rsid w:val="005A4031"/>
    <w:rsid w:val="005A4F6C"/>
    <w:rsid w:val="005A5A3D"/>
    <w:rsid w:val="005B5BAF"/>
    <w:rsid w:val="005B7B02"/>
    <w:rsid w:val="005C26B4"/>
    <w:rsid w:val="005C4A85"/>
    <w:rsid w:val="005D0D39"/>
    <w:rsid w:val="005D1502"/>
    <w:rsid w:val="005D2F97"/>
    <w:rsid w:val="005D6112"/>
    <w:rsid w:val="005D692B"/>
    <w:rsid w:val="005D6B72"/>
    <w:rsid w:val="005E35DA"/>
    <w:rsid w:val="005E43E5"/>
    <w:rsid w:val="005E563D"/>
    <w:rsid w:val="005E67B0"/>
    <w:rsid w:val="005F0DDB"/>
    <w:rsid w:val="005F47D8"/>
    <w:rsid w:val="005F52A1"/>
    <w:rsid w:val="00602748"/>
    <w:rsid w:val="006047C5"/>
    <w:rsid w:val="00605DF1"/>
    <w:rsid w:val="0061357B"/>
    <w:rsid w:val="00614E60"/>
    <w:rsid w:val="00621915"/>
    <w:rsid w:val="00624074"/>
    <w:rsid w:val="00627258"/>
    <w:rsid w:val="0062769F"/>
    <w:rsid w:val="00632E85"/>
    <w:rsid w:val="00641664"/>
    <w:rsid w:val="00645008"/>
    <w:rsid w:val="0065001E"/>
    <w:rsid w:val="00652F5E"/>
    <w:rsid w:val="006533B7"/>
    <w:rsid w:val="006571EA"/>
    <w:rsid w:val="00665E18"/>
    <w:rsid w:val="00666990"/>
    <w:rsid w:val="00674958"/>
    <w:rsid w:val="00674B00"/>
    <w:rsid w:val="006817F8"/>
    <w:rsid w:val="00681F93"/>
    <w:rsid w:val="0068679B"/>
    <w:rsid w:val="00687972"/>
    <w:rsid w:val="00691BD8"/>
    <w:rsid w:val="0069744E"/>
    <w:rsid w:val="00697D20"/>
    <w:rsid w:val="006A2B2E"/>
    <w:rsid w:val="006B2580"/>
    <w:rsid w:val="006B4E83"/>
    <w:rsid w:val="006C2616"/>
    <w:rsid w:val="006C4D65"/>
    <w:rsid w:val="006C5742"/>
    <w:rsid w:val="006D018E"/>
    <w:rsid w:val="006D1264"/>
    <w:rsid w:val="006D3078"/>
    <w:rsid w:val="006D3481"/>
    <w:rsid w:val="006D4034"/>
    <w:rsid w:val="006E1EFB"/>
    <w:rsid w:val="006E2530"/>
    <w:rsid w:val="006E48D8"/>
    <w:rsid w:val="006E548F"/>
    <w:rsid w:val="006E7E7A"/>
    <w:rsid w:val="006F0BD8"/>
    <w:rsid w:val="006F408A"/>
    <w:rsid w:val="006F64AF"/>
    <w:rsid w:val="006F73F0"/>
    <w:rsid w:val="00702998"/>
    <w:rsid w:val="0071055A"/>
    <w:rsid w:val="0071293E"/>
    <w:rsid w:val="0071414A"/>
    <w:rsid w:val="0071514F"/>
    <w:rsid w:val="007151A0"/>
    <w:rsid w:val="00716F1E"/>
    <w:rsid w:val="0071703E"/>
    <w:rsid w:val="00723621"/>
    <w:rsid w:val="007251E1"/>
    <w:rsid w:val="00727685"/>
    <w:rsid w:val="00730AF8"/>
    <w:rsid w:val="00731AB9"/>
    <w:rsid w:val="00732DA2"/>
    <w:rsid w:val="00732F33"/>
    <w:rsid w:val="00733C71"/>
    <w:rsid w:val="00735D7F"/>
    <w:rsid w:val="007375F7"/>
    <w:rsid w:val="0073775F"/>
    <w:rsid w:val="00740322"/>
    <w:rsid w:val="00740916"/>
    <w:rsid w:val="00742FC6"/>
    <w:rsid w:val="007431FF"/>
    <w:rsid w:val="007457F3"/>
    <w:rsid w:val="0075422E"/>
    <w:rsid w:val="00754437"/>
    <w:rsid w:val="00754938"/>
    <w:rsid w:val="00756F9E"/>
    <w:rsid w:val="00772ADE"/>
    <w:rsid w:val="007733A1"/>
    <w:rsid w:val="00773E7C"/>
    <w:rsid w:val="00777E5A"/>
    <w:rsid w:val="00781E25"/>
    <w:rsid w:val="0078300B"/>
    <w:rsid w:val="007833A9"/>
    <w:rsid w:val="007844E1"/>
    <w:rsid w:val="007851E9"/>
    <w:rsid w:val="007910D2"/>
    <w:rsid w:val="007912AB"/>
    <w:rsid w:val="0079313A"/>
    <w:rsid w:val="00794754"/>
    <w:rsid w:val="00794E42"/>
    <w:rsid w:val="007A3064"/>
    <w:rsid w:val="007A71E4"/>
    <w:rsid w:val="007B1D31"/>
    <w:rsid w:val="007B32D7"/>
    <w:rsid w:val="007C1B28"/>
    <w:rsid w:val="007C27E9"/>
    <w:rsid w:val="007C6D51"/>
    <w:rsid w:val="007C7959"/>
    <w:rsid w:val="007C7FC5"/>
    <w:rsid w:val="007D1A1E"/>
    <w:rsid w:val="007D45AC"/>
    <w:rsid w:val="007D7183"/>
    <w:rsid w:val="007E231D"/>
    <w:rsid w:val="007E3AA5"/>
    <w:rsid w:val="007E416B"/>
    <w:rsid w:val="007E4A62"/>
    <w:rsid w:val="007E746B"/>
    <w:rsid w:val="007F0B78"/>
    <w:rsid w:val="007F3E86"/>
    <w:rsid w:val="007F488D"/>
    <w:rsid w:val="007F75DF"/>
    <w:rsid w:val="008002E8"/>
    <w:rsid w:val="008006D5"/>
    <w:rsid w:val="008012FA"/>
    <w:rsid w:val="00804783"/>
    <w:rsid w:val="00811146"/>
    <w:rsid w:val="00811B2B"/>
    <w:rsid w:val="008149B7"/>
    <w:rsid w:val="008207F1"/>
    <w:rsid w:val="008221FC"/>
    <w:rsid w:val="0082305C"/>
    <w:rsid w:val="00825250"/>
    <w:rsid w:val="008268B9"/>
    <w:rsid w:val="008268E8"/>
    <w:rsid w:val="00830D39"/>
    <w:rsid w:val="008322B6"/>
    <w:rsid w:val="00833CF6"/>
    <w:rsid w:val="008349F1"/>
    <w:rsid w:val="00835C84"/>
    <w:rsid w:val="00836024"/>
    <w:rsid w:val="00836392"/>
    <w:rsid w:val="00837128"/>
    <w:rsid w:val="00837855"/>
    <w:rsid w:val="008416EA"/>
    <w:rsid w:val="008428E8"/>
    <w:rsid w:val="00842B15"/>
    <w:rsid w:val="00844132"/>
    <w:rsid w:val="00847850"/>
    <w:rsid w:val="00850DAC"/>
    <w:rsid w:val="008546A9"/>
    <w:rsid w:val="00854857"/>
    <w:rsid w:val="00856EB5"/>
    <w:rsid w:val="008631BD"/>
    <w:rsid w:val="00863597"/>
    <w:rsid w:val="0086599D"/>
    <w:rsid w:val="0086648B"/>
    <w:rsid w:val="008673F2"/>
    <w:rsid w:val="00867E7D"/>
    <w:rsid w:val="00872EB7"/>
    <w:rsid w:val="00873188"/>
    <w:rsid w:val="008731F9"/>
    <w:rsid w:val="00873699"/>
    <w:rsid w:val="00873E3C"/>
    <w:rsid w:val="008750E2"/>
    <w:rsid w:val="00875BA5"/>
    <w:rsid w:val="00876486"/>
    <w:rsid w:val="00881945"/>
    <w:rsid w:val="0088389B"/>
    <w:rsid w:val="00883DD1"/>
    <w:rsid w:val="00884773"/>
    <w:rsid w:val="00886003"/>
    <w:rsid w:val="008866E8"/>
    <w:rsid w:val="0088671C"/>
    <w:rsid w:val="00886C7C"/>
    <w:rsid w:val="00890E4A"/>
    <w:rsid w:val="0089170E"/>
    <w:rsid w:val="008A00CA"/>
    <w:rsid w:val="008A2CE6"/>
    <w:rsid w:val="008A4808"/>
    <w:rsid w:val="008A656F"/>
    <w:rsid w:val="008A6DFE"/>
    <w:rsid w:val="008A6E33"/>
    <w:rsid w:val="008B0A4A"/>
    <w:rsid w:val="008B0EFE"/>
    <w:rsid w:val="008B183C"/>
    <w:rsid w:val="008B1E93"/>
    <w:rsid w:val="008B4D42"/>
    <w:rsid w:val="008B5981"/>
    <w:rsid w:val="008B6C52"/>
    <w:rsid w:val="008B7AC6"/>
    <w:rsid w:val="008C2903"/>
    <w:rsid w:val="008C3068"/>
    <w:rsid w:val="008C43C2"/>
    <w:rsid w:val="008C48D9"/>
    <w:rsid w:val="008D09B2"/>
    <w:rsid w:val="008D1407"/>
    <w:rsid w:val="008D5B3D"/>
    <w:rsid w:val="008D5E35"/>
    <w:rsid w:val="008E2235"/>
    <w:rsid w:val="008E3423"/>
    <w:rsid w:val="008E63C4"/>
    <w:rsid w:val="008E647B"/>
    <w:rsid w:val="008F16BC"/>
    <w:rsid w:val="008F1DAB"/>
    <w:rsid w:val="008F3C01"/>
    <w:rsid w:val="009007F1"/>
    <w:rsid w:val="00904F80"/>
    <w:rsid w:val="009063CD"/>
    <w:rsid w:val="00907300"/>
    <w:rsid w:val="009078CC"/>
    <w:rsid w:val="00911F7B"/>
    <w:rsid w:val="00912DA2"/>
    <w:rsid w:val="00913281"/>
    <w:rsid w:val="00913EA5"/>
    <w:rsid w:val="0091420E"/>
    <w:rsid w:val="009146C1"/>
    <w:rsid w:val="00915D96"/>
    <w:rsid w:val="00915DF1"/>
    <w:rsid w:val="0091789F"/>
    <w:rsid w:val="009178FC"/>
    <w:rsid w:val="00917F62"/>
    <w:rsid w:val="00927849"/>
    <w:rsid w:val="00930919"/>
    <w:rsid w:val="009334F3"/>
    <w:rsid w:val="00937E32"/>
    <w:rsid w:val="00943CEA"/>
    <w:rsid w:val="00945A5E"/>
    <w:rsid w:val="009460D0"/>
    <w:rsid w:val="0095284C"/>
    <w:rsid w:val="00955795"/>
    <w:rsid w:val="009612A7"/>
    <w:rsid w:val="00963ADB"/>
    <w:rsid w:val="00964599"/>
    <w:rsid w:val="00967444"/>
    <w:rsid w:val="00972381"/>
    <w:rsid w:val="00973D9E"/>
    <w:rsid w:val="00976374"/>
    <w:rsid w:val="009802FB"/>
    <w:rsid w:val="00983A1F"/>
    <w:rsid w:val="00987485"/>
    <w:rsid w:val="0099167B"/>
    <w:rsid w:val="00993442"/>
    <w:rsid w:val="00995A65"/>
    <w:rsid w:val="0099683A"/>
    <w:rsid w:val="0099754B"/>
    <w:rsid w:val="0099786F"/>
    <w:rsid w:val="009A09AE"/>
    <w:rsid w:val="009A0CC8"/>
    <w:rsid w:val="009A0F6B"/>
    <w:rsid w:val="009A207B"/>
    <w:rsid w:val="009A5A0D"/>
    <w:rsid w:val="009A6594"/>
    <w:rsid w:val="009A679E"/>
    <w:rsid w:val="009A6D1B"/>
    <w:rsid w:val="009B233F"/>
    <w:rsid w:val="009B2C8B"/>
    <w:rsid w:val="009B303B"/>
    <w:rsid w:val="009B3BDA"/>
    <w:rsid w:val="009B4957"/>
    <w:rsid w:val="009B5E64"/>
    <w:rsid w:val="009B76D8"/>
    <w:rsid w:val="009B785F"/>
    <w:rsid w:val="009C0398"/>
    <w:rsid w:val="009C2742"/>
    <w:rsid w:val="009C62E0"/>
    <w:rsid w:val="009D4528"/>
    <w:rsid w:val="009D58D2"/>
    <w:rsid w:val="009D618B"/>
    <w:rsid w:val="009D6B2A"/>
    <w:rsid w:val="009D7BDF"/>
    <w:rsid w:val="009E1C06"/>
    <w:rsid w:val="009E28DB"/>
    <w:rsid w:val="009E2D2F"/>
    <w:rsid w:val="009E3117"/>
    <w:rsid w:val="009E33C4"/>
    <w:rsid w:val="009F3F7B"/>
    <w:rsid w:val="00A00C88"/>
    <w:rsid w:val="00A03445"/>
    <w:rsid w:val="00A046F7"/>
    <w:rsid w:val="00A0782B"/>
    <w:rsid w:val="00A10B39"/>
    <w:rsid w:val="00A12618"/>
    <w:rsid w:val="00A13F63"/>
    <w:rsid w:val="00A15843"/>
    <w:rsid w:val="00A159EE"/>
    <w:rsid w:val="00A15B2B"/>
    <w:rsid w:val="00A21D2D"/>
    <w:rsid w:val="00A223AA"/>
    <w:rsid w:val="00A24F06"/>
    <w:rsid w:val="00A266F5"/>
    <w:rsid w:val="00A30ABA"/>
    <w:rsid w:val="00A314B9"/>
    <w:rsid w:val="00A33771"/>
    <w:rsid w:val="00A33D5D"/>
    <w:rsid w:val="00A377D4"/>
    <w:rsid w:val="00A41885"/>
    <w:rsid w:val="00A41B45"/>
    <w:rsid w:val="00A4313D"/>
    <w:rsid w:val="00A52515"/>
    <w:rsid w:val="00A531AB"/>
    <w:rsid w:val="00A53C53"/>
    <w:rsid w:val="00A54B37"/>
    <w:rsid w:val="00A55195"/>
    <w:rsid w:val="00A55BAD"/>
    <w:rsid w:val="00A57FCE"/>
    <w:rsid w:val="00A609DD"/>
    <w:rsid w:val="00A60B57"/>
    <w:rsid w:val="00A61815"/>
    <w:rsid w:val="00A61AEC"/>
    <w:rsid w:val="00A644DE"/>
    <w:rsid w:val="00A64ECF"/>
    <w:rsid w:val="00A65157"/>
    <w:rsid w:val="00A66437"/>
    <w:rsid w:val="00A6740F"/>
    <w:rsid w:val="00A75107"/>
    <w:rsid w:val="00A824F0"/>
    <w:rsid w:val="00A877E9"/>
    <w:rsid w:val="00A90531"/>
    <w:rsid w:val="00A90C9D"/>
    <w:rsid w:val="00A91C5B"/>
    <w:rsid w:val="00A921BD"/>
    <w:rsid w:val="00A95A88"/>
    <w:rsid w:val="00AA1B63"/>
    <w:rsid w:val="00AA243A"/>
    <w:rsid w:val="00AA3188"/>
    <w:rsid w:val="00AA37D2"/>
    <w:rsid w:val="00AA420D"/>
    <w:rsid w:val="00AA4477"/>
    <w:rsid w:val="00AB2C8C"/>
    <w:rsid w:val="00AB444A"/>
    <w:rsid w:val="00AC0108"/>
    <w:rsid w:val="00AC208A"/>
    <w:rsid w:val="00AC3C6E"/>
    <w:rsid w:val="00AC405E"/>
    <w:rsid w:val="00AD4B29"/>
    <w:rsid w:val="00AE7190"/>
    <w:rsid w:val="00AE732F"/>
    <w:rsid w:val="00AF0428"/>
    <w:rsid w:val="00AF074C"/>
    <w:rsid w:val="00AF716F"/>
    <w:rsid w:val="00AF795A"/>
    <w:rsid w:val="00B03AF0"/>
    <w:rsid w:val="00B05373"/>
    <w:rsid w:val="00B067E6"/>
    <w:rsid w:val="00B07E44"/>
    <w:rsid w:val="00B11A88"/>
    <w:rsid w:val="00B12260"/>
    <w:rsid w:val="00B130BE"/>
    <w:rsid w:val="00B13F00"/>
    <w:rsid w:val="00B156E1"/>
    <w:rsid w:val="00B25433"/>
    <w:rsid w:val="00B2567F"/>
    <w:rsid w:val="00B2626C"/>
    <w:rsid w:val="00B3728B"/>
    <w:rsid w:val="00B37527"/>
    <w:rsid w:val="00B37A86"/>
    <w:rsid w:val="00B408B6"/>
    <w:rsid w:val="00B4494F"/>
    <w:rsid w:val="00B51483"/>
    <w:rsid w:val="00B521B7"/>
    <w:rsid w:val="00B531ED"/>
    <w:rsid w:val="00B53491"/>
    <w:rsid w:val="00B53574"/>
    <w:rsid w:val="00B55FEC"/>
    <w:rsid w:val="00B60027"/>
    <w:rsid w:val="00B61908"/>
    <w:rsid w:val="00B6284E"/>
    <w:rsid w:val="00B63AE9"/>
    <w:rsid w:val="00B662B0"/>
    <w:rsid w:val="00B670FF"/>
    <w:rsid w:val="00B70B80"/>
    <w:rsid w:val="00B72915"/>
    <w:rsid w:val="00B76BE0"/>
    <w:rsid w:val="00B80913"/>
    <w:rsid w:val="00B8139C"/>
    <w:rsid w:val="00B817BE"/>
    <w:rsid w:val="00B81BD5"/>
    <w:rsid w:val="00B831EF"/>
    <w:rsid w:val="00B8731C"/>
    <w:rsid w:val="00B8772F"/>
    <w:rsid w:val="00B91A8D"/>
    <w:rsid w:val="00B932E5"/>
    <w:rsid w:val="00B96180"/>
    <w:rsid w:val="00BA16A8"/>
    <w:rsid w:val="00BA34AD"/>
    <w:rsid w:val="00BA4B2A"/>
    <w:rsid w:val="00BB44D0"/>
    <w:rsid w:val="00BB5E2B"/>
    <w:rsid w:val="00BB6017"/>
    <w:rsid w:val="00BB685D"/>
    <w:rsid w:val="00BB69FF"/>
    <w:rsid w:val="00BB7650"/>
    <w:rsid w:val="00BC0706"/>
    <w:rsid w:val="00BC7DD7"/>
    <w:rsid w:val="00BD3A97"/>
    <w:rsid w:val="00BD545A"/>
    <w:rsid w:val="00BD70F4"/>
    <w:rsid w:val="00BE637C"/>
    <w:rsid w:val="00BE6811"/>
    <w:rsid w:val="00BE729A"/>
    <w:rsid w:val="00BF1C2D"/>
    <w:rsid w:val="00BF2735"/>
    <w:rsid w:val="00BF4922"/>
    <w:rsid w:val="00BF738E"/>
    <w:rsid w:val="00C0402F"/>
    <w:rsid w:val="00C065E7"/>
    <w:rsid w:val="00C103F3"/>
    <w:rsid w:val="00C120DE"/>
    <w:rsid w:val="00C14CE5"/>
    <w:rsid w:val="00C173AD"/>
    <w:rsid w:val="00C20B0F"/>
    <w:rsid w:val="00C248D0"/>
    <w:rsid w:val="00C24D41"/>
    <w:rsid w:val="00C253EE"/>
    <w:rsid w:val="00C30025"/>
    <w:rsid w:val="00C30531"/>
    <w:rsid w:val="00C3254A"/>
    <w:rsid w:val="00C329A2"/>
    <w:rsid w:val="00C35EC8"/>
    <w:rsid w:val="00C37937"/>
    <w:rsid w:val="00C37DC9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4D5"/>
    <w:rsid w:val="00C53754"/>
    <w:rsid w:val="00C558AA"/>
    <w:rsid w:val="00C6035E"/>
    <w:rsid w:val="00C639B5"/>
    <w:rsid w:val="00C651A6"/>
    <w:rsid w:val="00C71388"/>
    <w:rsid w:val="00C725F3"/>
    <w:rsid w:val="00C72C99"/>
    <w:rsid w:val="00C75BDD"/>
    <w:rsid w:val="00C822F8"/>
    <w:rsid w:val="00C8251B"/>
    <w:rsid w:val="00C83482"/>
    <w:rsid w:val="00C83A6F"/>
    <w:rsid w:val="00C9066F"/>
    <w:rsid w:val="00C923AE"/>
    <w:rsid w:val="00C92D6F"/>
    <w:rsid w:val="00C93DEA"/>
    <w:rsid w:val="00C94FF6"/>
    <w:rsid w:val="00C95333"/>
    <w:rsid w:val="00C95D85"/>
    <w:rsid w:val="00C97351"/>
    <w:rsid w:val="00C97D8E"/>
    <w:rsid w:val="00CA2A23"/>
    <w:rsid w:val="00CA2B08"/>
    <w:rsid w:val="00CA32D5"/>
    <w:rsid w:val="00CA752C"/>
    <w:rsid w:val="00CB009F"/>
    <w:rsid w:val="00CB151A"/>
    <w:rsid w:val="00CB15B3"/>
    <w:rsid w:val="00CB221F"/>
    <w:rsid w:val="00CB3223"/>
    <w:rsid w:val="00CB6D97"/>
    <w:rsid w:val="00CB7421"/>
    <w:rsid w:val="00CC3524"/>
    <w:rsid w:val="00CD3C04"/>
    <w:rsid w:val="00CD3C3C"/>
    <w:rsid w:val="00CD3E64"/>
    <w:rsid w:val="00CD5A32"/>
    <w:rsid w:val="00CE3E09"/>
    <w:rsid w:val="00CE662A"/>
    <w:rsid w:val="00CE6E86"/>
    <w:rsid w:val="00CE7955"/>
    <w:rsid w:val="00CF27FF"/>
    <w:rsid w:val="00CF38A6"/>
    <w:rsid w:val="00CF73A6"/>
    <w:rsid w:val="00D05575"/>
    <w:rsid w:val="00D118BD"/>
    <w:rsid w:val="00D13C76"/>
    <w:rsid w:val="00D14150"/>
    <w:rsid w:val="00D15738"/>
    <w:rsid w:val="00D2157E"/>
    <w:rsid w:val="00D22AE7"/>
    <w:rsid w:val="00D24F42"/>
    <w:rsid w:val="00D2550B"/>
    <w:rsid w:val="00D271FF"/>
    <w:rsid w:val="00D32575"/>
    <w:rsid w:val="00D3367E"/>
    <w:rsid w:val="00D33956"/>
    <w:rsid w:val="00D34F1B"/>
    <w:rsid w:val="00D36E17"/>
    <w:rsid w:val="00D37A93"/>
    <w:rsid w:val="00D41229"/>
    <w:rsid w:val="00D4367A"/>
    <w:rsid w:val="00D4419D"/>
    <w:rsid w:val="00D4529E"/>
    <w:rsid w:val="00D50BFA"/>
    <w:rsid w:val="00D54178"/>
    <w:rsid w:val="00D570AF"/>
    <w:rsid w:val="00D57D13"/>
    <w:rsid w:val="00D6243F"/>
    <w:rsid w:val="00D62BA7"/>
    <w:rsid w:val="00D6403A"/>
    <w:rsid w:val="00D645E4"/>
    <w:rsid w:val="00D64B3C"/>
    <w:rsid w:val="00D70518"/>
    <w:rsid w:val="00D763E3"/>
    <w:rsid w:val="00D774C6"/>
    <w:rsid w:val="00D80163"/>
    <w:rsid w:val="00D84CCB"/>
    <w:rsid w:val="00D84E18"/>
    <w:rsid w:val="00D93C2D"/>
    <w:rsid w:val="00D95125"/>
    <w:rsid w:val="00D96C88"/>
    <w:rsid w:val="00DA4195"/>
    <w:rsid w:val="00DA6322"/>
    <w:rsid w:val="00DA7EE3"/>
    <w:rsid w:val="00DB2470"/>
    <w:rsid w:val="00DB5DA4"/>
    <w:rsid w:val="00DC2CE6"/>
    <w:rsid w:val="00DC2E39"/>
    <w:rsid w:val="00DC6C9D"/>
    <w:rsid w:val="00DC7FB4"/>
    <w:rsid w:val="00DD70AC"/>
    <w:rsid w:val="00DE49CB"/>
    <w:rsid w:val="00DE5043"/>
    <w:rsid w:val="00DE7476"/>
    <w:rsid w:val="00DE7B7A"/>
    <w:rsid w:val="00DF0EE6"/>
    <w:rsid w:val="00DF14FA"/>
    <w:rsid w:val="00DF2AED"/>
    <w:rsid w:val="00DF393D"/>
    <w:rsid w:val="00DF44BE"/>
    <w:rsid w:val="00DF5F15"/>
    <w:rsid w:val="00DF64FD"/>
    <w:rsid w:val="00E02E01"/>
    <w:rsid w:val="00E032DC"/>
    <w:rsid w:val="00E05AF6"/>
    <w:rsid w:val="00E10958"/>
    <w:rsid w:val="00E10AE1"/>
    <w:rsid w:val="00E127AC"/>
    <w:rsid w:val="00E13959"/>
    <w:rsid w:val="00E14318"/>
    <w:rsid w:val="00E15B12"/>
    <w:rsid w:val="00E202BD"/>
    <w:rsid w:val="00E222D3"/>
    <w:rsid w:val="00E24EF9"/>
    <w:rsid w:val="00E24FB9"/>
    <w:rsid w:val="00E259F9"/>
    <w:rsid w:val="00E26CD1"/>
    <w:rsid w:val="00E26F82"/>
    <w:rsid w:val="00E274A7"/>
    <w:rsid w:val="00E35189"/>
    <w:rsid w:val="00E35A64"/>
    <w:rsid w:val="00E412E1"/>
    <w:rsid w:val="00E41A78"/>
    <w:rsid w:val="00E44149"/>
    <w:rsid w:val="00E44D80"/>
    <w:rsid w:val="00E44ECA"/>
    <w:rsid w:val="00E459C3"/>
    <w:rsid w:val="00E50121"/>
    <w:rsid w:val="00E53A61"/>
    <w:rsid w:val="00E57384"/>
    <w:rsid w:val="00E5755C"/>
    <w:rsid w:val="00E62D7D"/>
    <w:rsid w:val="00E6578A"/>
    <w:rsid w:val="00E65BC1"/>
    <w:rsid w:val="00E678BB"/>
    <w:rsid w:val="00E726B2"/>
    <w:rsid w:val="00E7293B"/>
    <w:rsid w:val="00E72D3E"/>
    <w:rsid w:val="00E74109"/>
    <w:rsid w:val="00E750F1"/>
    <w:rsid w:val="00E814E3"/>
    <w:rsid w:val="00E828BD"/>
    <w:rsid w:val="00E82B97"/>
    <w:rsid w:val="00E83542"/>
    <w:rsid w:val="00E83ACD"/>
    <w:rsid w:val="00E92D53"/>
    <w:rsid w:val="00EA07BE"/>
    <w:rsid w:val="00EA0DE3"/>
    <w:rsid w:val="00EA0E4D"/>
    <w:rsid w:val="00EA3F6E"/>
    <w:rsid w:val="00EA50C2"/>
    <w:rsid w:val="00EA52A9"/>
    <w:rsid w:val="00EA5688"/>
    <w:rsid w:val="00EB1E0E"/>
    <w:rsid w:val="00EB77D8"/>
    <w:rsid w:val="00EB7CEA"/>
    <w:rsid w:val="00EC100A"/>
    <w:rsid w:val="00EC7F70"/>
    <w:rsid w:val="00ED1C66"/>
    <w:rsid w:val="00ED1FB9"/>
    <w:rsid w:val="00EE0B8E"/>
    <w:rsid w:val="00EE1315"/>
    <w:rsid w:val="00EE4BED"/>
    <w:rsid w:val="00EE4BF8"/>
    <w:rsid w:val="00EE6471"/>
    <w:rsid w:val="00EE6828"/>
    <w:rsid w:val="00EE739D"/>
    <w:rsid w:val="00EF15F7"/>
    <w:rsid w:val="00EF17DC"/>
    <w:rsid w:val="00EF1EE8"/>
    <w:rsid w:val="00EF5BCF"/>
    <w:rsid w:val="00EF63BE"/>
    <w:rsid w:val="00EF69B2"/>
    <w:rsid w:val="00F0002F"/>
    <w:rsid w:val="00F022FB"/>
    <w:rsid w:val="00F02711"/>
    <w:rsid w:val="00F02993"/>
    <w:rsid w:val="00F10F95"/>
    <w:rsid w:val="00F11A57"/>
    <w:rsid w:val="00F12125"/>
    <w:rsid w:val="00F172D2"/>
    <w:rsid w:val="00F22B4B"/>
    <w:rsid w:val="00F242C4"/>
    <w:rsid w:val="00F27EB5"/>
    <w:rsid w:val="00F30BCB"/>
    <w:rsid w:val="00F336D9"/>
    <w:rsid w:val="00F37E63"/>
    <w:rsid w:val="00F404BF"/>
    <w:rsid w:val="00F41F12"/>
    <w:rsid w:val="00F42944"/>
    <w:rsid w:val="00F511C0"/>
    <w:rsid w:val="00F608F1"/>
    <w:rsid w:val="00F61D42"/>
    <w:rsid w:val="00F719EC"/>
    <w:rsid w:val="00F72CB6"/>
    <w:rsid w:val="00F73D8D"/>
    <w:rsid w:val="00F7591B"/>
    <w:rsid w:val="00F76ECD"/>
    <w:rsid w:val="00F86BD5"/>
    <w:rsid w:val="00F92D2D"/>
    <w:rsid w:val="00F9606B"/>
    <w:rsid w:val="00F9616F"/>
    <w:rsid w:val="00F96711"/>
    <w:rsid w:val="00F97D20"/>
    <w:rsid w:val="00FA2B0E"/>
    <w:rsid w:val="00FA5D37"/>
    <w:rsid w:val="00FB1906"/>
    <w:rsid w:val="00FB39E1"/>
    <w:rsid w:val="00FB75EE"/>
    <w:rsid w:val="00FC1296"/>
    <w:rsid w:val="00FC2AD5"/>
    <w:rsid w:val="00FC7F2E"/>
    <w:rsid w:val="00FD119D"/>
    <w:rsid w:val="00FD6632"/>
    <w:rsid w:val="00FD678D"/>
    <w:rsid w:val="00FE1EFD"/>
    <w:rsid w:val="00FE262A"/>
    <w:rsid w:val="00FE2F32"/>
    <w:rsid w:val="00FE36CF"/>
    <w:rsid w:val="00FE3A0D"/>
    <w:rsid w:val="00FE4537"/>
    <w:rsid w:val="00FE513E"/>
    <w:rsid w:val="00FF0028"/>
    <w:rsid w:val="00FF1111"/>
    <w:rsid w:val="00FF3AA5"/>
    <w:rsid w:val="00FF3F63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paragraph" w:styleId="Revision">
    <w:name w:val="Revision"/>
    <w:hidden/>
    <w:uiPriority w:val="99"/>
    <w:semiHidden/>
    <w:rsid w:val="001142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9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comlaw.gov.a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propertyoz.com.a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SecurityClassification xmlns="436C7C5B-9BF3-44DF-A3F3-EF57B3987662" xsi:nil="true"/>
    <pdms_DocumentType xmlns="436C7C5B-9BF3-44DF-A3F3-EF57B3987662" xsi:nil="true"/>
    <pdms_AttachedBy xmlns="436C7C5B-9BF3-44DF-A3F3-EF57B3987662" xsi:nil="true"/>
    <pdms_Reason xmlns="436C7C5B-9BF3-44DF-A3F3-EF57B3987662" xsi:nil="true"/>
    <SecurityClassification xmlns="436C7C5B-9BF3-44DF-A3F3-EF57B39876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1EE2E235AF53FE4A8BB2E9148582F988" ma:contentTypeVersion="" ma:contentTypeDescription="PDMS Documentation Content Type" ma:contentTypeScope="" ma:versionID="dcdb783969c58627bcf3f248045d67db">
  <xsd:schema xmlns:xsd="http://www.w3.org/2001/XMLSchema" xmlns:xs="http://www.w3.org/2001/XMLSchema" xmlns:p="http://schemas.microsoft.com/office/2006/metadata/properties" xmlns:ns2="436C7C5B-9BF3-44DF-A3F3-EF57B3987662" targetNamespace="http://schemas.microsoft.com/office/2006/metadata/properties" ma:root="true" ma:fieldsID="7df531489716976bddd604a600c5cdca" ns2:_="">
    <xsd:import namespace="436C7C5B-9BF3-44DF-A3F3-EF57B398766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C7C5B-9BF3-44DF-A3F3-EF57B398766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D1FC0-E9E7-47FE-8C9F-6B899301C5CD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36C7C5B-9BF3-44DF-A3F3-EF57B3987662"/>
  </ds:schemaRefs>
</ds:datastoreItem>
</file>

<file path=customXml/itemProps2.xml><?xml version="1.0" encoding="utf-8"?>
<ds:datastoreItem xmlns:ds="http://schemas.openxmlformats.org/officeDocument/2006/customXml" ds:itemID="{B4DB1171-F232-45FC-AD3C-779B248E2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F03DE9-C3AC-4307-A1A5-D717B9E14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C7C5B-9BF3-44DF-A3F3-EF57B39876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DB3D69-FD1F-4DCC-B9F6-7F9CB59D4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1116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Energy Efficiency Disclosure (Disclosure Affected Buidlings) Determination 2010</vt:lpstr>
    </vt:vector>
  </TitlesOfParts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Energy Efficiency Disclosure (Disclosure Affected Buidlings) Determination 2010</dc:title>
  <dc:creator/>
  <cp:lastModifiedBy/>
  <cp:revision>1</cp:revision>
  <cp:lastPrinted>2011-07-12T02:11:00Z</cp:lastPrinted>
  <dcterms:created xsi:type="dcterms:W3CDTF">2016-06-24T06:16:00Z</dcterms:created>
  <dcterms:modified xsi:type="dcterms:W3CDTF">2016-06-24T06:16:00Z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138</vt:lpwstr>
  </property>
  <property fmtid="{D5CDD505-2E9C-101B-9397-08002B2CF9AE}" pid="3" name="IndexMatter">
    <vt:lpwstr>1004941B</vt:lpwstr>
  </property>
  <property fmtid="{D5CDD505-2E9C-101B-9397-08002B2CF9AE}" pid="4" name="Editor">
    <vt:bool>true</vt:bool>
  </property>
  <property fmtid="{D5CDD505-2E9C-101B-9397-08002B2CF9AE}" pid="5" name="Final">
    <vt:bool>true</vt:bool>
  </property>
  <property fmtid="{D5CDD505-2E9C-101B-9397-08002B2CF9AE}" pid="6" name="AGS CancelDocNew">
    <vt:lpwstr>TRUE</vt:lpwstr>
  </property>
  <property fmtid="{D5CDD505-2E9C-101B-9397-08002B2CF9AE}" pid="7" name="VersionNumber">
    <vt:i4>0</vt:i4>
  </property>
  <property fmtid="{D5CDD505-2E9C-101B-9397-08002B2CF9AE}" pid="8" name="ClassificationPty">
    <vt:lpwstr/>
  </property>
  <property fmtid="{D5CDD505-2E9C-101B-9397-08002B2CF9AE}" pid="9" name="FileNumberPty">
    <vt:lpwstr/>
  </property>
  <property fmtid="{D5CDD505-2E9C-101B-9397-08002B2CF9AE}" pid="10" name="CorporateTmplBased">
    <vt:lpwstr>No</vt:lpwstr>
  </property>
  <property fmtid="{D5CDD505-2E9C-101B-9397-08002B2CF9AE}" pid="11" name="ContentTypeId">
    <vt:lpwstr>0x010100266966F133664895A6EE3632470D45F501001EE2E235AF53FE4A8BB2E9148582F988</vt:lpwstr>
  </property>
</Properties>
</file>