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27266" w14:textId="77777777" w:rsidR="00383C26" w:rsidRPr="002531DC" w:rsidRDefault="00383C26" w:rsidP="00383C26">
      <w:pPr>
        <w:rPr>
          <w:sz w:val="28"/>
        </w:rPr>
      </w:pPr>
      <w:r w:rsidRPr="002531DC">
        <w:rPr>
          <w:noProof/>
          <w:lang w:eastAsia="en-AU"/>
        </w:rPr>
        <w:drawing>
          <wp:inline distT="0" distB="0" distL="0" distR="0" wp14:anchorId="405036ED" wp14:editId="60580753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BA4A4" w14:textId="77777777" w:rsidR="00383C26" w:rsidRPr="002531DC" w:rsidRDefault="00383C26" w:rsidP="00383C26">
      <w:pPr>
        <w:rPr>
          <w:sz w:val="19"/>
        </w:rPr>
      </w:pPr>
    </w:p>
    <w:p w14:paraId="259835DE" w14:textId="77777777" w:rsidR="00383C26" w:rsidRPr="002531DC" w:rsidRDefault="00383C26" w:rsidP="00383C26">
      <w:pPr>
        <w:rPr>
          <w:sz w:val="19"/>
        </w:rPr>
      </w:pPr>
      <w:bookmarkStart w:id="0" w:name="ConfidenceBlock"/>
      <w:bookmarkEnd w:id="0"/>
    </w:p>
    <w:p w14:paraId="5B575D17" w14:textId="11EE895E" w:rsidR="00383C26" w:rsidRPr="002531DC" w:rsidRDefault="00383C26" w:rsidP="00383C26">
      <w:pPr>
        <w:pStyle w:val="ShortT"/>
      </w:pPr>
      <w:r w:rsidRPr="002531DC">
        <w:t>Authorised Deposit</w:t>
      </w:r>
      <w:r w:rsidR="002531DC">
        <w:noBreakHyphen/>
      </w:r>
      <w:r w:rsidRPr="002531DC">
        <w:t>taking Institutions Supervisor</w:t>
      </w:r>
      <w:r w:rsidR="003B52C0" w:rsidRPr="002531DC">
        <w:t>y Levy Imposition Determination</w:t>
      </w:r>
      <w:r w:rsidR="002531DC" w:rsidRPr="002531DC">
        <w:t> </w:t>
      </w:r>
      <w:r w:rsidR="00C86211">
        <w:t>2016</w:t>
      </w:r>
    </w:p>
    <w:p w14:paraId="419B1438" w14:textId="0718924D" w:rsidR="00A538A8" w:rsidRPr="0019207C" w:rsidRDefault="00A538A8" w:rsidP="009B62E9">
      <w:pPr>
        <w:pStyle w:val="SignCoverPageStart"/>
        <w:rPr>
          <w:sz w:val="24"/>
        </w:rPr>
      </w:pPr>
      <w:r w:rsidRPr="0019207C">
        <w:rPr>
          <w:sz w:val="24"/>
        </w:rPr>
        <w:t xml:space="preserve">I, </w:t>
      </w:r>
      <w:r w:rsidR="00C86211">
        <w:rPr>
          <w:sz w:val="24"/>
        </w:rPr>
        <w:t>Scott Morrison</w:t>
      </w:r>
      <w:r w:rsidR="002D0BAE" w:rsidRPr="0019207C">
        <w:rPr>
          <w:sz w:val="24"/>
        </w:rPr>
        <w:t xml:space="preserve">, </w:t>
      </w:r>
      <w:r w:rsidR="00FA6761">
        <w:rPr>
          <w:sz w:val="24"/>
        </w:rPr>
        <w:t>Treasurer</w:t>
      </w:r>
      <w:r w:rsidRPr="0019207C">
        <w:rPr>
          <w:sz w:val="24"/>
        </w:rPr>
        <w:t>, make the following determination under subsection</w:t>
      </w:r>
      <w:r w:rsidR="002531DC" w:rsidRPr="0019207C">
        <w:rPr>
          <w:sz w:val="24"/>
        </w:rPr>
        <w:t> </w:t>
      </w:r>
      <w:r w:rsidRPr="0019207C">
        <w:rPr>
          <w:sz w:val="24"/>
        </w:rPr>
        <w:t xml:space="preserve">7(3) of the </w:t>
      </w:r>
      <w:r w:rsidRPr="0019207C">
        <w:rPr>
          <w:i/>
          <w:sz w:val="24"/>
        </w:rPr>
        <w:t>Authorised Deposit</w:t>
      </w:r>
      <w:r w:rsidR="002531DC" w:rsidRPr="0019207C">
        <w:rPr>
          <w:i/>
          <w:sz w:val="24"/>
        </w:rPr>
        <w:noBreakHyphen/>
      </w:r>
      <w:r w:rsidRPr="0019207C">
        <w:rPr>
          <w:i/>
          <w:sz w:val="24"/>
        </w:rPr>
        <w:t>taking Institutions Supervisory Levy Imposition Act 1998</w:t>
      </w:r>
      <w:r w:rsidRPr="0019207C">
        <w:rPr>
          <w:sz w:val="24"/>
        </w:rPr>
        <w:t>.</w:t>
      </w:r>
    </w:p>
    <w:p w14:paraId="75639284" w14:textId="3B916D83" w:rsidR="001A2FD9" w:rsidRPr="0019207C" w:rsidRDefault="00342AB4" w:rsidP="001A2FD9">
      <w:pPr>
        <w:keepNext/>
        <w:spacing w:before="300" w:line="240" w:lineRule="atLeast"/>
        <w:ind w:right="397"/>
        <w:jc w:val="both"/>
        <w:rPr>
          <w:sz w:val="24"/>
        </w:rPr>
      </w:pPr>
      <w:r w:rsidRPr="0019207C">
        <w:rPr>
          <w:sz w:val="24"/>
        </w:rPr>
        <w:t>Dated:</w:t>
      </w:r>
      <w:r w:rsidRPr="0019207C">
        <w:rPr>
          <w:sz w:val="24"/>
        </w:rPr>
        <w:tab/>
      </w:r>
      <w:r w:rsidR="00E97D23">
        <w:rPr>
          <w:sz w:val="24"/>
        </w:rPr>
        <w:t xml:space="preserve">28 </w:t>
      </w:r>
      <w:bookmarkStart w:id="1" w:name="_GoBack"/>
      <w:bookmarkEnd w:id="1"/>
      <w:r w:rsidRPr="0019207C">
        <w:rPr>
          <w:sz w:val="24"/>
        </w:rPr>
        <w:t xml:space="preserve">June </w:t>
      </w:r>
      <w:r w:rsidR="00C86211">
        <w:rPr>
          <w:sz w:val="24"/>
        </w:rPr>
        <w:t>2016</w:t>
      </w:r>
    </w:p>
    <w:p w14:paraId="5B0E9D5A" w14:textId="6B164EB1" w:rsidR="0087726E" w:rsidRDefault="0087726E" w:rsidP="001A2FD9">
      <w:pPr>
        <w:keepNext/>
        <w:spacing w:before="300" w:line="240" w:lineRule="atLeast"/>
        <w:ind w:right="397"/>
        <w:jc w:val="both"/>
      </w:pPr>
    </w:p>
    <w:p w14:paraId="65654E6F" w14:textId="77777777" w:rsidR="0019207C" w:rsidRDefault="0019207C" w:rsidP="001A2FD9">
      <w:pPr>
        <w:keepNext/>
        <w:spacing w:before="300" w:line="240" w:lineRule="atLeast"/>
        <w:ind w:right="397"/>
        <w:jc w:val="both"/>
      </w:pPr>
    </w:p>
    <w:p w14:paraId="632A5BF2" w14:textId="77777777" w:rsidR="0087726E" w:rsidRPr="002531DC" w:rsidRDefault="0087726E" w:rsidP="001A2FD9">
      <w:pPr>
        <w:keepNext/>
        <w:spacing w:before="300" w:line="240" w:lineRule="atLeast"/>
        <w:ind w:right="397"/>
        <w:jc w:val="both"/>
      </w:pPr>
    </w:p>
    <w:p w14:paraId="6C19A2F0" w14:textId="3B9567E6" w:rsidR="00CD05B9" w:rsidRDefault="00C86211" w:rsidP="009B62E9">
      <w:pPr>
        <w:pStyle w:val="SignCoverPageEnd"/>
      </w:pPr>
      <w:r>
        <w:t>Scott Morrison</w:t>
      </w:r>
      <w:r w:rsidR="00CD05B9">
        <w:tab/>
      </w:r>
      <w:r w:rsidR="00CD05B9" w:rsidRPr="00CD05B9">
        <w:t xml:space="preserve"> </w:t>
      </w:r>
    </w:p>
    <w:p w14:paraId="2E8CCAB9" w14:textId="58905EA9" w:rsidR="00A538A8" w:rsidRPr="002531DC" w:rsidRDefault="00FA6761" w:rsidP="009B62E9">
      <w:pPr>
        <w:pStyle w:val="SignCoverPageEnd"/>
      </w:pPr>
      <w:r>
        <w:t>Treasurer</w:t>
      </w:r>
    </w:p>
    <w:p w14:paraId="6A49E682" w14:textId="77777777" w:rsidR="00A538A8" w:rsidRPr="002531DC" w:rsidRDefault="00A538A8" w:rsidP="00A538A8"/>
    <w:p w14:paraId="301CF81F" w14:textId="77777777" w:rsidR="00383C26" w:rsidRPr="002531DC" w:rsidRDefault="00383C26" w:rsidP="00383C26">
      <w:pPr>
        <w:pStyle w:val="Header"/>
        <w:tabs>
          <w:tab w:val="clear" w:pos="4150"/>
          <w:tab w:val="clear" w:pos="8307"/>
        </w:tabs>
      </w:pPr>
      <w:r w:rsidRPr="002531DC">
        <w:rPr>
          <w:rStyle w:val="CharChapNo"/>
        </w:rPr>
        <w:t xml:space="preserve"> </w:t>
      </w:r>
      <w:r w:rsidRPr="002531DC">
        <w:rPr>
          <w:rStyle w:val="CharChapText"/>
        </w:rPr>
        <w:t xml:space="preserve"> </w:t>
      </w:r>
    </w:p>
    <w:p w14:paraId="62679081" w14:textId="77777777" w:rsidR="00383C26" w:rsidRPr="002531DC" w:rsidRDefault="00383C26" w:rsidP="00383C26">
      <w:pPr>
        <w:pStyle w:val="Header"/>
        <w:tabs>
          <w:tab w:val="clear" w:pos="4150"/>
          <w:tab w:val="clear" w:pos="8307"/>
        </w:tabs>
      </w:pPr>
      <w:r w:rsidRPr="002531DC">
        <w:rPr>
          <w:rStyle w:val="CharPartNo"/>
        </w:rPr>
        <w:t xml:space="preserve"> </w:t>
      </w:r>
      <w:r w:rsidRPr="002531DC">
        <w:rPr>
          <w:rStyle w:val="CharPartText"/>
        </w:rPr>
        <w:t xml:space="preserve"> </w:t>
      </w:r>
    </w:p>
    <w:p w14:paraId="3A1F9D80" w14:textId="77777777" w:rsidR="00383C26" w:rsidRPr="002531DC" w:rsidRDefault="00383C26" w:rsidP="00383C26">
      <w:pPr>
        <w:pStyle w:val="Header"/>
        <w:tabs>
          <w:tab w:val="clear" w:pos="4150"/>
          <w:tab w:val="clear" w:pos="8307"/>
        </w:tabs>
      </w:pPr>
      <w:r w:rsidRPr="002531DC">
        <w:rPr>
          <w:rStyle w:val="CharDivNo"/>
        </w:rPr>
        <w:t xml:space="preserve"> </w:t>
      </w:r>
      <w:r w:rsidRPr="002531DC">
        <w:rPr>
          <w:rStyle w:val="CharDivText"/>
        </w:rPr>
        <w:t xml:space="preserve"> </w:t>
      </w:r>
    </w:p>
    <w:p w14:paraId="69E9FBE8" w14:textId="77777777" w:rsidR="00383C26" w:rsidRPr="002531DC" w:rsidRDefault="00383C26" w:rsidP="00383C26">
      <w:pPr>
        <w:sectPr w:rsidR="00383C26" w:rsidRPr="002531DC" w:rsidSect="00CA472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071ED44" w14:textId="77777777" w:rsidR="00383C26" w:rsidRPr="002531DC" w:rsidRDefault="00383C26" w:rsidP="00DE7DDB">
      <w:pPr>
        <w:rPr>
          <w:sz w:val="36"/>
        </w:rPr>
      </w:pPr>
      <w:r w:rsidRPr="002531DC">
        <w:rPr>
          <w:sz w:val="36"/>
        </w:rPr>
        <w:lastRenderedPageBreak/>
        <w:t>Contents</w:t>
      </w:r>
    </w:p>
    <w:bookmarkStart w:id="2" w:name="BKCheck15B_2"/>
    <w:bookmarkEnd w:id="2"/>
    <w:p w14:paraId="3DA81874" w14:textId="77777777" w:rsidR="00847971" w:rsidRPr="002531DC" w:rsidRDefault="008479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31DC">
        <w:rPr>
          <w:sz w:val="36"/>
        </w:rPr>
        <w:fldChar w:fldCharType="begin"/>
      </w:r>
      <w:r w:rsidRPr="002531DC">
        <w:rPr>
          <w:sz w:val="36"/>
        </w:rPr>
        <w:instrText xml:space="preserve"> TOC \o "1-9" </w:instrText>
      </w:r>
      <w:r w:rsidRPr="002531DC">
        <w:rPr>
          <w:sz w:val="36"/>
        </w:rPr>
        <w:fldChar w:fldCharType="separate"/>
      </w:r>
      <w:r w:rsidRPr="002531DC">
        <w:rPr>
          <w:noProof/>
        </w:rPr>
        <w:t>1</w:t>
      </w:r>
      <w:r w:rsidRPr="002531DC">
        <w:rPr>
          <w:noProof/>
        </w:rPr>
        <w:tab/>
        <w:t>Name of determination</w:t>
      </w:r>
      <w:r w:rsidRPr="002531DC">
        <w:rPr>
          <w:noProof/>
        </w:rPr>
        <w:tab/>
      </w:r>
      <w:r w:rsidRPr="002531DC">
        <w:rPr>
          <w:noProof/>
        </w:rPr>
        <w:fldChar w:fldCharType="begin"/>
      </w:r>
      <w:r w:rsidRPr="002531DC">
        <w:rPr>
          <w:noProof/>
        </w:rPr>
        <w:instrText xml:space="preserve"> PAGEREF _Toc359492592 \h </w:instrText>
      </w:r>
      <w:r w:rsidRPr="002531DC">
        <w:rPr>
          <w:noProof/>
        </w:rPr>
      </w:r>
      <w:r w:rsidRPr="002531DC">
        <w:rPr>
          <w:noProof/>
        </w:rPr>
        <w:fldChar w:fldCharType="separate"/>
      </w:r>
      <w:r w:rsidR="00890C3E">
        <w:rPr>
          <w:noProof/>
        </w:rPr>
        <w:t>1</w:t>
      </w:r>
      <w:r w:rsidRPr="002531DC">
        <w:rPr>
          <w:noProof/>
        </w:rPr>
        <w:fldChar w:fldCharType="end"/>
      </w:r>
    </w:p>
    <w:p w14:paraId="74BEF04E" w14:textId="77777777" w:rsidR="00847971" w:rsidRPr="002531DC" w:rsidRDefault="008479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31DC">
        <w:rPr>
          <w:noProof/>
        </w:rPr>
        <w:t>2</w:t>
      </w:r>
      <w:r w:rsidRPr="002531DC">
        <w:rPr>
          <w:noProof/>
        </w:rPr>
        <w:tab/>
        <w:t>Commencement</w:t>
      </w:r>
      <w:r w:rsidRPr="002531DC">
        <w:rPr>
          <w:noProof/>
        </w:rPr>
        <w:tab/>
      </w:r>
      <w:r w:rsidRPr="002531DC">
        <w:rPr>
          <w:noProof/>
        </w:rPr>
        <w:fldChar w:fldCharType="begin"/>
      </w:r>
      <w:r w:rsidRPr="002531DC">
        <w:rPr>
          <w:noProof/>
        </w:rPr>
        <w:instrText xml:space="preserve"> PAGEREF _Toc359492593 \h </w:instrText>
      </w:r>
      <w:r w:rsidRPr="002531DC">
        <w:rPr>
          <w:noProof/>
        </w:rPr>
      </w:r>
      <w:r w:rsidRPr="002531DC">
        <w:rPr>
          <w:noProof/>
        </w:rPr>
        <w:fldChar w:fldCharType="separate"/>
      </w:r>
      <w:r w:rsidR="00890C3E">
        <w:rPr>
          <w:noProof/>
        </w:rPr>
        <w:t>1</w:t>
      </w:r>
      <w:r w:rsidRPr="002531DC">
        <w:rPr>
          <w:noProof/>
        </w:rPr>
        <w:fldChar w:fldCharType="end"/>
      </w:r>
    </w:p>
    <w:p w14:paraId="5C15DC31" w14:textId="77777777" w:rsidR="00847971" w:rsidRPr="002531DC" w:rsidRDefault="008479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31DC">
        <w:rPr>
          <w:noProof/>
        </w:rPr>
        <w:t>3</w:t>
      </w:r>
      <w:r w:rsidRPr="002531DC">
        <w:rPr>
          <w:noProof/>
        </w:rPr>
        <w:tab/>
        <w:t>Authority</w:t>
      </w:r>
      <w:r w:rsidRPr="002531DC">
        <w:rPr>
          <w:noProof/>
        </w:rPr>
        <w:tab/>
      </w:r>
      <w:r w:rsidRPr="002531DC">
        <w:rPr>
          <w:noProof/>
        </w:rPr>
        <w:fldChar w:fldCharType="begin"/>
      </w:r>
      <w:r w:rsidRPr="002531DC">
        <w:rPr>
          <w:noProof/>
        </w:rPr>
        <w:instrText xml:space="preserve"> PAGEREF _Toc359492594 \h </w:instrText>
      </w:r>
      <w:r w:rsidRPr="002531DC">
        <w:rPr>
          <w:noProof/>
        </w:rPr>
      </w:r>
      <w:r w:rsidRPr="002531DC">
        <w:rPr>
          <w:noProof/>
        </w:rPr>
        <w:fldChar w:fldCharType="separate"/>
      </w:r>
      <w:r w:rsidR="00890C3E">
        <w:rPr>
          <w:noProof/>
        </w:rPr>
        <w:t>1</w:t>
      </w:r>
      <w:r w:rsidRPr="002531DC">
        <w:rPr>
          <w:noProof/>
        </w:rPr>
        <w:fldChar w:fldCharType="end"/>
      </w:r>
    </w:p>
    <w:p w14:paraId="4DAD2761" w14:textId="77777777" w:rsidR="00847971" w:rsidRPr="002531DC" w:rsidRDefault="008479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31DC">
        <w:rPr>
          <w:noProof/>
        </w:rPr>
        <w:t>4</w:t>
      </w:r>
      <w:r w:rsidRPr="002531DC">
        <w:rPr>
          <w:noProof/>
        </w:rPr>
        <w:tab/>
        <w:t>Repeal</w:t>
      </w:r>
      <w:r w:rsidRPr="002531DC">
        <w:rPr>
          <w:noProof/>
        </w:rPr>
        <w:tab/>
      </w:r>
      <w:r w:rsidRPr="002531DC">
        <w:rPr>
          <w:noProof/>
        </w:rPr>
        <w:fldChar w:fldCharType="begin"/>
      </w:r>
      <w:r w:rsidRPr="002531DC">
        <w:rPr>
          <w:noProof/>
        </w:rPr>
        <w:instrText xml:space="preserve"> PAGEREF _Toc359492595 \h </w:instrText>
      </w:r>
      <w:r w:rsidRPr="002531DC">
        <w:rPr>
          <w:noProof/>
        </w:rPr>
      </w:r>
      <w:r w:rsidRPr="002531DC">
        <w:rPr>
          <w:noProof/>
        </w:rPr>
        <w:fldChar w:fldCharType="separate"/>
      </w:r>
      <w:r w:rsidR="00890C3E">
        <w:rPr>
          <w:noProof/>
        </w:rPr>
        <w:t>1</w:t>
      </w:r>
      <w:r w:rsidRPr="002531DC">
        <w:rPr>
          <w:noProof/>
        </w:rPr>
        <w:fldChar w:fldCharType="end"/>
      </w:r>
    </w:p>
    <w:p w14:paraId="06CC9D71" w14:textId="77777777" w:rsidR="00847971" w:rsidRPr="002531DC" w:rsidRDefault="008479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31DC">
        <w:rPr>
          <w:noProof/>
        </w:rPr>
        <w:t>5</w:t>
      </w:r>
      <w:r w:rsidRPr="002531DC">
        <w:rPr>
          <w:noProof/>
        </w:rPr>
        <w:tab/>
        <w:t>Definitions</w:t>
      </w:r>
      <w:r w:rsidRPr="002531DC">
        <w:rPr>
          <w:noProof/>
        </w:rPr>
        <w:tab/>
      </w:r>
      <w:r w:rsidRPr="002531DC">
        <w:rPr>
          <w:noProof/>
        </w:rPr>
        <w:fldChar w:fldCharType="begin"/>
      </w:r>
      <w:r w:rsidRPr="002531DC">
        <w:rPr>
          <w:noProof/>
        </w:rPr>
        <w:instrText xml:space="preserve"> PAGEREF _Toc359492596 \h </w:instrText>
      </w:r>
      <w:r w:rsidRPr="002531DC">
        <w:rPr>
          <w:noProof/>
        </w:rPr>
      </w:r>
      <w:r w:rsidRPr="002531DC">
        <w:rPr>
          <w:noProof/>
        </w:rPr>
        <w:fldChar w:fldCharType="separate"/>
      </w:r>
      <w:r w:rsidR="00890C3E">
        <w:rPr>
          <w:noProof/>
        </w:rPr>
        <w:t>1</w:t>
      </w:r>
      <w:r w:rsidRPr="002531DC">
        <w:rPr>
          <w:noProof/>
        </w:rPr>
        <w:fldChar w:fldCharType="end"/>
      </w:r>
    </w:p>
    <w:p w14:paraId="72C0AC6C" w14:textId="6ACEC4FE" w:rsidR="00847971" w:rsidRPr="002531DC" w:rsidRDefault="008479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31DC">
        <w:rPr>
          <w:noProof/>
        </w:rPr>
        <w:t>6</w:t>
      </w:r>
      <w:r w:rsidRPr="002531DC">
        <w:rPr>
          <w:noProof/>
        </w:rPr>
        <w:tab/>
        <w:t>Amount of levy</w:t>
      </w:r>
      <w:r w:rsidRPr="002531DC">
        <w:rPr>
          <w:noProof/>
        </w:rPr>
        <w:tab/>
      </w:r>
      <w:r w:rsidRPr="002531DC">
        <w:rPr>
          <w:noProof/>
        </w:rPr>
        <w:fldChar w:fldCharType="begin"/>
      </w:r>
      <w:r w:rsidRPr="002531DC">
        <w:rPr>
          <w:noProof/>
        </w:rPr>
        <w:instrText xml:space="preserve"> PAGEREF _Toc359492597 \h </w:instrText>
      </w:r>
      <w:r w:rsidRPr="002531DC">
        <w:rPr>
          <w:noProof/>
        </w:rPr>
      </w:r>
      <w:r w:rsidRPr="002531DC">
        <w:rPr>
          <w:noProof/>
        </w:rPr>
        <w:fldChar w:fldCharType="separate"/>
      </w:r>
      <w:r w:rsidR="00890C3E">
        <w:rPr>
          <w:noProof/>
        </w:rPr>
        <w:t>3</w:t>
      </w:r>
      <w:r w:rsidRPr="002531DC">
        <w:rPr>
          <w:noProof/>
        </w:rPr>
        <w:fldChar w:fldCharType="end"/>
      </w:r>
    </w:p>
    <w:p w14:paraId="64A3AA29" w14:textId="19682A41" w:rsidR="00847971" w:rsidRPr="002531DC" w:rsidRDefault="008479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31DC">
        <w:rPr>
          <w:noProof/>
        </w:rPr>
        <w:t>7</w:t>
      </w:r>
      <w:r w:rsidRPr="002531DC">
        <w:rPr>
          <w:noProof/>
        </w:rPr>
        <w:tab/>
        <w:t>ADI’s levy base—ADI other than a provider of purchased payment facilities</w:t>
      </w:r>
      <w:r w:rsidRPr="002531DC">
        <w:rPr>
          <w:noProof/>
        </w:rPr>
        <w:tab/>
      </w:r>
      <w:r w:rsidRPr="002531DC">
        <w:rPr>
          <w:noProof/>
        </w:rPr>
        <w:fldChar w:fldCharType="begin"/>
      </w:r>
      <w:r w:rsidRPr="002531DC">
        <w:rPr>
          <w:noProof/>
        </w:rPr>
        <w:instrText xml:space="preserve"> PAGEREF _Toc359492598 \h </w:instrText>
      </w:r>
      <w:r w:rsidRPr="002531DC">
        <w:rPr>
          <w:noProof/>
        </w:rPr>
      </w:r>
      <w:r w:rsidRPr="002531DC">
        <w:rPr>
          <w:noProof/>
        </w:rPr>
        <w:fldChar w:fldCharType="separate"/>
      </w:r>
      <w:r w:rsidR="00890C3E">
        <w:rPr>
          <w:noProof/>
        </w:rPr>
        <w:t>3</w:t>
      </w:r>
      <w:r w:rsidRPr="002531DC">
        <w:rPr>
          <w:noProof/>
        </w:rPr>
        <w:fldChar w:fldCharType="end"/>
      </w:r>
    </w:p>
    <w:p w14:paraId="75C3DB8E" w14:textId="180DE0B4" w:rsidR="00847971" w:rsidRPr="002531DC" w:rsidRDefault="008479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31DC">
        <w:rPr>
          <w:noProof/>
        </w:rPr>
        <w:t>8</w:t>
      </w:r>
      <w:r w:rsidRPr="002531DC">
        <w:rPr>
          <w:noProof/>
        </w:rPr>
        <w:tab/>
        <w:t>ADI’s levy base—</w:t>
      </w:r>
      <w:r w:rsidR="00176881">
        <w:rPr>
          <w:noProof/>
        </w:rPr>
        <w:t>provider of purchased payment facilities</w:t>
      </w:r>
      <w:r w:rsidRPr="002531DC">
        <w:rPr>
          <w:noProof/>
        </w:rPr>
        <w:tab/>
      </w:r>
      <w:r w:rsidR="00297BCF">
        <w:rPr>
          <w:noProof/>
        </w:rPr>
        <w:t>4</w:t>
      </w:r>
    </w:p>
    <w:p w14:paraId="008DC158" w14:textId="77777777" w:rsidR="00383C26" w:rsidRPr="002531DC" w:rsidRDefault="00847971" w:rsidP="00DE7DDB">
      <w:pPr>
        <w:rPr>
          <w:sz w:val="36"/>
        </w:rPr>
      </w:pPr>
      <w:r w:rsidRPr="002531DC">
        <w:rPr>
          <w:sz w:val="36"/>
        </w:rPr>
        <w:fldChar w:fldCharType="end"/>
      </w:r>
    </w:p>
    <w:p w14:paraId="593F07F0" w14:textId="77777777" w:rsidR="00383C26" w:rsidRPr="002531DC" w:rsidRDefault="00383C26" w:rsidP="00383C26">
      <w:pPr>
        <w:sectPr w:rsidR="00383C26" w:rsidRPr="002531DC" w:rsidSect="00CA472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205A27" w14:textId="77777777" w:rsidR="00E90609" w:rsidRPr="002531DC" w:rsidRDefault="00E90609" w:rsidP="00383C26">
      <w:pPr>
        <w:pStyle w:val="ActHead5"/>
      </w:pPr>
      <w:bookmarkStart w:id="3" w:name="_Toc359492592"/>
      <w:r w:rsidRPr="002531DC">
        <w:rPr>
          <w:rStyle w:val="CharSectno"/>
        </w:rPr>
        <w:lastRenderedPageBreak/>
        <w:t>1</w:t>
      </w:r>
      <w:r w:rsidR="00383C26" w:rsidRPr="002531DC">
        <w:t xml:space="preserve">  </w:t>
      </w:r>
      <w:r w:rsidR="00730109" w:rsidRPr="002531DC">
        <w:t>Name of d</w:t>
      </w:r>
      <w:r w:rsidRPr="002531DC">
        <w:t>etermination</w:t>
      </w:r>
      <w:bookmarkEnd w:id="3"/>
    </w:p>
    <w:p w14:paraId="0E2F78EA" w14:textId="64284D8B" w:rsidR="00E90609" w:rsidRPr="002531DC" w:rsidRDefault="00E90609" w:rsidP="00383C26">
      <w:pPr>
        <w:pStyle w:val="subsection"/>
      </w:pPr>
      <w:r w:rsidRPr="002531DC">
        <w:tab/>
      </w:r>
      <w:r w:rsidRPr="002531DC">
        <w:tab/>
        <w:t>T</w:t>
      </w:r>
      <w:r w:rsidR="00730109" w:rsidRPr="002531DC">
        <w:t>his d</w:t>
      </w:r>
      <w:r w:rsidRPr="002531DC">
        <w:t xml:space="preserve">etermination is the </w:t>
      </w:r>
      <w:r w:rsidR="00890E1A" w:rsidRPr="002531DC">
        <w:rPr>
          <w:i/>
        </w:rPr>
        <w:t>Authorised Deposit</w:t>
      </w:r>
      <w:r w:rsidR="002531DC">
        <w:rPr>
          <w:i/>
        </w:rPr>
        <w:noBreakHyphen/>
      </w:r>
      <w:r w:rsidR="00890E1A" w:rsidRPr="002531DC">
        <w:rPr>
          <w:i/>
        </w:rPr>
        <w:t>taking Institutions Supervisor</w:t>
      </w:r>
      <w:r w:rsidR="003B52C0" w:rsidRPr="002531DC">
        <w:rPr>
          <w:i/>
        </w:rPr>
        <w:t>y Levy Imposition Determination</w:t>
      </w:r>
      <w:r w:rsidR="002531DC" w:rsidRPr="002531DC">
        <w:rPr>
          <w:i/>
        </w:rPr>
        <w:t> </w:t>
      </w:r>
      <w:r w:rsidR="00C86211">
        <w:rPr>
          <w:i/>
        </w:rPr>
        <w:t>2016</w:t>
      </w:r>
      <w:r w:rsidR="00730109" w:rsidRPr="002531DC">
        <w:t>.</w:t>
      </w:r>
    </w:p>
    <w:p w14:paraId="4E3E6E51" w14:textId="77777777" w:rsidR="00E90609" w:rsidRPr="002531DC" w:rsidRDefault="00E90609" w:rsidP="00383C26">
      <w:pPr>
        <w:pStyle w:val="ActHead5"/>
      </w:pPr>
      <w:bookmarkStart w:id="4" w:name="_Toc359492593"/>
      <w:r w:rsidRPr="002531DC">
        <w:rPr>
          <w:rStyle w:val="CharSectno"/>
        </w:rPr>
        <w:t>2</w:t>
      </w:r>
      <w:r w:rsidR="00383C26" w:rsidRPr="002531DC">
        <w:t xml:space="preserve">  </w:t>
      </w:r>
      <w:r w:rsidRPr="002531DC">
        <w:t>Commencement</w:t>
      </w:r>
      <w:bookmarkEnd w:id="4"/>
    </w:p>
    <w:p w14:paraId="4C1AF3F0" w14:textId="50F759C3" w:rsidR="00E90609" w:rsidRPr="002531DC" w:rsidRDefault="00730109" w:rsidP="00383C26">
      <w:pPr>
        <w:pStyle w:val="subsection"/>
      </w:pPr>
      <w:r w:rsidRPr="002531DC">
        <w:tab/>
      </w:r>
      <w:r w:rsidRPr="002531DC">
        <w:tab/>
        <w:t>This d</w:t>
      </w:r>
      <w:r w:rsidR="00E90609" w:rsidRPr="002531DC">
        <w:t>etermination co</w:t>
      </w:r>
      <w:r w:rsidR="00671DDB" w:rsidRPr="002531DC">
        <w:t xml:space="preserve">mmences </w:t>
      </w:r>
      <w:r w:rsidR="00C41215" w:rsidRPr="002531DC">
        <w:t xml:space="preserve">on </w:t>
      </w:r>
      <w:r w:rsidR="00222C9D" w:rsidRPr="002531DC">
        <w:t>1</w:t>
      </w:r>
      <w:r w:rsidR="002531DC" w:rsidRPr="002531DC">
        <w:t> </w:t>
      </w:r>
      <w:r w:rsidR="00222C9D" w:rsidRPr="002531DC">
        <w:t xml:space="preserve">July </w:t>
      </w:r>
      <w:r w:rsidR="00C86211">
        <w:t>2016</w:t>
      </w:r>
      <w:r w:rsidR="00E90609" w:rsidRPr="002531DC">
        <w:t>.</w:t>
      </w:r>
    </w:p>
    <w:p w14:paraId="410D2836" w14:textId="77777777" w:rsidR="00383C26" w:rsidRPr="002531DC" w:rsidRDefault="003B52C0" w:rsidP="00383C26">
      <w:pPr>
        <w:pStyle w:val="ActHead5"/>
      </w:pPr>
      <w:bookmarkStart w:id="5" w:name="_Toc359492594"/>
      <w:r w:rsidRPr="002531DC">
        <w:rPr>
          <w:rStyle w:val="CharSectno"/>
        </w:rPr>
        <w:t>3</w:t>
      </w:r>
      <w:r w:rsidR="00383C26" w:rsidRPr="002531DC">
        <w:t xml:space="preserve">  Authority</w:t>
      </w:r>
      <w:bookmarkEnd w:id="5"/>
    </w:p>
    <w:p w14:paraId="30CC7A48" w14:textId="77777777" w:rsidR="00383C26" w:rsidRPr="002531DC" w:rsidRDefault="003B52C0" w:rsidP="00383C26">
      <w:pPr>
        <w:pStyle w:val="subsection"/>
      </w:pPr>
      <w:r w:rsidRPr="002531DC">
        <w:tab/>
      </w:r>
      <w:r w:rsidRPr="002531DC">
        <w:tab/>
        <w:t>This determination is made under subsection</w:t>
      </w:r>
      <w:r w:rsidR="002531DC" w:rsidRPr="002531DC">
        <w:t> </w:t>
      </w:r>
      <w:r w:rsidRPr="002531DC">
        <w:t xml:space="preserve">7(3) of the </w:t>
      </w:r>
      <w:r w:rsidRPr="002531DC">
        <w:rPr>
          <w:i/>
        </w:rPr>
        <w:t>Authorised Deposit</w:t>
      </w:r>
      <w:r w:rsidR="002531DC">
        <w:rPr>
          <w:i/>
        </w:rPr>
        <w:noBreakHyphen/>
      </w:r>
      <w:r w:rsidRPr="002531DC">
        <w:rPr>
          <w:i/>
        </w:rPr>
        <w:t>taking Institutions Supervisory Levy Imposition Act 1998</w:t>
      </w:r>
      <w:r w:rsidR="00383C26" w:rsidRPr="002531DC">
        <w:t>.</w:t>
      </w:r>
    </w:p>
    <w:p w14:paraId="2F7BEDC1" w14:textId="77777777" w:rsidR="00E90609" w:rsidRPr="002531DC" w:rsidRDefault="003B52C0" w:rsidP="00383C26">
      <w:pPr>
        <w:pStyle w:val="ActHead5"/>
        <w:rPr>
          <w:i/>
        </w:rPr>
      </w:pPr>
      <w:bookmarkStart w:id="6" w:name="_Toc359492595"/>
      <w:r w:rsidRPr="002531DC">
        <w:rPr>
          <w:rStyle w:val="CharSectno"/>
        </w:rPr>
        <w:t>4</w:t>
      </w:r>
      <w:r w:rsidR="00383C26" w:rsidRPr="002531DC">
        <w:t xml:space="preserve">  </w:t>
      </w:r>
      <w:r w:rsidR="00FF4FE1" w:rsidRPr="002531DC">
        <w:t>Re</w:t>
      </w:r>
      <w:r w:rsidR="00EA3B8F" w:rsidRPr="002531DC">
        <w:t>peal</w:t>
      </w:r>
      <w:bookmarkEnd w:id="6"/>
    </w:p>
    <w:p w14:paraId="405CD789" w14:textId="13321DA8" w:rsidR="00FF4FE1" w:rsidRPr="002531DC" w:rsidRDefault="00FF4FE1" w:rsidP="00383C26">
      <w:pPr>
        <w:pStyle w:val="subsection"/>
      </w:pPr>
      <w:r w:rsidRPr="002531DC">
        <w:tab/>
      </w:r>
      <w:r w:rsidRPr="002531DC">
        <w:tab/>
        <w:t xml:space="preserve">The </w:t>
      </w:r>
      <w:r w:rsidRPr="002531DC">
        <w:rPr>
          <w:i/>
        </w:rPr>
        <w:t>Authorised Deposit</w:t>
      </w:r>
      <w:r w:rsidR="002531DC">
        <w:rPr>
          <w:i/>
        </w:rPr>
        <w:noBreakHyphen/>
      </w:r>
      <w:r w:rsidRPr="002531DC">
        <w:rPr>
          <w:i/>
        </w:rPr>
        <w:t>taking Institutions Supervisory Le</w:t>
      </w:r>
      <w:r w:rsidR="00671DDB" w:rsidRPr="002531DC">
        <w:rPr>
          <w:i/>
        </w:rPr>
        <w:t>vy Imposition Determination</w:t>
      </w:r>
      <w:r w:rsidR="002531DC" w:rsidRPr="002531DC">
        <w:rPr>
          <w:i/>
        </w:rPr>
        <w:t> </w:t>
      </w:r>
      <w:r w:rsidR="00C86211">
        <w:rPr>
          <w:i/>
        </w:rPr>
        <w:t>2015</w:t>
      </w:r>
      <w:r w:rsidR="00C41215" w:rsidRPr="002531DC">
        <w:t xml:space="preserve"> </w:t>
      </w:r>
      <w:r w:rsidR="00EA3B8F" w:rsidRPr="002531DC">
        <w:t>is repeal</w:t>
      </w:r>
      <w:r w:rsidRPr="002531DC">
        <w:t>ed.</w:t>
      </w:r>
    </w:p>
    <w:p w14:paraId="44C5751E" w14:textId="77777777" w:rsidR="00FF4FE1" w:rsidRPr="002531DC" w:rsidRDefault="003B52C0" w:rsidP="00383C26">
      <w:pPr>
        <w:pStyle w:val="ActHead5"/>
      </w:pPr>
      <w:bookmarkStart w:id="7" w:name="_Toc359492596"/>
      <w:r w:rsidRPr="002531DC">
        <w:rPr>
          <w:rStyle w:val="CharSectno"/>
        </w:rPr>
        <w:t>5</w:t>
      </w:r>
      <w:r w:rsidR="00383C26" w:rsidRPr="002531DC">
        <w:t xml:space="preserve">  </w:t>
      </w:r>
      <w:r w:rsidR="007C6639" w:rsidRPr="002531DC">
        <w:t>Definitions</w:t>
      </w:r>
      <w:bookmarkEnd w:id="7"/>
    </w:p>
    <w:p w14:paraId="662ACB46" w14:textId="77777777" w:rsidR="00FF4FE1" w:rsidRPr="002531DC" w:rsidRDefault="00FF4FE1" w:rsidP="00383C26">
      <w:pPr>
        <w:pStyle w:val="subsection"/>
      </w:pPr>
      <w:r w:rsidRPr="002531DC">
        <w:tab/>
        <w:t>(1)</w:t>
      </w:r>
      <w:r w:rsidRPr="002531DC">
        <w:tab/>
      </w:r>
      <w:r w:rsidR="00730109" w:rsidRPr="002531DC">
        <w:t>In this d</w:t>
      </w:r>
      <w:r w:rsidR="009F0E2F" w:rsidRPr="002531DC">
        <w:t>etermination:</w:t>
      </w:r>
    </w:p>
    <w:p w14:paraId="12C5324C" w14:textId="7DF09617" w:rsidR="009F0E2F" w:rsidRPr="002531DC" w:rsidRDefault="00C86211" w:rsidP="00383C26">
      <w:pPr>
        <w:pStyle w:val="Definition"/>
      </w:pPr>
      <w:r>
        <w:rPr>
          <w:b/>
          <w:i/>
        </w:rPr>
        <w:t>2016</w:t>
      </w:r>
      <w:r w:rsidR="002531DC">
        <w:rPr>
          <w:b/>
          <w:i/>
        </w:rPr>
        <w:noBreakHyphen/>
      </w:r>
      <w:r>
        <w:rPr>
          <w:b/>
          <w:i/>
        </w:rPr>
        <w:t>2017</w:t>
      </w:r>
      <w:r w:rsidR="009F0E2F" w:rsidRPr="002531DC">
        <w:rPr>
          <w:b/>
          <w:i/>
        </w:rPr>
        <w:t xml:space="preserve"> financial</w:t>
      </w:r>
      <w:r w:rsidR="00CB0566" w:rsidRPr="002531DC">
        <w:rPr>
          <w:b/>
          <w:i/>
        </w:rPr>
        <w:t xml:space="preserve"> </w:t>
      </w:r>
      <w:r w:rsidR="009F0E2F" w:rsidRPr="002531DC">
        <w:rPr>
          <w:b/>
          <w:i/>
        </w:rPr>
        <w:t>year</w:t>
      </w:r>
      <w:r w:rsidR="00CB0566" w:rsidRPr="002531DC">
        <w:rPr>
          <w:b/>
          <w:i/>
        </w:rPr>
        <w:t xml:space="preserve"> </w:t>
      </w:r>
      <w:r w:rsidR="009F0E2F" w:rsidRPr="002531DC">
        <w:t>means the financi</w:t>
      </w:r>
      <w:r w:rsidR="00E079B0" w:rsidRPr="002531DC">
        <w:t xml:space="preserve">al year </w:t>
      </w:r>
      <w:r w:rsidR="005537DD" w:rsidRPr="002531DC">
        <w:t>commencing</w:t>
      </w:r>
      <w:r w:rsidR="00E079B0" w:rsidRPr="002531DC">
        <w:t xml:space="preserve"> on 1</w:t>
      </w:r>
      <w:r w:rsidR="002531DC" w:rsidRPr="002531DC">
        <w:t> </w:t>
      </w:r>
      <w:r w:rsidR="00E079B0" w:rsidRPr="002531DC">
        <w:t>July</w:t>
      </w:r>
      <w:r w:rsidR="00DE7DDB" w:rsidRPr="002531DC">
        <w:t xml:space="preserve"> </w:t>
      </w:r>
      <w:r>
        <w:t>2016</w:t>
      </w:r>
      <w:r w:rsidR="009F0E2F" w:rsidRPr="002531DC">
        <w:t>.</w:t>
      </w:r>
    </w:p>
    <w:p w14:paraId="3227365F" w14:textId="77777777" w:rsidR="00132573" w:rsidRPr="002531DC" w:rsidRDefault="009F0E2F" w:rsidP="00383C26">
      <w:pPr>
        <w:pStyle w:val="Definition"/>
      </w:pPr>
      <w:r w:rsidRPr="002531DC">
        <w:rPr>
          <w:b/>
          <w:i/>
        </w:rPr>
        <w:t>Act</w:t>
      </w:r>
      <w:r w:rsidRPr="002531DC">
        <w:t xml:space="preserve"> means the </w:t>
      </w:r>
      <w:r w:rsidRPr="002531DC">
        <w:rPr>
          <w:i/>
        </w:rPr>
        <w:t>Authorised Deposit</w:t>
      </w:r>
      <w:r w:rsidR="002531DC">
        <w:rPr>
          <w:i/>
        </w:rPr>
        <w:noBreakHyphen/>
      </w:r>
      <w:r w:rsidRPr="002531DC">
        <w:rPr>
          <w:i/>
        </w:rPr>
        <w:t>taking Institutions Supervisory Levy Imposition Act 1998</w:t>
      </w:r>
      <w:r w:rsidRPr="002531DC">
        <w:t>.</w:t>
      </w:r>
    </w:p>
    <w:p w14:paraId="255DAD29" w14:textId="77777777" w:rsidR="00224E32" w:rsidRPr="002531DC" w:rsidRDefault="00224E32" w:rsidP="00383C26">
      <w:pPr>
        <w:pStyle w:val="Definition"/>
      </w:pPr>
      <w:r w:rsidRPr="002531DC">
        <w:rPr>
          <w:b/>
          <w:i/>
        </w:rPr>
        <w:t>ARS 320</w:t>
      </w:r>
      <w:r w:rsidRPr="002531DC">
        <w:rPr>
          <w:b/>
        </w:rPr>
        <w:t>.</w:t>
      </w:r>
      <w:r w:rsidRPr="002531DC">
        <w:rPr>
          <w:b/>
          <w:i/>
        </w:rPr>
        <w:t>0 entity</w:t>
      </w:r>
      <w:r w:rsidRPr="002531DC">
        <w:t xml:space="preserve"> means an entity mentioned in paragraph</w:t>
      </w:r>
      <w:r w:rsidR="002531DC" w:rsidRPr="002531DC">
        <w:t> </w:t>
      </w:r>
      <w:r w:rsidRPr="002531DC">
        <w:t>2 of Reporting Standard ARS 320.0</w:t>
      </w:r>
      <w:r w:rsidR="00695444" w:rsidRPr="002531DC">
        <w:t xml:space="preserve"> as an entity to which that Reporting Standard applies</w:t>
      </w:r>
      <w:r w:rsidRPr="002531DC">
        <w:t>.</w:t>
      </w:r>
    </w:p>
    <w:p w14:paraId="15C8BEC9" w14:textId="77777777" w:rsidR="009F0E2F" w:rsidRPr="002531DC" w:rsidRDefault="009F0E2F" w:rsidP="00383C26">
      <w:pPr>
        <w:pStyle w:val="Definition"/>
      </w:pPr>
      <w:r w:rsidRPr="002531DC">
        <w:rPr>
          <w:b/>
          <w:i/>
        </w:rPr>
        <w:t>foreign ADI</w:t>
      </w:r>
      <w:r w:rsidR="00AF7A76" w:rsidRPr="002531DC">
        <w:t xml:space="preserve"> has the same meaning as in</w:t>
      </w:r>
      <w:r w:rsidR="004A36CA" w:rsidRPr="002531DC">
        <w:t xml:space="preserve"> </w:t>
      </w:r>
      <w:r w:rsidRPr="002531DC">
        <w:t xml:space="preserve">the </w:t>
      </w:r>
      <w:r w:rsidRPr="002531DC">
        <w:rPr>
          <w:i/>
        </w:rPr>
        <w:t>Banking Act 1959</w:t>
      </w:r>
      <w:r w:rsidRPr="002531DC">
        <w:t>.</w:t>
      </w:r>
    </w:p>
    <w:p w14:paraId="514BE409" w14:textId="77777777" w:rsidR="009F0E2F" w:rsidRPr="002531DC" w:rsidRDefault="009F0E2F" w:rsidP="00383C26">
      <w:pPr>
        <w:pStyle w:val="Definition"/>
      </w:pPr>
      <w:r w:rsidRPr="002531DC">
        <w:rPr>
          <w:b/>
          <w:i/>
        </w:rPr>
        <w:t>Form ARF 320</w:t>
      </w:r>
      <w:r w:rsidRPr="002531DC">
        <w:rPr>
          <w:b/>
        </w:rPr>
        <w:t>.</w:t>
      </w:r>
      <w:r w:rsidRPr="002531DC">
        <w:rPr>
          <w:b/>
          <w:i/>
        </w:rPr>
        <w:t xml:space="preserve">0 </w:t>
      </w:r>
      <w:r w:rsidR="00FB7B9C" w:rsidRPr="002531DC">
        <w:t xml:space="preserve">means the form titled </w:t>
      </w:r>
      <w:r w:rsidR="00824A87" w:rsidRPr="002531DC">
        <w:t>“</w:t>
      </w:r>
      <w:r w:rsidR="00FB7B9C" w:rsidRPr="002531DC">
        <w:t>ARF 320.0 Statement of Financial Position (Domestic Books)</w:t>
      </w:r>
      <w:r w:rsidR="00824A87" w:rsidRPr="002531DC">
        <w:t>”</w:t>
      </w:r>
      <w:r w:rsidR="00AF7A76" w:rsidRPr="002531DC">
        <w:t>,</w:t>
      </w:r>
      <w:r w:rsidR="00824A87" w:rsidRPr="002531DC">
        <w:t xml:space="preserve"> which is</w:t>
      </w:r>
      <w:r w:rsidR="00662AD0" w:rsidRPr="002531DC">
        <w:t xml:space="preserve"> part</w:t>
      </w:r>
      <w:r w:rsidRPr="002531DC">
        <w:t xml:space="preserve"> of Reporting Standard ARS 320.0.</w:t>
      </w:r>
    </w:p>
    <w:p w14:paraId="6777FDE4" w14:textId="77777777" w:rsidR="009F0E2F" w:rsidRPr="002531DC" w:rsidRDefault="009F0E2F" w:rsidP="00383C26">
      <w:pPr>
        <w:pStyle w:val="Definition"/>
      </w:pPr>
      <w:r w:rsidRPr="002531DC">
        <w:rPr>
          <w:b/>
          <w:i/>
        </w:rPr>
        <w:t>Form ARF 323</w:t>
      </w:r>
      <w:r w:rsidRPr="002531DC">
        <w:rPr>
          <w:b/>
        </w:rPr>
        <w:t>.</w:t>
      </w:r>
      <w:r w:rsidRPr="002531DC">
        <w:rPr>
          <w:b/>
          <w:i/>
        </w:rPr>
        <w:t xml:space="preserve">0 </w:t>
      </w:r>
      <w:r w:rsidRPr="002531DC">
        <w:t>mea</w:t>
      </w:r>
      <w:r w:rsidR="00AF7A76" w:rsidRPr="002531DC">
        <w:t xml:space="preserve">ns the form </w:t>
      </w:r>
      <w:r w:rsidR="00824A87" w:rsidRPr="002531DC">
        <w:t>titled “</w:t>
      </w:r>
      <w:r w:rsidR="00607B26" w:rsidRPr="002531DC">
        <w:t>ARF 323.0 Statement of Financial Position</w:t>
      </w:r>
      <w:r w:rsidR="000C3C97" w:rsidRPr="002531DC">
        <w:t xml:space="preserve"> (Licensed ADI)</w:t>
      </w:r>
      <w:r w:rsidR="00607B26" w:rsidRPr="002531DC">
        <w:t>”</w:t>
      </w:r>
      <w:r w:rsidR="00BE32B7" w:rsidRPr="002531DC">
        <w:t>,</w:t>
      </w:r>
      <w:r w:rsidR="00662AD0" w:rsidRPr="002531DC">
        <w:t xml:space="preserve"> which</w:t>
      </w:r>
      <w:r w:rsidR="00824A87" w:rsidRPr="002531DC">
        <w:t xml:space="preserve"> is</w:t>
      </w:r>
      <w:r w:rsidR="00662AD0" w:rsidRPr="002531DC">
        <w:t xml:space="preserve"> part</w:t>
      </w:r>
      <w:r w:rsidRPr="002531DC">
        <w:t xml:space="preserve"> of Reporting Standard ARS 323.0.</w:t>
      </w:r>
    </w:p>
    <w:p w14:paraId="0153FEC1" w14:textId="77777777" w:rsidR="00420BAC" w:rsidRPr="002531DC" w:rsidRDefault="00420BAC" w:rsidP="00383C26">
      <w:pPr>
        <w:pStyle w:val="Definition"/>
      </w:pPr>
      <w:r w:rsidRPr="002531DC">
        <w:rPr>
          <w:b/>
          <w:i/>
        </w:rPr>
        <w:t>provider of purchased payment facilities</w:t>
      </w:r>
      <w:r w:rsidRPr="002531DC">
        <w:t xml:space="preserve"> means an ADI that:</w:t>
      </w:r>
    </w:p>
    <w:p w14:paraId="0E60ED4F" w14:textId="77777777" w:rsidR="00420BAC" w:rsidRPr="002531DC" w:rsidRDefault="00420BAC" w:rsidP="00383C26">
      <w:pPr>
        <w:pStyle w:val="paragraph"/>
      </w:pPr>
      <w:r w:rsidRPr="002531DC">
        <w:tab/>
        <w:t>(a)</w:t>
      </w:r>
      <w:r w:rsidRPr="002531DC">
        <w:tab/>
        <w:t xml:space="preserve">engages in the provision of </w:t>
      </w:r>
      <w:r w:rsidR="00C41215" w:rsidRPr="002531DC">
        <w:t>one</w:t>
      </w:r>
      <w:r w:rsidRPr="002531DC">
        <w:t xml:space="preserve"> or more purchased payment facilities in c</w:t>
      </w:r>
      <w:r w:rsidR="00C41215" w:rsidRPr="002531DC">
        <w:t>ircumstances in which at least one</w:t>
      </w:r>
      <w:r w:rsidRPr="002531DC">
        <w:t xml:space="preserve"> of the facilities is of the kind described in regulation</w:t>
      </w:r>
      <w:r w:rsidR="002531DC" w:rsidRPr="002531DC">
        <w:t> </w:t>
      </w:r>
      <w:r w:rsidRPr="002531DC">
        <w:t xml:space="preserve">3 of the </w:t>
      </w:r>
      <w:r w:rsidRPr="002531DC">
        <w:rPr>
          <w:i/>
        </w:rPr>
        <w:t>Banking Regulations</w:t>
      </w:r>
      <w:r w:rsidR="002531DC" w:rsidRPr="002531DC">
        <w:rPr>
          <w:i/>
        </w:rPr>
        <w:t> </w:t>
      </w:r>
      <w:r w:rsidRPr="002531DC">
        <w:rPr>
          <w:i/>
        </w:rPr>
        <w:t>1966</w:t>
      </w:r>
      <w:r w:rsidRPr="002531DC">
        <w:t>; and</w:t>
      </w:r>
    </w:p>
    <w:p w14:paraId="377CB635" w14:textId="77777777" w:rsidR="00420BAC" w:rsidRPr="002531DC" w:rsidRDefault="00420BAC" w:rsidP="00383C26">
      <w:pPr>
        <w:pStyle w:val="paragraph"/>
      </w:pPr>
      <w:r w:rsidRPr="002531DC">
        <w:tab/>
        <w:t>(b)</w:t>
      </w:r>
      <w:r w:rsidRPr="002531DC">
        <w:tab/>
        <w:t>does not otherwise carry on banking business within the meaning of section</w:t>
      </w:r>
      <w:r w:rsidR="002531DC" w:rsidRPr="002531DC">
        <w:t> </w:t>
      </w:r>
      <w:r w:rsidRPr="002531DC">
        <w:t xml:space="preserve">5 of the </w:t>
      </w:r>
      <w:r w:rsidRPr="002531DC">
        <w:rPr>
          <w:i/>
        </w:rPr>
        <w:t>Banking Act 1959</w:t>
      </w:r>
      <w:r w:rsidRPr="002531DC">
        <w:t>.</w:t>
      </w:r>
    </w:p>
    <w:p w14:paraId="4666F1AC" w14:textId="77777777" w:rsidR="00420BAC" w:rsidRPr="002531DC" w:rsidRDefault="00420BAC" w:rsidP="00383C26">
      <w:pPr>
        <w:pStyle w:val="Definition"/>
      </w:pPr>
      <w:r w:rsidRPr="002531DC">
        <w:rPr>
          <w:b/>
          <w:i/>
        </w:rPr>
        <w:t>purchased payment facility</w:t>
      </w:r>
      <w:r w:rsidRPr="002531DC">
        <w:t xml:space="preserve"> has the same meaning as in the </w:t>
      </w:r>
      <w:r w:rsidRPr="002531DC">
        <w:rPr>
          <w:i/>
        </w:rPr>
        <w:t>Payment Systems (Regulation) Act 1998</w:t>
      </w:r>
      <w:r w:rsidRPr="002531DC">
        <w:t>.</w:t>
      </w:r>
    </w:p>
    <w:p w14:paraId="7652309E" w14:textId="77777777" w:rsidR="009F0E2F" w:rsidRPr="002531DC" w:rsidRDefault="009F0E2F" w:rsidP="00383C26">
      <w:pPr>
        <w:pStyle w:val="Definition"/>
      </w:pPr>
      <w:r w:rsidRPr="002531DC">
        <w:rPr>
          <w:b/>
          <w:i/>
        </w:rPr>
        <w:t>reporting period</w:t>
      </w:r>
      <w:r w:rsidR="00FA65D1" w:rsidRPr="002531DC">
        <w:t>, in relation to an ADI, means the reporting period that applies to the ADI under:</w:t>
      </w:r>
    </w:p>
    <w:p w14:paraId="4A201522" w14:textId="77777777" w:rsidR="009F0E2F" w:rsidRPr="002531DC" w:rsidRDefault="009F0E2F" w:rsidP="00383C26">
      <w:pPr>
        <w:pStyle w:val="paragraph"/>
      </w:pPr>
      <w:r w:rsidRPr="002531DC">
        <w:lastRenderedPageBreak/>
        <w:tab/>
        <w:t>(a)</w:t>
      </w:r>
      <w:r w:rsidRPr="002531DC">
        <w:tab/>
      </w:r>
      <w:r w:rsidR="00D6456A" w:rsidRPr="002531DC">
        <w:t>paragraph</w:t>
      </w:r>
      <w:r w:rsidR="002531DC" w:rsidRPr="002531DC">
        <w:t> </w:t>
      </w:r>
      <w:r w:rsidR="00D6456A" w:rsidRPr="002531DC">
        <w:t>5</w:t>
      </w:r>
      <w:r w:rsidR="00C23910" w:rsidRPr="002531DC">
        <w:t xml:space="preserve"> or 6</w:t>
      </w:r>
      <w:r w:rsidRPr="002531DC">
        <w:t xml:space="preserve"> of R</w:t>
      </w:r>
      <w:r w:rsidR="00FA65D1" w:rsidRPr="002531DC">
        <w:t>eporting Standard ARS 320.0; or</w:t>
      </w:r>
    </w:p>
    <w:p w14:paraId="4BD79D3B" w14:textId="77777777" w:rsidR="007C379A" w:rsidRPr="002531DC" w:rsidRDefault="009F0E2F" w:rsidP="00383C26">
      <w:pPr>
        <w:pStyle w:val="paragraph"/>
      </w:pPr>
      <w:r w:rsidRPr="002531DC">
        <w:tab/>
        <w:t>(b)</w:t>
      </w:r>
      <w:r w:rsidRPr="002531DC">
        <w:tab/>
      </w:r>
      <w:r w:rsidR="00C23910" w:rsidRPr="002531DC">
        <w:t>paragraph</w:t>
      </w:r>
      <w:r w:rsidR="002531DC" w:rsidRPr="002531DC">
        <w:t> </w:t>
      </w:r>
      <w:r w:rsidRPr="002531DC">
        <w:t xml:space="preserve">5 </w:t>
      </w:r>
      <w:r w:rsidR="00C23910" w:rsidRPr="002531DC">
        <w:t xml:space="preserve">or 6 </w:t>
      </w:r>
      <w:r w:rsidRPr="002531DC">
        <w:t>of Reporting Standard ARS 323.0.</w:t>
      </w:r>
    </w:p>
    <w:p w14:paraId="29B7BF25" w14:textId="77777777" w:rsidR="009B7B53" w:rsidRPr="002531DC" w:rsidRDefault="009B7B53" w:rsidP="009B7B53">
      <w:pPr>
        <w:pStyle w:val="Definition"/>
      </w:pPr>
      <w:r w:rsidRPr="002531DC">
        <w:rPr>
          <w:b/>
          <w:i/>
        </w:rPr>
        <w:t>Reporting Standard ARS 320.0</w:t>
      </w:r>
      <w:r w:rsidRPr="002531DC">
        <w:rPr>
          <w:b/>
        </w:rPr>
        <w:t xml:space="preserve"> </w:t>
      </w:r>
      <w:r w:rsidRPr="002531DC">
        <w:t>means the Reporting Standard ARS 320.0 Statement of Financial Position (Domestic Books), which is:</w:t>
      </w:r>
    </w:p>
    <w:p w14:paraId="092CB8B3" w14:textId="77777777" w:rsidR="009B7B53" w:rsidRPr="002531DC" w:rsidRDefault="009B7B53" w:rsidP="009B7B53">
      <w:pPr>
        <w:pStyle w:val="paragraph"/>
      </w:pPr>
      <w:r w:rsidRPr="002531DC">
        <w:tab/>
        <w:t>(a)</w:t>
      </w:r>
      <w:r w:rsidRPr="002531DC">
        <w:tab/>
        <w:t xml:space="preserve">in the Schedule to the </w:t>
      </w:r>
      <w:r w:rsidRPr="002531DC">
        <w:rPr>
          <w:i/>
        </w:rPr>
        <w:t>Financial Sector (Collection of Data) (reporting standard) determination No.</w:t>
      </w:r>
      <w:r w:rsidR="002531DC" w:rsidRPr="002531DC">
        <w:rPr>
          <w:i/>
        </w:rPr>
        <w:t> </w:t>
      </w:r>
      <w:r w:rsidR="007E0C03" w:rsidRPr="002531DC">
        <w:rPr>
          <w:i/>
        </w:rPr>
        <w:t>30 of 2008</w:t>
      </w:r>
      <w:r w:rsidR="00214D51" w:rsidRPr="002531DC">
        <w:rPr>
          <w:i/>
        </w:rPr>
        <w:t>—</w:t>
      </w:r>
      <w:r w:rsidRPr="002531DC">
        <w:rPr>
          <w:i/>
        </w:rPr>
        <w:t>Reporting standard ARS 320.0 Statement of Financial Position (Domestic Books)</w:t>
      </w:r>
      <w:r w:rsidRPr="002531DC">
        <w:t>; and</w:t>
      </w:r>
    </w:p>
    <w:p w14:paraId="13B65EBB" w14:textId="77777777" w:rsidR="009B7B53" w:rsidRPr="002531DC" w:rsidRDefault="009B7B53" w:rsidP="009B7B53">
      <w:pPr>
        <w:pStyle w:val="paragraph"/>
      </w:pPr>
      <w:r w:rsidRPr="002531DC">
        <w:tab/>
        <w:t>(b)</w:t>
      </w:r>
      <w:r w:rsidRPr="002531DC">
        <w:tab/>
        <w:t>made under section</w:t>
      </w:r>
      <w:r w:rsidR="002531DC" w:rsidRPr="002531DC">
        <w:t> </w:t>
      </w:r>
      <w:r w:rsidRPr="002531DC">
        <w:t xml:space="preserve">13 of the </w:t>
      </w:r>
      <w:r w:rsidRPr="002531DC">
        <w:rPr>
          <w:i/>
        </w:rPr>
        <w:t>Financial Sector (Collection of Data) Act 2001</w:t>
      </w:r>
      <w:r w:rsidRPr="002531DC">
        <w:t>.</w:t>
      </w:r>
    </w:p>
    <w:p w14:paraId="565CEC25" w14:textId="77777777" w:rsidR="00FB7B9C" w:rsidRPr="002531DC" w:rsidRDefault="00FB7B9C" w:rsidP="00FB7B9C">
      <w:pPr>
        <w:pStyle w:val="Definition"/>
      </w:pPr>
      <w:r w:rsidRPr="002531DC">
        <w:rPr>
          <w:b/>
          <w:i/>
        </w:rPr>
        <w:t>Reporting Standard ARS 323.0</w:t>
      </w:r>
      <w:r w:rsidRPr="002531DC">
        <w:rPr>
          <w:b/>
        </w:rPr>
        <w:t xml:space="preserve"> </w:t>
      </w:r>
      <w:r w:rsidRPr="002531DC">
        <w:t>means the Reporting Standard ARS 323.0 Statement of Financial Position (Licensed ADI), which is:</w:t>
      </w:r>
    </w:p>
    <w:p w14:paraId="45DC3AD5" w14:textId="77777777" w:rsidR="00FB7B9C" w:rsidRPr="002531DC" w:rsidRDefault="00FB7B9C" w:rsidP="00FB7B9C">
      <w:pPr>
        <w:pStyle w:val="paragraph"/>
      </w:pPr>
      <w:r w:rsidRPr="002531DC">
        <w:tab/>
        <w:t>(a)</w:t>
      </w:r>
      <w:r w:rsidRPr="002531DC">
        <w:tab/>
        <w:t xml:space="preserve">in the Schedule to the </w:t>
      </w:r>
      <w:r w:rsidRPr="002531DC">
        <w:rPr>
          <w:i/>
        </w:rPr>
        <w:t>Financial Sector (Collection of Data) (reporting standard) determination No.</w:t>
      </w:r>
      <w:r w:rsidR="002531DC" w:rsidRPr="002531DC">
        <w:rPr>
          <w:i/>
        </w:rPr>
        <w:t> </w:t>
      </w:r>
      <w:r w:rsidR="00C12169" w:rsidRPr="002531DC">
        <w:rPr>
          <w:i/>
        </w:rPr>
        <w:t>40 of 2008</w:t>
      </w:r>
      <w:r w:rsidR="00214D51" w:rsidRPr="002531DC">
        <w:rPr>
          <w:i/>
        </w:rPr>
        <w:t>—</w:t>
      </w:r>
      <w:r w:rsidR="00C12169" w:rsidRPr="002531DC">
        <w:rPr>
          <w:i/>
        </w:rPr>
        <w:t>Reporting standard ARS 323</w:t>
      </w:r>
      <w:r w:rsidRPr="002531DC">
        <w:rPr>
          <w:i/>
        </w:rPr>
        <w:t>.0 Statement of Fi</w:t>
      </w:r>
      <w:r w:rsidR="00C12169" w:rsidRPr="002531DC">
        <w:rPr>
          <w:i/>
        </w:rPr>
        <w:t>nancial Position (Licensed ADI</w:t>
      </w:r>
      <w:r w:rsidRPr="002531DC">
        <w:rPr>
          <w:i/>
        </w:rPr>
        <w:t>)</w:t>
      </w:r>
      <w:r w:rsidRPr="002531DC">
        <w:t>; and</w:t>
      </w:r>
    </w:p>
    <w:p w14:paraId="2CC9CCBB" w14:textId="77777777" w:rsidR="00FB7B9C" w:rsidRPr="002531DC" w:rsidRDefault="00FB7B9C" w:rsidP="00FB7B9C">
      <w:pPr>
        <w:pStyle w:val="paragraph"/>
      </w:pPr>
      <w:r w:rsidRPr="002531DC">
        <w:tab/>
        <w:t>(b)</w:t>
      </w:r>
      <w:r w:rsidRPr="002531DC">
        <w:tab/>
        <w:t>made under section</w:t>
      </w:r>
      <w:r w:rsidR="002531DC" w:rsidRPr="002531DC">
        <w:t> </w:t>
      </w:r>
      <w:r w:rsidRPr="002531DC">
        <w:t xml:space="preserve">13 of the </w:t>
      </w:r>
      <w:r w:rsidRPr="002531DC">
        <w:rPr>
          <w:i/>
        </w:rPr>
        <w:t>Financial Sector (Collection of Data) Act 2001</w:t>
      </w:r>
      <w:r w:rsidRPr="002531DC">
        <w:t>.</w:t>
      </w:r>
    </w:p>
    <w:p w14:paraId="09BEC3C3" w14:textId="77777777" w:rsidR="009F0E2F" w:rsidRPr="002531DC" w:rsidRDefault="009F0E2F" w:rsidP="00383C26">
      <w:pPr>
        <w:pStyle w:val="Definition"/>
      </w:pPr>
      <w:r w:rsidRPr="002531DC">
        <w:rPr>
          <w:b/>
          <w:i/>
        </w:rPr>
        <w:t>valuation day</w:t>
      </w:r>
      <w:r w:rsidRPr="002531DC">
        <w:t>, in relation to an ADI, means:</w:t>
      </w:r>
    </w:p>
    <w:p w14:paraId="7668BCF2" w14:textId="498CCF1F" w:rsidR="009F0E2F" w:rsidRPr="002531DC" w:rsidRDefault="009F0E2F" w:rsidP="00383C26">
      <w:pPr>
        <w:pStyle w:val="paragraph"/>
      </w:pPr>
      <w:r w:rsidRPr="002531DC">
        <w:tab/>
        <w:t>(a)</w:t>
      </w:r>
      <w:r w:rsidRPr="002531DC">
        <w:tab/>
        <w:t>for an ADI that was an ADI at all times duri</w:t>
      </w:r>
      <w:r w:rsidR="00C0441B" w:rsidRPr="002531DC">
        <w:t>ng the period from 17</w:t>
      </w:r>
      <w:r w:rsidR="002531DC" w:rsidRPr="002531DC">
        <w:t> </w:t>
      </w:r>
      <w:r w:rsidR="00BC6288" w:rsidRPr="002531DC">
        <w:t xml:space="preserve">March </w:t>
      </w:r>
      <w:r w:rsidR="00C86211">
        <w:t>2016</w:t>
      </w:r>
      <w:r w:rsidR="00BC6288" w:rsidRPr="002531DC">
        <w:t xml:space="preserve"> to 30</w:t>
      </w:r>
      <w:r w:rsidR="002531DC" w:rsidRPr="002531DC">
        <w:t> </w:t>
      </w:r>
      <w:r w:rsidR="00BC6288" w:rsidRPr="002531DC">
        <w:t xml:space="preserve">June </w:t>
      </w:r>
      <w:r w:rsidR="00C86211">
        <w:t>2016</w:t>
      </w:r>
      <w:r w:rsidR="00743CDB" w:rsidRPr="002531DC">
        <w:t>—</w:t>
      </w:r>
      <w:r w:rsidR="00BC6288" w:rsidRPr="002531DC">
        <w:t>31</w:t>
      </w:r>
      <w:r w:rsidR="002531DC" w:rsidRPr="002531DC">
        <w:t> </w:t>
      </w:r>
      <w:r w:rsidR="00BC6288" w:rsidRPr="002531DC">
        <w:t xml:space="preserve">March </w:t>
      </w:r>
      <w:r w:rsidR="00C86211">
        <w:t>2016</w:t>
      </w:r>
      <w:r w:rsidRPr="002531DC">
        <w:t>; and</w:t>
      </w:r>
    </w:p>
    <w:p w14:paraId="2B257718" w14:textId="18A3631A" w:rsidR="009F0E2F" w:rsidRPr="002531DC" w:rsidRDefault="009F0E2F" w:rsidP="00383C26">
      <w:pPr>
        <w:pStyle w:val="paragraph"/>
      </w:pPr>
      <w:r w:rsidRPr="002531DC">
        <w:tab/>
        <w:t>(b)</w:t>
      </w:r>
      <w:r w:rsidRPr="002531DC">
        <w:tab/>
        <w:t>for an ADI that was an ADI for some, but not all, o</w:t>
      </w:r>
      <w:r w:rsidR="00C0441B" w:rsidRPr="002531DC">
        <w:t>f the period from 17</w:t>
      </w:r>
      <w:r w:rsidR="002531DC" w:rsidRPr="002531DC">
        <w:t> </w:t>
      </w:r>
      <w:r w:rsidR="00BC6288" w:rsidRPr="002531DC">
        <w:t xml:space="preserve">March </w:t>
      </w:r>
      <w:r w:rsidR="00C86211">
        <w:t>2016</w:t>
      </w:r>
      <w:r w:rsidR="00BC6288" w:rsidRPr="002531DC">
        <w:t xml:space="preserve"> to 30</w:t>
      </w:r>
      <w:r w:rsidR="002531DC" w:rsidRPr="002531DC">
        <w:t> </w:t>
      </w:r>
      <w:r w:rsidR="00BC6288" w:rsidRPr="002531DC">
        <w:t xml:space="preserve">June </w:t>
      </w:r>
      <w:r w:rsidR="00C86211">
        <w:t>2016</w:t>
      </w:r>
      <w:r w:rsidR="00743CDB" w:rsidRPr="002531DC">
        <w:t>—</w:t>
      </w:r>
      <w:r w:rsidR="00BC6288" w:rsidRPr="002531DC">
        <w:t>the day, after 17</w:t>
      </w:r>
      <w:r w:rsidR="002531DC" w:rsidRPr="002531DC">
        <w:t> </w:t>
      </w:r>
      <w:r w:rsidR="00BC6288" w:rsidRPr="002531DC">
        <w:t xml:space="preserve">March </w:t>
      </w:r>
      <w:r w:rsidR="00C86211">
        <w:t>2016</w:t>
      </w:r>
      <w:r w:rsidRPr="002531DC">
        <w:t>, on which it became an ADI; and</w:t>
      </w:r>
    </w:p>
    <w:p w14:paraId="57568BD7" w14:textId="3EA545B2" w:rsidR="009F0E2F" w:rsidRPr="002531DC" w:rsidRDefault="009F0E2F" w:rsidP="00383C26">
      <w:pPr>
        <w:pStyle w:val="paragraph"/>
      </w:pPr>
      <w:r w:rsidRPr="002531DC">
        <w:tab/>
        <w:t>(c)</w:t>
      </w:r>
      <w:r w:rsidRPr="002531DC">
        <w:tab/>
        <w:t xml:space="preserve">for an ADI that </w:t>
      </w:r>
      <w:r w:rsidR="00BC6288" w:rsidRPr="002531DC">
        <w:t>became an ADI after 30</w:t>
      </w:r>
      <w:r w:rsidR="002531DC" w:rsidRPr="002531DC">
        <w:t> </w:t>
      </w:r>
      <w:r w:rsidR="00BC6288" w:rsidRPr="002531DC">
        <w:t xml:space="preserve">June </w:t>
      </w:r>
      <w:r w:rsidR="00C86211">
        <w:t>2016</w:t>
      </w:r>
      <w:r w:rsidR="00743CDB" w:rsidRPr="002531DC">
        <w:t>—</w:t>
      </w:r>
      <w:r w:rsidRPr="002531DC">
        <w:t>the day on which it became an ADI.</w:t>
      </w:r>
    </w:p>
    <w:p w14:paraId="2E3F92D2" w14:textId="77777777" w:rsidR="00C07033" w:rsidRPr="002531DC" w:rsidRDefault="00C07033" w:rsidP="00E86735">
      <w:pPr>
        <w:pStyle w:val="notetext"/>
      </w:pPr>
      <w:r w:rsidRPr="002531DC">
        <w:t>Note:</w:t>
      </w:r>
      <w:r w:rsidRPr="002531DC">
        <w:tab/>
      </w:r>
      <w:r w:rsidRPr="002531DC">
        <w:rPr>
          <w:b/>
          <w:i/>
        </w:rPr>
        <w:t>ADI</w:t>
      </w:r>
      <w:r w:rsidRPr="002531DC">
        <w:t xml:space="preserve"> is defined in section</w:t>
      </w:r>
      <w:r w:rsidR="002531DC" w:rsidRPr="002531DC">
        <w:t> </w:t>
      </w:r>
      <w:r w:rsidRPr="002531DC">
        <w:t>5 of the Act.</w:t>
      </w:r>
    </w:p>
    <w:p w14:paraId="57F0425A" w14:textId="77777777" w:rsidR="00224C7B" w:rsidRPr="002531DC" w:rsidRDefault="00730109" w:rsidP="00383C26">
      <w:pPr>
        <w:pStyle w:val="subsection"/>
      </w:pPr>
      <w:r w:rsidRPr="002531DC">
        <w:tab/>
        <w:t>(2)</w:t>
      </w:r>
      <w:r w:rsidRPr="002531DC">
        <w:tab/>
        <w:t>In this d</w:t>
      </w:r>
      <w:r w:rsidR="009F0E2F" w:rsidRPr="002531DC">
        <w:t>etermination, a reference to a period from a specified date to another specified date is a reference to a period that includes both of those dates.</w:t>
      </w:r>
    </w:p>
    <w:p w14:paraId="078E71BC" w14:textId="77777777" w:rsidR="00176881" w:rsidRDefault="00176881">
      <w:pPr>
        <w:spacing w:line="240" w:lineRule="auto"/>
        <w:rPr>
          <w:rStyle w:val="CharSectno"/>
          <w:rFonts w:eastAsia="Times New Roman" w:cs="Times New Roman"/>
          <w:b/>
          <w:kern w:val="28"/>
          <w:sz w:val="24"/>
          <w:lang w:eastAsia="en-AU"/>
        </w:rPr>
      </w:pPr>
      <w:bookmarkStart w:id="8" w:name="_Toc359492597"/>
      <w:r>
        <w:rPr>
          <w:rStyle w:val="CharSectno"/>
        </w:rPr>
        <w:br w:type="page"/>
      </w:r>
    </w:p>
    <w:p w14:paraId="372E5C26" w14:textId="47F7C6B2" w:rsidR="009F0E2F" w:rsidRPr="002531DC" w:rsidRDefault="003B52C0" w:rsidP="00383C26">
      <w:pPr>
        <w:pStyle w:val="ActHead5"/>
      </w:pPr>
      <w:r w:rsidRPr="002531DC">
        <w:rPr>
          <w:rStyle w:val="CharSectno"/>
        </w:rPr>
        <w:lastRenderedPageBreak/>
        <w:t>6</w:t>
      </w:r>
      <w:r w:rsidR="00383C26" w:rsidRPr="002531DC">
        <w:t xml:space="preserve">  </w:t>
      </w:r>
      <w:r w:rsidR="009F0E2F" w:rsidRPr="002531DC">
        <w:t>Amount of levy</w:t>
      </w:r>
      <w:bookmarkEnd w:id="8"/>
    </w:p>
    <w:p w14:paraId="0891F566" w14:textId="588187B8" w:rsidR="00E42107" w:rsidRPr="002531DC" w:rsidRDefault="009F0E2F" w:rsidP="00383C26">
      <w:pPr>
        <w:pStyle w:val="subsection"/>
      </w:pPr>
      <w:r w:rsidRPr="002531DC">
        <w:tab/>
      </w:r>
      <w:r w:rsidRPr="002531DC">
        <w:tab/>
        <w:t xml:space="preserve">For paragraphs 7(3)(a), (b), (c) and (ca) of the Act, </w:t>
      </w:r>
      <w:r w:rsidR="008E6E12" w:rsidRPr="002531DC">
        <w:t xml:space="preserve">an item in the following table sets out, for the </w:t>
      </w:r>
      <w:r w:rsidR="00C86211">
        <w:t>2016</w:t>
      </w:r>
      <w:r w:rsidR="002531DC">
        <w:noBreakHyphen/>
      </w:r>
      <w:r w:rsidR="00C86211">
        <w:t>2017</w:t>
      </w:r>
      <w:r w:rsidR="008E6E12" w:rsidRPr="002531DC">
        <w:t xml:space="preserve"> financial year, the following for the class of ADI mentioned in the item:</w:t>
      </w:r>
    </w:p>
    <w:p w14:paraId="62800A7E" w14:textId="77777777" w:rsidR="008E6E12" w:rsidRPr="002531DC" w:rsidRDefault="008E6E12" w:rsidP="00E42107">
      <w:pPr>
        <w:pStyle w:val="paragraph"/>
      </w:pPr>
      <w:r w:rsidRPr="002531DC">
        <w:tab/>
      </w:r>
      <w:r w:rsidR="00E42107" w:rsidRPr="002531DC">
        <w:t>(a)</w:t>
      </w:r>
      <w:r w:rsidR="00E42107" w:rsidRPr="002531DC">
        <w:tab/>
      </w:r>
      <w:r w:rsidRPr="002531DC">
        <w:t>the maximum and minimum restricted levy amounts;</w:t>
      </w:r>
    </w:p>
    <w:p w14:paraId="651F65B4" w14:textId="77777777" w:rsidR="008E6E12" w:rsidRPr="002531DC" w:rsidRDefault="00E42107" w:rsidP="008E6E12">
      <w:pPr>
        <w:pStyle w:val="paragraph"/>
      </w:pPr>
      <w:r w:rsidRPr="002531DC">
        <w:tab/>
        <w:t>(b)</w:t>
      </w:r>
      <w:r w:rsidRPr="002531DC">
        <w:tab/>
      </w:r>
      <w:r w:rsidR="008E6E12" w:rsidRPr="002531DC">
        <w:t>the restricted and unrestricted levy percentages.</w:t>
      </w:r>
    </w:p>
    <w:p w14:paraId="008D93BE" w14:textId="77777777" w:rsidR="000F566D" w:rsidRPr="002531DC" w:rsidRDefault="000F566D" w:rsidP="000F566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0F566D" w:rsidRPr="002531DC" w14:paraId="39858D91" w14:textId="77777777" w:rsidTr="00021CAB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269A256" w14:textId="77777777" w:rsidR="000F566D" w:rsidRPr="002531DC" w:rsidRDefault="000F566D" w:rsidP="000F566D">
            <w:pPr>
              <w:pStyle w:val="TableHeading"/>
            </w:pPr>
            <w:r w:rsidRPr="002531DC">
              <w:t>Amount of levy</w:t>
            </w:r>
          </w:p>
        </w:tc>
      </w:tr>
      <w:tr w:rsidR="000F566D" w:rsidRPr="002531DC" w14:paraId="05A51B88" w14:textId="77777777" w:rsidTr="00021CA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394CE30" w14:textId="77777777" w:rsidR="000F566D" w:rsidRPr="002531DC" w:rsidRDefault="000F566D" w:rsidP="000F566D">
            <w:pPr>
              <w:pStyle w:val="TableHeading"/>
            </w:pPr>
            <w:r w:rsidRPr="002531DC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EB6F177" w14:textId="77777777" w:rsidR="000F566D" w:rsidRPr="002531DC" w:rsidRDefault="000F566D" w:rsidP="000F566D">
            <w:pPr>
              <w:pStyle w:val="TableHeading"/>
            </w:pPr>
            <w:r w:rsidRPr="002531DC">
              <w:t>ADI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5A1688" w14:textId="77777777" w:rsidR="000F566D" w:rsidRPr="002531DC" w:rsidRDefault="000F566D" w:rsidP="00214D51">
            <w:pPr>
              <w:pStyle w:val="TableHeading"/>
              <w:jc w:val="right"/>
            </w:pPr>
            <w:r w:rsidRPr="002531DC">
              <w:t>Maximum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A1F3100" w14:textId="77777777" w:rsidR="000F566D" w:rsidRPr="002531DC" w:rsidRDefault="000F566D" w:rsidP="00214D51">
            <w:pPr>
              <w:pStyle w:val="TableHeading"/>
              <w:jc w:val="right"/>
            </w:pPr>
            <w:r w:rsidRPr="002531DC">
              <w:t>Minimum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9A7C5C9" w14:textId="77777777" w:rsidR="000F566D" w:rsidRPr="002531DC" w:rsidRDefault="000F566D" w:rsidP="00214D51">
            <w:pPr>
              <w:pStyle w:val="TableHeading"/>
              <w:jc w:val="right"/>
            </w:pPr>
            <w:r w:rsidRPr="002531DC">
              <w:t>Restricted levy percentage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5B825E" w14:textId="77777777" w:rsidR="000F566D" w:rsidRPr="002531DC" w:rsidRDefault="000F566D" w:rsidP="00214D51">
            <w:pPr>
              <w:pStyle w:val="TableHeading"/>
              <w:jc w:val="right"/>
            </w:pPr>
            <w:r w:rsidRPr="002531DC">
              <w:t>Unrestricted levy percentage</w:t>
            </w:r>
          </w:p>
        </w:tc>
      </w:tr>
      <w:tr w:rsidR="000F566D" w:rsidRPr="002531DC" w14:paraId="35205400" w14:textId="77777777" w:rsidTr="00021CA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A1DD98B" w14:textId="77777777" w:rsidR="000F566D" w:rsidRPr="002531DC" w:rsidRDefault="000F566D" w:rsidP="000F566D">
            <w:pPr>
              <w:pStyle w:val="Tabletext"/>
            </w:pPr>
            <w:r w:rsidRPr="002531DC">
              <w:t>1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</w:tcPr>
          <w:p w14:paraId="562F789F" w14:textId="77777777" w:rsidR="000F566D" w:rsidRPr="002531DC" w:rsidRDefault="000F566D" w:rsidP="000F566D">
            <w:pPr>
              <w:pStyle w:val="Tabletext"/>
            </w:pPr>
            <w:r w:rsidRPr="002531DC">
              <w:t>Foreign ADI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</w:tcPr>
          <w:p w14:paraId="76333E68" w14:textId="2AD4D360" w:rsidR="000F566D" w:rsidRPr="002531DC" w:rsidRDefault="00FA6761" w:rsidP="00214D51">
            <w:pPr>
              <w:pStyle w:val="Tabletext"/>
              <w:jc w:val="right"/>
            </w:pPr>
            <w:r w:rsidRPr="002531DC">
              <w:t>1 </w:t>
            </w:r>
            <w:r>
              <w:t>225 000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</w:tcPr>
          <w:p w14:paraId="26EE0309" w14:textId="7C407894" w:rsidR="000F566D" w:rsidRPr="002531DC" w:rsidRDefault="00C86211" w:rsidP="00214D51">
            <w:pPr>
              <w:pStyle w:val="Tabletext"/>
              <w:jc w:val="right"/>
            </w:pPr>
            <w:r>
              <w:t>6</w:t>
            </w:r>
            <w:r w:rsidR="00FA6761">
              <w:t xml:space="preserve"> 000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</w:tcPr>
          <w:p w14:paraId="13F72F4A" w14:textId="505EC4B2" w:rsidR="000F566D" w:rsidRPr="00634F37" w:rsidRDefault="000F566D" w:rsidP="00EB74C9">
            <w:pPr>
              <w:pStyle w:val="Tabletext"/>
              <w:jc w:val="right"/>
            </w:pPr>
            <w:r w:rsidRPr="00634F37">
              <w:t>0.</w:t>
            </w:r>
            <w:r w:rsidR="00EB74C9" w:rsidRPr="00634F37">
              <w:t>00196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</w:tcPr>
          <w:p w14:paraId="0CDDD425" w14:textId="21C6CC32" w:rsidR="000F566D" w:rsidRPr="00634F37" w:rsidRDefault="00FF64A9" w:rsidP="00EB74C9">
            <w:pPr>
              <w:pStyle w:val="Tabletext"/>
              <w:jc w:val="right"/>
            </w:pPr>
            <w:r w:rsidRPr="00634F37">
              <w:t>0.</w:t>
            </w:r>
            <w:r w:rsidR="00EB74C9" w:rsidRPr="00634F37">
              <w:t>001012</w:t>
            </w:r>
          </w:p>
        </w:tc>
      </w:tr>
      <w:tr w:rsidR="000F566D" w:rsidRPr="002531DC" w14:paraId="7F31E390" w14:textId="77777777" w:rsidTr="00021CAB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B3ACC1E" w14:textId="64183898" w:rsidR="000F566D" w:rsidRPr="002531DC" w:rsidRDefault="00176881" w:rsidP="000F566D">
            <w:pPr>
              <w:pStyle w:val="Tabletext"/>
            </w:pPr>
            <w:r>
              <w:t>2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14:paraId="19B5A5D1" w14:textId="77777777" w:rsidR="000F566D" w:rsidRPr="002531DC" w:rsidRDefault="000F566D" w:rsidP="000F566D">
            <w:pPr>
              <w:pStyle w:val="Tabletext"/>
            </w:pPr>
            <w:r w:rsidRPr="002531DC">
              <w:t>Provider of purchased payment facilities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14:paraId="68A7139F" w14:textId="10401083" w:rsidR="000F566D" w:rsidRPr="002531DC" w:rsidRDefault="000F566D" w:rsidP="00FA6761">
            <w:pPr>
              <w:pStyle w:val="Tabletext"/>
              <w:jc w:val="right"/>
            </w:pPr>
            <w:r w:rsidRPr="002531DC">
              <w:t>1</w:t>
            </w:r>
            <w:r w:rsidR="002531DC" w:rsidRPr="002531DC">
              <w:t> </w:t>
            </w:r>
            <w:r w:rsidR="00FA6761">
              <w:t>225 000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14:paraId="6CA8ACA6" w14:textId="77777777" w:rsidR="000F566D" w:rsidRPr="002531DC" w:rsidRDefault="000F566D" w:rsidP="00214D51">
            <w:pPr>
              <w:pStyle w:val="Tabletext"/>
              <w:jc w:val="right"/>
            </w:pPr>
            <w:r w:rsidRPr="002531DC">
              <w:t>10</w:t>
            </w:r>
            <w:r w:rsidR="002531DC" w:rsidRPr="002531DC">
              <w:t> </w:t>
            </w:r>
            <w:r w:rsidRPr="002531DC">
              <w:t>300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14:paraId="1DF4601B" w14:textId="629459C7" w:rsidR="000F566D" w:rsidRPr="00634F37" w:rsidRDefault="00FA6761" w:rsidP="00EB74C9">
            <w:pPr>
              <w:pStyle w:val="Tabletext"/>
              <w:jc w:val="right"/>
            </w:pPr>
            <w:r w:rsidRPr="00634F37">
              <w:t>0.</w:t>
            </w:r>
            <w:r w:rsidR="00EB74C9" w:rsidRPr="00634F37">
              <w:t>00196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14:paraId="4317B2C4" w14:textId="238298EE" w:rsidR="000F566D" w:rsidRPr="00634F37" w:rsidRDefault="00FF64A9" w:rsidP="00EB74C9">
            <w:pPr>
              <w:pStyle w:val="Tabletext"/>
              <w:jc w:val="right"/>
            </w:pPr>
            <w:r w:rsidRPr="00634F37">
              <w:t>0.</w:t>
            </w:r>
            <w:r w:rsidR="00EB74C9" w:rsidRPr="00634F37">
              <w:t>001012</w:t>
            </w:r>
          </w:p>
        </w:tc>
      </w:tr>
      <w:tr w:rsidR="000F566D" w:rsidRPr="002531DC" w14:paraId="4C6C2FAD" w14:textId="77777777" w:rsidTr="00021CAB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37F40DC3" w14:textId="7FB6599B" w:rsidR="000F566D" w:rsidRPr="002531DC" w:rsidRDefault="00176881" w:rsidP="000F566D">
            <w:pPr>
              <w:pStyle w:val="Tabletext"/>
            </w:pPr>
            <w:r>
              <w:t>3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auto"/>
          </w:tcPr>
          <w:p w14:paraId="28C0D4D2" w14:textId="23603875" w:rsidR="000F566D" w:rsidRPr="002531DC" w:rsidRDefault="000F566D" w:rsidP="00804224">
            <w:pPr>
              <w:pStyle w:val="Tabletext"/>
            </w:pPr>
            <w:r w:rsidRPr="002531DC">
              <w:t>ADI not mentioned in item</w:t>
            </w:r>
            <w:r w:rsidR="002531DC" w:rsidRPr="002531DC">
              <w:t> </w:t>
            </w:r>
            <w:r w:rsidRPr="002531DC">
              <w:t>1</w:t>
            </w:r>
            <w:r w:rsidR="00804224">
              <w:t xml:space="preserve"> or 2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auto"/>
          </w:tcPr>
          <w:p w14:paraId="08B1541C" w14:textId="11987B0F" w:rsidR="000F566D" w:rsidRPr="002531DC" w:rsidRDefault="000F566D" w:rsidP="00FA6761">
            <w:pPr>
              <w:pStyle w:val="Tabletext"/>
              <w:jc w:val="right"/>
            </w:pPr>
            <w:r w:rsidRPr="002531DC">
              <w:t>2</w:t>
            </w:r>
            <w:r w:rsidR="002531DC" w:rsidRPr="002531DC">
              <w:t> </w:t>
            </w:r>
            <w:r w:rsidR="00FA6761">
              <w:t>450</w:t>
            </w:r>
            <w:r w:rsidR="00FA6761" w:rsidRPr="002531DC">
              <w:t xml:space="preserve"> </w:t>
            </w:r>
            <w:r w:rsidRPr="002531DC">
              <w:t>000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auto"/>
          </w:tcPr>
          <w:p w14:paraId="15F46528" w14:textId="6431A0B9" w:rsidR="000F566D" w:rsidRPr="002531DC" w:rsidRDefault="00C86211" w:rsidP="00214D51">
            <w:pPr>
              <w:pStyle w:val="Tabletext"/>
              <w:jc w:val="right"/>
            </w:pPr>
            <w:r>
              <w:t>6</w:t>
            </w:r>
            <w:r w:rsidR="00FA6761">
              <w:t xml:space="preserve"> 000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auto"/>
          </w:tcPr>
          <w:p w14:paraId="5BD95EBC" w14:textId="5EEFD73C" w:rsidR="000F566D" w:rsidRPr="00634F37" w:rsidRDefault="00FF64A9" w:rsidP="00EB74C9">
            <w:pPr>
              <w:pStyle w:val="Tabletext"/>
              <w:jc w:val="right"/>
            </w:pPr>
            <w:r w:rsidRPr="00634F37">
              <w:t>0.</w:t>
            </w:r>
            <w:r w:rsidR="00EB74C9" w:rsidRPr="00634F37">
              <w:t>00392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auto"/>
          </w:tcPr>
          <w:p w14:paraId="3D143CC5" w14:textId="3805C67D" w:rsidR="000F566D" w:rsidRPr="00634F37" w:rsidRDefault="00FF64A9" w:rsidP="00EB74C9">
            <w:pPr>
              <w:pStyle w:val="Tabletext"/>
              <w:jc w:val="right"/>
            </w:pPr>
            <w:r w:rsidRPr="00634F37">
              <w:t>0.</w:t>
            </w:r>
            <w:r w:rsidR="00EB74C9" w:rsidRPr="00634F37">
              <w:t>001012</w:t>
            </w:r>
          </w:p>
        </w:tc>
      </w:tr>
    </w:tbl>
    <w:p w14:paraId="6D6DDF14" w14:textId="06AF7875" w:rsidR="009F0E2F" w:rsidRPr="002531DC" w:rsidRDefault="003B52C0" w:rsidP="00383C26">
      <w:pPr>
        <w:pStyle w:val="ActHead5"/>
      </w:pPr>
      <w:bookmarkStart w:id="9" w:name="_Toc359492598"/>
      <w:r w:rsidRPr="002531DC">
        <w:rPr>
          <w:rStyle w:val="CharSectno"/>
        </w:rPr>
        <w:t>7</w:t>
      </w:r>
      <w:r w:rsidR="00383C26" w:rsidRPr="002531DC">
        <w:t xml:space="preserve">  </w:t>
      </w:r>
      <w:r w:rsidR="00BB3A5B" w:rsidRPr="002531DC">
        <w:t>ADI’s l</w:t>
      </w:r>
      <w:r w:rsidR="00C7343F" w:rsidRPr="002531DC">
        <w:t>evy base</w:t>
      </w:r>
      <w:r w:rsidR="00743CDB" w:rsidRPr="002531DC">
        <w:t>—</w:t>
      </w:r>
      <w:r w:rsidR="009F0E2F" w:rsidRPr="002531DC">
        <w:t xml:space="preserve">ADI other than a </w:t>
      </w:r>
      <w:r w:rsidR="00243186" w:rsidRPr="002531DC">
        <w:t>provider of purchased payment facilities</w:t>
      </w:r>
      <w:bookmarkEnd w:id="9"/>
    </w:p>
    <w:p w14:paraId="2B13FD4D" w14:textId="4607ED73" w:rsidR="00237938" w:rsidRPr="002531DC" w:rsidRDefault="009F0E2F" w:rsidP="00383C26">
      <w:pPr>
        <w:pStyle w:val="subsection"/>
      </w:pPr>
      <w:r w:rsidRPr="002531DC">
        <w:tab/>
        <w:t>(1)</w:t>
      </w:r>
      <w:r w:rsidRPr="002531DC">
        <w:tab/>
        <w:t>For paragraph</w:t>
      </w:r>
      <w:r w:rsidR="002531DC" w:rsidRPr="002531DC">
        <w:t> </w:t>
      </w:r>
      <w:r w:rsidRPr="002531DC">
        <w:t xml:space="preserve">7(3)(d) of the Act, </w:t>
      </w:r>
      <w:r w:rsidR="00BB3A5B" w:rsidRPr="002531DC">
        <w:t>the ADI’s</w:t>
      </w:r>
      <w:r w:rsidRPr="002531DC">
        <w:t xml:space="preserve"> </w:t>
      </w:r>
      <w:r w:rsidR="00C7343F" w:rsidRPr="002531DC">
        <w:t>levy base</w:t>
      </w:r>
      <w:r w:rsidRPr="002531DC">
        <w:t xml:space="preserve"> of an ADI, other </w:t>
      </w:r>
      <w:r w:rsidR="00176881">
        <w:t xml:space="preserve">than a </w:t>
      </w:r>
      <w:r w:rsidR="00243186" w:rsidRPr="002531DC">
        <w:t>provider of purchased payment facilities</w:t>
      </w:r>
      <w:r w:rsidRPr="002531DC">
        <w:t xml:space="preserve">, is to be worked out using </w:t>
      </w:r>
      <w:r w:rsidR="00545687" w:rsidRPr="002531DC">
        <w:t xml:space="preserve">the </w:t>
      </w:r>
      <w:r w:rsidR="00237938" w:rsidRPr="002531DC">
        <w:t xml:space="preserve">following </w:t>
      </w:r>
      <w:r w:rsidR="00545687" w:rsidRPr="002531DC">
        <w:t>t</w:t>
      </w:r>
      <w:r w:rsidRPr="002531DC">
        <w:t xml:space="preserve">able and </w:t>
      </w:r>
      <w:r w:rsidR="002531DC" w:rsidRPr="002531DC">
        <w:t>subsections (</w:t>
      </w:r>
      <w:r w:rsidR="000C3C97" w:rsidRPr="002531DC">
        <w:t>2) to (5</w:t>
      </w:r>
      <w:r w:rsidRPr="002531DC">
        <w:t>).</w:t>
      </w:r>
    </w:p>
    <w:p w14:paraId="38E93031" w14:textId="77777777" w:rsidR="00237938" w:rsidRPr="002531DC" w:rsidRDefault="00237938" w:rsidP="0023793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237938" w:rsidRPr="002531DC" w14:paraId="14D569F5" w14:textId="77777777" w:rsidTr="00021CAB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4EA8AA3" w14:textId="156AD4AF" w:rsidR="00237938" w:rsidRPr="002531DC" w:rsidRDefault="00237938" w:rsidP="00B41EB0">
            <w:pPr>
              <w:pStyle w:val="TableHeading"/>
            </w:pPr>
            <w:r w:rsidRPr="002531DC">
              <w:t>ADI’s levy base—ADI other than a provider of purchased payment facilities</w:t>
            </w:r>
          </w:p>
        </w:tc>
      </w:tr>
      <w:tr w:rsidR="00237938" w:rsidRPr="002531DC" w14:paraId="481DCD8E" w14:textId="77777777" w:rsidTr="00021CA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A4E8E34" w14:textId="77777777" w:rsidR="00237938" w:rsidRPr="002531DC" w:rsidRDefault="00237938" w:rsidP="00237938">
            <w:pPr>
              <w:pStyle w:val="TableHeading"/>
            </w:pPr>
            <w:r w:rsidRPr="002531DC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B2558F" w14:textId="77777777" w:rsidR="00237938" w:rsidRPr="002531DC" w:rsidRDefault="00237938" w:rsidP="00237938">
            <w:pPr>
              <w:pStyle w:val="TableHeading"/>
            </w:pPr>
            <w:r w:rsidRPr="002531DC">
              <w:t>If the ADI …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E88FB4E" w14:textId="77777777" w:rsidR="00237938" w:rsidRPr="002531DC" w:rsidRDefault="00237938" w:rsidP="00237938">
            <w:pPr>
              <w:pStyle w:val="TableHeading"/>
            </w:pPr>
            <w:r w:rsidRPr="002531DC">
              <w:t>the ADI’s levy base is …</w:t>
            </w:r>
          </w:p>
        </w:tc>
      </w:tr>
      <w:tr w:rsidR="00237938" w:rsidRPr="002531DC" w14:paraId="13535ABD" w14:textId="77777777" w:rsidTr="00021CAB"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63A1D8" w14:textId="77777777" w:rsidR="00237938" w:rsidRPr="002531DC" w:rsidRDefault="00237938" w:rsidP="00237938">
            <w:pPr>
              <w:pStyle w:val="Tabletext"/>
            </w:pPr>
            <w:r w:rsidRPr="002531DC">
              <w:t>1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B44AC78" w14:textId="0017CF06" w:rsidR="00237938" w:rsidRPr="002531DC" w:rsidRDefault="00237938" w:rsidP="002833CF">
            <w:pPr>
              <w:pStyle w:val="Tablea"/>
            </w:pPr>
            <w:r w:rsidRPr="002531DC">
              <w:t>(a) was an ADI at all times from 17</w:t>
            </w:r>
            <w:r w:rsidR="002531DC" w:rsidRPr="002531DC">
              <w:t> </w:t>
            </w:r>
            <w:r w:rsidRPr="002531DC">
              <w:t xml:space="preserve">March </w:t>
            </w:r>
            <w:r w:rsidR="00C86211">
              <w:t>2016</w:t>
            </w:r>
            <w:r w:rsidRPr="002531DC">
              <w:t xml:space="preserve"> to 30</w:t>
            </w:r>
            <w:r w:rsidR="002531DC" w:rsidRPr="002531DC">
              <w:t> </w:t>
            </w:r>
            <w:r w:rsidRPr="002531DC">
              <w:t xml:space="preserve">June </w:t>
            </w:r>
            <w:r w:rsidR="00C86211">
              <w:t>2016</w:t>
            </w:r>
            <w:r w:rsidRPr="002531DC">
              <w:t>; and</w:t>
            </w:r>
          </w:p>
          <w:p w14:paraId="349938A2" w14:textId="2EF43530" w:rsidR="00237938" w:rsidRPr="002531DC" w:rsidRDefault="00237938" w:rsidP="002833CF">
            <w:pPr>
              <w:pStyle w:val="Tablea"/>
            </w:pPr>
            <w:r w:rsidRPr="002531DC">
              <w:t>(b) was required to give information using Form ARF 320.0 for a reporting period ending during the period from 17</w:t>
            </w:r>
            <w:r w:rsidR="002531DC" w:rsidRPr="002531DC">
              <w:t> </w:t>
            </w:r>
            <w:r w:rsidRPr="002531DC">
              <w:t xml:space="preserve">March </w:t>
            </w:r>
            <w:r w:rsidR="00C86211">
              <w:t>2016</w:t>
            </w:r>
            <w:r w:rsidRPr="002531DC">
              <w:t xml:space="preserve"> to 14</w:t>
            </w:r>
            <w:r w:rsidR="002531DC" w:rsidRPr="002531DC">
              <w:t> </w:t>
            </w:r>
            <w:r w:rsidRPr="002531DC">
              <w:t xml:space="preserve">April </w:t>
            </w:r>
            <w:r w:rsidR="00C86211">
              <w:t>2016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51E6BCD" w14:textId="77777777" w:rsidR="00237938" w:rsidRPr="002531DC" w:rsidRDefault="00237938" w:rsidP="00237938">
            <w:pPr>
              <w:pStyle w:val="Tabletext"/>
            </w:pPr>
            <w:r w:rsidRPr="002531DC">
              <w:t>the sum of the amounts required to be reported in the following items in that Form:</w:t>
            </w:r>
          </w:p>
          <w:p w14:paraId="2B1A8638" w14:textId="77777777" w:rsidR="00237938" w:rsidRPr="002531DC" w:rsidRDefault="00237938" w:rsidP="002833CF">
            <w:pPr>
              <w:pStyle w:val="Tablea"/>
            </w:pPr>
            <w:r w:rsidRPr="002531DC">
              <w:t>(a) item</w:t>
            </w:r>
            <w:r w:rsidR="002531DC" w:rsidRPr="002531DC">
              <w:t> </w:t>
            </w:r>
            <w:r w:rsidRPr="002531DC">
              <w:t>10 Total assets;</w:t>
            </w:r>
          </w:p>
          <w:p w14:paraId="339BD7A7" w14:textId="77777777" w:rsidR="00237938" w:rsidRPr="002531DC" w:rsidRDefault="00237938" w:rsidP="002833CF">
            <w:pPr>
              <w:pStyle w:val="Tablea"/>
            </w:pPr>
            <w:r w:rsidRPr="002531DC">
              <w:t>(b) item</w:t>
            </w:r>
            <w:r w:rsidR="002531DC" w:rsidRPr="002531DC">
              <w:t> </w:t>
            </w:r>
            <w:r w:rsidRPr="002531DC">
              <w:t>11.2 Australian ADI operations: Total amount due from non</w:t>
            </w:r>
            <w:r w:rsidR="002531DC">
              <w:noBreakHyphen/>
            </w:r>
            <w:r w:rsidRPr="002531DC">
              <w:t>residents (excluding intra</w:t>
            </w:r>
            <w:r w:rsidR="002531DC">
              <w:noBreakHyphen/>
            </w:r>
            <w:r w:rsidRPr="002531DC">
              <w:t>company transactions);</w:t>
            </w:r>
          </w:p>
          <w:p w14:paraId="7CACFC2E" w14:textId="77777777" w:rsidR="00237938" w:rsidRPr="002531DC" w:rsidRDefault="00237938" w:rsidP="002833CF">
            <w:pPr>
              <w:pStyle w:val="Tablea"/>
            </w:pPr>
            <w:r w:rsidRPr="002531DC">
              <w:t>(c) item</w:t>
            </w:r>
            <w:r w:rsidR="002531DC" w:rsidRPr="002531DC">
              <w:t> </w:t>
            </w:r>
            <w:r w:rsidRPr="002531DC">
              <w:t>11.3 Australian ADI operations: Total amount due from overseas operations of the ADI.</w:t>
            </w:r>
          </w:p>
        </w:tc>
      </w:tr>
      <w:tr w:rsidR="00237938" w:rsidRPr="002531DC" w14:paraId="01F9B093" w14:textId="77777777" w:rsidTr="00021CAB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7FCCB908" w14:textId="77777777" w:rsidR="00237938" w:rsidRPr="002531DC" w:rsidRDefault="00237938" w:rsidP="00237938">
            <w:pPr>
              <w:pStyle w:val="Tabletext"/>
            </w:pPr>
            <w:r w:rsidRPr="002531DC">
              <w:t>2</w:t>
            </w:r>
          </w:p>
        </w:tc>
        <w:tc>
          <w:tcPr>
            <w:tcW w:w="3799" w:type="dxa"/>
            <w:tcBorders>
              <w:bottom w:val="single" w:sz="12" w:space="0" w:color="auto"/>
            </w:tcBorders>
            <w:shd w:val="clear" w:color="auto" w:fill="auto"/>
          </w:tcPr>
          <w:p w14:paraId="6BE366D5" w14:textId="6330D164" w:rsidR="00237938" w:rsidRPr="002531DC" w:rsidRDefault="00237938" w:rsidP="002833CF">
            <w:pPr>
              <w:pStyle w:val="Tablea"/>
            </w:pPr>
            <w:r w:rsidRPr="002531DC">
              <w:t>(a) was an ADI at all times from 17</w:t>
            </w:r>
            <w:r w:rsidR="002531DC" w:rsidRPr="002531DC">
              <w:t> </w:t>
            </w:r>
            <w:r w:rsidRPr="002531DC">
              <w:t xml:space="preserve">March </w:t>
            </w:r>
            <w:r w:rsidR="00C86211">
              <w:t>2016</w:t>
            </w:r>
            <w:r w:rsidRPr="002531DC">
              <w:t xml:space="preserve"> to 30</w:t>
            </w:r>
            <w:r w:rsidR="002531DC" w:rsidRPr="002531DC">
              <w:t> </w:t>
            </w:r>
            <w:r w:rsidRPr="002531DC">
              <w:t xml:space="preserve">June </w:t>
            </w:r>
            <w:r w:rsidR="00C86211">
              <w:t>2016</w:t>
            </w:r>
            <w:r w:rsidRPr="002531DC">
              <w:t>; and</w:t>
            </w:r>
          </w:p>
          <w:p w14:paraId="0DECEE0C" w14:textId="6295528E" w:rsidR="00237938" w:rsidRPr="002531DC" w:rsidRDefault="00237938" w:rsidP="00FA6761">
            <w:pPr>
              <w:pStyle w:val="Tablea"/>
            </w:pPr>
            <w:r w:rsidRPr="002531DC">
              <w:t>(b) was required to give information using Form ARF 323.0 for a reporting period ending during the period from 17</w:t>
            </w:r>
            <w:r w:rsidR="002531DC" w:rsidRPr="002531DC">
              <w:t> </w:t>
            </w:r>
            <w:r w:rsidRPr="002531DC">
              <w:t xml:space="preserve">March </w:t>
            </w:r>
            <w:r w:rsidR="00C86211">
              <w:t>2016</w:t>
            </w:r>
            <w:r w:rsidRPr="002531DC">
              <w:t xml:space="preserve"> to 14</w:t>
            </w:r>
            <w:r w:rsidR="002531DC" w:rsidRPr="002531DC">
              <w:t> </w:t>
            </w:r>
            <w:r w:rsidRPr="002531DC">
              <w:t xml:space="preserve">April </w:t>
            </w:r>
            <w:r w:rsidR="00C86211">
              <w:t>2016</w:t>
            </w:r>
          </w:p>
        </w:tc>
        <w:tc>
          <w:tcPr>
            <w:tcW w:w="3799" w:type="dxa"/>
            <w:tcBorders>
              <w:bottom w:val="single" w:sz="12" w:space="0" w:color="auto"/>
            </w:tcBorders>
            <w:shd w:val="clear" w:color="auto" w:fill="auto"/>
          </w:tcPr>
          <w:p w14:paraId="5574EECA" w14:textId="77777777" w:rsidR="00237938" w:rsidRPr="002531DC" w:rsidRDefault="00237938" w:rsidP="00237938">
            <w:pPr>
              <w:pStyle w:val="Tabletext"/>
            </w:pPr>
            <w:r w:rsidRPr="002531DC">
              <w:t>the amount required to be reported in item</w:t>
            </w:r>
            <w:r w:rsidR="002531DC" w:rsidRPr="002531DC">
              <w:t> </w:t>
            </w:r>
            <w:r w:rsidRPr="002531DC">
              <w:t>11 Total assets in that Form.</w:t>
            </w:r>
          </w:p>
        </w:tc>
      </w:tr>
    </w:tbl>
    <w:p w14:paraId="62F7AE2C" w14:textId="77777777" w:rsidR="00237938" w:rsidRPr="002531DC" w:rsidRDefault="00237938" w:rsidP="00237938">
      <w:pPr>
        <w:pStyle w:val="Tabletext"/>
      </w:pPr>
    </w:p>
    <w:p w14:paraId="52E1C5B9" w14:textId="77777777" w:rsidR="000C3C97" w:rsidRPr="002531DC" w:rsidRDefault="000C3C97" w:rsidP="000C3C97">
      <w:pPr>
        <w:pStyle w:val="subsection"/>
      </w:pPr>
      <w:r w:rsidRPr="002531DC">
        <w:lastRenderedPageBreak/>
        <w:tab/>
        <w:t>(2)</w:t>
      </w:r>
      <w:r w:rsidRPr="002531DC">
        <w:tab/>
      </w:r>
      <w:r w:rsidR="002531DC" w:rsidRPr="002531DC">
        <w:t>Subsection (</w:t>
      </w:r>
      <w:r w:rsidRPr="002531DC">
        <w:t>3) applies to an ADI that:</w:t>
      </w:r>
    </w:p>
    <w:p w14:paraId="3A6B1EBA" w14:textId="77777777" w:rsidR="000C3C97" w:rsidRPr="002531DC" w:rsidRDefault="000C3C97" w:rsidP="000C3C97">
      <w:pPr>
        <w:pStyle w:val="paragraph"/>
      </w:pPr>
      <w:r w:rsidRPr="002531DC">
        <w:tab/>
        <w:t>(a)</w:t>
      </w:r>
      <w:r w:rsidRPr="002531DC">
        <w:tab/>
        <w:t>is not described in items</w:t>
      </w:r>
      <w:r w:rsidR="002531DC" w:rsidRPr="002531DC">
        <w:t> </w:t>
      </w:r>
      <w:r w:rsidRPr="002531DC">
        <w:t xml:space="preserve">1 and 2 of the table in </w:t>
      </w:r>
      <w:r w:rsidR="002531DC" w:rsidRPr="002531DC">
        <w:t>subsection (</w:t>
      </w:r>
      <w:r w:rsidRPr="002531DC">
        <w:t>1); and</w:t>
      </w:r>
    </w:p>
    <w:p w14:paraId="3A869B37" w14:textId="77777777" w:rsidR="000C3C97" w:rsidRPr="002531DC" w:rsidRDefault="000C3C97" w:rsidP="000C3C97">
      <w:pPr>
        <w:pStyle w:val="paragraph"/>
      </w:pPr>
      <w:r w:rsidRPr="002531DC">
        <w:tab/>
        <w:t>(b)</w:t>
      </w:r>
      <w:r w:rsidRPr="002531DC">
        <w:tab/>
        <w:t>was an ARS 320.0 entity on the valuation day</w:t>
      </w:r>
      <w:r w:rsidR="00C34DDA" w:rsidRPr="002531DC">
        <w:t xml:space="preserve"> for the ADI</w:t>
      </w:r>
      <w:r w:rsidRPr="002531DC">
        <w:t>.</w:t>
      </w:r>
    </w:p>
    <w:p w14:paraId="58FD580F" w14:textId="77777777" w:rsidR="000C3C97" w:rsidRPr="002531DC" w:rsidRDefault="000C3C97" w:rsidP="000C3C97">
      <w:pPr>
        <w:pStyle w:val="subsection"/>
      </w:pPr>
      <w:r w:rsidRPr="002531DC">
        <w:tab/>
        <w:t>(3)</w:t>
      </w:r>
      <w:r w:rsidRPr="002531DC">
        <w:tab/>
        <w:t>The ADI’s levy base is the sum of the values of the following assets of the ADI as at the valuation day</w:t>
      </w:r>
      <w:r w:rsidR="00C34DDA" w:rsidRPr="002531DC">
        <w:t xml:space="preserve"> for the ADI</w:t>
      </w:r>
      <w:r w:rsidRPr="002531DC">
        <w:t>, with the values of those assets being worked out in the same way as for the corresponding items in Form ARF 320.0:</w:t>
      </w:r>
    </w:p>
    <w:p w14:paraId="0A281171" w14:textId="77777777" w:rsidR="000C3C97" w:rsidRPr="002531DC" w:rsidRDefault="000C3C97" w:rsidP="000C3C97">
      <w:pPr>
        <w:pStyle w:val="paragraph"/>
      </w:pPr>
      <w:r w:rsidRPr="002531DC">
        <w:tab/>
        <w:t>(a)</w:t>
      </w:r>
      <w:r w:rsidRPr="002531DC">
        <w:tab/>
        <w:t>item</w:t>
      </w:r>
      <w:r w:rsidR="002531DC" w:rsidRPr="002531DC">
        <w:t> </w:t>
      </w:r>
      <w:r w:rsidRPr="002531DC">
        <w:t>10 Total assets;</w:t>
      </w:r>
    </w:p>
    <w:p w14:paraId="3E31D54C" w14:textId="77777777" w:rsidR="000C3C97" w:rsidRPr="002531DC" w:rsidRDefault="000C3C97" w:rsidP="000C3C97">
      <w:pPr>
        <w:pStyle w:val="paragraph"/>
      </w:pPr>
      <w:r w:rsidRPr="002531DC">
        <w:tab/>
        <w:t>(b)</w:t>
      </w:r>
      <w:r w:rsidRPr="002531DC">
        <w:tab/>
        <w:t>item</w:t>
      </w:r>
      <w:r w:rsidR="002531DC" w:rsidRPr="002531DC">
        <w:t> </w:t>
      </w:r>
      <w:r w:rsidRPr="002531DC">
        <w:t>11.2 Australian ADI operations: Total amount due from non</w:t>
      </w:r>
      <w:r w:rsidR="002531DC">
        <w:noBreakHyphen/>
      </w:r>
      <w:r w:rsidRPr="002531DC">
        <w:t>residents (excluding intra</w:t>
      </w:r>
      <w:r w:rsidR="002531DC">
        <w:noBreakHyphen/>
      </w:r>
      <w:r w:rsidRPr="002531DC">
        <w:t>company transactions);</w:t>
      </w:r>
    </w:p>
    <w:p w14:paraId="18D095C2" w14:textId="77777777" w:rsidR="000C3C97" w:rsidRPr="002531DC" w:rsidRDefault="000C3C97" w:rsidP="000C3C97">
      <w:pPr>
        <w:pStyle w:val="paragraph"/>
      </w:pPr>
      <w:r w:rsidRPr="002531DC">
        <w:tab/>
        <w:t>(c)</w:t>
      </w:r>
      <w:r w:rsidRPr="002531DC">
        <w:tab/>
        <w:t>item</w:t>
      </w:r>
      <w:r w:rsidR="002531DC" w:rsidRPr="002531DC">
        <w:t> </w:t>
      </w:r>
      <w:r w:rsidRPr="002531DC">
        <w:t>11.3 Australian ADI operations: Total amount due from overseas operations of the ADI.</w:t>
      </w:r>
    </w:p>
    <w:p w14:paraId="150E0274" w14:textId="77777777" w:rsidR="00A17990" w:rsidRPr="002531DC" w:rsidRDefault="0099727B" w:rsidP="00A17990">
      <w:pPr>
        <w:pStyle w:val="subsection"/>
      </w:pPr>
      <w:r w:rsidRPr="002531DC">
        <w:tab/>
      </w:r>
      <w:r w:rsidR="000C3C97" w:rsidRPr="002531DC">
        <w:t>(4</w:t>
      </w:r>
      <w:r w:rsidR="00A17990" w:rsidRPr="002531DC">
        <w:t>)</w:t>
      </w:r>
      <w:r w:rsidR="00A17990" w:rsidRPr="002531DC">
        <w:tab/>
      </w:r>
      <w:r w:rsidR="002531DC" w:rsidRPr="002531DC">
        <w:t>Subsection (</w:t>
      </w:r>
      <w:r w:rsidR="000C3C97" w:rsidRPr="002531DC">
        <w:t xml:space="preserve">5) applies to an </w:t>
      </w:r>
      <w:r w:rsidR="00A17990" w:rsidRPr="002531DC">
        <w:t>ADI</w:t>
      </w:r>
      <w:r w:rsidR="000C3C97" w:rsidRPr="002531DC">
        <w:t xml:space="preserve"> that</w:t>
      </w:r>
      <w:r w:rsidR="00A17990" w:rsidRPr="002531DC">
        <w:t>:</w:t>
      </w:r>
    </w:p>
    <w:p w14:paraId="5580E0D9" w14:textId="77777777" w:rsidR="00A17990" w:rsidRPr="002531DC" w:rsidRDefault="00A17990" w:rsidP="00A17990">
      <w:pPr>
        <w:pStyle w:val="paragraph"/>
      </w:pPr>
      <w:r w:rsidRPr="002531DC">
        <w:tab/>
        <w:t>(a)</w:t>
      </w:r>
      <w:r w:rsidRPr="002531DC">
        <w:tab/>
        <w:t>is not described in items</w:t>
      </w:r>
      <w:r w:rsidR="002531DC" w:rsidRPr="002531DC">
        <w:t> </w:t>
      </w:r>
      <w:r w:rsidRPr="002531DC">
        <w:t xml:space="preserve">1 and 2 of the table in </w:t>
      </w:r>
      <w:r w:rsidR="002531DC" w:rsidRPr="002531DC">
        <w:t>subsection (</w:t>
      </w:r>
      <w:r w:rsidRPr="002531DC">
        <w:t>1); and</w:t>
      </w:r>
    </w:p>
    <w:p w14:paraId="4C3ED453" w14:textId="77777777" w:rsidR="00A17990" w:rsidRPr="002531DC" w:rsidRDefault="00A17990" w:rsidP="00A17990">
      <w:pPr>
        <w:pStyle w:val="paragraph"/>
      </w:pPr>
      <w:r w:rsidRPr="002531DC">
        <w:tab/>
        <w:t>(b)</w:t>
      </w:r>
      <w:r w:rsidRPr="002531DC">
        <w:tab/>
        <w:t>was not an ARS 32</w:t>
      </w:r>
      <w:r w:rsidR="000C3C97" w:rsidRPr="002531DC">
        <w:t>0.0 entity on the valuation day</w:t>
      </w:r>
      <w:r w:rsidR="00C34DDA" w:rsidRPr="002531DC">
        <w:t xml:space="preserve"> for the ADI</w:t>
      </w:r>
      <w:r w:rsidR="000C3C97" w:rsidRPr="002531DC">
        <w:t>.</w:t>
      </w:r>
    </w:p>
    <w:p w14:paraId="216458C9" w14:textId="77777777" w:rsidR="00A17990" w:rsidRPr="002531DC" w:rsidRDefault="000C3C97" w:rsidP="000C3C97">
      <w:pPr>
        <w:pStyle w:val="subsection"/>
      </w:pPr>
      <w:r w:rsidRPr="002531DC">
        <w:tab/>
        <w:t>(5)</w:t>
      </w:r>
      <w:r w:rsidRPr="002531DC">
        <w:tab/>
        <w:t>T</w:t>
      </w:r>
      <w:r w:rsidR="00A17990" w:rsidRPr="002531DC">
        <w:t>he ADI’s levy base is the value of the ADI’s assets as at the valuation day</w:t>
      </w:r>
      <w:r w:rsidR="00C34DDA" w:rsidRPr="002531DC">
        <w:t xml:space="preserve"> for the ADI</w:t>
      </w:r>
      <w:r w:rsidR="00A17990" w:rsidRPr="002531DC">
        <w:t>, worked out in the same way as for item</w:t>
      </w:r>
      <w:r w:rsidR="002531DC" w:rsidRPr="002531DC">
        <w:t> </w:t>
      </w:r>
      <w:r w:rsidR="00A17990" w:rsidRPr="002531DC">
        <w:t>11 Total assets in Form ARF 323.0.</w:t>
      </w:r>
    </w:p>
    <w:p w14:paraId="4E9E6EB5" w14:textId="36887D3F" w:rsidR="00243186" w:rsidRPr="002531DC" w:rsidRDefault="00176881" w:rsidP="00383C26">
      <w:pPr>
        <w:pStyle w:val="ActHead5"/>
      </w:pPr>
      <w:r>
        <w:t>8</w:t>
      </w:r>
      <w:bookmarkStart w:id="10" w:name="_Toc359492600"/>
      <w:r w:rsidR="00383C26" w:rsidRPr="002531DC">
        <w:t xml:space="preserve">  </w:t>
      </w:r>
      <w:r w:rsidR="00702B4F" w:rsidRPr="002531DC">
        <w:t>ADI’s l</w:t>
      </w:r>
      <w:r w:rsidR="00C7343F" w:rsidRPr="002531DC">
        <w:t>evy base</w:t>
      </w:r>
      <w:r w:rsidR="00743CDB" w:rsidRPr="002531DC">
        <w:t>—</w:t>
      </w:r>
      <w:r w:rsidR="00243186" w:rsidRPr="002531DC">
        <w:t>provider of purchased payment facilities</w:t>
      </w:r>
      <w:bookmarkEnd w:id="10"/>
    </w:p>
    <w:p w14:paraId="2F09FA62" w14:textId="3C66690D" w:rsidR="00243186" w:rsidRPr="002531DC" w:rsidRDefault="00243186" w:rsidP="00383C26">
      <w:pPr>
        <w:pStyle w:val="subsection"/>
      </w:pPr>
      <w:r w:rsidRPr="002531DC">
        <w:tab/>
      </w:r>
      <w:r w:rsidRPr="002531DC">
        <w:tab/>
        <w:t>For paragraph</w:t>
      </w:r>
      <w:r w:rsidR="002531DC" w:rsidRPr="002531DC">
        <w:t> </w:t>
      </w:r>
      <w:r w:rsidRPr="002531DC">
        <w:t xml:space="preserve">7(3)(d) of the Act, the </w:t>
      </w:r>
      <w:r w:rsidR="00702B4F" w:rsidRPr="002531DC">
        <w:t xml:space="preserve">ADI’s </w:t>
      </w:r>
      <w:r w:rsidR="00C7343F" w:rsidRPr="002531DC">
        <w:t>levy base</w:t>
      </w:r>
      <w:r w:rsidRPr="002531DC">
        <w:t xml:space="preserve"> of a provider of purchased payment facilities is the value of the assets of the provider as at the valuation day, worked out in the same way as for </w:t>
      </w:r>
      <w:r w:rsidR="009F5FF0">
        <w:t>item 11 Total assets</w:t>
      </w:r>
      <w:r w:rsidRPr="002531DC">
        <w:t xml:space="preserve"> in Form ARF </w:t>
      </w:r>
      <w:r w:rsidR="00AD3D13" w:rsidRPr="002531DC">
        <w:t>32</w:t>
      </w:r>
      <w:r w:rsidR="00AD3D13">
        <w:t>3</w:t>
      </w:r>
      <w:r w:rsidRPr="002531DC">
        <w:t>.0</w:t>
      </w:r>
      <w:r w:rsidR="009F5FF0">
        <w:t>.</w:t>
      </w:r>
    </w:p>
    <w:p w14:paraId="2CD75945" w14:textId="2245E917" w:rsidR="00243186" w:rsidRPr="002531DC" w:rsidRDefault="00243186" w:rsidP="00383C26">
      <w:pPr>
        <w:pStyle w:val="paragraph"/>
      </w:pPr>
      <w:r w:rsidRPr="002531DC">
        <w:tab/>
      </w:r>
    </w:p>
    <w:p w14:paraId="79C2C6C4" w14:textId="098890E8" w:rsidR="0080523E" w:rsidRPr="002531DC" w:rsidRDefault="00243186">
      <w:pPr>
        <w:pStyle w:val="paragraph"/>
      </w:pPr>
      <w:r w:rsidRPr="002531DC">
        <w:tab/>
      </w:r>
    </w:p>
    <w:sectPr w:rsidR="0080523E" w:rsidRPr="002531DC" w:rsidSect="00CA472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C2BF8" w14:textId="77777777" w:rsidR="00FB7B9C" w:rsidRDefault="00FB7B9C">
      <w:r>
        <w:separator/>
      </w:r>
    </w:p>
  </w:endnote>
  <w:endnote w:type="continuationSeparator" w:id="0">
    <w:p w14:paraId="61359467" w14:textId="77777777" w:rsidR="00FB7B9C" w:rsidRDefault="00FB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FB7B9C" w:rsidRPr="00CA472C" w14:paraId="364B7A43" w14:textId="77777777" w:rsidTr="00FB7B9C">
      <w:tc>
        <w:tcPr>
          <w:tcW w:w="8472" w:type="dxa"/>
        </w:tcPr>
        <w:p w14:paraId="2E921C11" w14:textId="77777777" w:rsidR="00FB7B9C" w:rsidRPr="00CA472C" w:rsidRDefault="00FB7B9C" w:rsidP="00FB7B9C">
          <w:pPr>
            <w:jc w:val="right"/>
            <w:rPr>
              <w:rFonts w:cs="Times New Roman"/>
              <w:sz w:val="18"/>
            </w:rPr>
          </w:pPr>
        </w:p>
      </w:tc>
    </w:tr>
  </w:tbl>
  <w:p w14:paraId="089E3E20" w14:textId="77777777" w:rsidR="00FB7B9C" w:rsidRPr="00CA472C" w:rsidRDefault="00CA472C" w:rsidP="00CA472C">
    <w:pPr>
      <w:pStyle w:val="Footer"/>
      <w:rPr>
        <w:sz w:val="18"/>
      </w:rPr>
    </w:pPr>
    <w:r>
      <w:rPr>
        <w:sz w:val="18"/>
      </w:rPr>
      <w:t>OPC60122</w:t>
    </w:r>
    <w:r w:rsidRPr="00CA472C">
      <w:rPr>
        <w:sz w:val="18"/>
      </w:rPr>
      <w:t xml:space="preserve">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FB7B9C" w14:paraId="491B6FFE" w14:textId="77777777" w:rsidTr="00FB7B9C">
      <w:tc>
        <w:tcPr>
          <w:tcW w:w="8472" w:type="dxa"/>
        </w:tcPr>
        <w:p w14:paraId="6386E566" w14:textId="77777777" w:rsidR="00FB7B9C" w:rsidRDefault="00FB7B9C" w:rsidP="00FB7B9C">
          <w:pPr>
            <w:rPr>
              <w:sz w:val="18"/>
            </w:rPr>
          </w:pPr>
        </w:p>
      </w:tc>
    </w:tr>
  </w:tbl>
  <w:p w14:paraId="3CA4395E" w14:textId="44423EAB" w:rsidR="00FB7B9C" w:rsidRPr="007500C8" w:rsidRDefault="00FB7B9C" w:rsidP="00CA47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6E4ED" w14:textId="77777777" w:rsidR="00FB7B9C" w:rsidRPr="00ED79B6" w:rsidRDefault="00FB7B9C" w:rsidP="00CB7D6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FB59" w14:textId="77777777" w:rsidR="00FB7B9C" w:rsidRPr="00CA472C" w:rsidRDefault="00FB7B9C" w:rsidP="00CB7D66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B7B9C" w:rsidRPr="00CA472C" w14:paraId="3308C8CC" w14:textId="77777777" w:rsidTr="00FB7B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583939" w14:textId="77777777" w:rsidR="00FB7B9C" w:rsidRPr="00CA472C" w:rsidRDefault="00FB7B9C" w:rsidP="00FB7B9C">
          <w:pPr>
            <w:spacing w:line="0" w:lineRule="atLeast"/>
            <w:rPr>
              <w:rFonts w:cs="Times New Roman"/>
              <w:sz w:val="18"/>
            </w:rPr>
          </w:pPr>
          <w:r w:rsidRPr="00CA472C">
            <w:rPr>
              <w:rFonts w:cs="Times New Roman"/>
              <w:i/>
              <w:sz w:val="18"/>
            </w:rPr>
            <w:fldChar w:fldCharType="begin"/>
          </w:r>
          <w:r w:rsidRPr="00CA472C">
            <w:rPr>
              <w:rFonts w:cs="Times New Roman"/>
              <w:i/>
              <w:sz w:val="18"/>
            </w:rPr>
            <w:instrText xml:space="preserve"> PAGE </w:instrText>
          </w:r>
          <w:r w:rsidRPr="00CA472C">
            <w:rPr>
              <w:rFonts w:cs="Times New Roman"/>
              <w:i/>
              <w:sz w:val="18"/>
            </w:rPr>
            <w:fldChar w:fldCharType="separate"/>
          </w:r>
          <w:r w:rsidR="001304D6">
            <w:rPr>
              <w:rFonts w:cs="Times New Roman"/>
              <w:i/>
              <w:noProof/>
              <w:sz w:val="18"/>
            </w:rPr>
            <w:t>i</w:t>
          </w:r>
          <w:r w:rsidRPr="00CA47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97FE29" w14:textId="77777777" w:rsidR="00FB7B9C" w:rsidRPr="00CA472C" w:rsidRDefault="00FB7B9C" w:rsidP="00FB7B9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CA472C">
            <w:rPr>
              <w:rFonts w:cs="Times New Roman"/>
              <w:i/>
              <w:sz w:val="18"/>
            </w:rPr>
            <w:fldChar w:fldCharType="begin"/>
          </w:r>
          <w:r w:rsidRPr="00CA472C">
            <w:rPr>
              <w:rFonts w:cs="Times New Roman"/>
              <w:i/>
              <w:sz w:val="18"/>
            </w:rPr>
            <w:instrText xml:space="preserve"> DOCPROPERTY ShortT </w:instrText>
          </w:r>
          <w:r w:rsidRPr="00CA472C">
            <w:rPr>
              <w:rFonts w:cs="Times New Roman"/>
              <w:i/>
              <w:sz w:val="18"/>
            </w:rPr>
            <w:fldChar w:fldCharType="separate"/>
          </w:r>
          <w:r w:rsidR="00890C3E">
            <w:rPr>
              <w:rFonts w:cs="Times New Roman"/>
              <w:i/>
              <w:sz w:val="18"/>
            </w:rPr>
            <w:t>Authorised Deposit</w:t>
          </w:r>
          <w:r w:rsidR="00890C3E">
            <w:rPr>
              <w:rFonts w:cs="Times New Roman"/>
              <w:i/>
              <w:sz w:val="18"/>
            </w:rPr>
            <w:noBreakHyphen/>
            <w:t>taking Institutions Supervisory Levy Imposition Determination 2013</w:t>
          </w:r>
          <w:r w:rsidRPr="00CA47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FE40CD" w14:textId="77777777" w:rsidR="00FB7B9C" w:rsidRPr="00CA472C" w:rsidRDefault="00FB7B9C" w:rsidP="00FB7B9C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FB7B9C" w:rsidRPr="00CA472C" w14:paraId="2FC83593" w14:textId="77777777" w:rsidTr="00FB7B9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0C0928" w14:textId="77777777" w:rsidR="00FB7B9C" w:rsidRPr="00CA472C" w:rsidRDefault="00FB7B9C" w:rsidP="00FB7B9C">
          <w:pPr>
            <w:jc w:val="right"/>
            <w:rPr>
              <w:rFonts w:cs="Times New Roman"/>
              <w:sz w:val="18"/>
            </w:rPr>
          </w:pPr>
        </w:p>
      </w:tc>
    </w:tr>
  </w:tbl>
  <w:p w14:paraId="2EBC0D6A" w14:textId="77777777" w:rsidR="00FB7B9C" w:rsidRPr="00CA472C" w:rsidRDefault="00CA472C" w:rsidP="00CA472C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OPC60122</w:t>
    </w:r>
    <w:r w:rsidRPr="00CA472C">
      <w:rPr>
        <w:rFonts w:cs="Times New Roman"/>
        <w:i/>
        <w:sz w:val="18"/>
      </w:rPr>
      <w:t xml:space="preserve">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E37F2" w14:textId="77777777" w:rsidR="00FB7B9C" w:rsidRPr="00E33C1C" w:rsidRDefault="00FB7B9C" w:rsidP="00CB7D6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B7B9C" w14:paraId="1344CF75" w14:textId="77777777" w:rsidTr="00FB7B9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6D53E84" w14:textId="77777777" w:rsidR="00FB7B9C" w:rsidRDefault="00FB7B9C" w:rsidP="00FB7B9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7BF8659" w14:textId="77777777" w:rsidR="003B6049" w:rsidRDefault="003B6049" w:rsidP="00CD05B9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Authorised Deposit-taking Institution Supervisory Levy Imposition </w:t>
          </w:r>
        </w:p>
        <w:p w14:paraId="7DCC34AD" w14:textId="5D2A43FF" w:rsidR="00FA6761" w:rsidRPr="005D02FE" w:rsidRDefault="003B6049" w:rsidP="00FA6761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Determination </w:t>
          </w:r>
          <w:r w:rsidR="00C86211">
            <w:rPr>
              <w:i/>
              <w:sz w:val="18"/>
            </w:rPr>
            <w:t>2016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0DD22D" w14:textId="77777777" w:rsidR="00FB7B9C" w:rsidRDefault="00FB7B9C" w:rsidP="00FB7B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7D2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B7B9C" w14:paraId="52F42BE5" w14:textId="77777777" w:rsidTr="00FB7B9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D77D71" w14:textId="77777777" w:rsidR="00FB7B9C" w:rsidRDefault="00FB7B9C" w:rsidP="00FB7B9C">
          <w:pPr>
            <w:rPr>
              <w:sz w:val="18"/>
            </w:rPr>
          </w:pPr>
        </w:p>
      </w:tc>
    </w:tr>
  </w:tbl>
  <w:p w14:paraId="7C44D3D8" w14:textId="0D8BEC99" w:rsidR="00FB7B9C" w:rsidRPr="00ED79B6" w:rsidRDefault="00FB7B9C" w:rsidP="00CA472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A3518" w14:textId="77777777" w:rsidR="00FB7B9C" w:rsidRPr="00CA472C" w:rsidRDefault="00FB7B9C" w:rsidP="00CB7D66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B7B9C" w:rsidRPr="00CA472C" w14:paraId="725DD428" w14:textId="77777777" w:rsidTr="00FB7B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13AD31" w14:textId="77777777" w:rsidR="00FB7B9C" w:rsidRPr="00CA472C" w:rsidRDefault="00FB7B9C" w:rsidP="00FB7B9C">
          <w:pPr>
            <w:spacing w:line="0" w:lineRule="atLeast"/>
            <w:rPr>
              <w:rFonts w:cs="Times New Roman"/>
              <w:sz w:val="18"/>
            </w:rPr>
          </w:pPr>
          <w:r w:rsidRPr="00CA472C">
            <w:rPr>
              <w:rFonts w:cs="Times New Roman"/>
              <w:i/>
              <w:sz w:val="18"/>
            </w:rPr>
            <w:fldChar w:fldCharType="begin"/>
          </w:r>
          <w:r w:rsidRPr="00CA472C">
            <w:rPr>
              <w:rFonts w:cs="Times New Roman"/>
              <w:i/>
              <w:sz w:val="18"/>
            </w:rPr>
            <w:instrText xml:space="preserve"> PAGE </w:instrText>
          </w:r>
          <w:r w:rsidRPr="00CA472C">
            <w:rPr>
              <w:rFonts w:cs="Times New Roman"/>
              <w:i/>
              <w:sz w:val="18"/>
            </w:rPr>
            <w:fldChar w:fldCharType="separate"/>
          </w:r>
          <w:r w:rsidR="00E97D23">
            <w:rPr>
              <w:rFonts w:cs="Times New Roman"/>
              <w:i/>
              <w:noProof/>
              <w:sz w:val="18"/>
            </w:rPr>
            <w:t>4</w:t>
          </w:r>
          <w:r w:rsidRPr="00CA47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58D8DD" w14:textId="77777777" w:rsidR="003B6049" w:rsidRDefault="003B6049" w:rsidP="003B6049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Authorised Deposit-taking Institution Supervisory Levy Imposition </w:t>
          </w:r>
        </w:p>
        <w:p w14:paraId="42E7F19D" w14:textId="6AB10276" w:rsidR="00FA6761" w:rsidRPr="005D02FE" w:rsidRDefault="003B6049" w:rsidP="00FA6761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Determination </w:t>
          </w:r>
          <w:r w:rsidR="00C86211">
            <w:rPr>
              <w:i/>
              <w:sz w:val="18"/>
            </w:rPr>
            <w:t>2016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72CF272" w14:textId="77777777" w:rsidR="00FB7B9C" w:rsidRPr="00CA472C" w:rsidRDefault="00FB7B9C" w:rsidP="00FB7B9C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FB7B9C" w:rsidRPr="00CA472C" w14:paraId="7CB3FD57" w14:textId="77777777" w:rsidTr="00FB7B9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A0ED15" w14:textId="77777777" w:rsidR="00FB7B9C" w:rsidRPr="00CA472C" w:rsidRDefault="00FB7B9C" w:rsidP="00FB7B9C">
          <w:pPr>
            <w:jc w:val="right"/>
            <w:rPr>
              <w:rFonts w:cs="Times New Roman"/>
              <w:sz w:val="18"/>
            </w:rPr>
          </w:pPr>
        </w:p>
      </w:tc>
    </w:tr>
  </w:tbl>
  <w:p w14:paraId="200AF415" w14:textId="1305A1B7" w:rsidR="00FB7B9C" w:rsidRPr="00CA472C" w:rsidRDefault="00FB7B9C" w:rsidP="00CA472C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E0C8C" w14:textId="77777777" w:rsidR="00FB7B9C" w:rsidRPr="00E33C1C" w:rsidRDefault="00FB7B9C" w:rsidP="00CB7D6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B7B9C" w14:paraId="7818B115" w14:textId="77777777" w:rsidTr="00FB7B9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C40518" w14:textId="77777777" w:rsidR="00FB7B9C" w:rsidRDefault="00FB7B9C" w:rsidP="00FB7B9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0D9B29" w14:textId="77777777" w:rsidR="003B6049" w:rsidRDefault="003B6049" w:rsidP="003B6049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Authorised Deposit-taking Institution Supervisory Levy Imposition </w:t>
          </w:r>
        </w:p>
        <w:p w14:paraId="4B041FF7" w14:textId="70A7371E" w:rsidR="00FB7B9C" w:rsidRDefault="003B6049" w:rsidP="003B604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Determination </w:t>
          </w:r>
          <w:r w:rsidR="00C86211">
            <w:rPr>
              <w:i/>
              <w:sz w:val="18"/>
            </w:rPr>
            <w:t>2016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4B340C" w14:textId="77777777" w:rsidR="00FB7B9C" w:rsidRDefault="00FB7B9C" w:rsidP="00FB7B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7D2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B7B9C" w14:paraId="6AEE633E" w14:textId="77777777" w:rsidTr="00FB7B9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64E7514" w14:textId="77777777" w:rsidR="00FB7B9C" w:rsidRDefault="00FB7B9C" w:rsidP="00FB7B9C">
          <w:pPr>
            <w:rPr>
              <w:sz w:val="18"/>
            </w:rPr>
          </w:pPr>
        </w:p>
      </w:tc>
    </w:tr>
  </w:tbl>
  <w:p w14:paraId="56623FB4" w14:textId="438EEAAD" w:rsidR="00FB7B9C" w:rsidRPr="00ED79B6" w:rsidRDefault="00FB7B9C" w:rsidP="00CA472C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71697" w14:textId="77777777" w:rsidR="00FB7B9C" w:rsidRPr="00E33C1C" w:rsidRDefault="00FB7B9C" w:rsidP="00CB7D6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B7B9C" w14:paraId="7950B507" w14:textId="77777777" w:rsidTr="00FB7B9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3A57BA" w14:textId="77777777" w:rsidR="00FB7B9C" w:rsidRDefault="00FB7B9C" w:rsidP="00FB7B9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444F3D" w14:textId="77777777" w:rsidR="00FB7B9C" w:rsidRDefault="00FB7B9C" w:rsidP="00FB7B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0C3E">
            <w:rPr>
              <w:i/>
              <w:sz w:val="18"/>
            </w:rPr>
            <w:t>Authorised Deposit</w:t>
          </w:r>
          <w:r w:rsidR="00890C3E">
            <w:rPr>
              <w:i/>
              <w:sz w:val="18"/>
            </w:rPr>
            <w:noBreakHyphen/>
            <w:t>taking Institutions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A0C91F" w14:textId="77777777" w:rsidR="00FB7B9C" w:rsidRDefault="00FB7B9C" w:rsidP="00FB7B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04D6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B7B9C" w14:paraId="629591F7" w14:textId="77777777" w:rsidTr="00FB7B9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3DB6AB" w14:textId="77777777" w:rsidR="00FB7B9C" w:rsidRDefault="00FB7B9C" w:rsidP="00FB7B9C">
          <w:pPr>
            <w:rPr>
              <w:sz w:val="18"/>
            </w:rPr>
          </w:pPr>
        </w:p>
      </w:tc>
    </w:tr>
  </w:tbl>
  <w:p w14:paraId="1F0D9463" w14:textId="77777777" w:rsidR="00FB7B9C" w:rsidRPr="00ED79B6" w:rsidRDefault="00FB7B9C" w:rsidP="00CB7D6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DE434" w14:textId="77777777" w:rsidR="00FB7B9C" w:rsidRDefault="00FB7B9C">
      <w:r>
        <w:separator/>
      </w:r>
    </w:p>
  </w:footnote>
  <w:footnote w:type="continuationSeparator" w:id="0">
    <w:p w14:paraId="50D8461C" w14:textId="77777777" w:rsidR="00FB7B9C" w:rsidRDefault="00FB7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C411F" w14:textId="77777777" w:rsidR="00FB7B9C" w:rsidRPr="005F1388" w:rsidRDefault="00FB7B9C" w:rsidP="00FB7B9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45556" w14:textId="77777777" w:rsidR="00FB7B9C" w:rsidRPr="005F1388" w:rsidRDefault="00FB7B9C" w:rsidP="00FB7B9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9431C" w14:textId="77777777" w:rsidR="00FB7B9C" w:rsidRPr="005F1388" w:rsidRDefault="00FB7B9C" w:rsidP="00FB7B9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904CA" w14:textId="77777777" w:rsidR="00FB7B9C" w:rsidRPr="00ED79B6" w:rsidRDefault="00FB7B9C" w:rsidP="00FB7B9C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8100E" w14:textId="77777777" w:rsidR="00FB7B9C" w:rsidRPr="00ED79B6" w:rsidRDefault="00FB7B9C" w:rsidP="00FB7B9C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F44E9" w14:textId="77777777" w:rsidR="00FB7B9C" w:rsidRPr="00ED79B6" w:rsidRDefault="00FB7B9C" w:rsidP="00FB7B9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DF655" w14:textId="77777777" w:rsidR="00FB7B9C" w:rsidRDefault="00FB7B9C" w:rsidP="00FB7B9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4BFEC40" w14:textId="77777777" w:rsidR="00FB7B9C" w:rsidRDefault="00FB7B9C" w:rsidP="00FB7B9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1D73722" w14:textId="77777777" w:rsidR="00FB7B9C" w:rsidRPr="007A1328" w:rsidRDefault="00FB7B9C" w:rsidP="00FB7B9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86ACBB4" w14:textId="77777777" w:rsidR="00FB7B9C" w:rsidRPr="007A1328" w:rsidRDefault="00FB7B9C" w:rsidP="00FB7B9C">
    <w:pPr>
      <w:rPr>
        <w:b/>
        <w:sz w:val="24"/>
      </w:rPr>
    </w:pPr>
  </w:p>
  <w:p w14:paraId="04155C49" w14:textId="77777777" w:rsidR="00FB7B9C" w:rsidRPr="007A1328" w:rsidRDefault="00FB7B9C" w:rsidP="00FB7B9C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90C3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97D23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51AEC" w14:textId="77777777" w:rsidR="00FB7B9C" w:rsidRPr="007A1328" w:rsidRDefault="00FB7B9C" w:rsidP="00FB7B9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8D69CC3" w14:textId="77777777" w:rsidR="00FB7B9C" w:rsidRPr="007A1328" w:rsidRDefault="00FB7B9C" w:rsidP="00FB7B9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C48B430" w14:textId="77777777" w:rsidR="00FB7B9C" w:rsidRPr="007A1328" w:rsidRDefault="00FB7B9C" w:rsidP="00FB7B9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C357CFD" w14:textId="77777777" w:rsidR="00FB7B9C" w:rsidRPr="007A1328" w:rsidRDefault="00FB7B9C" w:rsidP="00FB7B9C">
    <w:pPr>
      <w:jc w:val="right"/>
      <w:rPr>
        <w:b/>
        <w:sz w:val="24"/>
      </w:rPr>
    </w:pPr>
  </w:p>
  <w:p w14:paraId="6B08D0CC" w14:textId="77777777" w:rsidR="00FB7B9C" w:rsidRPr="007A1328" w:rsidRDefault="00FB7B9C" w:rsidP="00FB7B9C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90C3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97D23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94EDE" w14:textId="77777777" w:rsidR="00FB7B9C" w:rsidRPr="007A1328" w:rsidRDefault="00FB7B9C" w:rsidP="00FB7B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7"/>
  </w:num>
  <w:num w:numId="17">
    <w:abstractNumId w:val="12"/>
  </w:num>
  <w:num w:numId="1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38A0"/>
    <w:rsid w:val="00012F8A"/>
    <w:rsid w:val="0001662A"/>
    <w:rsid w:val="00020108"/>
    <w:rsid w:val="00021CAB"/>
    <w:rsid w:val="000312DE"/>
    <w:rsid w:val="00032F2C"/>
    <w:rsid w:val="000342AA"/>
    <w:rsid w:val="00040090"/>
    <w:rsid w:val="000403D5"/>
    <w:rsid w:val="000427E4"/>
    <w:rsid w:val="00042EF5"/>
    <w:rsid w:val="00045BA4"/>
    <w:rsid w:val="00045F1B"/>
    <w:rsid w:val="000521B7"/>
    <w:rsid w:val="00052F0C"/>
    <w:rsid w:val="0005339D"/>
    <w:rsid w:val="000574F6"/>
    <w:rsid w:val="00060076"/>
    <w:rsid w:val="000646EC"/>
    <w:rsid w:val="00065118"/>
    <w:rsid w:val="00065296"/>
    <w:rsid w:val="00066191"/>
    <w:rsid w:val="000715D1"/>
    <w:rsid w:val="0007774F"/>
    <w:rsid w:val="000804C9"/>
    <w:rsid w:val="0008056D"/>
    <w:rsid w:val="00081214"/>
    <w:rsid w:val="00082916"/>
    <w:rsid w:val="00083189"/>
    <w:rsid w:val="00083608"/>
    <w:rsid w:val="00084025"/>
    <w:rsid w:val="00084194"/>
    <w:rsid w:val="0008560A"/>
    <w:rsid w:val="00087B23"/>
    <w:rsid w:val="00091146"/>
    <w:rsid w:val="00091A78"/>
    <w:rsid w:val="00092FB4"/>
    <w:rsid w:val="000951BE"/>
    <w:rsid w:val="00095849"/>
    <w:rsid w:val="000960C1"/>
    <w:rsid w:val="00096E15"/>
    <w:rsid w:val="000A0032"/>
    <w:rsid w:val="000A0788"/>
    <w:rsid w:val="000A0CCA"/>
    <w:rsid w:val="000A1742"/>
    <w:rsid w:val="000A1E6B"/>
    <w:rsid w:val="000A2847"/>
    <w:rsid w:val="000A620C"/>
    <w:rsid w:val="000A6418"/>
    <w:rsid w:val="000A7869"/>
    <w:rsid w:val="000B0F56"/>
    <w:rsid w:val="000B4121"/>
    <w:rsid w:val="000B51B3"/>
    <w:rsid w:val="000C2C9B"/>
    <w:rsid w:val="000C3C97"/>
    <w:rsid w:val="000C6FB1"/>
    <w:rsid w:val="000D0985"/>
    <w:rsid w:val="000D1916"/>
    <w:rsid w:val="000D3D6A"/>
    <w:rsid w:val="000D51B7"/>
    <w:rsid w:val="000D629B"/>
    <w:rsid w:val="000E16EC"/>
    <w:rsid w:val="000E27E3"/>
    <w:rsid w:val="000E306B"/>
    <w:rsid w:val="000E3BDA"/>
    <w:rsid w:val="000E48BD"/>
    <w:rsid w:val="000E6663"/>
    <w:rsid w:val="000E7494"/>
    <w:rsid w:val="000F3405"/>
    <w:rsid w:val="000F566D"/>
    <w:rsid w:val="000F713A"/>
    <w:rsid w:val="00105BB8"/>
    <w:rsid w:val="00110F0D"/>
    <w:rsid w:val="00111D90"/>
    <w:rsid w:val="001139D6"/>
    <w:rsid w:val="0011561F"/>
    <w:rsid w:val="00115775"/>
    <w:rsid w:val="001162F9"/>
    <w:rsid w:val="00116989"/>
    <w:rsid w:val="00116BD2"/>
    <w:rsid w:val="0012055B"/>
    <w:rsid w:val="00122896"/>
    <w:rsid w:val="00125657"/>
    <w:rsid w:val="00127E88"/>
    <w:rsid w:val="001304D6"/>
    <w:rsid w:val="001312D8"/>
    <w:rsid w:val="00132573"/>
    <w:rsid w:val="001328CE"/>
    <w:rsid w:val="00133143"/>
    <w:rsid w:val="00133C72"/>
    <w:rsid w:val="00134DDC"/>
    <w:rsid w:val="00140090"/>
    <w:rsid w:val="001409F1"/>
    <w:rsid w:val="00140A27"/>
    <w:rsid w:val="0014186A"/>
    <w:rsid w:val="00141CBA"/>
    <w:rsid w:val="00143B9A"/>
    <w:rsid w:val="00144DE3"/>
    <w:rsid w:val="00146B10"/>
    <w:rsid w:val="00153195"/>
    <w:rsid w:val="00162609"/>
    <w:rsid w:val="001646F9"/>
    <w:rsid w:val="00164935"/>
    <w:rsid w:val="00165D61"/>
    <w:rsid w:val="00176654"/>
    <w:rsid w:val="0017685B"/>
    <w:rsid w:val="00176881"/>
    <w:rsid w:val="0018362C"/>
    <w:rsid w:val="001838B9"/>
    <w:rsid w:val="00185F83"/>
    <w:rsid w:val="00186360"/>
    <w:rsid w:val="00187D63"/>
    <w:rsid w:val="00191FA5"/>
    <w:rsid w:val="0019207C"/>
    <w:rsid w:val="00192330"/>
    <w:rsid w:val="00192C10"/>
    <w:rsid w:val="00193F32"/>
    <w:rsid w:val="00194DC1"/>
    <w:rsid w:val="001A0932"/>
    <w:rsid w:val="001A2FD9"/>
    <w:rsid w:val="001A4DD7"/>
    <w:rsid w:val="001A6C59"/>
    <w:rsid w:val="001B07C6"/>
    <w:rsid w:val="001B1122"/>
    <w:rsid w:val="001B42E3"/>
    <w:rsid w:val="001B4E06"/>
    <w:rsid w:val="001B788F"/>
    <w:rsid w:val="001C22F5"/>
    <w:rsid w:val="001C25FE"/>
    <w:rsid w:val="001D6D71"/>
    <w:rsid w:val="001E092D"/>
    <w:rsid w:val="001E4783"/>
    <w:rsid w:val="001E548D"/>
    <w:rsid w:val="001E5651"/>
    <w:rsid w:val="001F108C"/>
    <w:rsid w:val="001F2367"/>
    <w:rsid w:val="001F41C5"/>
    <w:rsid w:val="001F6D5A"/>
    <w:rsid w:val="001F7D9A"/>
    <w:rsid w:val="002013A1"/>
    <w:rsid w:val="002015B2"/>
    <w:rsid w:val="00202F6F"/>
    <w:rsid w:val="00203232"/>
    <w:rsid w:val="00210652"/>
    <w:rsid w:val="00213B2C"/>
    <w:rsid w:val="00214C3B"/>
    <w:rsid w:val="00214D51"/>
    <w:rsid w:val="00216A8C"/>
    <w:rsid w:val="00220C7B"/>
    <w:rsid w:val="00222C9D"/>
    <w:rsid w:val="00222FD0"/>
    <w:rsid w:val="00224236"/>
    <w:rsid w:val="00224C7B"/>
    <w:rsid w:val="00224E32"/>
    <w:rsid w:val="002252C7"/>
    <w:rsid w:val="00225C54"/>
    <w:rsid w:val="0022734F"/>
    <w:rsid w:val="0023084F"/>
    <w:rsid w:val="00233C57"/>
    <w:rsid w:val="0023489C"/>
    <w:rsid w:val="00235F9D"/>
    <w:rsid w:val="00237938"/>
    <w:rsid w:val="00241316"/>
    <w:rsid w:val="0024222C"/>
    <w:rsid w:val="00243186"/>
    <w:rsid w:val="0024323F"/>
    <w:rsid w:val="00243601"/>
    <w:rsid w:val="00244C01"/>
    <w:rsid w:val="00246042"/>
    <w:rsid w:val="00252F17"/>
    <w:rsid w:val="002531DC"/>
    <w:rsid w:val="00253DDD"/>
    <w:rsid w:val="00260912"/>
    <w:rsid w:val="00265514"/>
    <w:rsid w:val="0026572A"/>
    <w:rsid w:val="00275245"/>
    <w:rsid w:val="00281E63"/>
    <w:rsid w:val="002833CF"/>
    <w:rsid w:val="00283C7B"/>
    <w:rsid w:val="0028609E"/>
    <w:rsid w:val="00286CEA"/>
    <w:rsid w:val="00293BC3"/>
    <w:rsid w:val="002952E2"/>
    <w:rsid w:val="00295727"/>
    <w:rsid w:val="00296215"/>
    <w:rsid w:val="00297BCF"/>
    <w:rsid w:val="002A0984"/>
    <w:rsid w:val="002A19B0"/>
    <w:rsid w:val="002A1A7C"/>
    <w:rsid w:val="002A2D9D"/>
    <w:rsid w:val="002A37DA"/>
    <w:rsid w:val="002A38A4"/>
    <w:rsid w:val="002A6E5A"/>
    <w:rsid w:val="002B0156"/>
    <w:rsid w:val="002B1EBA"/>
    <w:rsid w:val="002B265A"/>
    <w:rsid w:val="002B3196"/>
    <w:rsid w:val="002B32C5"/>
    <w:rsid w:val="002B374E"/>
    <w:rsid w:val="002B3D0A"/>
    <w:rsid w:val="002B519A"/>
    <w:rsid w:val="002B5B41"/>
    <w:rsid w:val="002B6523"/>
    <w:rsid w:val="002B7DCF"/>
    <w:rsid w:val="002C498C"/>
    <w:rsid w:val="002C7C35"/>
    <w:rsid w:val="002D0BAE"/>
    <w:rsid w:val="002D23E1"/>
    <w:rsid w:val="002D4558"/>
    <w:rsid w:val="002D71AC"/>
    <w:rsid w:val="002D7932"/>
    <w:rsid w:val="002D7EB0"/>
    <w:rsid w:val="002E5148"/>
    <w:rsid w:val="002E5749"/>
    <w:rsid w:val="002E5B4E"/>
    <w:rsid w:val="002F6F45"/>
    <w:rsid w:val="002F771D"/>
    <w:rsid w:val="002F78D5"/>
    <w:rsid w:val="003014B9"/>
    <w:rsid w:val="00305FA2"/>
    <w:rsid w:val="00306194"/>
    <w:rsid w:val="003068FA"/>
    <w:rsid w:val="00313A4A"/>
    <w:rsid w:val="00320E0D"/>
    <w:rsid w:val="003231FF"/>
    <w:rsid w:val="00323FED"/>
    <w:rsid w:val="00327D26"/>
    <w:rsid w:val="0033097D"/>
    <w:rsid w:val="00333C05"/>
    <w:rsid w:val="0033573E"/>
    <w:rsid w:val="00336724"/>
    <w:rsid w:val="00342AB4"/>
    <w:rsid w:val="00343B24"/>
    <w:rsid w:val="00345DD4"/>
    <w:rsid w:val="003469E3"/>
    <w:rsid w:val="00347561"/>
    <w:rsid w:val="0035001E"/>
    <w:rsid w:val="00350246"/>
    <w:rsid w:val="00350D2D"/>
    <w:rsid w:val="00353D12"/>
    <w:rsid w:val="00353F3B"/>
    <w:rsid w:val="00357657"/>
    <w:rsid w:val="003577EE"/>
    <w:rsid w:val="003606BC"/>
    <w:rsid w:val="00366D30"/>
    <w:rsid w:val="00367056"/>
    <w:rsid w:val="00367E3F"/>
    <w:rsid w:val="00370DD7"/>
    <w:rsid w:val="0037255F"/>
    <w:rsid w:val="003805F6"/>
    <w:rsid w:val="0038199B"/>
    <w:rsid w:val="00383C26"/>
    <w:rsid w:val="00387F34"/>
    <w:rsid w:val="00392551"/>
    <w:rsid w:val="00392557"/>
    <w:rsid w:val="0039396B"/>
    <w:rsid w:val="003A1A46"/>
    <w:rsid w:val="003A3957"/>
    <w:rsid w:val="003A435E"/>
    <w:rsid w:val="003A4B15"/>
    <w:rsid w:val="003A5AF1"/>
    <w:rsid w:val="003A77F7"/>
    <w:rsid w:val="003B0D29"/>
    <w:rsid w:val="003B52C0"/>
    <w:rsid w:val="003B6049"/>
    <w:rsid w:val="003B7E2B"/>
    <w:rsid w:val="003C1D25"/>
    <w:rsid w:val="003C43E7"/>
    <w:rsid w:val="003C778D"/>
    <w:rsid w:val="003C7EA8"/>
    <w:rsid w:val="003D1079"/>
    <w:rsid w:val="003D1FD3"/>
    <w:rsid w:val="003D5357"/>
    <w:rsid w:val="003D5FC8"/>
    <w:rsid w:val="003D659C"/>
    <w:rsid w:val="003D6F03"/>
    <w:rsid w:val="003D7AC8"/>
    <w:rsid w:val="003E4F2E"/>
    <w:rsid w:val="003E5F8F"/>
    <w:rsid w:val="003E6D06"/>
    <w:rsid w:val="003F02AE"/>
    <w:rsid w:val="003F5B4A"/>
    <w:rsid w:val="003F6833"/>
    <w:rsid w:val="0040026B"/>
    <w:rsid w:val="004005D4"/>
    <w:rsid w:val="00401656"/>
    <w:rsid w:val="00403F78"/>
    <w:rsid w:val="004175B2"/>
    <w:rsid w:val="00420BAC"/>
    <w:rsid w:val="00421964"/>
    <w:rsid w:val="00422522"/>
    <w:rsid w:val="00424410"/>
    <w:rsid w:val="004255DD"/>
    <w:rsid w:val="0042655E"/>
    <w:rsid w:val="004272B4"/>
    <w:rsid w:val="00433AF7"/>
    <w:rsid w:val="00433B06"/>
    <w:rsid w:val="004357A9"/>
    <w:rsid w:val="004361A5"/>
    <w:rsid w:val="00440B24"/>
    <w:rsid w:val="00442AA3"/>
    <w:rsid w:val="00443890"/>
    <w:rsid w:val="0044430D"/>
    <w:rsid w:val="00444F77"/>
    <w:rsid w:val="004459DE"/>
    <w:rsid w:val="00450DE1"/>
    <w:rsid w:val="004533FC"/>
    <w:rsid w:val="00461A95"/>
    <w:rsid w:val="00464092"/>
    <w:rsid w:val="004640EA"/>
    <w:rsid w:val="00466DBA"/>
    <w:rsid w:val="00481E93"/>
    <w:rsid w:val="00482887"/>
    <w:rsid w:val="004875EE"/>
    <w:rsid w:val="004879CB"/>
    <w:rsid w:val="0049172E"/>
    <w:rsid w:val="004937E0"/>
    <w:rsid w:val="00497DA0"/>
    <w:rsid w:val="004A20E2"/>
    <w:rsid w:val="004A36CA"/>
    <w:rsid w:val="004A7713"/>
    <w:rsid w:val="004A7AA7"/>
    <w:rsid w:val="004B0AC1"/>
    <w:rsid w:val="004B1AC1"/>
    <w:rsid w:val="004B4937"/>
    <w:rsid w:val="004B5BCB"/>
    <w:rsid w:val="004B6C4F"/>
    <w:rsid w:val="004C13E3"/>
    <w:rsid w:val="004D0E26"/>
    <w:rsid w:val="004D1D03"/>
    <w:rsid w:val="004D32C2"/>
    <w:rsid w:val="004D5EAB"/>
    <w:rsid w:val="004D6045"/>
    <w:rsid w:val="004D6F46"/>
    <w:rsid w:val="004E0009"/>
    <w:rsid w:val="004E0619"/>
    <w:rsid w:val="004E1C75"/>
    <w:rsid w:val="004E2FEB"/>
    <w:rsid w:val="004E64E4"/>
    <w:rsid w:val="004E7590"/>
    <w:rsid w:val="004F1259"/>
    <w:rsid w:val="004F166C"/>
    <w:rsid w:val="004F40B5"/>
    <w:rsid w:val="004F5D6D"/>
    <w:rsid w:val="005008BF"/>
    <w:rsid w:val="00501E0C"/>
    <w:rsid w:val="00504A48"/>
    <w:rsid w:val="005056C8"/>
    <w:rsid w:val="0051137B"/>
    <w:rsid w:val="00511776"/>
    <w:rsid w:val="00511924"/>
    <w:rsid w:val="00512974"/>
    <w:rsid w:val="00514B63"/>
    <w:rsid w:val="0051511D"/>
    <w:rsid w:val="00520515"/>
    <w:rsid w:val="00520A1E"/>
    <w:rsid w:val="0052114E"/>
    <w:rsid w:val="0052195F"/>
    <w:rsid w:val="0052220C"/>
    <w:rsid w:val="005234C7"/>
    <w:rsid w:val="005238E0"/>
    <w:rsid w:val="005249CD"/>
    <w:rsid w:val="00525769"/>
    <w:rsid w:val="005277E8"/>
    <w:rsid w:val="005307F9"/>
    <w:rsid w:val="00530CAD"/>
    <w:rsid w:val="0053231B"/>
    <w:rsid w:val="005371EF"/>
    <w:rsid w:val="00541A09"/>
    <w:rsid w:val="005432C7"/>
    <w:rsid w:val="0054351E"/>
    <w:rsid w:val="00545687"/>
    <w:rsid w:val="00551469"/>
    <w:rsid w:val="005516CA"/>
    <w:rsid w:val="00551C2B"/>
    <w:rsid w:val="005537DD"/>
    <w:rsid w:val="00560392"/>
    <w:rsid w:val="005672DE"/>
    <w:rsid w:val="005749F6"/>
    <w:rsid w:val="005759E7"/>
    <w:rsid w:val="00576569"/>
    <w:rsid w:val="00580301"/>
    <w:rsid w:val="0058194C"/>
    <w:rsid w:val="005859FB"/>
    <w:rsid w:val="005875BD"/>
    <w:rsid w:val="0059037E"/>
    <w:rsid w:val="005924C4"/>
    <w:rsid w:val="005943B6"/>
    <w:rsid w:val="00597297"/>
    <w:rsid w:val="005A4031"/>
    <w:rsid w:val="005A64A5"/>
    <w:rsid w:val="005A7583"/>
    <w:rsid w:val="005B2862"/>
    <w:rsid w:val="005B5BAF"/>
    <w:rsid w:val="005B7B02"/>
    <w:rsid w:val="005C0D34"/>
    <w:rsid w:val="005C3006"/>
    <w:rsid w:val="005C3FD0"/>
    <w:rsid w:val="005C4A85"/>
    <w:rsid w:val="005C5A64"/>
    <w:rsid w:val="005C75F3"/>
    <w:rsid w:val="005D02FE"/>
    <w:rsid w:val="005D0D39"/>
    <w:rsid w:val="005D1B5D"/>
    <w:rsid w:val="005D2F97"/>
    <w:rsid w:val="005D3934"/>
    <w:rsid w:val="005D50E7"/>
    <w:rsid w:val="005D51A8"/>
    <w:rsid w:val="005D692B"/>
    <w:rsid w:val="005E0704"/>
    <w:rsid w:val="005E43E5"/>
    <w:rsid w:val="005E563D"/>
    <w:rsid w:val="005E5960"/>
    <w:rsid w:val="005E641F"/>
    <w:rsid w:val="005F47D8"/>
    <w:rsid w:val="005F52A1"/>
    <w:rsid w:val="00602748"/>
    <w:rsid w:val="006047C5"/>
    <w:rsid w:val="00607B26"/>
    <w:rsid w:val="00610E3F"/>
    <w:rsid w:val="00620819"/>
    <w:rsid w:val="00620F0C"/>
    <w:rsid w:val="00621915"/>
    <w:rsid w:val="00624074"/>
    <w:rsid w:val="0062769F"/>
    <w:rsid w:val="00632684"/>
    <w:rsid w:val="00632958"/>
    <w:rsid w:val="006337F6"/>
    <w:rsid w:val="00634F37"/>
    <w:rsid w:val="00641664"/>
    <w:rsid w:val="00642093"/>
    <w:rsid w:val="00643783"/>
    <w:rsid w:val="00645747"/>
    <w:rsid w:val="0065001E"/>
    <w:rsid w:val="006533B7"/>
    <w:rsid w:val="00662AD0"/>
    <w:rsid w:val="00664B0C"/>
    <w:rsid w:val="00671DDB"/>
    <w:rsid w:val="00674B00"/>
    <w:rsid w:val="00684CFD"/>
    <w:rsid w:val="00690D3E"/>
    <w:rsid w:val="00695444"/>
    <w:rsid w:val="006A2ED9"/>
    <w:rsid w:val="006A6124"/>
    <w:rsid w:val="006B1466"/>
    <w:rsid w:val="006B341B"/>
    <w:rsid w:val="006C05A0"/>
    <w:rsid w:val="006C0E29"/>
    <w:rsid w:val="006C2616"/>
    <w:rsid w:val="006C2A49"/>
    <w:rsid w:val="006C50D6"/>
    <w:rsid w:val="006C5742"/>
    <w:rsid w:val="006C64A7"/>
    <w:rsid w:val="006D018E"/>
    <w:rsid w:val="006D063B"/>
    <w:rsid w:val="006D2CBA"/>
    <w:rsid w:val="006D3078"/>
    <w:rsid w:val="006D4002"/>
    <w:rsid w:val="006D4034"/>
    <w:rsid w:val="006E2530"/>
    <w:rsid w:val="006E548F"/>
    <w:rsid w:val="006F0BD8"/>
    <w:rsid w:val="006F23AB"/>
    <w:rsid w:val="006F73F0"/>
    <w:rsid w:val="00702998"/>
    <w:rsid w:val="00702B4F"/>
    <w:rsid w:val="00707594"/>
    <w:rsid w:val="00710556"/>
    <w:rsid w:val="0071055A"/>
    <w:rsid w:val="00712D24"/>
    <w:rsid w:val="0071414A"/>
    <w:rsid w:val="0071514F"/>
    <w:rsid w:val="00716F1E"/>
    <w:rsid w:val="0072559A"/>
    <w:rsid w:val="00727685"/>
    <w:rsid w:val="00730109"/>
    <w:rsid w:val="00730AF8"/>
    <w:rsid w:val="00735D7F"/>
    <w:rsid w:val="007375F7"/>
    <w:rsid w:val="00740322"/>
    <w:rsid w:val="00740916"/>
    <w:rsid w:val="00740E91"/>
    <w:rsid w:val="0074117E"/>
    <w:rsid w:val="007431FF"/>
    <w:rsid w:val="00743CDB"/>
    <w:rsid w:val="007461EE"/>
    <w:rsid w:val="00752546"/>
    <w:rsid w:val="007568F7"/>
    <w:rsid w:val="00756F68"/>
    <w:rsid w:val="00756F9E"/>
    <w:rsid w:val="00772ADE"/>
    <w:rsid w:val="007760B8"/>
    <w:rsid w:val="0078300B"/>
    <w:rsid w:val="007833A9"/>
    <w:rsid w:val="007851E9"/>
    <w:rsid w:val="007910D2"/>
    <w:rsid w:val="00794754"/>
    <w:rsid w:val="007949CA"/>
    <w:rsid w:val="007972B9"/>
    <w:rsid w:val="007A3064"/>
    <w:rsid w:val="007A5FF2"/>
    <w:rsid w:val="007B0085"/>
    <w:rsid w:val="007B1C0C"/>
    <w:rsid w:val="007C379A"/>
    <w:rsid w:val="007C6639"/>
    <w:rsid w:val="007C7959"/>
    <w:rsid w:val="007C7F4B"/>
    <w:rsid w:val="007D1A1E"/>
    <w:rsid w:val="007D5AC8"/>
    <w:rsid w:val="007E0C03"/>
    <w:rsid w:val="007E231D"/>
    <w:rsid w:val="007E3AA5"/>
    <w:rsid w:val="007F47EA"/>
    <w:rsid w:val="007F75DF"/>
    <w:rsid w:val="00800288"/>
    <w:rsid w:val="008002E8"/>
    <w:rsid w:val="008006D5"/>
    <w:rsid w:val="008040AA"/>
    <w:rsid w:val="00804224"/>
    <w:rsid w:val="00804542"/>
    <w:rsid w:val="0080523E"/>
    <w:rsid w:val="008059E8"/>
    <w:rsid w:val="008079F0"/>
    <w:rsid w:val="00807F2F"/>
    <w:rsid w:val="00811633"/>
    <w:rsid w:val="008149B7"/>
    <w:rsid w:val="00817BFC"/>
    <w:rsid w:val="00824A87"/>
    <w:rsid w:val="00825250"/>
    <w:rsid w:val="00825584"/>
    <w:rsid w:val="008322B6"/>
    <w:rsid w:val="008349F1"/>
    <w:rsid w:val="00836024"/>
    <w:rsid w:val="00836392"/>
    <w:rsid w:val="0084160D"/>
    <w:rsid w:val="008416EA"/>
    <w:rsid w:val="00844132"/>
    <w:rsid w:val="00847850"/>
    <w:rsid w:val="00847971"/>
    <w:rsid w:val="00850C3B"/>
    <w:rsid w:val="008546A9"/>
    <w:rsid w:val="00854857"/>
    <w:rsid w:val="00856C8B"/>
    <w:rsid w:val="00856EB5"/>
    <w:rsid w:val="00861A22"/>
    <w:rsid w:val="00863597"/>
    <w:rsid w:val="0086648B"/>
    <w:rsid w:val="008673F2"/>
    <w:rsid w:val="0087059C"/>
    <w:rsid w:val="008731F9"/>
    <w:rsid w:val="00873699"/>
    <w:rsid w:val="00873D8A"/>
    <w:rsid w:val="00873E3C"/>
    <w:rsid w:val="008750E2"/>
    <w:rsid w:val="00876486"/>
    <w:rsid w:val="0087726E"/>
    <w:rsid w:val="00880CCC"/>
    <w:rsid w:val="00884F3A"/>
    <w:rsid w:val="00886003"/>
    <w:rsid w:val="008866E8"/>
    <w:rsid w:val="0088671C"/>
    <w:rsid w:val="00886C7C"/>
    <w:rsid w:val="00886CED"/>
    <w:rsid w:val="0088700F"/>
    <w:rsid w:val="00890C3E"/>
    <w:rsid w:val="00890E1A"/>
    <w:rsid w:val="00890EA3"/>
    <w:rsid w:val="008933B8"/>
    <w:rsid w:val="00893575"/>
    <w:rsid w:val="00894B69"/>
    <w:rsid w:val="008A1054"/>
    <w:rsid w:val="008A358A"/>
    <w:rsid w:val="008A4808"/>
    <w:rsid w:val="008A4F0C"/>
    <w:rsid w:val="008A6DFE"/>
    <w:rsid w:val="008B0EFE"/>
    <w:rsid w:val="008B149B"/>
    <w:rsid w:val="008B183C"/>
    <w:rsid w:val="008B1E93"/>
    <w:rsid w:val="008B5981"/>
    <w:rsid w:val="008B6C52"/>
    <w:rsid w:val="008C3068"/>
    <w:rsid w:val="008C43C2"/>
    <w:rsid w:val="008C48D9"/>
    <w:rsid w:val="008D388C"/>
    <w:rsid w:val="008D5B3D"/>
    <w:rsid w:val="008E2235"/>
    <w:rsid w:val="008E24FE"/>
    <w:rsid w:val="008E3423"/>
    <w:rsid w:val="008E372D"/>
    <w:rsid w:val="008E43C8"/>
    <w:rsid w:val="008E473C"/>
    <w:rsid w:val="008E63C4"/>
    <w:rsid w:val="008E6E12"/>
    <w:rsid w:val="008E6FE5"/>
    <w:rsid w:val="008F1DAB"/>
    <w:rsid w:val="008F2BFD"/>
    <w:rsid w:val="008F3C01"/>
    <w:rsid w:val="009007F1"/>
    <w:rsid w:val="009023AD"/>
    <w:rsid w:val="009067E5"/>
    <w:rsid w:val="009078CC"/>
    <w:rsid w:val="00911F7B"/>
    <w:rsid w:val="00913281"/>
    <w:rsid w:val="00913EA5"/>
    <w:rsid w:val="009146C1"/>
    <w:rsid w:val="00915D96"/>
    <w:rsid w:val="00922D8C"/>
    <w:rsid w:val="00925D58"/>
    <w:rsid w:val="00926582"/>
    <w:rsid w:val="00927849"/>
    <w:rsid w:val="00930691"/>
    <w:rsid w:val="00930919"/>
    <w:rsid w:val="009407D8"/>
    <w:rsid w:val="00943CEA"/>
    <w:rsid w:val="00945A5E"/>
    <w:rsid w:val="00947FA1"/>
    <w:rsid w:val="00951457"/>
    <w:rsid w:val="009575ED"/>
    <w:rsid w:val="00957635"/>
    <w:rsid w:val="009612A7"/>
    <w:rsid w:val="00963ADB"/>
    <w:rsid w:val="00967444"/>
    <w:rsid w:val="00973575"/>
    <w:rsid w:val="00976374"/>
    <w:rsid w:val="00983A1F"/>
    <w:rsid w:val="00987485"/>
    <w:rsid w:val="0099167B"/>
    <w:rsid w:val="00995DA8"/>
    <w:rsid w:val="0099727B"/>
    <w:rsid w:val="009A0CC8"/>
    <w:rsid w:val="009A207B"/>
    <w:rsid w:val="009A42AB"/>
    <w:rsid w:val="009A5A0D"/>
    <w:rsid w:val="009A679E"/>
    <w:rsid w:val="009A6D1B"/>
    <w:rsid w:val="009B303B"/>
    <w:rsid w:val="009B3BDA"/>
    <w:rsid w:val="009B3CAA"/>
    <w:rsid w:val="009B76D8"/>
    <w:rsid w:val="009B785F"/>
    <w:rsid w:val="009B7B53"/>
    <w:rsid w:val="009B7DE0"/>
    <w:rsid w:val="009C0398"/>
    <w:rsid w:val="009C045E"/>
    <w:rsid w:val="009C0B84"/>
    <w:rsid w:val="009C3239"/>
    <w:rsid w:val="009C4042"/>
    <w:rsid w:val="009D6B2A"/>
    <w:rsid w:val="009D7BDF"/>
    <w:rsid w:val="009E0702"/>
    <w:rsid w:val="009E1C06"/>
    <w:rsid w:val="009E28DB"/>
    <w:rsid w:val="009E2D2F"/>
    <w:rsid w:val="009E31F2"/>
    <w:rsid w:val="009E7B76"/>
    <w:rsid w:val="009F0E2F"/>
    <w:rsid w:val="009F258C"/>
    <w:rsid w:val="009F3F7B"/>
    <w:rsid w:val="009F45D6"/>
    <w:rsid w:val="009F470F"/>
    <w:rsid w:val="009F5EA5"/>
    <w:rsid w:val="009F5FF0"/>
    <w:rsid w:val="009F64A7"/>
    <w:rsid w:val="00A00C88"/>
    <w:rsid w:val="00A046F7"/>
    <w:rsid w:val="00A05448"/>
    <w:rsid w:val="00A13F63"/>
    <w:rsid w:val="00A1700B"/>
    <w:rsid w:val="00A17990"/>
    <w:rsid w:val="00A21D2D"/>
    <w:rsid w:val="00A223AA"/>
    <w:rsid w:val="00A24F06"/>
    <w:rsid w:val="00A266F5"/>
    <w:rsid w:val="00A30ABA"/>
    <w:rsid w:val="00A314B9"/>
    <w:rsid w:val="00A41885"/>
    <w:rsid w:val="00A41B45"/>
    <w:rsid w:val="00A42EFB"/>
    <w:rsid w:val="00A43999"/>
    <w:rsid w:val="00A5189A"/>
    <w:rsid w:val="00A52515"/>
    <w:rsid w:val="00A538A8"/>
    <w:rsid w:val="00A54B37"/>
    <w:rsid w:val="00A57A44"/>
    <w:rsid w:val="00A57C11"/>
    <w:rsid w:val="00A609DD"/>
    <w:rsid w:val="00A60B57"/>
    <w:rsid w:val="00A61815"/>
    <w:rsid w:val="00A62F21"/>
    <w:rsid w:val="00A644DE"/>
    <w:rsid w:val="00A6740F"/>
    <w:rsid w:val="00A71652"/>
    <w:rsid w:val="00A7255D"/>
    <w:rsid w:val="00A737E5"/>
    <w:rsid w:val="00A80009"/>
    <w:rsid w:val="00A81997"/>
    <w:rsid w:val="00A95A88"/>
    <w:rsid w:val="00A967FF"/>
    <w:rsid w:val="00AA1B63"/>
    <w:rsid w:val="00AA3188"/>
    <w:rsid w:val="00AA420D"/>
    <w:rsid w:val="00AA64A1"/>
    <w:rsid w:val="00AB2C8C"/>
    <w:rsid w:val="00AB444A"/>
    <w:rsid w:val="00AC347C"/>
    <w:rsid w:val="00AC405E"/>
    <w:rsid w:val="00AD2431"/>
    <w:rsid w:val="00AD24A0"/>
    <w:rsid w:val="00AD3D13"/>
    <w:rsid w:val="00AD5BD8"/>
    <w:rsid w:val="00AD6A66"/>
    <w:rsid w:val="00AE02E5"/>
    <w:rsid w:val="00AE0C18"/>
    <w:rsid w:val="00AE4301"/>
    <w:rsid w:val="00AE732F"/>
    <w:rsid w:val="00AF074C"/>
    <w:rsid w:val="00AF716F"/>
    <w:rsid w:val="00AF7A76"/>
    <w:rsid w:val="00B00308"/>
    <w:rsid w:val="00B03AF0"/>
    <w:rsid w:val="00B05373"/>
    <w:rsid w:val="00B067E6"/>
    <w:rsid w:val="00B10805"/>
    <w:rsid w:val="00B10FAB"/>
    <w:rsid w:val="00B11A88"/>
    <w:rsid w:val="00B11AC2"/>
    <w:rsid w:val="00B12260"/>
    <w:rsid w:val="00B12AA9"/>
    <w:rsid w:val="00B13F00"/>
    <w:rsid w:val="00B156E1"/>
    <w:rsid w:val="00B242A3"/>
    <w:rsid w:val="00B25433"/>
    <w:rsid w:val="00B2626C"/>
    <w:rsid w:val="00B35F96"/>
    <w:rsid w:val="00B36D39"/>
    <w:rsid w:val="00B3728B"/>
    <w:rsid w:val="00B408B6"/>
    <w:rsid w:val="00B41EB0"/>
    <w:rsid w:val="00B46E46"/>
    <w:rsid w:val="00B531ED"/>
    <w:rsid w:val="00B53574"/>
    <w:rsid w:val="00B548A3"/>
    <w:rsid w:val="00B55500"/>
    <w:rsid w:val="00B60027"/>
    <w:rsid w:val="00B63AE9"/>
    <w:rsid w:val="00B64FB0"/>
    <w:rsid w:val="00B670FF"/>
    <w:rsid w:val="00B700E0"/>
    <w:rsid w:val="00B75777"/>
    <w:rsid w:val="00B76556"/>
    <w:rsid w:val="00B76BE0"/>
    <w:rsid w:val="00B80913"/>
    <w:rsid w:val="00B818BA"/>
    <w:rsid w:val="00B91A8D"/>
    <w:rsid w:val="00B93BCD"/>
    <w:rsid w:val="00BA34AD"/>
    <w:rsid w:val="00BA4B2A"/>
    <w:rsid w:val="00BA6F45"/>
    <w:rsid w:val="00BB379A"/>
    <w:rsid w:val="00BB3A5B"/>
    <w:rsid w:val="00BB5195"/>
    <w:rsid w:val="00BB69FF"/>
    <w:rsid w:val="00BB6E8E"/>
    <w:rsid w:val="00BC2510"/>
    <w:rsid w:val="00BC258E"/>
    <w:rsid w:val="00BC6288"/>
    <w:rsid w:val="00BC79ED"/>
    <w:rsid w:val="00BD4CC0"/>
    <w:rsid w:val="00BD545A"/>
    <w:rsid w:val="00BE32B7"/>
    <w:rsid w:val="00BE3380"/>
    <w:rsid w:val="00BE5AA0"/>
    <w:rsid w:val="00BE7C52"/>
    <w:rsid w:val="00BF1C2D"/>
    <w:rsid w:val="00BF2735"/>
    <w:rsid w:val="00BF738E"/>
    <w:rsid w:val="00C0097B"/>
    <w:rsid w:val="00C01837"/>
    <w:rsid w:val="00C01919"/>
    <w:rsid w:val="00C0402F"/>
    <w:rsid w:val="00C0441B"/>
    <w:rsid w:val="00C07033"/>
    <w:rsid w:val="00C10480"/>
    <w:rsid w:val="00C12169"/>
    <w:rsid w:val="00C12F29"/>
    <w:rsid w:val="00C14CE5"/>
    <w:rsid w:val="00C23119"/>
    <w:rsid w:val="00C23910"/>
    <w:rsid w:val="00C24D41"/>
    <w:rsid w:val="00C250B4"/>
    <w:rsid w:val="00C250ED"/>
    <w:rsid w:val="00C253F9"/>
    <w:rsid w:val="00C2672D"/>
    <w:rsid w:val="00C32469"/>
    <w:rsid w:val="00C329A2"/>
    <w:rsid w:val="00C33C35"/>
    <w:rsid w:val="00C34DDA"/>
    <w:rsid w:val="00C35EC8"/>
    <w:rsid w:val="00C4065A"/>
    <w:rsid w:val="00C41215"/>
    <w:rsid w:val="00C412B4"/>
    <w:rsid w:val="00C4170B"/>
    <w:rsid w:val="00C42FF3"/>
    <w:rsid w:val="00C447FD"/>
    <w:rsid w:val="00C44BA2"/>
    <w:rsid w:val="00C464FB"/>
    <w:rsid w:val="00C479EC"/>
    <w:rsid w:val="00C5024F"/>
    <w:rsid w:val="00C514A6"/>
    <w:rsid w:val="00C51630"/>
    <w:rsid w:val="00C52F4B"/>
    <w:rsid w:val="00C53754"/>
    <w:rsid w:val="00C55105"/>
    <w:rsid w:val="00C56AF9"/>
    <w:rsid w:val="00C6035E"/>
    <w:rsid w:val="00C639B5"/>
    <w:rsid w:val="00C651A6"/>
    <w:rsid w:val="00C65678"/>
    <w:rsid w:val="00C679DC"/>
    <w:rsid w:val="00C67BDE"/>
    <w:rsid w:val="00C72C99"/>
    <w:rsid w:val="00C7343F"/>
    <w:rsid w:val="00C744B3"/>
    <w:rsid w:val="00C74908"/>
    <w:rsid w:val="00C74A06"/>
    <w:rsid w:val="00C74A7B"/>
    <w:rsid w:val="00C822F8"/>
    <w:rsid w:val="00C8251B"/>
    <w:rsid w:val="00C83482"/>
    <w:rsid w:val="00C83A6F"/>
    <w:rsid w:val="00C86211"/>
    <w:rsid w:val="00C92D6F"/>
    <w:rsid w:val="00C93DEA"/>
    <w:rsid w:val="00C944D3"/>
    <w:rsid w:val="00C957C6"/>
    <w:rsid w:val="00C97351"/>
    <w:rsid w:val="00C97D8E"/>
    <w:rsid w:val="00CA0BD5"/>
    <w:rsid w:val="00CA1E7C"/>
    <w:rsid w:val="00CA2A23"/>
    <w:rsid w:val="00CA472C"/>
    <w:rsid w:val="00CA752C"/>
    <w:rsid w:val="00CB009F"/>
    <w:rsid w:val="00CB0566"/>
    <w:rsid w:val="00CB221F"/>
    <w:rsid w:val="00CB4EB5"/>
    <w:rsid w:val="00CB75FC"/>
    <w:rsid w:val="00CB7D66"/>
    <w:rsid w:val="00CC3524"/>
    <w:rsid w:val="00CC73AA"/>
    <w:rsid w:val="00CD05B9"/>
    <w:rsid w:val="00CD3C04"/>
    <w:rsid w:val="00CD3C3C"/>
    <w:rsid w:val="00CE662A"/>
    <w:rsid w:val="00CF24B2"/>
    <w:rsid w:val="00CF3A79"/>
    <w:rsid w:val="00CF4984"/>
    <w:rsid w:val="00CF5C49"/>
    <w:rsid w:val="00CF73A6"/>
    <w:rsid w:val="00CF7D47"/>
    <w:rsid w:val="00D0183F"/>
    <w:rsid w:val="00D03856"/>
    <w:rsid w:val="00D05575"/>
    <w:rsid w:val="00D10DE7"/>
    <w:rsid w:val="00D118BD"/>
    <w:rsid w:val="00D13C76"/>
    <w:rsid w:val="00D15738"/>
    <w:rsid w:val="00D17E6C"/>
    <w:rsid w:val="00D2157E"/>
    <w:rsid w:val="00D22AE7"/>
    <w:rsid w:val="00D2550B"/>
    <w:rsid w:val="00D271FF"/>
    <w:rsid w:val="00D32477"/>
    <w:rsid w:val="00D3367E"/>
    <w:rsid w:val="00D33956"/>
    <w:rsid w:val="00D34F1B"/>
    <w:rsid w:val="00D3553C"/>
    <w:rsid w:val="00D36644"/>
    <w:rsid w:val="00D41229"/>
    <w:rsid w:val="00D420B5"/>
    <w:rsid w:val="00D4367A"/>
    <w:rsid w:val="00D53DEA"/>
    <w:rsid w:val="00D565CA"/>
    <w:rsid w:val="00D57D13"/>
    <w:rsid w:val="00D6243F"/>
    <w:rsid w:val="00D6403A"/>
    <w:rsid w:val="00D6456A"/>
    <w:rsid w:val="00D66187"/>
    <w:rsid w:val="00D7409A"/>
    <w:rsid w:val="00D742DA"/>
    <w:rsid w:val="00D76AC0"/>
    <w:rsid w:val="00D76BE1"/>
    <w:rsid w:val="00D774C6"/>
    <w:rsid w:val="00D80163"/>
    <w:rsid w:val="00D809D6"/>
    <w:rsid w:val="00D84CCB"/>
    <w:rsid w:val="00D84E18"/>
    <w:rsid w:val="00D86D3E"/>
    <w:rsid w:val="00D9155F"/>
    <w:rsid w:val="00D95125"/>
    <w:rsid w:val="00DB2470"/>
    <w:rsid w:val="00DB5102"/>
    <w:rsid w:val="00DB5F5C"/>
    <w:rsid w:val="00DC7FB4"/>
    <w:rsid w:val="00DE2E4B"/>
    <w:rsid w:val="00DE5043"/>
    <w:rsid w:val="00DE7DDB"/>
    <w:rsid w:val="00DF0562"/>
    <w:rsid w:val="00DF1E80"/>
    <w:rsid w:val="00DF44BE"/>
    <w:rsid w:val="00DF64FD"/>
    <w:rsid w:val="00E05AF6"/>
    <w:rsid w:val="00E079B0"/>
    <w:rsid w:val="00E10958"/>
    <w:rsid w:val="00E11D84"/>
    <w:rsid w:val="00E127AC"/>
    <w:rsid w:val="00E14318"/>
    <w:rsid w:val="00E15E1D"/>
    <w:rsid w:val="00E1672A"/>
    <w:rsid w:val="00E21F69"/>
    <w:rsid w:val="00E22710"/>
    <w:rsid w:val="00E22ED8"/>
    <w:rsid w:val="00E24686"/>
    <w:rsid w:val="00E24EF9"/>
    <w:rsid w:val="00E24FB9"/>
    <w:rsid w:val="00E26CD1"/>
    <w:rsid w:val="00E26F82"/>
    <w:rsid w:val="00E27084"/>
    <w:rsid w:val="00E319CE"/>
    <w:rsid w:val="00E33013"/>
    <w:rsid w:val="00E337AD"/>
    <w:rsid w:val="00E42107"/>
    <w:rsid w:val="00E44149"/>
    <w:rsid w:val="00E44D80"/>
    <w:rsid w:val="00E44ECA"/>
    <w:rsid w:val="00E459C3"/>
    <w:rsid w:val="00E45B82"/>
    <w:rsid w:val="00E45BA2"/>
    <w:rsid w:val="00E46024"/>
    <w:rsid w:val="00E50D3A"/>
    <w:rsid w:val="00E53A61"/>
    <w:rsid w:val="00E542A2"/>
    <w:rsid w:val="00E57384"/>
    <w:rsid w:val="00E5755C"/>
    <w:rsid w:val="00E62CB2"/>
    <w:rsid w:val="00E6578A"/>
    <w:rsid w:val="00E7293B"/>
    <w:rsid w:val="00E74109"/>
    <w:rsid w:val="00E75061"/>
    <w:rsid w:val="00E750F1"/>
    <w:rsid w:val="00E814E3"/>
    <w:rsid w:val="00E81E04"/>
    <w:rsid w:val="00E83542"/>
    <w:rsid w:val="00E83EEA"/>
    <w:rsid w:val="00E86735"/>
    <w:rsid w:val="00E90609"/>
    <w:rsid w:val="00E93F0E"/>
    <w:rsid w:val="00E9460E"/>
    <w:rsid w:val="00E97D23"/>
    <w:rsid w:val="00EA0159"/>
    <w:rsid w:val="00EA0DE3"/>
    <w:rsid w:val="00EA0E4D"/>
    <w:rsid w:val="00EA17D1"/>
    <w:rsid w:val="00EA3B8F"/>
    <w:rsid w:val="00EA5695"/>
    <w:rsid w:val="00EB1E0E"/>
    <w:rsid w:val="00EB74C9"/>
    <w:rsid w:val="00EB77D8"/>
    <w:rsid w:val="00EB78D7"/>
    <w:rsid w:val="00EB7CEA"/>
    <w:rsid w:val="00EC100A"/>
    <w:rsid w:val="00EC1EA9"/>
    <w:rsid w:val="00ED1C66"/>
    <w:rsid w:val="00ED3187"/>
    <w:rsid w:val="00ED6022"/>
    <w:rsid w:val="00ED7BB6"/>
    <w:rsid w:val="00ED7BC5"/>
    <w:rsid w:val="00EE2D75"/>
    <w:rsid w:val="00EE35BB"/>
    <w:rsid w:val="00EE4BF8"/>
    <w:rsid w:val="00EE739D"/>
    <w:rsid w:val="00EF15F7"/>
    <w:rsid w:val="00EF1EE8"/>
    <w:rsid w:val="00EF2A76"/>
    <w:rsid w:val="00EF526B"/>
    <w:rsid w:val="00EF63BE"/>
    <w:rsid w:val="00EF69B2"/>
    <w:rsid w:val="00F02711"/>
    <w:rsid w:val="00F02993"/>
    <w:rsid w:val="00F02BCC"/>
    <w:rsid w:val="00F02E13"/>
    <w:rsid w:val="00F05511"/>
    <w:rsid w:val="00F10F95"/>
    <w:rsid w:val="00F11A57"/>
    <w:rsid w:val="00F172D2"/>
    <w:rsid w:val="00F22FFD"/>
    <w:rsid w:val="00F242C4"/>
    <w:rsid w:val="00F24D84"/>
    <w:rsid w:val="00F31A34"/>
    <w:rsid w:val="00F336D9"/>
    <w:rsid w:val="00F355CF"/>
    <w:rsid w:val="00F37063"/>
    <w:rsid w:val="00F374EB"/>
    <w:rsid w:val="00F41F12"/>
    <w:rsid w:val="00F511C0"/>
    <w:rsid w:val="00F63C00"/>
    <w:rsid w:val="00F719EC"/>
    <w:rsid w:val="00F736DB"/>
    <w:rsid w:val="00F7591B"/>
    <w:rsid w:val="00F76ECD"/>
    <w:rsid w:val="00F849AD"/>
    <w:rsid w:val="00F85143"/>
    <w:rsid w:val="00F85F25"/>
    <w:rsid w:val="00F86BD5"/>
    <w:rsid w:val="00F91AA5"/>
    <w:rsid w:val="00F92D2D"/>
    <w:rsid w:val="00F9606B"/>
    <w:rsid w:val="00F96711"/>
    <w:rsid w:val="00F973E0"/>
    <w:rsid w:val="00FA152A"/>
    <w:rsid w:val="00FA65D1"/>
    <w:rsid w:val="00FA6761"/>
    <w:rsid w:val="00FA7324"/>
    <w:rsid w:val="00FB0DA9"/>
    <w:rsid w:val="00FB1906"/>
    <w:rsid w:val="00FB2AD9"/>
    <w:rsid w:val="00FB7B9C"/>
    <w:rsid w:val="00FC1284"/>
    <w:rsid w:val="00FD119D"/>
    <w:rsid w:val="00FD6632"/>
    <w:rsid w:val="00FD6C79"/>
    <w:rsid w:val="00FE0174"/>
    <w:rsid w:val="00FE262A"/>
    <w:rsid w:val="00FE36CF"/>
    <w:rsid w:val="00FE3A0D"/>
    <w:rsid w:val="00FF3AA5"/>
    <w:rsid w:val="00FF4830"/>
    <w:rsid w:val="00FF4FE1"/>
    <w:rsid w:val="00FF5C10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oNotEmbedSmartTags/>
  <w:decimalSymbol w:val="."/>
  <w:listSeparator w:val=","/>
  <w14:docId w14:val="1CB16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31DC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2531DC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2531D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2531DC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383C26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531DC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2531DC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2531DC"/>
  </w:style>
  <w:style w:type="character" w:customStyle="1" w:styleId="CharAmSchText">
    <w:name w:val="CharAmSchText"/>
    <w:basedOn w:val="OPCCharBase"/>
    <w:uiPriority w:val="1"/>
    <w:qFormat/>
    <w:rsid w:val="002531DC"/>
  </w:style>
  <w:style w:type="character" w:customStyle="1" w:styleId="CharChapNo">
    <w:name w:val="CharChapNo"/>
    <w:basedOn w:val="OPCCharBase"/>
    <w:qFormat/>
    <w:rsid w:val="002531DC"/>
  </w:style>
  <w:style w:type="character" w:customStyle="1" w:styleId="CharChapText">
    <w:name w:val="CharChapText"/>
    <w:basedOn w:val="OPCCharBase"/>
    <w:qFormat/>
    <w:rsid w:val="002531DC"/>
  </w:style>
  <w:style w:type="character" w:customStyle="1" w:styleId="CharDivNo">
    <w:name w:val="CharDivNo"/>
    <w:basedOn w:val="OPCCharBase"/>
    <w:qFormat/>
    <w:rsid w:val="002531DC"/>
  </w:style>
  <w:style w:type="character" w:customStyle="1" w:styleId="CharDivText">
    <w:name w:val="CharDivText"/>
    <w:basedOn w:val="OPCCharBase"/>
    <w:qFormat/>
    <w:rsid w:val="002531DC"/>
  </w:style>
  <w:style w:type="character" w:customStyle="1" w:styleId="CharPartNo">
    <w:name w:val="CharPartNo"/>
    <w:basedOn w:val="OPCCharBase"/>
    <w:qFormat/>
    <w:rsid w:val="002531DC"/>
  </w:style>
  <w:style w:type="character" w:customStyle="1" w:styleId="CharPartText">
    <w:name w:val="CharPartText"/>
    <w:basedOn w:val="OPCCharBase"/>
    <w:qFormat/>
    <w:rsid w:val="002531DC"/>
  </w:style>
  <w:style w:type="character" w:customStyle="1" w:styleId="OPCCharBase">
    <w:name w:val="OPCCharBase"/>
    <w:uiPriority w:val="1"/>
    <w:qFormat/>
    <w:rsid w:val="002531DC"/>
  </w:style>
  <w:style w:type="paragraph" w:customStyle="1" w:styleId="OPCParaBase">
    <w:name w:val="OPCParaBase"/>
    <w:qFormat/>
    <w:rsid w:val="002531DC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2531DC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2531DC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2531DC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2531D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2531D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31D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2531D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2531D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531D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531D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2531D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531D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531D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2531D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2531D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531D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2531D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31D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531D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31D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31D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31D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31D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31DC"/>
  </w:style>
  <w:style w:type="paragraph" w:customStyle="1" w:styleId="Blocks">
    <w:name w:val="Blocks"/>
    <w:aliases w:val="bb"/>
    <w:basedOn w:val="OPCParaBase"/>
    <w:qFormat/>
    <w:rsid w:val="002531D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31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31D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31DC"/>
    <w:rPr>
      <w:i/>
    </w:rPr>
  </w:style>
  <w:style w:type="paragraph" w:customStyle="1" w:styleId="BoxList">
    <w:name w:val="BoxList"/>
    <w:aliases w:val="bl"/>
    <w:basedOn w:val="BoxText"/>
    <w:qFormat/>
    <w:rsid w:val="002531D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31D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31D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31D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531DC"/>
  </w:style>
  <w:style w:type="character" w:customStyle="1" w:styleId="CharAmPartText">
    <w:name w:val="CharAmPartText"/>
    <w:basedOn w:val="OPCCharBase"/>
    <w:uiPriority w:val="1"/>
    <w:qFormat/>
    <w:rsid w:val="002531DC"/>
  </w:style>
  <w:style w:type="character" w:customStyle="1" w:styleId="CharBoldItalic">
    <w:name w:val="CharBoldItalic"/>
    <w:basedOn w:val="OPCCharBase"/>
    <w:uiPriority w:val="1"/>
    <w:qFormat/>
    <w:rsid w:val="002531DC"/>
    <w:rPr>
      <w:b/>
      <w:i/>
    </w:rPr>
  </w:style>
  <w:style w:type="character" w:customStyle="1" w:styleId="CharItalic">
    <w:name w:val="CharItalic"/>
    <w:basedOn w:val="OPCCharBase"/>
    <w:uiPriority w:val="1"/>
    <w:qFormat/>
    <w:rsid w:val="002531DC"/>
    <w:rPr>
      <w:i/>
    </w:rPr>
  </w:style>
  <w:style w:type="character" w:customStyle="1" w:styleId="CharSubdNo">
    <w:name w:val="CharSubdNo"/>
    <w:basedOn w:val="OPCCharBase"/>
    <w:uiPriority w:val="1"/>
    <w:qFormat/>
    <w:rsid w:val="002531DC"/>
  </w:style>
  <w:style w:type="character" w:customStyle="1" w:styleId="CharSubdText">
    <w:name w:val="CharSubdText"/>
    <w:basedOn w:val="OPCCharBase"/>
    <w:uiPriority w:val="1"/>
    <w:qFormat/>
    <w:rsid w:val="002531DC"/>
  </w:style>
  <w:style w:type="paragraph" w:customStyle="1" w:styleId="CTA--">
    <w:name w:val="CTA --"/>
    <w:basedOn w:val="OPCParaBase"/>
    <w:next w:val="Normal"/>
    <w:rsid w:val="002531D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31D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31D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31D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31D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31D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31D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31D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31D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31D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31D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31D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31D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31D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531D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31DC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2531DC"/>
    <w:rPr>
      <w:sz w:val="16"/>
    </w:rPr>
  </w:style>
  <w:style w:type="paragraph" w:customStyle="1" w:styleId="House">
    <w:name w:val="House"/>
    <w:basedOn w:val="OPCParaBase"/>
    <w:rsid w:val="002531D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31D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31D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31D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31D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31D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2531DC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31D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2531DC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2531DC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2531D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31D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31D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31DC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2531D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31D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31D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31D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31D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31D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31D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31D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31D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31D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31D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31D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31D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31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31DC"/>
    <w:pPr>
      <w:numPr>
        <w:numId w:val="15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31D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31DC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2531D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31D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31D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31D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31DC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383C26"/>
    <w:pPr>
      <w:numPr>
        <w:numId w:val="17"/>
      </w:numPr>
    </w:pPr>
  </w:style>
  <w:style w:type="paragraph" w:customStyle="1" w:styleId="noteToPara">
    <w:name w:val="noteToPara"/>
    <w:aliases w:val="ntp"/>
    <w:basedOn w:val="OPCParaBase"/>
    <w:rsid w:val="002531DC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531DC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31D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2531DC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2531DC"/>
    <w:tblPr/>
  </w:style>
  <w:style w:type="paragraph" w:customStyle="1" w:styleId="SubPartCASA">
    <w:name w:val="SubPart(CASA)"/>
    <w:aliases w:val="csp"/>
    <w:basedOn w:val="OPCParaBase"/>
    <w:next w:val="ActHead3"/>
    <w:rsid w:val="002531DC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2531DC"/>
    <w:pPr>
      <w:spacing w:before="120"/>
    </w:pPr>
  </w:style>
  <w:style w:type="paragraph" w:customStyle="1" w:styleId="CompiledActNo">
    <w:name w:val="CompiledActNo"/>
    <w:basedOn w:val="OPCParaBase"/>
    <w:next w:val="Normal"/>
    <w:rsid w:val="002531D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531D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531D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531D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31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31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31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531D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531D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31D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31D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31D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31D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31D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31D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531D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31D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2531D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531D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531D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531D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531D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31DC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2531DC"/>
  </w:style>
  <w:style w:type="character" w:customStyle="1" w:styleId="CharSubPartNoCASA">
    <w:name w:val="CharSubPartNo(CASA)"/>
    <w:basedOn w:val="OPCCharBase"/>
    <w:uiPriority w:val="1"/>
    <w:rsid w:val="002531DC"/>
  </w:style>
  <w:style w:type="paragraph" w:customStyle="1" w:styleId="ENoteTTIndentHeadingSub">
    <w:name w:val="ENoteTTIndentHeadingSub"/>
    <w:aliases w:val="enTTHis"/>
    <w:basedOn w:val="OPCParaBase"/>
    <w:rsid w:val="002531D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31D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31D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31DC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31DC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2531DC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2531D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2531DC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383C26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531DC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2531DC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2531DC"/>
  </w:style>
  <w:style w:type="character" w:customStyle="1" w:styleId="CharAmSchText">
    <w:name w:val="CharAmSchText"/>
    <w:basedOn w:val="OPCCharBase"/>
    <w:uiPriority w:val="1"/>
    <w:qFormat/>
    <w:rsid w:val="002531DC"/>
  </w:style>
  <w:style w:type="character" w:customStyle="1" w:styleId="CharChapNo">
    <w:name w:val="CharChapNo"/>
    <w:basedOn w:val="OPCCharBase"/>
    <w:qFormat/>
    <w:rsid w:val="002531DC"/>
  </w:style>
  <w:style w:type="character" w:customStyle="1" w:styleId="CharChapText">
    <w:name w:val="CharChapText"/>
    <w:basedOn w:val="OPCCharBase"/>
    <w:qFormat/>
    <w:rsid w:val="002531DC"/>
  </w:style>
  <w:style w:type="character" w:customStyle="1" w:styleId="CharDivNo">
    <w:name w:val="CharDivNo"/>
    <w:basedOn w:val="OPCCharBase"/>
    <w:qFormat/>
    <w:rsid w:val="002531DC"/>
  </w:style>
  <w:style w:type="character" w:customStyle="1" w:styleId="CharDivText">
    <w:name w:val="CharDivText"/>
    <w:basedOn w:val="OPCCharBase"/>
    <w:qFormat/>
    <w:rsid w:val="002531DC"/>
  </w:style>
  <w:style w:type="character" w:customStyle="1" w:styleId="CharPartNo">
    <w:name w:val="CharPartNo"/>
    <w:basedOn w:val="OPCCharBase"/>
    <w:qFormat/>
    <w:rsid w:val="002531DC"/>
  </w:style>
  <w:style w:type="character" w:customStyle="1" w:styleId="CharPartText">
    <w:name w:val="CharPartText"/>
    <w:basedOn w:val="OPCCharBase"/>
    <w:qFormat/>
    <w:rsid w:val="002531DC"/>
  </w:style>
  <w:style w:type="character" w:customStyle="1" w:styleId="OPCCharBase">
    <w:name w:val="OPCCharBase"/>
    <w:uiPriority w:val="1"/>
    <w:qFormat/>
    <w:rsid w:val="002531DC"/>
  </w:style>
  <w:style w:type="paragraph" w:customStyle="1" w:styleId="OPCParaBase">
    <w:name w:val="OPCParaBase"/>
    <w:qFormat/>
    <w:rsid w:val="002531DC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2531DC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2531DC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2531DC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2531D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2531D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31D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2531D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2531D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531D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531D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2531D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531D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531D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2531D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2531D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531D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2531D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31D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531D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31D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31D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31D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31D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31DC"/>
  </w:style>
  <w:style w:type="paragraph" w:customStyle="1" w:styleId="Blocks">
    <w:name w:val="Blocks"/>
    <w:aliases w:val="bb"/>
    <w:basedOn w:val="OPCParaBase"/>
    <w:qFormat/>
    <w:rsid w:val="002531D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31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31D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31DC"/>
    <w:rPr>
      <w:i/>
    </w:rPr>
  </w:style>
  <w:style w:type="paragraph" w:customStyle="1" w:styleId="BoxList">
    <w:name w:val="BoxList"/>
    <w:aliases w:val="bl"/>
    <w:basedOn w:val="BoxText"/>
    <w:qFormat/>
    <w:rsid w:val="002531D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31D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31D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31D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531DC"/>
  </w:style>
  <w:style w:type="character" w:customStyle="1" w:styleId="CharAmPartText">
    <w:name w:val="CharAmPartText"/>
    <w:basedOn w:val="OPCCharBase"/>
    <w:uiPriority w:val="1"/>
    <w:qFormat/>
    <w:rsid w:val="002531DC"/>
  </w:style>
  <w:style w:type="character" w:customStyle="1" w:styleId="CharBoldItalic">
    <w:name w:val="CharBoldItalic"/>
    <w:basedOn w:val="OPCCharBase"/>
    <w:uiPriority w:val="1"/>
    <w:qFormat/>
    <w:rsid w:val="002531DC"/>
    <w:rPr>
      <w:b/>
      <w:i/>
    </w:rPr>
  </w:style>
  <w:style w:type="character" w:customStyle="1" w:styleId="CharItalic">
    <w:name w:val="CharItalic"/>
    <w:basedOn w:val="OPCCharBase"/>
    <w:uiPriority w:val="1"/>
    <w:qFormat/>
    <w:rsid w:val="002531DC"/>
    <w:rPr>
      <w:i/>
    </w:rPr>
  </w:style>
  <w:style w:type="character" w:customStyle="1" w:styleId="CharSubdNo">
    <w:name w:val="CharSubdNo"/>
    <w:basedOn w:val="OPCCharBase"/>
    <w:uiPriority w:val="1"/>
    <w:qFormat/>
    <w:rsid w:val="002531DC"/>
  </w:style>
  <w:style w:type="character" w:customStyle="1" w:styleId="CharSubdText">
    <w:name w:val="CharSubdText"/>
    <w:basedOn w:val="OPCCharBase"/>
    <w:uiPriority w:val="1"/>
    <w:qFormat/>
    <w:rsid w:val="002531DC"/>
  </w:style>
  <w:style w:type="paragraph" w:customStyle="1" w:styleId="CTA--">
    <w:name w:val="CTA --"/>
    <w:basedOn w:val="OPCParaBase"/>
    <w:next w:val="Normal"/>
    <w:rsid w:val="002531D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31D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31D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31D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31D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31D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31D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31D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31D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31D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31D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31D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31D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31D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531D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31DC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2531DC"/>
    <w:rPr>
      <w:sz w:val="16"/>
    </w:rPr>
  </w:style>
  <w:style w:type="paragraph" w:customStyle="1" w:styleId="House">
    <w:name w:val="House"/>
    <w:basedOn w:val="OPCParaBase"/>
    <w:rsid w:val="002531D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31D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31D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31D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31D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31D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2531DC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31D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2531DC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2531DC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2531D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31D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31D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31DC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2531D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31D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31D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31D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31D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31D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31D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31D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31D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31D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31D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31D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31D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31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31DC"/>
    <w:pPr>
      <w:numPr>
        <w:numId w:val="15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31D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31DC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2531D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31D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31D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31D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31DC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383C26"/>
    <w:pPr>
      <w:numPr>
        <w:numId w:val="17"/>
      </w:numPr>
    </w:pPr>
  </w:style>
  <w:style w:type="paragraph" w:customStyle="1" w:styleId="noteToPara">
    <w:name w:val="noteToPara"/>
    <w:aliases w:val="ntp"/>
    <w:basedOn w:val="OPCParaBase"/>
    <w:rsid w:val="002531DC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531DC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31D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2531DC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2531DC"/>
    <w:tblPr/>
  </w:style>
  <w:style w:type="paragraph" w:customStyle="1" w:styleId="SubPartCASA">
    <w:name w:val="SubPart(CASA)"/>
    <w:aliases w:val="csp"/>
    <w:basedOn w:val="OPCParaBase"/>
    <w:next w:val="ActHead3"/>
    <w:rsid w:val="002531DC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2531DC"/>
    <w:pPr>
      <w:spacing w:before="120"/>
    </w:pPr>
  </w:style>
  <w:style w:type="paragraph" w:customStyle="1" w:styleId="CompiledActNo">
    <w:name w:val="CompiledActNo"/>
    <w:basedOn w:val="OPCParaBase"/>
    <w:next w:val="Normal"/>
    <w:rsid w:val="002531D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531D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531D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531D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31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31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31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531D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531D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31D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31D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31D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31D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31D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31D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531D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31D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2531D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531D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531D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531D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531D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31DC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2531DC"/>
  </w:style>
  <w:style w:type="character" w:customStyle="1" w:styleId="CharSubPartNoCASA">
    <w:name w:val="CharSubPartNo(CASA)"/>
    <w:basedOn w:val="OPCCharBase"/>
    <w:uiPriority w:val="1"/>
    <w:rsid w:val="002531DC"/>
  </w:style>
  <w:style w:type="paragraph" w:customStyle="1" w:styleId="ENoteTTIndentHeadingSub">
    <w:name w:val="ENoteTTIndentHeadingSub"/>
    <w:aliases w:val="enTTHis"/>
    <w:basedOn w:val="OPCParaBase"/>
    <w:rsid w:val="002531D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31D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31D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31DC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wmf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empt xmlns="http://schemas.microsoft.com/sharepoint/v3" xsi:nil="true"/>
    <IconOverlay xmlns="http://schemas.microsoft.com/sharepoint/v4" xsi:nil="true"/>
    <_dlc_DocId xmlns="9f7bc583-7cbe-45b9-a2bd-8bbb6543b37e">2016RG-111-6041</_dlc_DocId>
    <_dlc_DocIdUrl xmlns="9f7bc583-7cbe-45b9-a2bd-8bbb6543b37e">
      <Url>http://tweb/sites/rg/ldp/lmu/_layouts/15/DocIdRedir.aspx?ID=2016RG-111-6041</Url>
      <Description>2016RG-111-6041</Description>
    </_dlc_DocIdUrl>
    <TaxCatchAll xmlns="9f7bc583-7cbe-45b9-a2bd-8bbb6543b37e">
      <Value>11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PersistId xmlns="9f7bc583-7cbe-45b9-a2bd-8bbb6543b37e" xsi:nil="true"/>
  </documentManagement>
</p:properti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" ma:contentTypeDescription=" " ma:contentTypeScope="" ma:versionID="2f82e768917558b38d6a066df92e37a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9696f4c68aa35501a27f4d80b4bc0411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6F67-3FA8-487A-8367-310D67259B4C}"/>
</file>

<file path=customXml/itemProps2.xml><?xml version="1.0" encoding="utf-8"?>
<ds:datastoreItem xmlns:ds="http://schemas.openxmlformats.org/officeDocument/2006/customXml" ds:itemID="{FEAC7F7B-DCC7-4AA8-9819-F2383A6F00D4}"/>
</file>

<file path=customXml/itemProps3.xml><?xml version="1.0" encoding="utf-8"?>
<ds:datastoreItem xmlns:ds="http://schemas.openxmlformats.org/officeDocument/2006/customXml" ds:itemID="{9288C8D4-E04A-4E5E-A779-2FF36EF5980E}"/>
</file>

<file path=customXml/itemProps4.xml><?xml version="1.0" encoding="utf-8"?>
<ds:datastoreItem xmlns:ds="http://schemas.openxmlformats.org/officeDocument/2006/customXml" ds:itemID="{4BE80CEB-1FA7-47B3-B76A-5C2D54B70345}"/>
</file>

<file path=customXml/itemProps5.xml><?xml version="1.0" encoding="utf-8"?>
<ds:datastoreItem xmlns:ds="http://schemas.openxmlformats.org/officeDocument/2006/customXml" ds:itemID="{5486B18B-724E-45AC-BD46-876A6C5B1E3D}"/>
</file>

<file path=customXml/itemProps6.xml><?xml version="1.0" encoding="utf-8"?>
<ds:datastoreItem xmlns:ds="http://schemas.openxmlformats.org/officeDocument/2006/customXml" ds:itemID="{FADAA7F6-88DF-4E2D-BBF2-CDB35BFC6852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1090</Words>
  <Characters>6213</Characters>
  <Application>Microsoft Office Word</Application>
  <DocSecurity>0</DocSecurity>
  <PresentationFormat/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 [SEC=UNCLASSIFIED]</cp:keywords>
  <cp:lastModifiedBy/>
  <cp:revision>1</cp:revision>
  <cp:lastPrinted>2012-06-25T06:49:00Z</cp:lastPrinted>
  <dcterms:created xsi:type="dcterms:W3CDTF">2016-06-15T00:22:00Z</dcterms:created>
  <dcterms:modified xsi:type="dcterms:W3CDTF">2016-07-01T03:28:00Z</dcterms:modified>
  <cp:category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NewReviewCycle">
    <vt:lpwstr/>
  </property>
  <property fmtid="{D5CDD505-2E9C-101B-9397-08002B2CF9AE}" pid="4" name="Final">
    <vt:bool>true</vt:bool>
  </property>
  <property fmtid="{D5CDD505-2E9C-101B-9397-08002B2CF9AE}" pid="5" name="Converted">
    <vt:bool>true</vt:bool>
  </property>
  <property fmtid="{D5CDD505-2E9C-101B-9397-08002B2CF9AE}" pid="6" name="Classification">
    <vt:lpwstr> </vt:lpwstr>
  </property>
  <property fmtid="{D5CDD505-2E9C-101B-9397-08002B2CF9AE}" pid="7" name="Header">
    <vt:lpwstr>Section</vt:lpwstr>
  </property>
  <property fmtid="{D5CDD505-2E9C-101B-9397-08002B2CF9AE}" pid="8" name="ActNo">
    <vt:lpwstr/>
  </property>
  <property fmtid="{D5CDD505-2E9C-101B-9397-08002B2CF9AE}" pid="9" name="ShortT">
    <vt:lpwstr>Authorised Deposit_x001e_taking Institutions Supervisory Levy Imposition Determination 2013</vt:lpwstr>
  </property>
  <property fmtid="{D5CDD505-2E9C-101B-9397-08002B2CF9AE}" pid="10" name="Class">
    <vt:lpwstr>Determination</vt:lpwstr>
  </property>
  <property fmtid="{D5CDD505-2E9C-101B-9397-08002B2CF9AE}" pid="11" name="Type">
    <vt:lpwstr>LI</vt:lpwstr>
  </property>
  <property fmtid="{D5CDD505-2E9C-101B-9397-08002B2CF9AE}" pid="12" name="DocType">
    <vt:lpwstr>NEW</vt:lpwstr>
  </property>
  <property fmtid="{D5CDD505-2E9C-101B-9397-08002B2CF9AE}" pid="13" name="Exco">
    <vt:lpwstr>No</vt:lpwstr>
  </property>
  <property fmtid="{D5CDD505-2E9C-101B-9397-08002B2CF9AE}" pid="14" name="Authority">
    <vt:lpwstr/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ID">
    <vt:lpwstr>OPC60122</vt:lpwstr>
  </property>
  <property fmtid="{D5CDD505-2E9C-101B-9397-08002B2CF9AE}" pid="18" name="CounterSign">
    <vt:lpwstr/>
  </property>
  <property fmtid="{D5CDD505-2E9C-101B-9397-08002B2CF9AE}" pid="19" name="DateMade">
    <vt:lpwstr> 24 June 2013</vt:lpwstr>
  </property>
  <property fmtid="{D5CDD505-2E9C-101B-9397-08002B2CF9AE}" pid="20" name="ContentTypeId">
    <vt:lpwstr>0x01010036BB8DE7EC542E42A8B2E98CC20CB69700D5C18F41BA18FB44827A222ACD6776F5</vt:lpwstr>
  </property>
  <property fmtid="{D5CDD505-2E9C-101B-9397-08002B2CF9AE}" pid="21" name="_dlc_DocIdItemGuid">
    <vt:lpwstr>7320397b-543c-42e5-82e9-5d0c121d82c2</vt:lpwstr>
  </property>
  <property fmtid="{D5CDD505-2E9C-101B-9397-08002B2CF9AE}" pid="22" name="AlternateThumbnailUrl">
    <vt:lpwstr/>
  </property>
  <property fmtid="{D5CDD505-2E9C-101B-9397-08002B2CF9AE}" pid="23" name="xd_ProgID">
    <vt:lpwstr/>
  </property>
  <property fmtid="{D5CDD505-2E9C-101B-9397-08002B2CF9AE}" pid="24" name="TemplateUrl">
    <vt:lpwstr/>
  </property>
  <property fmtid="{D5CDD505-2E9C-101B-9397-08002B2CF9AE}" pid="25" name="Comments">
    <vt:lpwstr/>
  </property>
  <property fmtid="{D5CDD505-2E9C-101B-9397-08002B2CF9AE}" pid="26" name="TSYRecordClass">
    <vt:lpwstr>11;#TSY RA-9237 - Destroy 5 years after action completed|9f1a030e-81bf-44c5-98eb-4d5d869a40d5</vt:lpwstr>
  </property>
  <property fmtid="{D5CDD505-2E9C-101B-9397-08002B2CF9AE}" pid="27" name="RecordPoint_WorkflowType">
    <vt:lpwstr>ActiveSubmitStub</vt:lpwstr>
  </property>
  <property fmtid="{D5CDD505-2E9C-101B-9397-08002B2CF9AE}" pid="28" name="RecordPoint_ActiveItemWebId">
    <vt:lpwstr>{2602612e-a30f-4de0-b9eb-e01e73dc8005}</vt:lpwstr>
  </property>
  <property fmtid="{D5CDD505-2E9C-101B-9397-08002B2CF9AE}" pid="29" name="RecordPoint_ActiveItemSiteId">
    <vt:lpwstr>{5b52b9a5-e5b2-4521-8814-a1e24ca2869d}</vt:lpwstr>
  </property>
  <property fmtid="{D5CDD505-2E9C-101B-9397-08002B2CF9AE}" pid="30" name="RecordPoint_ActiveItemListId">
    <vt:lpwstr>{1a010be9-83b3-4740-abb7-452f2d1120fe}</vt:lpwstr>
  </property>
  <property fmtid="{D5CDD505-2E9C-101B-9397-08002B2CF9AE}" pid="31" name="RecordPoint_ActiveItemUniqueId">
    <vt:lpwstr>{7320397b-543c-42e5-82e9-5d0c121d82c2}</vt:lpwstr>
  </property>
  <property fmtid="{D5CDD505-2E9C-101B-9397-08002B2CF9AE}" pid="32" name="RecordPoint_SubmissionCompleted">
    <vt:lpwstr>2016-07-01T13:29:54.1791713+10:00</vt:lpwstr>
  </property>
  <property fmtid="{D5CDD505-2E9C-101B-9397-08002B2CF9AE}" pid="33" name="PM_Hash_Salt_Prev">
    <vt:lpwstr>AD076E7A3987D86FD6DACF2A268BBB81</vt:lpwstr>
  </property>
  <property fmtid="{D5CDD505-2E9C-101B-9397-08002B2CF9AE}" pid="34" name="PM_DisplayValueSecClassificationWithQualifier">
    <vt:lpwstr>UNCLASSIFIED</vt:lpwstr>
  </property>
  <property fmtid="{D5CDD505-2E9C-101B-9397-08002B2CF9AE}" pid="35" name="PM_SecurityClassification">
    <vt:lpwstr>UNCLASSIFIED</vt:lpwstr>
  </property>
  <property fmtid="{D5CDD505-2E9C-101B-9397-08002B2CF9AE}" pid="36" name="PM_Qualifier">
    <vt:lpwstr/>
  </property>
  <property fmtid="{D5CDD505-2E9C-101B-9397-08002B2CF9AE}" pid="37" name="PM_InsertionValue">
    <vt:lpwstr>UNCLASSIFIED</vt:lpwstr>
  </property>
  <property fmtid="{D5CDD505-2E9C-101B-9397-08002B2CF9AE}" pid="38" name="PM_Originator_Hash_SHA1">
    <vt:lpwstr>0A73976060A63D226AC79CDA795AAFFC1AACCD08</vt:lpwstr>
  </property>
  <property fmtid="{D5CDD505-2E9C-101B-9397-08002B2CF9AE}" pid="39" name="PM_Hash_Version">
    <vt:lpwstr>2014.2</vt:lpwstr>
  </property>
  <property fmtid="{D5CDD505-2E9C-101B-9397-08002B2CF9AE}" pid="40" name="PM_Hash_Salt">
    <vt:lpwstr>BEC6BF8616DC193F831F8697B34C82B3</vt:lpwstr>
  </property>
  <property fmtid="{D5CDD505-2E9C-101B-9397-08002B2CF9AE}" pid="41" name="PM_Hash_SHA1">
    <vt:lpwstr>E98180B7BA318107854226814B107321F8757CBF</vt:lpwstr>
  </property>
  <property fmtid="{D5CDD505-2E9C-101B-9397-08002B2CF9AE}" pid="42" name="PM_Caveats_Count">
    <vt:lpwstr>0</vt:lpwstr>
  </property>
  <property fmtid="{D5CDD505-2E9C-101B-9397-08002B2CF9AE}" pid="43" name="PM_Qualifier_Prev">
    <vt:lpwstr/>
  </property>
  <property fmtid="{D5CDD505-2E9C-101B-9397-08002B2CF9AE}" pid="44" name="PM_SecurityClassification_Prev">
    <vt:lpwstr>UNCLASSIFIED</vt:lpwstr>
  </property>
  <property fmtid="{D5CDD505-2E9C-101B-9397-08002B2CF9AE}" pid="45" name="_AdHocReviewCycleID">
    <vt:i4>208712925</vt:i4>
  </property>
  <property fmtid="{D5CDD505-2E9C-101B-9397-08002B2CF9AE}" pid="46" name="RecordPoint_SubmissionDate">
    <vt:lpwstr/>
  </property>
  <property fmtid="{D5CDD505-2E9C-101B-9397-08002B2CF9AE}" pid="47" name="RecordPoint_RecordNumberSubmitted">
    <vt:lpwstr>R0001040359</vt:lpwstr>
  </property>
  <property fmtid="{D5CDD505-2E9C-101B-9397-08002B2CF9AE}" pid="48" name="RecordPoint_ActiveItemMoved">
    <vt:lpwstr/>
  </property>
  <property fmtid="{D5CDD505-2E9C-101B-9397-08002B2CF9AE}" pid="49" name="RecordPoint_RecordFormat">
    <vt:lpwstr/>
  </property>
  <property fmtid="{D5CDD505-2E9C-101B-9397-08002B2CF9AE}" pid="50" name="_ReviewingToolsShownOnce">
    <vt:lpwstr/>
  </property>
</Properties>
</file>