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5DB93" w14:textId="77777777" w:rsidR="00F109D4" w:rsidRPr="00647BB7" w:rsidRDefault="00F109D4" w:rsidP="00647BB7">
      <w:pPr>
        <w:pStyle w:val="Heading1"/>
        <w:spacing w:after="360"/>
        <w:rPr>
          <w:rFonts w:ascii="Times New Roman" w:hAnsi="Times New Roman"/>
          <w:u w:val="none"/>
        </w:rPr>
      </w:pPr>
      <w:r w:rsidRPr="00647BB7">
        <w:rPr>
          <w:rFonts w:ascii="Times New Roman" w:hAnsi="Times New Roman"/>
          <w:u w:val="none"/>
        </w:rPr>
        <w:t>EXPLANATORY STATEMENT</w:t>
      </w:r>
    </w:p>
    <w:p w14:paraId="42511CF1" w14:textId="1A51DFFD" w:rsidR="007662C7" w:rsidRPr="007662C7" w:rsidRDefault="00F109D4" w:rsidP="007662C7">
      <w:pPr>
        <w:pStyle w:val="Heading2"/>
        <w:spacing w:before="0" w:after="240"/>
        <w:jc w:val="center"/>
        <w:rPr>
          <w:b w:val="0"/>
          <w:i/>
          <w:color w:val="FF0000"/>
        </w:rPr>
      </w:pPr>
      <w:r w:rsidRPr="00503E44">
        <w:t xml:space="preserve">Issued by authority of the </w:t>
      </w:r>
      <w:r w:rsidR="000960B3">
        <w:t>Treasurer</w:t>
      </w:r>
      <w:r w:rsidR="007662C7">
        <w:rPr>
          <w:u w:val="none"/>
        </w:rPr>
        <w:t xml:space="preserve">                                          </w:t>
      </w:r>
    </w:p>
    <w:p w14:paraId="4FA08C0D" w14:textId="3F88EF4A" w:rsidR="00833A06" w:rsidRDefault="000960B3" w:rsidP="00833A06">
      <w:pPr>
        <w:spacing w:before="0" w:after="240"/>
        <w:jc w:val="center"/>
        <w:rPr>
          <w:i/>
        </w:rPr>
      </w:pPr>
      <w:r>
        <w:rPr>
          <w:i/>
        </w:rPr>
        <w:t>Federal Financial Relations Act 2009</w:t>
      </w:r>
    </w:p>
    <w:p w14:paraId="7817AE5C" w14:textId="339902E6" w:rsidR="00833A06" w:rsidRDefault="001008EF" w:rsidP="00833A06">
      <w:pPr>
        <w:spacing w:before="0" w:after="240"/>
        <w:jc w:val="center"/>
        <w:rPr>
          <w:i/>
        </w:rPr>
      </w:pPr>
      <w:r>
        <w:rPr>
          <w:i/>
        </w:rPr>
        <w:t xml:space="preserve">Federal Financial Relations </w:t>
      </w:r>
      <w:r w:rsidR="00833A06" w:rsidRPr="00E6714D">
        <w:rPr>
          <w:i/>
        </w:rPr>
        <w:t>(</w:t>
      </w:r>
      <w:r w:rsidR="00833A06">
        <w:rPr>
          <w:i/>
        </w:rPr>
        <w:t>National Partnership payme</w:t>
      </w:r>
      <w:r w:rsidR="006124A5">
        <w:rPr>
          <w:i/>
        </w:rPr>
        <w:t>nts) Determination No. 10</w:t>
      </w:r>
      <w:r w:rsidR="007D5A40">
        <w:rPr>
          <w:i/>
        </w:rPr>
        <w:t>4</w:t>
      </w:r>
      <w:r w:rsidR="00A20AA3">
        <w:rPr>
          <w:i/>
        </w:rPr>
        <w:t xml:space="preserve"> (</w:t>
      </w:r>
      <w:r w:rsidR="007D5A40">
        <w:rPr>
          <w:i/>
        </w:rPr>
        <w:t>March</w:t>
      </w:r>
      <w:bookmarkStart w:id="0" w:name="_GoBack"/>
      <w:bookmarkEnd w:id="0"/>
      <w:r w:rsidR="00833A06">
        <w:rPr>
          <w:i/>
        </w:rPr>
        <w:t xml:space="preserve"> 2016)</w:t>
      </w:r>
    </w:p>
    <w:p w14:paraId="75D0B3FC" w14:textId="2277106E" w:rsidR="001008EF" w:rsidRPr="00306581" w:rsidRDefault="001008EF" w:rsidP="001008EF">
      <w:r>
        <w:t xml:space="preserve">The </w:t>
      </w:r>
      <w:r>
        <w:rPr>
          <w:i/>
        </w:rPr>
        <w:t>Intergovernmental Agreement on Federal Financial Relations</w:t>
      </w:r>
      <w:r w:rsidRPr="00306581">
        <w:t xml:space="preserve"> </w:t>
      </w:r>
      <w:r>
        <w:t xml:space="preserve">(the IGA) </w:t>
      </w:r>
      <w:r w:rsidRPr="00306581">
        <w:t>provides a robust foundation for collaboration on policy development and service delivery</w:t>
      </w:r>
      <w:r>
        <w:t xml:space="preserve"> between the Commonwealth and the States and Territories (the States)</w:t>
      </w:r>
      <w:r w:rsidRPr="00306581">
        <w:t>, and facilitates the implementation of economic and social reforms in areas of national importance.</w:t>
      </w:r>
    </w:p>
    <w:p w14:paraId="6295CB6C" w14:textId="77777777" w:rsidR="001008EF" w:rsidRPr="00306581" w:rsidRDefault="001008EF" w:rsidP="001008EF">
      <w:r w:rsidRPr="00306581">
        <w:t xml:space="preserve">In agreeing the new framework for federal financial relations, the Commonwealth </w:t>
      </w:r>
      <w:r>
        <w:t>committed to</w:t>
      </w:r>
      <w:r w:rsidRPr="00306581">
        <w:t xml:space="preserve"> the provision of on</w:t>
      </w:r>
      <w:r w:rsidRPr="00306581">
        <w:noBreakHyphen/>
        <w:t>going financial support for the States’ service delivery efforts through:</w:t>
      </w:r>
    </w:p>
    <w:p w14:paraId="27A9D842" w14:textId="77777777" w:rsidR="001008EF" w:rsidRPr="00306581" w:rsidRDefault="001008EF" w:rsidP="001008EF">
      <w:pPr>
        <w:pStyle w:val="Bullet"/>
        <w:numPr>
          <w:ilvl w:val="0"/>
          <w:numId w:val="6"/>
        </w:numPr>
        <w:spacing w:before="0" w:after="240"/>
      </w:pPr>
      <w:r w:rsidRPr="00306581">
        <w:t xml:space="preserve">general </w:t>
      </w:r>
      <w:r>
        <w:t>purpose financial assistance</w:t>
      </w:r>
      <w:r w:rsidRPr="00306581">
        <w:t>, including the on</w:t>
      </w:r>
      <w:r w:rsidRPr="00306581">
        <w:noBreakHyphen/>
        <w:t xml:space="preserve">going provision of GST payments, to be used by the States for any purpose; </w:t>
      </w:r>
    </w:p>
    <w:p w14:paraId="39DA36A4" w14:textId="77777777" w:rsidR="001008EF" w:rsidRPr="00306581" w:rsidRDefault="001008EF" w:rsidP="001008EF">
      <w:pPr>
        <w:pStyle w:val="Bullet"/>
        <w:numPr>
          <w:ilvl w:val="0"/>
          <w:numId w:val="6"/>
        </w:numPr>
        <w:spacing w:before="0" w:after="240"/>
      </w:pPr>
      <w:r w:rsidRPr="00306581">
        <w:t>National Specific Purpose Payments (National SPPs) to be spent in the key service delivery sectors; and</w:t>
      </w:r>
    </w:p>
    <w:p w14:paraId="036F032E" w14:textId="77777777" w:rsidR="001008EF" w:rsidRPr="00306581" w:rsidRDefault="001008EF" w:rsidP="001008EF">
      <w:pPr>
        <w:pStyle w:val="Bullet"/>
        <w:numPr>
          <w:ilvl w:val="0"/>
          <w:numId w:val="6"/>
        </w:numPr>
        <w:spacing w:before="0" w:after="240"/>
      </w:pPr>
      <w:r w:rsidRPr="00306581">
        <w:t>National Partnership payments to support the delivery of specified outputs or projects, to facilitate reforms or to reward jurisdictions that deliver on nationally significant reforms.</w:t>
      </w:r>
    </w:p>
    <w:p w14:paraId="54D9A7C5" w14:textId="555150CE" w:rsidR="001008EF" w:rsidRPr="00E25042" w:rsidRDefault="001008EF" w:rsidP="001008EF">
      <w:pPr>
        <w:rPr>
          <w:i/>
        </w:rPr>
      </w:pPr>
      <w:r w:rsidRPr="00306581">
        <w:t>The federal financial framework commenced on 1 January 2009.</w:t>
      </w:r>
      <w:r>
        <w:t xml:space="preserve">  The payment provisions of the IGA are </w:t>
      </w:r>
      <w:r w:rsidR="00F65379">
        <w:t>provided by Section 16 of</w:t>
      </w:r>
      <w:r>
        <w:t xml:space="preserve"> the </w:t>
      </w:r>
      <w:r>
        <w:rPr>
          <w:i/>
        </w:rPr>
        <w:t>Federal Financial Relations Act 2009</w:t>
      </w:r>
      <w:r w:rsidR="00F65379">
        <w:rPr>
          <w:i/>
        </w:rPr>
        <w:t xml:space="preserve"> </w:t>
      </w:r>
      <w:r w:rsidR="00F65379" w:rsidRPr="00F65379">
        <w:t xml:space="preserve">(the </w:t>
      </w:r>
      <w:r w:rsidR="00DE2B2E">
        <w:t xml:space="preserve">FFR </w:t>
      </w:r>
      <w:r w:rsidR="00F65379" w:rsidRPr="00F65379">
        <w:t>Act)</w:t>
      </w:r>
      <w:r w:rsidRPr="00F65379">
        <w:t>.</w:t>
      </w:r>
    </w:p>
    <w:p w14:paraId="3D0602EA" w14:textId="77777777" w:rsidR="001008EF" w:rsidRPr="00306581" w:rsidRDefault="001008EF" w:rsidP="001008EF">
      <w:pPr>
        <w:rPr>
          <w:b/>
        </w:rPr>
      </w:pPr>
      <w:bookmarkStart w:id="1" w:name="OLE_LINK9"/>
      <w:bookmarkStart w:id="2" w:name="OLE_LINK10"/>
      <w:r>
        <w:rPr>
          <w:b/>
        </w:rPr>
        <w:t>National Partnership payments</w:t>
      </w:r>
      <w:bookmarkEnd w:id="1"/>
      <w:bookmarkEnd w:id="2"/>
    </w:p>
    <w:p w14:paraId="2AAA9663" w14:textId="52B220E6" w:rsidR="001008EF" w:rsidRPr="00306581" w:rsidRDefault="001008EF" w:rsidP="001008EF">
      <w:r w:rsidRPr="00306581">
        <w:t>The</w:t>
      </w:r>
      <w:r w:rsidR="00DE2B2E">
        <w:t xml:space="preserve"> FFR Act</w:t>
      </w:r>
      <w:r w:rsidRPr="00306581">
        <w:t xml:space="preserve"> provide</w:t>
      </w:r>
      <w:r>
        <w:t>s</w:t>
      </w:r>
      <w:r w:rsidRPr="00306581">
        <w:t xml:space="preserve"> for the Minister to credit amounts to the COAG Reform Fund for the purpose of providing financial assistance to the States in the form of </w:t>
      </w:r>
      <w:r w:rsidRPr="00DA0A28">
        <w:t>National Partnership payments</w:t>
      </w:r>
      <w:r w:rsidRPr="00306581">
        <w:t>.</w:t>
      </w:r>
      <w:r>
        <w:t xml:space="preserve">  </w:t>
      </w:r>
      <w:r w:rsidRPr="00306581">
        <w:t>The</w:t>
      </w:r>
      <w:r>
        <w:rPr>
          <w:i/>
        </w:rPr>
        <w:t xml:space="preserve"> COAG Reform Fund Act </w:t>
      </w:r>
      <w:r w:rsidRPr="00306581">
        <w:rPr>
          <w:i/>
        </w:rPr>
        <w:t xml:space="preserve">2008 </w:t>
      </w:r>
      <w:r w:rsidRPr="00306581">
        <w:t xml:space="preserve">established the COAG Reform Fund and specifies that it is a Special Account for the purposes of the </w:t>
      </w:r>
      <w:r w:rsidRPr="001008EF">
        <w:rPr>
          <w:i/>
        </w:rPr>
        <w:t>Public Governance, Performance and Accountability Act 2013</w:t>
      </w:r>
      <w:r w:rsidRPr="00306581">
        <w:t>.</w:t>
      </w:r>
    </w:p>
    <w:p w14:paraId="6D582376" w14:textId="3FB54B28" w:rsidR="001008EF" w:rsidRPr="00306581" w:rsidRDefault="001008EF" w:rsidP="001008EF">
      <w:pPr>
        <w:tabs>
          <w:tab w:val="num" w:pos="1984"/>
        </w:tabs>
      </w:pPr>
      <w:bookmarkStart w:id="3" w:name="OLE_LINK17"/>
      <w:bookmarkStart w:id="4" w:name="OLE_LINK5"/>
      <w:bookmarkStart w:id="5" w:name="OLE_LINK6"/>
      <w:r w:rsidRPr="00306581">
        <w:t xml:space="preserve">To improve transparency, the Minister’s determinations </w:t>
      </w:r>
      <w:r>
        <w:t xml:space="preserve">in respect of </w:t>
      </w:r>
      <w:r w:rsidRPr="00DA0A28">
        <w:t>National Partnership payments</w:t>
      </w:r>
      <w:r>
        <w:t xml:space="preserve"> </w:t>
      </w:r>
      <w:r w:rsidRPr="00306581">
        <w:t xml:space="preserve">are legislative instruments and will be registered on the Federal Register of </w:t>
      </w:r>
      <w:bookmarkEnd w:id="3"/>
      <w:r>
        <w:t>Legislation</w:t>
      </w:r>
      <w:r w:rsidRPr="00306581">
        <w:t>, but will not be disallowable.</w:t>
      </w:r>
    </w:p>
    <w:p w14:paraId="69555B5A" w14:textId="77777777" w:rsidR="001008EF" w:rsidRPr="00306581" w:rsidRDefault="001008EF" w:rsidP="001008EF">
      <w:pPr>
        <w:pStyle w:val="Bullet"/>
        <w:numPr>
          <w:ilvl w:val="0"/>
          <w:numId w:val="6"/>
        </w:numPr>
        <w:spacing w:before="0" w:after="240"/>
      </w:pPr>
      <w:r>
        <w:t>This clarifies that d</w:t>
      </w:r>
      <w:r w:rsidRPr="00306581">
        <w:t xml:space="preserve">eterminations made by the Minister under subsection 9(1) would not otherwise be legislative instruments within the meaning of section 5 of the </w:t>
      </w:r>
      <w:r w:rsidRPr="00306581">
        <w:rPr>
          <w:i/>
        </w:rPr>
        <w:t>Legislative Instruments Act 2003</w:t>
      </w:r>
      <w:r w:rsidRPr="00306581">
        <w:t>.</w:t>
      </w:r>
      <w:bookmarkEnd w:id="4"/>
      <w:bookmarkEnd w:id="5"/>
      <w:r w:rsidRPr="00306581">
        <w:t xml:space="preserve">  </w:t>
      </w:r>
    </w:p>
    <w:p w14:paraId="0A9E84B5" w14:textId="77777777" w:rsidR="001008EF" w:rsidRPr="00306581" w:rsidRDefault="001008EF" w:rsidP="001008EF">
      <w:pPr>
        <w:pStyle w:val="Bullet"/>
        <w:numPr>
          <w:ilvl w:val="0"/>
          <w:numId w:val="6"/>
        </w:numPr>
        <w:spacing w:before="0" w:after="240"/>
      </w:pPr>
      <w:r w:rsidRPr="00306581">
        <w:t xml:space="preserve">The Minister has an obligation under the </w:t>
      </w:r>
      <w:r>
        <w:t>IGA</w:t>
      </w:r>
      <w:r w:rsidRPr="00306581">
        <w:t xml:space="preserve"> to make </w:t>
      </w:r>
      <w:r w:rsidRPr="00DA0A28">
        <w:t>National Partnership payments</w:t>
      </w:r>
      <w:r w:rsidRPr="00306581">
        <w:t xml:space="preserve"> in a prescribed manner.  Exemption from the disallowance provisions </w:t>
      </w:r>
      <w:r>
        <w:t>allows</w:t>
      </w:r>
      <w:r w:rsidRPr="00306581">
        <w:t xml:space="preserve"> the Minister to meet this obligation.  </w:t>
      </w:r>
    </w:p>
    <w:p w14:paraId="1898D6DA" w14:textId="77777777" w:rsidR="00506D46" w:rsidRDefault="00506D46" w:rsidP="001008EF">
      <w:pPr>
        <w:rPr>
          <w:b/>
        </w:rPr>
      </w:pPr>
    </w:p>
    <w:p w14:paraId="7E55D4A3" w14:textId="77777777" w:rsidR="001008EF" w:rsidRPr="00CB6D90" w:rsidRDefault="001008EF" w:rsidP="001008EF">
      <w:pPr>
        <w:rPr>
          <w:b/>
        </w:rPr>
      </w:pPr>
      <w:r w:rsidRPr="00CB6D90">
        <w:rPr>
          <w:b/>
        </w:rPr>
        <w:lastRenderedPageBreak/>
        <w:t>Consultation</w:t>
      </w:r>
    </w:p>
    <w:p w14:paraId="428593B4" w14:textId="7B524E1D" w:rsidR="001008EF" w:rsidRPr="00106A46" w:rsidRDefault="001008EF" w:rsidP="001008EF">
      <w:pPr>
        <w:tabs>
          <w:tab w:val="num" w:pos="1984"/>
        </w:tabs>
      </w:pPr>
      <w:r w:rsidRPr="00E970EA">
        <w:t>The IGA was subject to extensive consultation with the States and was</w:t>
      </w:r>
      <w:r w:rsidR="00A1730F">
        <w:t xml:space="preserve"> agreed by COAG on 29 November 2008</w:t>
      </w:r>
      <w:r w:rsidRPr="00E970EA">
        <w:t>.  The IGA is publicly available on the Council for Federal Financial Relations</w:t>
      </w:r>
      <w:r w:rsidRPr="00CB6D90">
        <w:t xml:space="preserve"> </w:t>
      </w:r>
      <w:r w:rsidRPr="00E970EA">
        <w:t xml:space="preserve">website.  </w:t>
      </w:r>
      <w:r>
        <w:t>There is also extensive c</w:t>
      </w:r>
      <w:r w:rsidRPr="00E970EA">
        <w:t xml:space="preserve">onsultation with the States on National </w:t>
      </w:r>
      <w:r>
        <w:t>Partnership payments</w:t>
      </w:r>
      <w:r w:rsidRPr="00E970EA">
        <w:t xml:space="preserve"> </w:t>
      </w:r>
      <w:r>
        <w:t>as they are also required to sign relevant</w:t>
      </w:r>
      <w:r w:rsidR="00124122">
        <w:t xml:space="preserve"> National Partnership</w:t>
      </w:r>
      <w:r w:rsidR="00DE2B2E">
        <w:t>s</w:t>
      </w:r>
      <w:r>
        <w:t xml:space="preserve">. </w:t>
      </w:r>
    </w:p>
    <w:p w14:paraId="19802BEC" w14:textId="77777777" w:rsidR="001008EF" w:rsidRDefault="001008EF" w:rsidP="001008EF">
      <w:pPr>
        <w:pStyle w:val="Heading4"/>
        <w:rPr>
          <w:snapToGrid w:val="0"/>
          <w:lang w:eastAsia="en-US"/>
        </w:rPr>
      </w:pPr>
      <w:r>
        <w:rPr>
          <w:snapToGrid w:val="0"/>
          <w:lang w:eastAsia="en-US"/>
        </w:rPr>
        <w:t>Statement of Compatibility with Human Rights</w:t>
      </w:r>
    </w:p>
    <w:p w14:paraId="6521B3CE" w14:textId="77777777" w:rsidR="001008EF" w:rsidRPr="00C72954" w:rsidRDefault="001008EF" w:rsidP="001008EF">
      <w:pPr>
        <w:rPr>
          <w:lang w:eastAsia="en-US"/>
        </w:rPr>
      </w:pPr>
      <w:r w:rsidRPr="00E4438C">
        <w:rPr>
          <w:i/>
        </w:rPr>
        <w:t>Prepared in accordance with Part 3 of the Human Rights (Parliamentary Scrutiny) Act 2011</w:t>
      </w:r>
    </w:p>
    <w:p w14:paraId="58FBD315" w14:textId="75358079" w:rsidR="001008EF" w:rsidRDefault="001008EF" w:rsidP="001008EF">
      <w:r>
        <w:t xml:space="preserve">It is difficult to assess the human rights compatibility of either the determination or the making of National Partnership payments as the amounts paid to each </w:t>
      </w:r>
      <w:r>
        <w:rPr>
          <w:color w:val="1F497D"/>
        </w:rPr>
        <w:t>s</w:t>
      </w:r>
      <w:r>
        <w:t>tate vary each month, since individual States meet varying milestones and benchmarks under different National Partnership</w:t>
      </w:r>
      <w:r w:rsidR="00DE2B2E">
        <w:t>s</w:t>
      </w:r>
      <w:r>
        <w:t>. However, in general, National Partnership</w:t>
      </w:r>
      <w:r w:rsidR="00DE2B2E">
        <w:t>s</w:t>
      </w:r>
      <w:r>
        <w:t xml:space="preserve"> will promote multiple human rights by facilitating the provision of additional funding to the States to support service delivery in a range of areas. As such, neither this determination nor the making of National Partnership payments could be said to have a detrimental impact on any human rights.</w:t>
      </w:r>
    </w:p>
    <w:p w14:paraId="4FDDA006" w14:textId="77777777" w:rsidR="001008EF" w:rsidRDefault="001008EF" w:rsidP="001008EF">
      <w:pPr>
        <w:pStyle w:val="Heading4"/>
        <w:rPr>
          <w:snapToGrid w:val="0"/>
          <w:lang w:eastAsia="en-US"/>
        </w:rPr>
      </w:pPr>
      <w:r>
        <w:rPr>
          <w:snapToGrid w:val="0"/>
          <w:lang w:eastAsia="en-US"/>
        </w:rPr>
        <w:t>Commencement</w:t>
      </w:r>
    </w:p>
    <w:p w14:paraId="0450E664" w14:textId="77777777" w:rsidR="001008EF" w:rsidRPr="00670997" w:rsidRDefault="001008EF" w:rsidP="001008EF">
      <w:pPr>
        <w:tabs>
          <w:tab w:val="left" w:pos="2880"/>
          <w:tab w:val="right" w:pos="8640"/>
        </w:tabs>
        <w:spacing w:after="0"/>
        <w:rPr>
          <w:snapToGrid w:val="0"/>
          <w:lang w:eastAsia="en-US"/>
        </w:rPr>
      </w:pPr>
      <w:r>
        <w:rPr>
          <w:snapToGrid w:val="0"/>
          <w:lang w:eastAsia="en-US"/>
        </w:rPr>
        <w:t>The determination commences</w:t>
      </w:r>
      <w:r w:rsidRPr="001E6B5B">
        <w:rPr>
          <w:snapToGrid w:val="0"/>
          <w:lang w:eastAsia="en-US"/>
        </w:rPr>
        <w:t xml:space="preserve"> on </w:t>
      </w:r>
      <w:r>
        <w:rPr>
          <w:snapToGrid w:val="0"/>
          <w:lang w:eastAsia="en-US"/>
        </w:rPr>
        <w:t>the day it was made</w:t>
      </w:r>
      <w:r w:rsidRPr="001E6B5B">
        <w:rPr>
          <w:snapToGrid w:val="0"/>
          <w:lang w:eastAsia="en-US"/>
        </w:rPr>
        <w:t>.</w:t>
      </w:r>
    </w:p>
    <w:p w14:paraId="5E775E79" w14:textId="2DD93017" w:rsidR="009143A0" w:rsidRDefault="009143A0" w:rsidP="00E907DD">
      <w:pPr>
        <w:spacing w:before="240"/>
      </w:pPr>
    </w:p>
    <w:sectPr w:rsidR="009143A0" w:rsidSect="00392BBA">
      <w:footerReference w:type="defaul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82025" w14:textId="77777777" w:rsidR="00954679" w:rsidRDefault="00954679" w:rsidP="00954679">
      <w:pPr>
        <w:spacing w:before="0" w:after="0"/>
      </w:pPr>
      <w:r>
        <w:separator/>
      </w:r>
    </w:p>
  </w:endnote>
  <w:endnote w:type="continuationSeparator" w:id="0">
    <w:p w14:paraId="54F78AA1" w14:textId="77777777" w:rsidR="00954679" w:rsidRDefault="00954679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CB0FDF2" w14:textId="3410CDCF" w:rsidR="00954679" w:rsidRDefault="00954679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D5A40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D5A40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4DC04608" w14:textId="77777777" w:rsidR="00954679" w:rsidRDefault="00954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A024F" w14:textId="77777777" w:rsidR="00954679" w:rsidRDefault="00954679" w:rsidP="00954679">
      <w:pPr>
        <w:spacing w:before="0" w:after="0"/>
      </w:pPr>
      <w:r>
        <w:separator/>
      </w:r>
    </w:p>
  </w:footnote>
  <w:footnote w:type="continuationSeparator" w:id="0">
    <w:p w14:paraId="01159392" w14:textId="77777777" w:rsidR="00954679" w:rsidRDefault="00954679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3">
    <w:nsid w:val="3C414067"/>
    <w:multiLevelType w:val="multilevel"/>
    <w:tmpl w:val="B1A8176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5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79"/>
    <w:rsid w:val="00016EA2"/>
    <w:rsid w:val="00095211"/>
    <w:rsid w:val="000960B3"/>
    <w:rsid w:val="000C10DF"/>
    <w:rsid w:val="000E791A"/>
    <w:rsid w:val="001008EF"/>
    <w:rsid w:val="00113B45"/>
    <w:rsid w:val="00124122"/>
    <w:rsid w:val="001623CE"/>
    <w:rsid w:val="001B0661"/>
    <w:rsid w:val="001E6A74"/>
    <w:rsid w:val="001F41D0"/>
    <w:rsid w:val="00220F16"/>
    <w:rsid w:val="00254C5B"/>
    <w:rsid w:val="0027779C"/>
    <w:rsid w:val="002C32AA"/>
    <w:rsid w:val="003342CD"/>
    <w:rsid w:val="00335042"/>
    <w:rsid w:val="00362B70"/>
    <w:rsid w:val="00392BBA"/>
    <w:rsid w:val="003954FD"/>
    <w:rsid w:val="00462095"/>
    <w:rsid w:val="004B3C0F"/>
    <w:rsid w:val="004C05E4"/>
    <w:rsid w:val="004E39E1"/>
    <w:rsid w:val="004E75E3"/>
    <w:rsid w:val="00503E44"/>
    <w:rsid w:val="00506D46"/>
    <w:rsid w:val="00515283"/>
    <w:rsid w:val="00533926"/>
    <w:rsid w:val="0055675D"/>
    <w:rsid w:val="005833BE"/>
    <w:rsid w:val="00591156"/>
    <w:rsid w:val="005D7D5A"/>
    <w:rsid w:val="005E4BAC"/>
    <w:rsid w:val="0060130D"/>
    <w:rsid w:val="006124A5"/>
    <w:rsid w:val="0064129F"/>
    <w:rsid w:val="00647BB7"/>
    <w:rsid w:val="00681F99"/>
    <w:rsid w:val="006A0786"/>
    <w:rsid w:val="006D7902"/>
    <w:rsid w:val="00730561"/>
    <w:rsid w:val="007326B1"/>
    <w:rsid w:val="00732716"/>
    <w:rsid w:val="00736F61"/>
    <w:rsid w:val="007662C7"/>
    <w:rsid w:val="007B1F10"/>
    <w:rsid w:val="007D5A40"/>
    <w:rsid w:val="007E018D"/>
    <w:rsid w:val="007F1B71"/>
    <w:rsid w:val="00807E7D"/>
    <w:rsid w:val="00831675"/>
    <w:rsid w:val="00833A06"/>
    <w:rsid w:val="0088467C"/>
    <w:rsid w:val="00894579"/>
    <w:rsid w:val="008A5B67"/>
    <w:rsid w:val="008B6CC4"/>
    <w:rsid w:val="008C092A"/>
    <w:rsid w:val="008D16F7"/>
    <w:rsid w:val="009143A0"/>
    <w:rsid w:val="009324EE"/>
    <w:rsid w:val="00954679"/>
    <w:rsid w:val="009E2F86"/>
    <w:rsid w:val="00A12209"/>
    <w:rsid w:val="00A1730F"/>
    <w:rsid w:val="00A20AA3"/>
    <w:rsid w:val="00A36DF3"/>
    <w:rsid w:val="00A532DD"/>
    <w:rsid w:val="00A80BCF"/>
    <w:rsid w:val="00A8369C"/>
    <w:rsid w:val="00A843AA"/>
    <w:rsid w:val="00AA1689"/>
    <w:rsid w:val="00AC1D15"/>
    <w:rsid w:val="00AD6FA4"/>
    <w:rsid w:val="00B07B0C"/>
    <w:rsid w:val="00B25563"/>
    <w:rsid w:val="00B26D48"/>
    <w:rsid w:val="00B42EE1"/>
    <w:rsid w:val="00B92478"/>
    <w:rsid w:val="00BD61A2"/>
    <w:rsid w:val="00BE484D"/>
    <w:rsid w:val="00C20566"/>
    <w:rsid w:val="00C37E05"/>
    <w:rsid w:val="00C55D29"/>
    <w:rsid w:val="00C7511F"/>
    <w:rsid w:val="00CA0BE9"/>
    <w:rsid w:val="00CA138D"/>
    <w:rsid w:val="00CB1D71"/>
    <w:rsid w:val="00CC1976"/>
    <w:rsid w:val="00CC7641"/>
    <w:rsid w:val="00CE1517"/>
    <w:rsid w:val="00CF5C40"/>
    <w:rsid w:val="00D13794"/>
    <w:rsid w:val="00D24052"/>
    <w:rsid w:val="00D31575"/>
    <w:rsid w:val="00D34626"/>
    <w:rsid w:val="00D4257A"/>
    <w:rsid w:val="00D62665"/>
    <w:rsid w:val="00DC0CDE"/>
    <w:rsid w:val="00DC4D72"/>
    <w:rsid w:val="00DE2B2E"/>
    <w:rsid w:val="00E0624D"/>
    <w:rsid w:val="00E4438C"/>
    <w:rsid w:val="00E457F3"/>
    <w:rsid w:val="00E907DD"/>
    <w:rsid w:val="00EB7E71"/>
    <w:rsid w:val="00EF23A6"/>
    <w:rsid w:val="00EF3B9F"/>
    <w:rsid w:val="00F109D4"/>
    <w:rsid w:val="00F47585"/>
    <w:rsid w:val="00F65379"/>
    <w:rsid w:val="00FA4807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40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EF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paragraph" w:customStyle="1" w:styleId="AlphaParagraph">
    <w:name w:val="Alpha Paragraph"/>
    <w:basedOn w:val="Normal"/>
    <w:rsid w:val="000960B3"/>
    <w:pPr>
      <w:numPr>
        <w:numId w:val="4"/>
      </w:numPr>
      <w:spacing w:before="0" w:after="240" w:line="260" w:lineRule="exact"/>
      <w:jc w:val="both"/>
    </w:pPr>
    <w:rPr>
      <w:color w:val="000000"/>
    </w:rPr>
  </w:style>
  <w:style w:type="paragraph" w:customStyle="1" w:styleId="NumberedParagraph">
    <w:name w:val="Numbered Paragraph"/>
    <w:basedOn w:val="Normal"/>
    <w:rsid w:val="001623CE"/>
    <w:pPr>
      <w:numPr>
        <w:numId w:val="5"/>
      </w:numPr>
      <w:spacing w:before="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EF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paragraph" w:customStyle="1" w:styleId="AlphaParagraph">
    <w:name w:val="Alpha Paragraph"/>
    <w:basedOn w:val="Normal"/>
    <w:rsid w:val="000960B3"/>
    <w:pPr>
      <w:numPr>
        <w:numId w:val="4"/>
      </w:numPr>
      <w:spacing w:before="0" w:after="240" w:line="260" w:lineRule="exact"/>
      <w:jc w:val="both"/>
    </w:pPr>
    <w:rPr>
      <w:color w:val="000000"/>
    </w:rPr>
  </w:style>
  <w:style w:type="paragraph" w:customStyle="1" w:styleId="NumberedParagraph">
    <w:name w:val="Numbered Paragraph"/>
    <w:basedOn w:val="Normal"/>
    <w:rsid w:val="001623CE"/>
    <w:pPr>
      <w:numPr>
        <w:numId w:val="5"/>
      </w:numPr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22</Value>
    </TaxCatchAll>
    <_dlc_DocId xmlns="9f7bc583-7cbe-45b9-a2bd-8bbb6543b37e">2016RG-111-6117</_dlc_DocId>
    <_dlc_DocIdUrl xmlns="9f7bc583-7cbe-45b9-a2bd-8bbb6543b37e">
      <Url>http://tweb/sites/rg/ldp/lmu/_layouts/15/DocIdRedir.aspx?ID=2016RG-111-6117</Url>
      <Description>2016RG-111-6117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bb330c83-4366-417f-afba-a14519698ff5" ContentTypeId="0x010100E726210826AA43828690450C811EB923009CA11FFD1E014DF4B1FA162D0F61129800536EFC5E36A043E99FB960C1AA37427A" PreviousValue="false"/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FE986-CC89-4CB4-91DD-9E291440DB5D}"/>
</file>

<file path=customXml/itemProps2.xml><?xml version="1.0" encoding="utf-8"?>
<ds:datastoreItem xmlns:ds="http://schemas.openxmlformats.org/officeDocument/2006/customXml" ds:itemID="{46278533-3486-40E5-9013-DD26FD164D39}"/>
</file>

<file path=customXml/itemProps3.xml><?xml version="1.0" encoding="utf-8"?>
<ds:datastoreItem xmlns:ds="http://schemas.openxmlformats.org/officeDocument/2006/customXml" ds:itemID="{913DBB64-B9F4-45EE-BF0D-C504CEAEBAB3}"/>
</file>

<file path=customXml/itemProps4.xml><?xml version="1.0" encoding="utf-8"?>
<ds:datastoreItem xmlns:ds="http://schemas.openxmlformats.org/officeDocument/2006/customXml" ds:itemID="{0A0007E5-413C-4298-A667-3904FEF38A79}"/>
</file>

<file path=customXml/itemProps5.xml><?xml version="1.0" encoding="utf-8"?>
<ds:datastoreItem xmlns:ds="http://schemas.openxmlformats.org/officeDocument/2006/customXml" ds:itemID="{2DF4A445-8E03-43D6-B46D-BA68CDEC88DC}"/>
</file>

<file path=customXml/itemProps6.xml><?xml version="1.0" encoding="utf-8"?>
<ds:datastoreItem xmlns:ds="http://schemas.openxmlformats.org/officeDocument/2006/customXml" ds:itemID="{DE44E31A-4997-4BFA-839C-A111B8C0BACC}"/>
</file>

<file path=customXml/itemProps7.xml><?xml version="1.0" encoding="utf-8"?>
<ds:datastoreItem xmlns:ds="http://schemas.openxmlformats.org/officeDocument/2006/customXml" ds:itemID="{7FE07210-1BFA-44C2-84D3-51F405546273}"/>
</file>

<file path=docProps/app.xml><?xml version="1.0" encoding="utf-8"?>
<Properties xmlns="http://schemas.openxmlformats.org/officeDocument/2006/extended-properties" xmlns:vt="http://schemas.openxmlformats.org/officeDocument/2006/docPropsVTypes">
  <Template>ExCo-Explanatory Statement.dotm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Cowie, Vhairi</dc:creator>
  <cp:lastModifiedBy>Spencer, David</cp:lastModifiedBy>
  <cp:revision>3</cp:revision>
  <cp:lastPrinted>2016-06-15T23:01:00Z</cp:lastPrinted>
  <dcterms:created xsi:type="dcterms:W3CDTF">2016-07-07T04:26:00Z</dcterms:created>
  <dcterms:modified xsi:type="dcterms:W3CDTF">2016-07-07T04:26:00Z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1320679756</vt:i4>
  </property>
  <property fmtid="{D5CDD505-2E9C-101B-9397-08002B2CF9AE}" pid="3" name="_NewReviewCycle">
    <vt:lpwstr/>
  </property>
  <property fmtid="{D5CDD505-2E9C-101B-9397-08002B2CF9AE}" pid="4" name="_EmailSubject">
    <vt:lpwstr>Subordinate Legislation Explanatory Statement template</vt:lpwstr>
  </property>
  <property fmtid="{D5CDD505-2E9C-101B-9397-08002B2CF9AE}" pid="5" name="_AuthorEmail">
    <vt:lpwstr>Vhairi.Cowie@TREASURY.GOV.AU</vt:lpwstr>
  </property>
  <property fmtid="{D5CDD505-2E9C-101B-9397-08002B2CF9AE}" pid="6" name="_AuthorEmailDisplayName">
    <vt:lpwstr>Cowie, Vhairi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5a38dba0-4ae3-48db-a05f-767bafff8880</vt:lpwstr>
  </property>
  <property fmtid="{D5CDD505-2E9C-101B-9397-08002B2CF9AE}" pid="10" name="_PreviousAdHocReviewCycleID">
    <vt:i4>-2136863723</vt:i4>
  </property>
  <property fmtid="{D5CDD505-2E9C-101B-9397-08002B2CF9AE}" pid="11" name="_ReviewingToolsShownOnce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{5a38dba0-4ae3-48db-a05f-767bafff8880}</vt:lpwstr>
  </property>
  <property fmtid="{D5CDD505-2E9C-101B-9397-08002B2CF9AE}" pid="14" name="RecordPoint_SubmissionCompleted">
    <vt:lpwstr>2016-07-18T13:44:11.2579962+10:00</vt:lpwstr>
  </property>
  <property fmtid="{D5CDD505-2E9C-101B-9397-08002B2CF9AE}" pid="15" name="RecordPoint_ActiveItemListId">
    <vt:lpwstr>{1a010be9-83b3-4740-abb7-452f2d1120fe}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SubmissionDate">
    <vt:lpwstr/>
  </property>
  <property fmtid="{D5CDD505-2E9C-101B-9397-08002B2CF9AE}" pid="19" name="RecordPoint_RecordNumberSubmitted">
    <vt:lpwstr>R0001052490</vt:lpwstr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