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8" w:type="dxa"/>
          <w:left w:w="57" w:type="dxa"/>
          <w:bottom w:w="28" w:type="dxa"/>
          <w:right w:w="57" w:type="dxa"/>
        </w:tblCellMar>
        <w:tblLook w:val="01E0" w:firstRow="1" w:lastRow="1" w:firstColumn="1" w:lastColumn="1" w:noHBand="0" w:noVBand="0"/>
      </w:tblPr>
      <w:tblGrid>
        <w:gridCol w:w="4309"/>
        <w:gridCol w:w="4309"/>
      </w:tblGrid>
      <w:tr w:rsidR="006D7368" w:rsidRPr="00247BCE" w14:paraId="224B9DD9" w14:textId="77777777" w:rsidTr="00353981">
        <w:tc>
          <w:tcPr>
            <w:tcW w:w="8618" w:type="dxa"/>
            <w:gridSpan w:val="2"/>
            <w:tcBorders>
              <w:bottom w:val="single" w:sz="4" w:space="0" w:color="auto"/>
            </w:tcBorders>
          </w:tcPr>
          <w:p w14:paraId="7C1DE79E" w14:textId="301007B7" w:rsidR="00B74438" w:rsidRPr="00247BCE" w:rsidRDefault="00B74438" w:rsidP="00A0023E">
            <w:pPr>
              <w:pStyle w:val="Heading1"/>
              <w:spacing w:after="60"/>
            </w:pPr>
            <w:r w:rsidRPr="00B74438">
              <w:t>Federal Financial Relations (</w:t>
            </w:r>
            <w:r w:rsidR="00EA67BF">
              <w:t>National Partnership Payments</w:t>
            </w:r>
            <w:r w:rsidR="00A3055C">
              <w:t xml:space="preserve">) </w:t>
            </w:r>
            <w:r w:rsidR="00A3055C" w:rsidRPr="003D6D53">
              <w:t>Determination</w:t>
            </w:r>
            <w:r w:rsidR="00A42696" w:rsidRPr="003D6D53">
              <w:t xml:space="preserve"> </w:t>
            </w:r>
            <w:r w:rsidRPr="003D6D53">
              <w:t>No</w:t>
            </w:r>
            <w:r w:rsidRPr="00C00725">
              <w:t>.</w:t>
            </w:r>
            <w:r w:rsidR="00180744" w:rsidRPr="00C00725">
              <w:t xml:space="preserve"> </w:t>
            </w:r>
            <w:r w:rsidR="006971A4">
              <w:t>10</w:t>
            </w:r>
            <w:r w:rsidR="00A0023E">
              <w:t>4</w:t>
            </w:r>
            <w:r w:rsidRPr="003D6D53">
              <w:t xml:space="preserve"> (</w:t>
            </w:r>
            <w:r w:rsidR="00A0023E">
              <w:t>March</w:t>
            </w:r>
            <w:r w:rsidR="00C93372">
              <w:t xml:space="preserve"> 2016</w:t>
            </w:r>
            <w:r w:rsidRPr="003D6D53">
              <w:t>)</w:t>
            </w:r>
          </w:p>
        </w:tc>
      </w:tr>
      <w:tr w:rsidR="00C1403E" w:rsidRPr="00247BCE" w14:paraId="1702E402" w14:textId="77777777" w:rsidTr="00353981">
        <w:tc>
          <w:tcPr>
            <w:tcW w:w="8618" w:type="dxa"/>
            <w:gridSpan w:val="2"/>
          </w:tcPr>
          <w:p w14:paraId="49F354A4" w14:textId="103FE443" w:rsidR="00C1403E" w:rsidRPr="00353981" w:rsidRDefault="00B74438" w:rsidP="00C00725">
            <w:pPr>
              <w:pStyle w:val="SingleParagraph"/>
              <w:spacing w:before="240"/>
              <w:rPr>
                <w:sz w:val="22"/>
              </w:rPr>
            </w:pPr>
            <w:r w:rsidRPr="00353981">
              <w:rPr>
                <w:sz w:val="22"/>
              </w:rPr>
              <w:t xml:space="preserve">I, </w:t>
            </w:r>
            <w:r w:rsidR="00C00725">
              <w:rPr>
                <w:sz w:val="22"/>
              </w:rPr>
              <w:t>SCOTT JOHN MORRISON</w:t>
            </w:r>
            <w:r w:rsidRPr="00353981">
              <w:rPr>
                <w:sz w:val="22"/>
              </w:rPr>
              <w:t xml:space="preserve">, </w:t>
            </w:r>
            <w:r w:rsidR="00A42696">
              <w:rPr>
                <w:sz w:val="22"/>
              </w:rPr>
              <w:t>Treasurer</w:t>
            </w:r>
            <w:r w:rsidRPr="00353981">
              <w:rPr>
                <w:sz w:val="22"/>
              </w:rPr>
              <w:t xml:space="preserve">, make this Determination under </w:t>
            </w:r>
            <w:r w:rsidR="00EA67BF" w:rsidRPr="00353981">
              <w:rPr>
                <w:sz w:val="22"/>
              </w:rPr>
              <w:t>s</w:t>
            </w:r>
            <w:r w:rsidRPr="00353981">
              <w:rPr>
                <w:sz w:val="22"/>
              </w:rPr>
              <w:t xml:space="preserve">ection </w:t>
            </w:r>
            <w:r w:rsidR="00EA67BF" w:rsidRPr="00353981">
              <w:rPr>
                <w:sz w:val="22"/>
              </w:rPr>
              <w:t>16</w:t>
            </w:r>
            <w:r w:rsidRPr="00353981">
              <w:rPr>
                <w:sz w:val="22"/>
              </w:rPr>
              <w:t xml:space="preserve"> of the </w:t>
            </w:r>
            <w:r w:rsidRPr="00353981">
              <w:rPr>
                <w:i/>
                <w:sz w:val="22"/>
              </w:rPr>
              <w:t>Federal Financial Relations Act 2009.</w:t>
            </w:r>
          </w:p>
        </w:tc>
      </w:tr>
      <w:tr w:rsidR="00D91105" w:rsidRPr="00247BCE" w14:paraId="2DF90E75" w14:textId="77777777" w:rsidTr="00353981">
        <w:trPr>
          <w:trHeight w:val="1046"/>
        </w:trPr>
        <w:tc>
          <w:tcPr>
            <w:tcW w:w="8618" w:type="dxa"/>
            <w:gridSpan w:val="2"/>
          </w:tcPr>
          <w:p w14:paraId="64F1DEB1" w14:textId="77777777" w:rsidR="00D91105" w:rsidRPr="00353981" w:rsidRDefault="00D91105" w:rsidP="006D7368">
            <w:pPr>
              <w:rPr>
                <w:sz w:val="22"/>
              </w:rPr>
            </w:pPr>
          </w:p>
        </w:tc>
      </w:tr>
      <w:tr w:rsidR="00D91105" w:rsidRPr="00247BCE" w14:paraId="7058300B" w14:textId="77777777" w:rsidTr="00353981">
        <w:tc>
          <w:tcPr>
            <w:tcW w:w="4309" w:type="dxa"/>
          </w:tcPr>
          <w:p w14:paraId="46AC7665" w14:textId="77777777" w:rsidR="00D91105" w:rsidRPr="00353981" w:rsidRDefault="00D91105" w:rsidP="00353981">
            <w:pPr>
              <w:pStyle w:val="SingleParagraph"/>
              <w:tabs>
                <w:tab w:val="left" w:pos="3960"/>
              </w:tabs>
              <w:spacing w:after="60"/>
              <w:rPr>
                <w:rFonts w:ascii="Times" w:hAnsi="Times"/>
                <w:sz w:val="22"/>
                <w:u w:val="dotted"/>
              </w:rPr>
            </w:pPr>
            <w:r w:rsidRPr="00353981">
              <w:rPr>
                <w:rFonts w:ascii="Times" w:hAnsi="Times"/>
                <w:sz w:val="22"/>
                <w:u w:val="dotted"/>
              </w:rPr>
              <w:tab/>
            </w:r>
          </w:p>
          <w:p w14:paraId="6146DD00" w14:textId="4CADCE78" w:rsidR="00D91105" w:rsidRPr="00353981" w:rsidRDefault="00C00725" w:rsidP="00353981">
            <w:pPr>
              <w:pStyle w:val="SingleParagraph"/>
              <w:tabs>
                <w:tab w:val="left" w:pos="3960"/>
              </w:tabs>
              <w:spacing w:after="60"/>
              <w:rPr>
                <w:rFonts w:ascii="Times" w:hAnsi="Times"/>
                <w:sz w:val="22"/>
                <w:u w:val="dotted"/>
              </w:rPr>
            </w:pPr>
            <w:r>
              <w:rPr>
                <w:sz w:val="22"/>
              </w:rPr>
              <w:t>SCOTT JOHN MORRISON</w:t>
            </w:r>
          </w:p>
        </w:tc>
        <w:tc>
          <w:tcPr>
            <w:tcW w:w="4309" w:type="dxa"/>
          </w:tcPr>
          <w:p w14:paraId="769940CF" w14:textId="1C5E02EB" w:rsidR="00D91105" w:rsidRPr="00353981" w:rsidRDefault="00D91105" w:rsidP="002A7640">
            <w:pPr>
              <w:spacing w:before="60"/>
              <w:rPr>
                <w:sz w:val="22"/>
              </w:rPr>
            </w:pPr>
            <w:r w:rsidRPr="00353981">
              <w:rPr>
                <w:sz w:val="22"/>
              </w:rPr>
              <w:br/>
              <w:t xml:space="preserve">Dated: </w:t>
            </w:r>
            <w:r w:rsidR="00537317">
              <w:rPr>
                <w:sz w:val="22"/>
              </w:rPr>
              <w:t xml:space="preserve"> </w:t>
            </w:r>
            <w:r w:rsidR="002A7640">
              <w:rPr>
                <w:sz w:val="22"/>
              </w:rPr>
              <w:t>3</w:t>
            </w:r>
            <w:bookmarkStart w:id="0" w:name="_GoBack"/>
            <w:bookmarkEnd w:id="0"/>
            <w:r w:rsidR="00101245">
              <w:rPr>
                <w:sz w:val="22"/>
              </w:rPr>
              <w:t xml:space="preserve"> </w:t>
            </w:r>
            <w:r w:rsidR="00A0023E">
              <w:rPr>
                <w:sz w:val="22"/>
              </w:rPr>
              <w:t>March</w:t>
            </w:r>
            <w:r w:rsidR="00362BEE">
              <w:rPr>
                <w:sz w:val="22"/>
              </w:rPr>
              <w:t xml:space="preserve"> 2016</w:t>
            </w:r>
          </w:p>
        </w:tc>
      </w:tr>
      <w:tr w:rsidR="00B74438" w:rsidRPr="00353981" w14:paraId="3CD532FB" w14:textId="77777777" w:rsidTr="00353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8" w:type="dxa"/>
            <w:gridSpan w:val="2"/>
            <w:tcBorders>
              <w:top w:val="single" w:sz="4" w:space="0" w:color="auto"/>
              <w:left w:val="nil"/>
              <w:bottom w:val="nil"/>
              <w:right w:val="nil"/>
            </w:tcBorders>
          </w:tcPr>
          <w:p w14:paraId="023816F4" w14:textId="77777777" w:rsidR="00B74438" w:rsidRPr="00353981" w:rsidRDefault="00B74438" w:rsidP="00680BA1">
            <w:pPr>
              <w:pStyle w:val="SingleParagraph"/>
              <w:rPr>
                <w:sz w:val="22"/>
              </w:rPr>
            </w:pPr>
          </w:p>
        </w:tc>
      </w:tr>
    </w:tbl>
    <w:p w14:paraId="5A11A4B2" w14:textId="77777777" w:rsidR="00A52150" w:rsidRDefault="00A52150" w:rsidP="00427A33">
      <w:pPr>
        <w:pStyle w:val="Heading2"/>
      </w:pPr>
      <w:r>
        <w:t>Part 1 — preliminar</w:t>
      </w:r>
      <w:r w:rsidR="008D2010">
        <w:t>y</w:t>
      </w:r>
    </w:p>
    <w:p w14:paraId="71E82584" w14:textId="77777777" w:rsidR="00A52150" w:rsidRDefault="00BE0CFC" w:rsidP="00427A33">
      <w:pPr>
        <w:pStyle w:val="Heading3"/>
      </w:pPr>
      <w:r>
        <w:t xml:space="preserve">Name of </w:t>
      </w:r>
      <w:r w:rsidR="001D3365">
        <w:t>Determination</w:t>
      </w:r>
    </w:p>
    <w:p w14:paraId="71F42586" w14:textId="3CB28505" w:rsidR="00A52150" w:rsidRPr="00A52150" w:rsidRDefault="00BE0CFC" w:rsidP="00E6714D">
      <w:pPr>
        <w:pStyle w:val="NumberedParagraph"/>
      </w:pPr>
      <w:r>
        <w:t xml:space="preserve">This </w:t>
      </w:r>
      <w:r w:rsidR="001D3365">
        <w:t xml:space="preserve">determination </w:t>
      </w:r>
      <w:r>
        <w:t xml:space="preserve">is the </w:t>
      </w:r>
      <w:r w:rsidRPr="00E6714D">
        <w:rPr>
          <w:i/>
        </w:rPr>
        <w:t>Federal Financial Relations (</w:t>
      </w:r>
      <w:r w:rsidR="00EA67BF">
        <w:rPr>
          <w:i/>
        </w:rPr>
        <w:t>National Partnership payments</w:t>
      </w:r>
      <w:r w:rsidR="00A3055C">
        <w:rPr>
          <w:i/>
        </w:rPr>
        <w:t xml:space="preserve">) Determination </w:t>
      </w:r>
      <w:r w:rsidR="00CC4FF6">
        <w:rPr>
          <w:i/>
        </w:rPr>
        <w:t>No.</w:t>
      </w:r>
      <w:r w:rsidR="00180744">
        <w:rPr>
          <w:i/>
        </w:rPr>
        <w:t xml:space="preserve"> </w:t>
      </w:r>
      <w:r w:rsidR="006971A4">
        <w:rPr>
          <w:i/>
        </w:rPr>
        <w:t>10</w:t>
      </w:r>
      <w:r w:rsidR="00A0023E">
        <w:rPr>
          <w:i/>
        </w:rPr>
        <w:t>4</w:t>
      </w:r>
      <w:r w:rsidR="00537317">
        <w:rPr>
          <w:i/>
        </w:rPr>
        <w:t xml:space="preserve"> </w:t>
      </w:r>
      <w:r w:rsidR="00CC4FF6">
        <w:rPr>
          <w:i/>
        </w:rPr>
        <w:t>(</w:t>
      </w:r>
      <w:r w:rsidR="00A0023E">
        <w:rPr>
          <w:i/>
        </w:rPr>
        <w:t>March</w:t>
      </w:r>
      <w:r w:rsidR="00362BEE">
        <w:rPr>
          <w:i/>
        </w:rPr>
        <w:t xml:space="preserve"> </w:t>
      </w:r>
      <w:r w:rsidR="00C93372">
        <w:rPr>
          <w:i/>
        </w:rPr>
        <w:t>2016</w:t>
      </w:r>
      <w:r w:rsidRPr="00E6714D">
        <w:rPr>
          <w:i/>
        </w:rPr>
        <w:t>).</w:t>
      </w:r>
    </w:p>
    <w:p w14:paraId="3E506729" w14:textId="77777777" w:rsidR="00BE0CFC" w:rsidRDefault="00BE0CFC" w:rsidP="00427A33">
      <w:pPr>
        <w:pStyle w:val="Heading3"/>
      </w:pPr>
      <w:r>
        <w:t>Commencement</w:t>
      </w:r>
    </w:p>
    <w:p w14:paraId="2D9275E0" w14:textId="77777777" w:rsidR="00A52150" w:rsidRPr="00BE0CFC" w:rsidRDefault="001D3365" w:rsidP="00E6714D">
      <w:pPr>
        <w:pStyle w:val="NumberedParagraph"/>
        <w:numPr>
          <w:ilvl w:val="0"/>
          <w:numId w:val="5"/>
        </w:numPr>
      </w:pPr>
      <w:r>
        <w:t xml:space="preserve">This determination commences on </w:t>
      </w:r>
      <w:r w:rsidR="00CC4FF6">
        <w:t>the da</w:t>
      </w:r>
      <w:r w:rsidR="006D078D">
        <w:t>y</w:t>
      </w:r>
      <w:r w:rsidR="00CC4FF6">
        <w:t xml:space="preserve"> </w:t>
      </w:r>
      <w:r w:rsidR="006D078D">
        <w:t xml:space="preserve">on which this </w:t>
      </w:r>
      <w:r w:rsidR="00CC4FF6">
        <w:t>determination</w:t>
      </w:r>
      <w:r w:rsidR="006D078D">
        <w:t xml:space="preserve"> is made</w:t>
      </w:r>
      <w:r w:rsidR="00BE0CFC">
        <w:rPr>
          <w:i/>
        </w:rPr>
        <w:t>.</w:t>
      </w:r>
    </w:p>
    <w:p w14:paraId="66C0CE04" w14:textId="77777777" w:rsidR="006B2BB6" w:rsidRDefault="006B2BB6" w:rsidP="00427A33">
      <w:pPr>
        <w:pStyle w:val="Heading3"/>
      </w:pPr>
      <w:r>
        <w:t>Definitions</w:t>
      </w:r>
    </w:p>
    <w:p w14:paraId="0DAC5FC6" w14:textId="77777777" w:rsidR="00CC4FF6" w:rsidRDefault="00CC4FF6" w:rsidP="00CC4FF6">
      <w:pPr>
        <w:pStyle w:val="NumberedParagraph"/>
      </w:pPr>
      <w:r>
        <w:t>The following definitions are used throughout this determination:</w:t>
      </w:r>
    </w:p>
    <w:p w14:paraId="28E2ED1F" w14:textId="77777777" w:rsidR="00CC4FF6" w:rsidRPr="00CC4FF6" w:rsidRDefault="00CC4FF6" w:rsidP="006B2BB6">
      <w:pPr>
        <w:ind w:left="567"/>
      </w:pPr>
      <w:r>
        <w:rPr>
          <w:b/>
          <w:i/>
        </w:rPr>
        <w:t>Act</w:t>
      </w:r>
      <w:r>
        <w:t xml:space="preserve"> means the </w:t>
      </w:r>
      <w:r w:rsidRPr="00CC4FF6">
        <w:rPr>
          <w:i/>
        </w:rPr>
        <w:t>Federal Financial Relations Act 2009</w:t>
      </w:r>
      <w:r>
        <w:t>.</w:t>
      </w:r>
    </w:p>
    <w:p w14:paraId="24AF8EF6" w14:textId="77777777" w:rsidR="006B2BB6" w:rsidRDefault="006B2BB6" w:rsidP="006B2BB6">
      <w:pPr>
        <w:ind w:left="567"/>
      </w:pPr>
      <w:r>
        <w:rPr>
          <w:b/>
          <w:i/>
        </w:rPr>
        <w:t>COAG Reform Fund</w:t>
      </w:r>
      <w:r>
        <w:t xml:space="preserve"> means the COAG Reform Fund established by section 5 of the </w:t>
      </w:r>
      <w:r>
        <w:rPr>
          <w:i/>
        </w:rPr>
        <w:t>COAG Reform Fund Act 2008</w:t>
      </w:r>
      <w:r>
        <w:t>.</w:t>
      </w:r>
    </w:p>
    <w:p w14:paraId="7E0C3EE4" w14:textId="77777777" w:rsidR="006B2BB6" w:rsidRPr="00B74438" w:rsidRDefault="006B2BB6" w:rsidP="006B2BB6">
      <w:pPr>
        <w:ind w:left="567"/>
      </w:pPr>
      <w:r w:rsidRPr="00083093">
        <w:rPr>
          <w:b/>
          <w:i/>
        </w:rPr>
        <w:t>Intergovernmental Agreement</w:t>
      </w:r>
      <w:r>
        <w:t xml:space="preserve"> means the </w:t>
      </w:r>
      <w:r w:rsidRPr="00083093">
        <w:rPr>
          <w:i/>
        </w:rPr>
        <w:t>Intergovernmental Agreement on Federal Financial Relations</w:t>
      </w:r>
      <w:r>
        <w:t xml:space="preserve"> that took effect on 1 January 2009.</w:t>
      </w:r>
      <w:r w:rsidR="00B74438">
        <w:t xml:space="preserve"> </w:t>
      </w:r>
      <w:r w:rsidR="00B74438" w:rsidRPr="00B74438">
        <w:t xml:space="preserve">The </w:t>
      </w:r>
      <w:r w:rsidR="00B74438" w:rsidRPr="00B74438">
        <w:rPr>
          <w:i/>
        </w:rPr>
        <w:t>Intergovernmental Agreement</w:t>
      </w:r>
      <w:r w:rsidR="00B74438" w:rsidRPr="00B74438">
        <w:t xml:space="preserve"> provides an overarching framework for financial transfers between the Commonwealth and the States and related collaboration on policy development and service delivery.</w:t>
      </w:r>
    </w:p>
    <w:p w14:paraId="36D5B4A1" w14:textId="77777777" w:rsidR="006B2BB6" w:rsidRDefault="006B2BB6" w:rsidP="006B2BB6">
      <w:pPr>
        <w:ind w:left="567"/>
      </w:pPr>
      <w:r>
        <w:rPr>
          <w:b/>
          <w:i/>
        </w:rPr>
        <w:t>State</w:t>
      </w:r>
      <w:r>
        <w:t xml:space="preserve"> includes the Australian Capital Territory and the Northern Territory.</w:t>
      </w:r>
    </w:p>
    <w:p w14:paraId="3F7F4B72" w14:textId="77777777" w:rsidR="008D2010" w:rsidRDefault="008D2010" w:rsidP="008D2010">
      <w:pPr>
        <w:pStyle w:val="Heading3"/>
      </w:pPr>
      <w:r>
        <w:t xml:space="preserve">Exemption from section 42 (disallowance) of the </w:t>
      </w:r>
      <w:r>
        <w:rPr>
          <w:i/>
        </w:rPr>
        <w:t>Legislative Instruments Act 2003</w:t>
      </w:r>
    </w:p>
    <w:p w14:paraId="117E2EC8" w14:textId="77777777" w:rsidR="00F36EF0" w:rsidRDefault="008D2010" w:rsidP="00396256">
      <w:pPr>
        <w:pStyle w:val="NumberedParagraph"/>
      </w:pPr>
      <w:r>
        <w:t xml:space="preserve">Subsection </w:t>
      </w:r>
      <w:r w:rsidR="00EA67BF">
        <w:t>16</w:t>
      </w:r>
      <w:r>
        <w:t xml:space="preserve">(5) of the </w:t>
      </w:r>
      <w:r w:rsidR="00D66B94">
        <w:t>Act</w:t>
      </w:r>
      <w:r>
        <w:t xml:space="preserve"> provides that this determination is a legislative instrument, but section 42 (disallowance) of the </w:t>
      </w:r>
      <w:r>
        <w:rPr>
          <w:i/>
        </w:rPr>
        <w:t>Legislative Instruments Act 2003</w:t>
      </w:r>
      <w:r>
        <w:t xml:space="preserve"> does n</w:t>
      </w:r>
      <w:r w:rsidR="00396256">
        <w:t>ot apply to this determination.</w:t>
      </w:r>
    </w:p>
    <w:p w14:paraId="30D56462" w14:textId="77777777" w:rsidR="00083093" w:rsidRDefault="008D2010" w:rsidP="008D2010">
      <w:pPr>
        <w:pStyle w:val="Heading2"/>
      </w:pPr>
      <w:r>
        <w:lastRenderedPageBreak/>
        <w:t xml:space="preserve">PArt 2 — </w:t>
      </w:r>
      <w:r w:rsidR="00427A33">
        <w:t>Purpose</w:t>
      </w:r>
    </w:p>
    <w:p w14:paraId="0578C026" w14:textId="77777777" w:rsidR="008D2010" w:rsidRDefault="00B74438" w:rsidP="008D2010">
      <w:pPr>
        <w:pStyle w:val="Heading3"/>
      </w:pPr>
      <w:r>
        <w:t>Provision of financial assistance</w:t>
      </w:r>
    </w:p>
    <w:p w14:paraId="04701C4B" w14:textId="77777777" w:rsidR="00EA67BF" w:rsidRDefault="00083093" w:rsidP="0013046E">
      <w:pPr>
        <w:pStyle w:val="NumberedParagraph"/>
      </w:pPr>
      <w:r>
        <w:t xml:space="preserve">This </w:t>
      </w:r>
      <w:r w:rsidR="001D3365">
        <w:t xml:space="preserve">determination </w:t>
      </w:r>
      <w:r>
        <w:t>is made</w:t>
      </w:r>
      <w:r w:rsidR="00CA777B">
        <w:t xml:space="preserve">, in accordance with </w:t>
      </w:r>
      <w:r w:rsidR="00427A33">
        <w:t>s</w:t>
      </w:r>
      <w:r w:rsidR="00CA777B">
        <w:t xml:space="preserve">ection </w:t>
      </w:r>
      <w:r w:rsidR="00EA67BF">
        <w:t>16</w:t>
      </w:r>
      <w:r w:rsidR="00CA777B">
        <w:t xml:space="preserve"> of the Act,</w:t>
      </w:r>
      <w:r>
        <w:t xml:space="preserve"> for the purpose of providing</w:t>
      </w:r>
      <w:r w:rsidR="00EA67BF">
        <w:t xml:space="preserve"> grants of financial assistance to</w:t>
      </w:r>
      <w:r w:rsidR="00D4395B">
        <w:t xml:space="preserve"> a State to</w:t>
      </w:r>
      <w:r w:rsidR="00EA67BF">
        <w:t>:</w:t>
      </w:r>
    </w:p>
    <w:p w14:paraId="5BFA1C59" w14:textId="77777777" w:rsidR="00CA777B" w:rsidRDefault="00D4395B" w:rsidP="00D4395B">
      <w:pPr>
        <w:pStyle w:val="AlphaParagraph"/>
      </w:pPr>
      <w:r>
        <w:t xml:space="preserve">support the delivery by the State of specified outputs or projects; </w:t>
      </w:r>
    </w:p>
    <w:p w14:paraId="251E5787" w14:textId="77777777" w:rsidR="00D4395B" w:rsidRDefault="00D4395B" w:rsidP="00D4395B">
      <w:pPr>
        <w:pStyle w:val="AlphaParagraph"/>
      </w:pPr>
      <w:r>
        <w:t>facilitate reforms by the State; or</w:t>
      </w:r>
    </w:p>
    <w:p w14:paraId="18109DAD" w14:textId="77777777" w:rsidR="00D4395B" w:rsidRPr="0013046E" w:rsidRDefault="00D4395B" w:rsidP="00D4395B">
      <w:pPr>
        <w:pStyle w:val="AlphaParagraph"/>
      </w:pPr>
      <w:r>
        <w:t>reward the State for nationally significant reforms.</w:t>
      </w:r>
    </w:p>
    <w:p w14:paraId="507DC233" w14:textId="77777777" w:rsidR="00CC4FF6" w:rsidRDefault="00CC4FF6" w:rsidP="00CC4FF6">
      <w:pPr>
        <w:pStyle w:val="Heading3"/>
      </w:pPr>
      <w:r>
        <w:t>Terms and conditions</w:t>
      </w:r>
    </w:p>
    <w:p w14:paraId="038FFBE4" w14:textId="77777777" w:rsidR="008D2010" w:rsidRPr="008D2010" w:rsidRDefault="00500B4D" w:rsidP="008D2010">
      <w:pPr>
        <w:pStyle w:val="NumberedParagraph"/>
      </w:pPr>
      <w:r>
        <w:t xml:space="preserve">Subsection 16(2) of the Act requires that an amount determined under subsection 16(1) must be credited to the COAG Reform Fund. The COAG </w:t>
      </w:r>
      <w:r w:rsidRPr="00500B4D">
        <w:rPr>
          <w:i/>
        </w:rPr>
        <w:t>Reform Fund Act 2008</w:t>
      </w:r>
      <w:r>
        <w:t xml:space="preserve"> established the COAG Reform Fund and specifies that it is a Special Account for the purposes of the </w:t>
      </w:r>
      <w:r w:rsidRPr="00500B4D">
        <w:rPr>
          <w:i/>
        </w:rPr>
        <w:t>Public Governance, Performance and Accountability Act 2013</w:t>
      </w:r>
      <w:r>
        <w:t>.</w:t>
      </w:r>
    </w:p>
    <w:p w14:paraId="45BF19BE" w14:textId="77777777" w:rsidR="00CC4FF6" w:rsidRDefault="00CC4FF6" w:rsidP="00CC4FF6">
      <w:pPr>
        <w:pStyle w:val="NumberedParagraph"/>
      </w:pPr>
      <w:r>
        <w:t>S</w:t>
      </w:r>
      <w:r w:rsidR="00A5594A">
        <w:t>ubs</w:t>
      </w:r>
      <w:r>
        <w:t xml:space="preserve">ection </w:t>
      </w:r>
      <w:r w:rsidR="008D2010">
        <w:t>7</w:t>
      </w:r>
      <w:r>
        <w:t>(</w:t>
      </w:r>
      <w:r w:rsidR="008D2010">
        <w:t>2</w:t>
      </w:r>
      <w:r>
        <w:t>) of the</w:t>
      </w:r>
      <w:r w:rsidRPr="00533748">
        <w:rPr>
          <w:i/>
        </w:rPr>
        <w:t xml:space="preserve"> COAG Reform Fund A</w:t>
      </w:r>
      <w:r>
        <w:rPr>
          <w:i/>
        </w:rPr>
        <w:t>ct 2008</w:t>
      </w:r>
      <w:r>
        <w:t xml:space="preserve"> requires that the terms and conditions on which financial assistance is granted through the COAG Reform Fund are </w:t>
      </w:r>
      <w:r w:rsidR="00DA04FC">
        <w:t>to be</w:t>
      </w:r>
      <w:r>
        <w:t xml:space="preserve"> set out in a written agreement between the Commonwealth and the State.</w:t>
      </w:r>
    </w:p>
    <w:p w14:paraId="4F4B658A" w14:textId="77777777" w:rsidR="00A01909" w:rsidRDefault="00A01909" w:rsidP="00A01909">
      <w:pPr>
        <w:pStyle w:val="NumberedParagraph"/>
      </w:pPr>
      <w:r>
        <w:t xml:space="preserve">‘Schedule D — Payment Arrangements’ to the </w:t>
      </w:r>
      <w:r>
        <w:rPr>
          <w:i/>
        </w:rPr>
        <w:t>Intergovernmental Agreement</w:t>
      </w:r>
      <w:r>
        <w:t xml:space="preserve"> provides that the Commonwealth will make National Partnership payments to the States to support the delivery of specified outputs or projects, to facilitate reforms or to reward those jurisdictions that deliver on nationally significant reforms.</w:t>
      </w:r>
    </w:p>
    <w:p w14:paraId="1A833EF8" w14:textId="77777777" w:rsidR="00A01909" w:rsidRDefault="00A01909" w:rsidP="00A01909">
      <w:pPr>
        <w:pStyle w:val="NumberedParagraph"/>
      </w:pPr>
      <w:r>
        <w:t>National Partnerships will clearly set out the payment profile in respect of each State.</w:t>
      </w:r>
    </w:p>
    <w:p w14:paraId="38136FC9" w14:textId="77777777" w:rsidR="00A01909" w:rsidRDefault="00A01909" w:rsidP="00A01909">
      <w:pPr>
        <w:pStyle w:val="NumberedParagraph"/>
      </w:pPr>
      <w:r>
        <w:t>Where the achievement of pre</w:t>
      </w:r>
      <w:r w:rsidR="00A5562C">
        <w:noBreakHyphen/>
      </w:r>
      <w:r>
        <w:t>determined milestones or performance benchmarks is required before a payment is made to a State:</w:t>
      </w:r>
    </w:p>
    <w:p w14:paraId="5CB434A1" w14:textId="77777777" w:rsidR="00A01909" w:rsidRDefault="00A01909" w:rsidP="00A01909">
      <w:pPr>
        <w:pStyle w:val="AlphaParagraph"/>
        <w:numPr>
          <w:ilvl w:val="0"/>
          <w:numId w:val="17"/>
        </w:numPr>
      </w:pPr>
      <w:r>
        <w:t>in the case o</w:t>
      </w:r>
      <w:r w:rsidR="00FC716F">
        <w:t>f</w:t>
      </w:r>
      <w:r>
        <w:t xml:space="preserve"> payments to reward nationally significant reforms</w:t>
      </w:r>
      <w:r w:rsidR="00FC716F">
        <w:t xml:space="preserve">, </w:t>
      </w:r>
      <w:r w:rsidR="00A5562C">
        <w:t>t</w:t>
      </w:r>
      <w:r w:rsidR="00FC716F">
        <w:t xml:space="preserve">he relevant Commonwealth Minister </w:t>
      </w:r>
      <w:r w:rsidR="00180744">
        <w:t xml:space="preserve">or delegate </w:t>
      </w:r>
      <w:r w:rsidR="00FC716F">
        <w:t>will make a determination as to whether the incentive payment will be paid</w:t>
      </w:r>
      <w:r>
        <w:t xml:space="preserve"> following receipt of </w:t>
      </w:r>
      <w:r w:rsidR="00500B4D">
        <w:t>an independent assessment as to whether a pre-determined performance</w:t>
      </w:r>
      <w:r w:rsidR="00FC716F">
        <w:t xml:space="preserve"> benchmark has been achieved</w:t>
      </w:r>
      <w:r>
        <w:t xml:space="preserve">; </w:t>
      </w:r>
      <w:r w:rsidR="00FC716F">
        <w:t>and</w:t>
      </w:r>
    </w:p>
    <w:p w14:paraId="0853F0B0" w14:textId="77777777" w:rsidR="00A01909" w:rsidRDefault="00A01909" w:rsidP="00A01909">
      <w:pPr>
        <w:pStyle w:val="AlphaParagraph"/>
      </w:pPr>
      <w:r>
        <w:t>in the case of</w:t>
      </w:r>
      <w:r w:rsidR="00FC716F">
        <w:t xml:space="preserve"> payments to</w:t>
      </w:r>
      <w:r>
        <w:t xml:space="preserve"> facilitat</w:t>
      </w:r>
      <w:r w:rsidR="00FC716F">
        <w:t>e reform</w:t>
      </w:r>
      <w:r>
        <w:t xml:space="preserve"> and </w:t>
      </w:r>
      <w:r w:rsidR="00FC716F">
        <w:t>to support the delivery of specified outputs or projects</w:t>
      </w:r>
      <w:r>
        <w:t xml:space="preserve">, the relevant Commonwealth Minister </w:t>
      </w:r>
      <w:r w:rsidR="00180744">
        <w:t xml:space="preserve">or delegate </w:t>
      </w:r>
      <w:r>
        <w:t>will make a determination, based upon expenditure and performance reporting arrangements set out in the National Partnership, as to whether the facilitation or project payment will be paid</w:t>
      </w:r>
      <w:r w:rsidR="00FC716F">
        <w:t>.</w:t>
      </w:r>
    </w:p>
    <w:p w14:paraId="17454E81" w14:textId="77777777" w:rsidR="00A01909" w:rsidRDefault="00A01909" w:rsidP="00A01909">
      <w:pPr>
        <w:pStyle w:val="NumberedParagraph"/>
      </w:pPr>
      <w:r>
        <w:t>Where the achievement of a performance benchmark is not required before a payment is made to a State, payments will be scheduled in accordance with the payment profile set out in the National Partnership.</w:t>
      </w:r>
    </w:p>
    <w:p w14:paraId="58E1780A" w14:textId="77777777" w:rsidR="00EC2CD4" w:rsidRDefault="00EC2CD4" w:rsidP="00F36EF0">
      <w:pPr>
        <w:pStyle w:val="Heading2"/>
      </w:pPr>
      <w:r>
        <w:lastRenderedPageBreak/>
        <w:t xml:space="preserve">Part </w:t>
      </w:r>
      <w:r w:rsidR="0045502C">
        <w:t>3</w:t>
      </w:r>
      <w:r w:rsidR="00BE0CFC">
        <w:t xml:space="preserve"> — </w:t>
      </w:r>
      <w:r w:rsidR="00F87DFE">
        <w:t>National Partnership Payments</w:t>
      </w:r>
    </w:p>
    <w:p w14:paraId="5CC6F4EB" w14:textId="77777777" w:rsidR="00BE0CFC" w:rsidRDefault="00BE0CFC" w:rsidP="00BE0CFC">
      <w:pPr>
        <w:pStyle w:val="Heading3"/>
      </w:pPr>
      <w:r>
        <w:t>Determination</w:t>
      </w:r>
    </w:p>
    <w:p w14:paraId="57AEBAAE" w14:textId="77777777" w:rsidR="00F87DFE" w:rsidRDefault="008D2010" w:rsidP="00EC2CD4">
      <w:pPr>
        <w:pStyle w:val="NumberedParagraph"/>
      </w:pPr>
      <w:r>
        <w:t xml:space="preserve">In accordance with </w:t>
      </w:r>
      <w:r w:rsidR="00427A33">
        <w:t>s</w:t>
      </w:r>
      <w:r>
        <w:t xml:space="preserve">ubsection </w:t>
      </w:r>
      <w:r w:rsidR="00F87DFE">
        <w:t>16</w:t>
      </w:r>
      <w:r>
        <w:t>(1) of the Act, t</w:t>
      </w:r>
      <w:r w:rsidR="00BE0CFC">
        <w:t>he amounts specified in Table 1 are to be paid to the State</w:t>
      </w:r>
      <w:r w:rsidR="00083093">
        <w:t>s</w:t>
      </w:r>
      <w:r w:rsidR="00BE0CFC">
        <w:t xml:space="preserve"> specified in that tab</w:t>
      </w:r>
      <w:r w:rsidR="00083093">
        <w:t>le</w:t>
      </w:r>
      <w:r w:rsidR="00BE0CFC">
        <w:t xml:space="preserve"> </w:t>
      </w:r>
      <w:r w:rsidR="00EC2CD4">
        <w:t>for the purpose of making a grant of financial assistance to</w:t>
      </w:r>
      <w:r w:rsidR="00F87DFE">
        <w:t>:</w:t>
      </w:r>
    </w:p>
    <w:p w14:paraId="653C80D9" w14:textId="77777777" w:rsidR="00D4395B" w:rsidRDefault="00D4395B" w:rsidP="00D4395B">
      <w:pPr>
        <w:pStyle w:val="AlphaParagraph"/>
        <w:numPr>
          <w:ilvl w:val="0"/>
          <w:numId w:val="15"/>
        </w:numPr>
      </w:pPr>
      <w:r>
        <w:t xml:space="preserve">support the delivery by the States of specified outputs or projects; </w:t>
      </w:r>
    </w:p>
    <w:p w14:paraId="5D27E44A" w14:textId="77777777" w:rsidR="00D4395B" w:rsidRDefault="00D4395B" w:rsidP="00D4395B">
      <w:pPr>
        <w:pStyle w:val="AlphaParagraph"/>
      </w:pPr>
      <w:r>
        <w:t>facilitate reforms by the States; or</w:t>
      </w:r>
    </w:p>
    <w:p w14:paraId="5E6DD475" w14:textId="77777777" w:rsidR="00FB4D73" w:rsidRDefault="00D4395B" w:rsidP="00FB4D73">
      <w:pPr>
        <w:pStyle w:val="AlphaParagraph"/>
      </w:pPr>
      <w:r>
        <w:t>reward the States for nationally significant reforms.</w:t>
      </w:r>
    </w:p>
    <w:p w14:paraId="367C63B9" w14:textId="5D501CBD" w:rsidR="00BE0CFC" w:rsidRDefault="00BE0CFC" w:rsidP="001B1492">
      <w:pPr>
        <w:pStyle w:val="Heading3"/>
        <w:spacing w:after="0"/>
      </w:pPr>
      <w:r w:rsidRPr="00217490">
        <w:t>Table 1:</w:t>
      </w:r>
      <w:r>
        <w:t xml:space="preserve"> </w:t>
      </w:r>
      <w:r w:rsidR="00D4395B">
        <w:t>National Partnership payments</w:t>
      </w:r>
      <w:r w:rsidR="0013046E">
        <w:t xml:space="preserve"> for payment on</w:t>
      </w:r>
      <w:r w:rsidR="00D4395B">
        <w:t xml:space="preserve"> </w:t>
      </w:r>
      <w:r w:rsidR="00A0023E" w:rsidRPr="00A0023E">
        <w:t>7 March</w:t>
      </w:r>
      <w:r w:rsidR="00A0023E">
        <w:t xml:space="preserve"> </w:t>
      </w:r>
      <w:r w:rsidR="00C93372">
        <w:t>2016</w:t>
      </w:r>
    </w:p>
    <w:p w14:paraId="1D01F6EA" w14:textId="059DBEC5" w:rsidR="009E442F" w:rsidRDefault="0041405D" w:rsidP="009E442F">
      <w:r w:rsidRPr="0041405D">
        <w:rPr>
          <w:noProof/>
        </w:rPr>
        <w:drawing>
          <wp:inline distT="0" distB="0" distL="0" distR="0" wp14:anchorId="5A62499D" wp14:editId="60895149">
            <wp:extent cx="5400040" cy="212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125808"/>
                    </a:xfrm>
                    <a:prstGeom prst="rect">
                      <a:avLst/>
                    </a:prstGeom>
                    <a:noFill/>
                    <a:ln>
                      <a:noFill/>
                    </a:ln>
                  </pic:spPr>
                </pic:pic>
              </a:graphicData>
            </a:graphic>
          </wp:inline>
        </w:drawing>
      </w:r>
    </w:p>
    <w:p w14:paraId="63D60171" w14:textId="1E4C4379" w:rsidR="009E442F" w:rsidRDefault="00CB6BCE" w:rsidP="00A0023E">
      <w:pPr>
        <w:pStyle w:val="NumberedParagraph"/>
      </w:pPr>
      <w:r w:rsidRPr="009E442F">
        <w:t xml:space="preserve">These amounts will be credited to the COAG Reform Fund before being paid to the States on </w:t>
      </w:r>
      <w:r w:rsidR="00A0023E" w:rsidRPr="00A0023E">
        <w:t>7 March</w:t>
      </w:r>
      <w:r w:rsidR="00A0023E">
        <w:t xml:space="preserve"> </w:t>
      </w:r>
      <w:r w:rsidR="00C93372" w:rsidRPr="009E442F">
        <w:t>2016</w:t>
      </w:r>
      <w:r w:rsidRPr="009E442F">
        <w:t>.</w:t>
      </w:r>
      <w:r w:rsidR="0042220A" w:rsidRPr="009E442F">
        <w:t xml:space="preserve"> </w:t>
      </w:r>
    </w:p>
    <w:p w14:paraId="7813D2B3" w14:textId="240232C8" w:rsidR="00083093" w:rsidRDefault="00083093" w:rsidP="00083093">
      <w:pPr>
        <w:pStyle w:val="NumberedParagraph"/>
      </w:pPr>
      <w:r>
        <w:t xml:space="preserve">Schedule </w:t>
      </w:r>
      <w:r w:rsidR="00FC716F">
        <w:t>1</w:t>
      </w:r>
      <w:r>
        <w:t xml:space="preserve"> </w:t>
      </w:r>
      <w:r w:rsidR="00DA04FC">
        <w:t xml:space="preserve">to this determination </w:t>
      </w:r>
      <w:r>
        <w:t>provides further information on these payments</w:t>
      </w:r>
      <w:r w:rsidR="00E317E4">
        <w:t>.</w:t>
      </w:r>
    </w:p>
    <w:p w14:paraId="2B870E9F" w14:textId="77777777" w:rsidR="00BE0CFC" w:rsidRDefault="00537317" w:rsidP="00BE0CFC">
      <w:pPr>
        <w:pStyle w:val="Heading3"/>
      </w:pPr>
      <w:r>
        <w:t>Debit limit</w:t>
      </w:r>
    </w:p>
    <w:p w14:paraId="7748AB52" w14:textId="77777777" w:rsidR="00A57A76" w:rsidRDefault="004D6352" w:rsidP="00A57A76">
      <w:pPr>
        <w:pStyle w:val="NumberedParagraph"/>
      </w:pPr>
      <w:r>
        <w:t xml:space="preserve">Subsection </w:t>
      </w:r>
      <w:r w:rsidR="00D4395B">
        <w:t>16</w:t>
      </w:r>
      <w:r>
        <w:t xml:space="preserve">(3) of the </w:t>
      </w:r>
      <w:r w:rsidR="00D66B94">
        <w:t>Act</w:t>
      </w:r>
      <w:r>
        <w:t xml:space="preserve"> provides that t</w:t>
      </w:r>
      <w:r w:rsidR="00083093">
        <w:t xml:space="preserve">he total amount credited to the COAG Reform Fund </w:t>
      </w:r>
      <w:r w:rsidR="00064EC7">
        <w:t xml:space="preserve">for the purpose of making </w:t>
      </w:r>
      <w:r w:rsidR="00D4395B">
        <w:t xml:space="preserve">National Partnership payments </w:t>
      </w:r>
      <w:r w:rsidR="009D2315">
        <w:t xml:space="preserve">in the financial year starting on </w:t>
      </w:r>
      <w:r w:rsidR="00037EB7">
        <w:t>1 July 2015</w:t>
      </w:r>
      <w:r w:rsidR="00083093">
        <w:t xml:space="preserve"> </w:t>
      </w:r>
      <w:r w:rsidR="009D2315">
        <w:t xml:space="preserve">must not </w:t>
      </w:r>
      <w:r w:rsidR="00083093">
        <w:t>exceed</w:t>
      </w:r>
      <w:r w:rsidR="009D2315">
        <w:t xml:space="preserve"> </w:t>
      </w:r>
      <w:r w:rsidR="00037EB7">
        <w:t>$25,000,000,000.00</w:t>
      </w:r>
      <w:r w:rsidR="00085E7F">
        <w:t>.</w:t>
      </w:r>
    </w:p>
    <w:p w14:paraId="39E16685" w14:textId="77777777" w:rsidR="00064EC7" w:rsidRDefault="00064EC7" w:rsidP="00064EC7">
      <w:pPr>
        <w:pStyle w:val="NumberedParagraph"/>
      </w:pPr>
      <w:r>
        <w:t xml:space="preserve">The amounts specified in Table </w:t>
      </w:r>
      <w:r w:rsidR="00A5220C">
        <w:t>2</w:t>
      </w:r>
      <w:r>
        <w:t xml:space="preserve"> are the total amount</w:t>
      </w:r>
      <w:r w:rsidR="00922EB3">
        <w:t xml:space="preserve">s determined in </w:t>
      </w:r>
      <w:r w:rsidR="00922EB3" w:rsidRPr="00537317">
        <w:t xml:space="preserve">the </w:t>
      </w:r>
      <w:bookmarkStart w:id="1" w:name="CumPaymentYear2"/>
      <w:r w:rsidR="00922EB3" w:rsidRPr="00537317">
        <w:t>20</w:t>
      </w:r>
      <w:r w:rsidR="009C7530" w:rsidRPr="00537317">
        <w:t>1</w:t>
      </w:r>
      <w:r w:rsidR="00537317" w:rsidRPr="00537317">
        <w:t>5</w:t>
      </w:r>
      <w:r w:rsidR="00922EB3" w:rsidRPr="00537317">
        <w:t>-</w:t>
      </w:r>
      <w:r w:rsidR="002329E4" w:rsidRPr="00537317">
        <w:t>1</w:t>
      </w:r>
      <w:bookmarkEnd w:id="1"/>
      <w:r w:rsidR="00537317" w:rsidRPr="00537317">
        <w:t>6</w:t>
      </w:r>
      <w:r w:rsidR="00922EB3">
        <w:t xml:space="preserve"> financial year in respect</w:t>
      </w:r>
      <w:r>
        <w:t xml:space="preserve"> of </w:t>
      </w:r>
      <w:r w:rsidR="00592EBE">
        <w:t>National Partnership payments</w:t>
      </w:r>
      <w:r w:rsidR="00A5220C">
        <w:t xml:space="preserve"> under</w:t>
      </w:r>
      <w:r w:rsidR="00E6714D">
        <w:t xml:space="preserve"> </w:t>
      </w:r>
      <w:r w:rsidR="00427A33">
        <w:t>s</w:t>
      </w:r>
      <w:r w:rsidR="00E6714D">
        <w:t>ection</w:t>
      </w:r>
      <w:r w:rsidR="00592EBE">
        <w:t xml:space="preserve"> 16</w:t>
      </w:r>
      <w:r w:rsidR="00A5220C">
        <w:t xml:space="preserve"> of the </w:t>
      </w:r>
      <w:r w:rsidR="00D66B94">
        <w:t>Act</w:t>
      </w:r>
      <w:r w:rsidR="00922EB3">
        <w:t>, including this determination</w:t>
      </w:r>
      <w:r w:rsidR="00A5220C">
        <w:t>.</w:t>
      </w:r>
    </w:p>
    <w:p w14:paraId="1726CE37" w14:textId="77777777" w:rsidR="00064EC7" w:rsidRDefault="00064EC7" w:rsidP="001B1492">
      <w:pPr>
        <w:pStyle w:val="Heading3"/>
        <w:spacing w:after="0"/>
      </w:pPr>
      <w:r w:rsidRPr="00217490">
        <w:lastRenderedPageBreak/>
        <w:t xml:space="preserve">Table 2: </w:t>
      </w:r>
      <w:r w:rsidR="00A5220C" w:rsidRPr="00217490">
        <w:t>Total</w:t>
      </w:r>
      <w:r w:rsidR="00A5220C">
        <w:t xml:space="preserve"> </w:t>
      </w:r>
      <w:r w:rsidR="0013046E">
        <w:t xml:space="preserve">cumulative </w:t>
      </w:r>
      <w:r w:rsidR="00A5220C">
        <w:t xml:space="preserve">payments of </w:t>
      </w:r>
      <w:r w:rsidR="00592EBE">
        <w:t>National Partnership payments</w:t>
      </w:r>
      <w:r w:rsidR="00A5220C">
        <w:t xml:space="preserve"> </w:t>
      </w:r>
      <w:r w:rsidR="00B2539B">
        <w:t xml:space="preserve">in </w:t>
      </w:r>
      <w:r w:rsidR="00037EB7">
        <w:t>2015-16</w:t>
      </w:r>
    </w:p>
    <w:p w14:paraId="687F2EF8" w14:textId="2DDD3D3C" w:rsidR="0041405D" w:rsidRDefault="0041405D" w:rsidP="001764D6">
      <w:pPr>
        <w:pStyle w:val="NumberedParagraph"/>
        <w:numPr>
          <w:ilvl w:val="0"/>
          <w:numId w:val="0"/>
        </w:numPr>
      </w:pPr>
      <w:r w:rsidRPr="0041405D">
        <w:rPr>
          <w:noProof/>
        </w:rPr>
        <w:drawing>
          <wp:inline distT="0" distB="0" distL="0" distR="0" wp14:anchorId="66DC2951" wp14:editId="6F406C52">
            <wp:extent cx="5400040" cy="2549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549340"/>
                    </a:xfrm>
                    <a:prstGeom prst="rect">
                      <a:avLst/>
                    </a:prstGeom>
                    <a:noFill/>
                    <a:ln>
                      <a:noFill/>
                    </a:ln>
                  </pic:spPr>
                </pic:pic>
              </a:graphicData>
            </a:graphic>
          </wp:inline>
        </w:drawing>
      </w:r>
    </w:p>
    <w:p w14:paraId="269D74E4" w14:textId="77777777" w:rsidR="00CB6BCE" w:rsidRDefault="00CB6BCE" w:rsidP="00CB6BCE">
      <w:pPr>
        <w:pStyle w:val="NumberedParagraph"/>
      </w:pPr>
      <w:r>
        <w:t xml:space="preserve">The total amount </w:t>
      </w:r>
      <w:r w:rsidR="00E317E4">
        <w:t>determined</w:t>
      </w:r>
      <w:r w:rsidR="00396256">
        <w:t xml:space="preserve"> </w:t>
      </w:r>
      <w:r w:rsidR="00E317E4">
        <w:t xml:space="preserve">for </w:t>
      </w:r>
      <w:r w:rsidR="00592EBE">
        <w:t>National Partnership payments</w:t>
      </w:r>
      <w:r w:rsidR="00E317E4">
        <w:t xml:space="preserve"> </w:t>
      </w:r>
      <w:r w:rsidR="00396256">
        <w:t>to date</w:t>
      </w:r>
      <w:r w:rsidR="008B7A84">
        <w:t xml:space="preserve"> in the </w:t>
      </w:r>
      <w:r w:rsidR="00037EB7">
        <w:t>2015-16</w:t>
      </w:r>
      <w:r w:rsidR="008B7A84">
        <w:t xml:space="preserve"> financial year</w:t>
      </w:r>
      <w:r w:rsidR="00396256">
        <w:t xml:space="preserve"> </w:t>
      </w:r>
      <w:r w:rsidR="00537317">
        <w:t xml:space="preserve">does not exceed the debit </w:t>
      </w:r>
      <w:r>
        <w:t>limit.</w:t>
      </w:r>
    </w:p>
    <w:p w14:paraId="019A103F" w14:textId="77777777" w:rsidR="00633EEE" w:rsidRDefault="00633EEE" w:rsidP="00633EEE">
      <w:pPr>
        <w:pStyle w:val="SingleParagraph"/>
        <w:sectPr w:rsidR="00633EEE" w:rsidSect="00922EB3">
          <w:headerReference w:type="default" r:id="rId16"/>
          <w:footerReference w:type="default" r:id="rId17"/>
          <w:pgSz w:w="11906" w:h="16838" w:code="9"/>
          <w:pgMar w:top="1701" w:right="1701" w:bottom="1701" w:left="1701" w:header="709" w:footer="709" w:gutter="0"/>
          <w:cols w:space="708"/>
          <w:titlePg/>
          <w:docGrid w:linePitch="360"/>
        </w:sectPr>
      </w:pPr>
    </w:p>
    <w:p w14:paraId="0E6DE3F5" w14:textId="77777777" w:rsidR="00CA3848" w:rsidRDefault="00CA3848" w:rsidP="000C0EBF">
      <w:pPr>
        <w:pStyle w:val="Heading1"/>
        <w:spacing w:after="60"/>
      </w:pPr>
      <w:r>
        <w:lastRenderedPageBreak/>
        <w:t>SChedule 1</w:t>
      </w:r>
    </w:p>
    <w:p w14:paraId="28CEE1C8" w14:textId="4B3F07FB" w:rsidR="00244359" w:rsidRDefault="00CA3848" w:rsidP="00A5562C">
      <w:pPr>
        <w:pStyle w:val="Heading2"/>
        <w:spacing w:before="60" w:after="60"/>
      </w:pPr>
      <w:r>
        <w:t>Amounts of</w:t>
      </w:r>
      <w:r w:rsidR="005C506F">
        <w:t xml:space="preserve"> National Partnership Payments</w:t>
      </w:r>
      <w:r w:rsidR="000C0EBF">
        <w:t xml:space="preserve"> for payment on </w:t>
      </w:r>
      <w:r w:rsidR="00A0023E" w:rsidRPr="00A0023E">
        <w:t>7 March</w:t>
      </w:r>
      <w:r w:rsidR="00C93372">
        <w:t xml:space="preserve"> 2016</w:t>
      </w:r>
      <w:r w:rsidR="00C73A7F">
        <w:t xml:space="preserve"> ($)</w:t>
      </w:r>
    </w:p>
    <w:p w14:paraId="4A06A986" w14:textId="77777777" w:rsidR="007B0B76" w:rsidRDefault="007B0B76" w:rsidP="001971DB"/>
    <w:p w14:paraId="36ED8B76" w14:textId="0359A23D" w:rsidR="007B0B76" w:rsidRDefault="007B0B76" w:rsidP="001971DB">
      <w:r w:rsidRPr="007B0B76">
        <w:rPr>
          <w:noProof/>
        </w:rPr>
        <w:drawing>
          <wp:inline distT="0" distB="0" distL="0" distR="0" wp14:anchorId="31B6A7C6" wp14:editId="57E5640F">
            <wp:extent cx="9251950" cy="4392340"/>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392340"/>
                    </a:xfrm>
                    <a:prstGeom prst="rect">
                      <a:avLst/>
                    </a:prstGeom>
                    <a:noFill/>
                    <a:ln>
                      <a:noFill/>
                    </a:ln>
                  </pic:spPr>
                </pic:pic>
              </a:graphicData>
            </a:graphic>
          </wp:inline>
        </w:drawing>
      </w:r>
    </w:p>
    <w:p w14:paraId="6CA71313" w14:textId="46227788" w:rsidR="007B0B76" w:rsidRDefault="007B0B76" w:rsidP="007B0B76">
      <w:pPr>
        <w:ind w:left="11520"/>
      </w:pPr>
      <w:r>
        <w:t>(Continued on next page)</w:t>
      </w:r>
    </w:p>
    <w:p w14:paraId="6098E29A" w14:textId="77777777" w:rsidR="007B0B76" w:rsidRDefault="007B0B76" w:rsidP="001971DB"/>
    <w:p w14:paraId="43E58FC8" w14:textId="3B1C0135" w:rsidR="007B0B76" w:rsidRDefault="007B0B76" w:rsidP="001971DB"/>
    <w:p w14:paraId="2E277764" w14:textId="5DA08F7B" w:rsidR="007B0B76" w:rsidRDefault="007B0B76" w:rsidP="001971DB">
      <w:r w:rsidRPr="007B0B76">
        <w:rPr>
          <w:noProof/>
        </w:rPr>
        <w:drawing>
          <wp:inline distT="0" distB="0" distL="0" distR="0" wp14:anchorId="7EE708D5" wp14:editId="52EAC554">
            <wp:extent cx="9251950" cy="259514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2595147"/>
                    </a:xfrm>
                    <a:prstGeom prst="rect">
                      <a:avLst/>
                    </a:prstGeom>
                    <a:noFill/>
                    <a:ln>
                      <a:noFill/>
                    </a:ln>
                  </pic:spPr>
                </pic:pic>
              </a:graphicData>
            </a:graphic>
          </wp:inline>
        </w:drawing>
      </w:r>
    </w:p>
    <w:p w14:paraId="6CBC9B59" w14:textId="6299D147" w:rsidR="00244359" w:rsidRDefault="00244359" w:rsidP="001971DB"/>
    <w:p w14:paraId="328DA3DE" w14:textId="073959E3" w:rsidR="00244359" w:rsidRDefault="00244359" w:rsidP="001971DB"/>
    <w:p w14:paraId="3E3A1F26" w14:textId="77777777" w:rsidR="00244359" w:rsidRDefault="00244359" w:rsidP="001971DB"/>
    <w:p w14:paraId="03E98151" w14:textId="77777777" w:rsidR="00244359" w:rsidRDefault="00244359" w:rsidP="001971DB"/>
    <w:p w14:paraId="120D991E" w14:textId="77777777" w:rsidR="00255C0C" w:rsidRDefault="00255C0C" w:rsidP="001971DB"/>
    <w:p w14:paraId="02DD5F9F" w14:textId="2833E949" w:rsidR="00255C0C" w:rsidRDefault="00255C0C" w:rsidP="001971DB"/>
    <w:p w14:paraId="617C8456" w14:textId="14997A78" w:rsidR="00244359" w:rsidRDefault="00244359" w:rsidP="001971DB"/>
    <w:p w14:paraId="6AA5FBDC" w14:textId="77777777" w:rsidR="00255C0C" w:rsidRDefault="00255C0C" w:rsidP="001971DB"/>
    <w:sectPr w:rsidR="00255C0C" w:rsidSect="009054D1">
      <w:pgSz w:w="16838" w:h="11906" w:orient="landscape" w:code="9"/>
      <w:pgMar w:top="1310"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B03A5" w14:textId="77777777" w:rsidR="00324152" w:rsidRDefault="00324152">
      <w:r>
        <w:separator/>
      </w:r>
    </w:p>
  </w:endnote>
  <w:endnote w:type="continuationSeparator" w:id="0">
    <w:p w14:paraId="2952AC84" w14:textId="77777777" w:rsidR="00324152" w:rsidRDefault="00324152">
      <w:r>
        <w:continuationSeparator/>
      </w:r>
    </w:p>
  </w:endnote>
  <w:endnote w:type="continuationNotice" w:id="1">
    <w:p w14:paraId="52B45BB2" w14:textId="77777777" w:rsidR="00324152" w:rsidRDefault="00324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AAAD" w14:textId="77777777" w:rsidR="00324152" w:rsidRDefault="00324152" w:rsidP="00323F0A">
    <w:pPr>
      <w:pStyle w:val="Footer"/>
      <w:jc w:val="center"/>
    </w:pPr>
    <w:r>
      <w:rPr>
        <w:rStyle w:val="PageNumber"/>
      </w:rPr>
      <w:fldChar w:fldCharType="begin"/>
    </w:r>
    <w:r>
      <w:rPr>
        <w:rStyle w:val="PageNumber"/>
      </w:rPr>
      <w:instrText xml:space="preserve"> PAGE </w:instrText>
    </w:r>
    <w:r>
      <w:rPr>
        <w:rStyle w:val="PageNumber"/>
      </w:rPr>
      <w:fldChar w:fldCharType="separate"/>
    </w:r>
    <w:r w:rsidR="002A7640">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5F1B4" w14:textId="77777777" w:rsidR="00324152" w:rsidRDefault="00324152">
      <w:r>
        <w:separator/>
      </w:r>
    </w:p>
  </w:footnote>
  <w:footnote w:type="continuationSeparator" w:id="0">
    <w:p w14:paraId="173E5552" w14:textId="77777777" w:rsidR="00324152" w:rsidRDefault="00324152">
      <w:r>
        <w:continuationSeparator/>
      </w:r>
    </w:p>
  </w:footnote>
  <w:footnote w:type="continuationNotice" w:id="1">
    <w:p w14:paraId="77F07E4D" w14:textId="77777777" w:rsidR="00324152" w:rsidRDefault="003241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665C" w14:textId="662E7126" w:rsidR="00324152" w:rsidRPr="00CC4FF6" w:rsidRDefault="00324152" w:rsidP="00922EB3">
    <w:pPr>
      <w:pStyle w:val="Header"/>
      <w:spacing w:before="360" w:after="0"/>
      <w:rPr>
        <w:i/>
        <w:sz w:val="20"/>
      </w:rPr>
    </w:pPr>
    <w:r w:rsidRPr="00CC4FF6">
      <w:rPr>
        <w:i/>
        <w:sz w:val="20"/>
      </w:rPr>
      <w:t>Federal Financial Relations (</w:t>
    </w:r>
    <w:r>
      <w:rPr>
        <w:i/>
        <w:sz w:val="20"/>
      </w:rPr>
      <w:t>National Partnership payments</w:t>
    </w:r>
    <w:r w:rsidRPr="00CC4FF6">
      <w:rPr>
        <w:i/>
        <w:sz w:val="20"/>
      </w:rPr>
      <w:t xml:space="preserve">) Determination </w:t>
    </w:r>
    <w:r>
      <w:rPr>
        <w:i/>
        <w:sz w:val="20"/>
      </w:rPr>
      <w:t xml:space="preserve">No. </w:t>
    </w:r>
    <w:r w:rsidR="006971A4">
      <w:rPr>
        <w:i/>
        <w:sz w:val="20"/>
      </w:rPr>
      <w:t>10</w:t>
    </w:r>
    <w:r w:rsidR="00A0023E">
      <w:rPr>
        <w:i/>
        <w:sz w:val="20"/>
      </w:rPr>
      <w:t>4</w:t>
    </w:r>
    <w:r>
      <w:rPr>
        <w:i/>
        <w:sz w:val="20"/>
      </w:rPr>
      <w:t xml:space="preserve"> (</w:t>
    </w:r>
    <w:r w:rsidR="00A0023E">
      <w:rPr>
        <w:i/>
        <w:sz w:val="20"/>
      </w:rPr>
      <w:t>March</w:t>
    </w:r>
    <w:r w:rsidR="00255C0C">
      <w:rPr>
        <w:i/>
        <w:sz w:val="20"/>
      </w:rPr>
      <w:t xml:space="preserve"> </w:t>
    </w:r>
    <w:r w:rsidR="00C93372">
      <w:rPr>
        <w:i/>
        <w:sz w:val="20"/>
      </w:rPr>
      <w:t>2016</w:t>
    </w:r>
    <w:r>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B15"/>
    <w:multiLevelType w:val="hybridMultilevel"/>
    <w:tmpl w:val="4CEC75BA"/>
    <w:name w:val="OneLevelAlphaParagraphList"/>
    <w:lvl w:ilvl="0" w:tplc="A0CE9BE6">
      <w:start w:val="1"/>
      <w:numFmt w:val="lowerLetter"/>
      <w:lvlRestart w:val="0"/>
      <w:lvlText w:val="(%1)"/>
      <w:lvlJc w:val="left"/>
      <w:pPr>
        <w:tabs>
          <w:tab w:val="num" w:pos="1134"/>
        </w:tabs>
        <w:ind w:left="1134" w:hanging="567"/>
      </w:pPr>
      <w:rPr>
        <w:rFonts w:ascii="Book Antiqua" w:hAnsi="Book Antiqua"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D665DFA"/>
    <w:multiLevelType w:val="singleLevel"/>
    <w:tmpl w:val="C80025D4"/>
    <w:lvl w:ilvl="0">
      <w:start w:val="1"/>
      <w:numFmt w:val="lowerLetter"/>
      <w:lvlRestart w:val="0"/>
      <w:pStyle w:val="AlphaParagraph"/>
      <w:lvlText w:val="(%1)"/>
      <w:lvlJc w:val="left"/>
      <w:pPr>
        <w:tabs>
          <w:tab w:val="num" w:pos="1134"/>
        </w:tabs>
        <w:ind w:left="1134" w:hanging="567"/>
      </w:pPr>
      <w:rPr>
        <w:rFonts w:ascii="Times New Roman" w:hAnsi="Times New Roman" w:cs="Arial Bold" w:hint="default"/>
        <w:b w:val="0"/>
        <w:i w:val="0"/>
        <w:sz w:val="24"/>
        <w:szCs w:val="24"/>
      </w:rPr>
    </w:lvl>
  </w:abstractNum>
  <w:abstractNum w:abstractNumId="2">
    <w:nsid w:val="3F950960"/>
    <w:multiLevelType w:val="multilevel"/>
    <w:tmpl w:val="D2DE0810"/>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
    <w:nsid w:val="44972423"/>
    <w:multiLevelType w:val="singleLevel"/>
    <w:tmpl w:val="40EE6524"/>
    <w:lvl w:ilvl="0">
      <w:start w:val="1"/>
      <w:numFmt w:val="decimal"/>
      <w:pStyle w:val="NumberedParagraph"/>
      <w:lvlText w:val="%1."/>
      <w:lvlJc w:val="left"/>
      <w:pPr>
        <w:tabs>
          <w:tab w:val="num" w:pos="567"/>
        </w:tabs>
        <w:ind w:left="0" w:firstLine="0"/>
      </w:pPr>
      <w:rPr>
        <w:rFonts w:hint="default"/>
      </w:rPr>
    </w:lvl>
  </w:abstractNum>
  <w:abstractNum w:abstractNumId="4">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5">
    <w:nsid w:val="4FF103B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4021248"/>
    <w:multiLevelType w:val="multilevel"/>
    <w:tmpl w:val="6D34E6D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5FEE66D6"/>
    <w:multiLevelType w:val="multilevel"/>
    <w:tmpl w:val="0C09001F"/>
    <w:numStyleLink w:val="111111"/>
  </w:abstractNum>
  <w:abstractNum w:abstractNumId="8">
    <w:nsid w:val="684623B5"/>
    <w:multiLevelType w:val="multilevel"/>
    <w:tmpl w:val="9D821B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85D06D5"/>
    <w:multiLevelType w:val="multilevel"/>
    <w:tmpl w:val="7878FE1E"/>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F4A3B08"/>
    <w:multiLevelType w:val="multilevel"/>
    <w:tmpl w:val="0C09001F"/>
    <w:numStyleLink w:val="111111"/>
  </w:abstractNum>
  <w:num w:numId="1">
    <w:abstractNumId w:val="3"/>
  </w:num>
  <w:num w:numId="2">
    <w:abstractNumId w:val="8"/>
  </w:num>
  <w:num w:numId="3">
    <w:abstractNumId w:val="3"/>
    <w:lvlOverride w:ilvl="0">
      <w:startOverride w:val="2"/>
    </w:lvlOverride>
  </w:num>
  <w:num w:numId="4">
    <w:abstractNumId w:val="2"/>
  </w:num>
  <w:num w:numId="5">
    <w:abstractNumId w:val="3"/>
    <w:lvlOverride w:ilvl="0">
      <w:startOverride w:val="2"/>
    </w:lvlOverride>
  </w:num>
  <w:num w:numId="6">
    <w:abstractNumId w:val="5"/>
  </w:num>
  <w:num w:numId="7">
    <w:abstractNumId w:val="10"/>
  </w:num>
  <w:num w:numId="8">
    <w:abstractNumId w:val="7"/>
  </w:num>
  <w:num w:numId="9">
    <w:abstractNumId w:val="6"/>
  </w:num>
  <w:num w:numId="10">
    <w:abstractNumId w:val="4"/>
  </w:num>
  <w:num w:numId="11">
    <w:abstractNumId w:val="1"/>
  </w:num>
  <w:num w:numId="12">
    <w:abstractNumId w:val="1"/>
    <w:lvlOverride w:ilvl="0">
      <w:startOverride w:val="1"/>
    </w:lvlOverride>
  </w:num>
  <w:num w:numId="13">
    <w:abstractNumId w:val="8"/>
  </w:num>
  <w:num w:numId="14">
    <w:abstractNumId w:val="0"/>
  </w:num>
  <w:num w:numId="15">
    <w:abstractNumId w:val="1"/>
    <w:lvlOverride w:ilvl="0">
      <w:startOverride w:val="1"/>
    </w:lvlOverride>
  </w:num>
  <w:num w:numId="16">
    <w:abstractNumId w:val="1"/>
  </w:num>
  <w:num w:numId="17">
    <w:abstractNumId w:val="1"/>
    <w:lvlOverride w:ilvl="0">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B7"/>
    <w:rsid w:val="0000236D"/>
    <w:rsid w:val="00011B98"/>
    <w:rsid w:val="00024F49"/>
    <w:rsid w:val="0002765D"/>
    <w:rsid w:val="00034BF8"/>
    <w:rsid w:val="00037EB7"/>
    <w:rsid w:val="00045414"/>
    <w:rsid w:val="0005600E"/>
    <w:rsid w:val="00056B33"/>
    <w:rsid w:val="00063073"/>
    <w:rsid w:val="00063FFE"/>
    <w:rsid w:val="000646BB"/>
    <w:rsid w:val="00064EC7"/>
    <w:rsid w:val="00065619"/>
    <w:rsid w:val="00067E1D"/>
    <w:rsid w:val="000725C0"/>
    <w:rsid w:val="00073853"/>
    <w:rsid w:val="00074F48"/>
    <w:rsid w:val="0007791F"/>
    <w:rsid w:val="00080A4A"/>
    <w:rsid w:val="00083093"/>
    <w:rsid w:val="00085E7F"/>
    <w:rsid w:val="000912F3"/>
    <w:rsid w:val="000A2FAF"/>
    <w:rsid w:val="000A6DBE"/>
    <w:rsid w:val="000A77BB"/>
    <w:rsid w:val="000B1F7D"/>
    <w:rsid w:val="000C0EBF"/>
    <w:rsid w:val="000C7EEE"/>
    <w:rsid w:val="000D0750"/>
    <w:rsid w:val="000D250D"/>
    <w:rsid w:val="000D55F7"/>
    <w:rsid w:val="000E105C"/>
    <w:rsid w:val="000F0DE6"/>
    <w:rsid w:val="000F5522"/>
    <w:rsid w:val="000F647D"/>
    <w:rsid w:val="00101245"/>
    <w:rsid w:val="0011054D"/>
    <w:rsid w:val="00121EB0"/>
    <w:rsid w:val="0013046E"/>
    <w:rsid w:val="00134C35"/>
    <w:rsid w:val="00134E4D"/>
    <w:rsid w:val="00142AA5"/>
    <w:rsid w:val="00143EC4"/>
    <w:rsid w:val="00154A5A"/>
    <w:rsid w:val="001703C2"/>
    <w:rsid w:val="00171D5A"/>
    <w:rsid w:val="00172955"/>
    <w:rsid w:val="0017456F"/>
    <w:rsid w:val="001764D6"/>
    <w:rsid w:val="00180744"/>
    <w:rsid w:val="001820D9"/>
    <w:rsid w:val="0018413F"/>
    <w:rsid w:val="00186B8E"/>
    <w:rsid w:val="00190BD6"/>
    <w:rsid w:val="001931FF"/>
    <w:rsid w:val="00196774"/>
    <w:rsid w:val="001971DB"/>
    <w:rsid w:val="001A5489"/>
    <w:rsid w:val="001A6350"/>
    <w:rsid w:val="001A6611"/>
    <w:rsid w:val="001A7B27"/>
    <w:rsid w:val="001B1492"/>
    <w:rsid w:val="001B5043"/>
    <w:rsid w:val="001C22F7"/>
    <w:rsid w:val="001C5073"/>
    <w:rsid w:val="001D22D3"/>
    <w:rsid w:val="001D3365"/>
    <w:rsid w:val="001D4235"/>
    <w:rsid w:val="001D751D"/>
    <w:rsid w:val="001E1978"/>
    <w:rsid w:val="001F71BE"/>
    <w:rsid w:val="00201665"/>
    <w:rsid w:val="00202CE1"/>
    <w:rsid w:val="00204CD7"/>
    <w:rsid w:val="00206F3F"/>
    <w:rsid w:val="00215393"/>
    <w:rsid w:val="00217490"/>
    <w:rsid w:val="00220AC9"/>
    <w:rsid w:val="00224728"/>
    <w:rsid w:val="002329E4"/>
    <w:rsid w:val="00235984"/>
    <w:rsid w:val="00235C89"/>
    <w:rsid w:val="00243DF4"/>
    <w:rsid w:val="00244359"/>
    <w:rsid w:val="002457CC"/>
    <w:rsid w:val="00247BCE"/>
    <w:rsid w:val="00254044"/>
    <w:rsid w:val="002558DE"/>
    <w:rsid w:val="00255C0C"/>
    <w:rsid w:val="00267F9E"/>
    <w:rsid w:val="00273B4A"/>
    <w:rsid w:val="00277CDE"/>
    <w:rsid w:val="00281904"/>
    <w:rsid w:val="00284E6B"/>
    <w:rsid w:val="00285A29"/>
    <w:rsid w:val="0029299F"/>
    <w:rsid w:val="0029586A"/>
    <w:rsid w:val="002A7640"/>
    <w:rsid w:val="002B31FD"/>
    <w:rsid w:val="002B4962"/>
    <w:rsid w:val="002B6F0D"/>
    <w:rsid w:val="002C15AB"/>
    <w:rsid w:val="002C498C"/>
    <w:rsid w:val="002D2AA4"/>
    <w:rsid w:val="002D36C5"/>
    <w:rsid w:val="002E3304"/>
    <w:rsid w:val="002E3310"/>
    <w:rsid w:val="002F1104"/>
    <w:rsid w:val="002F1768"/>
    <w:rsid w:val="002F193C"/>
    <w:rsid w:val="002F6457"/>
    <w:rsid w:val="00301484"/>
    <w:rsid w:val="003036F2"/>
    <w:rsid w:val="0030571B"/>
    <w:rsid w:val="00311B61"/>
    <w:rsid w:val="00320AE2"/>
    <w:rsid w:val="00323F0A"/>
    <w:rsid w:val="00324152"/>
    <w:rsid w:val="00332C51"/>
    <w:rsid w:val="00335844"/>
    <w:rsid w:val="00335EE3"/>
    <w:rsid w:val="00337490"/>
    <w:rsid w:val="00343AA0"/>
    <w:rsid w:val="00351B36"/>
    <w:rsid w:val="00353981"/>
    <w:rsid w:val="003606F0"/>
    <w:rsid w:val="00360AB3"/>
    <w:rsid w:val="00360CAB"/>
    <w:rsid w:val="0036272F"/>
    <w:rsid w:val="00362BEE"/>
    <w:rsid w:val="0037510A"/>
    <w:rsid w:val="003751D0"/>
    <w:rsid w:val="00381209"/>
    <w:rsid w:val="00391EC5"/>
    <w:rsid w:val="00396256"/>
    <w:rsid w:val="003979EF"/>
    <w:rsid w:val="003A1081"/>
    <w:rsid w:val="003A4BA7"/>
    <w:rsid w:val="003B3E63"/>
    <w:rsid w:val="003B6E39"/>
    <w:rsid w:val="003C082D"/>
    <w:rsid w:val="003C7623"/>
    <w:rsid w:val="003D384D"/>
    <w:rsid w:val="003D6D53"/>
    <w:rsid w:val="003E4336"/>
    <w:rsid w:val="003E5D45"/>
    <w:rsid w:val="003F23BE"/>
    <w:rsid w:val="003F61DC"/>
    <w:rsid w:val="003F6354"/>
    <w:rsid w:val="00405D04"/>
    <w:rsid w:val="00412C68"/>
    <w:rsid w:val="0041405D"/>
    <w:rsid w:val="004163AB"/>
    <w:rsid w:val="0042220A"/>
    <w:rsid w:val="00422306"/>
    <w:rsid w:val="004226C3"/>
    <w:rsid w:val="00423373"/>
    <w:rsid w:val="004249F2"/>
    <w:rsid w:val="00427A33"/>
    <w:rsid w:val="00436253"/>
    <w:rsid w:val="00450620"/>
    <w:rsid w:val="0045502C"/>
    <w:rsid w:val="00457636"/>
    <w:rsid w:val="00457BC3"/>
    <w:rsid w:val="00460F1D"/>
    <w:rsid w:val="0046520B"/>
    <w:rsid w:val="00467CB4"/>
    <w:rsid w:val="00477CA5"/>
    <w:rsid w:val="0048054B"/>
    <w:rsid w:val="004809E5"/>
    <w:rsid w:val="004911CF"/>
    <w:rsid w:val="004A72ED"/>
    <w:rsid w:val="004B035D"/>
    <w:rsid w:val="004B1718"/>
    <w:rsid w:val="004C0BEC"/>
    <w:rsid w:val="004C437D"/>
    <w:rsid w:val="004D52A1"/>
    <w:rsid w:val="004D6352"/>
    <w:rsid w:val="004E6B03"/>
    <w:rsid w:val="00500B4D"/>
    <w:rsid w:val="00503C1B"/>
    <w:rsid w:val="005078D4"/>
    <w:rsid w:val="00515A57"/>
    <w:rsid w:val="005202BD"/>
    <w:rsid w:val="00524561"/>
    <w:rsid w:val="0052469A"/>
    <w:rsid w:val="00527671"/>
    <w:rsid w:val="00527DA0"/>
    <w:rsid w:val="00531488"/>
    <w:rsid w:val="00535510"/>
    <w:rsid w:val="00537317"/>
    <w:rsid w:val="00546EFA"/>
    <w:rsid w:val="00552026"/>
    <w:rsid w:val="00552726"/>
    <w:rsid w:val="0055438D"/>
    <w:rsid w:val="00555305"/>
    <w:rsid w:val="00555ED3"/>
    <w:rsid w:val="00556105"/>
    <w:rsid w:val="00560B41"/>
    <w:rsid w:val="00560B48"/>
    <w:rsid w:val="005634E1"/>
    <w:rsid w:val="0056434C"/>
    <w:rsid w:val="0057531E"/>
    <w:rsid w:val="00591E60"/>
    <w:rsid w:val="00592EBE"/>
    <w:rsid w:val="0059511F"/>
    <w:rsid w:val="005B394D"/>
    <w:rsid w:val="005C0475"/>
    <w:rsid w:val="005C0E95"/>
    <w:rsid w:val="005C3B20"/>
    <w:rsid w:val="005C506F"/>
    <w:rsid w:val="005D2CCA"/>
    <w:rsid w:val="005F26C3"/>
    <w:rsid w:val="005F6AE3"/>
    <w:rsid w:val="006107D4"/>
    <w:rsid w:val="006158E5"/>
    <w:rsid w:val="00621EDD"/>
    <w:rsid w:val="00625923"/>
    <w:rsid w:val="00633EEE"/>
    <w:rsid w:val="006443A6"/>
    <w:rsid w:val="00646119"/>
    <w:rsid w:val="00646729"/>
    <w:rsid w:val="00647DBD"/>
    <w:rsid w:val="00650EB4"/>
    <w:rsid w:val="006654A1"/>
    <w:rsid w:val="00666762"/>
    <w:rsid w:val="00666AC3"/>
    <w:rsid w:val="006765CB"/>
    <w:rsid w:val="00680BA1"/>
    <w:rsid w:val="00695878"/>
    <w:rsid w:val="006971A4"/>
    <w:rsid w:val="006A2278"/>
    <w:rsid w:val="006B2BB6"/>
    <w:rsid w:val="006C3186"/>
    <w:rsid w:val="006C4E02"/>
    <w:rsid w:val="006D078D"/>
    <w:rsid w:val="006D124B"/>
    <w:rsid w:val="006D7368"/>
    <w:rsid w:val="006F5920"/>
    <w:rsid w:val="006F6ED0"/>
    <w:rsid w:val="007001D0"/>
    <w:rsid w:val="0070075B"/>
    <w:rsid w:val="00701C92"/>
    <w:rsid w:val="00703640"/>
    <w:rsid w:val="00704FAF"/>
    <w:rsid w:val="007134EE"/>
    <w:rsid w:val="00726E71"/>
    <w:rsid w:val="00734841"/>
    <w:rsid w:val="0073492F"/>
    <w:rsid w:val="00737298"/>
    <w:rsid w:val="007379F2"/>
    <w:rsid w:val="00742028"/>
    <w:rsid w:val="00743745"/>
    <w:rsid w:val="00745BBA"/>
    <w:rsid w:val="007541F8"/>
    <w:rsid w:val="007559EE"/>
    <w:rsid w:val="0076123E"/>
    <w:rsid w:val="007662C8"/>
    <w:rsid w:val="00766383"/>
    <w:rsid w:val="007744CE"/>
    <w:rsid w:val="00780679"/>
    <w:rsid w:val="00781E46"/>
    <w:rsid w:val="00786D3C"/>
    <w:rsid w:val="00795943"/>
    <w:rsid w:val="00795F18"/>
    <w:rsid w:val="007964DB"/>
    <w:rsid w:val="007A254C"/>
    <w:rsid w:val="007A2BFA"/>
    <w:rsid w:val="007A32C9"/>
    <w:rsid w:val="007A713A"/>
    <w:rsid w:val="007B0007"/>
    <w:rsid w:val="007B0B76"/>
    <w:rsid w:val="007B6E68"/>
    <w:rsid w:val="007C0E3A"/>
    <w:rsid w:val="007C586E"/>
    <w:rsid w:val="007D4666"/>
    <w:rsid w:val="007E706C"/>
    <w:rsid w:val="007F176D"/>
    <w:rsid w:val="007F795D"/>
    <w:rsid w:val="00804139"/>
    <w:rsid w:val="00805DB7"/>
    <w:rsid w:val="008138D6"/>
    <w:rsid w:val="0081524C"/>
    <w:rsid w:val="00817C09"/>
    <w:rsid w:val="00822F21"/>
    <w:rsid w:val="008239D2"/>
    <w:rsid w:val="00823A9E"/>
    <w:rsid w:val="00835825"/>
    <w:rsid w:val="00836709"/>
    <w:rsid w:val="00836A45"/>
    <w:rsid w:val="00852B78"/>
    <w:rsid w:val="00853835"/>
    <w:rsid w:val="00854885"/>
    <w:rsid w:val="008630F9"/>
    <w:rsid w:val="00865696"/>
    <w:rsid w:val="00867A9F"/>
    <w:rsid w:val="00870257"/>
    <w:rsid w:val="0087047A"/>
    <w:rsid w:val="00877A96"/>
    <w:rsid w:val="00886C25"/>
    <w:rsid w:val="00887153"/>
    <w:rsid w:val="00891F0A"/>
    <w:rsid w:val="00892B98"/>
    <w:rsid w:val="008B318E"/>
    <w:rsid w:val="008B5336"/>
    <w:rsid w:val="008B764F"/>
    <w:rsid w:val="008B7A84"/>
    <w:rsid w:val="008C35DA"/>
    <w:rsid w:val="008C6AD9"/>
    <w:rsid w:val="008C7386"/>
    <w:rsid w:val="008D0AE4"/>
    <w:rsid w:val="008D2010"/>
    <w:rsid w:val="008D35C6"/>
    <w:rsid w:val="008F09C3"/>
    <w:rsid w:val="009054D1"/>
    <w:rsid w:val="009064EF"/>
    <w:rsid w:val="009110ED"/>
    <w:rsid w:val="00912281"/>
    <w:rsid w:val="009162E2"/>
    <w:rsid w:val="00916CC4"/>
    <w:rsid w:val="00922EB3"/>
    <w:rsid w:val="009371D8"/>
    <w:rsid w:val="009457FF"/>
    <w:rsid w:val="009458B2"/>
    <w:rsid w:val="00952EAC"/>
    <w:rsid w:val="0096582C"/>
    <w:rsid w:val="00974204"/>
    <w:rsid w:val="0098572B"/>
    <w:rsid w:val="00985E7E"/>
    <w:rsid w:val="009940BA"/>
    <w:rsid w:val="009A3B1F"/>
    <w:rsid w:val="009A7A58"/>
    <w:rsid w:val="009B1C94"/>
    <w:rsid w:val="009B30CC"/>
    <w:rsid w:val="009B4058"/>
    <w:rsid w:val="009C7530"/>
    <w:rsid w:val="009D0E72"/>
    <w:rsid w:val="009D2315"/>
    <w:rsid w:val="009E442F"/>
    <w:rsid w:val="009F5D9B"/>
    <w:rsid w:val="00A0023E"/>
    <w:rsid w:val="00A01909"/>
    <w:rsid w:val="00A052BF"/>
    <w:rsid w:val="00A10C10"/>
    <w:rsid w:val="00A14C41"/>
    <w:rsid w:val="00A17AF7"/>
    <w:rsid w:val="00A3055C"/>
    <w:rsid w:val="00A32015"/>
    <w:rsid w:val="00A352C5"/>
    <w:rsid w:val="00A41266"/>
    <w:rsid w:val="00A42696"/>
    <w:rsid w:val="00A44543"/>
    <w:rsid w:val="00A52150"/>
    <w:rsid w:val="00A5220C"/>
    <w:rsid w:val="00A5562C"/>
    <w:rsid w:val="00A5594A"/>
    <w:rsid w:val="00A5702D"/>
    <w:rsid w:val="00A57A76"/>
    <w:rsid w:val="00A64F29"/>
    <w:rsid w:val="00A656DC"/>
    <w:rsid w:val="00A767BA"/>
    <w:rsid w:val="00A77F61"/>
    <w:rsid w:val="00A81DA9"/>
    <w:rsid w:val="00A875C8"/>
    <w:rsid w:val="00A92EF6"/>
    <w:rsid w:val="00A95081"/>
    <w:rsid w:val="00A9647F"/>
    <w:rsid w:val="00AA553F"/>
    <w:rsid w:val="00AB1952"/>
    <w:rsid w:val="00AB1DCC"/>
    <w:rsid w:val="00AC09FF"/>
    <w:rsid w:val="00AD1933"/>
    <w:rsid w:val="00AD281B"/>
    <w:rsid w:val="00AE0128"/>
    <w:rsid w:val="00AE0AD8"/>
    <w:rsid w:val="00AE3492"/>
    <w:rsid w:val="00AF09FD"/>
    <w:rsid w:val="00AF0EB2"/>
    <w:rsid w:val="00AF1F66"/>
    <w:rsid w:val="00AF3E94"/>
    <w:rsid w:val="00B031E5"/>
    <w:rsid w:val="00B06EB2"/>
    <w:rsid w:val="00B07202"/>
    <w:rsid w:val="00B07C7C"/>
    <w:rsid w:val="00B12F71"/>
    <w:rsid w:val="00B154AD"/>
    <w:rsid w:val="00B1637E"/>
    <w:rsid w:val="00B24393"/>
    <w:rsid w:val="00B24AFA"/>
    <w:rsid w:val="00B24DB3"/>
    <w:rsid w:val="00B2539B"/>
    <w:rsid w:val="00B34881"/>
    <w:rsid w:val="00B42AA8"/>
    <w:rsid w:val="00B43C65"/>
    <w:rsid w:val="00B471D0"/>
    <w:rsid w:val="00B5765D"/>
    <w:rsid w:val="00B638E5"/>
    <w:rsid w:val="00B64BDB"/>
    <w:rsid w:val="00B654BD"/>
    <w:rsid w:val="00B708EF"/>
    <w:rsid w:val="00B7388C"/>
    <w:rsid w:val="00B74438"/>
    <w:rsid w:val="00B81379"/>
    <w:rsid w:val="00B94FB4"/>
    <w:rsid w:val="00B97580"/>
    <w:rsid w:val="00BA0F3C"/>
    <w:rsid w:val="00BC0E53"/>
    <w:rsid w:val="00BD27B2"/>
    <w:rsid w:val="00BE0CFC"/>
    <w:rsid w:val="00BE476C"/>
    <w:rsid w:val="00C00126"/>
    <w:rsid w:val="00C00725"/>
    <w:rsid w:val="00C1403E"/>
    <w:rsid w:val="00C2594E"/>
    <w:rsid w:val="00C33AEA"/>
    <w:rsid w:val="00C3429A"/>
    <w:rsid w:val="00C428AC"/>
    <w:rsid w:val="00C655A6"/>
    <w:rsid w:val="00C666AB"/>
    <w:rsid w:val="00C71D1D"/>
    <w:rsid w:val="00C73722"/>
    <w:rsid w:val="00C73A7F"/>
    <w:rsid w:val="00C7427D"/>
    <w:rsid w:val="00C747E0"/>
    <w:rsid w:val="00C74E99"/>
    <w:rsid w:val="00C8319E"/>
    <w:rsid w:val="00C93372"/>
    <w:rsid w:val="00C93B21"/>
    <w:rsid w:val="00C94296"/>
    <w:rsid w:val="00C9438B"/>
    <w:rsid w:val="00C94949"/>
    <w:rsid w:val="00C94CBC"/>
    <w:rsid w:val="00CA2322"/>
    <w:rsid w:val="00CA3848"/>
    <w:rsid w:val="00CA777B"/>
    <w:rsid w:val="00CB07F6"/>
    <w:rsid w:val="00CB6BCE"/>
    <w:rsid w:val="00CC4353"/>
    <w:rsid w:val="00CC4D15"/>
    <w:rsid w:val="00CC4FF6"/>
    <w:rsid w:val="00CD6E51"/>
    <w:rsid w:val="00CE5D9E"/>
    <w:rsid w:val="00CF251B"/>
    <w:rsid w:val="00CF3856"/>
    <w:rsid w:val="00CF44E0"/>
    <w:rsid w:val="00D007AB"/>
    <w:rsid w:val="00D008CF"/>
    <w:rsid w:val="00D03E32"/>
    <w:rsid w:val="00D04129"/>
    <w:rsid w:val="00D04B82"/>
    <w:rsid w:val="00D07854"/>
    <w:rsid w:val="00D13EBC"/>
    <w:rsid w:val="00D22699"/>
    <w:rsid w:val="00D25AE8"/>
    <w:rsid w:val="00D4023C"/>
    <w:rsid w:val="00D41E9E"/>
    <w:rsid w:val="00D4395B"/>
    <w:rsid w:val="00D470B5"/>
    <w:rsid w:val="00D47CB1"/>
    <w:rsid w:val="00D511A0"/>
    <w:rsid w:val="00D56CB8"/>
    <w:rsid w:val="00D62201"/>
    <w:rsid w:val="00D66B94"/>
    <w:rsid w:val="00D70516"/>
    <w:rsid w:val="00D749FD"/>
    <w:rsid w:val="00D83B9C"/>
    <w:rsid w:val="00D84281"/>
    <w:rsid w:val="00D86C9B"/>
    <w:rsid w:val="00D87934"/>
    <w:rsid w:val="00D902D8"/>
    <w:rsid w:val="00D91105"/>
    <w:rsid w:val="00D935CF"/>
    <w:rsid w:val="00D95DC8"/>
    <w:rsid w:val="00DA04FC"/>
    <w:rsid w:val="00DA209A"/>
    <w:rsid w:val="00DA6087"/>
    <w:rsid w:val="00DB54BC"/>
    <w:rsid w:val="00DB6E62"/>
    <w:rsid w:val="00DC2D6E"/>
    <w:rsid w:val="00DC3D42"/>
    <w:rsid w:val="00DC5316"/>
    <w:rsid w:val="00DE2601"/>
    <w:rsid w:val="00DE4B24"/>
    <w:rsid w:val="00E00D72"/>
    <w:rsid w:val="00E0520E"/>
    <w:rsid w:val="00E12A0F"/>
    <w:rsid w:val="00E31192"/>
    <w:rsid w:val="00E317E4"/>
    <w:rsid w:val="00E54185"/>
    <w:rsid w:val="00E5442A"/>
    <w:rsid w:val="00E636A9"/>
    <w:rsid w:val="00E6714D"/>
    <w:rsid w:val="00E836DB"/>
    <w:rsid w:val="00E86E07"/>
    <w:rsid w:val="00E91547"/>
    <w:rsid w:val="00E92C45"/>
    <w:rsid w:val="00EA67BF"/>
    <w:rsid w:val="00EA77F6"/>
    <w:rsid w:val="00EA7BD5"/>
    <w:rsid w:val="00EB2370"/>
    <w:rsid w:val="00EB5304"/>
    <w:rsid w:val="00EC06C2"/>
    <w:rsid w:val="00EC2CD4"/>
    <w:rsid w:val="00EC4420"/>
    <w:rsid w:val="00EC7D99"/>
    <w:rsid w:val="00ED219A"/>
    <w:rsid w:val="00EE2118"/>
    <w:rsid w:val="00EE7D75"/>
    <w:rsid w:val="00EF24CC"/>
    <w:rsid w:val="00F006F4"/>
    <w:rsid w:val="00F351E4"/>
    <w:rsid w:val="00F354F1"/>
    <w:rsid w:val="00F36EF0"/>
    <w:rsid w:val="00F4367E"/>
    <w:rsid w:val="00F45C5F"/>
    <w:rsid w:val="00F5102F"/>
    <w:rsid w:val="00F64D2C"/>
    <w:rsid w:val="00F72B8B"/>
    <w:rsid w:val="00F7399C"/>
    <w:rsid w:val="00F7486A"/>
    <w:rsid w:val="00F765F1"/>
    <w:rsid w:val="00F87408"/>
    <w:rsid w:val="00F87DFE"/>
    <w:rsid w:val="00FA0ECC"/>
    <w:rsid w:val="00FB4D73"/>
    <w:rsid w:val="00FC716F"/>
    <w:rsid w:val="00FD6406"/>
    <w:rsid w:val="00FE0250"/>
    <w:rsid w:val="00FE1D13"/>
    <w:rsid w:val="00FE4B30"/>
    <w:rsid w:val="00FE6D4D"/>
    <w:rsid w:val="00FF310D"/>
    <w:rsid w:val="00FF34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98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48"/>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F36EF0"/>
    <w:pPr>
      <w:keepNext/>
      <w:spacing w:before="24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table" w:styleId="TableGrid">
    <w:name w:val="Table Grid"/>
    <w:basedOn w:val="TableNormal"/>
    <w:rsid w:val="0013046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paragraph" w:customStyle="1" w:styleId="NumberedParagraph">
    <w:name w:val="Numbered Paragraph"/>
    <w:basedOn w:val="Normal"/>
    <w:link w:val="NumberedParagraphChar"/>
    <w:rsid w:val="00A52150"/>
    <w:pPr>
      <w:numPr>
        <w:numId w:val="1"/>
      </w:numPr>
    </w:pPr>
  </w:style>
  <w:style w:type="character" w:styleId="CommentReference">
    <w:name w:val="annotation reference"/>
    <w:basedOn w:val="DefaultParagraphFont"/>
    <w:semiHidden/>
    <w:rsid w:val="00EC2CD4"/>
    <w:rPr>
      <w:sz w:val="16"/>
      <w:szCs w:val="16"/>
    </w:rPr>
  </w:style>
  <w:style w:type="paragraph" w:styleId="CommentText">
    <w:name w:val="annotation text"/>
    <w:basedOn w:val="Normal"/>
    <w:semiHidden/>
    <w:rsid w:val="00EC2CD4"/>
    <w:rPr>
      <w:sz w:val="20"/>
    </w:rPr>
  </w:style>
  <w:style w:type="paragraph" w:styleId="CommentSubject">
    <w:name w:val="annotation subject"/>
    <w:basedOn w:val="CommentText"/>
    <w:next w:val="CommentText"/>
    <w:semiHidden/>
    <w:rsid w:val="00EC2CD4"/>
    <w:rPr>
      <w:b/>
      <w:bCs/>
    </w:rPr>
  </w:style>
  <w:style w:type="paragraph" w:styleId="BalloonText">
    <w:name w:val="Balloon Text"/>
    <w:basedOn w:val="Normal"/>
    <w:semiHidden/>
    <w:rsid w:val="00EC2CD4"/>
    <w:rPr>
      <w:rFonts w:ascii="Tahoma" w:hAnsi="Tahoma" w:cs="Tahoma"/>
      <w:sz w:val="16"/>
      <w:szCs w:val="16"/>
    </w:rPr>
  </w:style>
  <w:style w:type="paragraph" w:customStyle="1" w:styleId="Bullet">
    <w:name w:val="Bullet"/>
    <w:basedOn w:val="Normal"/>
    <w:rsid w:val="00EC2CD4"/>
    <w:pPr>
      <w:numPr>
        <w:numId w:val="2"/>
      </w:numPr>
    </w:pPr>
  </w:style>
  <w:style w:type="paragraph" w:customStyle="1" w:styleId="Dash">
    <w:name w:val="Dash"/>
    <w:basedOn w:val="Normal"/>
    <w:rsid w:val="00EC2CD4"/>
    <w:pPr>
      <w:numPr>
        <w:ilvl w:val="1"/>
        <w:numId w:val="2"/>
      </w:numPr>
    </w:pPr>
  </w:style>
  <w:style w:type="paragraph" w:customStyle="1" w:styleId="DoubleDot">
    <w:name w:val="Double Dot"/>
    <w:basedOn w:val="Normal"/>
    <w:rsid w:val="00EC2CD4"/>
    <w:pPr>
      <w:numPr>
        <w:ilvl w:val="2"/>
        <w:numId w:val="2"/>
      </w:numPr>
    </w:pPr>
  </w:style>
  <w:style w:type="paragraph" w:customStyle="1" w:styleId="paragraph">
    <w:name w:val="paragraph"/>
    <w:aliases w:val="a"/>
    <w:rsid w:val="00BE0CFC"/>
    <w:pPr>
      <w:tabs>
        <w:tab w:val="right" w:pos="1531"/>
      </w:tabs>
      <w:spacing w:before="40"/>
      <w:ind w:left="1644" w:hanging="1644"/>
    </w:pPr>
    <w:rPr>
      <w:sz w:val="22"/>
      <w:szCs w:val="24"/>
    </w:rPr>
  </w:style>
  <w:style w:type="paragraph" w:customStyle="1" w:styleId="subsection">
    <w:name w:val="subsection"/>
    <w:aliases w:val="ss"/>
    <w:rsid w:val="00BE0CFC"/>
    <w:pPr>
      <w:tabs>
        <w:tab w:val="right" w:pos="1021"/>
      </w:tabs>
      <w:spacing w:before="180"/>
      <w:ind w:left="1134" w:hanging="1134"/>
    </w:pPr>
    <w:rPr>
      <w:sz w:val="22"/>
      <w:szCs w:val="24"/>
    </w:rPr>
  </w:style>
  <w:style w:type="paragraph" w:customStyle="1" w:styleId="Definition">
    <w:name w:val="Definition"/>
    <w:aliases w:val="dd"/>
    <w:basedOn w:val="subsection"/>
    <w:rsid w:val="00083093"/>
    <w:pPr>
      <w:tabs>
        <w:tab w:val="clear" w:pos="1021"/>
      </w:tabs>
      <w:ind w:firstLine="0"/>
    </w:pPr>
  </w:style>
  <w:style w:type="paragraph" w:customStyle="1" w:styleId="notetext">
    <w:name w:val="note(text)"/>
    <w:aliases w:val="n"/>
    <w:rsid w:val="00083093"/>
    <w:pPr>
      <w:spacing w:before="122" w:line="198" w:lineRule="exact"/>
      <w:ind w:left="1985" w:hanging="851"/>
    </w:pPr>
    <w:rPr>
      <w:sz w:val="18"/>
      <w:szCs w:val="24"/>
    </w:rPr>
  </w:style>
  <w:style w:type="paragraph" w:customStyle="1" w:styleId="subsection2">
    <w:name w:val="subsection2"/>
    <w:aliases w:val="ss2"/>
    <w:basedOn w:val="subsection"/>
    <w:next w:val="subsection"/>
    <w:rsid w:val="00083093"/>
    <w:pPr>
      <w:tabs>
        <w:tab w:val="clear" w:pos="1021"/>
      </w:tabs>
      <w:spacing w:before="40"/>
      <w:ind w:firstLine="0"/>
    </w:pPr>
  </w:style>
  <w:style w:type="paragraph" w:customStyle="1" w:styleId="base-text-paragraphnonumbers">
    <w:name w:val="base-text-paragraph no numbers"/>
    <w:basedOn w:val="Normal"/>
    <w:link w:val="base-text-paragraphnonumbersChar"/>
    <w:rsid w:val="00083093"/>
    <w:pPr>
      <w:spacing w:before="120" w:after="120"/>
      <w:ind w:left="1134"/>
    </w:pPr>
    <w:rPr>
      <w:sz w:val="22"/>
    </w:rPr>
  </w:style>
  <w:style w:type="paragraph" w:customStyle="1" w:styleId="dotpoint">
    <w:name w:val="dot point"/>
    <w:basedOn w:val="Normal"/>
    <w:link w:val="dotpointChar"/>
    <w:rsid w:val="00083093"/>
    <w:pPr>
      <w:numPr>
        <w:numId w:val="4"/>
      </w:numPr>
      <w:spacing w:before="120" w:after="120"/>
    </w:pPr>
    <w:rPr>
      <w:sz w:val="22"/>
    </w:rPr>
  </w:style>
  <w:style w:type="paragraph" w:customStyle="1" w:styleId="dotpoint2">
    <w:name w:val="dot point 2"/>
    <w:basedOn w:val="Normal"/>
    <w:rsid w:val="00083093"/>
    <w:pPr>
      <w:numPr>
        <w:ilvl w:val="1"/>
        <w:numId w:val="4"/>
      </w:numPr>
      <w:spacing w:before="120" w:after="120"/>
    </w:pPr>
    <w:rPr>
      <w:sz w:val="22"/>
    </w:rPr>
  </w:style>
  <w:style w:type="character" w:customStyle="1" w:styleId="base-text-paragraphnonumbersChar">
    <w:name w:val="base-text-paragraph no numbers Char"/>
    <w:basedOn w:val="DefaultParagraphFont"/>
    <w:link w:val="base-text-paragraphnonumbers"/>
    <w:rsid w:val="00083093"/>
    <w:rPr>
      <w:sz w:val="22"/>
      <w:lang w:val="en-AU" w:eastAsia="en-AU" w:bidi="ar-SA"/>
    </w:rPr>
  </w:style>
  <w:style w:type="paragraph" w:customStyle="1" w:styleId="CharCharCharCharCharCharCharCharChar">
    <w:name w:val="Char Char Char Char Char Char Char Char Char"/>
    <w:basedOn w:val="Normal"/>
    <w:semiHidden/>
    <w:rsid w:val="00083093"/>
    <w:pPr>
      <w:spacing w:after="160" w:line="240" w:lineRule="exact"/>
    </w:pPr>
    <w:rPr>
      <w:rFonts w:ascii="Verdana" w:hAnsi="Verdana"/>
      <w:sz w:val="20"/>
      <w:szCs w:val="24"/>
      <w:lang w:val="en-US" w:eastAsia="en-US"/>
    </w:rPr>
  </w:style>
  <w:style w:type="character" w:customStyle="1" w:styleId="dotpointChar">
    <w:name w:val="dot point Char"/>
    <w:basedOn w:val="DefaultParagraphFont"/>
    <w:link w:val="dotpoint"/>
    <w:rsid w:val="00083093"/>
    <w:rPr>
      <w:sz w:val="22"/>
      <w:lang w:val="en-AU" w:eastAsia="en-AU" w:bidi="ar-SA"/>
    </w:rPr>
  </w:style>
  <w:style w:type="paragraph" w:customStyle="1" w:styleId="CharCharCharCharCharChar">
    <w:name w:val="Char Char Char Char Char Char"/>
    <w:basedOn w:val="Normal"/>
    <w:rsid w:val="00C3429A"/>
    <w:pPr>
      <w:spacing w:after="160" w:line="240" w:lineRule="exact"/>
    </w:pPr>
    <w:rPr>
      <w:rFonts w:ascii="Verdana" w:hAnsi="Verdana"/>
      <w:sz w:val="20"/>
      <w:szCs w:val="24"/>
      <w:lang w:val="en-US" w:eastAsia="en-US"/>
    </w:rPr>
  </w:style>
  <w:style w:type="paragraph" w:styleId="Header">
    <w:name w:val="header"/>
    <w:basedOn w:val="Normal"/>
    <w:rsid w:val="00323F0A"/>
    <w:pPr>
      <w:tabs>
        <w:tab w:val="center" w:pos="4153"/>
        <w:tab w:val="right" w:pos="8306"/>
      </w:tabs>
    </w:pPr>
  </w:style>
  <w:style w:type="paragraph" w:styleId="Footer">
    <w:name w:val="footer"/>
    <w:basedOn w:val="Normal"/>
    <w:rsid w:val="00323F0A"/>
    <w:pPr>
      <w:tabs>
        <w:tab w:val="center" w:pos="4153"/>
        <w:tab w:val="right" w:pos="8306"/>
      </w:tabs>
    </w:pPr>
  </w:style>
  <w:style w:type="character" w:styleId="PageNumber">
    <w:name w:val="page number"/>
    <w:basedOn w:val="DefaultParagraphFont"/>
    <w:rsid w:val="00323F0A"/>
  </w:style>
  <w:style w:type="numbering" w:styleId="111111">
    <w:name w:val="Outline List 2"/>
    <w:basedOn w:val="NoList"/>
    <w:rsid w:val="009457FF"/>
    <w:pPr>
      <w:numPr>
        <w:numId w:val="6"/>
      </w:numPr>
    </w:pPr>
  </w:style>
  <w:style w:type="paragraph" w:customStyle="1" w:styleId="Char">
    <w:name w:val="Char"/>
    <w:basedOn w:val="Normal"/>
    <w:rsid w:val="00B24AFA"/>
    <w:pPr>
      <w:spacing w:after="160" w:line="240" w:lineRule="exact"/>
    </w:pPr>
    <w:rPr>
      <w:rFonts w:ascii="Verdana" w:hAnsi="Verdana"/>
      <w:sz w:val="20"/>
      <w:szCs w:val="24"/>
      <w:lang w:val="en-US" w:eastAsia="en-US"/>
    </w:rPr>
  </w:style>
  <w:style w:type="paragraph" w:customStyle="1" w:styleId="AlphaParagraph">
    <w:name w:val="Alpha Paragraph"/>
    <w:basedOn w:val="Normal"/>
    <w:rsid w:val="00552026"/>
    <w:pPr>
      <w:numPr>
        <w:numId w:val="11"/>
      </w:numPr>
      <w:spacing w:line="260" w:lineRule="exact"/>
      <w:jc w:val="both"/>
    </w:pPr>
    <w:rPr>
      <w:color w:val="000000"/>
    </w:rPr>
  </w:style>
  <w:style w:type="paragraph" w:customStyle="1" w:styleId="ChartandTableFootnoteAlpha">
    <w:name w:val="Chart and Table Footnote Alpha"/>
    <w:rsid w:val="0013046E"/>
    <w:pPr>
      <w:numPr>
        <w:numId w:val="10"/>
      </w:numPr>
      <w:jc w:val="both"/>
    </w:pPr>
    <w:rPr>
      <w:color w:val="000000"/>
      <w:sz w:val="18"/>
      <w:szCs w:val="16"/>
    </w:rPr>
  </w:style>
  <w:style w:type="character" w:styleId="Hyperlink">
    <w:name w:val="Hyperlink"/>
    <w:basedOn w:val="DefaultParagraphFont"/>
    <w:rsid w:val="00B43C65"/>
    <w:rPr>
      <w:color w:val="0000FF"/>
      <w:u w:val="single"/>
    </w:rPr>
  </w:style>
  <w:style w:type="paragraph" w:customStyle="1" w:styleId="OutlineNumbered1">
    <w:name w:val="Outline Numbered 1"/>
    <w:basedOn w:val="Normal"/>
    <w:link w:val="OutlineNumbered1Char"/>
    <w:rsid w:val="009E442F"/>
    <w:pPr>
      <w:numPr>
        <w:numId w:val="18"/>
      </w:numPr>
    </w:pPr>
  </w:style>
  <w:style w:type="character" w:customStyle="1" w:styleId="NumberedParagraphChar">
    <w:name w:val="Numbered Paragraph Char"/>
    <w:basedOn w:val="DefaultParagraphFont"/>
    <w:link w:val="NumberedParagraph"/>
    <w:rsid w:val="009E442F"/>
    <w:rPr>
      <w:sz w:val="24"/>
    </w:rPr>
  </w:style>
  <w:style w:type="character" w:customStyle="1" w:styleId="OutlineNumbered1Char">
    <w:name w:val="Outline Numbered 1 Char"/>
    <w:basedOn w:val="NumberedParagraphChar"/>
    <w:link w:val="OutlineNumbered1"/>
    <w:rsid w:val="009E442F"/>
    <w:rPr>
      <w:sz w:val="24"/>
    </w:rPr>
  </w:style>
  <w:style w:type="paragraph" w:customStyle="1" w:styleId="OutlineNumbered2">
    <w:name w:val="Outline Numbered 2"/>
    <w:basedOn w:val="Normal"/>
    <w:link w:val="OutlineNumbered2Char"/>
    <w:rsid w:val="009E442F"/>
    <w:pPr>
      <w:numPr>
        <w:ilvl w:val="1"/>
        <w:numId w:val="18"/>
      </w:numPr>
    </w:pPr>
  </w:style>
  <w:style w:type="character" w:customStyle="1" w:styleId="OutlineNumbered2Char">
    <w:name w:val="Outline Numbered 2 Char"/>
    <w:basedOn w:val="NumberedParagraphChar"/>
    <w:link w:val="OutlineNumbered2"/>
    <w:rsid w:val="009E442F"/>
    <w:rPr>
      <w:sz w:val="24"/>
    </w:rPr>
  </w:style>
  <w:style w:type="paragraph" w:customStyle="1" w:styleId="OutlineNumbered3">
    <w:name w:val="Outline Numbered 3"/>
    <w:basedOn w:val="Normal"/>
    <w:link w:val="OutlineNumbered3Char"/>
    <w:rsid w:val="009E442F"/>
    <w:pPr>
      <w:numPr>
        <w:ilvl w:val="2"/>
        <w:numId w:val="18"/>
      </w:numPr>
    </w:pPr>
  </w:style>
  <w:style w:type="character" w:customStyle="1" w:styleId="OutlineNumbered3Char">
    <w:name w:val="Outline Numbered 3 Char"/>
    <w:basedOn w:val="NumberedParagraphChar"/>
    <w:link w:val="OutlineNumbered3"/>
    <w:rsid w:val="009E44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48"/>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F36EF0"/>
    <w:pPr>
      <w:keepNext/>
      <w:spacing w:before="24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table" w:styleId="TableGrid">
    <w:name w:val="Table Grid"/>
    <w:basedOn w:val="TableNormal"/>
    <w:rsid w:val="0013046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paragraph" w:customStyle="1" w:styleId="NumberedParagraph">
    <w:name w:val="Numbered Paragraph"/>
    <w:basedOn w:val="Normal"/>
    <w:link w:val="NumberedParagraphChar"/>
    <w:rsid w:val="00A52150"/>
    <w:pPr>
      <w:numPr>
        <w:numId w:val="1"/>
      </w:numPr>
    </w:pPr>
  </w:style>
  <w:style w:type="character" w:styleId="CommentReference">
    <w:name w:val="annotation reference"/>
    <w:basedOn w:val="DefaultParagraphFont"/>
    <w:semiHidden/>
    <w:rsid w:val="00EC2CD4"/>
    <w:rPr>
      <w:sz w:val="16"/>
      <w:szCs w:val="16"/>
    </w:rPr>
  </w:style>
  <w:style w:type="paragraph" w:styleId="CommentText">
    <w:name w:val="annotation text"/>
    <w:basedOn w:val="Normal"/>
    <w:semiHidden/>
    <w:rsid w:val="00EC2CD4"/>
    <w:rPr>
      <w:sz w:val="20"/>
    </w:rPr>
  </w:style>
  <w:style w:type="paragraph" w:styleId="CommentSubject">
    <w:name w:val="annotation subject"/>
    <w:basedOn w:val="CommentText"/>
    <w:next w:val="CommentText"/>
    <w:semiHidden/>
    <w:rsid w:val="00EC2CD4"/>
    <w:rPr>
      <w:b/>
      <w:bCs/>
    </w:rPr>
  </w:style>
  <w:style w:type="paragraph" w:styleId="BalloonText">
    <w:name w:val="Balloon Text"/>
    <w:basedOn w:val="Normal"/>
    <w:semiHidden/>
    <w:rsid w:val="00EC2CD4"/>
    <w:rPr>
      <w:rFonts w:ascii="Tahoma" w:hAnsi="Tahoma" w:cs="Tahoma"/>
      <w:sz w:val="16"/>
      <w:szCs w:val="16"/>
    </w:rPr>
  </w:style>
  <w:style w:type="paragraph" w:customStyle="1" w:styleId="Bullet">
    <w:name w:val="Bullet"/>
    <w:basedOn w:val="Normal"/>
    <w:rsid w:val="00EC2CD4"/>
    <w:pPr>
      <w:numPr>
        <w:numId w:val="2"/>
      </w:numPr>
    </w:pPr>
  </w:style>
  <w:style w:type="paragraph" w:customStyle="1" w:styleId="Dash">
    <w:name w:val="Dash"/>
    <w:basedOn w:val="Normal"/>
    <w:rsid w:val="00EC2CD4"/>
    <w:pPr>
      <w:numPr>
        <w:ilvl w:val="1"/>
        <w:numId w:val="2"/>
      </w:numPr>
    </w:pPr>
  </w:style>
  <w:style w:type="paragraph" w:customStyle="1" w:styleId="DoubleDot">
    <w:name w:val="Double Dot"/>
    <w:basedOn w:val="Normal"/>
    <w:rsid w:val="00EC2CD4"/>
    <w:pPr>
      <w:numPr>
        <w:ilvl w:val="2"/>
        <w:numId w:val="2"/>
      </w:numPr>
    </w:pPr>
  </w:style>
  <w:style w:type="paragraph" w:customStyle="1" w:styleId="paragraph">
    <w:name w:val="paragraph"/>
    <w:aliases w:val="a"/>
    <w:rsid w:val="00BE0CFC"/>
    <w:pPr>
      <w:tabs>
        <w:tab w:val="right" w:pos="1531"/>
      </w:tabs>
      <w:spacing w:before="40"/>
      <w:ind w:left="1644" w:hanging="1644"/>
    </w:pPr>
    <w:rPr>
      <w:sz w:val="22"/>
      <w:szCs w:val="24"/>
    </w:rPr>
  </w:style>
  <w:style w:type="paragraph" w:customStyle="1" w:styleId="subsection">
    <w:name w:val="subsection"/>
    <w:aliases w:val="ss"/>
    <w:rsid w:val="00BE0CFC"/>
    <w:pPr>
      <w:tabs>
        <w:tab w:val="right" w:pos="1021"/>
      </w:tabs>
      <w:spacing w:before="180"/>
      <w:ind w:left="1134" w:hanging="1134"/>
    </w:pPr>
    <w:rPr>
      <w:sz w:val="22"/>
      <w:szCs w:val="24"/>
    </w:rPr>
  </w:style>
  <w:style w:type="paragraph" w:customStyle="1" w:styleId="Definition">
    <w:name w:val="Definition"/>
    <w:aliases w:val="dd"/>
    <w:basedOn w:val="subsection"/>
    <w:rsid w:val="00083093"/>
    <w:pPr>
      <w:tabs>
        <w:tab w:val="clear" w:pos="1021"/>
      </w:tabs>
      <w:ind w:firstLine="0"/>
    </w:pPr>
  </w:style>
  <w:style w:type="paragraph" w:customStyle="1" w:styleId="notetext">
    <w:name w:val="note(text)"/>
    <w:aliases w:val="n"/>
    <w:rsid w:val="00083093"/>
    <w:pPr>
      <w:spacing w:before="122" w:line="198" w:lineRule="exact"/>
      <w:ind w:left="1985" w:hanging="851"/>
    </w:pPr>
    <w:rPr>
      <w:sz w:val="18"/>
      <w:szCs w:val="24"/>
    </w:rPr>
  </w:style>
  <w:style w:type="paragraph" w:customStyle="1" w:styleId="subsection2">
    <w:name w:val="subsection2"/>
    <w:aliases w:val="ss2"/>
    <w:basedOn w:val="subsection"/>
    <w:next w:val="subsection"/>
    <w:rsid w:val="00083093"/>
    <w:pPr>
      <w:tabs>
        <w:tab w:val="clear" w:pos="1021"/>
      </w:tabs>
      <w:spacing w:before="40"/>
      <w:ind w:firstLine="0"/>
    </w:pPr>
  </w:style>
  <w:style w:type="paragraph" w:customStyle="1" w:styleId="base-text-paragraphnonumbers">
    <w:name w:val="base-text-paragraph no numbers"/>
    <w:basedOn w:val="Normal"/>
    <w:link w:val="base-text-paragraphnonumbersChar"/>
    <w:rsid w:val="00083093"/>
    <w:pPr>
      <w:spacing w:before="120" w:after="120"/>
      <w:ind w:left="1134"/>
    </w:pPr>
    <w:rPr>
      <w:sz w:val="22"/>
    </w:rPr>
  </w:style>
  <w:style w:type="paragraph" w:customStyle="1" w:styleId="dotpoint">
    <w:name w:val="dot point"/>
    <w:basedOn w:val="Normal"/>
    <w:link w:val="dotpointChar"/>
    <w:rsid w:val="00083093"/>
    <w:pPr>
      <w:numPr>
        <w:numId w:val="4"/>
      </w:numPr>
      <w:spacing w:before="120" w:after="120"/>
    </w:pPr>
    <w:rPr>
      <w:sz w:val="22"/>
    </w:rPr>
  </w:style>
  <w:style w:type="paragraph" w:customStyle="1" w:styleId="dotpoint2">
    <w:name w:val="dot point 2"/>
    <w:basedOn w:val="Normal"/>
    <w:rsid w:val="00083093"/>
    <w:pPr>
      <w:numPr>
        <w:ilvl w:val="1"/>
        <w:numId w:val="4"/>
      </w:numPr>
      <w:spacing w:before="120" w:after="120"/>
    </w:pPr>
    <w:rPr>
      <w:sz w:val="22"/>
    </w:rPr>
  </w:style>
  <w:style w:type="character" w:customStyle="1" w:styleId="base-text-paragraphnonumbersChar">
    <w:name w:val="base-text-paragraph no numbers Char"/>
    <w:basedOn w:val="DefaultParagraphFont"/>
    <w:link w:val="base-text-paragraphnonumbers"/>
    <w:rsid w:val="00083093"/>
    <w:rPr>
      <w:sz w:val="22"/>
      <w:lang w:val="en-AU" w:eastAsia="en-AU" w:bidi="ar-SA"/>
    </w:rPr>
  </w:style>
  <w:style w:type="paragraph" w:customStyle="1" w:styleId="CharCharCharCharCharCharCharCharChar">
    <w:name w:val="Char Char Char Char Char Char Char Char Char"/>
    <w:basedOn w:val="Normal"/>
    <w:semiHidden/>
    <w:rsid w:val="00083093"/>
    <w:pPr>
      <w:spacing w:after="160" w:line="240" w:lineRule="exact"/>
    </w:pPr>
    <w:rPr>
      <w:rFonts w:ascii="Verdana" w:hAnsi="Verdana"/>
      <w:sz w:val="20"/>
      <w:szCs w:val="24"/>
      <w:lang w:val="en-US" w:eastAsia="en-US"/>
    </w:rPr>
  </w:style>
  <w:style w:type="character" w:customStyle="1" w:styleId="dotpointChar">
    <w:name w:val="dot point Char"/>
    <w:basedOn w:val="DefaultParagraphFont"/>
    <w:link w:val="dotpoint"/>
    <w:rsid w:val="00083093"/>
    <w:rPr>
      <w:sz w:val="22"/>
      <w:lang w:val="en-AU" w:eastAsia="en-AU" w:bidi="ar-SA"/>
    </w:rPr>
  </w:style>
  <w:style w:type="paragraph" w:customStyle="1" w:styleId="CharCharCharCharCharChar">
    <w:name w:val="Char Char Char Char Char Char"/>
    <w:basedOn w:val="Normal"/>
    <w:rsid w:val="00C3429A"/>
    <w:pPr>
      <w:spacing w:after="160" w:line="240" w:lineRule="exact"/>
    </w:pPr>
    <w:rPr>
      <w:rFonts w:ascii="Verdana" w:hAnsi="Verdana"/>
      <w:sz w:val="20"/>
      <w:szCs w:val="24"/>
      <w:lang w:val="en-US" w:eastAsia="en-US"/>
    </w:rPr>
  </w:style>
  <w:style w:type="paragraph" w:styleId="Header">
    <w:name w:val="header"/>
    <w:basedOn w:val="Normal"/>
    <w:rsid w:val="00323F0A"/>
    <w:pPr>
      <w:tabs>
        <w:tab w:val="center" w:pos="4153"/>
        <w:tab w:val="right" w:pos="8306"/>
      </w:tabs>
    </w:pPr>
  </w:style>
  <w:style w:type="paragraph" w:styleId="Footer">
    <w:name w:val="footer"/>
    <w:basedOn w:val="Normal"/>
    <w:rsid w:val="00323F0A"/>
    <w:pPr>
      <w:tabs>
        <w:tab w:val="center" w:pos="4153"/>
        <w:tab w:val="right" w:pos="8306"/>
      </w:tabs>
    </w:pPr>
  </w:style>
  <w:style w:type="character" w:styleId="PageNumber">
    <w:name w:val="page number"/>
    <w:basedOn w:val="DefaultParagraphFont"/>
    <w:rsid w:val="00323F0A"/>
  </w:style>
  <w:style w:type="numbering" w:styleId="111111">
    <w:name w:val="Outline List 2"/>
    <w:basedOn w:val="NoList"/>
    <w:rsid w:val="009457FF"/>
    <w:pPr>
      <w:numPr>
        <w:numId w:val="6"/>
      </w:numPr>
    </w:pPr>
  </w:style>
  <w:style w:type="paragraph" w:customStyle="1" w:styleId="Char">
    <w:name w:val="Char"/>
    <w:basedOn w:val="Normal"/>
    <w:rsid w:val="00B24AFA"/>
    <w:pPr>
      <w:spacing w:after="160" w:line="240" w:lineRule="exact"/>
    </w:pPr>
    <w:rPr>
      <w:rFonts w:ascii="Verdana" w:hAnsi="Verdana"/>
      <w:sz w:val="20"/>
      <w:szCs w:val="24"/>
      <w:lang w:val="en-US" w:eastAsia="en-US"/>
    </w:rPr>
  </w:style>
  <w:style w:type="paragraph" w:customStyle="1" w:styleId="AlphaParagraph">
    <w:name w:val="Alpha Paragraph"/>
    <w:basedOn w:val="Normal"/>
    <w:rsid w:val="00552026"/>
    <w:pPr>
      <w:numPr>
        <w:numId w:val="11"/>
      </w:numPr>
      <w:spacing w:line="260" w:lineRule="exact"/>
      <w:jc w:val="both"/>
    </w:pPr>
    <w:rPr>
      <w:color w:val="000000"/>
    </w:rPr>
  </w:style>
  <w:style w:type="paragraph" w:customStyle="1" w:styleId="ChartandTableFootnoteAlpha">
    <w:name w:val="Chart and Table Footnote Alpha"/>
    <w:rsid w:val="0013046E"/>
    <w:pPr>
      <w:numPr>
        <w:numId w:val="10"/>
      </w:numPr>
      <w:jc w:val="both"/>
    </w:pPr>
    <w:rPr>
      <w:color w:val="000000"/>
      <w:sz w:val="18"/>
      <w:szCs w:val="16"/>
    </w:rPr>
  </w:style>
  <w:style w:type="character" w:styleId="Hyperlink">
    <w:name w:val="Hyperlink"/>
    <w:basedOn w:val="DefaultParagraphFont"/>
    <w:rsid w:val="00B43C65"/>
    <w:rPr>
      <w:color w:val="0000FF"/>
      <w:u w:val="single"/>
    </w:rPr>
  </w:style>
  <w:style w:type="paragraph" w:customStyle="1" w:styleId="OutlineNumbered1">
    <w:name w:val="Outline Numbered 1"/>
    <w:basedOn w:val="Normal"/>
    <w:link w:val="OutlineNumbered1Char"/>
    <w:rsid w:val="009E442F"/>
    <w:pPr>
      <w:numPr>
        <w:numId w:val="18"/>
      </w:numPr>
    </w:pPr>
  </w:style>
  <w:style w:type="character" w:customStyle="1" w:styleId="NumberedParagraphChar">
    <w:name w:val="Numbered Paragraph Char"/>
    <w:basedOn w:val="DefaultParagraphFont"/>
    <w:link w:val="NumberedParagraph"/>
    <w:rsid w:val="009E442F"/>
    <w:rPr>
      <w:sz w:val="24"/>
    </w:rPr>
  </w:style>
  <w:style w:type="character" w:customStyle="1" w:styleId="OutlineNumbered1Char">
    <w:name w:val="Outline Numbered 1 Char"/>
    <w:basedOn w:val="NumberedParagraphChar"/>
    <w:link w:val="OutlineNumbered1"/>
    <w:rsid w:val="009E442F"/>
    <w:rPr>
      <w:sz w:val="24"/>
    </w:rPr>
  </w:style>
  <w:style w:type="paragraph" w:customStyle="1" w:styleId="OutlineNumbered2">
    <w:name w:val="Outline Numbered 2"/>
    <w:basedOn w:val="Normal"/>
    <w:link w:val="OutlineNumbered2Char"/>
    <w:rsid w:val="009E442F"/>
    <w:pPr>
      <w:numPr>
        <w:ilvl w:val="1"/>
        <w:numId w:val="18"/>
      </w:numPr>
    </w:pPr>
  </w:style>
  <w:style w:type="character" w:customStyle="1" w:styleId="OutlineNumbered2Char">
    <w:name w:val="Outline Numbered 2 Char"/>
    <w:basedOn w:val="NumberedParagraphChar"/>
    <w:link w:val="OutlineNumbered2"/>
    <w:rsid w:val="009E442F"/>
    <w:rPr>
      <w:sz w:val="24"/>
    </w:rPr>
  </w:style>
  <w:style w:type="paragraph" w:customStyle="1" w:styleId="OutlineNumbered3">
    <w:name w:val="Outline Numbered 3"/>
    <w:basedOn w:val="Normal"/>
    <w:link w:val="OutlineNumbered3Char"/>
    <w:rsid w:val="009E442F"/>
    <w:pPr>
      <w:numPr>
        <w:ilvl w:val="2"/>
        <w:numId w:val="18"/>
      </w:numPr>
    </w:pPr>
  </w:style>
  <w:style w:type="character" w:customStyle="1" w:styleId="OutlineNumbered3Char">
    <w:name w:val="Outline Numbered 3 Char"/>
    <w:basedOn w:val="NumberedParagraphChar"/>
    <w:link w:val="OutlineNumbered3"/>
    <w:rsid w:val="009E44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806">
      <w:bodyDiv w:val="1"/>
      <w:marLeft w:val="0"/>
      <w:marRight w:val="0"/>
      <w:marTop w:val="0"/>
      <w:marBottom w:val="0"/>
      <w:divBdr>
        <w:top w:val="none" w:sz="0" w:space="0" w:color="auto"/>
        <w:left w:val="none" w:sz="0" w:space="0" w:color="auto"/>
        <w:bottom w:val="none" w:sz="0" w:space="0" w:color="auto"/>
        <w:right w:val="none" w:sz="0" w:space="0" w:color="auto"/>
      </w:divBdr>
    </w:div>
    <w:div w:id="171185107">
      <w:bodyDiv w:val="1"/>
      <w:marLeft w:val="0"/>
      <w:marRight w:val="0"/>
      <w:marTop w:val="0"/>
      <w:marBottom w:val="0"/>
      <w:divBdr>
        <w:top w:val="none" w:sz="0" w:space="0" w:color="auto"/>
        <w:left w:val="none" w:sz="0" w:space="0" w:color="auto"/>
        <w:bottom w:val="none" w:sz="0" w:space="0" w:color="auto"/>
        <w:right w:val="none" w:sz="0" w:space="0" w:color="auto"/>
      </w:divBdr>
    </w:div>
    <w:div w:id="227032619">
      <w:bodyDiv w:val="1"/>
      <w:marLeft w:val="0"/>
      <w:marRight w:val="0"/>
      <w:marTop w:val="0"/>
      <w:marBottom w:val="0"/>
      <w:divBdr>
        <w:top w:val="none" w:sz="0" w:space="0" w:color="auto"/>
        <w:left w:val="none" w:sz="0" w:space="0" w:color="auto"/>
        <w:bottom w:val="none" w:sz="0" w:space="0" w:color="auto"/>
        <w:right w:val="none" w:sz="0" w:space="0" w:color="auto"/>
      </w:divBdr>
    </w:div>
    <w:div w:id="234357910">
      <w:bodyDiv w:val="1"/>
      <w:marLeft w:val="0"/>
      <w:marRight w:val="0"/>
      <w:marTop w:val="0"/>
      <w:marBottom w:val="0"/>
      <w:divBdr>
        <w:top w:val="none" w:sz="0" w:space="0" w:color="auto"/>
        <w:left w:val="none" w:sz="0" w:space="0" w:color="auto"/>
        <w:bottom w:val="none" w:sz="0" w:space="0" w:color="auto"/>
        <w:right w:val="none" w:sz="0" w:space="0" w:color="auto"/>
      </w:divBdr>
    </w:div>
    <w:div w:id="293680655">
      <w:bodyDiv w:val="1"/>
      <w:marLeft w:val="0"/>
      <w:marRight w:val="0"/>
      <w:marTop w:val="0"/>
      <w:marBottom w:val="0"/>
      <w:divBdr>
        <w:top w:val="none" w:sz="0" w:space="0" w:color="auto"/>
        <w:left w:val="none" w:sz="0" w:space="0" w:color="auto"/>
        <w:bottom w:val="none" w:sz="0" w:space="0" w:color="auto"/>
        <w:right w:val="none" w:sz="0" w:space="0" w:color="auto"/>
      </w:divBdr>
    </w:div>
    <w:div w:id="347026792">
      <w:bodyDiv w:val="1"/>
      <w:marLeft w:val="0"/>
      <w:marRight w:val="0"/>
      <w:marTop w:val="0"/>
      <w:marBottom w:val="0"/>
      <w:divBdr>
        <w:top w:val="none" w:sz="0" w:space="0" w:color="auto"/>
        <w:left w:val="none" w:sz="0" w:space="0" w:color="auto"/>
        <w:bottom w:val="none" w:sz="0" w:space="0" w:color="auto"/>
        <w:right w:val="none" w:sz="0" w:space="0" w:color="auto"/>
      </w:divBdr>
    </w:div>
    <w:div w:id="441844549">
      <w:bodyDiv w:val="1"/>
      <w:marLeft w:val="0"/>
      <w:marRight w:val="0"/>
      <w:marTop w:val="0"/>
      <w:marBottom w:val="0"/>
      <w:divBdr>
        <w:top w:val="none" w:sz="0" w:space="0" w:color="auto"/>
        <w:left w:val="none" w:sz="0" w:space="0" w:color="auto"/>
        <w:bottom w:val="none" w:sz="0" w:space="0" w:color="auto"/>
        <w:right w:val="none" w:sz="0" w:space="0" w:color="auto"/>
      </w:divBdr>
    </w:div>
    <w:div w:id="442573581">
      <w:bodyDiv w:val="1"/>
      <w:marLeft w:val="0"/>
      <w:marRight w:val="0"/>
      <w:marTop w:val="0"/>
      <w:marBottom w:val="0"/>
      <w:divBdr>
        <w:top w:val="none" w:sz="0" w:space="0" w:color="auto"/>
        <w:left w:val="none" w:sz="0" w:space="0" w:color="auto"/>
        <w:bottom w:val="none" w:sz="0" w:space="0" w:color="auto"/>
        <w:right w:val="none" w:sz="0" w:space="0" w:color="auto"/>
      </w:divBdr>
    </w:div>
    <w:div w:id="594287993">
      <w:bodyDiv w:val="1"/>
      <w:marLeft w:val="0"/>
      <w:marRight w:val="0"/>
      <w:marTop w:val="0"/>
      <w:marBottom w:val="0"/>
      <w:divBdr>
        <w:top w:val="none" w:sz="0" w:space="0" w:color="auto"/>
        <w:left w:val="none" w:sz="0" w:space="0" w:color="auto"/>
        <w:bottom w:val="none" w:sz="0" w:space="0" w:color="auto"/>
        <w:right w:val="none" w:sz="0" w:space="0" w:color="auto"/>
      </w:divBdr>
    </w:div>
    <w:div w:id="651252003">
      <w:bodyDiv w:val="1"/>
      <w:marLeft w:val="0"/>
      <w:marRight w:val="0"/>
      <w:marTop w:val="0"/>
      <w:marBottom w:val="0"/>
      <w:divBdr>
        <w:top w:val="none" w:sz="0" w:space="0" w:color="auto"/>
        <w:left w:val="none" w:sz="0" w:space="0" w:color="auto"/>
        <w:bottom w:val="none" w:sz="0" w:space="0" w:color="auto"/>
        <w:right w:val="none" w:sz="0" w:space="0" w:color="auto"/>
      </w:divBdr>
    </w:div>
    <w:div w:id="747575568">
      <w:bodyDiv w:val="1"/>
      <w:marLeft w:val="0"/>
      <w:marRight w:val="0"/>
      <w:marTop w:val="0"/>
      <w:marBottom w:val="0"/>
      <w:divBdr>
        <w:top w:val="none" w:sz="0" w:space="0" w:color="auto"/>
        <w:left w:val="none" w:sz="0" w:space="0" w:color="auto"/>
        <w:bottom w:val="none" w:sz="0" w:space="0" w:color="auto"/>
        <w:right w:val="none" w:sz="0" w:space="0" w:color="auto"/>
      </w:divBdr>
    </w:div>
    <w:div w:id="778330123">
      <w:bodyDiv w:val="1"/>
      <w:marLeft w:val="0"/>
      <w:marRight w:val="0"/>
      <w:marTop w:val="0"/>
      <w:marBottom w:val="0"/>
      <w:divBdr>
        <w:top w:val="none" w:sz="0" w:space="0" w:color="auto"/>
        <w:left w:val="none" w:sz="0" w:space="0" w:color="auto"/>
        <w:bottom w:val="none" w:sz="0" w:space="0" w:color="auto"/>
        <w:right w:val="none" w:sz="0" w:space="0" w:color="auto"/>
      </w:divBdr>
    </w:div>
    <w:div w:id="829323285">
      <w:bodyDiv w:val="1"/>
      <w:marLeft w:val="0"/>
      <w:marRight w:val="0"/>
      <w:marTop w:val="0"/>
      <w:marBottom w:val="0"/>
      <w:divBdr>
        <w:top w:val="none" w:sz="0" w:space="0" w:color="auto"/>
        <w:left w:val="none" w:sz="0" w:space="0" w:color="auto"/>
        <w:bottom w:val="none" w:sz="0" w:space="0" w:color="auto"/>
        <w:right w:val="none" w:sz="0" w:space="0" w:color="auto"/>
      </w:divBdr>
    </w:div>
    <w:div w:id="842168451">
      <w:bodyDiv w:val="1"/>
      <w:marLeft w:val="0"/>
      <w:marRight w:val="0"/>
      <w:marTop w:val="0"/>
      <w:marBottom w:val="0"/>
      <w:divBdr>
        <w:top w:val="none" w:sz="0" w:space="0" w:color="auto"/>
        <w:left w:val="none" w:sz="0" w:space="0" w:color="auto"/>
        <w:bottom w:val="none" w:sz="0" w:space="0" w:color="auto"/>
        <w:right w:val="none" w:sz="0" w:space="0" w:color="auto"/>
      </w:divBdr>
    </w:div>
    <w:div w:id="928197570">
      <w:bodyDiv w:val="1"/>
      <w:marLeft w:val="0"/>
      <w:marRight w:val="0"/>
      <w:marTop w:val="0"/>
      <w:marBottom w:val="0"/>
      <w:divBdr>
        <w:top w:val="none" w:sz="0" w:space="0" w:color="auto"/>
        <w:left w:val="none" w:sz="0" w:space="0" w:color="auto"/>
        <w:bottom w:val="none" w:sz="0" w:space="0" w:color="auto"/>
        <w:right w:val="none" w:sz="0" w:space="0" w:color="auto"/>
      </w:divBdr>
    </w:div>
    <w:div w:id="996032974">
      <w:bodyDiv w:val="1"/>
      <w:marLeft w:val="0"/>
      <w:marRight w:val="0"/>
      <w:marTop w:val="0"/>
      <w:marBottom w:val="0"/>
      <w:divBdr>
        <w:top w:val="none" w:sz="0" w:space="0" w:color="auto"/>
        <w:left w:val="none" w:sz="0" w:space="0" w:color="auto"/>
        <w:bottom w:val="none" w:sz="0" w:space="0" w:color="auto"/>
        <w:right w:val="none" w:sz="0" w:space="0" w:color="auto"/>
      </w:divBdr>
    </w:div>
    <w:div w:id="1046367564">
      <w:bodyDiv w:val="1"/>
      <w:marLeft w:val="0"/>
      <w:marRight w:val="0"/>
      <w:marTop w:val="0"/>
      <w:marBottom w:val="0"/>
      <w:divBdr>
        <w:top w:val="none" w:sz="0" w:space="0" w:color="auto"/>
        <w:left w:val="none" w:sz="0" w:space="0" w:color="auto"/>
        <w:bottom w:val="none" w:sz="0" w:space="0" w:color="auto"/>
        <w:right w:val="none" w:sz="0" w:space="0" w:color="auto"/>
      </w:divBdr>
    </w:div>
    <w:div w:id="1087504892">
      <w:bodyDiv w:val="1"/>
      <w:marLeft w:val="0"/>
      <w:marRight w:val="0"/>
      <w:marTop w:val="0"/>
      <w:marBottom w:val="0"/>
      <w:divBdr>
        <w:top w:val="none" w:sz="0" w:space="0" w:color="auto"/>
        <w:left w:val="none" w:sz="0" w:space="0" w:color="auto"/>
        <w:bottom w:val="none" w:sz="0" w:space="0" w:color="auto"/>
        <w:right w:val="none" w:sz="0" w:space="0" w:color="auto"/>
      </w:divBdr>
    </w:div>
    <w:div w:id="1087580720">
      <w:bodyDiv w:val="1"/>
      <w:marLeft w:val="0"/>
      <w:marRight w:val="0"/>
      <w:marTop w:val="0"/>
      <w:marBottom w:val="0"/>
      <w:divBdr>
        <w:top w:val="none" w:sz="0" w:space="0" w:color="auto"/>
        <w:left w:val="none" w:sz="0" w:space="0" w:color="auto"/>
        <w:bottom w:val="none" w:sz="0" w:space="0" w:color="auto"/>
        <w:right w:val="none" w:sz="0" w:space="0" w:color="auto"/>
      </w:divBdr>
    </w:div>
    <w:div w:id="1327703464">
      <w:bodyDiv w:val="1"/>
      <w:marLeft w:val="0"/>
      <w:marRight w:val="0"/>
      <w:marTop w:val="0"/>
      <w:marBottom w:val="0"/>
      <w:divBdr>
        <w:top w:val="none" w:sz="0" w:space="0" w:color="auto"/>
        <w:left w:val="none" w:sz="0" w:space="0" w:color="auto"/>
        <w:bottom w:val="none" w:sz="0" w:space="0" w:color="auto"/>
        <w:right w:val="none" w:sz="0" w:space="0" w:color="auto"/>
      </w:divBdr>
    </w:div>
    <w:div w:id="1332566019">
      <w:bodyDiv w:val="1"/>
      <w:marLeft w:val="0"/>
      <w:marRight w:val="0"/>
      <w:marTop w:val="0"/>
      <w:marBottom w:val="0"/>
      <w:divBdr>
        <w:top w:val="none" w:sz="0" w:space="0" w:color="auto"/>
        <w:left w:val="none" w:sz="0" w:space="0" w:color="auto"/>
        <w:bottom w:val="none" w:sz="0" w:space="0" w:color="auto"/>
        <w:right w:val="none" w:sz="0" w:space="0" w:color="auto"/>
      </w:divBdr>
    </w:div>
    <w:div w:id="1389038736">
      <w:bodyDiv w:val="1"/>
      <w:marLeft w:val="0"/>
      <w:marRight w:val="0"/>
      <w:marTop w:val="0"/>
      <w:marBottom w:val="0"/>
      <w:divBdr>
        <w:top w:val="none" w:sz="0" w:space="0" w:color="auto"/>
        <w:left w:val="none" w:sz="0" w:space="0" w:color="auto"/>
        <w:bottom w:val="none" w:sz="0" w:space="0" w:color="auto"/>
        <w:right w:val="none" w:sz="0" w:space="0" w:color="auto"/>
      </w:divBdr>
    </w:div>
    <w:div w:id="1390152921">
      <w:bodyDiv w:val="1"/>
      <w:marLeft w:val="0"/>
      <w:marRight w:val="0"/>
      <w:marTop w:val="0"/>
      <w:marBottom w:val="0"/>
      <w:divBdr>
        <w:top w:val="none" w:sz="0" w:space="0" w:color="auto"/>
        <w:left w:val="none" w:sz="0" w:space="0" w:color="auto"/>
        <w:bottom w:val="none" w:sz="0" w:space="0" w:color="auto"/>
        <w:right w:val="none" w:sz="0" w:space="0" w:color="auto"/>
      </w:divBdr>
    </w:div>
    <w:div w:id="1472214735">
      <w:bodyDiv w:val="1"/>
      <w:marLeft w:val="0"/>
      <w:marRight w:val="0"/>
      <w:marTop w:val="0"/>
      <w:marBottom w:val="0"/>
      <w:divBdr>
        <w:top w:val="none" w:sz="0" w:space="0" w:color="auto"/>
        <w:left w:val="none" w:sz="0" w:space="0" w:color="auto"/>
        <w:bottom w:val="none" w:sz="0" w:space="0" w:color="auto"/>
        <w:right w:val="none" w:sz="0" w:space="0" w:color="auto"/>
      </w:divBdr>
    </w:div>
    <w:div w:id="1561015257">
      <w:bodyDiv w:val="1"/>
      <w:marLeft w:val="0"/>
      <w:marRight w:val="0"/>
      <w:marTop w:val="0"/>
      <w:marBottom w:val="0"/>
      <w:divBdr>
        <w:top w:val="none" w:sz="0" w:space="0" w:color="auto"/>
        <w:left w:val="none" w:sz="0" w:space="0" w:color="auto"/>
        <w:bottom w:val="none" w:sz="0" w:space="0" w:color="auto"/>
        <w:right w:val="none" w:sz="0" w:space="0" w:color="auto"/>
      </w:divBdr>
    </w:div>
    <w:div w:id="1607731560">
      <w:bodyDiv w:val="1"/>
      <w:marLeft w:val="0"/>
      <w:marRight w:val="0"/>
      <w:marTop w:val="0"/>
      <w:marBottom w:val="0"/>
      <w:divBdr>
        <w:top w:val="none" w:sz="0" w:space="0" w:color="auto"/>
        <w:left w:val="none" w:sz="0" w:space="0" w:color="auto"/>
        <w:bottom w:val="none" w:sz="0" w:space="0" w:color="auto"/>
        <w:right w:val="none" w:sz="0" w:space="0" w:color="auto"/>
      </w:divBdr>
    </w:div>
    <w:div w:id="1645116863">
      <w:bodyDiv w:val="1"/>
      <w:marLeft w:val="0"/>
      <w:marRight w:val="0"/>
      <w:marTop w:val="0"/>
      <w:marBottom w:val="0"/>
      <w:divBdr>
        <w:top w:val="none" w:sz="0" w:space="0" w:color="auto"/>
        <w:left w:val="none" w:sz="0" w:space="0" w:color="auto"/>
        <w:bottom w:val="none" w:sz="0" w:space="0" w:color="auto"/>
        <w:right w:val="none" w:sz="0" w:space="0" w:color="auto"/>
      </w:divBdr>
    </w:div>
    <w:div w:id="1679692636">
      <w:bodyDiv w:val="1"/>
      <w:marLeft w:val="0"/>
      <w:marRight w:val="0"/>
      <w:marTop w:val="0"/>
      <w:marBottom w:val="0"/>
      <w:divBdr>
        <w:top w:val="none" w:sz="0" w:space="0" w:color="auto"/>
        <w:left w:val="none" w:sz="0" w:space="0" w:color="auto"/>
        <w:bottom w:val="none" w:sz="0" w:space="0" w:color="auto"/>
        <w:right w:val="none" w:sz="0" w:space="0" w:color="auto"/>
      </w:divBdr>
    </w:div>
    <w:div w:id="1696924960">
      <w:bodyDiv w:val="1"/>
      <w:marLeft w:val="0"/>
      <w:marRight w:val="0"/>
      <w:marTop w:val="0"/>
      <w:marBottom w:val="0"/>
      <w:divBdr>
        <w:top w:val="none" w:sz="0" w:space="0" w:color="auto"/>
        <w:left w:val="none" w:sz="0" w:space="0" w:color="auto"/>
        <w:bottom w:val="none" w:sz="0" w:space="0" w:color="auto"/>
        <w:right w:val="none" w:sz="0" w:space="0" w:color="auto"/>
      </w:divBdr>
    </w:div>
    <w:div w:id="1703945296">
      <w:bodyDiv w:val="1"/>
      <w:marLeft w:val="0"/>
      <w:marRight w:val="0"/>
      <w:marTop w:val="0"/>
      <w:marBottom w:val="0"/>
      <w:divBdr>
        <w:top w:val="none" w:sz="0" w:space="0" w:color="auto"/>
        <w:left w:val="none" w:sz="0" w:space="0" w:color="auto"/>
        <w:bottom w:val="none" w:sz="0" w:space="0" w:color="auto"/>
        <w:right w:val="none" w:sz="0" w:space="0" w:color="auto"/>
      </w:divBdr>
    </w:div>
    <w:div w:id="1726874617">
      <w:bodyDiv w:val="1"/>
      <w:marLeft w:val="0"/>
      <w:marRight w:val="0"/>
      <w:marTop w:val="0"/>
      <w:marBottom w:val="0"/>
      <w:divBdr>
        <w:top w:val="none" w:sz="0" w:space="0" w:color="auto"/>
        <w:left w:val="none" w:sz="0" w:space="0" w:color="auto"/>
        <w:bottom w:val="none" w:sz="0" w:space="0" w:color="auto"/>
        <w:right w:val="none" w:sz="0" w:space="0" w:color="auto"/>
      </w:divBdr>
    </w:div>
    <w:div w:id="1850874562">
      <w:bodyDiv w:val="1"/>
      <w:marLeft w:val="0"/>
      <w:marRight w:val="0"/>
      <w:marTop w:val="0"/>
      <w:marBottom w:val="0"/>
      <w:divBdr>
        <w:top w:val="none" w:sz="0" w:space="0" w:color="auto"/>
        <w:left w:val="none" w:sz="0" w:space="0" w:color="auto"/>
        <w:bottom w:val="none" w:sz="0" w:space="0" w:color="auto"/>
        <w:right w:val="none" w:sz="0" w:space="0" w:color="auto"/>
      </w:divBdr>
    </w:div>
    <w:div w:id="200200735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Ministerial\CSRD%20NP%20Determin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2016RG-111-6116</_dlc_DocId>
    <_dlc_DocIdUrl xmlns="9f7bc583-7cbe-45b9-a2bd-8bbb6543b37e">
      <Url>http://tweb/sites/rg/ldp/lmu/_layouts/15/DocIdRedir.aspx?ID=2016RG-111-6116</Url>
      <Description>2016RG-111-6116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F050-566E-4BCA-9177-8DD0B0EFFB98}"/>
</file>

<file path=customXml/itemProps2.xml><?xml version="1.0" encoding="utf-8"?>
<ds:datastoreItem xmlns:ds="http://schemas.openxmlformats.org/officeDocument/2006/customXml" ds:itemID="{8768C8F5-F76A-46DD-90AF-6E6E4DE210A3}"/>
</file>

<file path=customXml/itemProps3.xml><?xml version="1.0" encoding="utf-8"?>
<ds:datastoreItem xmlns:ds="http://schemas.openxmlformats.org/officeDocument/2006/customXml" ds:itemID="{D7E2398A-B433-4C5A-80DE-2459C8E64208}"/>
</file>

<file path=customXml/itemProps4.xml><?xml version="1.0" encoding="utf-8"?>
<ds:datastoreItem xmlns:ds="http://schemas.openxmlformats.org/officeDocument/2006/customXml" ds:itemID="{6BC031F6-31AC-438C-9DB8-CF350C286CAA}"/>
</file>

<file path=customXml/itemProps5.xml><?xml version="1.0" encoding="utf-8"?>
<ds:datastoreItem xmlns:ds="http://schemas.openxmlformats.org/officeDocument/2006/customXml" ds:itemID="{93912F5B-6050-4256-809B-8F9737C08345}"/>
</file>

<file path=customXml/itemProps6.xml><?xml version="1.0" encoding="utf-8"?>
<ds:datastoreItem xmlns:ds="http://schemas.openxmlformats.org/officeDocument/2006/customXml" ds:itemID="{0D505ED1-795A-4E6C-B1D8-F939D889FED8}"/>
</file>

<file path=docProps/app.xml><?xml version="1.0" encoding="utf-8"?>
<Properties xmlns="http://schemas.openxmlformats.org/officeDocument/2006/extended-properties" xmlns:vt="http://schemas.openxmlformats.org/officeDocument/2006/docPropsVTypes">
  <Template>CSRD NP Determination.dotm</Template>
  <TotalTime>104</TotalTime>
  <Pages>6</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FEDERAL FINANCIAL RELATIONS (NATIONAL PARTNERSHIP) DETERMINATION YEAR (NO</vt:lpstr>
    </vt:vector>
  </TitlesOfParts>
  <Company>The Treasury</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FINANCIAL RELATIONS (NATIONAL PARTNERSHIP) DETERMINATION YEAR (NO</dc:title>
  <dc:creator>Evans, Lauren</dc:creator>
  <cp:lastModifiedBy>Cowie, Vhairi</cp:lastModifiedBy>
  <cp:revision>14</cp:revision>
  <cp:lastPrinted>2016-02-02T02:03:00Z</cp:lastPrinted>
  <dcterms:created xsi:type="dcterms:W3CDTF">2016-01-29T00:38:00Z</dcterms:created>
  <dcterms:modified xsi:type="dcterms:W3CDTF">2016-07-18T04:04:00Z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-286476967</vt:i4>
  </property>
  <property fmtid="{D5CDD505-2E9C-101B-9397-08002B2CF9AE}" pid="4" name="_EmailSubject">
    <vt:lpwstr>DOC</vt:lpwstr>
  </property>
  <property fmtid="{D5CDD505-2E9C-101B-9397-08002B2CF9AE}" pid="5" name="_AuthorEmail">
    <vt:lpwstr>Vince.Barbatano@TREASURY.GOV.AU</vt:lpwstr>
  </property>
  <property fmtid="{D5CDD505-2E9C-101B-9397-08002B2CF9AE}" pid="6" name="_AuthorEmailDisplayName">
    <vt:lpwstr>Barbatano, Vince</vt:lpwstr>
  </property>
  <property fmtid="{D5CDD505-2E9C-101B-9397-08002B2CF9AE}" pid="7" name="_ReviewingToolsShownOnce">
    <vt:lpwstr/>
  </property>
  <property fmtid="{D5CDD505-2E9C-101B-9397-08002B2CF9AE}" pid="8" name="ContentTypeId">
    <vt:lpwstr>0x01010036BB8DE7EC542E42A8B2E98CC20CB69700D5C18F41BA18FB44827A222ACD6776F5</vt:lpwstr>
  </property>
  <property fmtid="{D5CDD505-2E9C-101B-9397-08002B2CF9AE}" pid="9" name="RecordPoint_ActiveItemUniqueId">
    <vt:lpwstr>{4afbea90-9f0c-4d81-9ae0-847f835c4361}</vt:lpwstr>
  </property>
  <property fmtid="{D5CDD505-2E9C-101B-9397-08002B2CF9AE}" pid="10" name="TSYRecordClass">
    <vt:lpwstr>11;#TSY RA-9237 - Destroy 5 years after action completed|9f1a030e-81bf-44c5-98eb-4d5d869a40d5</vt:lpwstr>
  </property>
  <property fmtid="{D5CDD505-2E9C-101B-9397-08002B2CF9AE}" pid="11" name="RecordPoint_WorkflowType">
    <vt:lpwstr>ActiveSubmitStub</vt:lpwstr>
  </property>
  <property fmtid="{D5CDD505-2E9C-101B-9397-08002B2CF9AE}" pid="12" name="_dlc_DocIdItemGuid">
    <vt:lpwstr>4afbea90-9f0c-4d81-9ae0-847f835c4361</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R0001052489</vt:lpwstr>
  </property>
  <property fmtid="{D5CDD505-2E9C-101B-9397-08002B2CF9AE}" pid="17" name="RecordPoint_SubmissionCompleted">
    <vt:lpwstr>2016-07-18T14:11:04.1329453+10:00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