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D1258" w14:textId="691B2709" w:rsidR="0009111F" w:rsidRDefault="0009111F" w:rsidP="001A650F">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Legislative Instrument</w:t>
      </w:r>
    </w:p>
    <w:p w14:paraId="6DED1259" w14:textId="77777777" w:rsidR="0009111F" w:rsidRDefault="0009111F" w:rsidP="0034580A">
      <w:pPr>
        <w:pStyle w:val="Header"/>
        <w:pBdr>
          <w:top w:val="double" w:sz="4" w:space="1" w:color="auto"/>
          <w:bottom w:val="double" w:sz="4" w:space="1" w:color="auto"/>
        </w:pBdr>
        <w:tabs>
          <w:tab w:val="clear" w:pos="4153"/>
          <w:tab w:val="clear" w:pos="8306"/>
        </w:tabs>
        <w:jc w:val="center"/>
        <w:rPr>
          <w:rFonts w:ascii="Arial" w:hAnsi="Arial" w:cs="Arial"/>
          <w:sz w:val="34"/>
          <w:szCs w:val="34"/>
        </w:rPr>
      </w:pPr>
    </w:p>
    <w:p w14:paraId="7B666BEB" w14:textId="550A7F17" w:rsidR="00717852" w:rsidRPr="00044893" w:rsidRDefault="00717852" w:rsidP="00717852">
      <w:pPr>
        <w:pStyle w:val="Header"/>
        <w:pBdr>
          <w:top w:val="double" w:sz="4" w:space="1" w:color="auto"/>
          <w:bottom w:val="double" w:sz="4" w:space="1" w:color="auto"/>
        </w:pBdr>
        <w:tabs>
          <w:tab w:val="clear" w:pos="4153"/>
          <w:tab w:val="clear" w:pos="8306"/>
        </w:tabs>
        <w:jc w:val="center"/>
        <w:rPr>
          <w:rFonts w:ascii="Arial" w:hAnsi="Arial" w:cs="Arial"/>
          <w:sz w:val="34"/>
          <w:szCs w:val="34"/>
        </w:rPr>
      </w:pPr>
      <w:r>
        <w:rPr>
          <w:rFonts w:ascii="Arial" w:hAnsi="Arial" w:cs="Arial"/>
          <w:sz w:val="34"/>
          <w:szCs w:val="34"/>
        </w:rPr>
        <w:t>Wine Equalisation Tax New Zealand Producer Rebate Foreign Exc</w:t>
      </w:r>
      <w:r w:rsidR="00187008">
        <w:rPr>
          <w:rFonts w:ascii="Arial" w:hAnsi="Arial" w:cs="Arial"/>
          <w:sz w:val="34"/>
          <w:szCs w:val="34"/>
        </w:rPr>
        <w:t>h</w:t>
      </w:r>
      <w:r>
        <w:rPr>
          <w:rFonts w:ascii="Arial" w:hAnsi="Arial" w:cs="Arial"/>
          <w:sz w:val="34"/>
          <w:szCs w:val="34"/>
        </w:rPr>
        <w:t xml:space="preserve">ange </w:t>
      </w:r>
      <w:r w:rsidR="00672B8A">
        <w:rPr>
          <w:rFonts w:ascii="Arial" w:hAnsi="Arial" w:cs="Arial"/>
          <w:sz w:val="34"/>
          <w:szCs w:val="34"/>
        </w:rPr>
        <w:t>Conversion Determination (No. 57</w:t>
      </w:r>
      <w:r>
        <w:rPr>
          <w:rFonts w:ascii="Arial" w:hAnsi="Arial" w:cs="Arial"/>
          <w:sz w:val="34"/>
          <w:szCs w:val="34"/>
        </w:rPr>
        <w:t>) 2016</w:t>
      </w:r>
    </w:p>
    <w:p w14:paraId="6DED125B" w14:textId="77777777" w:rsidR="000A1078" w:rsidRDefault="000A1078"/>
    <w:p w14:paraId="483744FE" w14:textId="77777777" w:rsidR="00717852" w:rsidRPr="00D655A4" w:rsidRDefault="00717852" w:rsidP="00717852">
      <w:pPr>
        <w:rPr>
          <w:rFonts w:ascii="Arial" w:hAnsi="Arial" w:cs="Arial"/>
          <w:color w:val="0000FF"/>
          <w:sz w:val="22"/>
          <w:szCs w:val="22"/>
        </w:rPr>
      </w:pPr>
      <w:r w:rsidRPr="00DF4EC9">
        <w:rPr>
          <w:rFonts w:ascii="Arial" w:hAnsi="Arial" w:cs="Arial"/>
          <w:sz w:val="22"/>
          <w:szCs w:val="22"/>
        </w:rPr>
        <w:t xml:space="preserve">I, </w:t>
      </w:r>
      <w:r>
        <w:rPr>
          <w:rFonts w:ascii="Arial" w:hAnsi="Arial" w:cs="Arial"/>
          <w:sz w:val="22"/>
          <w:szCs w:val="22"/>
        </w:rPr>
        <w:t xml:space="preserve">Timothy Dyce, </w:t>
      </w:r>
      <w:r w:rsidRPr="00F233B1">
        <w:rPr>
          <w:rFonts w:ascii="Arial" w:hAnsi="Arial" w:cs="Arial"/>
          <w:sz w:val="22"/>
          <w:szCs w:val="22"/>
        </w:rPr>
        <w:t xml:space="preserve">Deputy </w:t>
      </w:r>
      <w:r w:rsidRPr="00DF4EC9">
        <w:rPr>
          <w:rFonts w:ascii="Arial" w:hAnsi="Arial" w:cs="Arial"/>
          <w:sz w:val="22"/>
          <w:szCs w:val="22"/>
        </w:rPr>
        <w:t xml:space="preserve">Commissioner </w:t>
      </w:r>
      <w:r>
        <w:rPr>
          <w:rFonts w:ascii="Arial" w:hAnsi="Arial" w:cs="Arial"/>
          <w:sz w:val="22"/>
          <w:szCs w:val="22"/>
        </w:rPr>
        <w:t>of Taxation</w:t>
      </w:r>
      <w:r w:rsidRPr="00DF4EC9">
        <w:rPr>
          <w:rFonts w:ascii="Arial" w:hAnsi="Arial" w:cs="Arial"/>
          <w:sz w:val="22"/>
          <w:szCs w:val="22"/>
        </w:rPr>
        <w:t xml:space="preserve">, make this </w:t>
      </w:r>
      <w:r>
        <w:rPr>
          <w:rFonts w:ascii="Arial" w:hAnsi="Arial" w:cs="Arial"/>
          <w:sz w:val="22"/>
          <w:szCs w:val="22"/>
        </w:rPr>
        <w:t>determination</w:t>
      </w:r>
      <w:r w:rsidRPr="00DF4EC9">
        <w:rPr>
          <w:rFonts w:ascii="Arial" w:hAnsi="Arial" w:cs="Arial"/>
          <w:sz w:val="22"/>
          <w:szCs w:val="22"/>
        </w:rPr>
        <w:t xml:space="preserve"> under </w:t>
      </w:r>
      <w:r>
        <w:rPr>
          <w:rFonts w:ascii="Arial" w:hAnsi="Arial" w:cs="Arial"/>
          <w:sz w:val="22"/>
          <w:szCs w:val="22"/>
        </w:rPr>
        <w:t xml:space="preserve">subsection 17-10(2B) of the </w:t>
      </w:r>
      <w:r>
        <w:rPr>
          <w:rFonts w:ascii="Arial" w:hAnsi="Arial" w:cs="Arial"/>
          <w:i/>
          <w:sz w:val="22"/>
          <w:szCs w:val="22"/>
        </w:rPr>
        <w:t>A New Tax System (Wine Equalisation Tax) Act 1999</w:t>
      </w:r>
    </w:p>
    <w:p w14:paraId="0B5E93A0" w14:textId="77777777" w:rsidR="00717852" w:rsidRPr="00DF4EC9" w:rsidRDefault="00717852" w:rsidP="00717852">
      <w:pPr>
        <w:ind w:left="420"/>
        <w:rPr>
          <w:rFonts w:ascii="Arial" w:hAnsi="Arial" w:cs="Arial"/>
          <w:sz w:val="22"/>
          <w:szCs w:val="22"/>
        </w:rPr>
      </w:pPr>
    </w:p>
    <w:p w14:paraId="46522250" w14:textId="5EB8B034" w:rsidR="00717852" w:rsidRPr="00A31A69" w:rsidRDefault="00FC2CC4" w:rsidP="00717852">
      <w:pPr>
        <w:rPr>
          <w:rFonts w:ascii="Arial" w:hAnsi="Arial" w:cs="Arial"/>
          <w:sz w:val="22"/>
          <w:szCs w:val="22"/>
        </w:rPr>
      </w:pPr>
      <w:r>
        <w:rPr>
          <w:rFonts w:ascii="Arial" w:hAnsi="Arial" w:cs="Arial"/>
          <w:sz w:val="22"/>
          <w:szCs w:val="22"/>
        </w:rPr>
        <w:t xml:space="preserve">Dated this </w:t>
      </w:r>
      <w:bookmarkStart w:id="0" w:name="_GoBack"/>
      <w:bookmarkEnd w:id="0"/>
      <w:r>
        <w:rPr>
          <w:rFonts w:ascii="Arial" w:hAnsi="Arial" w:cs="Arial"/>
          <w:sz w:val="22"/>
          <w:szCs w:val="22"/>
        </w:rPr>
        <w:t>1 August 2016</w:t>
      </w:r>
    </w:p>
    <w:p w14:paraId="6B2F6A18" w14:textId="77777777" w:rsidR="00A31A69" w:rsidRDefault="00A31A69" w:rsidP="00717852">
      <w:pPr>
        <w:rPr>
          <w:rFonts w:ascii="Arial" w:hAnsi="Arial" w:cs="Arial"/>
          <w:b/>
          <w:sz w:val="22"/>
          <w:szCs w:val="22"/>
        </w:rPr>
      </w:pPr>
    </w:p>
    <w:p w14:paraId="1505F9E1" w14:textId="77777777" w:rsidR="00A31A69" w:rsidRDefault="00A31A69" w:rsidP="00717852">
      <w:pPr>
        <w:rPr>
          <w:rFonts w:ascii="Arial" w:hAnsi="Arial" w:cs="Arial"/>
          <w:b/>
          <w:sz w:val="22"/>
          <w:szCs w:val="22"/>
        </w:rPr>
      </w:pPr>
    </w:p>
    <w:p w14:paraId="14478264" w14:textId="77777777" w:rsidR="00A31A69" w:rsidRDefault="00A31A69" w:rsidP="00717852">
      <w:pPr>
        <w:rPr>
          <w:rFonts w:ascii="Arial" w:hAnsi="Arial" w:cs="Arial"/>
          <w:b/>
          <w:sz w:val="22"/>
          <w:szCs w:val="22"/>
        </w:rPr>
      </w:pPr>
    </w:p>
    <w:p w14:paraId="57FB31F3" w14:textId="77777777" w:rsidR="00717852" w:rsidRPr="00DF4EC9" w:rsidRDefault="00717852" w:rsidP="00717852">
      <w:pPr>
        <w:rPr>
          <w:rFonts w:ascii="Arial" w:hAnsi="Arial" w:cs="Arial"/>
          <w:b/>
          <w:sz w:val="22"/>
          <w:szCs w:val="22"/>
        </w:rPr>
      </w:pPr>
      <w:r>
        <w:rPr>
          <w:rFonts w:ascii="Arial" w:hAnsi="Arial" w:cs="Arial"/>
          <w:b/>
          <w:sz w:val="22"/>
          <w:szCs w:val="22"/>
        </w:rPr>
        <w:t>Timothy Dyce</w:t>
      </w:r>
    </w:p>
    <w:p w14:paraId="5AB81DC7" w14:textId="77777777" w:rsidR="00717852" w:rsidRDefault="00717852" w:rsidP="00717852">
      <w:pPr>
        <w:rPr>
          <w:rFonts w:ascii="Arial" w:hAnsi="Arial" w:cs="Arial"/>
          <w:sz w:val="22"/>
          <w:szCs w:val="22"/>
        </w:rPr>
      </w:pPr>
      <w:r w:rsidRPr="00DF4EC9">
        <w:rPr>
          <w:rFonts w:ascii="Arial" w:hAnsi="Arial" w:cs="Arial"/>
          <w:sz w:val="22"/>
          <w:szCs w:val="22"/>
        </w:rPr>
        <w:t>Deputy Commissioner of Taxation</w:t>
      </w:r>
    </w:p>
    <w:p w14:paraId="6DED1264" w14:textId="77777777" w:rsidR="00AD7346" w:rsidRPr="00DF4EC9" w:rsidRDefault="00AD7346" w:rsidP="00AD7346">
      <w:pPr>
        <w:pBdr>
          <w:bottom w:val="double" w:sz="4" w:space="1" w:color="auto"/>
        </w:pBdr>
        <w:rPr>
          <w:sz w:val="22"/>
          <w:szCs w:val="22"/>
        </w:rPr>
      </w:pPr>
    </w:p>
    <w:p w14:paraId="6DED1265" w14:textId="77777777" w:rsidR="005B0F08" w:rsidRPr="00DF4EC9" w:rsidRDefault="005B0F08" w:rsidP="000A1078">
      <w:pPr>
        <w:rPr>
          <w:rFonts w:ascii="Arial" w:hAnsi="Arial" w:cs="Arial"/>
          <w:sz w:val="22"/>
          <w:szCs w:val="22"/>
        </w:rPr>
      </w:pPr>
    </w:p>
    <w:p w14:paraId="6DED1266" w14:textId="77777777" w:rsidR="000A1078" w:rsidRPr="00950E56" w:rsidRDefault="000A1078" w:rsidP="00950E56">
      <w:pPr>
        <w:numPr>
          <w:ilvl w:val="0"/>
          <w:numId w:val="2"/>
        </w:numPr>
        <w:spacing w:after="120"/>
        <w:ind w:hanging="720"/>
        <w:rPr>
          <w:rFonts w:ascii="Arial" w:hAnsi="Arial" w:cs="Arial"/>
          <w:b/>
        </w:rPr>
      </w:pPr>
      <w:r w:rsidRPr="0000370C">
        <w:rPr>
          <w:rFonts w:ascii="Arial" w:hAnsi="Arial" w:cs="Arial"/>
          <w:b/>
        </w:rPr>
        <w:t xml:space="preserve">Name of </w:t>
      </w:r>
      <w:r w:rsidR="00950E56">
        <w:rPr>
          <w:rFonts w:ascii="Arial" w:hAnsi="Arial" w:cs="Arial"/>
          <w:b/>
        </w:rPr>
        <w:t>instrument</w:t>
      </w:r>
    </w:p>
    <w:p w14:paraId="6DED1267" w14:textId="7A1B34C3" w:rsidR="000A1078" w:rsidRPr="00717852" w:rsidRDefault="000A1078" w:rsidP="000A1078">
      <w:pPr>
        <w:ind w:left="720"/>
        <w:rPr>
          <w:rFonts w:ascii="Arial" w:hAnsi="Arial" w:cs="Arial"/>
          <w:i/>
          <w:sz w:val="22"/>
          <w:szCs w:val="22"/>
        </w:rPr>
      </w:pPr>
      <w:r w:rsidRPr="00DF4EC9">
        <w:rPr>
          <w:rFonts w:ascii="Arial" w:hAnsi="Arial" w:cs="Arial"/>
          <w:sz w:val="22"/>
          <w:szCs w:val="22"/>
        </w:rPr>
        <w:t xml:space="preserve">This </w:t>
      </w:r>
      <w:r w:rsidR="00D655A4">
        <w:rPr>
          <w:rFonts w:ascii="Arial" w:hAnsi="Arial" w:cs="Arial"/>
          <w:sz w:val="22"/>
          <w:szCs w:val="22"/>
        </w:rPr>
        <w:t>d</w:t>
      </w:r>
      <w:r w:rsidR="000B2C32">
        <w:rPr>
          <w:rFonts w:ascii="Arial" w:hAnsi="Arial" w:cs="Arial"/>
          <w:sz w:val="22"/>
          <w:szCs w:val="22"/>
        </w:rPr>
        <w:t>etermination</w:t>
      </w:r>
      <w:r w:rsidR="003A067D" w:rsidRPr="00DF4EC9">
        <w:rPr>
          <w:rFonts w:ascii="Arial" w:hAnsi="Arial" w:cs="Arial"/>
          <w:sz w:val="22"/>
          <w:szCs w:val="22"/>
        </w:rPr>
        <w:t xml:space="preserve"> </w:t>
      </w:r>
      <w:r w:rsidR="00717852">
        <w:rPr>
          <w:rFonts w:ascii="Arial" w:hAnsi="Arial" w:cs="Arial"/>
          <w:sz w:val="22"/>
          <w:szCs w:val="22"/>
        </w:rPr>
        <w:t xml:space="preserve">may be cited as the </w:t>
      </w:r>
      <w:r w:rsidR="00717852">
        <w:rPr>
          <w:rFonts w:ascii="Arial" w:hAnsi="Arial" w:cs="Arial"/>
          <w:i/>
          <w:sz w:val="22"/>
          <w:szCs w:val="22"/>
        </w:rPr>
        <w:t xml:space="preserve">Wine Equalisation Tax New Zealand Producer Rebate Foreign Exchange Conversion Determination </w:t>
      </w:r>
      <w:r w:rsidR="00672B8A">
        <w:rPr>
          <w:rFonts w:ascii="Arial" w:hAnsi="Arial" w:cs="Arial"/>
          <w:i/>
          <w:sz w:val="22"/>
          <w:szCs w:val="22"/>
        </w:rPr>
        <w:t>(No. 57</w:t>
      </w:r>
      <w:r w:rsidR="00717852">
        <w:rPr>
          <w:rFonts w:ascii="Arial" w:hAnsi="Arial" w:cs="Arial"/>
          <w:i/>
          <w:sz w:val="22"/>
          <w:szCs w:val="22"/>
        </w:rPr>
        <w:t>) 2016</w:t>
      </w:r>
    </w:p>
    <w:p w14:paraId="6DED1268" w14:textId="77777777" w:rsidR="000A1078" w:rsidRPr="00DF4EC9" w:rsidRDefault="000A1078" w:rsidP="000A1078">
      <w:pPr>
        <w:rPr>
          <w:rFonts w:ascii="Arial" w:hAnsi="Arial" w:cs="Arial"/>
          <w:sz w:val="22"/>
          <w:szCs w:val="22"/>
        </w:rPr>
      </w:pPr>
    </w:p>
    <w:p w14:paraId="6DED1269" w14:textId="77777777" w:rsidR="000A1078" w:rsidRPr="0000370C" w:rsidRDefault="000A1078" w:rsidP="00A974AA">
      <w:pPr>
        <w:numPr>
          <w:ilvl w:val="0"/>
          <w:numId w:val="2"/>
        </w:numPr>
        <w:spacing w:after="120"/>
        <w:ind w:hanging="720"/>
        <w:rPr>
          <w:rFonts w:ascii="Arial" w:hAnsi="Arial" w:cs="Arial"/>
          <w:u w:val="single"/>
        </w:rPr>
      </w:pPr>
      <w:r w:rsidRPr="0000370C">
        <w:rPr>
          <w:rFonts w:ascii="Arial" w:hAnsi="Arial" w:cs="Arial"/>
          <w:b/>
        </w:rPr>
        <w:t>Commencement</w:t>
      </w:r>
    </w:p>
    <w:p w14:paraId="6DED126A" w14:textId="75008C1F" w:rsidR="006E6EF2" w:rsidRPr="00DF4EC9" w:rsidRDefault="000A1078" w:rsidP="00FB0005">
      <w:pPr>
        <w:ind w:left="720"/>
        <w:rPr>
          <w:rFonts w:ascii="Arial" w:hAnsi="Arial" w:cs="Arial"/>
          <w:sz w:val="22"/>
          <w:szCs w:val="22"/>
        </w:rPr>
      </w:pPr>
      <w:r w:rsidRPr="00DF4EC9">
        <w:rPr>
          <w:rFonts w:ascii="Arial" w:hAnsi="Arial" w:cs="Arial"/>
          <w:sz w:val="22"/>
          <w:szCs w:val="22"/>
        </w:rPr>
        <w:t xml:space="preserve">This </w:t>
      </w:r>
      <w:r w:rsidR="00950E56">
        <w:rPr>
          <w:rFonts w:ascii="Arial" w:hAnsi="Arial" w:cs="Arial"/>
          <w:sz w:val="22"/>
          <w:szCs w:val="22"/>
        </w:rPr>
        <w:t>instrument</w:t>
      </w:r>
      <w:r w:rsidR="00857716" w:rsidRPr="00DF4EC9">
        <w:rPr>
          <w:rFonts w:ascii="Arial" w:hAnsi="Arial" w:cs="Arial"/>
          <w:sz w:val="22"/>
          <w:szCs w:val="22"/>
        </w:rPr>
        <w:t xml:space="preserve"> </w:t>
      </w:r>
      <w:r w:rsidR="008D2F8A">
        <w:rPr>
          <w:rFonts w:ascii="Arial" w:hAnsi="Arial" w:cs="Arial"/>
          <w:sz w:val="22"/>
          <w:szCs w:val="22"/>
        </w:rPr>
        <w:t xml:space="preserve">is taken to have </w:t>
      </w:r>
      <w:r w:rsidR="00857716" w:rsidRPr="000761BD">
        <w:rPr>
          <w:rFonts w:ascii="Arial" w:hAnsi="Arial" w:cs="Arial"/>
          <w:sz w:val="22"/>
          <w:szCs w:val="22"/>
        </w:rPr>
        <w:t>commence</w:t>
      </w:r>
      <w:r w:rsidR="008D2F8A" w:rsidRPr="000761BD">
        <w:rPr>
          <w:rFonts w:ascii="Arial" w:hAnsi="Arial" w:cs="Arial"/>
          <w:sz w:val="22"/>
          <w:szCs w:val="22"/>
        </w:rPr>
        <w:t>d</w:t>
      </w:r>
      <w:r w:rsidR="00717852">
        <w:rPr>
          <w:rFonts w:ascii="Arial" w:hAnsi="Arial" w:cs="Arial"/>
          <w:sz w:val="22"/>
          <w:szCs w:val="22"/>
        </w:rPr>
        <w:t xml:space="preserve"> </w:t>
      </w:r>
      <w:r w:rsidR="00414405" w:rsidRPr="000761BD">
        <w:rPr>
          <w:rFonts w:ascii="Arial" w:hAnsi="Arial" w:cs="Arial"/>
          <w:sz w:val="22"/>
          <w:szCs w:val="22"/>
        </w:rPr>
        <w:t>o</w:t>
      </w:r>
      <w:r w:rsidR="00414405">
        <w:rPr>
          <w:rFonts w:ascii="Arial" w:hAnsi="Arial" w:cs="Arial"/>
          <w:sz w:val="22"/>
          <w:szCs w:val="22"/>
        </w:rPr>
        <w:t>n the day after it is registered</w:t>
      </w:r>
      <w:r w:rsidR="008D2F8A" w:rsidRPr="000761BD">
        <w:rPr>
          <w:rFonts w:ascii="Arial" w:hAnsi="Arial" w:cs="Arial"/>
          <w:sz w:val="22"/>
          <w:szCs w:val="22"/>
        </w:rPr>
        <w:t>.</w:t>
      </w:r>
    </w:p>
    <w:p w14:paraId="6DED126B" w14:textId="77777777" w:rsidR="006E6EF2" w:rsidRPr="00DF4EC9" w:rsidRDefault="006E6EF2" w:rsidP="006E6EF2">
      <w:pPr>
        <w:spacing w:after="120"/>
        <w:ind w:left="181"/>
        <w:rPr>
          <w:rFonts w:ascii="Arial" w:hAnsi="Arial" w:cs="Arial"/>
          <w:b/>
          <w:sz w:val="22"/>
          <w:szCs w:val="22"/>
        </w:rPr>
      </w:pPr>
    </w:p>
    <w:p w14:paraId="3AA14D7F" w14:textId="78606E4F" w:rsidR="001B445C" w:rsidRPr="001B445C" w:rsidRDefault="001B445C" w:rsidP="00A974AA">
      <w:pPr>
        <w:numPr>
          <w:ilvl w:val="0"/>
          <w:numId w:val="2"/>
        </w:numPr>
        <w:spacing w:after="120"/>
        <w:ind w:hanging="720"/>
        <w:rPr>
          <w:rFonts w:ascii="Arial" w:hAnsi="Arial" w:cs="Arial"/>
          <w:u w:val="single"/>
        </w:rPr>
      </w:pPr>
      <w:r>
        <w:rPr>
          <w:rFonts w:ascii="Arial" w:hAnsi="Arial" w:cs="Arial"/>
          <w:b/>
        </w:rPr>
        <w:t>Repeal of previous instrument</w:t>
      </w:r>
    </w:p>
    <w:p w14:paraId="08A68C48" w14:textId="2CBE0A3C" w:rsidR="001B445C" w:rsidRDefault="001B445C" w:rsidP="001B445C">
      <w:pPr>
        <w:spacing w:after="120"/>
        <w:ind w:left="720"/>
        <w:rPr>
          <w:rFonts w:ascii="Arial" w:hAnsi="Arial" w:cs="Arial"/>
          <w:sz w:val="22"/>
          <w:szCs w:val="22"/>
        </w:rPr>
      </w:pPr>
      <w:r w:rsidRPr="001B445C">
        <w:rPr>
          <w:rFonts w:ascii="Arial" w:hAnsi="Arial" w:cs="Arial"/>
          <w:sz w:val="22"/>
          <w:szCs w:val="22"/>
        </w:rPr>
        <w:t xml:space="preserve">The following </w:t>
      </w:r>
      <w:r>
        <w:rPr>
          <w:rFonts w:ascii="Arial" w:hAnsi="Arial" w:cs="Arial"/>
          <w:sz w:val="22"/>
          <w:szCs w:val="22"/>
        </w:rPr>
        <w:t>determination is repealed on the commencement of this determination:</w:t>
      </w:r>
    </w:p>
    <w:p w14:paraId="05B5DBCD" w14:textId="34DA7773" w:rsidR="001B445C" w:rsidRPr="001B445C" w:rsidRDefault="001B445C" w:rsidP="007B6854">
      <w:pPr>
        <w:pStyle w:val="ListParagraph"/>
        <w:numPr>
          <w:ilvl w:val="0"/>
          <w:numId w:val="7"/>
        </w:numPr>
        <w:ind w:left="1077"/>
        <w:rPr>
          <w:rFonts w:ascii="Arial" w:hAnsi="Arial" w:cs="Arial"/>
          <w:sz w:val="22"/>
          <w:szCs w:val="22"/>
          <w:u w:val="single"/>
        </w:rPr>
      </w:pPr>
      <w:r>
        <w:rPr>
          <w:rFonts w:ascii="Arial" w:hAnsi="Arial" w:cs="Arial"/>
          <w:i/>
          <w:sz w:val="22"/>
          <w:szCs w:val="22"/>
        </w:rPr>
        <w:t xml:space="preserve">Wine Equalisation Tax New Zealand Producer Rebate Foreign Exchange Conversion Determination (No.35) 2016 </w:t>
      </w:r>
      <w:r>
        <w:rPr>
          <w:rFonts w:ascii="Arial" w:hAnsi="Arial" w:cs="Arial"/>
          <w:sz w:val="22"/>
          <w:szCs w:val="22"/>
        </w:rPr>
        <w:t>(the previous instrument)</w:t>
      </w:r>
    </w:p>
    <w:p w14:paraId="4D0ADD59" w14:textId="5B780084" w:rsidR="001B445C" w:rsidRPr="001B445C" w:rsidRDefault="001B445C" w:rsidP="007B6854">
      <w:pPr>
        <w:ind w:left="1077"/>
        <w:rPr>
          <w:rFonts w:ascii="Arial" w:hAnsi="Arial" w:cs="Arial"/>
          <w:sz w:val="22"/>
          <w:szCs w:val="22"/>
        </w:rPr>
      </w:pPr>
      <w:r>
        <w:rPr>
          <w:rFonts w:ascii="Arial" w:hAnsi="Arial" w:cs="Arial"/>
          <w:sz w:val="22"/>
          <w:szCs w:val="22"/>
        </w:rPr>
        <w:t>-</w:t>
      </w:r>
      <w:r w:rsidR="007B6854">
        <w:rPr>
          <w:rFonts w:ascii="Arial" w:hAnsi="Arial" w:cs="Arial"/>
          <w:sz w:val="22"/>
          <w:szCs w:val="22"/>
        </w:rPr>
        <w:t xml:space="preserve">F2016L00197, registered on </w:t>
      </w:r>
      <w:r w:rsidR="00616231">
        <w:rPr>
          <w:rFonts w:ascii="Arial" w:hAnsi="Arial" w:cs="Arial"/>
          <w:sz w:val="22"/>
          <w:szCs w:val="22"/>
        </w:rPr>
        <w:t>1 March</w:t>
      </w:r>
      <w:r w:rsidR="007B6854">
        <w:rPr>
          <w:rFonts w:ascii="Arial" w:hAnsi="Arial" w:cs="Arial"/>
          <w:sz w:val="22"/>
          <w:szCs w:val="22"/>
        </w:rPr>
        <w:t xml:space="preserve"> 2016</w:t>
      </w:r>
    </w:p>
    <w:p w14:paraId="1E20FA8B" w14:textId="77777777" w:rsidR="001B445C" w:rsidRPr="001B445C" w:rsidRDefault="001B445C" w:rsidP="001B445C">
      <w:pPr>
        <w:spacing w:after="120"/>
        <w:ind w:left="720"/>
        <w:rPr>
          <w:rFonts w:ascii="Arial" w:hAnsi="Arial" w:cs="Arial"/>
          <w:u w:val="single"/>
        </w:rPr>
      </w:pPr>
    </w:p>
    <w:p w14:paraId="6DED126C" w14:textId="77777777" w:rsidR="000A1078" w:rsidRPr="0000370C" w:rsidRDefault="008D2F8A" w:rsidP="00A974AA">
      <w:pPr>
        <w:numPr>
          <w:ilvl w:val="0"/>
          <w:numId w:val="2"/>
        </w:numPr>
        <w:spacing w:after="120"/>
        <w:ind w:hanging="720"/>
        <w:rPr>
          <w:rFonts w:ascii="Arial" w:hAnsi="Arial" w:cs="Arial"/>
          <w:u w:val="single"/>
        </w:rPr>
      </w:pPr>
      <w:r w:rsidRPr="0000370C">
        <w:rPr>
          <w:rFonts w:ascii="Arial" w:hAnsi="Arial" w:cs="Arial"/>
          <w:b/>
        </w:rPr>
        <w:t>Application</w:t>
      </w:r>
    </w:p>
    <w:p w14:paraId="6DED126F" w14:textId="4502AA62" w:rsidR="008D2F8A" w:rsidRDefault="008D2F8A" w:rsidP="00717852">
      <w:pPr>
        <w:spacing w:after="120"/>
        <w:ind w:left="720"/>
        <w:rPr>
          <w:rFonts w:ascii="Arial" w:hAnsi="Arial" w:cs="Arial"/>
          <w:sz w:val="22"/>
          <w:szCs w:val="22"/>
        </w:rPr>
      </w:pPr>
      <w:r w:rsidRPr="00DF4EC9">
        <w:rPr>
          <w:rFonts w:ascii="Arial" w:hAnsi="Arial" w:cs="Arial"/>
          <w:sz w:val="22"/>
          <w:szCs w:val="22"/>
        </w:rPr>
        <w:t xml:space="preserve">This </w:t>
      </w:r>
      <w:r w:rsidR="00950E56">
        <w:rPr>
          <w:rFonts w:ascii="Arial" w:hAnsi="Arial" w:cs="Arial"/>
          <w:sz w:val="22"/>
          <w:szCs w:val="22"/>
        </w:rPr>
        <w:t>instrument</w:t>
      </w:r>
      <w:r w:rsidRPr="00DF4EC9">
        <w:rPr>
          <w:rFonts w:ascii="Arial" w:hAnsi="Arial" w:cs="Arial"/>
          <w:sz w:val="22"/>
          <w:szCs w:val="22"/>
        </w:rPr>
        <w:t xml:space="preserve"> applies to</w:t>
      </w:r>
      <w:r w:rsidR="00717852">
        <w:rPr>
          <w:rFonts w:ascii="Arial" w:hAnsi="Arial" w:cs="Arial"/>
          <w:sz w:val="22"/>
          <w:szCs w:val="22"/>
        </w:rPr>
        <w:t xml:space="preserve"> approved New Zealand participants that are required to calculate the approved selling price of their wine in Australian currency, when one or more components of the approved selling price are expressed in a currency other than Australian currency.</w:t>
      </w:r>
    </w:p>
    <w:p w14:paraId="6DED1273" w14:textId="1FBE7B4C" w:rsidR="00657558" w:rsidRDefault="00717852" w:rsidP="00C36223">
      <w:pPr>
        <w:spacing w:after="120"/>
        <w:ind w:left="720"/>
        <w:rPr>
          <w:i/>
          <w:color w:val="0000FF"/>
          <w:sz w:val="18"/>
          <w:szCs w:val="18"/>
        </w:rPr>
      </w:pPr>
      <w:r>
        <w:rPr>
          <w:rFonts w:ascii="Arial" w:hAnsi="Arial" w:cs="Arial"/>
          <w:sz w:val="18"/>
          <w:szCs w:val="18"/>
        </w:rPr>
        <w:t xml:space="preserve">Note: </w:t>
      </w:r>
      <w:r>
        <w:rPr>
          <w:rFonts w:ascii="Arial" w:hAnsi="Arial" w:cs="Arial"/>
          <w:i/>
          <w:sz w:val="18"/>
          <w:szCs w:val="18"/>
        </w:rPr>
        <w:t>For approved New Zealand participants, the amount of a W</w:t>
      </w:r>
      <w:r w:rsidR="00180A2E">
        <w:rPr>
          <w:rFonts w:ascii="Arial" w:hAnsi="Arial" w:cs="Arial"/>
          <w:i/>
          <w:sz w:val="18"/>
          <w:szCs w:val="18"/>
        </w:rPr>
        <w:t xml:space="preserve">ine Equalisation </w:t>
      </w:r>
      <w:proofErr w:type="gramStart"/>
      <w:r w:rsidR="00180A2E">
        <w:rPr>
          <w:rFonts w:ascii="Arial" w:hAnsi="Arial" w:cs="Arial"/>
          <w:i/>
          <w:sz w:val="18"/>
          <w:szCs w:val="18"/>
        </w:rPr>
        <w:t xml:space="preserve">Tax </w:t>
      </w:r>
      <w:r>
        <w:rPr>
          <w:rFonts w:ascii="Arial" w:hAnsi="Arial" w:cs="Arial"/>
          <w:i/>
          <w:sz w:val="18"/>
          <w:szCs w:val="18"/>
        </w:rPr>
        <w:t xml:space="preserve"> producer</w:t>
      </w:r>
      <w:proofErr w:type="gramEnd"/>
      <w:r>
        <w:rPr>
          <w:rFonts w:ascii="Arial" w:hAnsi="Arial" w:cs="Arial"/>
          <w:i/>
          <w:sz w:val="18"/>
          <w:szCs w:val="18"/>
        </w:rPr>
        <w:t xml:space="preserve"> rebate is calculated using the approved selling price of their wine.</w:t>
      </w:r>
      <w:bookmarkStart w:id="1" w:name="6AD(2)"/>
      <w:bookmarkEnd w:id="1"/>
    </w:p>
    <w:p w14:paraId="742914E2" w14:textId="77777777" w:rsidR="00C36223" w:rsidRPr="00C36223" w:rsidRDefault="00C36223" w:rsidP="00C36223">
      <w:pPr>
        <w:spacing w:after="120"/>
        <w:ind w:left="720"/>
        <w:rPr>
          <w:i/>
          <w:color w:val="0000FF"/>
          <w:sz w:val="18"/>
          <w:szCs w:val="18"/>
        </w:rPr>
      </w:pPr>
    </w:p>
    <w:p w14:paraId="6DED1274" w14:textId="25B8C024" w:rsidR="00732F35" w:rsidRDefault="0000370C" w:rsidP="00657558">
      <w:pPr>
        <w:numPr>
          <w:ilvl w:val="0"/>
          <w:numId w:val="2"/>
        </w:numPr>
        <w:tabs>
          <w:tab w:val="clear" w:pos="720"/>
          <w:tab w:val="num" w:pos="900"/>
        </w:tabs>
        <w:spacing w:after="120"/>
        <w:ind w:hanging="720"/>
        <w:rPr>
          <w:rFonts w:ascii="Arial" w:hAnsi="Arial" w:cs="Arial"/>
          <w:b/>
        </w:rPr>
      </w:pPr>
      <w:r w:rsidRPr="0000370C">
        <w:rPr>
          <w:rFonts w:ascii="Arial" w:hAnsi="Arial" w:cs="Arial"/>
          <w:b/>
        </w:rPr>
        <w:t>Definitions</w:t>
      </w:r>
      <w:r>
        <w:rPr>
          <w:rFonts w:ascii="Arial" w:hAnsi="Arial" w:cs="Arial"/>
          <w:b/>
        </w:rPr>
        <w:t xml:space="preserve"> </w:t>
      </w:r>
    </w:p>
    <w:p w14:paraId="3BAFE60B" w14:textId="5DA41553" w:rsidR="00616231" w:rsidRDefault="00616231" w:rsidP="00616231">
      <w:pPr>
        <w:pStyle w:val="ListParagraph"/>
        <w:numPr>
          <w:ilvl w:val="0"/>
          <w:numId w:val="8"/>
        </w:numPr>
        <w:spacing w:after="120"/>
        <w:rPr>
          <w:rFonts w:ascii="Arial" w:hAnsi="Arial" w:cs="Arial"/>
          <w:sz w:val="22"/>
          <w:szCs w:val="22"/>
        </w:rPr>
      </w:pPr>
      <w:r w:rsidRPr="00616231">
        <w:rPr>
          <w:rFonts w:ascii="Arial" w:hAnsi="Arial" w:cs="Arial"/>
          <w:sz w:val="22"/>
          <w:szCs w:val="22"/>
        </w:rPr>
        <w:t>In this determination:</w:t>
      </w:r>
    </w:p>
    <w:p w14:paraId="35B655A3" w14:textId="77777777" w:rsidR="00616231" w:rsidRDefault="00616231" w:rsidP="00616231">
      <w:pPr>
        <w:pStyle w:val="ListParagraph"/>
        <w:spacing w:after="120"/>
        <w:ind w:left="1080"/>
        <w:rPr>
          <w:rFonts w:ascii="Arial" w:hAnsi="Arial" w:cs="Arial"/>
          <w:sz w:val="22"/>
          <w:szCs w:val="22"/>
        </w:rPr>
      </w:pPr>
    </w:p>
    <w:p w14:paraId="04FEADD9" w14:textId="6C847FA6" w:rsidR="00616231" w:rsidRDefault="006C0660" w:rsidP="00616231">
      <w:pPr>
        <w:pStyle w:val="ListParagraph"/>
        <w:numPr>
          <w:ilvl w:val="0"/>
          <w:numId w:val="7"/>
        </w:numPr>
        <w:spacing w:after="120"/>
        <w:rPr>
          <w:rFonts w:ascii="Arial" w:hAnsi="Arial" w:cs="Arial"/>
          <w:sz w:val="22"/>
          <w:szCs w:val="22"/>
        </w:rPr>
      </w:pPr>
      <w:r w:rsidRPr="006C0660">
        <w:rPr>
          <w:rFonts w:ascii="Arial" w:hAnsi="Arial" w:cs="Arial"/>
          <w:b/>
          <w:i/>
          <w:sz w:val="22"/>
          <w:szCs w:val="22"/>
        </w:rPr>
        <w:t>RBA rate</w:t>
      </w:r>
      <w:r>
        <w:rPr>
          <w:rFonts w:ascii="Arial" w:hAnsi="Arial" w:cs="Arial"/>
          <w:b/>
          <w:sz w:val="22"/>
          <w:szCs w:val="22"/>
        </w:rPr>
        <w:t xml:space="preserve"> </w:t>
      </w:r>
      <w:r>
        <w:rPr>
          <w:rFonts w:ascii="Arial" w:hAnsi="Arial" w:cs="Arial"/>
          <w:sz w:val="22"/>
          <w:szCs w:val="22"/>
        </w:rPr>
        <w:t xml:space="preserve">means the foreign exchange rate calculated by the Reserve Bank of Australia (RBA) when the New Zealand participant works out the </w:t>
      </w:r>
      <w:r>
        <w:rPr>
          <w:rFonts w:ascii="Arial" w:hAnsi="Arial" w:cs="Arial"/>
          <w:sz w:val="22"/>
          <w:szCs w:val="22"/>
        </w:rPr>
        <w:lastRenderedPageBreak/>
        <w:t>value of the component used to determine the approved selling price on a conversion day:</w:t>
      </w:r>
    </w:p>
    <w:p w14:paraId="6AEEF6F2" w14:textId="72C5EEB5" w:rsidR="006C0660" w:rsidRDefault="006C0660" w:rsidP="006C0660">
      <w:pPr>
        <w:pStyle w:val="ListParagraph"/>
        <w:numPr>
          <w:ilvl w:val="0"/>
          <w:numId w:val="9"/>
        </w:numPr>
        <w:spacing w:after="120"/>
        <w:rPr>
          <w:rFonts w:ascii="Arial" w:hAnsi="Arial" w:cs="Arial"/>
          <w:sz w:val="22"/>
          <w:szCs w:val="22"/>
        </w:rPr>
      </w:pPr>
      <w:r>
        <w:rPr>
          <w:rFonts w:ascii="Arial" w:hAnsi="Arial" w:cs="Arial"/>
          <w:sz w:val="22"/>
          <w:szCs w:val="22"/>
        </w:rPr>
        <w:t>that is a</w:t>
      </w:r>
      <w:r w:rsidR="009F1DE1">
        <w:rPr>
          <w:rFonts w:ascii="Arial" w:hAnsi="Arial" w:cs="Arial"/>
          <w:sz w:val="22"/>
          <w:szCs w:val="22"/>
        </w:rPr>
        <w:t>n</w:t>
      </w:r>
      <w:r>
        <w:rPr>
          <w:rFonts w:ascii="Arial" w:hAnsi="Arial" w:cs="Arial"/>
          <w:sz w:val="22"/>
          <w:szCs w:val="22"/>
        </w:rPr>
        <w:t xml:space="preserve"> RBA business day, then the RBA rate is the unit of foreign currency per $A calculated by the RBA at 4:00pm Australian Eastern time on that RBA business day, and</w:t>
      </w:r>
    </w:p>
    <w:p w14:paraId="67DE62D3" w14:textId="2E63991B" w:rsidR="006C0660" w:rsidRDefault="006C0660" w:rsidP="006C0660">
      <w:pPr>
        <w:pStyle w:val="ListParagraph"/>
        <w:numPr>
          <w:ilvl w:val="0"/>
          <w:numId w:val="9"/>
        </w:numPr>
        <w:spacing w:after="120"/>
        <w:rPr>
          <w:rFonts w:ascii="Arial" w:hAnsi="Arial" w:cs="Arial"/>
          <w:sz w:val="22"/>
          <w:szCs w:val="22"/>
        </w:rPr>
      </w:pPr>
      <w:proofErr w:type="gramStart"/>
      <w:r>
        <w:rPr>
          <w:rFonts w:ascii="Arial" w:hAnsi="Arial" w:cs="Arial"/>
          <w:sz w:val="22"/>
          <w:szCs w:val="22"/>
        </w:rPr>
        <w:t>that</w:t>
      </w:r>
      <w:proofErr w:type="gramEnd"/>
      <w:r>
        <w:rPr>
          <w:rFonts w:ascii="Arial" w:hAnsi="Arial" w:cs="Arial"/>
          <w:sz w:val="22"/>
          <w:szCs w:val="22"/>
        </w:rPr>
        <w:t xml:space="preserve"> is </w:t>
      </w:r>
      <w:r>
        <w:rPr>
          <w:rFonts w:ascii="Arial" w:hAnsi="Arial" w:cs="Arial"/>
          <w:i/>
          <w:sz w:val="22"/>
          <w:szCs w:val="22"/>
        </w:rPr>
        <w:t>not</w:t>
      </w:r>
      <w:r>
        <w:rPr>
          <w:rFonts w:ascii="Arial" w:hAnsi="Arial" w:cs="Arial"/>
          <w:sz w:val="22"/>
          <w:szCs w:val="22"/>
        </w:rPr>
        <w:t xml:space="preserve"> a</w:t>
      </w:r>
      <w:r w:rsidR="009F1DE1">
        <w:rPr>
          <w:rFonts w:ascii="Arial" w:hAnsi="Arial" w:cs="Arial"/>
          <w:sz w:val="22"/>
          <w:szCs w:val="22"/>
        </w:rPr>
        <w:t>n</w:t>
      </w:r>
      <w:r>
        <w:rPr>
          <w:rFonts w:ascii="Arial" w:hAnsi="Arial" w:cs="Arial"/>
          <w:sz w:val="22"/>
          <w:szCs w:val="22"/>
        </w:rPr>
        <w:t xml:space="preserve"> RBA business day, then the RBA rate is the unit of foreign currency per $A calculated by the RBA at 4:00pm Australian Eastern time of the previous RBA business day.</w:t>
      </w:r>
    </w:p>
    <w:p w14:paraId="632C5CFA" w14:textId="77777777" w:rsidR="00C36223" w:rsidRPr="00C36223" w:rsidRDefault="00C36223" w:rsidP="00C36223">
      <w:pPr>
        <w:pStyle w:val="ListParagraph"/>
        <w:spacing w:after="120"/>
        <w:ind w:left="1440"/>
        <w:rPr>
          <w:rFonts w:ascii="Arial" w:hAnsi="Arial" w:cs="Arial"/>
          <w:sz w:val="22"/>
          <w:szCs w:val="22"/>
        </w:rPr>
      </w:pPr>
    </w:p>
    <w:p w14:paraId="326D96B7" w14:textId="4A637FDC" w:rsidR="006C0660" w:rsidRDefault="006C0660" w:rsidP="006C0660">
      <w:pPr>
        <w:pStyle w:val="ListParagraph"/>
        <w:numPr>
          <w:ilvl w:val="0"/>
          <w:numId w:val="7"/>
        </w:numPr>
        <w:spacing w:after="120"/>
        <w:rPr>
          <w:rFonts w:ascii="Arial" w:hAnsi="Arial" w:cs="Arial"/>
          <w:sz w:val="22"/>
          <w:szCs w:val="22"/>
        </w:rPr>
      </w:pPr>
      <w:r>
        <w:rPr>
          <w:rFonts w:ascii="Arial" w:hAnsi="Arial" w:cs="Arial"/>
          <w:b/>
          <w:i/>
          <w:sz w:val="22"/>
          <w:szCs w:val="22"/>
        </w:rPr>
        <w:t xml:space="preserve">New Zealand participant’s agreed rate </w:t>
      </w:r>
      <w:r>
        <w:rPr>
          <w:rFonts w:ascii="Arial" w:hAnsi="Arial" w:cs="Arial"/>
          <w:sz w:val="22"/>
          <w:szCs w:val="22"/>
        </w:rPr>
        <w:t>means a foreign exchange rate agreed to between the New Zealand participant and the recipient of the wine.  The agreed rate only applies for sales made under the agreement and for the period of the agreement applying to the Australian financial year in which the producer rebate is being claimed.</w:t>
      </w:r>
    </w:p>
    <w:p w14:paraId="6834D1CD" w14:textId="77777777" w:rsidR="006C0660" w:rsidRDefault="006C0660" w:rsidP="006C0660">
      <w:pPr>
        <w:pStyle w:val="ListParagraph"/>
        <w:spacing w:after="120"/>
        <w:ind w:left="1080"/>
        <w:rPr>
          <w:rFonts w:ascii="Arial" w:hAnsi="Arial" w:cs="Arial"/>
          <w:sz w:val="22"/>
          <w:szCs w:val="22"/>
        </w:rPr>
      </w:pPr>
    </w:p>
    <w:p w14:paraId="662D0565" w14:textId="736A7B17" w:rsidR="006C0660" w:rsidRPr="006C0660" w:rsidRDefault="006C0660" w:rsidP="006C0660">
      <w:pPr>
        <w:pStyle w:val="ListParagraph"/>
        <w:numPr>
          <w:ilvl w:val="0"/>
          <w:numId w:val="7"/>
        </w:numPr>
        <w:spacing w:after="120"/>
        <w:rPr>
          <w:rFonts w:ascii="Arial" w:hAnsi="Arial" w:cs="Arial"/>
          <w:b/>
          <w:sz w:val="22"/>
          <w:szCs w:val="22"/>
        </w:rPr>
      </w:pPr>
      <w:r w:rsidRPr="006C0660">
        <w:rPr>
          <w:rFonts w:ascii="Arial" w:hAnsi="Arial" w:cs="Arial"/>
          <w:b/>
          <w:i/>
          <w:sz w:val="22"/>
          <w:szCs w:val="22"/>
        </w:rPr>
        <w:t>conversion day</w:t>
      </w:r>
      <w:r>
        <w:rPr>
          <w:rFonts w:ascii="Arial" w:hAnsi="Arial" w:cs="Arial"/>
          <w:b/>
          <w:i/>
          <w:sz w:val="22"/>
          <w:szCs w:val="22"/>
        </w:rPr>
        <w:t xml:space="preserve"> </w:t>
      </w:r>
      <w:r>
        <w:rPr>
          <w:rFonts w:ascii="Arial" w:hAnsi="Arial" w:cs="Arial"/>
          <w:sz w:val="22"/>
          <w:szCs w:val="22"/>
        </w:rPr>
        <w:t>is the date you use to convert foreign currency into Australian currency for wine equalisation tax purposes, and is the earlier of:</w:t>
      </w:r>
    </w:p>
    <w:p w14:paraId="570108C1" w14:textId="77777777" w:rsidR="006C0660" w:rsidRPr="006C0660" w:rsidRDefault="006C0660" w:rsidP="006C0660">
      <w:pPr>
        <w:pStyle w:val="ListParagraph"/>
        <w:rPr>
          <w:rFonts w:ascii="Arial" w:hAnsi="Arial" w:cs="Arial"/>
          <w:b/>
          <w:sz w:val="22"/>
          <w:szCs w:val="22"/>
        </w:rPr>
      </w:pPr>
    </w:p>
    <w:p w14:paraId="349280F8" w14:textId="27CC6E22" w:rsidR="006C0660" w:rsidRDefault="006C0660" w:rsidP="006C0660">
      <w:pPr>
        <w:pStyle w:val="ListParagraph"/>
        <w:numPr>
          <w:ilvl w:val="0"/>
          <w:numId w:val="10"/>
        </w:numPr>
        <w:spacing w:after="120"/>
        <w:rPr>
          <w:rFonts w:ascii="Arial" w:hAnsi="Arial" w:cs="Arial"/>
          <w:sz w:val="22"/>
          <w:szCs w:val="22"/>
        </w:rPr>
      </w:pPr>
      <w:r>
        <w:rPr>
          <w:rFonts w:ascii="Arial" w:hAnsi="Arial" w:cs="Arial"/>
          <w:sz w:val="22"/>
          <w:szCs w:val="22"/>
        </w:rPr>
        <w:t>the day on which any of the consideration is received by the New Zealand participant for the supply of the wine (the receipt date); or</w:t>
      </w:r>
    </w:p>
    <w:p w14:paraId="68A9D5D5" w14:textId="1D5426EB" w:rsidR="006C0660" w:rsidRDefault="006C0660" w:rsidP="006C0660">
      <w:pPr>
        <w:pStyle w:val="ListParagraph"/>
        <w:numPr>
          <w:ilvl w:val="0"/>
          <w:numId w:val="10"/>
        </w:numPr>
        <w:spacing w:after="12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invoice date.</w:t>
      </w:r>
    </w:p>
    <w:p w14:paraId="4065C1D7" w14:textId="77777777" w:rsidR="00C36223" w:rsidRPr="00C36223" w:rsidRDefault="00C36223" w:rsidP="00C36223">
      <w:pPr>
        <w:pStyle w:val="ListParagraph"/>
        <w:spacing w:after="120"/>
        <w:ind w:left="1440"/>
        <w:rPr>
          <w:rFonts w:ascii="Arial" w:hAnsi="Arial" w:cs="Arial"/>
          <w:sz w:val="22"/>
          <w:szCs w:val="22"/>
        </w:rPr>
      </w:pPr>
    </w:p>
    <w:p w14:paraId="18FD1A27" w14:textId="3C182462" w:rsidR="006C0660" w:rsidRDefault="006C0660" w:rsidP="006C0660">
      <w:pPr>
        <w:pStyle w:val="ListParagraph"/>
        <w:numPr>
          <w:ilvl w:val="0"/>
          <w:numId w:val="7"/>
        </w:numPr>
        <w:spacing w:after="120"/>
        <w:rPr>
          <w:rFonts w:ascii="Arial" w:hAnsi="Arial" w:cs="Arial"/>
          <w:sz w:val="22"/>
          <w:szCs w:val="22"/>
        </w:rPr>
      </w:pPr>
      <w:r>
        <w:rPr>
          <w:rFonts w:ascii="Arial" w:hAnsi="Arial" w:cs="Arial"/>
          <w:b/>
          <w:i/>
          <w:sz w:val="22"/>
          <w:szCs w:val="22"/>
        </w:rPr>
        <w:t xml:space="preserve">RBA business day </w:t>
      </w:r>
      <w:r>
        <w:rPr>
          <w:rFonts w:ascii="Arial" w:hAnsi="Arial" w:cs="Arial"/>
          <w:sz w:val="22"/>
          <w:szCs w:val="22"/>
        </w:rPr>
        <w:t>means a day that the head office of the RBA is open for business</w:t>
      </w:r>
    </w:p>
    <w:p w14:paraId="05388817" w14:textId="77777777" w:rsidR="006C0660" w:rsidRDefault="006C0660" w:rsidP="006C0660">
      <w:pPr>
        <w:pStyle w:val="ListParagraph"/>
        <w:spacing w:after="120"/>
        <w:ind w:left="1080"/>
        <w:rPr>
          <w:rFonts w:ascii="Arial" w:hAnsi="Arial" w:cs="Arial"/>
          <w:sz w:val="22"/>
          <w:szCs w:val="22"/>
        </w:rPr>
      </w:pPr>
    </w:p>
    <w:p w14:paraId="477DB1BB" w14:textId="605A3648" w:rsidR="006C0660" w:rsidRPr="006C0660" w:rsidRDefault="006C0660" w:rsidP="006C0660">
      <w:pPr>
        <w:pStyle w:val="ListParagraph"/>
        <w:numPr>
          <w:ilvl w:val="0"/>
          <w:numId w:val="7"/>
        </w:numPr>
        <w:spacing w:after="120"/>
        <w:rPr>
          <w:rFonts w:ascii="Arial" w:hAnsi="Arial" w:cs="Arial"/>
          <w:sz w:val="22"/>
          <w:szCs w:val="22"/>
        </w:rPr>
      </w:pPr>
      <w:r>
        <w:rPr>
          <w:rFonts w:ascii="Arial" w:hAnsi="Arial" w:cs="Arial"/>
          <w:b/>
          <w:i/>
          <w:sz w:val="22"/>
          <w:szCs w:val="22"/>
        </w:rPr>
        <w:t xml:space="preserve">Reserve Bank of Australia </w:t>
      </w:r>
      <w:r>
        <w:rPr>
          <w:rFonts w:ascii="Arial" w:hAnsi="Arial" w:cs="Arial"/>
          <w:sz w:val="22"/>
          <w:szCs w:val="22"/>
        </w:rPr>
        <w:t xml:space="preserve">means the body corporate continued in existence under the </w:t>
      </w:r>
      <w:r>
        <w:rPr>
          <w:rFonts w:ascii="Arial" w:hAnsi="Arial" w:cs="Arial"/>
          <w:i/>
          <w:sz w:val="22"/>
          <w:szCs w:val="22"/>
        </w:rPr>
        <w:t>Reserve Bank Act 1959.</w:t>
      </w:r>
    </w:p>
    <w:p w14:paraId="01377398" w14:textId="77777777" w:rsidR="006C0660" w:rsidRPr="006C0660" w:rsidRDefault="006C0660" w:rsidP="006C0660">
      <w:pPr>
        <w:pStyle w:val="ListParagraph"/>
        <w:rPr>
          <w:rFonts w:ascii="Arial" w:hAnsi="Arial" w:cs="Arial"/>
          <w:sz w:val="22"/>
          <w:szCs w:val="22"/>
        </w:rPr>
      </w:pPr>
    </w:p>
    <w:p w14:paraId="3597FC48" w14:textId="77777777" w:rsidR="00225511" w:rsidRPr="00C9367C" w:rsidRDefault="00225511" w:rsidP="00C9367C">
      <w:pPr>
        <w:rPr>
          <w:rFonts w:ascii="Arial" w:hAnsi="Arial" w:cs="Arial"/>
          <w:sz w:val="22"/>
          <w:szCs w:val="22"/>
        </w:rPr>
      </w:pPr>
    </w:p>
    <w:p w14:paraId="6706A820" w14:textId="093EF634" w:rsidR="00225511" w:rsidRPr="00443042" w:rsidRDefault="00225511" w:rsidP="00225511">
      <w:pPr>
        <w:pStyle w:val="ListParagraph"/>
        <w:numPr>
          <w:ilvl w:val="0"/>
          <w:numId w:val="8"/>
        </w:numPr>
        <w:spacing w:after="120"/>
        <w:rPr>
          <w:rFonts w:ascii="Arial" w:hAnsi="Arial" w:cs="Arial"/>
          <w:sz w:val="22"/>
          <w:szCs w:val="22"/>
        </w:rPr>
      </w:pPr>
      <w:r>
        <w:rPr>
          <w:rFonts w:ascii="Arial" w:hAnsi="Arial" w:cs="Arial"/>
          <w:sz w:val="22"/>
          <w:szCs w:val="22"/>
        </w:rPr>
        <w:t xml:space="preserve">Other terms in this determination have the same meaning as in the </w:t>
      </w:r>
      <w:r>
        <w:rPr>
          <w:rFonts w:ascii="Arial" w:hAnsi="Arial" w:cs="Arial"/>
          <w:i/>
          <w:sz w:val="22"/>
          <w:szCs w:val="22"/>
        </w:rPr>
        <w:t>A New Tax System</w:t>
      </w:r>
      <w:r w:rsidR="00443042">
        <w:rPr>
          <w:rFonts w:ascii="Arial" w:hAnsi="Arial" w:cs="Arial"/>
          <w:i/>
          <w:sz w:val="22"/>
          <w:szCs w:val="22"/>
        </w:rPr>
        <w:t xml:space="preserve"> (Wine Equalisation Tax) Act 1999.</w:t>
      </w:r>
    </w:p>
    <w:p w14:paraId="382DDDF8" w14:textId="77777777" w:rsidR="00443042" w:rsidRDefault="00443042" w:rsidP="00443042">
      <w:pPr>
        <w:spacing w:after="120"/>
        <w:rPr>
          <w:rFonts w:ascii="Arial" w:hAnsi="Arial" w:cs="Arial"/>
          <w:sz w:val="22"/>
          <w:szCs w:val="22"/>
        </w:rPr>
      </w:pPr>
    </w:p>
    <w:p w14:paraId="06111961" w14:textId="30805437" w:rsidR="00443042" w:rsidRDefault="00443042" w:rsidP="00443042">
      <w:pPr>
        <w:numPr>
          <w:ilvl w:val="0"/>
          <w:numId w:val="2"/>
        </w:numPr>
        <w:tabs>
          <w:tab w:val="clear" w:pos="720"/>
          <w:tab w:val="num" w:pos="900"/>
        </w:tabs>
        <w:spacing w:after="120"/>
        <w:ind w:hanging="720"/>
        <w:rPr>
          <w:rFonts w:ascii="Arial" w:hAnsi="Arial" w:cs="Arial"/>
          <w:b/>
        </w:rPr>
      </w:pPr>
      <w:r>
        <w:rPr>
          <w:rFonts w:ascii="Arial" w:hAnsi="Arial" w:cs="Arial"/>
          <w:b/>
        </w:rPr>
        <w:t>Manner in which the conversion to Australian currency may be made</w:t>
      </w:r>
    </w:p>
    <w:p w14:paraId="0C647CB6" w14:textId="25E43003" w:rsidR="00443042" w:rsidRDefault="00443042" w:rsidP="00443042">
      <w:pPr>
        <w:spacing w:after="120"/>
        <w:ind w:left="720"/>
        <w:rPr>
          <w:rFonts w:ascii="Arial" w:hAnsi="Arial" w:cs="Arial"/>
          <w:i/>
          <w:sz w:val="22"/>
          <w:szCs w:val="22"/>
        </w:rPr>
      </w:pPr>
      <w:r>
        <w:rPr>
          <w:rFonts w:ascii="Arial" w:hAnsi="Arial" w:cs="Arial"/>
          <w:i/>
          <w:sz w:val="22"/>
          <w:szCs w:val="22"/>
        </w:rPr>
        <w:t>Option 1 – conversion for components expressed in any foreign currency</w:t>
      </w:r>
    </w:p>
    <w:p w14:paraId="1AAACF6C" w14:textId="5AFC2D5D" w:rsidR="00443042" w:rsidRDefault="007346D0" w:rsidP="00443042">
      <w:pPr>
        <w:spacing w:after="120"/>
        <w:ind w:left="720"/>
        <w:rPr>
          <w:rFonts w:ascii="Arial" w:hAnsi="Arial" w:cs="Arial"/>
          <w:sz w:val="22"/>
          <w:szCs w:val="22"/>
        </w:rPr>
      </w:pPr>
      <w:r>
        <w:rPr>
          <w:rFonts w:ascii="Arial" w:hAnsi="Arial" w:cs="Arial"/>
          <w:sz w:val="22"/>
          <w:szCs w:val="22"/>
        </w:rPr>
        <w:t>In working out the value of the component used to determine the approved selling price, you convert the value of the component expressed in a foreign currency (including New Zealand currency) on a conversion day in accordance with the following formula:</w:t>
      </w:r>
    </w:p>
    <w:tbl>
      <w:tblPr>
        <w:tblStyle w:val="TableGrid"/>
        <w:tblW w:w="817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1"/>
        <w:gridCol w:w="850"/>
        <w:gridCol w:w="3686"/>
      </w:tblGrid>
      <w:tr w:rsidR="001E7E17" w14:paraId="2A5FE240" w14:textId="77777777" w:rsidTr="00762C5F">
        <w:trPr>
          <w:trHeight w:val="683"/>
        </w:trPr>
        <w:tc>
          <w:tcPr>
            <w:tcW w:w="3641" w:type="dxa"/>
          </w:tcPr>
          <w:p w14:paraId="592DA522" w14:textId="77777777" w:rsidR="00C36223" w:rsidRDefault="00C36223" w:rsidP="00762C5F">
            <w:pPr>
              <w:spacing w:after="120"/>
              <w:rPr>
                <w:rFonts w:ascii="Arial" w:hAnsi="Arial" w:cs="Arial"/>
                <w:sz w:val="22"/>
                <w:szCs w:val="22"/>
              </w:rPr>
            </w:pPr>
          </w:p>
        </w:tc>
        <w:tc>
          <w:tcPr>
            <w:tcW w:w="850" w:type="dxa"/>
          </w:tcPr>
          <w:p w14:paraId="4724FB3E" w14:textId="77777777" w:rsidR="001E7E17" w:rsidRDefault="001E7E17" w:rsidP="00762C5F">
            <w:pPr>
              <w:spacing w:after="120"/>
              <w:rPr>
                <w:rFonts w:ascii="Arial" w:hAnsi="Arial" w:cs="Arial"/>
                <w:sz w:val="22"/>
                <w:szCs w:val="22"/>
              </w:rPr>
            </w:pPr>
          </w:p>
        </w:tc>
        <w:tc>
          <w:tcPr>
            <w:tcW w:w="3686" w:type="dxa"/>
            <w:vAlign w:val="bottom"/>
          </w:tcPr>
          <w:p w14:paraId="70C756F5" w14:textId="77777777" w:rsidR="001E7E17" w:rsidRDefault="001E7E17" w:rsidP="00762C5F">
            <w:pPr>
              <w:spacing w:after="120"/>
              <w:rPr>
                <w:rFonts w:ascii="Arial" w:hAnsi="Arial" w:cs="Arial"/>
                <w:sz w:val="22"/>
                <w:szCs w:val="22"/>
              </w:rPr>
            </w:pPr>
          </w:p>
        </w:tc>
      </w:tr>
      <w:tr w:rsidR="001E7E17" w14:paraId="223DA3B0" w14:textId="77777777" w:rsidTr="00762C5F">
        <w:trPr>
          <w:trHeight w:val="397"/>
        </w:trPr>
        <w:tc>
          <w:tcPr>
            <w:tcW w:w="3641" w:type="dxa"/>
            <w:vMerge w:val="restart"/>
            <w:vAlign w:val="center"/>
          </w:tcPr>
          <w:p w14:paraId="3B7784A5" w14:textId="419B7819" w:rsidR="001E7E17" w:rsidRDefault="001E7E17" w:rsidP="00762C5F">
            <w:pPr>
              <w:jc w:val="center"/>
              <w:rPr>
                <w:rFonts w:ascii="Arial" w:hAnsi="Arial" w:cs="Arial"/>
                <w:sz w:val="18"/>
                <w:szCs w:val="18"/>
              </w:rPr>
            </w:pPr>
            <w:r w:rsidRPr="00067462">
              <w:rPr>
                <w:rFonts w:ascii="Arial" w:hAnsi="Arial" w:cs="Arial"/>
                <w:sz w:val="18"/>
                <w:szCs w:val="18"/>
              </w:rPr>
              <w:t xml:space="preserve">Value of </w:t>
            </w:r>
            <w:r w:rsidR="00B63ABF">
              <w:rPr>
                <w:rFonts w:ascii="Arial" w:hAnsi="Arial" w:cs="Arial"/>
                <w:sz w:val="18"/>
                <w:szCs w:val="18"/>
              </w:rPr>
              <w:t xml:space="preserve">the </w:t>
            </w:r>
            <w:r w:rsidRPr="00067462">
              <w:rPr>
                <w:rFonts w:ascii="Arial" w:hAnsi="Arial" w:cs="Arial"/>
                <w:sz w:val="18"/>
                <w:szCs w:val="18"/>
              </w:rPr>
              <w:t>component expressed</w:t>
            </w:r>
          </w:p>
          <w:p w14:paraId="73288E26" w14:textId="77777777" w:rsidR="001E7E17" w:rsidRDefault="001E7E17" w:rsidP="00762C5F">
            <w:pPr>
              <w:jc w:val="center"/>
              <w:rPr>
                <w:rFonts w:ascii="Arial" w:hAnsi="Arial" w:cs="Arial"/>
                <w:sz w:val="22"/>
                <w:szCs w:val="22"/>
              </w:rPr>
            </w:pPr>
            <w:r w:rsidRPr="00067462">
              <w:rPr>
                <w:rFonts w:ascii="Arial" w:hAnsi="Arial" w:cs="Arial"/>
                <w:sz w:val="18"/>
                <w:szCs w:val="18"/>
              </w:rPr>
              <w:t>in a foreign currency</w:t>
            </w:r>
          </w:p>
        </w:tc>
        <w:tc>
          <w:tcPr>
            <w:tcW w:w="850" w:type="dxa"/>
            <w:vMerge w:val="restart"/>
            <w:vAlign w:val="center"/>
          </w:tcPr>
          <w:p w14:paraId="75E22A55" w14:textId="77777777" w:rsidR="001E7E17" w:rsidRDefault="001E7E17" w:rsidP="00762C5F">
            <w:pPr>
              <w:jc w:val="center"/>
              <w:rPr>
                <w:rFonts w:ascii="Arial" w:hAnsi="Arial" w:cs="Arial"/>
                <w:sz w:val="22"/>
                <w:szCs w:val="22"/>
              </w:rPr>
            </w:pPr>
            <w:r w:rsidRPr="00053A2E">
              <w:rPr>
                <w:rFonts w:ascii="Arial" w:hAnsi="Arial" w:cs="Arial"/>
                <w:sz w:val="18"/>
                <w:szCs w:val="18"/>
              </w:rPr>
              <w:t>X</w:t>
            </w:r>
          </w:p>
        </w:tc>
        <w:tc>
          <w:tcPr>
            <w:tcW w:w="3686" w:type="dxa"/>
            <w:tcBorders>
              <w:bottom w:val="single" w:sz="4" w:space="0" w:color="auto"/>
            </w:tcBorders>
            <w:vAlign w:val="bottom"/>
          </w:tcPr>
          <w:p w14:paraId="007EF9B1" w14:textId="77777777" w:rsidR="001E7E17" w:rsidRDefault="001E7E17" w:rsidP="00762C5F">
            <w:pPr>
              <w:jc w:val="center"/>
              <w:rPr>
                <w:rFonts w:ascii="Arial" w:hAnsi="Arial" w:cs="Arial"/>
                <w:sz w:val="22"/>
                <w:szCs w:val="22"/>
              </w:rPr>
            </w:pPr>
            <w:r w:rsidRPr="00067462">
              <w:rPr>
                <w:rFonts w:ascii="Arial" w:hAnsi="Arial" w:cs="Arial"/>
                <w:sz w:val="18"/>
                <w:szCs w:val="18"/>
              </w:rPr>
              <w:t>1</w:t>
            </w:r>
          </w:p>
        </w:tc>
      </w:tr>
      <w:tr w:rsidR="001E7E17" w14:paraId="149E0BCF" w14:textId="77777777" w:rsidTr="00762C5F">
        <w:trPr>
          <w:trHeight w:val="330"/>
        </w:trPr>
        <w:tc>
          <w:tcPr>
            <w:tcW w:w="3641" w:type="dxa"/>
            <w:vMerge/>
          </w:tcPr>
          <w:p w14:paraId="31BD6D1B" w14:textId="77777777" w:rsidR="001E7E17" w:rsidRPr="00067462" w:rsidRDefault="001E7E17" w:rsidP="00762C5F">
            <w:pPr>
              <w:spacing w:after="120"/>
              <w:rPr>
                <w:rFonts w:ascii="Arial" w:hAnsi="Arial" w:cs="Arial"/>
                <w:sz w:val="18"/>
                <w:szCs w:val="18"/>
              </w:rPr>
            </w:pPr>
          </w:p>
        </w:tc>
        <w:tc>
          <w:tcPr>
            <w:tcW w:w="850" w:type="dxa"/>
            <w:vMerge/>
          </w:tcPr>
          <w:p w14:paraId="4B0F85CE" w14:textId="77777777" w:rsidR="001E7E17" w:rsidRPr="00053A2E" w:rsidRDefault="001E7E17" w:rsidP="00762C5F">
            <w:pPr>
              <w:spacing w:after="120"/>
              <w:rPr>
                <w:rFonts w:ascii="Arial" w:hAnsi="Arial" w:cs="Arial"/>
                <w:sz w:val="18"/>
                <w:szCs w:val="18"/>
              </w:rPr>
            </w:pPr>
          </w:p>
        </w:tc>
        <w:tc>
          <w:tcPr>
            <w:tcW w:w="3686" w:type="dxa"/>
            <w:tcBorders>
              <w:top w:val="single" w:sz="4" w:space="0" w:color="auto"/>
            </w:tcBorders>
          </w:tcPr>
          <w:p w14:paraId="2D8CFBA1" w14:textId="77777777" w:rsidR="001E7E17" w:rsidRPr="00067462" w:rsidRDefault="001E7E17" w:rsidP="00762C5F">
            <w:pPr>
              <w:spacing w:after="120"/>
              <w:jc w:val="center"/>
              <w:rPr>
                <w:rFonts w:ascii="Arial" w:hAnsi="Arial" w:cs="Arial"/>
                <w:sz w:val="18"/>
                <w:szCs w:val="18"/>
              </w:rPr>
            </w:pPr>
            <w:r w:rsidRPr="00067462">
              <w:rPr>
                <w:rFonts w:ascii="Arial" w:hAnsi="Arial" w:cs="Arial"/>
                <w:sz w:val="18"/>
                <w:szCs w:val="18"/>
              </w:rPr>
              <w:t xml:space="preserve">The </w:t>
            </w:r>
            <w:r w:rsidRPr="00FF1238">
              <w:rPr>
                <w:rFonts w:ascii="Arial" w:hAnsi="Arial" w:cs="Arial"/>
                <w:b/>
                <w:sz w:val="18"/>
                <w:szCs w:val="18"/>
              </w:rPr>
              <w:t>New Zealand participant’s particular exchange rate</w:t>
            </w:r>
            <w:r w:rsidRPr="00067462">
              <w:rPr>
                <w:rFonts w:ascii="Arial" w:hAnsi="Arial" w:cs="Arial"/>
                <w:sz w:val="18"/>
                <w:szCs w:val="18"/>
              </w:rPr>
              <w:t xml:space="preserve"> on the </w:t>
            </w:r>
            <w:r w:rsidRPr="00FF1238">
              <w:rPr>
                <w:rFonts w:ascii="Arial" w:hAnsi="Arial" w:cs="Arial"/>
                <w:b/>
                <w:sz w:val="18"/>
                <w:szCs w:val="18"/>
              </w:rPr>
              <w:t>conversion day</w:t>
            </w:r>
          </w:p>
        </w:tc>
      </w:tr>
      <w:tr w:rsidR="001E7E17" w14:paraId="190960E5" w14:textId="77777777" w:rsidTr="00762C5F">
        <w:tc>
          <w:tcPr>
            <w:tcW w:w="3641" w:type="dxa"/>
          </w:tcPr>
          <w:p w14:paraId="0E37C025" w14:textId="77777777" w:rsidR="001E7E17" w:rsidRDefault="001E7E17" w:rsidP="00762C5F">
            <w:pPr>
              <w:spacing w:after="120"/>
              <w:rPr>
                <w:rFonts w:ascii="Arial" w:hAnsi="Arial" w:cs="Arial"/>
                <w:sz w:val="22"/>
                <w:szCs w:val="22"/>
              </w:rPr>
            </w:pPr>
          </w:p>
        </w:tc>
        <w:tc>
          <w:tcPr>
            <w:tcW w:w="850" w:type="dxa"/>
          </w:tcPr>
          <w:p w14:paraId="0BD30AE9" w14:textId="77777777" w:rsidR="001E7E17" w:rsidRDefault="001E7E17" w:rsidP="00762C5F">
            <w:pPr>
              <w:spacing w:after="120"/>
              <w:rPr>
                <w:rFonts w:ascii="Arial" w:hAnsi="Arial" w:cs="Arial"/>
                <w:sz w:val="22"/>
                <w:szCs w:val="22"/>
              </w:rPr>
            </w:pPr>
          </w:p>
        </w:tc>
        <w:tc>
          <w:tcPr>
            <w:tcW w:w="3686" w:type="dxa"/>
          </w:tcPr>
          <w:p w14:paraId="3A563A5A" w14:textId="77777777" w:rsidR="001E7E17" w:rsidRDefault="001E7E17" w:rsidP="00762C5F">
            <w:pPr>
              <w:spacing w:after="120"/>
              <w:rPr>
                <w:rFonts w:ascii="Arial" w:hAnsi="Arial" w:cs="Arial"/>
                <w:sz w:val="22"/>
                <w:szCs w:val="22"/>
              </w:rPr>
            </w:pPr>
          </w:p>
        </w:tc>
      </w:tr>
    </w:tbl>
    <w:p w14:paraId="60C3604D" w14:textId="17D6EEA3" w:rsidR="002816C4" w:rsidRDefault="002816C4" w:rsidP="001E7E17">
      <w:pPr>
        <w:spacing w:after="120"/>
        <w:ind w:firstLine="720"/>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w:t>
      </w:r>
    </w:p>
    <w:p w14:paraId="68E95544" w14:textId="18AF09A7" w:rsidR="002816C4" w:rsidRDefault="002816C4" w:rsidP="002816C4">
      <w:pPr>
        <w:pStyle w:val="ListParagraph"/>
        <w:numPr>
          <w:ilvl w:val="0"/>
          <w:numId w:val="7"/>
        </w:numPr>
        <w:spacing w:after="120"/>
        <w:rPr>
          <w:rFonts w:ascii="Arial" w:hAnsi="Arial" w:cs="Arial"/>
          <w:sz w:val="22"/>
          <w:szCs w:val="22"/>
        </w:rPr>
      </w:pPr>
      <w:r>
        <w:rPr>
          <w:rFonts w:ascii="Arial" w:hAnsi="Arial" w:cs="Arial"/>
          <w:sz w:val="22"/>
          <w:szCs w:val="22"/>
        </w:rPr>
        <w:t xml:space="preserve">the </w:t>
      </w:r>
      <w:r>
        <w:rPr>
          <w:rFonts w:ascii="Arial" w:hAnsi="Arial" w:cs="Arial"/>
          <w:b/>
          <w:i/>
          <w:sz w:val="22"/>
          <w:szCs w:val="22"/>
        </w:rPr>
        <w:t xml:space="preserve">New Zealand participant’s particular exchange rate </w:t>
      </w:r>
      <w:r>
        <w:rPr>
          <w:rFonts w:ascii="Arial" w:hAnsi="Arial" w:cs="Arial"/>
          <w:sz w:val="22"/>
          <w:szCs w:val="22"/>
        </w:rPr>
        <w:t xml:space="preserve">is the </w:t>
      </w:r>
      <w:r>
        <w:rPr>
          <w:rFonts w:ascii="Arial" w:hAnsi="Arial" w:cs="Arial"/>
          <w:b/>
          <w:i/>
          <w:sz w:val="22"/>
          <w:szCs w:val="22"/>
        </w:rPr>
        <w:t xml:space="preserve">RBA rate </w:t>
      </w:r>
      <w:r>
        <w:rPr>
          <w:rFonts w:ascii="Arial" w:hAnsi="Arial" w:cs="Arial"/>
          <w:sz w:val="22"/>
          <w:szCs w:val="22"/>
        </w:rPr>
        <w:t xml:space="preserve"> or the </w:t>
      </w:r>
      <w:r>
        <w:rPr>
          <w:rFonts w:ascii="Arial" w:hAnsi="Arial" w:cs="Arial"/>
          <w:b/>
          <w:i/>
          <w:sz w:val="22"/>
          <w:szCs w:val="22"/>
        </w:rPr>
        <w:t xml:space="preserve">New Zealand participant’s agreed rate, </w:t>
      </w:r>
      <w:r>
        <w:rPr>
          <w:rFonts w:ascii="Arial" w:hAnsi="Arial" w:cs="Arial"/>
          <w:sz w:val="22"/>
          <w:szCs w:val="22"/>
        </w:rPr>
        <w:t>whichever is applicable; and</w:t>
      </w:r>
    </w:p>
    <w:p w14:paraId="047F09FE" w14:textId="6E4229C8" w:rsidR="002816C4" w:rsidRDefault="002816C4" w:rsidP="002816C4">
      <w:pPr>
        <w:pStyle w:val="ListParagraph"/>
        <w:numPr>
          <w:ilvl w:val="0"/>
          <w:numId w:val="7"/>
        </w:numPr>
        <w:spacing w:after="120"/>
        <w:rPr>
          <w:rFonts w:ascii="Arial" w:hAnsi="Arial" w:cs="Arial"/>
          <w:sz w:val="22"/>
          <w:szCs w:val="22"/>
        </w:rPr>
      </w:pPr>
      <w:proofErr w:type="gramStart"/>
      <w:r>
        <w:rPr>
          <w:rFonts w:ascii="Arial" w:hAnsi="Arial" w:cs="Arial"/>
          <w:sz w:val="22"/>
          <w:szCs w:val="22"/>
        </w:rPr>
        <w:lastRenderedPageBreak/>
        <w:t>the</w:t>
      </w:r>
      <w:proofErr w:type="gramEnd"/>
      <w:r>
        <w:rPr>
          <w:rFonts w:ascii="Arial" w:hAnsi="Arial" w:cs="Arial"/>
          <w:sz w:val="22"/>
          <w:szCs w:val="22"/>
        </w:rPr>
        <w:t xml:space="preserve"> </w:t>
      </w:r>
      <w:r>
        <w:rPr>
          <w:rFonts w:ascii="Arial" w:hAnsi="Arial" w:cs="Arial"/>
          <w:b/>
          <w:i/>
          <w:sz w:val="22"/>
          <w:szCs w:val="22"/>
        </w:rPr>
        <w:t>conversion day</w:t>
      </w:r>
      <w:r>
        <w:rPr>
          <w:rFonts w:ascii="Arial" w:hAnsi="Arial" w:cs="Arial"/>
          <w:sz w:val="22"/>
          <w:szCs w:val="22"/>
        </w:rPr>
        <w:t xml:space="preserve"> is the date that the foreign currency is converted into Australian currency for wine equalisation tax purposes.</w:t>
      </w:r>
    </w:p>
    <w:p w14:paraId="3F8593DC" w14:textId="77777777" w:rsidR="002816C4" w:rsidRDefault="002816C4" w:rsidP="002816C4">
      <w:pPr>
        <w:spacing w:after="120"/>
        <w:ind w:left="720"/>
        <w:rPr>
          <w:rFonts w:ascii="Arial" w:hAnsi="Arial" w:cs="Arial"/>
          <w:i/>
          <w:sz w:val="22"/>
          <w:szCs w:val="22"/>
        </w:rPr>
      </w:pPr>
    </w:p>
    <w:p w14:paraId="7B49CBDF" w14:textId="2410F151" w:rsidR="002816C4" w:rsidRDefault="002816C4" w:rsidP="002816C4">
      <w:pPr>
        <w:spacing w:after="120"/>
        <w:ind w:left="720"/>
        <w:rPr>
          <w:rFonts w:ascii="Arial" w:hAnsi="Arial" w:cs="Arial"/>
          <w:i/>
          <w:sz w:val="22"/>
          <w:szCs w:val="22"/>
        </w:rPr>
      </w:pPr>
      <w:r>
        <w:rPr>
          <w:rFonts w:ascii="Arial" w:hAnsi="Arial" w:cs="Arial"/>
          <w:i/>
          <w:sz w:val="22"/>
          <w:szCs w:val="22"/>
        </w:rPr>
        <w:t>Option 2</w:t>
      </w:r>
      <w:r w:rsidR="006D6443">
        <w:rPr>
          <w:rFonts w:ascii="Arial" w:hAnsi="Arial" w:cs="Arial"/>
          <w:i/>
          <w:sz w:val="22"/>
          <w:szCs w:val="22"/>
        </w:rPr>
        <w:t xml:space="preserve"> – additional option for components expressed in New Zealand currency</w:t>
      </w:r>
    </w:p>
    <w:p w14:paraId="6E8FF759" w14:textId="49217953" w:rsidR="006D6443" w:rsidRDefault="006D6443" w:rsidP="002816C4">
      <w:pPr>
        <w:spacing w:after="120"/>
        <w:ind w:left="720"/>
        <w:rPr>
          <w:rFonts w:ascii="Arial" w:hAnsi="Arial" w:cs="Arial"/>
          <w:sz w:val="22"/>
          <w:szCs w:val="22"/>
        </w:rPr>
      </w:pPr>
      <w:r>
        <w:rPr>
          <w:rFonts w:ascii="Arial" w:hAnsi="Arial" w:cs="Arial"/>
          <w:sz w:val="22"/>
          <w:szCs w:val="22"/>
        </w:rPr>
        <w:t xml:space="preserve">Where the value of the component used to determine the approved selling price is expressed in New Zealand currency, </w:t>
      </w:r>
      <w:proofErr w:type="gramStart"/>
      <w:r>
        <w:rPr>
          <w:rFonts w:ascii="Arial" w:hAnsi="Arial" w:cs="Arial"/>
          <w:sz w:val="22"/>
          <w:szCs w:val="22"/>
        </w:rPr>
        <w:t>then</w:t>
      </w:r>
      <w:proofErr w:type="gramEnd"/>
      <w:r>
        <w:rPr>
          <w:rFonts w:ascii="Arial" w:hAnsi="Arial" w:cs="Arial"/>
          <w:sz w:val="22"/>
          <w:szCs w:val="22"/>
        </w:rPr>
        <w:t xml:space="preserve"> in working out the value of that component you have the option of converting the value on a </w:t>
      </w:r>
      <w:r w:rsidRPr="00E77727">
        <w:rPr>
          <w:rFonts w:ascii="Arial" w:hAnsi="Arial" w:cs="Arial"/>
          <w:b/>
          <w:sz w:val="22"/>
          <w:szCs w:val="22"/>
        </w:rPr>
        <w:t>conversion day</w:t>
      </w:r>
      <w:r>
        <w:rPr>
          <w:rFonts w:ascii="Arial" w:hAnsi="Arial" w:cs="Arial"/>
          <w:sz w:val="22"/>
          <w:szCs w:val="22"/>
        </w:rPr>
        <w:t xml:space="preserve"> in accordance with the following formula:</w:t>
      </w:r>
    </w:p>
    <w:p w14:paraId="2E0015FB" w14:textId="77777777" w:rsidR="00053A2E" w:rsidRDefault="00053A2E" w:rsidP="002816C4">
      <w:pPr>
        <w:spacing w:after="120"/>
        <w:ind w:left="720"/>
        <w:rPr>
          <w:rFonts w:ascii="Arial" w:hAnsi="Arial" w:cs="Arial"/>
          <w:sz w:val="22"/>
          <w:szCs w:val="22"/>
        </w:rPr>
      </w:pPr>
    </w:p>
    <w:tbl>
      <w:tblPr>
        <w:tblStyle w:val="TableGrid"/>
        <w:tblW w:w="7081"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499"/>
        <w:gridCol w:w="992"/>
        <w:gridCol w:w="2590"/>
      </w:tblGrid>
      <w:tr w:rsidR="00FF1238" w:rsidRPr="00FF1238" w14:paraId="48F8B7C0" w14:textId="77777777" w:rsidTr="00053A2E">
        <w:tc>
          <w:tcPr>
            <w:tcW w:w="3499" w:type="dxa"/>
          </w:tcPr>
          <w:p w14:paraId="31E6B88A" w14:textId="045B1B6C" w:rsidR="00FF1238" w:rsidRPr="00FF1238" w:rsidRDefault="00E77727" w:rsidP="00053A2E">
            <w:pPr>
              <w:spacing w:after="120"/>
              <w:jc w:val="center"/>
              <w:rPr>
                <w:rFonts w:ascii="Arial" w:hAnsi="Arial" w:cs="Arial"/>
                <w:sz w:val="18"/>
                <w:szCs w:val="18"/>
              </w:rPr>
            </w:pPr>
            <w:r>
              <w:rPr>
                <w:rFonts w:ascii="Arial" w:hAnsi="Arial" w:cs="Arial"/>
                <w:sz w:val="18"/>
                <w:szCs w:val="18"/>
              </w:rPr>
              <w:t>v</w:t>
            </w:r>
            <w:r w:rsidR="00FF1238">
              <w:rPr>
                <w:rFonts w:ascii="Arial" w:hAnsi="Arial" w:cs="Arial"/>
                <w:sz w:val="18"/>
                <w:szCs w:val="18"/>
              </w:rPr>
              <w:t xml:space="preserve">alue of </w:t>
            </w:r>
            <w:r w:rsidR="00B63ABF">
              <w:rPr>
                <w:rFonts w:ascii="Arial" w:hAnsi="Arial" w:cs="Arial"/>
                <w:sz w:val="18"/>
                <w:szCs w:val="18"/>
              </w:rPr>
              <w:t xml:space="preserve">the </w:t>
            </w:r>
            <w:r w:rsidR="00FF1238">
              <w:rPr>
                <w:rFonts w:ascii="Arial" w:hAnsi="Arial" w:cs="Arial"/>
                <w:sz w:val="18"/>
                <w:szCs w:val="18"/>
              </w:rPr>
              <w:t>component expressed in New Zealand currency ($NZ)</w:t>
            </w:r>
          </w:p>
        </w:tc>
        <w:tc>
          <w:tcPr>
            <w:tcW w:w="992" w:type="dxa"/>
            <w:vAlign w:val="center"/>
          </w:tcPr>
          <w:p w14:paraId="7B42582D" w14:textId="6B37A77F" w:rsidR="00FF1238" w:rsidRPr="00FF1238" w:rsidRDefault="00FF1238" w:rsidP="00053A2E">
            <w:pPr>
              <w:spacing w:after="120"/>
              <w:jc w:val="center"/>
              <w:rPr>
                <w:rFonts w:ascii="Arial" w:hAnsi="Arial" w:cs="Arial"/>
                <w:sz w:val="18"/>
                <w:szCs w:val="18"/>
              </w:rPr>
            </w:pPr>
            <w:r>
              <w:rPr>
                <w:rFonts w:ascii="Arial" w:hAnsi="Arial" w:cs="Arial"/>
                <w:sz w:val="18"/>
                <w:szCs w:val="18"/>
              </w:rPr>
              <w:t>X</w:t>
            </w:r>
          </w:p>
        </w:tc>
        <w:tc>
          <w:tcPr>
            <w:tcW w:w="2590" w:type="dxa"/>
            <w:vAlign w:val="center"/>
          </w:tcPr>
          <w:p w14:paraId="3B3DB294" w14:textId="1C7A0120" w:rsidR="00FF1238" w:rsidRPr="00FF1238" w:rsidRDefault="00E77727" w:rsidP="00053A2E">
            <w:pPr>
              <w:spacing w:after="120"/>
              <w:jc w:val="center"/>
              <w:rPr>
                <w:rFonts w:ascii="Arial" w:hAnsi="Arial" w:cs="Arial"/>
                <w:b/>
                <w:sz w:val="18"/>
                <w:szCs w:val="18"/>
              </w:rPr>
            </w:pPr>
            <w:r>
              <w:rPr>
                <w:rFonts w:ascii="Arial" w:hAnsi="Arial" w:cs="Arial"/>
                <w:b/>
                <w:sz w:val="18"/>
                <w:szCs w:val="18"/>
              </w:rPr>
              <w:t>a</w:t>
            </w:r>
            <w:r w:rsidR="00FF1238">
              <w:rPr>
                <w:rFonts w:ascii="Arial" w:hAnsi="Arial" w:cs="Arial"/>
                <w:b/>
                <w:sz w:val="18"/>
                <w:szCs w:val="18"/>
              </w:rPr>
              <w:t>verage yearly R</w:t>
            </w:r>
            <w:r w:rsidR="008F230A">
              <w:rPr>
                <w:rFonts w:ascii="Arial" w:hAnsi="Arial" w:cs="Arial"/>
                <w:b/>
                <w:sz w:val="18"/>
                <w:szCs w:val="18"/>
              </w:rPr>
              <w:t xml:space="preserve">eserve </w:t>
            </w:r>
            <w:r w:rsidR="00FF1238">
              <w:rPr>
                <w:rFonts w:ascii="Arial" w:hAnsi="Arial" w:cs="Arial"/>
                <w:b/>
                <w:sz w:val="18"/>
                <w:szCs w:val="18"/>
              </w:rPr>
              <w:t>B</w:t>
            </w:r>
            <w:r w:rsidR="008F230A">
              <w:rPr>
                <w:rFonts w:ascii="Arial" w:hAnsi="Arial" w:cs="Arial"/>
                <w:b/>
                <w:sz w:val="18"/>
                <w:szCs w:val="18"/>
              </w:rPr>
              <w:t xml:space="preserve">ank of </w:t>
            </w:r>
            <w:r w:rsidR="00FF1238">
              <w:rPr>
                <w:rFonts w:ascii="Arial" w:hAnsi="Arial" w:cs="Arial"/>
                <w:b/>
                <w:sz w:val="18"/>
                <w:szCs w:val="18"/>
              </w:rPr>
              <w:t>N</w:t>
            </w:r>
            <w:r w:rsidR="008F230A">
              <w:rPr>
                <w:rFonts w:ascii="Arial" w:hAnsi="Arial" w:cs="Arial"/>
                <w:b/>
                <w:sz w:val="18"/>
                <w:szCs w:val="18"/>
              </w:rPr>
              <w:t xml:space="preserve">ew </w:t>
            </w:r>
            <w:r w:rsidR="00FF1238">
              <w:rPr>
                <w:rFonts w:ascii="Arial" w:hAnsi="Arial" w:cs="Arial"/>
                <w:b/>
                <w:sz w:val="18"/>
                <w:szCs w:val="18"/>
              </w:rPr>
              <w:t>Z</w:t>
            </w:r>
            <w:r w:rsidR="008F230A">
              <w:rPr>
                <w:rFonts w:ascii="Arial" w:hAnsi="Arial" w:cs="Arial"/>
                <w:b/>
                <w:sz w:val="18"/>
                <w:szCs w:val="18"/>
              </w:rPr>
              <w:t xml:space="preserve">ealand (RBNZ) </w:t>
            </w:r>
            <w:r w:rsidR="00FF1238">
              <w:rPr>
                <w:rFonts w:ascii="Arial" w:hAnsi="Arial" w:cs="Arial"/>
                <w:b/>
                <w:sz w:val="18"/>
                <w:szCs w:val="18"/>
              </w:rPr>
              <w:t xml:space="preserve"> rate</w:t>
            </w:r>
          </w:p>
        </w:tc>
      </w:tr>
    </w:tbl>
    <w:p w14:paraId="39067E21" w14:textId="77777777" w:rsidR="006D6443" w:rsidRPr="006D6443" w:rsidRDefault="006D6443" w:rsidP="002816C4">
      <w:pPr>
        <w:spacing w:after="120"/>
        <w:ind w:left="720"/>
        <w:rPr>
          <w:rFonts w:ascii="Arial" w:hAnsi="Arial" w:cs="Arial"/>
          <w:sz w:val="22"/>
          <w:szCs w:val="22"/>
        </w:rPr>
      </w:pPr>
    </w:p>
    <w:p w14:paraId="0FA4A495" w14:textId="718A5997" w:rsidR="007E65EF" w:rsidRDefault="001E7E17" w:rsidP="00443042">
      <w:pPr>
        <w:spacing w:after="120"/>
        <w:ind w:left="720"/>
        <w:rPr>
          <w:rFonts w:ascii="Arial" w:hAnsi="Arial" w:cs="Arial"/>
          <w:sz w:val="22"/>
          <w:szCs w:val="22"/>
        </w:rPr>
      </w:pPr>
      <w:proofErr w:type="gramStart"/>
      <w:r>
        <w:rPr>
          <w:rFonts w:ascii="Arial" w:hAnsi="Arial" w:cs="Arial"/>
          <w:sz w:val="22"/>
          <w:szCs w:val="22"/>
        </w:rPr>
        <w:t>where</w:t>
      </w:r>
      <w:proofErr w:type="gramEnd"/>
      <w:r>
        <w:rPr>
          <w:rFonts w:ascii="Arial" w:hAnsi="Arial" w:cs="Arial"/>
          <w:sz w:val="22"/>
          <w:szCs w:val="22"/>
        </w:rPr>
        <w:t>,</w:t>
      </w:r>
    </w:p>
    <w:p w14:paraId="2B8D9498" w14:textId="21EDBF68" w:rsidR="001E7E17" w:rsidRDefault="001E7E17" w:rsidP="001E7E17">
      <w:pPr>
        <w:pStyle w:val="ListParagraph"/>
        <w:numPr>
          <w:ilvl w:val="0"/>
          <w:numId w:val="7"/>
        </w:numPr>
        <w:spacing w:after="120"/>
        <w:rPr>
          <w:rFonts w:ascii="Arial" w:hAnsi="Arial" w:cs="Arial"/>
          <w:sz w:val="22"/>
          <w:szCs w:val="22"/>
        </w:rPr>
      </w:pPr>
      <w:r>
        <w:rPr>
          <w:rFonts w:ascii="Arial" w:hAnsi="Arial" w:cs="Arial"/>
          <w:b/>
          <w:i/>
          <w:sz w:val="22"/>
          <w:szCs w:val="22"/>
        </w:rPr>
        <w:t xml:space="preserve">average yearly RBNZ rate </w:t>
      </w:r>
      <w:r w:rsidR="004A0BB0">
        <w:rPr>
          <w:rFonts w:ascii="Arial" w:hAnsi="Arial" w:cs="Arial"/>
          <w:sz w:val="22"/>
          <w:szCs w:val="22"/>
        </w:rPr>
        <w:t xml:space="preserve">is </w:t>
      </w:r>
      <w:r w:rsidR="00CD28C6">
        <w:rPr>
          <w:rFonts w:ascii="Arial" w:hAnsi="Arial" w:cs="Arial"/>
          <w:sz w:val="22"/>
          <w:szCs w:val="22"/>
        </w:rPr>
        <w:t>as published</w:t>
      </w:r>
      <w:r w:rsidR="00317A0B">
        <w:rPr>
          <w:rFonts w:ascii="Arial" w:hAnsi="Arial" w:cs="Arial"/>
          <w:sz w:val="22"/>
          <w:szCs w:val="22"/>
        </w:rPr>
        <w:t xml:space="preserve"> on the Australian Taxa</w:t>
      </w:r>
      <w:r w:rsidR="00B63ABF">
        <w:rPr>
          <w:rFonts w:ascii="Arial" w:hAnsi="Arial" w:cs="Arial"/>
          <w:sz w:val="22"/>
          <w:szCs w:val="22"/>
        </w:rPr>
        <w:t xml:space="preserve">tion Office (ATO) website – </w:t>
      </w:r>
      <w:r w:rsidR="00317A0B">
        <w:rPr>
          <w:rFonts w:ascii="Arial" w:hAnsi="Arial" w:cs="Arial"/>
          <w:sz w:val="22"/>
          <w:szCs w:val="22"/>
        </w:rPr>
        <w:t>ato.gov.au</w:t>
      </w:r>
      <w:r>
        <w:rPr>
          <w:rFonts w:ascii="Arial" w:hAnsi="Arial" w:cs="Arial"/>
          <w:sz w:val="22"/>
          <w:szCs w:val="22"/>
        </w:rPr>
        <w:t>; and</w:t>
      </w:r>
    </w:p>
    <w:p w14:paraId="0809CD02" w14:textId="44725345" w:rsidR="009D39AD" w:rsidRPr="001442AB" w:rsidRDefault="001E7E17" w:rsidP="001442AB">
      <w:pPr>
        <w:pStyle w:val="ListParagraph"/>
        <w:numPr>
          <w:ilvl w:val="0"/>
          <w:numId w:val="7"/>
        </w:numPr>
        <w:spacing w:after="12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w:t>
      </w:r>
      <w:r>
        <w:rPr>
          <w:rFonts w:ascii="Arial" w:hAnsi="Arial" w:cs="Arial"/>
          <w:b/>
          <w:i/>
          <w:sz w:val="22"/>
          <w:szCs w:val="22"/>
        </w:rPr>
        <w:t xml:space="preserve">conversion day </w:t>
      </w:r>
      <w:r>
        <w:rPr>
          <w:rFonts w:ascii="Arial" w:hAnsi="Arial" w:cs="Arial"/>
          <w:sz w:val="22"/>
          <w:szCs w:val="22"/>
        </w:rPr>
        <w:t>is the date that the New Zealand currency is converted into Australian currency for wine equalisation tax purposes.</w:t>
      </w:r>
    </w:p>
    <w:p w14:paraId="59A735B4" w14:textId="43C19A13" w:rsidR="001E7E17" w:rsidRPr="001E7E17" w:rsidRDefault="001E7E17" w:rsidP="009D39AD">
      <w:pPr>
        <w:spacing w:after="120"/>
        <w:ind w:left="720"/>
        <w:rPr>
          <w:rFonts w:ascii="Arial" w:hAnsi="Arial" w:cs="Arial"/>
          <w:sz w:val="22"/>
          <w:szCs w:val="22"/>
        </w:rPr>
      </w:pPr>
      <w:r>
        <w:rPr>
          <w:rFonts w:ascii="Arial" w:hAnsi="Arial" w:cs="Arial"/>
          <w:sz w:val="22"/>
          <w:szCs w:val="22"/>
        </w:rPr>
        <w:t>You must use your particular exchange rate and conversion option consistently.</w:t>
      </w:r>
    </w:p>
    <w:p w14:paraId="3A4AAE43" w14:textId="77777777" w:rsidR="007E65EF" w:rsidRDefault="007E65EF" w:rsidP="00443042">
      <w:pPr>
        <w:spacing w:after="120"/>
        <w:ind w:left="720"/>
        <w:rPr>
          <w:rFonts w:ascii="Arial" w:hAnsi="Arial" w:cs="Arial"/>
          <w:sz w:val="22"/>
          <w:szCs w:val="22"/>
        </w:rPr>
      </w:pPr>
    </w:p>
    <w:p w14:paraId="5E0C1AC7" w14:textId="77777777" w:rsidR="007E65EF" w:rsidRDefault="007E65EF" w:rsidP="00443042">
      <w:pPr>
        <w:spacing w:after="120"/>
        <w:ind w:left="720"/>
        <w:rPr>
          <w:rFonts w:ascii="Arial" w:hAnsi="Arial" w:cs="Arial"/>
          <w:sz w:val="22"/>
          <w:szCs w:val="22"/>
        </w:rPr>
      </w:pPr>
    </w:p>
    <w:p w14:paraId="116C275A" w14:textId="77777777" w:rsidR="007E65EF" w:rsidRDefault="007E65EF" w:rsidP="00443042">
      <w:pPr>
        <w:spacing w:after="120"/>
        <w:ind w:left="720"/>
        <w:rPr>
          <w:rFonts w:ascii="Arial" w:hAnsi="Arial" w:cs="Arial"/>
          <w:sz w:val="22"/>
          <w:szCs w:val="22"/>
        </w:rPr>
      </w:pPr>
    </w:p>
    <w:p w14:paraId="772A301E" w14:textId="77777777" w:rsidR="007E65EF" w:rsidRPr="00443042" w:rsidRDefault="007E65EF" w:rsidP="00443042">
      <w:pPr>
        <w:spacing w:after="120"/>
        <w:ind w:left="720"/>
        <w:rPr>
          <w:rFonts w:ascii="Arial" w:hAnsi="Arial" w:cs="Arial"/>
          <w:sz w:val="22"/>
          <w:szCs w:val="22"/>
        </w:rPr>
      </w:pPr>
    </w:p>
    <w:sectPr w:rsidR="007E65EF" w:rsidRPr="00443042" w:rsidSect="00C22AC5">
      <w:headerReference w:type="even" r:id="rId15"/>
      <w:headerReference w:type="default" r:id="rId16"/>
      <w:headerReference w:type="first" r:id="rId17"/>
      <w:pgSz w:w="11906" w:h="16838" w:code="9"/>
      <w:pgMar w:top="1078" w:right="1700" w:bottom="1440" w:left="184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D7F396" w14:textId="77777777" w:rsidR="00986541" w:rsidRDefault="00986541">
      <w:r>
        <w:separator/>
      </w:r>
    </w:p>
  </w:endnote>
  <w:endnote w:type="continuationSeparator" w:id="0">
    <w:p w14:paraId="6F8A06FD" w14:textId="77777777" w:rsidR="00986541" w:rsidRDefault="0098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01C36" w14:textId="77777777" w:rsidR="00986541" w:rsidRDefault="00986541">
      <w:r>
        <w:separator/>
      </w:r>
    </w:p>
  </w:footnote>
  <w:footnote w:type="continuationSeparator" w:id="0">
    <w:p w14:paraId="25AAA3E6" w14:textId="77777777" w:rsidR="00986541" w:rsidRDefault="00986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599D4" w14:textId="0C7262AE" w:rsidR="00A024BA" w:rsidRDefault="00A024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5D203" w14:textId="1B40779E" w:rsidR="00A024BA" w:rsidRDefault="00A024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D1279" w14:textId="54604636" w:rsidR="00F233B1" w:rsidRPr="00001B90" w:rsidRDefault="00001B90">
    <w:pPr>
      <w:pStyle w:val="Header"/>
      <w:rPr>
        <w:sz w:val="20"/>
        <w:szCs w:val="20"/>
      </w:rPr>
    </w:pPr>
    <w:r w:rsidRPr="00001B90">
      <w:rPr>
        <w:noProof/>
        <w:sz w:val="20"/>
        <w:szCs w:val="20"/>
      </w:rPr>
      <w:drawing>
        <wp:inline distT="0" distB="0" distL="0" distR="0" wp14:anchorId="6DED127B" wp14:editId="6DED127C">
          <wp:extent cx="2413635" cy="701675"/>
          <wp:effectExtent l="0" t="0" r="5715" b="3175"/>
          <wp:docPr id="5" name="Picture 5" descr="ATO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O_in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3635" cy="701675"/>
                  </a:xfrm>
                  <a:prstGeom prst="rect">
                    <a:avLst/>
                  </a:prstGeom>
                  <a:noFill/>
                  <a:ln>
                    <a:noFill/>
                  </a:ln>
                </pic:spPr>
              </pic:pic>
            </a:graphicData>
          </a:graphic>
        </wp:inline>
      </w:drawing>
    </w:r>
  </w:p>
  <w:p w14:paraId="6DED127A" w14:textId="77777777" w:rsidR="00001B90" w:rsidRPr="00001B90" w:rsidRDefault="00001B90">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40E"/>
    <w:multiLevelType w:val="hybridMultilevel"/>
    <w:tmpl w:val="C6368ED2"/>
    <w:lvl w:ilvl="0" w:tplc="0C09000F">
      <w:start w:val="1"/>
      <w:numFmt w:val="decimal"/>
      <w:lvlText w:val="%1."/>
      <w:lvlJc w:val="left"/>
      <w:pPr>
        <w:tabs>
          <w:tab w:val="num" w:pos="8370"/>
        </w:tabs>
        <w:ind w:left="8370" w:hanging="360"/>
      </w:pPr>
    </w:lvl>
    <w:lvl w:ilvl="1" w:tplc="0C090019" w:tentative="1">
      <w:start w:val="1"/>
      <w:numFmt w:val="lowerLetter"/>
      <w:lvlText w:val="%2."/>
      <w:lvlJc w:val="left"/>
      <w:pPr>
        <w:tabs>
          <w:tab w:val="num" w:pos="9090"/>
        </w:tabs>
        <w:ind w:left="9090" w:hanging="360"/>
      </w:pPr>
    </w:lvl>
    <w:lvl w:ilvl="2" w:tplc="0C09001B" w:tentative="1">
      <w:start w:val="1"/>
      <w:numFmt w:val="lowerRoman"/>
      <w:lvlText w:val="%3."/>
      <w:lvlJc w:val="right"/>
      <w:pPr>
        <w:tabs>
          <w:tab w:val="num" w:pos="9810"/>
        </w:tabs>
        <w:ind w:left="9810" w:hanging="180"/>
      </w:pPr>
    </w:lvl>
    <w:lvl w:ilvl="3" w:tplc="0C09000F" w:tentative="1">
      <w:start w:val="1"/>
      <w:numFmt w:val="decimal"/>
      <w:lvlText w:val="%4."/>
      <w:lvlJc w:val="left"/>
      <w:pPr>
        <w:tabs>
          <w:tab w:val="num" w:pos="10530"/>
        </w:tabs>
        <w:ind w:left="10530" w:hanging="360"/>
      </w:pPr>
    </w:lvl>
    <w:lvl w:ilvl="4" w:tplc="0C090019" w:tentative="1">
      <w:start w:val="1"/>
      <w:numFmt w:val="lowerLetter"/>
      <w:lvlText w:val="%5."/>
      <w:lvlJc w:val="left"/>
      <w:pPr>
        <w:tabs>
          <w:tab w:val="num" w:pos="11250"/>
        </w:tabs>
        <w:ind w:left="11250" w:hanging="360"/>
      </w:pPr>
    </w:lvl>
    <w:lvl w:ilvl="5" w:tplc="0C09001B" w:tentative="1">
      <w:start w:val="1"/>
      <w:numFmt w:val="lowerRoman"/>
      <w:lvlText w:val="%6."/>
      <w:lvlJc w:val="right"/>
      <w:pPr>
        <w:tabs>
          <w:tab w:val="num" w:pos="11970"/>
        </w:tabs>
        <w:ind w:left="11970" w:hanging="180"/>
      </w:pPr>
    </w:lvl>
    <w:lvl w:ilvl="6" w:tplc="0C09000F" w:tentative="1">
      <w:start w:val="1"/>
      <w:numFmt w:val="decimal"/>
      <w:lvlText w:val="%7."/>
      <w:lvlJc w:val="left"/>
      <w:pPr>
        <w:tabs>
          <w:tab w:val="num" w:pos="12690"/>
        </w:tabs>
        <w:ind w:left="12690" w:hanging="360"/>
      </w:pPr>
    </w:lvl>
    <w:lvl w:ilvl="7" w:tplc="0C090019" w:tentative="1">
      <w:start w:val="1"/>
      <w:numFmt w:val="lowerLetter"/>
      <w:lvlText w:val="%8."/>
      <w:lvlJc w:val="left"/>
      <w:pPr>
        <w:tabs>
          <w:tab w:val="num" w:pos="13410"/>
        </w:tabs>
        <w:ind w:left="13410" w:hanging="360"/>
      </w:pPr>
    </w:lvl>
    <w:lvl w:ilvl="8" w:tplc="0C09001B" w:tentative="1">
      <w:start w:val="1"/>
      <w:numFmt w:val="lowerRoman"/>
      <w:lvlText w:val="%9."/>
      <w:lvlJc w:val="right"/>
      <w:pPr>
        <w:tabs>
          <w:tab w:val="num" w:pos="14130"/>
        </w:tabs>
        <w:ind w:left="14130" w:hanging="180"/>
      </w:pPr>
    </w:lvl>
  </w:abstractNum>
  <w:abstractNum w:abstractNumId="1">
    <w:nsid w:val="15311D84"/>
    <w:multiLevelType w:val="hybridMultilevel"/>
    <w:tmpl w:val="1536F832"/>
    <w:lvl w:ilvl="0" w:tplc="DF3EDEA2">
      <w:start w:val="1"/>
      <w:numFmt w:val="decimal"/>
      <w:lvlText w:val="%1."/>
      <w:lvlJc w:val="left"/>
      <w:pPr>
        <w:tabs>
          <w:tab w:val="num" w:pos="720"/>
        </w:tabs>
        <w:ind w:left="720" w:hanging="360"/>
      </w:pPr>
      <w:rPr>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1C657EBE"/>
    <w:multiLevelType w:val="hybridMultilevel"/>
    <w:tmpl w:val="4AA89E10"/>
    <w:lvl w:ilvl="0" w:tplc="0C09000F">
      <w:start w:val="6"/>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nsid w:val="1CCD1B91"/>
    <w:multiLevelType w:val="hybridMultilevel"/>
    <w:tmpl w:val="7804B5CC"/>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
    <w:nsid w:val="432E7F0F"/>
    <w:multiLevelType w:val="hybridMultilevel"/>
    <w:tmpl w:val="87C28D7E"/>
    <w:lvl w:ilvl="0" w:tplc="154E99FA">
      <w:numFmt w:val="bullet"/>
      <w:lvlText w:val=""/>
      <w:lvlJc w:val="left"/>
      <w:pPr>
        <w:ind w:left="1080" w:hanging="360"/>
      </w:pPr>
      <w:rPr>
        <w:rFonts w:ascii="Symbol" w:eastAsia="Times New Roman" w:hAnsi="Symbol" w:cs="Arial" w:hint="default"/>
        <w:u w:val="none"/>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4A462B4A"/>
    <w:multiLevelType w:val="hybridMultilevel"/>
    <w:tmpl w:val="955EDB36"/>
    <w:lvl w:ilvl="0" w:tplc="DF3EDEA2">
      <w:start w:val="1"/>
      <w:numFmt w:val="decimal"/>
      <w:lvlText w:val="%1."/>
      <w:lvlJc w:val="left"/>
      <w:pPr>
        <w:tabs>
          <w:tab w:val="num" w:pos="720"/>
        </w:tabs>
        <w:ind w:left="720" w:hanging="360"/>
      </w:pPr>
      <w:rPr>
        <w:b/>
      </w:rPr>
    </w:lvl>
    <w:lvl w:ilvl="1" w:tplc="0C090005">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587D6CDB"/>
    <w:multiLevelType w:val="hybridMultilevel"/>
    <w:tmpl w:val="9168D176"/>
    <w:lvl w:ilvl="0" w:tplc="9E6AE6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nsid w:val="76AB4EB2"/>
    <w:multiLevelType w:val="hybridMultilevel"/>
    <w:tmpl w:val="FD4866E6"/>
    <w:lvl w:ilvl="0" w:tplc="D78A7B42">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nsid w:val="76CB2E79"/>
    <w:multiLevelType w:val="hybridMultilevel"/>
    <w:tmpl w:val="5074EA44"/>
    <w:lvl w:ilvl="0" w:tplc="B8F8738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7B275CB9"/>
    <w:multiLevelType w:val="hybridMultilevel"/>
    <w:tmpl w:val="D7DE0C02"/>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5"/>
  </w:num>
  <w:num w:numId="3">
    <w:abstractNumId w:val="9"/>
  </w:num>
  <w:num w:numId="4">
    <w:abstractNumId w:val="2"/>
  </w:num>
  <w:num w:numId="5">
    <w:abstractNumId w:val="3"/>
  </w:num>
  <w:num w:numId="6">
    <w:abstractNumId w:val="1"/>
  </w:num>
  <w:num w:numId="7">
    <w:abstractNumId w:val="4"/>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11F"/>
    <w:rsid w:val="00001B90"/>
    <w:rsid w:val="0000370C"/>
    <w:rsid w:val="00007304"/>
    <w:rsid w:val="0000743E"/>
    <w:rsid w:val="00013309"/>
    <w:rsid w:val="00013AD9"/>
    <w:rsid w:val="000171F2"/>
    <w:rsid w:val="00017CD7"/>
    <w:rsid w:val="00022C8A"/>
    <w:rsid w:val="00022FA9"/>
    <w:rsid w:val="00026BC1"/>
    <w:rsid w:val="0003261F"/>
    <w:rsid w:val="00034883"/>
    <w:rsid w:val="00035397"/>
    <w:rsid w:val="00036F54"/>
    <w:rsid w:val="00044893"/>
    <w:rsid w:val="00045F14"/>
    <w:rsid w:val="00053761"/>
    <w:rsid w:val="00053842"/>
    <w:rsid w:val="00053A2E"/>
    <w:rsid w:val="00061054"/>
    <w:rsid w:val="0006112D"/>
    <w:rsid w:val="00061910"/>
    <w:rsid w:val="00067462"/>
    <w:rsid w:val="00072E3D"/>
    <w:rsid w:val="000745A8"/>
    <w:rsid w:val="0007527F"/>
    <w:rsid w:val="000761BD"/>
    <w:rsid w:val="00082A4A"/>
    <w:rsid w:val="00083FAC"/>
    <w:rsid w:val="00087C21"/>
    <w:rsid w:val="00090B7A"/>
    <w:rsid w:val="0009111F"/>
    <w:rsid w:val="00096865"/>
    <w:rsid w:val="000A0909"/>
    <w:rsid w:val="000A0B93"/>
    <w:rsid w:val="000A1078"/>
    <w:rsid w:val="000A3297"/>
    <w:rsid w:val="000A6CE4"/>
    <w:rsid w:val="000A70C6"/>
    <w:rsid w:val="000B2C32"/>
    <w:rsid w:val="000B2DD7"/>
    <w:rsid w:val="000D13BC"/>
    <w:rsid w:val="000D3CC6"/>
    <w:rsid w:val="000D40A4"/>
    <w:rsid w:val="000D6A3C"/>
    <w:rsid w:val="000D6E5B"/>
    <w:rsid w:val="000E0270"/>
    <w:rsid w:val="000E2EB8"/>
    <w:rsid w:val="000F3E93"/>
    <w:rsid w:val="000F52DE"/>
    <w:rsid w:val="001051FA"/>
    <w:rsid w:val="00106686"/>
    <w:rsid w:val="00110ACA"/>
    <w:rsid w:val="00110E46"/>
    <w:rsid w:val="00110F37"/>
    <w:rsid w:val="00114408"/>
    <w:rsid w:val="00116B15"/>
    <w:rsid w:val="001243A8"/>
    <w:rsid w:val="00126EED"/>
    <w:rsid w:val="00131447"/>
    <w:rsid w:val="00134D4D"/>
    <w:rsid w:val="001361C6"/>
    <w:rsid w:val="001442AB"/>
    <w:rsid w:val="0014697A"/>
    <w:rsid w:val="00150830"/>
    <w:rsid w:val="00154159"/>
    <w:rsid w:val="00155E7A"/>
    <w:rsid w:val="00156D4B"/>
    <w:rsid w:val="001605B9"/>
    <w:rsid w:val="00163373"/>
    <w:rsid w:val="00165CC9"/>
    <w:rsid w:val="00165DC1"/>
    <w:rsid w:val="0017078D"/>
    <w:rsid w:val="00172075"/>
    <w:rsid w:val="00173050"/>
    <w:rsid w:val="00175FFF"/>
    <w:rsid w:val="00176815"/>
    <w:rsid w:val="00180A2E"/>
    <w:rsid w:val="00181212"/>
    <w:rsid w:val="00184795"/>
    <w:rsid w:val="00187008"/>
    <w:rsid w:val="00187C71"/>
    <w:rsid w:val="001958EE"/>
    <w:rsid w:val="00197136"/>
    <w:rsid w:val="001A09BD"/>
    <w:rsid w:val="001A271F"/>
    <w:rsid w:val="001A34E7"/>
    <w:rsid w:val="001A5431"/>
    <w:rsid w:val="001A650F"/>
    <w:rsid w:val="001A67BD"/>
    <w:rsid w:val="001B0FC5"/>
    <w:rsid w:val="001B1C8D"/>
    <w:rsid w:val="001B445C"/>
    <w:rsid w:val="001C0007"/>
    <w:rsid w:val="001C6316"/>
    <w:rsid w:val="001C6C9F"/>
    <w:rsid w:val="001C7B01"/>
    <w:rsid w:val="001D0C43"/>
    <w:rsid w:val="001D1628"/>
    <w:rsid w:val="001D4C15"/>
    <w:rsid w:val="001E32EA"/>
    <w:rsid w:val="001E4F85"/>
    <w:rsid w:val="001E5A7D"/>
    <w:rsid w:val="001E7E17"/>
    <w:rsid w:val="001F30CF"/>
    <w:rsid w:val="001F344F"/>
    <w:rsid w:val="001F4720"/>
    <w:rsid w:val="00200593"/>
    <w:rsid w:val="00200CD4"/>
    <w:rsid w:val="002025B9"/>
    <w:rsid w:val="00203F0E"/>
    <w:rsid w:val="00204EFB"/>
    <w:rsid w:val="00205D8B"/>
    <w:rsid w:val="002112A9"/>
    <w:rsid w:val="0021318A"/>
    <w:rsid w:val="00215A42"/>
    <w:rsid w:val="00216C38"/>
    <w:rsid w:val="002213F3"/>
    <w:rsid w:val="00222180"/>
    <w:rsid w:val="00223D79"/>
    <w:rsid w:val="00224B20"/>
    <w:rsid w:val="00225511"/>
    <w:rsid w:val="00225B5B"/>
    <w:rsid w:val="002309BC"/>
    <w:rsid w:val="00234388"/>
    <w:rsid w:val="00237D14"/>
    <w:rsid w:val="00242CCE"/>
    <w:rsid w:val="002449E3"/>
    <w:rsid w:val="00246081"/>
    <w:rsid w:val="002476E9"/>
    <w:rsid w:val="002504EE"/>
    <w:rsid w:val="00255AB5"/>
    <w:rsid w:val="00256024"/>
    <w:rsid w:val="00267676"/>
    <w:rsid w:val="00270137"/>
    <w:rsid w:val="00274BCD"/>
    <w:rsid w:val="002816C4"/>
    <w:rsid w:val="00286620"/>
    <w:rsid w:val="00292E75"/>
    <w:rsid w:val="002944AD"/>
    <w:rsid w:val="002A1515"/>
    <w:rsid w:val="002A2CD1"/>
    <w:rsid w:val="002A6D63"/>
    <w:rsid w:val="002A7FB3"/>
    <w:rsid w:val="002B014D"/>
    <w:rsid w:val="002B0B63"/>
    <w:rsid w:val="002B5B41"/>
    <w:rsid w:val="002C1214"/>
    <w:rsid w:val="002C1E82"/>
    <w:rsid w:val="002C5784"/>
    <w:rsid w:val="002C7A81"/>
    <w:rsid w:val="002D066A"/>
    <w:rsid w:val="002D144F"/>
    <w:rsid w:val="002D6902"/>
    <w:rsid w:val="002D7B6D"/>
    <w:rsid w:val="002D7DD0"/>
    <w:rsid w:val="002F18CB"/>
    <w:rsid w:val="002F3447"/>
    <w:rsid w:val="00303F72"/>
    <w:rsid w:val="003107EF"/>
    <w:rsid w:val="00312725"/>
    <w:rsid w:val="00314A4E"/>
    <w:rsid w:val="003150E0"/>
    <w:rsid w:val="00317A0B"/>
    <w:rsid w:val="0032158A"/>
    <w:rsid w:val="003229FB"/>
    <w:rsid w:val="00322E62"/>
    <w:rsid w:val="0033478D"/>
    <w:rsid w:val="0033482D"/>
    <w:rsid w:val="00337DA3"/>
    <w:rsid w:val="00340433"/>
    <w:rsid w:val="00342135"/>
    <w:rsid w:val="0034580A"/>
    <w:rsid w:val="003462FD"/>
    <w:rsid w:val="00347B2A"/>
    <w:rsid w:val="00354C19"/>
    <w:rsid w:val="00361A02"/>
    <w:rsid w:val="003651A6"/>
    <w:rsid w:val="00367704"/>
    <w:rsid w:val="00367E7D"/>
    <w:rsid w:val="00372F98"/>
    <w:rsid w:val="00372FF9"/>
    <w:rsid w:val="00373E8D"/>
    <w:rsid w:val="0037526B"/>
    <w:rsid w:val="003765D8"/>
    <w:rsid w:val="00377BCC"/>
    <w:rsid w:val="00380717"/>
    <w:rsid w:val="00381779"/>
    <w:rsid w:val="003819B3"/>
    <w:rsid w:val="00391A9C"/>
    <w:rsid w:val="00397383"/>
    <w:rsid w:val="003A067D"/>
    <w:rsid w:val="003A1C6C"/>
    <w:rsid w:val="003A58BC"/>
    <w:rsid w:val="003A5A04"/>
    <w:rsid w:val="003A64FC"/>
    <w:rsid w:val="003B123A"/>
    <w:rsid w:val="003B5EDB"/>
    <w:rsid w:val="003B6971"/>
    <w:rsid w:val="003B6B0B"/>
    <w:rsid w:val="003C0157"/>
    <w:rsid w:val="003C564E"/>
    <w:rsid w:val="003C7C74"/>
    <w:rsid w:val="003D3335"/>
    <w:rsid w:val="003D354B"/>
    <w:rsid w:val="003D5A34"/>
    <w:rsid w:val="003E3E74"/>
    <w:rsid w:val="003E52ED"/>
    <w:rsid w:val="003F3EFC"/>
    <w:rsid w:val="003F71AF"/>
    <w:rsid w:val="004007F2"/>
    <w:rsid w:val="0040210B"/>
    <w:rsid w:val="00411530"/>
    <w:rsid w:val="00412B77"/>
    <w:rsid w:val="00414405"/>
    <w:rsid w:val="0042000E"/>
    <w:rsid w:val="0042007E"/>
    <w:rsid w:val="00424F2B"/>
    <w:rsid w:val="00426390"/>
    <w:rsid w:val="0043366F"/>
    <w:rsid w:val="00436E40"/>
    <w:rsid w:val="00441AC4"/>
    <w:rsid w:val="00443042"/>
    <w:rsid w:val="00446E2A"/>
    <w:rsid w:val="00447D82"/>
    <w:rsid w:val="00451EE1"/>
    <w:rsid w:val="00452C78"/>
    <w:rsid w:val="00453A50"/>
    <w:rsid w:val="00453FB4"/>
    <w:rsid w:val="0045428E"/>
    <w:rsid w:val="00461FBC"/>
    <w:rsid w:val="00466FCB"/>
    <w:rsid w:val="004745E2"/>
    <w:rsid w:val="00475A2F"/>
    <w:rsid w:val="00480A1F"/>
    <w:rsid w:val="00484715"/>
    <w:rsid w:val="004870DE"/>
    <w:rsid w:val="00490C14"/>
    <w:rsid w:val="004975A9"/>
    <w:rsid w:val="004A0BB0"/>
    <w:rsid w:val="004A30EE"/>
    <w:rsid w:val="004A3AB0"/>
    <w:rsid w:val="004B0651"/>
    <w:rsid w:val="004B1977"/>
    <w:rsid w:val="004B4F84"/>
    <w:rsid w:val="004B7906"/>
    <w:rsid w:val="004C1BDB"/>
    <w:rsid w:val="004C3B01"/>
    <w:rsid w:val="004C3DAB"/>
    <w:rsid w:val="004C68AA"/>
    <w:rsid w:val="004D0B9D"/>
    <w:rsid w:val="004D22B9"/>
    <w:rsid w:val="004E04F8"/>
    <w:rsid w:val="004E2A09"/>
    <w:rsid w:val="004E3A27"/>
    <w:rsid w:val="004E4117"/>
    <w:rsid w:val="004E660F"/>
    <w:rsid w:val="004F6872"/>
    <w:rsid w:val="0050473D"/>
    <w:rsid w:val="00506840"/>
    <w:rsid w:val="00507465"/>
    <w:rsid w:val="00507C1E"/>
    <w:rsid w:val="00510446"/>
    <w:rsid w:val="00510B32"/>
    <w:rsid w:val="00510E8B"/>
    <w:rsid w:val="00513891"/>
    <w:rsid w:val="00513A8B"/>
    <w:rsid w:val="00515786"/>
    <w:rsid w:val="005251FD"/>
    <w:rsid w:val="005272E2"/>
    <w:rsid w:val="00527EC7"/>
    <w:rsid w:val="005312F5"/>
    <w:rsid w:val="00532AC5"/>
    <w:rsid w:val="005361C9"/>
    <w:rsid w:val="005364C0"/>
    <w:rsid w:val="00537D5D"/>
    <w:rsid w:val="00545171"/>
    <w:rsid w:val="0055072D"/>
    <w:rsid w:val="00552490"/>
    <w:rsid w:val="00554CFA"/>
    <w:rsid w:val="0056163C"/>
    <w:rsid w:val="00564D84"/>
    <w:rsid w:val="00567854"/>
    <w:rsid w:val="00567DC9"/>
    <w:rsid w:val="00570631"/>
    <w:rsid w:val="0057609B"/>
    <w:rsid w:val="00577754"/>
    <w:rsid w:val="00582467"/>
    <w:rsid w:val="005848C1"/>
    <w:rsid w:val="005849D8"/>
    <w:rsid w:val="00585124"/>
    <w:rsid w:val="0058722D"/>
    <w:rsid w:val="005903F3"/>
    <w:rsid w:val="005A3791"/>
    <w:rsid w:val="005B0F08"/>
    <w:rsid w:val="005B110F"/>
    <w:rsid w:val="005B118C"/>
    <w:rsid w:val="005B331E"/>
    <w:rsid w:val="005B4F0F"/>
    <w:rsid w:val="005B51FF"/>
    <w:rsid w:val="005B556C"/>
    <w:rsid w:val="005B6BBF"/>
    <w:rsid w:val="005C13A2"/>
    <w:rsid w:val="005C5D9A"/>
    <w:rsid w:val="005D2382"/>
    <w:rsid w:val="005D55A1"/>
    <w:rsid w:val="005D7217"/>
    <w:rsid w:val="005E214D"/>
    <w:rsid w:val="005E49E3"/>
    <w:rsid w:val="005E6E25"/>
    <w:rsid w:val="005F0683"/>
    <w:rsid w:val="005F0688"/>
    <w:rsid w:val="005F1A16"/>
    <w:rsid w:val="005F2226"/>
    <w:rsid w:val="005F223B"/>
    <w:rsid w:val="005F26B6"/>
    <w:rsid w:val="005F5CFA"/>
    <w:rsid w:val="006001AD"/>
    <w:rsid w:val="006005F4"/>
    <w:rsid w:val="00600A5F"/>
    <w:rsid w:val="00612328"/>
    <w:rsid w:val="006127B8"/>
    <w:rsid w:val="00613DA2"/>
    <w:rsid w:val="00616231"/>
    <w:rsid w:val="00621779"/>
    <w:rsid w:val="00622FAC"/>
    <w:rsid w:val="006230F5"/>
    <w:rsid w:val="00627741"/>
    <w:rsid w:val="0063701F"/>
    <w:rsid w:val="00644EDE"/>
    <w:rsid w:val="0064758C"/>
    <w:rsid w:val="00650FDC"/>
    <w:rsid w:val="00657558"/>
    <w:rsid w:val="006577D8"/>
    <w:rsid w:val="00672B8A"/>
    <w:rsid w:val="00673BA4"/>
    <w:rsid w:val="00673C52"/>
    <w:rsid w:val="0068234C"/>
    <w:rsid w:val="006843AD"/>
    <w:rsid w:val="006910C8"/>
    <w:rsid w:val="006919FF"/>
    <w:rsid w:val="0069258C"/>
    <w:rsid w:val="00696C29"/>
    <w:rsid w:val="006B38B0"/>
    <w:rsid w:val="006B76E1"/>
    <w:rsid w:val="006C008D"/>
    <w:rsid w:val="006C0660"/>
    <w:rsid w:val="006C285A"/>
    <w:rsid w:val="006C344E"/>
    <w:rsid w:val="006D6443"/>
    <w:rsid w:val="006E27F8"/>
    <w:rsid w:val="006E2B6D"/>
    <w:rsid w:val="006E3DDC"/>
    <w:rsid w:val="006E6EF2"/>
    <w:rsid w:val="006F00D4"/>
    <w:rsid w:val="006F0AC8"/>
    <w:rsid w:val="006F3F34"/>
    <w:rsid w:val="006F44E4"/>
    <w:rsid w:val="006F4E8C"/>
    <w:rsid w:val="00703C5E"/>
    <w:rsid w:val="007047B7"/>
    <w:rsid w:val="00704877"/>
    <w:rsid w:val="0070498F"/>
    <w:rsid w:val="00705A23"/>
    <w:rsid w:val="00706ACB"/>
    <w:rsid w:val="00710A7A"/>
    <w:rsid w:val="00711825"/>
    <w:rsid w:val="0071393F"/>
    <w:rsid w:val="00713A82"/>
    <w:rsid w:val="007153AD"/>
    <w:rsid w:val="00717852"/>
    <w:rsid w:val="007271D6"/>
    <w:rsid w:val="0072721F"/>
    <w:rsid w:val="00732F35"/>
    <w:rsid w:val="007346D0"/>
    <w:rsid w:val="00740968"/>
    <w:rsid w:val="00741721"/>
    <w:rsid w:val="007478FC"/>
    <w:rsid w:val="00753596"/>
    <w:rsid w:val="00763EF8"/>
    <w:rsid w:val="0076476D"/>
    <w:rsid w:val="00771758"/>
    <w:rsid w:val="0077436F"/>
    <w:rsid w:val="00776EC3"/>
    <w:rsid w:val="00782943"/>
    <w:rsid w:val="007848AB"/>
    <w:rsid w:val="00784A59"/>
    <w:rsid w:val="007853B5"/>
    <w:rsid w:val="00797788"/>
    <w:rsid w:val="007A190A"/>
    <w:rsid w:val="007A5ABF"/>
    <w:rsid w:val="007A6D51"/>
    <w:rsid w:val="007B0972"/>
    <w:rsid w:val="007B0DF6"/>
    <w:rsid w:val="007B2B77"/>
    <w:rsid w:val="007B6064"/>
    <w:rsid w:val="007B6854"/>
    <w:rsid w:val="007C5463"/>
    <w:rsid w:val="007C70AF"/>
    <w:rsid w:val="007D05B9"/>
    <w:rsid w:val="007D143D"/>
    <w:rsid w:val="007D3B7A"/>
    <w:rsid w:val="007E6004"/>
    <w:rsid w:val="007E65EF"/>
    <w:rsid w:val="007F04BE"/>
    <w:rsid w:val="007F2B91"/>
    <w:rsid w:val="007F6FDE"/>
    <w:rsid w:val="008036A3"/>
    <w:rsid w:val="00804728"/>
    <w:rsid w:val="00804E07"/>
    <w:rsid w:val="00805FB4"/>
    <w:rsid w:val="00805FCD"/>
    <w:rsid w:val="00807A75"/>
    <w:rsid w:val="00812B6D"/>
    <w:rsid w:val="00813040"/>
    <w:rsid w:val="008163F0"/>
    <w:rsid w:val="00816C72"/>
    <w:rsid w:val="00820311"/>
    <w:rsid w:val="0082246B"/>
    <w:rsid w:val="008256D3"/>
    <w:rsid w:val="00826833"/>
    <w:rsid w:val="008322A4"/>
    <w:rsid w:val="0083679D"/>
    <w:rsid w:val="00841E3C"/>
    <w:rsid w:val="008430FE"/>
    <w:rsid w:val="00843877"/>
    <w:rsid w:val="00844FBE"/>
    <w:rsid w:val="00851389"/>
    <w:rsid w:val="008571FF"/>
    <w:rsid w:val="00857716"/>
    <w:rsid w:val="008615C0"/>
    <w:rsid w:val="00864E5E"/>
    <w:rsid w:val="008668E1"/>
    <w:rsid w:val="00866BB5"/>
    <w:rsid w:val="0086713F"/>
    <w:rsid w:val="00870155"/>
    <w:rsid w:val="00874B25"/>
    <w:rsid w:val="00876316"/>
    <w:rsid w:val="00877DC5"/>
    <w:rsid w:val="00880A93"/>
    <w:rsid w:val="008812FC"/>
    <w:rsid w:val="008906E9"/>
    <w:rsid w:val="0089182B"/>
    <w:rsid w:val="008962B4"/>
    <w:rsid w:val="00896CED"/>
    <w:rsid w:val="008B0F40"/>
    <w:rsid w:val="008B17C7"/>
    <w:rsid w:val="008B283D"/>
    <w:rsid w:val="008B32F6"/>
    <w:rsid w:val="008D27B9"/>
    <w:rsid w:val="008D2F8A"/>
    <w:rsid w:val="008E7713"/>
    <w:rsid w:val="008F230A"/>
    <w:rsid w:val="008F6245"/>
    <w:rsid w:val="009027A8"/>
    <w:rsid w:val="00906516"/>
    <w:rsid w:val="009079A5"/>
    <w:rsid w:val="009105C1"/>
    <w:rsid w:val="00911F3A"/>
    <w:rsid w:val="00912F99"/>
    <w:rsid w:val="0091304C"/>
    <w:rsid w:val="00915BA5"/>
    <w:rsid w:val="0093325B"/>
    <w:rsid w:val="00933619"/>
    <w:rsid w:val="00941A33"/>
    <w:rsid w:val="00941D54"/>
    <w:rsid w:val="00950E56"/>
    <w:rsid w:val="00951288"/>
    <w:rsid w:val="00954ADE"/>
    <w:rsid w:val="00960417"/>
    <w:rsid w:val="00962392"/>
    <w:rsid w:val="009647D1"/>
    <w:rsid w:val="00964BBB"/>
    <w:rsid w:val="0096645F"/>
    <w:rsid w:val="009665E1"/>
    <w:rsid w:val="0097053C"/>
    <w:rsid w:val="00976E43"/>
    <w:rsid w:val="00985810"/>
    <w:rsid w:val="00986541"/>
    <w:rsid w:val="00991819"/>
    <w:rsid w:val="009918FB"/>
    <w:rsid w:val="00992067"/>
    <w:rsid w:val="00994E47"/>
    <w:rsid w:val="0099547A"/>
    <w:rsid w:val="009A287E"/>
    <w:rsid w:val="009A423F"/>
    <w:rsid w:val="009A5297"/>
    <w:rsid w:val="009B01E8"/>
    <w:rsid w:val="009B1BA0"/>
    <w:rsid w:val="009C073F"/>
    <w:rsid w:val="009C1634"/>
    <w:rsid w:val="009C20DD"/>
    <w:rsid w:val="009C3195"/>
    <w:rsid w:val="009C4448"/>
    <w:rsid w:val="009C547B"/>
    <w:rsid w:val="009C5AB4"/>
    <w:rsid w:val="009C5BD3"/>
    <w:rsid w:val="009D39AD"/>
    <w:rsid w:val="009D3BCB"/>
    <w:rsid w:val="009F1842"/>
    <w:rsid w:val="009F1DE1"/>
    <w:rsid w:val="009F3B86"/>
    <w:rsid w:val="009F4AC1"/>
    <w:rsid w:val="00A00A3E"/>
    <w:rsid w:val="00A024BA"/>
    <w:rsid w:val="00A06441"/>
    <w:rsid w:val="00A07DDD"/>
    <w:rsid w:val="00A11638"/>
    <w:rsid w:val="00A12200"/>
    <w:rsid w:val="00A16341"/>
    <w:rsid w:val="00A1744D"/>
    <w:rsid w:val="00A23A72"/>
    <w:rsid w:val="00A262DA"/>
    <w:rsid w:val="00A27A0F"/>
    <w:rsid w:val="00A31A69"/>
    <w:rsid w:val="00A45272"/>
    <w:rsid w:val="00A46445"/>
    <w:rsid w:val="00A46C70"/>
    <w:rsid w:val="00A47300"/>
    <w:rsid w:val="00A51360"/>
    <w:rsid w:val="00A5679B"/>
    <w:rsid w:val="00A713F3"/>
    <w:rsid w:val="00A71E14"/>
    <w:rsid w:val="00A72E01"/>
    <w:rsid w:val="00A73020"/>
    <w:rsid w:val="00A80B02"/>
    <w:rsid w:val="00A80D6E"/>
    <w:rsid w:val="00A83945"/>
    <w:rsid w:val="00A85D08"/>
    <w:rsid w:val="00A86204"/>
    <w:rsid w:val="00A90DDD"/>
    <w:rsid w:val="00A93940"/>
    <w:rsid w:val="00A95452"/>
    <w:rsid w:val="00A971F3"/>
    <w:rsid w:val="00A974AA"/>
    <w:rsid w:val="00A97580"/>
    <w:rsid w:val="00AA7AF9"/>
    <w:rsid w:val="00AA7B18"/>
    <w:rsid w:val="00AC449B"/>
    <w:rsid w:val="00AC5A7A"/>
    <w:rsid w:val="00AC5E42"/>
    <w:rsid w:val="00AC60C6"/>
    <w:rsid w:val="00AC7C1E"/>
    <w:rsid w:val="00AD1237"/>
    <w:rsid w:val="00AD7346"/>
    <w:rsid w:val="00AE12C7"/>
    <w:rsid w:val="00AE2B6B"/>
    <w:rsid w:val="00AE442E"/>
    <w:rsid w:val="00AE65E4"/>
    <w:rsid w:val="00AE7FDD"/>
    <w:rsid w:val="00AF5E7A"/>
    <w:rsid w:val="00AF64D8"/>
    <w:rsid w:val="00B012C9"/>
    <w:rsid w:val="00B125A6"/>
    <w:rsid w:val="00B16DE2"/>
    <w:rsid w:val="00B17AF3"/>
    <w:rsid w:val="00B17EBE"/>
    <w:rsid w:val="00B2143E"/>
    <w:rsid w:val="00B2146A"/>
    <w:rsid w:val="00B2235F"/>
    <w:rsid w:val="00B239FE"/>
    <w:rsid w:val="00B24C21"/>
    <w:rsid w:val="00B262B2"/>
    <w:rsid w:val="00B31757"/>
    <w:rsid w:val="00B31D75"/>
    <w:rsid w:val="00B371C4"/>
    <w:rsid w:val="00B4057E"/>
    <w:rsid w:val="00B46090"/>
    <w:rsid w:val="00B501D6"/>
    <w:rsid w:val="00B518BE"/>
    <w:rsid w:val="00B629B9"/>
    <w:rsid w:val="00B63ABF"/>
    <w:rsid w:val="00B65879"/>
    <w:rsid w:val="00B66C91"/>
    <w:rsid w:val="00B67050"/>
    <w:rsid w:val="00B734E6"/>
    <w:rsid w:val="00B73CFD"/>
    <w:rsid w:val="00B748C2"/>
    <w:rsid w:val="00B7511B"/>
    <w:rsid w:val="00B75411"/>
    <w:rsid w:val="00B76A2D"/>
    <w:rsid w:val="00B76BA4"/>
    <w:rsid w:val="00B81B35"/>
    <w:rsid w:val="00B85DF9"/>
    <w:rsid w:val="00B85E2A"/>
    <w:rsid w:val="00B86322"/>
    <w:rsid w:val="00B93E7D"/>
    <w:rsid w:val="00BB0565"/>
    <w:rsid w:val="00BB49A2"/>
    <w:rsid w:val="00BB5BFA"/>
    <w:rsid w:val="00BB6DC3"/>
    <w:rsid w:val="00BB6FB8"/>
    <w:rsid w:val="00BC0F5E"/>
    <w:rsid w:val="00BC2526"/>
    <w:rsid w:val="00BC5CFD"/>
    <w:rsid w:val="00BC6E02"/>
    <w:rsid w:val="00BC7610"/>
    <w:rsid w:val="00BD2E15"/>
    <w:rsid w:val="00BE101F"/>
    <w:rsid w:val="00BF1798"/>
    <w:rsid w:val="00BF28F5"/>
    <w:rsid w:val="00BF2C4D"/>
    <w:rsid w:val="00BF3DB1"/>
    <w:rsid w:val="00BF592F"/>
    <w:rsid w:val="00BF6C55"/>
    <w:rsid w:val="00BF7305"/>
    <w:rsid w:val="00C00949"/>
    <w:rsid w:val="00C01C90"/>
    <w:rsid w:val="00C03732"/>
    <w:rsid w:val="00C0586C"/>
    <w:rsid w:val="00C05AF7"/>
    <w:rsid w:val="00C064D4"/>
    <w:rsid w:val="00C10277"/>
    <w:rsid w:val="00C11A89"/>
    <w:rsid w:val="00C12A1A"/>
    <w:rsid w:val="00C130BA"/>
    <w:rsid w:val="00C20B8E"/>
    <w:rsid w:val="00C22AC5"/>
    <w:rsid w:val="00C264E9"/>
    <w:rsid w:val="00C27BBB"/>
    <w:rsid w:val="00C339D8"/>
    <w:rsid w:val="00C36223"/>
    <w:rsid w:val="00C376F7"/>
    <w:rsid w:val="00C37FDC"/>
    <w:rsid w:val="00C44870"/>
    <w:rsid w:val="00C50AA2"/>
    <w:rsid w:val="00C52E83"/>
    <w:rsid w:val="00C53489"/>
    <w:rsid w:val="00C5538B"/>
    <w:rsid w:val="00C70C26"/>
    <w:rsid w:val="00C717BF"/>
    <w:rsid w:val="00C7339E"/>
    <w:rsid w:val="00C770F6"/>
    <w:rsid w:val="00C80EF7"/>
    <w:rsid w:val="00C906B0"/>
    <w:rsid w:val="00C9367C"/>
    <w:rsid w:val="00C93DC7"/>
    <w:rsid w:val="00C94FA8"/>
    <w:rsid w:val="00CA247C"/>
    <w:rsid w:val="00CC0732"/>
    <w:rsid w:val="00CC2EFC"/>
    <w:rsid w:val="00CC2F04"/>
    <w:rsid w:val="00CD28C6"/>
    <w:rsid w:val="00CD3F00"/>
    <w:rsid w:val="00CD6869"/>
    <w:rsid w:val="00CD77B9"/>
    <w:rsid w:val="00CE0BB5"/>
    <w:rsid w:val="00CE6CFF"/>
    <w:rsid w:val="00CE6FE4"/>
    <w:rsid w:val="00CE7267"/>
    <w:rsid w:val="00CE7AC1"/>
    <w:rsid w:val="00CF17F8"/>
    <w:rsid w:val="00CF249D"/>
    <w:rsid w:val="00D05351"/>
    <w:rsid w:val="00D0547D"/>
    <w:rsid w:val="00D07216"/>
    <w:rsid w:val="00D11652"/>
    <w:rsid w:val="00D20C3F"/>
    <w:rsid w:val="00D25C53"/>
    <w:rsid w:val="00D30875"/>
    <w:rsid w:val="00D329F5"/>
    <w:rsid w:val="00D34E3D"/>
    <w:rsid w:val="00D45696"/>
    <w:rsid w:val="00D4641D"/>
    <w:rsid w:val="00D466F0"/>
    <w:rsid w:val="00D509DF"/>
    <w:rsid w:val="00D526CE"/>
    <w:rsid w:val="00D6391F"/>
    <w:rsid w:val="00D6438C"/>
    <w:rsid w:val="00D655A4"/>
    <w:rsid w:val="00D67554"/>
    <w:rsid w:val="00D675E1"/>
    <w:rsid w:val="00D709F0"/>
    <w:rsid w:val="00D720D2"/>
    <w:rsid w:val="00D734B3"/>
    <w:rsid w:val="00D87EA8"/>
    <w:rsid w:val="00D977E8"/>
    <w:rsid w:val="00DA141D"/>
    <w:rsid w:val="00DA1B8E"/>
    <w:rsid w:val="00DA48EF"/>
    <w:rsid w:val="00DA56F1"/>
    <w:rsid w:val="00DA60C0"/>
    <w:rsid w:val="00DB25FA"/>
    <w:rsid w:val="00DD3766"/>
    <w:rsid w:val="00DD3997"/>
    <w:rsid w:val="00DD3DBC"/>
    <w:rsid w:val="00DD6050"/>
    <w:rsid w:val="00DD7C37"/>
    <w:rsid w:val="00DE154B"/>
    <w:rsid w:val="00DE6889"/>
    <w:rsid w:val="00DE73D9"/>
    <w:rsid w:val="00DE7704"/>
    <w:rsid w:val="00DF03A8"/>
    <w:rsid w:val="00DF0AC8"/>
    <w:rsid w:val="00DF3A95"/>
    <w:rsid w:val="00DF4958"/>
    <w:rsid w:val="00DF4EC9"/>
    <w:rsid w:val="00DF663F"/>
    <w:rsid w:val="00E01F5A"/>
    <w:rsid w:val="00E0250D"/>
    <w:rsid w:val="00E0571A"/>
    <w:rsid w:val="00E05893"/>
    <w:rsid w:val="00E07DB3"/>
    <w:rsid w:val="00E119BD"/>
    <w:rsid w:val="00E124C3"/>
    <w:rsid w:val="00E12B7B"/>
    <w:rsid w:val="00E15B1B"/>
    <w:rsid w:val="00E27F1F"/>
    <w:rsid w:val="00E3200A"/>
    <w:rsid w:val="00E35F55"/>
    <w:rsid w:val="00E37101"/>
    <w:rsid w:val="00E4484F"/>
    <w:rsid w:val="00E45D2A"/>
    <w:rsid w:val="00E47037"/>
    <w:rsid w:val="00E50922"/>
    <w:rsid w:val="00E567BB"/>
    <w:rsid w:val="00E60F52"/>
    <w:rsid w:val="00E62BC8"/>
    <w:rsid w:val="00E726CD"/>
    <w:rsid w:val="00E7461B"/>
    <w:rsid w:val="00E77727"/>
    <w:rsid w:val="00E77941"/>
    <w:rsid w:val="00E843CC"/>
    <w:rsid w:val="00E84870"/>
    <w:rsid w:val="00E85E06"/>
    <w:rsid w:val="00E86D82"/>
    <w:rsid w:val="00E9016A"/>
    <w:rsid w:val="00E9045E"/>
    <w:rsid w:val="00E92EFF"/>
    <w:rsid w:val="00E94CEB"/>
    <w:rsid w:val="00EA450D"/>
    <w:rsid w:val="00EA61A2"/>
    <w:rsid w:val="00EA6978"/>
    <w:rsid w:val="00EA7646"/>
    <w:rsid w:val="00EB16F9"/>
    <w:rsid w:val="00EB1AAB"/>
    <w:rsid w:val="00EB7AAF"/>
    <w:rsid w:val="00EC4311"/>
    <w:rsid w:val="00EC6129"/>
    <w:rsid w:val="00EE2AA7"/>
    <w:rsid w:val="00EE67AD"/>
    <w:rsid w:val="00EF0F5B"/>
    <w:rsid w:val="00EF18FD"/>
    <w:rsid w:val="00EF1F54"/>
    <w:rsid w:val="00EF2771"/>
    <w:rsid w:val="00EF6B56"/>
    <w:rsid w:val="00EF6E31"/>
    <w:rsid w:val="00EF74F9"/>
    <w:rsid w:val="00F233B1"/>
    <w:rsid w:val="00F23501"/>
    <w:rsid w:val="00F25005"/>
    <w:rsid w:val="00F252F6"/>
    <w:rsid w:val="00F25FA9"/>
    <w:rsid w:val="00F30A9A"/>
    <w:rsid w:val="00F443AD"/>
    <w:rsid w:val="00F44BAB"/>
    <w:rsid w:val="00F4596B"/>
    <w:rsid w:val="00F5040D"/>
    <w:rsid w:val="00F50DD0"/>
    <w:rsid w:val="00F52270"/>
    <w:rsid w:val="00F536A1"/>
    <w:rsid w:val="00F544CD"/>
    <w:rsid w:val="00F5726E"/>
    <w:rsid w:val="00F6226D"/>
    <w:rsid w:val="00F65AB3"/>
    <w:rsid w:val="00F74767"/>
    <w:rsid w:val="00F74AB0"/>
    <w:rsid w:val="00F75FD3"/>
    <w:rsid w:val="00F76254"/>
    <w:rsid w:val="00F816AE"/>
    <w:rsid w:val="00F85EE8"/>
    <w:rsid w:val="00F86555"/>
    <w:rsid w:val="00F97997"/>
    <w:rsid w:val="00F97FDF"/>
    <w:rsid w:val="00FA0610"/>
    <w:rsid w:val="00FA4F75"/>
    <w:rsid w:val="00FA59BF"/>
    <w:rsid w:val="00FA7A50"/>
    <w:rsid w:val="00FB0005"/>
    <w:rsid w:val="00FB1FB8"/>
    <w:rsid w:val="00FB7367"/>
    <w:rsid w:val="00FC1C66"/>
    <w:rsid w:val="00FC2CC4"/>
    <w:rsid w:val="00FC49BE"/>
    <w:rsid w:val="00FC5942"/>
    <w:rsid w:val="00FC6B03"/>
    <w:rsid w:val="00FC7296"/>
    <w:rsid w:val="00FD3DB8"/>
    <w:rsid w:val="00FD68E8"/>
    <w:rsid w:val="00FE0FE1"/>
    <w:rsid w:val="00FE24B1"/>
    <w:rsid w:val="00FE360E"/>
    <w:rsid w:val="00FE443B"/>
    <w:rsid w:val="00FE5A86"/>
    <w:rsid w:val="00FE7B6F"/>
    <w:rsid w:val="00FF1045"/>
    <w:rsid w:val="00FF11FB"/>
    <w:rsid w:val="00FF1238"/>
    <w:rsid w:val="00FF18EB"/>
    <w:rsid w:val="00FF6E32"/>
    <w:rsid w:val="00FF71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ED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link w:val="FooterChar"/>
    <w:uiPriority w:val="99"/>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1B445C"/>
    <w:pPr>
      <w:ind w:left="720"/>
      <w:contextualSpacing/>
    </w:pPr>
  </w:style>
  <w:style w:type="character" w:customStyle="1" w:styleId="FooterChar">
    <w:name w:val="Footer Char"/>
    <w:basedOn w:val="DefaultParagraphFont"/>
    <w:link w:val="Footer"/>
    <w:uiPriority w:val="99"/>
    <w:rsid w:val="009027A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5">
    <w:name w:val="heading 5"/>
    <w:basedOn w:val="Normal"/>
    <w:qFormat/>
    <w:rsid w:val="000E0270"/>
    <w:pPr>
      <w:spacing w:before="100" w:beforeAutospacing="1" w:after="100" w:afterAutospacing="1"/>
      <w:outlineLvl w:val="4"/>
    </w:pPr>
    <w:rPr>
      <w:rFonts w:ascii="Arial" w:hAnsi="Arial" w:cs="Arial"/>
      <w:b/>
      <w:bCs/>
      <w:color w:val="0033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1078"/>
    <w:pPr>
      <w:tabs>
        <w:tab w:val="center" w:pos="4153"/>
        <w:tab w:val="right" w:pos="8306"/>
      </w:tabs>
    </w:pPr>
  </w:style>
  <w:style w:type="paragraph" w:styleId="Footer">
    <w:name w:val="footer"/>
    <w:basedOn w:val="Normal"/>
    <w:link w:val="FooterChar"/>
    <w:uiPriority w:val="99"/>
    <w:rsid w:val="000A1078"/>
    <w:pPr>
      <w:tabs>
        <w:tab w:val="center" w:pos="4153"/>
        <w:tab w:val="right" w:pos="8306"/>
      </w:tabs>
    </w:pPr>
  </w:style>
  <w:style w:type="table" w:styleId="TableGrid">
    <w:name w:val="Table Grid"/>
    <w:basedOn w:val="TableNormal"/>
    <w:rsid w:val="00184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E0270"/>
    <w:rPr>
      <w:color w:val="0000EE"/>
      <w:u w:val="single"/>
    </w:rPr>
  </w:style>
  <w:style w:type="paragraph" w:styleId="NormalWeb">
    <w:name w:val="Normal (Web)"/>
    <w:basedOn w:val="Normal"/>
    <w:rsid w:val="000E0270"/>
    <w:pPr>
      <w:spacing w:before="100" w:beforeAutospacing="1" w:after="100" w:afterAutospacing="1"/>
    </w:pPr>
    <w:rPr>
      <w:rFonts w:ascii="Arial" w:hAnsi="Arial" w:cs="Arial"/>
      <w:color w:val="000000"/>
      <w:sz w:val="20"/>
      <w:szCs w:val="20"/>
    </w:rPr>
  </w:style>
  <w:style w:type="paragraph" w:styleId="FootnoteText">
    <w:name w:val="footnote text"/>
    <w:basedOn w:val="Normal"/>
    <w:semiHidden/>
    <w:rsid w:val="00FF6E32"/>
    <w:rPr>
      <w:sz w:val="20"/>
      <w:szCs w:val="20"/>
    </w:rPr>
  </w:style>
  <w:style w:type="character" w:styleId="FootnoteReference">
    <w:name w:val="footnote reference"/>
    <w:basedOn w:val="DefaultParagraphFont"/>
    <w:semiHidden/>
    <w:rsid w:val="00FF6E32"/>
    <w:rPr>
      <w:vertAlign w:val="superscript"/>
    </w:rPr>
  </w:style>
  <w:style w:type="paragraph" w:styleId="BalloonText">
    <w:name w:val="Balloon Text"/>
    <w:basedOn w:val="Normal"/>
    <w:semiHidden/>
    <w:rsid w:val="00DD3997"/>
    <w:rPr>
      <w:rFonts w:ascii="Tahoma" w:hAnsi="Tahoma" w:cs="Tahoma"/>
      <w:sz w:val="16"/>
      <w:szCs w:val="16"/>
    </w:rPr>
  </w:style>
  <w:style w:type="character" w:styleId="CommentReference">
    <w:name w:val="annotation reference"/>
    <w:basedOn w:val="DefaultParagraphFont"/>
    <w:semiHidden/>
    <w:rsid w:val="000B2C32"/>
    <w:rPr>
      <w:sz w:val="16"/>
      <w:szCs w:val="16"/>
    </w:rPr>
  </w:style>
  <w:style w:type="paragraph" w:styleId="CommentText">
    <w:name w:val="annotation text"/>
    <w:basedOn w:val="Normal"/>
    <w:semiHidden/>
    <w:rsid w:val="000B2C32"/>
    <w:rPr>
      <w:sz w:val="20"/>
      <w:szCs w:val="20"/>
    </w:rPr>
  </w:style>
  <w:style w:type="paragraph" w:styleId="CommentSubject">
    <w:name w:val="annotation subject"/>
    <w:basedOn w:val="CommentText"/>
    <w:next w:val="CommentText"/>
    <w:semiHidden/>
    <w:rsid w:val="000B2C32"/>
    <w:rPr>
      <w:b/>
      <w:bCs/>
    </w:rPr>
  </w:style>
  <w:style w:type="paragraph" w:styleId="ListParagraph">
    <w:name w:val="List Paragraph"/>
    <w:basedOn w:val="Normal"/>
    <w:uiPriority w:val="34"/>
    <w:qFormat/>
    <w:rsid w:val="001B445C"/>
    <w:pPr>
      <w:ind w:left="720"/>
      <w:contextualSpacing/>
    </w:pPr>
  </w:style>
  <w:style w:type="character" w:customStyle="1" w:styleId="FooterChar">
    <w:name w:val="Footer Char"/>
    <w:basedOn w:val="DefaultParagraphFont"/>
    <w:link w:val="Footer"/>
    <w:uiPriority w:val="99"/>
    <w:rsid w:val="009027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293">
      <w:bodyDiv w:val="1"/>
      <w:marLeft w:val="0"/>
      <w:marRight w:val="0"/>
      <w:marTop w:val="0"/>
      <w:marBottom w:val="0"/>
      <w:divBdr>
        <w:top w:val="none" w:sz="0" w:space="0" w:color="auto"/>
        <w:left w:val="none" w:sz="0" w:space="0" w:color="auto"/>
        <w:bottom w:val="none" w:sz="0" w:space="0" w:color="auto"/>
        <w:right w:val="none" w:sz="0" w:space="0" w:color="auto"/>
      </w:divBdr>
    </w:div>
    <w:div w:id="402065044">
      <w:bodyDiv w:val="1"/>
      <w:marLeft w:val="75"/>
      <w:marRight w:val="75"/>
      <w:marTop w:val="75"/>
      <w:marBottom w:val="75"/>
      <w:divBdr>
        <w:top w:val="none" w:sz="0" w:space="0" w:color="auto"/>
        <w:left w:val="none" w:sz="0" w:space="0" w:color="auto"/>
        <w:bottom w:val="none" w:sz="0" w:space="0" w:color="auto"/>
        <w:right w:val="none" w:sz="0" w:space="0" w:color="auto"/>
      </w:divBdr>
      <w:divsChild>
        <w:div w:id="561600509">
          <w:blockQuote w:val="1"/>
          <w:marLeft w:val="750"/>
          <w:marRight w:val="750"/>
          <w:marTop w:val="100"/>
          <w:marBottom w:val="100"/>
          <w:divBdr>
            <w:top w:val="none" w:sz="0" w:space="0" w:color="auto"/>
            <w:left w:val="none" w:sz="0" w:space="0" w:color="auto"/>
            <w:bottom w:val="none" w:sz="0" w:space="0" w:color="auto"/>
            <w:right w:val="none" w:sz="0" w:space="0" w:color="auto"/>
          </w:divBdr>
        </w:div>
        <w:div w:id="1061295538">
          <w:blockQuote w:val="1"/>
          <w:marLeft w:val="750"/>
          <w:marRight w:val="750"/>
          <w:marTop w:val="100"/>
          <w:marBottom w:val="100"/>
          <w:divBdr>
            <w:top w:val="none" w:sz="0" w:space="0" w:color="auto"/>
            <w:left w:val="none" w:sz="0" w:space="0" w:color="auto"/>
            <w:bottom w:val="none" w:sz="0" w:space="0" w:color="auto"/>
            <w:right w:val="none" w:sz="0" w:space="0" w:color="auto"/>
          </w:divBdr>
        </w:div>
        <w:div w:id="1280334708">
          <w:blockQuote w:val="1"/>
          <w:marLeft w:val="750"/>
          <w:marRight w:val="750"/>
          <w:marTop w:val="100"/>
          <w:marBottom w:val="100"/>
          <w:divBdr>
            <w:top w:val="none" w:sz="0" w:space="0" w:color="auto"/>
            <w:left w:val="none" w:sz="0" w:space="0" w:color="auto"/>
            <w:bottom w:val="none" w:sz="0" w:space="0" w:color="auto"/>
            <w:right w:val="none" w:sz="0" w:space="0" w:color="auto"/>
          </w:divBdr>
        </w:div>
        <w:div w:id="1633555215">
          <w:blockQuote w:val="1"/>
          <w:marLeft w:val="750"/>
          <w:marRight w:val="750"/>
          <w:marTop w:val="100"/>
          <w:marBottom w:val="100"/>
          <w:divBdr>
            <w:top w:val="none" w:sz="0" w:space="0" w:color="auto"/>
            <w:left w:val="none" w:sz="0" w:space="0" w:color="auto"/>
            <w:bottom w:val="none" w:sz="0" w:space="0" w:color="auto"/>
            <w:right w:val="none" w:sz="0" w:space="0" w:color="auto"/>
          </w:divBdr>
        </w:div>
        <w:div w:id="1727409488">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043796840">
      <w:bodyDiv w:val="1"/>
      <w:marLeft w:val="75"/>
      <w:marRight w:val="75"/>
      <w:marTop w:val="75"/>
      <w:marBottom w:val="75"/>
      <w:divBdr>
        <w:top w:val="none" w:sz="0" w:space="0" w:color="auto"/>
        <w:left w:val="none" w:sz="0" w:space="0" w:color="auto"/>
        <w:bottom w:val="none" w:sz="0" w:space="0" w:color="auto"/>
        <w:right w:val="none" w:sz="0" w:space="0" w:color="auto"/>
      </w:divBdr>
      <w:divsChild>
        <w:div w:id="120657156">
          <w:blockQuote w:val="1"/>
          <w:marLeft w:val="750"/>
          <w:marRight w:val="750"/>
          <w:marTop w:val="100"/>
          <w:marBottom w:val="100"/>
          <w:divBdr>
            <w:top w:val="none" w:sz="0" w:space="0" w:color="auto"/>
            <w:left w:val="none" w:sz="0" w:space="0" w:color="auto"/>
            <w:bottom w:val="none" w:sz="0" w:space="0" w:color="auto"/>
            <w:right w:val="none" w:sz="0" w:space="0" w:color="auto"/>
          </w:divBdr>
        </w:div>
        <w:div w:id="1219437675">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70189766">
      <w:bodyDiv w:val="1"/>
      <w:marLeft w:val="75"/>
      <w:marRight w:val="75"/>
      <w:marTop w:val="75"/>
      <w:marBottom w:val="75"/>
      <w:divBdr>
        <w:top w:val="none" w:sz="0" w:space="0" w:color="auto"/>
        <w:left w:val="none" w:sz="0" w:space="0" w:color="auto"/>
        <w:bottom w:val="none" w:sz="0" w:space="0" w:color="auto"/>
        <w:right w:val="none" w:sz="0" w:space="0" w:color="auto"/>
      </w:divBdr>
      <w:divsChild>
        <w:div w:id="599607574">
          <w:blockQuote w:val="1"/>
          <w:marLeft w:val="750"/>
          <w:marRight w:val="750"/>
          <w:marTop w:val="100"/>
          <w:marBottom w:val="100"/>
          <w:divBdr>
            <w:top w:val="none" w:sz="0" w:space="0" w:color="auto"/>
            <w:left w:val="none" w:sz="0" w:space="0" w:color="auto"/>
            <w:bottom w:val="none" w:sz="0" w:space="0" w:color="auto"/>
            <w:right w:val="none" w:sz="0" w:space="0" w:color="auto"/>
          </w:divBdr>
        </w:div>
        <w:div w:id="86895103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598053774">
      <w:bodyDiv w:val="1"/>
      <w:marLeft w:val="75"/>
      <w:marRight w:val="75"/>
      <w:marTop w:val="75"/>
      <w:marBottom w:val="75"/>
      <w:divBdr>
        <w:top w:val="none" w:sz="0" w:space="0" w:color="auto"/>
        <w:left w:val="none" w:sz="0" w:space="0" w:color="auto"/>
        <w:bottom w:val="none" w:sz="0" w:space="0" w:color="auto"/>
        <w:right w:val="none" w:sz="0" w:space="0" w:color="auto"/>
      </w:divBdr>
      <w:divsChild>
        <w:div w:id="1513493805">
          <w:blockQuote w:val="1"/>
          <w:marLeft w:val="750"/>
          <w:marRight w:val="750"/>
          <w:marTop w:val="100"/>
          <w:marBottom w:val="100"/>
          <w:divBdr>
            <w:top w:val="none" w:sz="0" w:space="0" w:color="auto"/>
            <w:left w:val="none" w:sz="0" w:space="0" w:color="auto"/>
            <w:bottom w:val="none" w:sz="0" w:space="0" w:color="auto"/>
            <w:right w:val="none" w:sz="0" w:space="0" w:color="auto"/>
          </w:divBdr>
        </w:div>
        <w:div w:id="1869563057">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 w:id="1769500985">
      <w:bodyDiv w:val="1"/>
      <w:marLeft w:val="0"/>
      <w:marRight w:val="0"/>
      <w:marTop w:val="0"/>
      <w:marBottom w:val="0"/>
      <w:divBdr>
        <w:top w:val="none" w:sz="0" w:space="0" w:color="auto"/>
        <w:left w:val="none" w:sz="0" w:space="0" w:color="auto"/>
        <w:bottom w:val="none" w:sz="0" w:space="0" w:color="auto"/>
        <w:right w:val="none" w:sz="0" w:space="0" w:color="auto"/>
      </w:divBdr>
    </w:div>
    <w:div w:id="1788507813">
      <w:bodyDiv w:val="1"/>
      <w:marLeft w:val="75"/>
      <w:marRight w:val="75"/>
      <w:marTop w:val="75"/>
      <w:marBottom w:val="75"/>
      <w:divBdr>
        <w:top w:val="none" w:sz="0" w:space="0" w:color="auto"/>
        <w:left w:val="none" w:sz="0" w:space="0" w:color="auto"/>
        <w:bottom w:val="none" w:sz="0" w:space="0" w:color="auto"/>
        <w:right w:val="none" w:sz="0" w:space="0" w:color="auto"/>
      </w:divBdr>
      <w:divsChild>
        <w:div w:id="321586186">
          <w:blockQuote w:val="1"/>
          <w:marLeft w:val="750"/>
          <w:marRight w:val="750"/>
          <w:marTop w:val="100"/>
          <w:marBottom w:val="100"/>
          <w:divBdr>
            <w:top w:val="none" w:sz="0" w:space="0" w:color="auto"/>
            <w:left w:val="none" w:sz="0" w:space="0" w:color="auto"/>
            <w:bottom w:val="none" w:sz="0" w:space="0" w:color="auto"/>
            <w:right w:val="none" w:sz="0" w:space="0" w:color="auto"/>
          </w:divBdr>
        </w:div>
        <w:div w:id="1552962943">
          <w:blockQuote w:val="1"/>
          <w:marLeft w:val="750"/>
          <w:marRight w:val="75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64679C44DADA04984EEB770C4791873006B50A42D46FE94428A184B3B20B7217F" ma:contentTypeVersion="35" ma:contentTypeDescription="" ma:contentTypeScope="" ma:versionID="e773647e27c0f1d9ab2830c763788f1d">
  <xsd:schema xmlns:xsd="http://www.w3.org/2001/XMLSchema" xmlns:xs="http://www.w3.org/2001/XMLSchema" xmlns:p="http://schemas.microsoft.com/office/2006/metadata/properties" xmlns:ns1="http://schemas.microsoft.com/sharepoint/v3" xmlns:ns2="5e039acd-daf0-4ba3-b421-e9b9ae1a3620" xmlns:ns3="c65f9449-2a65-4a94-823f-6ddb40b10aaa" targetNamespace="http://schemas.microsoft.com/office/2006/metadata/properties" ma:root="true" ma:fieldsID="1597e6db0912cf2de84e230bc53b01cd" ns1:_="" ns2:_="" ns3:_="">
    <xsd:import namespace="http://schemas.microsoft.com/sharepoint/v3"/>
    <xsd:import namespace="5e039acd-daf0-4ba3-b421-e9b9ae1a3620"/>
    <xsd:import namespace="c65f9449-2a65-4a94-823f-6ddb40b10aaa"/>
    <xsd:element name="properties">
      <xsd:complexType>
        <xsd:sequence>
          <xsd:element name="documentManagement">
            <xsd:complexType>
              <xsd:all>
                <xsd:element ref="ns2:_dlc_DocId" minOccurs="0"/>
                <xsd:element ref="ns2:_dlc_DocIdUrl" minOccurs="0"/>
                <xsd:element ref="ns2:_dlc_DocIdPersistId" minOccurs="0"/>
                <xsd:element ref="ns2:n1a6d2b88979416cad2cc3ecb331e44a" minOccurs="0"/>
                <xsd:element ref="ns2:TaxCatchAll" minOccurs="0"/>
                <xsd:element ref="ns2:TaxCatchAllLabel" minOccurs="0"/>
                <xsd:element ref="ns1:_dlc_Exempt" minOccurs="0"/>
                <xsd:element ref="ns1:_dlc_ExpireDateSaved" minOccurs="0"/>
                <xsd:element ref="ns1:_dlc_ExpireDate" minOccurs="0"/>
                <xsd:element ref="ns3:Branch" minOccurs="0"/>
                <xsd:element ref="ns3:Category"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element name="_dlc_ExpireDateSaved" ma:index="16" nillable="true" ma:displayName="Original Expiration Date" ma:hidden="true" ma:internalName="_dlc_ExpireDateSaved" ma:readOnly="true">
      <xsd:simpleType>
        <xsd:restriction base="dms:DateTime"/>
      </xsd:simpleType>
    </xsd:element>
    <xsd:element name="_dlc_ExpireDate" ma:index="1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e039acd-daf0-4ba3-b421-e9b9ae1a362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1" ma:taxonomy="true" ma:internalName="n1a6d2b88979416cad2cc3ecb331e44a" ma:taxonomyFieldName="Security_x0020_Classification" ma:displayName="Security Classification" ma:readOnly="false" ma:default="1;#UNCLASSIFIED|1bbb598d-ed8e-4faa-b9b5-c952cc7313f8" ma:fieldId="{71a6d2b8-8979-416c-ad2c-c3ecb331e44a}" ma:sspId="552124a6-5639-4054-9398-f49b47b0070b" ma:termSetId="01e0d8d2-6959-4708-b4cf-d9f24a977c8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c2003f9-3252-44e8-804f-d5d14dd81ab1}" ma:internalName="TaxCatchAll" ma:showField="CatchAllData"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ec2003f9-3252-44e8-804f-d5d14dd81ab1}" ma:internalName="TaxCatchAllLabel" ma:readOnly="true" ma:showField="CatchAllDataLabel" ma:web="5e039acd-daf0-4ba3-b421-e9b9ae1a3620">
      <xsd:complexType>
        <xsd:complexContent>
          <xsd:extension base="dms:MultiChoiceLookup">
            <xsd:sequence>
              <xsd:element name="Value" type="dms:Lookup" maxOccurs="unbounded" minOccurs="0" nillable="true"/>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552124a6-5639-4054-9398-f49b47b0070b"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5f9449-2a65-4a94-823f-6ddb40b10aaa" elementFormDefault="qualified">
    <xsd:import namespace="http://schemas.microsoft.com/office/2006/documentManagement/types"/>
    <xsd:import namespace="http://schemas.microsoft.com/office/infopath/2007/PartnerControls"/>
    <xsd:element name="Branch" ma:index="18" nillable="true" ma:displayName="Branch" ma:format="Dropdown" ma:internalName="Branch">
      <xsd:simpleType>
        <xsd:restriction base="dms:Choice">
          <xsd:enumeration value="Revenue Analysis Branch"/>
          <xsd:enumeration value="Law Design &amp; Governance"/>
          <xsd:enumeration value="ATO Design &amp; Innovation"/>
          <xsd:enumeration value="ATO Policy Integration"/>
          <xsd:enumeration value="ITD Business Management"/>
        </xsd:restriction>
      </xsd:simpleType>
    </xsd:element>
    <xsd:element name="Category" ma:index="19" nillable="true" ma:displayName="Category" ma:internalName="Category" ma:requiredMultiChoice="true">
      <xsd:complexType>
        <xsd:complexContent>
          <xsd:extension base="dms:MultiChoice">
            <xsd:sequence>
              <xsd:element name="Value" maxOccurs="unbounded" minOccurs="0" nillable="true">
                <xsd:simpleType>
                  <xsd:restriction base="dms:Choice">
                    <xsd:enumeration value="ITD Talks"/>
                    <xsd:enumeration value="ITD Forum"/>
                    <xsd:enumeration value="Policy Advice"/>
                    <xsd:enumeration value="Data analysis"/>
                    <xsd:enumeration value="Tax Reviews"/>
                    <xsd:enumeration value="Early engagement"/>
                    <xsd:enumeration value="Government relations"/>
                    <xsd:enumeration value="Costings"/>
                    <xsd:enumeration value="ITD Matters"/>
                    <xsd:enumeration value="How to guides"/>
                    <xsd:enumeration value="Governance"/>
                    <xsd:enumeration value="Stakeholder engagement"/>
                    <xsd:enumeration value="Risk management"/>
                    <xsd:enumeration value="Technical advice"/>
                    <xsd:enumeration value="Secondments"/>
                    <xsd:enumeration value="Rotations"/>
                    <xsd:enumeration value="Graduates"/>
                    <xsd:enumeration value="L&amp;D"/>
                    <xsd:enumeration value="Project management"/>
                    <xsd:enumeration value="Technology"/>
                    <xsd:enumeration value="Capability plan"/>
                    <xsd:enumeration value="Innovation"/>
                    <xsd:enumeration value="Support"/>
                    <xsd:enumeration value="Self Service Framework"/>
                    <xsd:enumeration value="Design groups"/>
                    <xsd:enumeration value="Branch Plan"/>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False</openByDefault>
  <xsnScope>http://sharepoint</xsnScope>
</customXsn>
</file>

<file path=customXml/item3.xml><?xml version="1.0" encoding="utf-8"?>
<p:properties xmlns:p="http://schemas.microsoft.com/office/2006/metadata/properties" xmlns:xsi="http://www.w3.org/2001/XMLSchema-instance" xmlns:pc="http://schemas.microsoft.com/office/infopath/2007/PartnerControls">
  <documentManagement>
    <Category xmlns="c65f9449-2a65-4a94-823f-6ddb40b10aaa">
      <Value>Governance</Value>
    </Category>
    <TaxKeywordTaxHTField xmlns="5e039acd-daf0-4ba3-b421-e9b9ae1a3620">
      <Terms xmlns="http://schemas.microsoft.com/office/infopath/2007/PartnerControls"/>
    </TaxKeywordTaxHTField>
    <n1a6d2b88979416cad2cc3ecb331e44a xmlns="5e039acd-daf0-4ba3-b421-e9b9ae1a3620">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1bbb598d-ed8e-4faa-b9b5-c952cc7313f8</TermId>
        </TermInfo>
      </Terms>
    </n1a6d2b88979416cad2cc3ecb331e44a>
    <Branch xmlns="c65f9449-2a65-4a94-823f-6ddb40b10aaa">Law Design &amp; Governance</Branch>
    <TaxCatchAll xmlns="5e039acd-daf0-4ba3-b421-e9b9ae1a3620">
      <Value>1</Value>
    </TaxCatchAll>
    <_dlc_ExpireDateSaved xmlns="http://schemas.microsoft.com/sharepoint/v3" xsi:nil="true"/>
    <_dlc_ExpireDate xmlns="http://schemas.microsoft.com/sharepoint/v3">2025-09-30T01:55:48+00:00</_dlc_ExpireDate>
    <_dlc_DocId xmlns="5e039acd-daf0-4ba3-b421-e9b9ae1a3620">5YHNKJZSV77T-1853-1469</_dlc_DocId>
    <_dlc_DocIdUrl xmlns="5e039acd-daf0-4ba3-b421-e9b9ae1a3620">
      <Url>http://sharepoint/GASites/IntegratedTaxDesign/_layouts/DocIdRedir.aspx?ID=5YHNKJZSV77T-1853-1469</Url>
      <Description>5YHNKJZSV77T-1853-1469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Word</p:Name>
  <p:Description/>
  <p:Statement/>
  <p:PolicyItems>
    <p:PolicyItem featureId="Microsoft.Office.RecordsManagement.PolicyFeatures.Expiration" staticId="0x010100A64679C44DADA04984EEB770C4791873|1060299444" UniqueId="4cb30c36-7391-4ddd-ab56-a47c5a5217a7">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10</number>
                  <property>Modified</property>
                  <propertyId>28cf69c5-fa48-462a-b5cd-27b6f9d2bd5f</propertyId>
                  <period>years</period>
                </formula>
                <action type="action" id="Microsoft.Office.RecordsManagement.PolicyFeatures.Expiration.Action.Delete"/>
              </data>
            </stages>
          </Schedule>
        </Schedules>
      </p:CustomData>
    </p:PolicyItem>
  </p:PolicyItems>
</p:Polic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FE82C-5352-4B5C-8210-1AEE3B699E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039acd-daf0-4ba3-b421-e9b9ae1a3620"/>
    <ds:schemaRef ds:uri="c65f9449-2a65-4a94-823f-6ddb40b10a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DB4F9E-335A-4DF4-BB68-89D895A5AE71}">
  <ds:schemaRefs>
    <ds:schemaRef ds:uri="http://schemas.microsoft.com/office/2006/metadata/customXsn"/>
  </ds:schemaRefs>
</ds:datastoreItem>
</file>

<file path=customXml/itemProps3.xml><?xml version="1.0" encoding="utf-8"?>
<ds:datastoreItem xmlns:ds="http://schemas.openxmlformats.org/officeDocument/2006/customXml" ds:itemID="{B0081C95-3F46-4952-92B3-0BA2FA1D6B70}">
  <ds:schemaRefs>
    <ds:schemaRef ds:uri="http://schemas.microsoft.com/office/2006/metadata/properties"/>
    <ds:schemaRef ds:uri="http://schemas.microsoft.com/office/infopath/2007/PartnerControls"/>
    <ds:schemaRef ds:uri="c65f9449-2a65-4a94-823f-6ddb40b10aaa"/>
    <ds:schemaRef ds:uri="5e039acd-daf0-4ba3-b421-e9b9ae1a3620"/>
    <ds:schemaRef ds:uri="http://schemas.microsoft.com/sharepoint/v3"/>
  </ds:schemaRefs>
</ds:datastoreItem>
</file>

<file path=customXml/itemProps4.xml><?xml version="1.0" encoding="utf-8"?>
<ds:datastoreItem xmlns:ds="http://schemas.openxmlformats.org/officeDocument/2006/customXml" ds:itemID="{DCA68371-72DF-49E5-A925-4A34BE45674F}">
  <ds:schemaRefs>
    <ds:schemaRef ds:uri="http://schemas.microsoft.com/sharepoint/events"/>
  </ds:schemaRefs>
</ds:datastoreItem>
</file>

<file path=customXml/itemProps5.xml><?xml version="1.0" encoding="utf-8"?>
<ds:datastoreItem xmlns:ds="http://schemas.openxmlformats.org/officeDocument/2006/customXml" ds:itemID="{0E5324EE-A4EA-4803-87EC-7781638E8A55}">
  <ds:schemaRefs>
    <ds:schemaRef ds:uri="office.server.policy"/>
  </ds:schemaRefs>
</ds:datastoreItem>
</file>

<file path=customXml/itemProps6.xml><?xml version="1.0" encoding="utf-8"?>
<ds:datastoreItem xmlns:ds="http://schemas.openxmlformats.org/officeDocument/2006/customXml" ds:itemID="{2D0B1822-6B19-467B-841B-2A287328ADEF}">
  <ds:schemaRefs>
    <ds:schemaRef ds:uri="http://schemas.microsoft.com/sharepoint/v3/contenttype/forms"/>
  </ds:schemaRefs>
</ds:datastoreItem>
</file>

<file path=customXml/itemProps7.xml><?xml version="1.0" encoding="utf-8"?>
<ds:datastoreItem xmlns:ds="http://schemas.openxmlformats.org/officeDocument/2006/customXml" ds:itemID="{F86BB075-6273-4D76-B0C7-F62F4D8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Taxation Administration Act – Withholding Schedule</vt:lpstr>
    </vt:vector>
  </TitlesOfParts>
  <Company>Australian Taxation Office</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Administration Act – Withholding Schedule</dc:title>
  <dc:creator>ubafu</dc:creator>
  <cp:lastModifiedBy>Fonovic, Sally</cp:lastModifiedBy>
  <cp:revision>23</cp:revision>
  <cp:lastPrinted>2016-07-12T05:12:00Z</cp:lastPrinted>
  <dcterms:created xsi:type="dcterms:W3CDTF">2016-05-11T23:37:00Z</dcterms:created>
  <dcterms:modified xsi:type="dcterms:W3CDTF">2016-07-29T05:46:00Z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0x010100A64679C44DADA04984EEB770C4791873006B50A42D46FE94428A184B3B20B7217F</vt:lpwstr>
  </property>
  <property fmtid="{D5CDD505-2E9C-101B-9397-08002B2CF9AE}" pid="3" name="_dlc_policyId">
    <vt:lpwstr>0x010100A64679C44DADA04984EEB770C4791873|1060299444</vt:lpwstr>
  </property>
  <property fmtid="{D5CDD505-2E9C-101B-9397-08002B2CF9AE}" pid="4"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5" name="_dlc_DocIdItemGuid">
    <vt:lpwstr>133e58d6-93de-47ec-bd11-9f5d94cf2332</vt:lpwstr>
  </property>
  <property fmtid="{D5CDD505-2E9C-101B-9397-08002B2CF9AE}" pid="6" name="TaxKeyword">
    <vt:lpwstr/>
  </property>
  <property fmtid="{D5CDD505-2E9C-101B-9397-08002B2CF9AE}" pid="7" name="Security Classification">
    <vt:lpwstr>1;#UNCLASSIFIED|1bbb598d-ed8e-4faa-b9b5-c952cc7313f8</vt:lpwstr>
  </property>
</Properties>
</file>