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5D90F9" w14:textId="77777777" w:rsidR="00511E10" w:rsidRPr="00300026" w:rsidRDefault="00511E10" w:rsidP="00985B92">
      <w:pPr>
        <w:jc w:val="center"/>
        <w:rPr>
          <w:b/>
          <w:sz w:val="28"/>
          <w:szCs w:val="28"/>
          <w:u w:val="single"/>
        </w:rPr>
      </w:pPr>
      <w:bookmarkStart w:id="0" w:name="_GoBack"/>
      <w:bookmarkEnd w:id="0"/>
      <w:r w:rsidRPr="00300026">
        <w:rPr>
          <w:b/>
          <w:sz w:val="28"/>
          <w:szCs w:val="28"/>
          <w:u w:val="single"/>
        </w:rPr>
        <w:t xml:space="preserve">EXPLANATORY </w:t>
      </w:r>
      <w:r w:rsidR="0008022D" w:rsidRPr="00300026">
        <w:rPr>
          <w:b/>
          <w:sz w:val="28"/>
          <w:szCs w:val="28"/>
          <w:u w:val="single"/>
        </w:rPr>
        <w:t>STATEMENT</w:t>
      </w:r>
    </w:p>
    <w:p w14:paraId="168F8922" w14:textId="77777777" w:rsidR="00511E10" w:rsidRPr="00300026" w:rsidRDefault="00511E10" w:rsidP="00511E10">
      <w:pPr>
        <w:jc w:val="center"/>
        <w:rPr>
          <w:b/>
          <w:szCs w:val="22"/>
          <w:u w:val="single"/>
        </w:rPr>
      </w:pPr>
    </w:p>
    <w:p w14:paraId="1B8CADC1" w14:textId="77777777" w:rsidR="00511E10" w:rsidRPr="00300026" w:rsidRDefault="00511E10" w:rsidP="00511E10">
      <w:pPr>
        <w:jc w:val="center"/>
        <w:rPr>
          <w:szCs w:val="22"/>
        </w:rPr>
      </w:pPr>
      <w:r w:rsidRPr="00300026">
        <w:rPr>
          <w:i/>
          <w:szCs w:val="22"/>
        </w:rPr>
        <w:t>Building Energy Efficiency Disclosure Act 2010</w:t>
      </w:r>
      <w:r w:rsidR="0008022D" w:rsidRPr="00300026">
        <w:rPr>
          <w:i/>
          <w:szCs w:val="22"/>
        </w:rPr>
        <w:t xml:space="preserve"> </w:t>
      </w:r>
      <w:r w:rsidR="00DA5160" w:rsidRPr="00300026">
        <w:rPr>
          <w:szCs w:val="22"/>
        </w:rPr>
        <w:t>(the Act)</w:t>
      </w:r>
    </w:p>
    <w:p w14:paraId="7EF274C4" w14:textId="77777777" w:rsidR="00511E10" w:rsidRPr="00300026" w:rsidRDefault="00511E10" w:rsidP="00511E10">
      <w:pPr>
        <w:jc w:val="center"/>
        <w:rPr>
          <w:i/>
          <w:szCs w:val="22"/>
        </w:rPr>
      </w:pPr>
    </w:p>
    <w:p w14:paraId="36767120" w14:textId="38B24D9C" w:rsidR="00B45871" w:rsidRPr="00300026" w:rsidRDefault="0008022D" w:rsidP="00511E10">
      <w:pPr>
        <w:jc w:val="center"/>
        <w:rPr>
          <w:i/>
          <w:szCs w:val="22"/>
        </w:rPr>
      </w:pPr>
      <w:r w:rsidRPr="00300026">
        <w:rPr>
          <w:i/>
          <w:szCs w:val="22"/>
        </w:rPr>
        <w:t>Building Energy Efficiency Disclosure</w:t>
      </w:r>
      <w:r w:rsidR="00B45871" w:rsidRPr="00300026">
        <w:rPr>
          <w:i/>
          <w:szCs w:val="22"/>
        </w:rPr>
        <w:t xml:space="preserve"> </w:t>
      </w:r>
      <w:r w:rsidRPr="00300026">
        <w:rPr>
          <w:i/>
          <w:szCs w:val="22"/>
        </w:rPr>
        <w:t>Determination 201</w:t>
      </w:r>
      <w:r w:rsidR="00A552D0">
        <w:rPr>
          <w:i/>
          <w:szCs w:val="22"/>
        </w:rPr>
        <w:t>6</w:t>
      </w:r>
      <w:r w:rsidR="00A81046" w:rsidRPr="00300026">
        <w:rPr>
          <w:i/>
          <w:szCs w:val="22"/>
        </w:rPr>
        <w:t xml:space="preserve"> </w:t>
      </w:r>
    </w:p>
    <w:p w14:paraId="78DE9E15" w14:textId="77777777" w:rsidR="00511E10" w:rsidRPr="00300026" w:rsidRDefault="0008022D" w:rsidP="00511E10">
      <w:pPr>
        <w:jc w:val="center"/>
        <w:rPr>
          <w:szCs w:val="22"/>
        </w:rPr>
      </w:pPr>
      <w:r w:rsidRPr="00300026">
        <w:rPr>
          <w:szCs w:val="22"/>
        </w:rPr>
        <w:t>(</w:t>
      </w:r>
      <w:proofErr w:type="gramStart"/>
      <w:r w:rsidRPr="00300026">
        <w:rPr>
          <w:szCs w:val="22"/>
        </w:rPr>
        <w:t>the</w:t>
      </w:r>
      <w:proofErr w:type="gramEnd"/>
      <w:r w:rsidRPr="00300026">
        <w:rPr>
          <w:szCs w:val="22"/>
        </w:rPr>
        <w:t xml:space="preserve"> Determination)</w:t>
      </w:r>
    </w:p>
    <w:p w14:paraId="0F637415" w14:textId="77777777" w:rsidR="00A81046" w:rsidRPr="00300026" w:rsidRDefault="00A81046" w:rsidP="00511E10">
      <w:pPr>
        <w:jc w:val="center"/>
        <w:rPr>
          <w:i/>
          <w:sz w:val="22"/>
          <w:szCs w:val="22"/>
        </w:rPr>
      </w:pPr>
    </w:p>
    <w:p w14:paraId="75690532" w14:textId="77777777" w:rsidR="0008022D" w:rsidRPr="00300026" w:rsidRDefault="0008022D" w:rsidP="00AB5B8B">
      <w:pPr>
        <w:rPr>
          <w:sz w:val="22"/>
          <w:szCs w:val="22"/>
        </w:rPr>
      </w:pPr>
    </w:p>
    <w:p w14:paraId="58F93883" w14:textId="77777777" w:rsidR="00911CB6" w:rsidRPr="00300026" w:rsidRDefault="00511E10" w:rsidP="00AB5B8B">
      <w:pPr>
        <w:rPr>
          <w:sz w:val="22"/>
          <w:szCs w:val="22"/>
        </w:rPr>
      </w:pPr>
      <w:r w:rsidRPr="00300026">
        <w:rPr>
          <w:sz w:val="22"/>
          <w:szCs w:val="22"/>
        </w:rPr>
        <w:t xml:space="preserve">The Act </w:t>
      </w:r>
      <w:r w:rsidR="00AB5B8B" w:rsidRPr="00300026">
        <w:rPr>
          <w:sz w:val="22"/>
          <w:szCs w:val="22"/>
        </w:rPr>
        <w:t xml:space="preserve">establishes </w:t>
      </w:r>
      <w:r w:rsidR="00DA5160" w:rsidRPr="00300026">
        <w:rPr>
          <w:sz w:val="22"/>
          <w:szCs w:val="22"/>
        </w:rPr>
        <w:t xml:space="preserve">the Commercial Building Disclosure </w:t>
      </w:r>
      <w:r w:rsidR="00BF39AC" w:rsidRPr="00300026">
        <w:rPr>
          <w:sz w:val="22"/>
          <w:szCs w:val="22"/>
        </w:rPr>
        <w:t xml:space="preserve">(CBD) </w:t>
      </w:r>
      <w:r w:rsidR="00DA5160" w:rsidRPr="00300026">
        <w:rPr>
          <w:sz w:val="22"/>
          <w:szCs w:val="22"/>
        </w:rPr>
        <w:t>Programme</w:t>
      </w:r>
      <w:r w:rsidR="00732369" w:rsidRPr="00300026">
        <w:rPr>
          <w:sz w:val="22"/>
          <w:szCs w:val="22"/>
        </w:rPr>
        <w:t>,</w:t>
      </w:r>
      <w:r w:rsidR="00AB5B8B" w:rsidRPr="00300026">
        <w:rPr>
          <w:sz w:val="22"/>
          <w:szCs w:val="22"/>
        </w:rPr>
        <w:t xml:space="preserve"> </w:t>
      </w:r>
      <w:r w:rsidR="00DA5160" w:rsidRPr="00300026">
        <w:rPr>
          <w:sz w:val="22"/>
          <w:szCs w:val="22"/>
        </w:rPr>
        <w:t xml:space="preserve">which requires the </w:t>
      </w:r>
      <w:r w:rsidR="00911CB6" w:rsidRPr="00300026">
        <w:rPr>
          <w:sz w:val="22"/>
          <w:szCs w:val="22"/>
        </w:rPr>
        <w:t xml:space="preserve">public </w:t>
      </w:r>
      <w:r w:rsidRPr="00300026">
        <w:rPr>
          <w:sz w:val="22"/>
          <w:szCs w:val="22"/>
        </w:rPr>
        <w:t>disclosure o</w:t>
      </w:r>
      <w:r w:rsidR="00911CB6" w:rsidRPr="00300026">
        <w:rPr>
          <w:sz w:val="22"/>
          <w:szCs w:val="22"/>
        </w:rPr>
        <w:t>f energy efficiency information relating to</w:t>
      </w:r>
      <w:r w:rsidRPr="00300026">
        <w:rPr>
          <w:sz w:val="22"/>
          <w:szCs w:val="22"/>
        </w:rPr>
        <w:t xml:space="preserve"> large</w:t>
      </w:r>
      <w:r w:rsidR="00922388" w:rsidRPr="00300026">
        <w:rPr>
          <w:sz w:val="22"/>
          <w:szCs w:val="22"/>
        </w:rPr>
        <w:t xml:space="preserve"> commercial</w:t>
      </w:r>
      <w:r w:rsidRPr="00300026">
        <w:rPr>
          <w:sz w:val="22"/>
          <w:szCs w:val="22"/>
        </w:rPr>
        <w:t xml:space="preserve"> office</w:t>
      </w:r>
      <w:r w:rsidR="00922388" w:rsidRPr="00300026">
        <w:rPr>
          <w:sz w:val="22"/>
          <w:szCs w:val="22"/>
        </w:rPr>
        <w:t xml:space="preserve"> space</w:t>
      </w:r>
      <w:r w:rsidRPr="00300026">
        <w:rPr>
          <w:sz w:val="22"/>
          <w:szCs w:val="22"/>
        </w:rPr>
        <w:t>s</w:t>
      </w:r>
      <w:r w:rsidR="00911CB6" w:rsidRPr="00300026">
        <w:rPr>
          <w:sz w:val="22"/>
          <w:szCs w:val="22"/>
        </w:rPr>
        <w:t>.  Th</w:t>
      </w:r>
      <w:r w:rsidR="007248F5" w:rsidRPr="00300026">
        <w:rPr>
          <w:sz w:val="22"/>
          <w:szCs w:val="22"/>
        </w:rPr>
        <w:t xml:space="preserve">e </w:t>
      </w:r>
      <w:r w:rsidR="00DA5160" w:rsidRPr="00300026">
        <w:rPr>
          <w:sz w:val="22"/>
          <w:szCs w:val="22"/>
        </w:rPr>
        <w:t xml:space="preserve">CBD Programme </w:t>
      </w:r>
      <w:r w:rsidR="00911CB6" w:rsidRPr="00300026">
        <w:rPr>
          <w:sz w:val="22"/>
          <w:szCs w:val="22"/>
        </w:rPr>
        <w:t>is intended to enable prospective purchasers and tenants to access consistent and accurate energy efficiency information about office spaces, to better inform sale and leasing decisions</w:t>
      </w:r>
      <w:r w:rsidR="00AB5B8B" w:rsidRPr="00300026">
        <w:rPr>
          <w:sz w:val="22"/>
          <w:szCs w:val="22"/>
        </w:rPr>
        <w:t xml:space="preserve">.  </w:t>
      </w:r>
    </w:p>
    <w:p w14:paraId="6BF9E26A" w14:textId="77777777" w:rsidR="00911CB6" w:rsidRPr="00300026" w:rsidRDefault="00911CB6" w:rsidP="00AB5B8B">
      <w:pPr>
        <w:rPr>
          <w:sz w:val="22"/>
          <w:szCs w:val="22"/>
        </w:rPr>
      </w:pPr>
    </w:p>
    <w:p w14:paraId="6C6FDAC4" w14:textId="77777777" w:rsidR="00911CB6" w:rsidRPr="00300026" w:rsidRDefault="00AB5B8B" w:rsidP="00AB5B8B">
      <w:pPr>
        <w:rPr>
          <w:sz w:val="22"/>
          <w:szCs w:val="22"/>
        </w:rPr>
      </w:pPr>
      <w:r w:rsidRPr="00300026">
        <w:rPr>
          <w:sz w:val="22"/>
          <w:szCs w:val="22"/>
        </w:rPr>
        <w:t>Sections 11, 12 and 15 of the Act</w:t>
      </w:r>
      <w:r w:rsidR="007248F5" w:rsidRPr="00300026">
        <w:rPr>
          <w:sz w:val="22"/>
          <w:szCs w:val="22"/>
        </w:rPr>
        <w:t xml:space="preserve"> impose disclosure obligations on certain </w:t>
      </w:r>
      <w:r w:rsidR="00BC6731" w:rsidRPr="00300026">
        <w:rPr>
          <w:sz w:val="22"/>
          <w:szCs w:val="22"/>
        </w:rPr>
        <w:t>owners and lessor</w:t>
      </w:r>
      <w:r w:rsidR="00911CB6" w:rsidRPr="00300026">
        <w:rPr>
          <w:sz w:val="22"/>
          <w:szCs w:val="22"/>
        </w:rPr>
        <w:t>s of 'disclosure affected buildings' and 'disclosure affected areas of buildings'</w:t>
      </w:r>
      <w:r w:rsidR="007D162D" w:rsidRPr="00300026">
        <w:rPr>
          <w:sz w:val="22"/>
          <w:szCs w:val="22"/>
        </w:rPr>
        <w:t xml:space="preserve">.  </w:t>
      </w:r>
      <w:r w:rsidR="00DA5160" w:rsidRPr="00300026">
        <w:rPr>
          <w:sz w:val="22"/>
          <w:szCs w:val="22"/>
        </w:rPr>
        <w:t>O</w:t>
      </w:r>
      <w:r w:rsidR="007D162D" w:rsidRPr="00300026">
        <w:rPr>
          <w:sz w:val="22"/>
          <w:szCs w:val="22"/>
        </w:rPr>
        <w:t>wner</w:t>
      </w:r>
      <w:r w:rsidR="00BC6731" w:rsidRPr="00300026">
        <w:rPr>
          <w:sz w:val="22"/>
          <w:szCs w:val="22"/>
        </w:rPr>
        <w:t>s and lessor</w:t>
      </w:r>
      <w:r w:rsidR="007248F5" w:rsidRPr="00300026">
        <w:rPr>
          <w:sz w:val="22"/>
          <w:szCs w:val="22"/>
        </w:rPr>
        <w:t>s</w:t>
      </w:r>
      <w:r w:rsidR="000713AF" w:rsidRPr="00300026">
        <w:rPr>
          <w:sz w:val="22"/>
          <w:szCs w:val="22"/>
        </w:rPr>
        <w:t xml:space="preserve"> of a disclosure affected building</w:t>
      </w:r>
      <w:r w:rsidR="007248F5" w:rsidRPr="00300026">
        <w:rPr>
          <w:sz w:val="22"/>
          <w:szCs w:val="22"/>
        </w:rPr>
        <w:t xml:space="preserve"> are required</w:t>
      </w:r>
      <w:r w:rsidR="00911CB6" w:rsidRPr="00300026">
        <w:rPr>
          <w:sz w:val="22"/>
          <w:szCs w:val="22"/>
        </w:rPr>
        <w:t xml:space="preserve"> to </w:t>
      </w:r>
      <w:r w:rsidRPr="00300026">
        <w:rPr>
          <w:sz w:val="22"/>
          <w:szCs w:val="22"/>
        </w:rPr>
        <w:t>disclos</w:t>
      </w:r>
      <w:r w:rsidR="00911CB6" w:rsidRPr="00300026">
        <w:rPr>
          <w:sz w:val="22"/>
          <w:szCs w:val="22"/>
        </w:rPr>
        <w:t xml:space="preserve">e </w:t>
      </w:r>
      <w:r w:rsidRPr="00300026">
        <w:rPr>
          <w:sz w:val="22"/>
          <w:szCs w:val="22"/>
        </w:rPr>
        <w:t>energy efficiency information to prospective purchasers and less</w:t>
      </w:r>
      <w:r w:rsidR="007D162D" w:rsidRPr="00300026">
        <w:rPr>
          <w:sz w:val="22"/>
          <w:szCs w:val="22"/>
        </w:rPr>
        <w:t>ees (including sublessee</w:t>
      </w:r>
      <w:r w:rsidR="007248F5" w:rsidRPr="00300026">
        <w:rPr>
          <w:sz w:val="22"/>
          <w:szCs w:val="22"/>
        </w:rPr>
        <w:t xml:space="preserve">s), </w:t>
      </w:r>
      <w:r w:rsidR="00911CB6" w:rsidRPr="00300026">
        <w:rPr>
          <w:sz w:val="22"/>
          <w:szCs w:val="22"/>
        </w:rPr>
        <w:t xml:space="preserve">by: </w:t>
      </w:r>
    </w:p>
    <w:p w14:paraId="1E8AB51F" w14:textId="77777777" w:rsidR="003E0156" w:rsidRPr="00300026" w:rsidRDefault="003E0156" w:rsidP="00300026">
      <w:pPr>
        <w:numPr>
          <w:ilvl w:val="0"/>
          <w:numId w:val="2"/>
        </w:numPr>
        <w:spacing w:after="120"/>
        <w:rPr>
          <w:sz w:val="22"/>
          <w:szCs w:val="22"/>
        </w:rPr>
      </w:pPr>
      <w:r w:rsidRPr="00300026">
        <w:rPr>
          <w:sz w:val="22"/>
          <w:szCs w:val="22"/>
        </w:rPr>
        <w:t xml:space="preserve">having a valid and current 'building energy efficiency certificate' </w:t>
      </w:r>
      <w:r w:rsidR="000713AF" w:rsidRPr="00300026">
        <w:rPr>
          <w:sz w:val="22"/>
          <w:szCs w:val="22"/>
        </w:rPr>
        <w:t xml:space="preserve">(BEEC) for the building or area of the building </w:t>
      </w:r>
      <w:r w:rsidRPr="00300026">
        <w:rPr>
          <w:sz w:val="22"/>
          <w:szCs w:val="22"/>
        </w:rPr>
        <w:t>registered on the Building Energy Efficiency Register at the time of offering a building (or area) for sale, lease or sublease; and</w:t>
      </w:r>
    </w:p>
    <w:p w14:paraId="4A5322F4" w14:textId="77777777" w:rsidR="000713AF" w:rsidRPr="00300026" w:rsidRDefault="000713AF" w:rsidP="00300026">
      <w:pPr>
        <w:numPr>
          <w:ilvl w:val="0"/>
          <w:numId w:val="2"/>
        </w:numPr>
        <w:ind w:left="777" w:hanging="357"/>
        <w:rPr>
          <w:sz w:val="22"/>
          <w:szCs w:val="22"/>
        </w:rPr>
      </w:pPr>
      <w:proofErr w:type="gramStart"/>
      <w:r w:rsidRPr="00300026">
        <w:rPr>
          <w:sz w:val="22"/>
          <w:szCs w:val="22"/>
        </w:rPr>
        <w:t>if</w:t>
      </w:r>
      <w:proofErr w:type="gramEnd"/>
      <w:r w:rsidRPr="00300026">
        <w:rPr>
          <w:sz w:val="22"/>
          <w:szCs w:val="22"/>
        </w:rPr>
        <w:t xml:space="preserve"> advertising the building for sale or lease, a rating expressed in a manner determined by the Secretary. </w:t>
      </w:r>
    </w:p>
    <w:p w14:paraId="7270C96C" w14:textId="77777777" w:rsidR="00E86AF3" w:rsidRPr="00300026" w:rsidRDefault="00E86AF3" w:rsidP="00E86AF3">
      <w:pPr>
        <w:ind w:left="780"/>
        <w:rPr>
          <w:sz w:val="22"/>
          <w:szCs w:val="22"/>
        </w:rPr>
      </w:pPr>
    </w:p>
    <w:p w14:paraId="6BEC2BD1" w14:textId="77777777" w:rsidR="00BF39AC" w:rsidRDefault="00BF39AC" w:rsidP="00BF39AC">
      <w:pPr>
        <w:rPr>
          <w:sz w:val="22"/>
          <w:szCs w:val="22"/>
        </w:rPr>
      </w:pPr>
      <w:r w:rsidRPr="00300026">
        <w:rPr>
          <w:sz w:val="22"/>
          <w:szCs w:val="22"/>
        </w:rPr>
        <w:t xml:space="preserve">The </w:t>
      </w:r>
      <w:r w:rsidRPr="00300026">
        <w:rPr>
          <w:i/>
          <w:sz w:val="22"/>
          <w:szCs w:val="22"/>
        </w:rPr>
        <w:t xml:space="preserve">Building Energy Efficiency Disclosure Regulations 2010 </w:t>
      </w:r>
      <w:r w:rsidRPr="00300026">
        <w:rPr>
          <w:sz w:val="22"/>
          <w:szCs w:val="22"/>
        </w:rPr>
        <w:t>(the Regulations) prescribe certain matters which are necessary or convenient for giving effect to the Act including, amongst other things:</w:t>
      </w:r>
    </w:p>
    <w:p w14:paraId="5E59ED3B" w14:textId="77777777" w:rsidR="00BF39AC" w:rsidRPr="00300026" w:rsidRDefault="00BF39AC" w:rsidP="00DD7378">
      <w:pPr>
        <w:numPr>
          <w:ilvl w:val="0"/>
          <w:numId w:val="2"/>
        </w:numPr>
        <w:ind w:left="777" w:hanging="357"/>
        <w:rPr>
          <w:sz w:val="22"/>
          <w:szCs w:val="22"/>
        </w:rPr>
      </w:pPr>
      <w:r w:rsidRPr="00300026">
        <w:rPr>
          <w:sz w:val="22"/>
          <w:szCs w:val="22"/>
        </w:rPr>
        <w:t>information that must be included in a BEEC; and</w:t>
      </w:r>
    </w:p>
    <w:p w14:paraId="3AEED776" w14:textId="77777777" w:rsidR="00BF39AC" w:rsidRPr="00300026" w:rsidRDefault="00BF39AC" w:rsidP="00BF39AC">
      <w:pPr>
        <w:numPr>
          <w:ilvl w:val="0"/>
          <w:numId w:val="2"/>
        </w:numPr>
        <w:spacing w:before="120"/>
        <w:ind w:left="777" w:hanging="357"/>
        <w:rPr>
          <w:sz w:val="22"/>
          <w:szCs w:val="22"/>
        </w:rPr>
      </w:pPr>
      <w:r w:rsidRPr="00300026">
        <w:rPr>
          <w:sz w:val="22"/>
          <w:szCs w:val="22"/>
        </w:rPr>
        <w:t xml:space="preserve">information that must be included in an application for exemption from a requirement that a person provide information in respect of, or access to, a building area. </w:t>
      </w:r>
    </w:p>
    <w:p w14:paraId="77CC9A56" w14:textId="77777777" w:rsidR="00BF39AC" w:rsidRPr="00300026" w:rsidRDefault="00BF39AC" w:rsidP="00BF39AC">
      <w:pPr>
        <w:pStyle w:val="ListParagraph"/>
        <w:rPr>
          <w:sz w:val="22"/>
          <w:szCs w:val="22"/>
        </w:rPr>
      </w:pPr>
    </w:p>
    <w:p w14:paraId="7F49D897" w14:textId="6DD8F71C" w:rsidR="00BF39AC" w:rsidRDefault="00B45871" w:rsidP="00922388">
      <w:pPr>
        <w:rPr>
          <w:sz w:val="22"/>
          <w:szCs w:val="22"/>
        </w:rPr>
      </w:pPr>
      <w:r w:rsidRPr="00300026">
        <w:rPr>
          <w:sz w:val="22"/>
          <w:szCs w:val="22"/>
        </w:rPr>
        <w:t xml:space="preserve">The Determination </w:t>
      </w:r>
      <w:r w:rsidR="004C409E" w:rsidRPr="00300026">
        <w:rPr>
          <w:sz w:val="22"/>
          <w:szCs w:val="22"/>
        </w:rPr>
        <w:t xml:space="preserve">is made under </w:t>
      </w:r>
      <w:r w:rsidRPr="00300026">
        <w:rPr>
          <w:sz w:val="22"/>
          <w:szCs w:val="22"/>
        </w:rPr>
        <w:t>sections 13,</w:t>
      </w:r>
      <w:r w:rsidR="00985B92" w:rsidRPr="00300026">
        <w:rPr>
          <w:sz w:val="22"/>
          <w:szCs w:val="22"/>
        </w:rPr>
        <w:t xml:space="preserve"> 13A, </w:t>
      </w:r>
      <w:r w:rsidRPr="00300026">
        <w:rPr>
          <w:sz w:val="22"/>
          <w:szCs w:val="22"/>
        </w:rPr>
        <w:t xml:space="preserve">15 and 21 of the Act.  </w:t>
      </w:r>
      <w:r w:rsidR="00BF39AC" w:rsidRPr="00300026">
        <w:rPr>
          <w:sz w:val="22"/>
          <w:szCs w:val="22"/>
        </w:rPr>
        <w:t xml:space="preserve">The </w:t>
      </w:r>
      <w:r w:rsidR="00BE16E9">
        <w:rPr>
          <w:sz w:val="22"/>
          <w:szCs w:val="22"/>
        </w:rPr>
        <w:t xml:space="preserve">Determination </w:t>
      </w:r>
      <w:r w:rsidR="00BF39AC" w:rsidRPr="00300026">
        <w:rPr>
          <w:sz w:val="22"/>
          <w:szCs w:val="22"/>
        </w:rPr>
        <w:t>specif</w:t>
      </w:r>
      <w:r w:rsidR="00BE16E9">
        <w:rPr>
          <w:sz w:val="22"/>
          <w:szCs w:val="22"/>
        </w:rPr>
        <w:t>ies</w:t>
      </w:r>
      <w:r w:rsidR="00BF39AC" w:rsidRPr="00300026">
        <w:rPr>
          <w:sz w:val="22"/>
          <w:szCs w:val="22"/>
        </w:rPr>
        <w:t xml:space="preserve">: </w:t>
      </w:r>
    </w:p>
    <w:p w14:paraId="4F0702BB" w14:textId="77777777" w:rsidR="00BF39AC" w:rsidRPr="00300026" w:rsidRDefault="00BF39AC" w:rsidP="00DD7378">
      <w:pPr>
        <w:pStyle w:val="ListParagraph"/>
        <w:numPr>
          <w:ilvl w:val="0"/>
          <w:numId w:val="27"/>
        </w:numPr>
        <w:spacing w:before="120" w:after="120"/>
        <w:ind w:left="714" w:hanging="357"/>
        <w:rPr>
          <w:sz w:val="22"/>
          <w:szCs w:val="22"/>
        </w:rPr>
      </w:pPr>
      <w:r w:rsidRPr="00300026">
        <w:rPr>
          <w:sz w:val="22"/>
          <w:szCs w:val="22"/>
        </w:rPr>
        <w:t>the manner in which energy efficiency ratings must be expressed in advertisements;</w:t>
      </w:r>
    </w:p>
    <w:p w14:paraId="5B008CBC" w14:textId="77777777" w:rsidR="00BF39AC" w:rsidRPr="00300026" w:rsidRDefault="00BF39AC" w:rsidP="00BF39AC">
      <w:pPr>
        <w:pStyle w:val="ListParagraph"/>
        <w:numPr>
          <w:ilvl w:val="0"/>
          <w:numId w:val="27"/>
        </w:numPr>
        <w:rPr>
          <w:sz w:val="22"/>
          <w:szCs w:val="22"/>
        </w:rPr>
      </w:pPr>
      <w:r w:rsidRPr="00300026">
        <w:rPr>
          <w:sz w:val="22"/>
          <w:szCs w:val="22"/>
        </w:rPr>
        <w:t>the assessment methods and standards to be applied in working out the energy efficiency rating for a building;</w:t>
      </w:r>
    </w:p>
    <w:p w14:paraId="3F23E91B" w14:textId="77777777" w:rsidR="00BF39AC" w:rsidRPr="00300026" w:rsidRDefault="00BF39AC" w:rsidP="00BF39AC">
      <w:pPr>
        <w:pStyle w:val="ListParagraph"/>
        <w:numPr>
          <w:ilvl w:val="0"/>
          <w:numId w:val="27"/>
        </w:numPr>
        <w:rPr>
          <w:sz w:val="22"/>
          <w:szCs w:val="22"/>
        </w:rPr>
      </w:pPr>
      <w:r w:rsidRPr="00300026">
        <w:rPr>
          <w:sz w:val="22"/>
          <w:szCs w:val="22"/>
        </w:rPr>
        <w:t xml:space="preserve">the assessment methods or standards to be applied in working out lighting energy efficiency for a building; and </w:t>
      </w:r>
    </w:p>
    <w:p w14:paraId="5FB27E5C" w14:textId="77777777" w:rsidR="00BF39AC" w:rsidRPr="00300026" w:rsidRDefault="00B330DD" w:rsidP="00BF39AC">
      <w:pPr>
        <w:pStyle w:val="ListParagraph"/>
        <w:numPr>
          <w:ilvl w:val="0"/>
          <w:numId w:val="27"/>
        </w:numPr>
        <w:rPr>
          <w:sz w:val="22"/>
          <w:szCs w:val="22"/>
        </w:rPr>
      </w:pPr>
      <w:proofErr w:type="gramStart"/>
      <w:r w:rsidRPr="00300026">
        <w:rPr>
          <w:sz w:val="22"/>
          <w:szCs w:val="22"/>
        </w:rPr>
        <w:t>information</w:t>
      </w:r>
      <w:proofErr w:type="gramEnd"/>
      <w:r w:rsidRPr="00300026">
        <w:rPr>
          <w:sz w:val="22"/>
          <w:szCs w:val="22"/>
        </w:rPr>
        <w:t xml:space="preserve"> to be set out in </w:t>
      </w:r>
      <w:r w:rsidR="00BF39AC" w:rsidRPr="00300026">
        <w:rPr>
          <w:sz w:val="22"/>
          <w:szCs w:val="22"/>
        </w:rPr>
        <w:t xml:space="preserve">a building energy efficiency certificate. </w:t>
      </w:r>
    </w:p>
    <w:p w14:paraId="5DA6692F" w14:textId="77777777" w:rsidR="00BF39AC" w:rsidRPr="00300026" w:rsidRDefault="00BF39AC" w:rsidP="00922388">
      <w:pPr>
        <w:rPr>
          <w:sz w:val="22"/>
          <w:szCs w:val="22"/>
        </w:rPr>
      </w:pPr>
    </w:p>
    <w:p w14:paraId="7969770D" w14:textId="758B05DE" w:rsidR="004C409E" w:rsidRPr="00300026" w:rsidRDefault="00F5255C" w:rsidP="00922388">
      <w:pPr>
        <w:rPr>
          <w:sz w:val="22"/>
          <w:szCs w:val="22"/>
        </w:rPr>
      </w:pPr>
      <w:r>
        <w:rPr>
          <w:sz w:val="22"/>
          <w:szCs w:val="22"/>
        </w:rPr>
        <w:t xml:space="preserve">The purpose of the Determination is to make minor technical amendments </w:t>
      </w:r>
      <w:r w:rsidRPr="00FD5187">
        <w:rPr>
          <w:sz w:val="22"/>
          <w:szCs w:val="22"/>
        </w:rPr>
        <w:t>to enable the incorporation of</w:t>
      </w:r>
      <w:r>
        <w:rPr>
          <w:sz w:val="22"/>
          <w:szCs w:val="22"/>
        </w:rPr>
        <w:t xml:space="preserve"> </w:t>
      </w:r>
      <w:r w:rsidRPr="00FD5187">
        <w:rPr>
          <w:sz w:val="22"/>
          <w:szCs w:val="22"/>
        </w:rPr>
        <w:t xml:space="preserve">the NABERS Energy rating </w:t>
      </w:r>
      <w:r w:rsidR="005C5BDC">
        <w:rPr>
          <w:sz w:val="22"/>
          <w:szCs w:val="22"/>
        </w:rPr>
        <w:t>rules</w:t>
      </w:r>
      <w:r w:rsidRPr="00FD5187">
        <w:rPr>
          <w:sz w:val="22"/>
          <w:szCs w:val="22"/>
        </w:rPr>
        <w:t xml:space="preserve"> for offices and the Commercial Building Disclosure (CBD) Tenancy Lighting Assessment</w:t>
      </w:r>
      <w:r>
        <w:rPr>
          <w:sz w:val="22"/>
          <w:szCs w:val="22"/>
        </w:rPr>
        <w:t xml:space="preserve"> (TLA)</w:t>
      </w:r>
      <w:r w:rsidRPr="00FD5187">
        <w:rPr>
          <w:sz w:val="22"/>
          <w:szCs w:val="22"/>
        </w:rPr>
        <w:t xml:space="preserve"> for Office</w:t>
      </w:r>
      <w:r w:rsidR="005C5BDC">
        <w:rPr>
          <w:sz w:val="22"/>
          <w:szCs w:val="22"/>
        </w:rPr>
        <w:t>s</w:t>
      </w:r>
      <w:r w:rsidRPr="00FD5187">
        <w:rPr>
          <w:sz w:val="22"/>
          <w:szCs w:val="22"/>
        </w:rPr>
        <w:t xml:space="preserve"> Rules, as in force from time to time.  </w:t>
      </w:r>
      <w:r w:rsidR="00442A18">
        <w:rPr>
          <w:sz w:val="22"/>
          <w:szCs w:val="22"/>
        </w:rPr>
        <w:t>I</w:t>
      </w:r>
      <w:r w:rsidRPr="00FD5187">
        <w:rPr>
          <w:sz w:val="22"/>
          <w:szCs w:val="22"/>
        </w:rPr>
        <w:t>ncorporating</w:t>
      </w:r>
      <w:r w:rsidR="00BE16E9">
        <w:rPr>
          <w:sz w:val="22"/>
          <w:szCs w:val="22"/>
        </w:rPr>
        <w:t xml:space="preserve"> documents that set out the relevant assessment methods and standards</w:t>
      </w:r>
      <w:r w:rsidR="00442A18">
        <w:rPr>
          <w:sz w:val="22"/>
          <w:szCs w:val="22"/>
        </w:rPr>
        <w:t xml:space="preserve"> for the purposes of subsection 21(1)</w:t>
      </w:r>
      <w:r w:rsidRPr="00FD5187">
        <w:rPr>
          <w:sz w:val="22"/>
          <w:szCs w:val="22"/>
        </w:rPr>
        <w:t xml:space="preserve"> by reference</w:t>
      </w:r>
      <w:r>
        <w:rPr>
          <w:sz w:val="22"/>
          <w:szCs w:val="22"/>
        </w:rPr>
        <w:t xml:space="preserve"> from time to time</w:t>
      </w:r>
      <w:r w:rsidRPr="00FD5187">
        <w:rPr>
          <w:sz w:val="22"/>
          <w:szCs w:val="22"/>
        </w:rPr>
        <w:t xml:space="preserve"> is authorised </w:t>
      </w:r>
      <w:r w:rsidR="00BE16E9">
        <w:rPr>
          <w:sz w:val="22"/>
          <w:szCs w:val="22"/>
        </w:rPr>
        <w:t>under</w:t>
      </w:r>
      <w:r w:rsidRPr="00FD5187">
        <w:rPr>
          <w:sz w:val="22"/>
          <w:szCs w:val="22"/>
        </w:rPr>
        <w:t xml:space="preserve"> subsection 21(2) of the Act</w:t>
      </w:r>
      <w:r>
        <w:rPr>
          <w:sz w:val="22"/>
          <w:szCs w:val="22"/>
        </w:rPr>
        <w:t xml:space="preserve">. </w:t>
      </w:r>
    </w:p>
    <w:p w14:paraId="0A4D2542" w14:textId="4D9CE72A" w:rsidR="006060A2" w:rsidRPr="00300026" w:rsidRDefault="006060A2" w:rsidP="00922388">
      <w:pPr>
        <w:rPr>
          <w:sz w:val="22"/>
          <w:szCs w:val="22"/>
        </w:rPr>
      </w:pPr>
    </w:p>
    <w:p w14:paraId="4C9AFA11" w14:textId="692B1626" w:rsidR="000713AF" w:rsidRDefault="00260C70" w:rsidP="004C409E">
      <w:pPr>
        <w:rPr>
          <w:sz w:val="22"/>
          <w:szCs w:val="22"/>
        </w:rPr>
      </w:pPr>
      <w:r w:rsidRPr="00300026">
        <w:rPr>
          <w:sz w:val="22"/>
          <w:szCs w:val="22"/>
        </w:rPr>
        <w:t xml:space="preserve">The Determination implements these amendments by repealing and replacing the </w:t>
      </w:r>
      <w:r w:rsidRPr="00300026">
        <w:rPr>
          <w:i/>
          <w:sz w:val="22"/>
          <w:szCs w:val="22"/>
        </w:rPr>
        <w:t>Buildings Energy Efficiency Disclosure Determination 201</w:t>
      </w:r>
      <w:r w:rsidR="00A552D0">
        <w:rPr>
          <w:i/>
          <w:sz w:val="22"/>
          <w:szCs w:val="22"/>
        </w:rPr>
        <w:t>5</w:t>
      </w:r>
      <w:r w:rsidRPr="00300026">
        <w:rPr>
          <w:sz w:val="22"/>
          <w:szCs w:val="22"/>
        </w:rPr>
        <w:t xml:space="preserve">.  </w:t>
      </w:r>
    </w:p>
    <w:p w14:paraId="1DCEBA66" w14:textId="77777777" w:rsidR="00BE16E9" w:rsidRDefault="00BE16E9" w:rsidP="004C409E">
      <w:pPr>
        <w:rPr>
          <w:sz w:val="22"/>
          <w:szCs w:val="22"/>
        </w:rPr>
      </w:pPr>
    </w:p>
    <w:p w14:paraId="6329EA29" w14:textId="77777777" w:rsidR="00BB098E" w:rsidRDefault="00BB098E" w:rsidP="00D34C67">
      <w:pPr>
        <w:rPr>
          <w:sz w:val="22"/>
          <w:szCs w:val="22"/>
        </w:rPr>
        <w:sectPr w:rsidR="00BB098E" w:rsidSect="001D216E">
          <w:headerReference w:type="default" r:id="rId8"/>
          <w:pgSz w:w="11906" w:h="16838"/>
          <w:pgMar w:top="1440" w:right="1800" w:bottom="1440" w:left="1800" w:header="708" w:footer="708" w:gutter="0"/>
          <w:cols w:space="708"/>
          <w:docGrid w:linePitch="360"/>
        </w:sectPr>
      </w:pPr>
    </w:p>
    <w:p w14:paraId="359A165A" w14:textId="50C40800" w:rsidR="00D34C67" w:rsidRPr="006576E6" w:rsidRDefault="00D34C67" w:rsidP="00D34C67">
      <w:pPr>
        <w:rPr>
          <w:b/>
        </w:rPr>
      </w:pPr>
      <w:r>
        <w:rPr>
          <w:b/>
        </w:rPr>
        <w:lastRenderedPageBreak/>
        <w:t>Consultation</w:t>
      </w:r>
    </w:p>
    <w:p w14:paraId="3B2E3A6D" w14:textId="3261B4DA" w:rsidR="00260C70" w:rsidRPr="00300026" w:rsidRDefault="00260C70" w:rsidP="00260C70">
      <w:pPr>
        <w:rPr>
          <w:i/>
          <w:sz w:val="22"/>
          <w:szCs w:val="22"/>
        </w:rPr>
      </w:pPr>
      <w:r w:rsidRPr="00300026">
        <w:rPr>
          <w:i/>
          <w:sz w:val="22"/>
          <w:szCs w:val="22"/>
        </w:rPr>
        <w:t xml:space="preserve"> </w:t>
      </w:r>
    </w:p>
    <w:p w14:paraId="25D54E1F" w14:textId="2673DF84" w:rsidR="00E86AF3" w:rsidRPr="000607DA" w:rsidRDefault="00E86AF3" w:rsidP="004C409E">
      <w:pPr>
        <w:rPr>
          <w:sz w:val="22"/>
          <w:szCs w:val="22"/>
          <w:highlight w:val="yellow"/>
        </w:rPr>
      </w:pPr>
      <w:r w:rsidRPr="000607DA">
        <w:rPr>
          <w:sz w:val="22"/>
          <w:szCs w:val="22"/>
        </w:rPr>
        <w:t xml:space="preserve">Consultation was considered unnecessary because the purpose of the Determination is to </w:t>
      </w:r>
      <w:r w:rsidR="0092320D" w:rsidRPr="000607DA">
        <w:rPr>
          <w:sz w:val="22"/>
          <w:szCs w:val="22"/>
        </w:rPr>
        <w:t>make minor technical amendments</w:t>
      </w:r>
      <w:r w:rsidR="00D34C67" w:rsidRPr="000607DA">
        <w:rPr>
          <w:sz w:val="22"/>
          <w:szCs w:val="22"/>
        </w:rPr>
        <w:t xml:space="preserve"> to enable</w:t>
      </w:r>
      <w:r w:rsidR="00F5255C" w:rsidRPr="000607DA">
        <w:rPr>
          <w:sz w:val="22"/>
          <w:szCs w:val="22"/>
        </w:rPr>
        <w:t xml:space="preserve"> the incorporation of</w:t>
      </w:r>
      <w:r w:rsidR="00F5255C">
        <w:rPr>
          <w:sz w:val="22"/>
          <w:szCs w:val="22"/>
        </w:rPr>
        <w:t xml:space="preserve"> </w:t>
      </w:r>
      <w:r w:rsidR="00BE16E9">
        <w:rPr>
          <w:sz w:val="22"/>
          <w:szCs w:val="22"/>
        </w:rPr>
        <w:t xml:space="preserve">documents that set out the relevant assessment methods and standards </w:t>
      </w:r>
      <w:r w:rsidR="00F5255C">
        <w:rPr>
          <w:sz w:val="22"/>
          <w:szCs w:val="22"/>
        </w:rPr>
        <w:t xml:space="preserve">determined under section 21 of the Act from time to time. </w:t>
      </w:r>
      <w:r w:rsidRPr="000607DA">
        <w:rPr>
          <w:sz w:val="22"/>
          <w:szCs w:val="22"/>
        </w:rPr>
        <w:t>The changes do not substantially alter existing arrangements.</w:t>
      </w:r>
      <w:r w:rsidR="0092320D" w:rsidRPr="000607DA">
        <w:rPr>
          <w:sz w:val="22"/>
          <w:szCs w:val="22"/>
        </w:rPr>
        <w:t xml:space="preserve"> </w:t>
      </w:r>
    </w:p>
    <w:p w14:paraId="0322D135" w14:textId="77777777" w:rsidR="00732369" w:rsidRPr="00300026" w:rsidRDefault="00732369" w:rsidP="004C409E">
      <w:pPr>
        <w:rPr>
          <w:sz w:val="22"/>
          <w:szCs w:val="22"/>
          <w:highlight w:val="yellow"/>
        </w:rPr>
      </w:pPr>
    </w:p>
    <w:p w14:paraId="69C09ED7" w14:textId="77777777" w:rsidR="00DF3AFA" w:rsidRPr="00300026" w:rsidRDefault="00DF3AFA" w:rsidP="004C409E">
      <w:pPr>
        <w:rPr>
          <w:sz w:val="22"/>
          <w:szCs w:val="22"/>
          <w:highlight w:val="yellow"/>
        </w:rPr>
      </w:pPr>
    </w:p>
    <w:p w14:paraId="1D9A8DFA" w14:textId="77777777" w:rsidR="003211B7" w:rsidRPr="00300026" w:rsidRDefault="003211B7" w:rsidP="00922388">
      <w:pPr>
        <w:rPr>
          <w:i/>
          <w:sz w:val="22"/>
          <w:szCs w:val="22"/>
        </w:rPr>
      </w:pPr>
    </w:p>
    <w:p w14:paraId="4D458191" w14:textId="77777777" w:rsidR="001A70EE" w:rsidRPr="00300026" w:rsidRDefault="001A70EE">
      <w:pPr>
        <w:rPr>
          <w:b/>
          <w:sz w:val="22"/>
          <w:szCs w:val="22"/>
          <w:u w:val="single"/>
        </w:rPr>
      </w:pPr>
      <w:r w:rsidRPr="00300026">
        <w:rPr>
          <w:b/>
          <w:sz w:val="22"/>
          <w:szCs w:val="22"/>
          <w:u w:val="single"/>
        </w:rPr>
        <w:br w:type="page"/>
      </w:r>
    </w:p>
    <w:p w14:paraId="2A2E1E14" w14:textId="458EC2FA" w:rsidR="0008022D" w:rsidRPr="00300026" w:rsidRDefault="00BB098E" w:rsidP="00922388">
      <w:pPr>
        <w:rPr>
          <w:b/>
          <w:i/>
          <w:szCs w:val="22"/>
        </w:rPr>
      </w:pPr>
      <w:r w:rsidRPr="00354893">
        <w:rPr>
          <w:b/>
          <w:u w:val="single"/>
        </w:rPr>
        <w:lastRenderedPageBreak/>
        <w:t>Detail</w:t>
      </w:r>
      <w:r>
        <w:rPr>
          <w:b/>
          <w:u w:val="single"/>
        </w:rPr>
        <w:t xml:space="preserve">ed description of provisions in the </w:t>
      </w:r>
      <w:r w:rsidRPr="00354893">
        <w:rPr>
          <w:b/>
          <w:i/>
          <w:u w:val="single"/>
        </w:rPr>
        <w:t xml:space="preserve">Building Energy Efficiency Disclosure Determination 2016 </w:t>
      </w:r>
    </w:p>
    <w:p w14:paraId="4644B4B1" w14:textId="77777777" w:rsidR="007F23F9" w:rsidRPr="00300026" w:rsidRDefault="007F23F9" w:rsidP="00922388">
      <w:pPr>
        <w:rPr>
          <w:b/>
          <w:i/>
          <w:szCs w:val="22"/>
        </w:rPr>
      </w:pPr>
    </w:p>
    <w:p w14:paraId="54D4B275" w14:textId="77777777" w:rsidR="0008022D" w:rsidRPr="00300026" w:rsidRDefault="0008022D" w:rsidP="00922388">
      <w:pPr>
        <w:rPr>
          <w:b/>
          <w:szCs w:val="22"/>
        </w:rPr>
      </w:pPr>
      <w:r w:rsidRPr="00300026">
        <w:rPr>
          <w:b/>
          <w:szCs w:val="22"/>
        </w:rPr>
        <w:t xml:space="preserve">Clause 1 - Name of Determination </w:t>
      </w:r>
    </w:p>
    <w:p w14:paraId="7ECF0944" w14:textId="77777777" w:rsidR="0008022D" w:rsidRPr="00300026" w:rsidRDefault="0008022D" w:rsidP="00FD1601">
      <w:pPr>
        <w:rPr>
          <w:sz w:val="22"/>
          <w:szCs w:val="22"/>
          <w:u w:val="single"/>
        </w:rPr>
      </w:pPr>
    </w:p>
    <w:p w14:paraId="67A382F1" w14:textId="10DAC292" w:rsidR="0008022D" w:rsidRPr="00300026" w:rsidRDefault="0008022D" w:rsidP="00FD1601">
      <w:pPr>
        <w:rPr>
          <w:sz w:val="22"/>
          <w:szCs w:val="22"/>
        </w:rPr>
      </w:pPr>
      <w:r w:rsidRPr="00300026">
        <w:rPr>
          <w:sz w:val="22"/>
          <w:szCs w:val="22"/>
        </w:rPr>
        <w:t>This is a formal clause setting out the name of the Determination</w:t>
      </w:r>
      <w:r w:rsidR="000607DA">
        <w:rPr>
          <w:sz w:val="22"/>
          <w:szCs w:val="22"/>
        </w:rPr>
        <w:t xml:space="preserve"> as the </w:t>
      </w:r>
      <w:r w:rsidR="000607DA" w:rsidRPr="00DD7378">
        <w:rPr>
          <w:i/>
          <w:sz w:val="22"/>
          <w:szCs w:val="22"/>
        </w:rPr>
        <w:t>Building Energy Efficiency Disclosure Determination 2016</w:t>
      </w:r>
      <w:r w:rsidR="000607DA" w:rsidRPr="000607DA">
        <w:rPr>
          <w:sz w:val="22"/>
          <w:szCs w:val="22"/>
        </w:rPr>
        <w:t>.</w:t>
      </w:r>
    </w:p>
    <w:p w14:paraId="06E34087" w14:textId="77777777" w:rsidR="0008022D" w:rsidRPr="00300026" w:rsidRDefault="0008022D" w:rsidP="00FD1601">
      <w:pPr>
        <w:rPr>
          <w:sz w:val="22"/>
          <w:szCs w:val="22"/>
        </w:rPr>
      </w:pPr>
    </w:p>
    <w:p w14:paraId="572F40E0" w14:textId="77777777" w:rsidR="0008022D" w:rsidRPr="00300026" w:rsidRDefault="0008022D" w:rsidP="00FD1601">
      <w:pPr>
        <w:rPr>
          <w:b/>
          <w:szCs w:val="22"/>
        </w:rPr>
      </w:pPr>
      <w:r w:rsidRPr="00300026">
        <w:rPr>
          <w:b/>
          <w:szCs w:val="22"/>
        </w:rPr>
        <w:t xml:space="preserve">Clause 2 - Commencement </w:t>
      </w:r>
    </w:p>
    <w:p w14:paraId="4AD8B64E" w14:textId="77777777" w:rsidR="0008022D" w:rsidRPr="00300026" w:rsidRDefault="0008022D" w:rsidP="00FD1601">
      <w:pPr>
        <w:rPr>
          <w:sz w:val="22"/>
          <w:szCs w:val="22"/>
          <w:u w:val="single"/>
        </w:rPr>
      </w:pPr>
    </w:p>
    <w:p w14:paraId="6AD63BD9" w14:textId="37C2E666" w:rsidR="000607DA" w:rsidRPr="00D84669" w:rsidRDefault="00D03D50" w:rsidP="000607DA">
      <w:pPr>
        <w:rPr>
          <w:sz w:val="22"/>
          <w:szCs w:val="22"/>
        </w:rPr>
      </w:pPr>
      <w:r w:rsidRPr="00300026">
        <w:rPr>
          <w:sz w:val="22"/>
          <w:szCs w:val="22"/>
        </w:rPr>
        <w:t>This provision</w:t>
      </w:r>
      <w:r w:rsidR="00FD1601" w:rsidRPr="00300026">
        <w:rPr>
          <w:sz w:val="22"/>
          <w:szCs w:val="22"/>
        </w:rPr>
        <w:t xml:space="preserve"> </w:t>
      </w:r>
      <w:r w:rsidR="000607DA">
        <w:rPr>
          <w:sz w:val="22"/>
          <w:szCs w:val="22"/>
        </w:rPr>
        <w:t xml:space="preserve">sets out the commencement arrangements for the </w:t>
      </w:r>
      <w:r w:rsidR="000607DA" w:rsidRPr="00D84669">
        <w:rPr>
          <w:sz w:val="22"/>
          <w:szCs w:val="22"/>
        </w:rPr>
        <w:t xml:space="preserve">Determination. </w:t>
      </w:r>
    </w:p>
    <w:p w14:paraId="2218CDE1" w14:textId="77777777" w:rsidR="00A72340" w:rsidRPr="00300026" w:rsidRDefault="00A72340" w:rsidP="00FD1601">
      <w:pPr>
        <w:rPr>
          <w:sz w:val="22"/>
          <w:szCs w:val="22"/>
        </w:rPr>
      </w:pPr>
    </w:p>
    <w:p w14:paraId="2C9EE9C3" w14:textId="77777777" w:rsidR="00FD1601" w:rsidRPr="00300026" w:rsidRDefault="00FD1601" w:rsidP="00FD1601">
      <w:pPr>
        <w:rPr>
          <w:b/>
          <w:szCs w:val="22"/>
        </w:rPr>
      </w:pPr>
      <w:r w:rsidRPr="00300026">
        <w:rPr>
          <w:b/>
          <w:szCs w:val="22"/>
        </w:rPr>
        <w:t>Clause 3 - Repeal</w:t>
      </w:r>
    </w:p>
    <w:p w14:paraId="677A9A15" w14:textId="77777777" w:rsidR="00FD1601" w:rsidRPr="00300026" w:rsidRDefault="00FD1601" w:rsidP="00FD1601">
      <w:pPr>
        <w:rPr>
          <w:sz w:val="22"/>
          <w:szCs w:val="22"/>
        </w:rPr>
      </w:pPr>
    </w:p>
    <w:p w14:paraId="6575F2F7" w14:textId="7FC93466" w:rsidR="00FD1601" w:rsidRPr="00300026" w:rsidRDefault="00FD1601" w:rsidP="00FD1601">
      <w:pPr>
        <w:rPr>
          <w:sz w:val="22"/>
          <w:szCs w:val="22"/>
        </w:rPr>
      </w:pPr>
      <w:r w:rsidRPr="00300026">
        <w:rPr>
          <w:sz w:val="22"/>
          <w:szCs w:val="22"/>
        </w:rPr>
        <w:t>This</w:t>
      </w:r>
      <w:r w:rsidR="000607DA">
        <w:rPr>
          <w:sz w:val="22"/>
          <w:szCs w:val="22"/>
        </w:rPr>
        <w:t xml:space="preserve"> provision</w:t>
      </w:r>
      <w:r w:rsidRPr="00300026">
        <w:rPr>
          <w:sz w:val="22"/>
          <w:szCs w:val="22"/>
        </w:rPr>
        <w:t xml:space="preserve"> repeals the previous Determination, the </w:t>
      </w:r>
      <w:r w:rsidRPr="00300026">
        <w:rPr>
          <w:i/>
          <w:iCs/>
          <w:sz w:val="22"/>
          <w:szCs w:val="22"/>
        </w:rPr>
        <w:t>Building Energy Efficien</w:t>
      </w:r>
      <w:r w:rsidR="00F33FCD" w:rsidRPr="00300026">
        <w:rPr>
          <w:i/>
          <w:iCs/>
          <w:sz w:val="22"/>
          <w:szCs w:val="22"/>
        </w:rPr>
        <w:t>cy Disclosure Determination 201</w:t>
      </w:r>
      <w:r w:rsidR="00A552D0">
        <w:rPr>
          <w:i/>
          <w:iCs/>
          <w:sz w:val="22"/>
          <w:szCs w:val="22"/>
        </w:rPr>
        <w:t>5</w:t>
      </w:r>
      <w:r w:rsidRPr="00300026">
        <w:rPr>
          <w:i/>
          <w:iCs/>
          <w:sz w:val="22"/>
          <w:szCs w:val="22"/>
        </w:rPr>
        <w:t>.</w:t>
      </w:r>
    </w:p>
    <w:p w14:paraId="78F6D7AD" w14:textId="77777777" w:rsidR="00FD1601" w:rsidRPr="00300026" w:rsidRDefault="00FD1601" w:rsidP="00FD1601">
      <w:pPr>
        <w:rPr>
          <w:sz w:val="22"/>
          <w:szCs w:val="22"/>
        </w:rPr>
      </w:pPr>
    </w:p>
    <w:p w14:paraId="30BD01E8" w14:textId="77777777" w:rsidR="0008022D" w:rsidRPr="00300026" w:rsidRDefault="0008022D" w:rsidP="00FD1601">
      <w:pPr>
        <w:rPr>
          <w:b/>
          <w:szCs w:val="22"/>
        </w:rPr>
      </w:pPr>
      <w:r w:rsidRPr="00300026">
        <w:rPr>
          <w:b/>
          <w:szCs w:val="22"/>
        </w:rPr>
        <w:t xml:space="preserve">Clause </w:t>
      </w:r>
      <w:r w:rsidR="009559D8" w:rsidRPr="00300026">
        <w:rPr>
          <w:b/>
          <w:szCs w:val="22"/>
        </w:rPr>
        <w:t>4</w:t>
      </w:r>
      <w:r w:rsidRPr="00300026">
        <w:rPr>
          <w:b/>
          <w:szCs w:val="22"/>
        </w:rPr>
        <w:t xml:space="preserve"> - Definitions</w:t>
      </w:r>
    </w:p>
    <w:p w14:paraId="5DFEF713" w14:textId="77777777" w:rsidR="0008022D" w:rsidRPr="00300026" w:rsidRDefault="0008022D" w:rsidP="00922388">
      <w:pPr>
        <w:rPr>
          <w:sz w:val="22"/>
          <w:szCs w:val="22"/>
          <w:u w:val="single"/>
        </w:rPr>
      </w:pPr>
    </w:p>
    <w:p w14:paraId="3DE5A232" w14:textId="32083443" w:rsidR="00322765" w:rsidRPr="00300026" w:rsidRDefault="00D03D50" w:rsidP="00922388">
      <w:pPr>
        <w:rPr>
          <w:sz w:val="22"/>
          <w:szCs w:val="22"/>
        </w:rPr>
      </w:pPr>
      <w:r w:rsidRPr="00300026">
        <w:rPr>
          <w:sz w:val="22"/>
          <w:szCs w:val="22"/>
        </w:rPr>
        <w:t>These provisions specify</w:t>
      </w:r>
      <w:r w:rsidR="0008022D" w:rsidRPr="00300026">
        <w:rPr>
          <w:sz w:val="22"/>
          <w:szCs w:val="22"/>
        </w:rPr>
        <w:t xml:space="preserve"> the meaning of a number of t</w:t>
      </w:r>
      <w:r w:rsidR="00ED0B3F" w:rsidRPr="00300026">
        <w:rPr>
          <w:sz w:val="22"/>
          <w:szCs w:val="22"/>
        </w:rPr>
        <w:t xml:space="preserve">erms used in the Determination, the majority of which are relevant to the methods and standards determined under section 21 of the Act (see clause </w:t>
      </w:r>
      <w:r w:rsidR="00FF2CE4" w:rsidRPr="00300026">
        <w:rPr>
          <w:sz w:val="22"/>
          <w:szCs w:val="22"/>
        </w:rPr>
        <w:t>6</w:t>
      </w:r>
      <w:r w:rsidR="008E0B0A" w:rsidRPr="00300026">
        <w:rPr>
          <w:sz w:val="22"/>
          <w:szCs w:val="22"/>
        </w:rPr>
        <w:t>)</w:t>
      </w:r>
      <w:r w:rsidR="00760971" w:rsidRPr="00300026">
        <w:rPr>
          <w:sz w:val="22"/>
          <w:szCs w:val="22"/>
        </w:rPr>
        <w:t xml:space="preserve">. </w:t>
      </w:r>
    </w:p>
    <w:p w14:paraId="2D8C34DA" w14:textId="77777777" w:rsidR="00760971" w:rsidRPr="00300026" w:rsidRDefault="00760971" w:rsidP="006276BB">
      <w:pPr>
        <w:rPr>
          <w:sz w:val="22"/>
          <w:szCs w:val="22"/>
        </w:rPr>
      </w:pPr>
    </w:p>
    <w:p w14:paraId="76D45D1E" w14:textId="77777777" w:rsidR="001A2A6F" w:rsidRPr="00300026" w:rsidRDefault="001A2A6F" w:rsidP="006276BB">
      <w:pPr>
        <w:rPr>
          <w:b/>
          <w:szCs w:val="22"/>
        </w:rPr>
      </w:pPr>
      <w:r w:rsidRPr="00300026">
        <w:rPr>
          <w:b/>
          <w:szCs w:val="22"/>
        </w:rPr>
        <w:t xml:space="preserve">Clause </w:t>
      </w:r>
      <w:r w:rsidR="00FF2CE4" w:rsidRPr="00300026">
        <w:rPr>
          <w:b/>
          <w:szCs w:val="22"/>
        </w:rPr>
        <w:t>5</w:t>
      </w:r>
      <w:r w:rsidRPr="00300026">
        <w:rPr>
          <w:b/>
          <w:szCs w:val="22"/>
        </w:rPr>
        <w:t xml:space="preserve"> - Advertisements </w:t>
      </w:r>
    </w:p>
    <w:p w14:paraId="4C054481" w14:textId="77777777" w:rsidR="001A2A6F" w:rsidRPr="00300026" w:rsidRDefault="001A2A6F" w:rsidP="006276BB">
      <w:pPr>
        <w:rPr>
          <w:sz w:val="22"/>
          <w:szCs w:val="22"/>
          <w:u w:val="single"/>
        </w:rPr>
      </w:pPr>
    </w:p>
    <w:p w14:paraId="0121E567" w14:textId="7FA05D9A" w:rsidR="001A2A6F" w:rsidRPr="00300026" w:rsidRDefault="00D03D50" w:rsidP="006276BB">
      <w:pPr>
        <w:rPr>
          <w:sz w:val="22"/>
          <w:szCs w:val="22"/>
        </w:rPr>
      </w:pPr>
      <w:r w:rsidRPr="00300026">
        <w:rPr>
          <w:sz w:val="22"/>
          <w:szCs w:val="22"/>
        </w:rPr>
        <w:t>These sections set</w:t>
      </w:r>
      <w:r w:rsidR="001A2A6F" w:rsidRPr="00300026">
        <w:rPr>
          <w:sz w:val="22"/>
          <w:szCs w:val="22"/>
        </w:rPr>
        <w:t xml:space="preserve"> out the manner in which an energy efficiency rating must be expressed in an advertisement in order to comply with the disclosure obligations in section 15 of the Act.</w:t>
      </w:r>
      <w:r w:rsidR="00AF079B">
        <w:rPr>
          <w:sz w:val="22"/>
          <w:szCs w:val="22"/>
        </w:rPr>
        <w:t xml:space="preserve"> </w:t>
      </w:r>
      <w:r w:rsidR="001A2A6F" w:rsidRPr="00300026">
        <w:rPr>
          <w:sz w:val="22"/>
          <w:szCs w:val="22"/>
        </w:rPr>
        <w:t xml:space="preserve">  </w:t>
      </w:r>
    </w:p>
    <w:p w14:paraId="0C6A6069" w14:textId="77777777" w:rsidR="001A2A6F" w:rsidRPr="00300026" w:rsidRDefault="001A2A6F" w:rsidP="006276BB">
      <w:pPr>
        <w:rPr>
          <w:sz w:val="22"/>
          <w:szCs w:val="22"/>
        </w:rPr>
      </w:pPr>
    </w:p>
    <w:p w14:paraId="68015444" w14:textId="77777777" w:rsidR="002A4850" w:rsidRPr="00300026" w:rsidRDefault="001A2A6F" w:rsidP="006276BB">
      <w:pPr>
        <w:rPr>
          <w:sz w:val="22"/>
          <w:szCs w:val="22"/>
        </w:rPr>
      </w:pPr>
      <w:r w:rsidRPr="00300026">
        <w:rPr>
          <w:sz w:val="22"/>
          <w:szCs w:val="22"/>
        </w:rPr>
        <w:t>The energy efficien</w:t>
      </w:r>
      <w:r w:rsidR="002A4850" w:rsidRPr="00300026">
        <w:rPr>
          <w:sz w:val="22"/>
          <w:szCs w:val="22"/>
        </w:rPr>
        <w:t xml:space="preserve">cy rating that is contained in the relevant BEEC (which will be either a whole number or a half-number, for example 3 or 3.5) must be expressed in the advertisement followed by the text </w:t>
      </w:r>
      <w:r w:rsidR="00D768C5">
        <w:rPr>
          <w:sz w:val="22"/>
          <w:szCs w:val="22"/>
        </w:rPr>
        <w:t>‘</w:t>
      </w:r>
      <w:r w:rsidR="002A4850" w:rsidRPr="00300026">
        <w:rPr>
          <w:sz w:val="22"/>
          <w:szCs w:val="22"/>
        </w:rPr>
        <w:t>-star NABERS Energy rating</w:t>
      </w:r>
      <w:r w:rsidR="00D768C5">
        <w:rPr>
          <w:sz w:val="22"/>
          <w:szCs w:val="22"/>
        </w:rPr>
        <w:t>’</w:t>
      </w:r>
      <w:r w:rsidR="002A4850" w:rsidRPr="00300026">
        <w:rPr>
          <w:sz w:val="22"/>
          <w:szCs w:val="22"/>
        </w:rPr>
        <w:t xml:space="preserve">, for example: </w:t>
      </w:r>
    </w:p>
    <w:p w14:paraId="160A9BEB" w14:textId="77777777" w:rsidR="00BC6731" w:rsidRPr="00300026" w:rsidRDefault="00BC6731" w:rsidP="006276BB">
      <w:pPr>
        <w:rPr>
          <w:sz w:val="22"/>
          <w:szCs w:val="22"/>
        </w:rPr>
      </w:pPr>
    </w:p>
    <w:p w14:paraId="300C550C" w14:textId="77777777" w:rsidR="002A4850" w:rsidRPr="00300026" w:rsidRDefault="002A4850" w:rsidP="002A4850">
      <w:pPr>
        <w:numPr>
          <w:ilvl w:val="0"/>
          <w:numId w:val="11"/>
        </w:numPr>
        <w:rPr>
          <w:sz w:val="22"/>
          <w:szCs w:val="22"/>
        </w:rPr>
      </w:pPr>
      <w:r w:rsidRPr="00300026">
        <w:rPr>
          <w:sz w:val="22"/>
          <w:szCs w:val="22"/>
        </w:rPr>
        <w:t xml:space="preserve">3-star NABERS Energy rating; or </w:t>
      </w:r>
    </w:p>
    <w:p w14:paraId="64277C8F" w14:textId="77777777" w:rsidR="001A2A6F" w:rsidRPr="00300026" w:rsidRDefault="002A4850" w:rsidP="002A4850">
      <w:pPr>
        <w:numPr>
          <w:ilvl w:val="0"/>
          <w:numId w:val="11"/>
        </w:numPr>
        <w:rPr>
          <w:sz w:val="22"/>
          <w:szCs w:val="22"/>
        </w:rPr>
      </w:pPr>
      <w:r w:rsidRPr="00300026">
        <w:rPr>
          <w:sz w:val="22"/>
          <w:szCs w:val="22"/>
        </w:rPr>
        <w:t xml:space="preserve">3.5-star NABERS Energy rating. </w:t>
      </w:r>
      <w:r w:rsidR="001A2A6F" w:rsidRPr="00300026">
        <w:rPr>
          <w:sz w:val="22"/>
          <w:szCs w:val="22"/>
        </w:rPr>
        <w:t xml:space="preserve">  </w:t>
      </w:r>
    </w:p>
    <w:p w14:paraId="59E25390" w14:textId="77777777" w:rsidR="001A2A6F" w:rsidRPr="00300026" w:rsidRDefault="001A2A6F" w:rsidP="006276BB">
      <w:pPr>
        <w:rPr>
          <w:sz w:val="22"/>
          <w:szCs w:val="22"/>
        </w:rPr>
      </w:pPr>
    </w:p>
    <w:p w14:paraId="66A7BDEF" w14:textId="46A4A8D4" w:rsidR="008C134B" w:rsidRPr="00300026" w:rsidRDefault="001A2A6F" w:rsidP="006276BB">
      <w:pPr>
        <w:rPr>
          <w:sz w:val="22"/>
          <w:szCs w:val="22"/>
        </w:rPr>
      </w:pPr>
      <w:r w:rsidRPr="00300026">
        <w:rPr>
          <w:sz w:val="22"/>
          <w:szCs w:val="22"/>
        </w:rPr>
        <w:t xml:space="preserve">The rating must be prominently displayed </w:t>
      </w:r>
      <w:r w:rsidR="008C134B" w:rsidRPr="00300026">
        <w:rPr>
          <w:sz w:val="22"/>
          <w:szCs w:val="22"/>
        </w:rPr>
        <w:t>on each separate advertisement</w:t>
      </w:r>
      <w:r w:rsidRPr="00300026">
        <w:rPr>
          <w:sz w:val="22"/>
          <w:szCs w:val="22"/>
        </w:rPr>
        <w:t xml:space="preserve"> </w:t>
      </w:r>
      <w:r w:rsidR="00EB3C11">
        <w:rPr>
          <w:sz w:val="22"/>
          <w:szCs w:val="22"/>
        </w:rPr>
        <w:t xml:space="preserve">piece, </w:t>
      </w:r>
      <w:r w:rsidRPr="00300026">
        <w:rPr>
          <w:sz w:val="22"/>
          <w:szCs w:val="22"/>
        </w:rPr>
        <w:t xml:space="preserve">so that it is clearly visible, using font that is the same size or larger than the majority of the other text contained in the advertisement. </w:t>
      </w:r>
    </w:p>
    <w:p w14:paraId="4C2E7681" w14:textId="77777777" w:rsidR="00BE78AD" w:rsidRPr="00300026" w:rsidRDefault="00BE78AD" w:rsidP="006276BB">
      <w:pPr>
        <w:rPr>
          <w:b/>
          <w:sz w:val="22"/>
          <w:szCs w:val="22"/>
        </w:rPr>
      </w:pPr>
    </w:p>
    <w:p w14:paraId="2D85164B" w14:textId="77777777" w:rsidR="001A2A6F" w:rsidRPr="00300026" w:rsidRDefault="001A2A6F" w:rsidP="006276BB">
      <w:pPr>
        <w:rPr>
          <w:b/>
          <w:szCs w:val="22"/>
        </w:rPr>
      </w:pPr>
      <w:r w:rsidRPr="00300026">
        <w:rPr>
          <w:b/>
          <w:szCs w:val="22"/>
        </w:rPr>
        <w:t xml:space="preserve">Clause </w:t>
      </w:r>
      <w:r w:rsidR="00FF2CE4" w:rsidRPr="00300026">
        <w:rPr>
          <w:b/>
          <w:szCs w:val="22"/>
        </w:rPr>
        <w:t>6</w:t>
      </w:r>
      <w:r w:rsidR="009559D8" w:rsidRPr="00300026">
        <w:rPr>
          <w:b/>
          <w:szCs w:val="22"/>
        </w:rPr>
        <w:t xml:space="preserve"> </w:t>
      </w:r>
      <w:r w:rsidRPr="00300026">
        <w:rPr>
          <w:b/>
          <w:szCs w:val="22"/>
        </w:rPr>
        <w:t>- Methods and standards of assessment: energy ratings</w:t>
      </w:r>
    </w:p>
    <w:p w14:paraId="65B51682" w14:textId="77777777" w:rsidR="00785194" w:rsidRPr="00300026" w:rsidRDefault="00785194" w:rsidP="006276BB">
      <w:pPr>
        <w:rPr>
          <w:sz w:val="22"/>
          <w:szCs w:val="22"/>
          <w:u w:val="single"/>
        </w:rPr>
      </w:pPr>
    </w:p>
    <w:p w14:paraId="6F2D5C34" w14:textId="33518A51" w:rsidR="007B622A" w:rsidRPr="00300026" w:rsidRDefault="00550E30" w:rsidP="00785194">
      <w:pPr>
        <w:rPr>
          <w:sz w:val="22"/>
          <w:szCs w:val="22"/>
        </w:rPr>
      </w:pPr>
      <w:r w:rsidRPr="00300026">
        <w:rPr>
          <w:sz w:val="22"/>
          <w:szCs w:val="22"/>
        </w:rPr>
        <w:t>Subc</w:t>
      </w:r>
      <w:r w:rsidR="00F51D6F" w:rsidRPr="00300026">
        <w:rPr>
          <w:sz w:val="22"/>
          <w:szCs w:val="22"/>
        </w:rPr>
        <w:t xml:space="preserve">lause </w:t>
      </w:r>
      <w:r w:rsidR="00FF2CE4" w:rsidRPr="00300026">
        <w:rPr>
          <w:sz w:val="22"/>
          <w:szCs w:val="22"/>
        </w:rPr>
        <w:t>6</w:t>
      </w:r>
      <w:r w:rsidR="0087306B" w:rsidRPr="00300026">
        <w:rPr>
          <w:sz w:val="22"/>
          <w:szCs w:val="22"/>
        </w:rPr>
        <w:t>(1</w:t>
      </w:r>
      <w:proofErr w:type="gramStart"/>
      <w:r w:rsidR="0087306B" w:rsidRPr="00300026">
        <w:rPr>
          <w:sz w:val="22"/>
          <w:szCs w:val="22"/>
        </w:rPr>
        <w:t>)</w:t>
      </w:r>
      <w:r w:rsidR="00F04205" w:rsidRPr="00300026">
        <w:rPr>
          <w:sz w:val="22"/>
          <w:szCs w:val="22"/>
        </w:rPr>
        <w:t>(</w:t>
      </w:r>
      <w:proofErr w:type="gramEnd"/>
      <w:r w:rsidR="00F04205" w:rsidRPr="00300026">
        <w:rPr>
          <w:sz w:val="22"/>
          <w:szCs w:val="22"/>
        </w:rPr>
        <w:t>a</w:t>
      </w:r>
      <w:r w:rsidR="00413408">
        <w:rPr>
          <w:sz w:val="22"/>
          <w:szCs w:val="22"/>
        </w:rPr>
        <w:t>) specifies</w:t>
      </w:r>
      <w:r w:rsidR="0087306B" w:rsidRPr="00300026">
        <w:rPr>
          <w:sz w:val="22"/>
          <w:szCs w:val="22"/>
        </w:rPr>
        <w:t xml:space="preserve"> </w:t>
      </w:r>
      <w:r w:rsidR="00AF079B">
        <w:rPr>
          <w:sz w:val="22"/>
          <w:szCs w:val="22"/>
        </w:rPr>
        <w:t>that</w:t>
      </w:r>
      <w:r w:rsidR="00413408">
        <w:rPr>
          <w:sz w:val="22"/>
          <w:szCs w:val="22"/>
        </w:rPr>
        <w:t xml:space="preserve">, </w:t>
      </w:r>
      <w:r w:rsidR="00413408" w:rsidRPr="00300026">
        <w:rPr>
          <w:sz w:val="22"/>
          <w:szCs w:val="22"/>
        </w:rPr>
        <w:t>for the purpose of sections 21(1)(</w:t>
      </w:r>
      <w:r w:rsidR="00413408">
        <w:rPr>
          <w:sz w:val="22"/>
          <w:szCs w:val="22"/>
        </w:rPr>
        <w:t>a)</w:t>
      </w:r>
      <w:r w:rsidR="00413408" w:rsidRPr="00300026">
        <w:rPr>
          <w:sz w:val="22"/>
          <w:szCs w:val="22"/>
        </w:rPr>
        <w:t xml:space="preserve"> of the Act,</w:t>
      </w:r>
      <w:r w:rsidR="00AF079B">
        <w:rPr>
          <w:sz w:val="22"/>
          <w:szCs w:val="22"/>
        </w:rPr>
        <w:t xml:space="preserve"> </w:t>
      </w:r>
      <w:r w:rsidR="0087306B" w:rsidRPr="00300026">
        <w:rPr>
          <w:sz w:val="22"/>
          <w:szCs w:val="22"/>
        </w:rPr>
        <w:t xml:space="preserve">the </w:t>
      </w:r>
      <w:r w:rsidR="00AF079B">
        <w:rPr>
          <w:sz w:val="22"/>
          <w:szCs w:val="22"/>
        </w:rPr>
        <w:t xml:space="preserve">assessment methods and standards </w:t>
      </w:r>
      <w:r w:rsidR="00413408">
        <w:rPr>
          <w:sz w:val="22"/>
          <w:szCs w:val="22"/>
        </w:rPr>
        <w:t xml:space="preserve">for assessing a </w:t>
      </w:r>
      <w:r w:rsidR="00AF079B" w:rsidRPr="00DD7378">
        <w:rPr>
          <w:sz w:val="22"/>
          <w:szCs w:val="22"/>
        </w:rPr>
        <w:t>building</w:t>
      </w:r>
      <w:r w:rsidR="00AF079B">
        <w:rPr>
          <w:sz w:val="22"/>
          <w:szCs w:val="22"/>
        </w:rPr>
        <w:t xml:space="preserve"> </w:t>
      </w:r>
      <w:r w:rsidR="00413408">
        <w:rPr>
          <w:sz w:val="22"/>
          <w:szCs w:val="22"/>
        </w:rPr>
        <w:t>are</w:t>
      </w:r>
      <w:r w:rsidR="0087306B" w:rsidRPr="00300026">
        <w:rPr>
          <w:sz w:val="22"/>
          <w:szCs w:val="22"/>
        </w:rPr>
        <w:t xml:space="preserve"> the NABERS Energy rating rules.</w:t>
      </w:r>
      <w:r w:rsidR="00FF2CE4" w:rsidRPr="00300026">
        <w:rPr>
          <w:sz w:val="22"/>
          <w:szCs w:val="22"/>
        </w:rPr>
        <w:t xml:space="preserve"> As an alternative, sub</w:t>
      </w:r>
      <w:r w:rsidRPr="00300026">
        <w:rPr>
          <w:sz w:val="22"/>
          <w:szCs w:val="22"/>
        </w:rPr>
        <w:t xml:space="preserve">clause </w:t>
      </w:r>
      <w:r w:rsidR="00FF2CE4" w:rsidRPr="00300026">
        <w:rPr>
          <w:sz w:val="22"/>
          <w:szCs w:val="22"/>
        </w:rPr>
        <w:t>6</w:t>
      </w:r>
      <w:r w:rsidR="0087306B" w:rsidRPr="00300026">
        <w:rPr>
          <w:sz w:val="22"/>
          <w:szCs w:val="22"/>
        </w:rPr>
        <w:t>(1</w:t>
      </w:r>
      <w:proofErr w:type="gramStart"/>
      <w:r w:rsidR="0087306B" w:rsidRPr="00300026">
        <w:rPr>
          <w:sz w:val="22"/>
          <w:szCs w:val="22"/>
        </w:rPr>
        <w:t>)(</w:t>
      </w:r>
      <w:proofErr w:type="gramEnd"/>
      <w:r w:rsidR="0087306B" w:rsidRPr="00300026">
        <w:rPr>
          <w:sz w:val="22"/>
          <w:szCs w:val="22"/>
        </w:rPr>
        <w:t>b) permits an assessor to rely on a pre-existing current NABERS rating in the circum</w:t>
      </w:r>
      <w:r w:rsidR="00FF2CE4" w:rsidRPr="00300026">
        <w:rPr>
          <w:sz w:val="22"/>
          <w:szCs w:val="22"/>
        </w:rPr>
        <w:t>stances set out in sub</w:t>
      </w:r>
      <w:r w:rsidRPr="00300026">
        <w:rPr>
          <w:sz w:val="22"/>
          <w:szCs w:val="22"/>
        </w:rPr>
        <w:t>clause</w:t>
      </w:r>
      <w:r w:rsidR="00FF2CE4" w:rsidRPr="00300026">
        <w:rPr>
          <w:sz w:val="22"/>
          <w:szCs w:val="22"/>
        </w:rPr>
        <w:t xml:space="preserve"> 6(6) to 6</w:t>
      </w:r>
      <w:r w:rsidR="0087306B" w:rsidRPr="00300026">
        <w:rPr>
          <w:sz w:val="22"/>
          <w:szCs w:val="22"/>
        </w:rPr>
        <w:t xml:space="preserve">(10). </w:t>
      </w:r>
      <w:r w:rsidR="007B622A" w:rsidRPr="00300026">
        <w:rPr>
          <w:sz w:val="22"/>
          <w:szCs w:val="22"/>
        </w:rPr>
        <w:t xml:space="preserve"> </w:t>
      </w:r>
    </w:p>
    <w:p w14:paraId="3A373512" w14:textId="77777777" w:rsidR="007B622A" w:rsidRPr="00300026" w:rsidRDefault="007B622A" w:rsidP="00785194">
      <w:pPr>
        <w:rPr>
          <w:sz w:val="22"/>
          <w:szCs w:val="22"/>
        </w:rPr>
      </w:pPr>
    </w:p>
    <w:p w14:paraId="72FBC8E1" w14:textId="77777777" w:rsidR="00F04205" w:rsidRPr="00300026" w:rsidRDefault="00F04205" w:rsidP="00785194">
      <w:pPr>
        <w:rPr>
          <w:sz w:val="22"/>
          <w:szCs w:val="22"/>
        </w:rPr>
      </w:pPr>
      <w:r w:rsidRPr="00300026">
        <w:rPr>
          <w:sz w:val="22"/>
          <w:szCs w:val="22"/>
        </w:rPr>
        <w:t>When applying the NABERS Energy</w:t>
      </w:r>
      <w:r w:rsidR="00FF2CE4" w:rsidRPr="00300026">
        <w:rPr>
          <w:sz w:val="22"/>
          <w:szCs w:val="22"/>
        </w:rPr>
        <w:t xml:space="preserve"> rating rules under sub</w:t>
      </w:r>
      <w:r w:rsidR="00550E30" w:rsidRPr="00300026">
        <w:rPr>
          <w:sz w:val="22"/>
          <w:szCs w:val="22"/>
        </w:rPr>
        <w:t xml:space="preserve">clause </w:t>
      </w:r>
      <w:r w:rsidR="00FF2CE4" w:rsidRPr="00300026">
        <w:rPr>
          <w:sz w:val="22"/>
          <w:szCs w:val="22"/>
        </w:rPr>
        <w:t>6</w:t>
      </w:r>
      <w:r w:rsidR="007F23F9" w:rsidRPr="00300026">
        <w:rPr>
          <w:sz w:val="22"/>
          <w:szCs w:val="22"/>
        </w:rPr>
        <w:t>(1</w:t>
      </w:r>
      <w:proofErr w:type="gramStart"/>
      <w:r w:rsidR="007F23F9" w:rsidRPr="00300026">
        <w:rPr>
          <w:sz w:val="22"/>
          <w:szCs w:val="22"/>
        </w:rPr>
        <w:t>)(</w:t>
      </w:r>
      <w:proofErr w:type="gramEnd"/>
      <w:r w:rsidR="007F23F9" w:rsidRPr="00300026">
        <w:rPr>
          <w:sz w:val="22"/>
          <w:szCs w:val="22"/>
        </w:rPr>
        <w:t>a</w:t>
      </w:r>
      <w:r w:rsidRPr="00300026">
        <w:rPr>
          <w:sz w:val="22"/>
          <w:szCs w:val="22"/>
        </w:rPr>
        <w:t>), an accredited assesso</w:t>
      </w:r>
      <w:r w:rsidR="00FF2CE4" w:rsidRPr="00300026">
        <w:rPr>
          <w:sz w:val="22"/>
          <w:szCs w:val="22"/>
        </w:rPr>
        <w:t>r must comply with sub</w:t>
      </w:r>
      <w:r w:rsidR="00550E30" w:rsidRPr="00300026">
        <w:rPr>
          <w:sz w:val="22"/>
          <w:szCs w:val="22"/>
        </w:rPr>
        <w:t>clauses</w:t>
      </w:r>
      <w:r w:rsidR="00FF2CE4" w:rsidRPr="00300026">
        <w:rPr>
          <w:sz w:val="22"/>
          <w:szCs w:val="22"/>
        </w:rPr>
        <w:t xml:space="preserve"> 6</w:t>
      </w:r>
      <w:r w:rsidRPr="00300026">
        <w:rPr>
          <w:sz w:val="22"/>
          <w:szCs w:val="22"/>
        </w:rPr>
        <w:t xml:space="preserve">(2), (3), (4) and (5). </w:t>
      </w:r>
    </w:p>
    <w:p w14:paraId="40565BAC" w14:textId="77777777" w:rsidR="00F04205" w:rsidRPr="00300026" w:rsidRDefault="00F04205" w:rsidP="00F5646B">
      <w:pPr>
        <w:rPr>
          <w:sz w:val="22"/>
          <w:szCs w:val="22"/>
        </w:rPr>
      </w:pPr>
    </w:p>
    <w:p w14:paraId="4C0799BE" w14:textId="77777777" w:rsidR="00974261" w:rsidRPr="00300026" w:rsidRDefault="0025486B" w:rsidP="00F5646B">
      <w:pPr>
        <w:rPr>
          <w:sz w:val="22"/>
          <w:szCs w:val="22"/>
        </w:rPr>
      </w:pPr>
      <w:r w:rsidRPr="00300026">
        <w:rPr>
          <w:sz w:val="22"/>
          <w:szCs w:val="22"/>
        </w:rPr>
        <w:t>Sub</w:t>
      </w:r>
      <w:r w:rsidR="00550E30" w:rsidRPr="00300026">
        <w:rPr>
          <w:sz w:val="22"/>
          <w:szCs w:val="22"/>
        </w:rPr>
        <w:t>clause</w:t>
      </w:r>
      <w:r w:rsidR="007B622A" w:rsidRPr="00300026">
        <w:rPr>
          <w:sz w:val="22"/>
          <w:szCs w:val="22"/>
        </w:rPr>
        <w:t xml:space="preserve"> </w:t>
      </w:r>
      <w:r w:rsidR="00FF2CE4" w:rsidRPr="00300026">
        <w:rPr>
          <w:sz w:val="22"/>
          <w:szCs w:val="22"/>
        </w:rPr>
        <w:t>6</w:t>
      </w:r>
      <w:r w:rsidR="007B622A" w:rsidRPr="00300026">
        <w:rPr>
          <w:sz w:val="22"/>
          <w:szCs w:val="22"/>
        </w:rPr>
        <w:t xml:space="preserve">(2) provides that accredited assessors must not take into account any purchases of </w:t>
      </w:r>
      <w:proofErr w:type="spellStart"/>
      <w:r w:rsidR="007B622A" w:rsidRPr="00300026">
        <w:rPr>
          <w:sz w:val="22"/>
          <w:szCs w:val="22"/>
        </w:rPr>
        <w:t>GreenPower</w:t>
      </w:r>
      <w:proofErr w:type="spellEnd"/>
      <w:r w:rsidR="007B622A" w:rsidRPr="00300026">
        <w:rPr>
          <w:sz w:val="22"/>
          <w:szCs w:val="22"/>
        </w:rPr>
        <w:t xml:space="preserve"> when applying the NABERS energy rating rules. The NABERS rules permit ratings to be improved by the purchase of renewable energy under the </w:t>
      </w:r>
      <w:proofErr w:type="spellStart"/>
      <w:r w:rsidR="007B622A" w:rsidRPr="00300026">
        <w:rPr>
          <w:sz w:val="22"/>
          <w:szCs w:val="22"/>
        </w:rPr>
        <w:t>GreenPower</w:t>
      </w:r>
      <w:proofErr w:type="spellEnd"/>
      <w:r w:rsidR="007B622A" w:rsidRPr="00300026">
        <w:rPr>
          <w:sz w:val="22"/>
          <w:szCs w:val="22"/>
        </w:rPr>
        <w:t xml:space="preserve"> program. Excluding these purchases </w:t>
      </w:r>
      <w:r w:rsidR="005E3315" w:rsidRPr="00300026">
        <w:rPr>
          <w:sz w:val="22"/>
          <w:szCs w:val="22"/>
        </w:rPr>
        <w:t xml:space="preserve">prevents the distortion of energy ratings through the purchase of </w:t>
      </w:r>
      <w:proofErr w:type="spellStart"/>
      <w:r w:rsidR="005E3315" w:rsidRPr="00300026">
        <w:rPr>
          <w:sz w:val="22"/>
          <w:szCs w:val="22"/>
        </w:rPr>
        <w:t>GreenPower</w:t>
      </w:r>
      <w:proofErr w:type="spellEnd"/>
      <w:r w:rsidR="005E3315" w:rsidRPr="00300026">
        <w:rPr>
          <w:sz w:val="22"/>
          <w:szCs w:val="22"/>
        </w:rPr>
        <w:t xml:space="preserve"> to offset the actual emissions produced by a building or area of a building. </w:t>
      </w:r>
    </w:p>
    <w:p w14:paraId="5AA1FA12" w14:textId="77777777" w:rsidR="00D5270A" w:rsidRPr="00300026" w:rsidRDefault="00D5270A" w:rsidP="00F5646B">
      <w:pPr>
        <w:rPr>
          <w:sz w:val="22"/>
          <w:szCs w:val="22"/>
        </w:rPr>
      </w:pPr>
    </w:p>
    <w:p w14:paraId="13035B89" w14:textId="6338E76B" w:rsidR="00AF5036" w:rsidRPr="00300026" w:rsidRDefault="0025486B" w:rsidP="00743AA2">
      <w:pPr>
        <w:rPr>
          <w:sz w:val="22"/>
          <w:szCs w:val="22"/>
        </w:rPr>
      </w:pPr>
      <w:r w:rsidRPr="00300026">
        <w:rPr>
          <w:sz w:val="22"/>
          <w:szCs w:val="22"/>
        </w:rPr>
        <w:t>Sub</w:t>
      </w:r>
      <w:r w:rsidR="00550E30" w:rsidRPr="00300026">
        <w:rPr>
          <w:sz w:val="22"/>
          <w:szCs w:val="22"/>
        </w:rPr>
        <w:t>clause</w:t>
      </w:r>
      <w:r w:rsidR="005E3315" w:rsidRPr="00300026">
        <w:rPr>
          <w:sz w:val="22"/>
          <w:szCs w:val="22"/>
        </w:rPr>
        <w:t xml:space="preserve"> </w:t>
      </w:r>
      <w:r w:rsidR="0031217A" w:rsidRPr="00300026">
        <w:rPr>
          <w:sz w:val="22"/>
          <w:szCs w:val="22"/>
        </w:rPr>
        <w:t>6</w:t>
      </w:r>
      <w:r w:rsidR="005E3315" w:rsidRPr="00300026">
        <w:rPr>
          <w:sz w:val="22"/>
          <w:szCs w:val="22"/>
        </w:rPr>
        <w:t xml:space="preserve">(3) </w:t>
      </w:r>
      <w:r w:rsidR="00AF079B">
        <w:rPr>
          <w:sz w:val="22"/>
          <w:szCs w:val="22"/>
        </w:rPr>
        <w:t xml:space="preserve">provides </w:t>
      </w:r>
      <w:r w:rsidR="00B143C7" w:rsidRPr="00300026">
        <w:rPr>
          <w:sz w:val="22"/>
          <w:szCs w:val="22"/>
        </w:rPr>
        <w:t xml:space="preserve">that </w:t>
      </w:r>
      <w:r w:rsidR="005E3315" w:rsidRPr="00300026">
        <w:rPr>
          <w:sz w:val="22"/>
          <w:szCs w:val="22"/>
        </w:rPr>
        <w:t xml:space="preserve">where an accredited assessor </w:t>
      </w:r>
      <w:r w:rsidR="00B143C7" w:rsidRPr="00300026">
        <w:rPr>
          <w:sz w:val="22"/>
          <w:szCs w:val="22"/>
        </w:rPr>
        <w:t xml:space="preserve">reasonably </w:t>
      </w:r>
      <w:r w:rsidR="005E3315" w:rsidRPr="00300026">
        <w:rPr>
          <w:sz w:val="22"/>
          <w:szCs w:val="22"/>
        </w:rPr>
        <w:t xml:space="preserve">forms </w:t>
      </w:r>
      <w:r w:rsidR="00B143C7" w:rsidRPr="00300026">
        <w:rPr>
          <w:sz w:val="22"/>
          <w:szCs w:val="22"/>
        </w:rPr>
        <w:t>the</w:t>
      </w:r>
      <w:r w:rsidR="005E3315" w:rsidRPr="00300026">
        <w:rPr>
          <w:sz w:val="22"/>
          <w:szCs w:val="22"/>
        </w:rPr>
        <w:t xml:space="preserve"> opinion that works currently being undertaken</w:t>
      </w:r>
      <w:r w:rsidR="00B143C7" w:rsidRPr="00300026">
        <w:rPr>
          <w:sz w:val="22"/>
          <w:szCs w:val="22"/>
        </w:rPr>
        <w:t xml:space="preserve"> on a building</w:t>
      </w:r>
      <w:r w:rsidR="005E3315" w:rsidRPr="00300026">
        <w:rPr>
          <w:sz w:val="22"/>
          <w:szCs w:val="22"/>
        </w:rPr>
        <w:t xml:space="preserve"> will affect the energy </w:t>
      </w:r>
      <w:r w:rsidR="0095376D" w:rsidRPr="00300026">
        <w:rPr>
          <w:sz w:val="22"/>
          <w:szCs w:val="22"/>
        </w:rPr>
        <w:t xml:space="preserve">efficiency </w:t>
      </w:r>
      <w:r w:rsidR="00743AA2" w:rsidRPr="00300026">
        <w:rPr>
          <w:sz w:val="22"/>
          <w:szCs w:val="22"/>
        </w:rPr>
        <w:t>rating of the building</w:t>
      </w:r>
      <w:r w:rsidR="005E3315" w:rsidRPr="00300026">
        <w:rPr>
          <w:sz w:val="22"/>
          <w:szCs w:val="22"/>
        </w:rPr>
        <w:t xml:space="preserve">, they are not to provide a rating for the building. </w:t>
      </w:r>
      <w:r w:rsidR="00D5270A" w:rsidRPr="00300026">
        <w:rPr>
          <w:sz w:val="22"/>
          <w:szCs w:val="22"/>
        </w:rPr>
        <w:t xml:space="preserve">This </w:t>
      </w:r>
      <w:r w:rsidR="00743AA2" w:rsidRPr="00300026">
        <w:rPr>
          <w:sz w:val="22"/>
          <w:szCs w:val="22"/>
        </w:rPr>
        <w:t xml:space="preserve">rule allows for the major refurbishment exemption </w:t>
      </w:r>
      <w:r w:rsidR="0083105A">
        <w:rPr>
          <w:sz w:val="22"/>
          <w:szCs w:val="22"/>
        </w:rPr>
        <w:t>in accordance with</w:t>
      </w:r>
      <w:r w:rsidR="00AF5036" w:rsidRPr="00300026">
        <w:rPr>
          <w:sz w:val="22"/>
          <w:szCs w:val="22"/>
        </w:rPr>
        <w:t xml:space="preserve"> </w:t>
      </w:r>
      <w:r w:rsidR="00550E30" w:rsidRPr="00300026">
        <w:rPr>
          <w:sz w:val="22"/>
          <w:szCs w:val="22"/>
        </w:rPr>
        <w:t>section</w:t>
      </w:r>
      <w:r w:rsidR="00AF5036" w:rsidRPr="00300026">
        <w:rPr>
          <w:sz w:val="22"/>
          <w:szCs w:val="22"/>
        </w:rPr>
        <w:t xml:space="preserve"> 5B of the Regulations.</w:t>
      </w:r>
    </w:p>
    <w:p w14:paraId="02DB45D4" w14:textId="77777777" w:rsidR="00AF5036" w:rsidRPr="00300026" w:rsidRDefault="00AF5036" w:rsidP="00743AA2">
      <w:pPr>
        <w:rPr>
          <w:sz w:val="22"/>
          <w:szCs w:val="22"/>
        </w:rPr>
      </w:pPr>
    </w:p>
    <w:p w14:paraId="31128C31" w14:textId="77777777" w:rsidR="00AF5036" w:rsidRPr="00DD7378" w:rsidRDefault="00743AA2" w:rsidP="00DD7378">
      <w:pPr>
        <w:rPr>
          <w:sz w:val="22"/>
          <w:szCs w:val="22"/>
        </w:rPr>
      </w:pPr>
      <w:r w:rsidRPr="00DD7378">
        <w:rPr>
          <w:sz w:val="22"/>
          <w:szCs w:val="22"/>
        </w:rPr>
        <w:t xml:space="preserve">The NABERS tool rates buildings out of </w:t>
      </w:r>
      <w:r w:rsidR="006F185B" w:rsidRPr="00DD7378">
        <w:rPr>
          <w:sz w:val="22"/>
          <w:szCs w:val="22"/>
        </w:rPr>
        <w:t>six</w:t>
      </w:r>
      <w:r w:rsidRPr="00DD7378">
        <w:rPr>
          <w:sz w:val="22"/>
          <w:szCs w:val="22"/>
        </w:rPr>
        <w:t xml:space="preserve"> stars in half star increments. Therefore, for </w:t>
      </w:r>
      <w:r w:rsidR="0031217A" w:rsidRPr="00DD7378">
        <w:rPr>
          <w:sz w:val="22"/>
          <w:szCs w:val="22"/>
        </w:rPr>
        <w:t>sub</w:t>
      </w:r>
      <w:r w:rsidR="00550E30" w:rsidRPr="00DD7378">
        <w:rPr>
          <w:sz w:val="22"/>
          <w:szCs w:val="22"/>
        </w:rPr>
        <w:t xml:space="preserve">clause </w:t>
      </w:r>
      <w:r w:rsidR="0031217A" w:rsidRPr="00DD7378">
        <w:rPr>
          <w:sz w:val="22"/>
          <w:szCs w:val="22"/>
        </w:rPr>
        <w:t xml:space="preserve">6(3) </w:t>
      </w:r>
      <w:r w:rsidRPr="00DD7378">
        <w:rPr>
          <w:sz w:val="22"/>
          <w:szCs w:val="22"/>
        </w:rPr>
        <w:t>to apply, the assessor must form the opinion that the works are likely to alter the NABERS rating by at least a single half-star increment. For example, works that would change a building rated at 3 stars under NABERS to 3.5 stars would be sufficient.</w:t>
      </w:r>
    </w:p>
    <w:p w14:paraId="423AB749" w14:textId="77777777" w:rsidR="000F46C3" w:rsidRDefault="000F46C3" w:rsidP="00DD7378">
      <w:pPr>
        <w:rPr>
          <w:sz w:val="22"/>
          <w:szCs w:val="22"/>
        </w:rPr>
      </w:pPr>
    </w:p>
    <w:p w14:paraId="72287A61" w14:textId="7AEAC012" w:rsidR="000F46C3" w:rsidRDefault="000F46C3" w:rsidP="00DD7378">
      <w:pPr>
        <w:rPr>
          <w:sz w:val="22"/>
          <w:szCs w:val="22"/>
        </w:rPr>
      </w:pPr>
      <w:r>
        <w:rPr>
          <w:sz w:val="22"/>
          <w:szCs w:val="22"/>
        </w:rPr>
        <w:t>With respect to subclause 6(3), t</w:t>
      </w:r>
      <w:r w:rsidR="00743AA2" w:rsidRPr="00DD7378">
        <w:rPr>
          <w:sz w:val="22"/>
          <w:szCs w:val="22"/>
        </w:rPr>
        <w:t xml:space="preserve">he use of the term ‘undertaking’ is intended to limit the operation of </w:t>
      </w:r>
      <w:r>
        <w:rPr>
          <w:sz w:val="22"/>
          <w:szCs w:val="22"/>
        </w:rPr>
        <w:t xml:space="preserve">this clause </w:t>
      </w:r>
      <w:r w:rsidR="00743AA2" w:rsidRPr="00DD7378">
        <w:rPr>
          <w:sz w:val="22"/>
          <w:szCs w:val="22"/>
        </w:rPr>
        <w:t>to works that are actually physically taking place in a building</w:t>
      </w:r>
      <w:r>
        <w:rPr>
          <w:sz w:val="22"/>
          <w:szCs w:val="22"/>
        </w:rPr>
        <w:t>. Consequently, the term ‘undertaking’ has been included with the intention that</w:t>
      </w:r>
      <w:r w:rsidR="00743AA2" w:rsidRPr="00DD7378">
        <w:rPr>
          <w:sz w:val="22"/>
          <w:szCs w:val="22"/>
        </w:rPr>
        <w:t xml:space="preserve"> pre-construction planning and related activities</w:t>
      </w:r>
      <w:r>
        <w:rPr>
          <w:sz w:val="22"/>
          <w:szCs w:val="22"/>
        </w:rPr>
        <w:t xml:space="preserve"> are </w:t>
      </w:r>
      <w:r w:rsidRPr="00FD5187">
        <w:rPr>
          <w:sz w:val="22"/>
          <w:szCs w:val="22"/>
        </w:rPr>
        <w:t>exclude</w:t>
      </w:r>
      <w:r>
        <w:rPr>
          <w:sz w:val="22"/>
          <w:szCs w:val="22"/>
        </w:rPr>
        <w:t>d</w:t>
      </w:r>
      <w:r w:rsidRPr="00FD5187">
        <w:rPr>
          <w:sz w:val="22"/>
          <w:szCs w:val="22"/>
        </w:rPr>
        <w:t xml:space="preserve"> from the meaning of works</w:t>
      </w:r>
      <w:r w:rsidR="00743AA2" w:rsidRPr="00DD7378">
        <w:rPr>
          <w:sz w:val="22"/>
          <w:szCs w:val="22"/>
        </w:rPr>
        <w:t xml:space="preserve">. The use of the term ‘reasonably forms the opinion’ has been included </w:t>
      </w:r>
      <w:r w:rsidR="008F4130" w:rsidRPr="00DD7378">
        <w:rPr>
          <w:sz w:val="22"/>
          <w:szCs w:val="22"/>
        </w:rPr>
        <w:t>with the intention for it</w:t>
      </w:r>
      <w:r w:rsidR="00743AA2" w:rsidRPr="00DD7378">
        <w:rPr>
          <w:sz w:val="22"/>
          <w:szCs w:val="22"/>
        </w:rPr>
        <w:t xml:space="preserve"> to be an objective test.</w:t>
      </w:r>
      <w:r>
        <w:rPr>
          <w:sz w:val="22"/>
          <w:szCs w:val="22"/>
        </w:rPr>
        <w:t xml:space="preserve"> </w:t>
      </w:r>
    </w:p>
    <w:p w14:paraId="5D4200D2" w14:textId="77777777" w:rsidR="000F46C3" w:rsidRPr="00DD7378" w:rsidRDefault="000F46C3" w:rsidP="00DD7378">
      <w:pPr>
        <w:rPr>
          <w:sz w:val="22"/>
          <w:szCs w:val="22"/>
        </w:rPr>
      </w:pPr>
    </w:p>
    <w:p w14:paraId="7BFC1AA7" w14:textId="490E5A4A" w:rsidR="00743AA2" w:rsidRPr="00DD7378" w:rsidRDefault="000F46C3" w:rsidP="00DD7378">
      <w:pPr>
        <w:rPr>
          <w:sz w:val="22"/>
          <w:szCs w:val="22"/>
        </w:rPr>
      </w:pPr>
      <w:r>
        <w:rPr>
          <w:sz w:val="22"/>
          <w:szCs w:val="22"/>
        </w:rPr>
        <w:t>In addition, s</w:t>
      </w:r>
      <w:r w:rsidR="0031217A" w:rsidRPr="00DD7378">
        <w:rPr>
          <w:sz w:val="22"/>
          <w:szCs w:val="22"/>
        </w:rPr>
        <w:t>ub</w:t>
      </w:r>
      <w:r w:rsidR="00550E30" w:rsidRPr="00DD7378">
        <w:rPr>
          <w:sz w:val="22"/>
          <w:szCs w:val="22"/>
        </w:rPr>
        <w:t xml:space="preserve">clause </w:t>
      </w:r>
      <w:r w:rsidR="0031217A" w:rsidRPr="00DD7378">
        <w:rPr>
          <w:sz w:val="22"/>
          <w:szCs w:val="22"/>
        </w:rPr>
        <w:t>6</w:t>
      </w:r>
      <w:r w:rsidR="00743AA2" w:rsidRPr="00DD7378">
        <w:rPr>
          <w:sz w:val="22"/>
          <w:szCs w:val="22"/>
        </w:rPr>
        <w:t>(3) is intended to operate in conjuncti</w:t>
      </w:r>
      <w:r w:rsidR="00550E30" w:rsidRPr="00DD7378">
        <w:rPr>
          <w:sz w:val="22"/>
          <w:szCs w:val="22"/>
        </w:rPr>
        <w:t>on with subclauses</w:t>
      </w:r>
      <w:r w:rsidR="0031217A" w:rsidRPr="00DD7378">
        <w:rPr>
          <w:sz w:val="22"/>
          <w:szCs w:val="22"/>
        </w:rPr>
        <w:t xml:space="preserve"> 5(4) and 6(4</w:t>
      </w:r>
      <w:r w:rsidR="00743AA2" w:rsidRPr="00DD7378">
        <w:rPr>
          <w:sz w:val="22"/>
          <w:szCs w:val="22"/>
        </w:rPr>
        <w:t>) of the</w:t>
      </w:r>
      <w:r w:rsidRPr="00DD7378">
        <w:rPr>
          <w:sz w:val="22"/>
          <w:szCs w:val="22"/>
        </w:rPr>
        <w:t xml:space="preserve"> </w:t>
      </w:r>
      <w:r w:rsidR="00743AA2" w:rsidRPr="00DD7378">
        <w:rPr>
          <w:i/>
          <w:sz w:val="22"/>
          <w:szCs w:val="22"/>
        </w:rPr>
        <w:t>Building Energy Efficiency Disclosure (Disclosure Affect</w:t>
      </w:r>
      <w:r w:rsidR="003C0D7E" w:rsidRPr="00DD7378">
        <w:rPr>
          <w:i/>
          <w:sz w:val="22"/>
          <w:szCs w:val="22"/>
        </w:rPr>
        <w:t>ed Buildings) Determination 2015</w:t>
      </w:r>
      <w:r w:rsidR="00743AA2" w:rsidRPr="00DD7378">
        <w:rPr>
          <w:sz w:val="22"/>
          <w:szCs w:val="22"/>
        </w:rPr>
        <w:t xml:space="preserve">. These provisions provide an exception from the disclosure obligations of the Act in certain circumstances where a major refurbishment has been completed. </w:t>
      </w:r>
    </w:p>
    <w:p w14:paraId="11978649" w14:textId="77777777" w:rsidR="00974261" w:rsidRPr="00300026" w:rsidRDefault="00974261" w:rsidP="00F5646B">
      <w:pPr>
        <w:rPr>
          <w:sz w:val="22"/>
          <w:szCs w:val="22"/>
        </w:rPr>
      </w:pPr>
    </w:p>
    <w:p w14:paraId="4346B82F" w14:textId="49847213" w:rsidR="006A6ED5" w:rsidRPr="00DD7378" w:rsidRDefault="00F05331" w:rsidP="00B92A4E">
      <w:pPr>
        <w:rPr>
          <w:sz w:val="22"/>
          <w:szCs w:val="22"/>
        </w:rPr>
      </w:pPr>
      <w:r w:rsidRPr="00300026">
        <w:rPr>
          <w:sz w:val="22"/>
          <w:szCs w:val="22"/>
        </w:rPr>
        <w:t>S</w:t>
      </w:r>
      <w:r w:rsidR="00550E30" w:rsidRPr="00300026">
        <w:rPr>
          <w:sz w:val="22"/>
          <w:szCs w:val="22"/>
        </w:rPr>
        <w:t xml:space="preserve">ubclause </w:t>
      </w:r>
      <w:r w:rsidR="0031217A" w:rsidRPr="00300026">
        <w:rPr>
          <w:sz w:val="22"/>
          <w:szCs w:val="22"/>
        </w:rPr>
        <w:t>6(4) and 6</w:t>
      </w:r>
      <w:r w:rsidR="00706E89" w:rsidRPr="00300026">
        <w:rPr>
          <w:sz w:val="22"/>
          <w:szCs w:val="22"/>
        </w:rPr>
        <w:t>(5)</w:t>
      </w:r>
      <w:r w:rsidR="00F21631">
        <w:rPr>
          <w:sz w:val="22"/>
          <w:szCs w:val="22"/>
        </w:rPr>
        <w:t xml:space="preserve"> of the Determination</w:t>
      </w:r>
      <w:r w:rsidR="00706E89" w:rsidRPr="00300026">
        <w:rPr>
          <w:sz w:val="22"/>
          <w:szCs w:val="22"/>
        </w:rPr>
        <w:t xml:space="preserve"> are intended to operate in conjunction</w:t>
      </w:r>
      <w:r w:rsidR="006A6ED5" w:rsidRPr="00300026">
        <w:rPr>
          <w:sz w:val="22"/>
          <w:szCs w:val="22"/>
        </w:rPr>
        <w:t xml:space="preserve">. </w:t>
      </w:r>
      <w:r w:rsidR="00FF440C" w:rsidRPr="00B92A4E">
        <w:rPr>
          <w:sz w:val="22"/>
          <w:szCs w:val="22"/>
        </w:rPr>
        <w:t>Under sub</w:t>
      </w:r>
      <w:r w:rsidR="00550E30" w:rsidRPr="00B92A4E">
        <w:rPr>
          <w:sz w:val="22"/>
          <w:szCs w:val="22"/>
        </w:rPr>
        <w:t xml:space="preserve">clause </w:t>
      </w:r>
      <w:r w:rsidR="00FF440C" w:rsidRPr="00B92A4E">
        <w:rPr>
          <w:sz w:val="22"/>
          <w:szCs w:val="22"/>
        </w:rPr>
        <w:t xml:space="preserve">6(4), </w:t>
      </w:r>
      <w:r w:rsidR="0031217A" w:rsidRPr="00B92A4E">
        <w:rPr>
          <w:sz w:val="22"/>
          <w:szCs w:val="22"/>
        </w:rPr>
        <w:t xml:space="preserve">metering is </w:t>
      </w:r>
      <w:r w:rsidR="00FF440C" w:rsidRPr="00B92A4E">
        <w:rPr>
          <w:sz w:val="22"/>
          <w:szCs w:val="22"/>
        </w:rPr>
        <w:t xml:space="preserve">deemed </w:t>
      </w:r>
      <w:r w:rsidR="0031217A" w:rsidRPr="00B92A4E">
        <w:rPr>
          <w:sz w:val="22"/>
          <w:szCs w:val="22"/>
        </w:rPr>
        <w:t xml:space="preserve">inadequate </w:t>
      </w:r>
      <w:r w:rsidR="00FF440C" w:rsidRPr="00B92A4E">
        <w:rPr>
          <w:sz w:val="22"/>
          <w:szCs w:val="22"/>
        </w:rPr>
        <w:t xml:space="preserve">when tenancy energy use is not able to be distinguished from base building energy rating. This would result in a </w:t>
      </w:r>
      <w:r w:rsidR="006A6ED5" w:rsidRPr="00B92A4E">
        <w:rPr>
          <w:sz w:val="22"/>
          <w:szCs w:val="22"/>
        </w:rPr>
        <w:t>non-representative figure</w:t>
      </w:r>
      <w:r w:rsidR="00FF440C" w:rsidRPr="00B92A4E">
        <w:rPr>
          <w:sz w:val="22"/>
          <w:szCs w:val="22"/>
        </w:rPr>
        <w:t xml:space="preserve"> of the base building energy use. </w:t>
      </w:r>
      <w:r w:rsidR="006A6ED5" w:rsidRPr="00B92A4E">
        <w:rPr>
          <w:sz w:val="22"/>
          <w:szCs w:val="22"/>
        </w:rPr>
        <w:t xml:space="preserve"> </w:t>
      </w:r>
      <w:r w:rsidR="00586CBB" w:rsidRPr="00B92A4E">
        <w:rPr>
          <w:sz w:val="22"/>
          <w:szCs w:val="22"/>
        </w:rPr>
        <w:t xml:space="preserve">Such a situation </w:t>
      </w:r>
      <w:r w:rsidR="006A6ED5" w:rsidRPr="00B92A4E">
        <w:rPr>
          <w:sz w:val="22"/>
          <w:szCs w:val="22"/>
        </w:rPr>
        <w:t xml:space="preserve">would require an assessor to only then conduct a whole building rating. </w:t>
      </w:r>
      <w:r w:rsidR="00413408">
        <w:rPr>
          <w:sz w:val="22"/>
          <w:szCs w:val="22"/>
        </w:rPr>
        <w:t>Under subclause 6(5), i</w:t>
      </w:r>
      <w:r w:rsidR="00413408" w:rsidRPr="00413408">
        <w:rPr>
          <w:sz w:val="22"/>
          <w:szCs w:val="22"/>
        </w:rPr>
        <w:t>f calculating a base building rating will result in a non-representative figure as under subsection (4), an accredited assessor must work out the whole building rating for the building.</w:t>
      </w:r>
    </w:p>
    <w:p w14:paraId="0B14ACF5" w14:textId="77777777" w:rsidR="006A6ED5" w:rsidRPr="00300026" w:rsidRDefault="006A6ED5" w:rsidP="00785194">
      <w:pPr>
        <w:rPr>
          <w:sz w:val="22"/>
          <w:szCs w:val="22"/>
        </w:rPr>
      </w:pPr>
    </w:p>
    <w:p w14:paraId="333BEA3A" w14:textId="77777777" w:rsidR="00424519" w:rsidRPr="00300026" w:rsidRDefault="00424519" w:rsidP="00785194">
      <w:pPr>
        <w:rPr>
          <w:sz w:val="22"/>
          <w:szCs w:val="22"/>
        </w:rPr>
      </w:pPr>
      <w:r w:rsidRPr="00300026">
        <w:rPr>
          <w:sz w:val="22"/>
          <w:szCs w:val="22"/>
        </w:rPr>
        <w:t>The NABERS Energy rating rules enable three ratings to be produced:</w:t>
      </w:r>
    </w:p>
    <w:p w14:paraId="1C9587E4" w14:textId="77777777" w:rsidR="006515C5" w:rsidRPr="00300026" w:rsidRDefault="00424519">
      <w:pPr>
        <w:numPr>
          <w:ilvl w:val="0"/>
          <w:numId w:val="13"/>
        </w:numPr>
        <w:rPr>
          <w:sz w:val="22"/>
          <w:szCs w:val="22"/>
        </w:rPr>
      </w:pPr>
      <w:r w:rsidRPr="00300026">
        <w:rPr>
          <w:sz w:val="22"/>
          <w:szCs w:val="22"/>
        </w:rPr>
        <w:t>A base building rating, which relates to the greenhouse gas emissions associated with the energy consumed in supplying building central services to office lettable and common spaces including for common area lighting and power, lifts and escalators, and air conditioning and ventilation;</w:t>
      </w:r>
    </w:p>
    <w:p w14:paraId="2F8B00FC" w14:textId="77777777" w:rsidR="006515C5" w:rsidRPr="00300026" w:rsidRDefault="00424519">
      <w:pPr>
        <w:numPr>
          <w:ilvl w:val="0"/>
          <w:numId w:val="13"/>
        </w:numPr>
        <w:rPr>
          <w:sz w:val="22"/>
          <w:szCs w:val="22"/>
        </w:rPr>
      </w:pPr>
      <w:r w:rsidRPr="00300026">
        <w:rPr>
          <w:sz w:val="22"/>
          <w:szCs w:val="22"/>
        </w:rPr>
        <w:t xml:space="preserve">A tenancy rating, which relates to the greenhouse gas emissions associated with the energy consumed by a tenant in </w:t>
      </w:r>
      <w:r w:rsidR="008B1F28" w:rsidRPr="00300026">
        <w:rPr>
          <w:sz w:val="22"/>
          <w:szCs w:val="22"/>
        </w:rPr>
        <w:t xml:space="preserve">a </w:t>
      </w:r>
      <w:r w:rsidRPr="00300026">
        <w:rPr>
          <w:sz w:val="22"/>
          <w:szCs w:val="22"/>
        </w:rPr>
        <w:t>premises, excluding the energy associated with supplying building central services; and</w:t>
      </w:r>
    </w:p>
    <w:p w14:paraId="02B17E25" w14:textId="77777777" w:rsidR="006515C5" w:rsidRPr="00300026" w:rsidRDefault="00424519">
      <w:pPr>
        <w:numPr>
          <w:ilvl w:val="0"/>
          <w:numId w:val="13"/>
        </w:numPr>
        <w:rPr>
          <w:sz w:val="22"/>
          <w:szCs w:val="22"/>
        </w:rPr>
      </w:pPr>
      <w:r w:rsidRPr="00300026">
        <w:rPr>
          <w:sz w:val="22"/>
          <w:szCs w:val="22"/>
        </w:rPr>
        <w:t xml:space="preserve">A whole building rating, which relates to greenhouse gas emissions associated with the energy used by office tenancies and base building services.  This should include all energy supplied to the building for the operation of the building and the occupants.  </w:t>
      </w:r>
    </w:p>
    <w:p w14:paraId="6E410690" w14:textId="77777777" w:rsidR="0095376D" w:rsidRPr="00300026" w:rsidRDefault="0095376D" w:rsidP="00785194">
      <w:pPr>
        <w:rPr>
          <w:sz w:val="22"/>
          <w:szCs w:val="22"/>
        </w:rPr>
      </w:pPr>
    </w:p>
    <w:p w14:paraId="4FA5BA33" w14:textId="77777777" w:rsidR="00087C24" w:rsidRPr="00300026" w:rsidRDefault="00FF440C" w:rsidP="00785194">
      <w:pPr>
        <w:rPr>
          <w:sz w:val="22"/>
          <w:szCs w:val="22"/>
        </w:rPr>
      </w:pPr>
      <w:r w:rsidRPr="00300026">
        <w:rPr>
          <w:sz w:val="22"/>
          <w:szCs w:val="22"/>
        </w:rPr>
        <w:t>Sub</w:t>
      </w:r>
      <w:r w:rsidR="00550E30" w:rsidRPr="00300026">
        <w:rPr>
          <w:sz w:val="22"/>
          <w:szCs w:val="22"/>
        </w:rPr>
        <w:t xml:space="preserve">clause </w:t>
      </w:r>
      <w:r w:rsidRPr="00300026">
        <w:rPr>
          <w:sz w:val="22"/>
          <w:szCs w:val="22"/>
        </w:rPr>
        <w:t>6</w:t>
      </w:r>
      <w:r w:rsidR="0014010F" w:rsidRPr="00300026">
        <w:rPr>
          <w:sz w:val="22"/>
          <w:szCs w:val="22"/>
        </w:rPr>
        <w:t>(6) provides that an accredited assessor may</w:t>
      </w:r>
      <w:r w:rsidR="008B1F28" w:rsidRPr="00300026">
        <w:rPr>
          <w:sz w:val="22"/>
          <w:szCs w:val="22"/>
        </w:rPr>
        <w:t xml:space="preserve"> rely on a NABERS rating produced previously by a different NABERS assessor. The ability of an accredited assessor to rely on a previous NABERS rating is limited to certified NABERS ratings. </w:t>
      </w:r>
      <w:r w:rsidR="00586CBB" w:rsidRPr="00300026">
        <w:rPr>
          <w:sz w:val="22"/>
          <w:szCs w:val="22"/>
        </w:rPr>
        <w:t>The</w:t>
      </w:r>
      <w:r w:rsidR="00087C24" w:rsidRPr="00300026">
        <w:rPr>
          <w:sz w:val="22"/>
          <w:szCs w:val="22"/>
        </w:rPr>
        <w:t xml:space="preserve"> ability of an accredited assessor to rely on a previously cer</w:t>
      </w:r>
      <w:r w:rsidRPr="00300026">
        <w:rPr>
          <w:sz w:val="22"/>
          <w:szCs w:val="22"/>
        </w:rPr>
        <w:t>tified rating under sub</w:t>
      </w:r>
      <w:r w:rsidR="00550E30" w:rsidRPr="00300026">
        <w:rPr>
          <w:sz w:val="22"/>
          <w:szCs w:val="22"/>
        </w:rPr>
        <w:t>clause</w:t>
      </w:r>
      <w:r w:rsidRPr="00300026">
        <w:rPr>
          <w:sz w:val="22"/>
          <w:szCs w:val="22"/>
        </w:rPr>
        <w:t xml:space="preserve"> 6</w:t>
      </w:r>
      <w:r w:rsidR="00087C24" w:rsidRPr="00300026">
        <w:rPr>
          <w:sz w:val="22"/>
          <w:szCs w:val="22"/>
        </w:rPr>
        <w:t>(6) is limited by sub</w:t>
      </w:r>
      <w:r w:rsidR="00550E30" w:rsidRPr="00300026">
        <w:rPr>
          <w:sz w:val="22"/>
          <w:szCs w:val="22"/>
        </w:rPr>
        <w:t>clauses</w:t>
      </w:r>
      <w:r w:rsidR="00087C24" w:rsidRPr="00300026">
        <w:rPr>
          <w:sz w:val="22"/>
          <w:szCs w:val="22"/>
        </w:rPr>
        <w:t xml:space="preserve"> </w:t>
      </w:r>
      <w:r w:rsidRPr="00300026">
        <w:rPr>
          <w:sz w:val="22"/>
          <w:szCs w:val="22"/>
        </w:rPr>
        <w:t>6(</w:t>
      </w:r>
      <w:r w:rsidR="00087C24" w:rsidRPr="00300026">
        <w:rPr>
          <w:sz w:val="22"/>
          <w:szCs w:val="22"/>
        </w:rPr>
        <w:t>7) to</w:t>
      </w:r>
      <w:r w:rsidRPr="00300026">
        <w:rPr>
          <w:sz w:val="22"/>
          <w:szCs w:val="22"/>
        </w:rPr>
        <w:t xml:space="preserve"> 6</w:t>
      </w:r>
      <w:r w:rsidR="00087C24" w:rsidRPr="00300026">
        <w:rPr>
          <w:sz w:val="22"/>
          <w:szCs w:val="22"/>
        </w:rPr>
        <w:t xml:space="preserve">(10). </w:t>
      </w:r>
    </w:p>
    <w:p w14:paraId="23E5190F" w14:textId="77777777" w:rsidR="00087C24" w:rsidRPr="00300026" w:rsidRDefault="00087C24" w:rsidP="00785194">
      <w:pPr>
        <w:rPr>
          <w:sz w:val="22"/>
          <w:szCs w:val="22"/>
        </w:rPr>
      </w:pPr>
    </w:p>
    <w:p w14:paraId="26FF28D2" w14:textId="77777777" w:rsidR="00974261" w:rsidRPr="00300026" w:rsidRDefault="00FF440C" w:rsidP="00F5646B">
      <w:pPr>
        <w:rPr>
          <w:sz w:val="22"/>
          <w:szCs w:val="22"/>
        </w:rPr>
      </w:pPr>
      <w:r w:rsidRPr="00300026">
        <w:rPr>
          <w:sz w:val="22"/>
          <w:szCs w:val="22"/>
        </w:rPr>
        <w:t>Sub</w:t>
      </w:r>
      <w:r w:rsidR="00550E30" w:rsidRPr="00300026">
        <w:rPr>
          <w:sz w:val="22"/>
          <w:szCs w:val="22"/>
        </w:rPr>
        <w:t>clause</w:t>
      </w:r>
      <w:r w:rsidRPr="00300026">
        <w:rPr>
          <w:sz w:val="22"/>
          <w:szCs w:val="22"/>
        </w:rPr>
        <w:t xml:space="preserve"> 6</w:t>
      </w:r>
      <w:r w:rsidR="00405BC2" w:rsidRPr="00300026">
        <w:rPr>
          <w:sz w:val="22"/>
          <w:szCs w:val="22"/>
        </w:rPr>
        <w:t xml:space="preserve">(7) </w:t>
      </w:r>
      <w:r w:rsidR="00087C24" w:rsidRPr="00300026">
        <w:rPr>
          <w:sz w:val="22"/>
          <w:szCs w:val="22"/>
        </w:rPr>
        <w:t>incorporates</w:t>
      </w:r>
      <w:r w:rsidR="00405BC2" w:rsidRPr="00300026">
        <w:rPr>
          <w:sz w:val="22"/>
          <w:szCs w:val="22"/>
        </w:rPr>
        <w:t xml:space="preserve"> </w:t>
      </w:r>
      <w:r w:rsidRPr="00300026">
        <w:rPr>
          <w:sz w:val="22"/>
          <w:szCs w:val="22"/>
        </w:rPr>
        <w:t>the rule set out in sub</w:t>
      </w:r>
      <w:r w:rsidR="00550E30" w:rsidRPr="00300026">
        <w:rPr>
          <w:sz w:val="22"/>
          <w:szCs w:val="22"/>
        </w:rPr>
        <w:t>clause</w:t>
      </w:r>
      <w:r w:rsidRPr="00300026">
        <w:rPr>
          <w:sz w:val="22"/>
          <w:szCs w:val="22"/>
        </w:rPr>
        <w:t xml:space="preserve"> 6</w:t>
      </w:r>
      <w:r w:rsidR="00405BC2" w:rsidRPr="00300026">
        <w:rPr>
          <w:sz w:val="22"/>
          <w:szCs w:val="22"/>
        </w:rPr>
        <w:t xml:space="preserve">(2) to ratings used under </w:t>
      </w:r>
      <w:r w:rsidRPr="00300026">
        <w:rPr>
          <w:sz w:val="22"/>
          <w:szCs w:val="22"/>
        </w:rPr>
        <w:t>6</w:t>
      </w:r>
      <w:r w:rsidR="00405BC2" w:rsidRPr="00300026">
        <w:rPr>
          <w:sz w:val="22"/>
          <w:szCs w:val="22"/>
        </w:rPr>
        <w:t>(6).</w:t>
      </w:r>
      <w:r w:rsidR="00087C24" w:rsidRPr="00300026">
        <w:rPr>
          <w:sz w:val="22"/>
          <w:szCs w:val="22"/>
        </w:rPr>
        <w:t xml:space="preserve"> This requires the accredited assessor to disregard any use of </w:t>
      </w:r>
      <w:proofErr w:type="spellStart"/>
      <w:r w:rsidR="00087C24" w:rsidRPr="00300026">
        <w:rPr>
          <w:sz w:val="22"/>
          <w:szCs w:val="22"/>
        </w:rPr>
        <w:t>GreenPower</w:t>
      </w:r>
      <w:proofErr w:type="spellEnd"/>
      <w:r w:rsidR="00087C24" w:rsidRPr="00300026">
        <w:rPr>
          <w:sz w:val="22"/>
          <w:szCs w:val="22"/>
        </w:rPr>
        <w:t xml:space="preserve"> in a rating previously produced.</w:t>
      </w:r>
    </w:p>
    <w:p w14:paraId="25CDC7FF" w14:textId="77777777" w:rsidR="006515C5" w:rsidRPr="00300026" w:rsidRDefault="006515C5">
      <w:pPr>
        <w:rPr>
          <w:sz w:val="22"/>
          <w:szCs w:val="22"/>
        </w:rPr>
      </w:pPr>
    </w:p>
    <w:p w14:paraId="627E54F5" w14:textId="77777777" w:rsidR="006515C5" w:rsidRPr="00300026" w:rsidRDefault="00FF440C">
      <w:pPr>
        <w:rPr>
          <w:sz w:val="22"/>
          <w:szCs w:val="22"/>
        </w:rPr>
      </w:pPr>
      <w:r w:rsidRPr="00300026">
        <w:rPr>
          <w:sz w:val="22"/>
          <w:szCs w:val="22"/>
        </w:rPr>
        <w:lastRenderedPageBreak/>
        <w:t>Sub</w:t>
      </w:r>
      <w:r w:rsidR="00600BED" w:rsidRPr="00300026">
        <w:rPr>
          <w:sz w:val="22"/>
          <w:szCs w:val="22"/>
        </w:rPr>
        <w:t>clause</w:t>
      </w:r>
      <w:r w:rsidRPr="00300026">
        <w:rPr>
          <w:sz w:val="22"/>
          <w:szCs w:val="22"/>
        </w:rPr>
        <w:t xml:space="preserve"> 6</w:t>
      </w:r>
      <w:r w:rsidR="00405BC2" w:rsidRPr="00300026">
        <w:rPr>
          <w:sz w:val="22"/>
          <w:szCs w:val="22"/>
        </w:rPr>
        <w:t>(8) applies the rule</w:t>
      </w:r>
      <w:r w:rsidR="00087C24" w:rsidRPr="00300026">
        <w:rPr>
          <w:sz w:val="22"/>
          <w:szCs w:val="22"/>
        </w:rPr>
        <w:t>s</w:t>
      </w:r>
      <w:r w:rsidRPr="00300026">
        <w:rPr>
          <w:sz w:val="22"/>
          <w:szCs w:val="22"/>
        </w:rPr>
        <w:t xml:space="preserve"> in sub</w:t>
      </w:r>
      <w:r w:rsidR="00600BED" w:rsidRPr="00300026">
        <w:rPr>
          <w:sz w:val="22"/>
          <w:szCs w:val="22"/>
        </w:rPr>
        <w:t xml:space="preserve">clauses </w:t>
      </w:r>
      <w:r w:rsidRPr="00300026">
        <w:rPr>
          <w:sz w:val="22"/>
          <w:szCs w:val="22"/>
        </w:rPr>
        <w:t>6</w:t>
      </w:r>
      <w:r w:rsidR="00405BC2" w:rsidRPr="00300026">
        <w:rPr>
          <w:sz w:val="22"/>
          <w:szCs w:val="22"/>
        </w:rPr>
        <w:t xml:space="preserve">(4) and (5) to ratings </w:t>
      </w:r>
      <w:r w:rsidR="00087C24" w:rsidRPr="00300026">
        <w:rPr>
          <w:sz w:val="22"/>
          <w:szCs w:val="22"/>
        </w:rPr>
        <w:t>obtained under</w:t>
      </w:r>
      <w:r w:rsidRPr="00300026">
        <w:rPr>
          <w:sz w:val="22"/>
          <w:szCs w:val="22"/>
        </w:rPr>
        <w:t xml:space="preserve"> </w:t>
      </w:r>
      <w:r w:rsidR="00600BED" w:rsidRPr="00300026">
        <w:rPr>
          <w:sz w:val="22"/>
          <w:szCs w:val="22"/>
        </w:rPr>
        <w:t xml:space="preserve">subclause </w:t>
      </w:r>
      <w:r w:rsidRPr="00300026">
        <w:rPr>
          <w:sz w:val="22"/>
          <w:szCs w:val="22"/>
        </w:rPr>
        <w:t>6</w:t>
      </w:r>
      <w:r w:rsidR="00405BC2" w:rsidRPr="00300026">
        <w:rPr>
          <w:sz w:val="22"/>
          <w:szCs w:val="22"/>
        </w:rPr>
        <w:t xml:space="preserve">(6). Specifically, </w:t>
      </w:r>
      <w:r w:rsidR="00600BED" w:rsidRPr="00300026">
        <w:rPr>
          <w:sz w:val="22"/>
          <w:szCs w:val="22"/>
        </w:rPr>
        <w:t>clause</w:t>
      </w:r>
      <w:r w:rsidRPr="00300026">
        <w:rPr>
          <w:sz w:val="22"/>
          <w:szCs w:val="22"/>
        </w:rPr>
        <w:t xml:space="preserve"> 6</w:t>
      </w:r>
      <w:r w:rsidR="00405BC2" w:rsidRPr="00300026">
        <w:rPr>
          <w:sz w:val="22"/>
          <w:szCs w:val="22"/>
        </w:rPr>
        <w:t xml:space="preserve">(8)(b) limits the use of a previously </w:t>
      </w:r>
      <w:r w:rsidR="00087C24" w:rsidRPr="00300026">
        <w:rPr>
          <w:sz w:val="22"/>
          <w:szCs w:val="22"/>
        </w:rPr>
        <w:t>certified</w:t>
      </w:r>
      <w:r w:rsidR="00405BC2" w:rsidRPr="00300026">
        <w:rPr>
          <w:sz w:val="22"/>
          <w:szCs w:val="22"/>
        </w:rPr>
        <w:t xml:space="preserve"> whole building rating where there is no current</w:t>
      </w:r>
      <w:r w:rsidR="00087C24" w:rsidRPr="00300026">
        <w:rPr>
          <w:sz w:val="22"/>
          <w:szCs w:val="22"/>
        </w:rPr>
        <w:t>ly certified</w:t>
      </w:r>
      <w:r w:rsidR="00405BC2" w:rsidRPr="00300026">
        <w:rPr>
          <w:sz w:val="22"/>
          <w:szCs w:val="22"/>
        </w:rPr>
        <w:t xml:space="preserve"> base building rating and it is </w:t>
      </w:r>
      <w:r w:rsidR="00586CBB" w:rsidRPr="00300026">
        <w:rPr>
          <w:sz w:val="22"/>
          <w:szCs w:val="22"/>
        </w:rPr>
        <w:t xml:space="preserve">not </w:t>
      </w:r>
      <w:r w:rsidR="00405BC2" w:rsidRPr="00300026">
        <w:rPr>
          <w:sz w:val="22"/>
          <w:szCs w:val="22"/>
        </w:rPr>
        <w:t>possible for the accredited assessor to perform a base building rating for the re</w:t>
      </w:r>
      <w:r w:rsidR="00600BED" w:rsidRPr="00300026">
        <w:rPr>
          <w:sz w:val="22"/>
          <w:szCs w:val="22"/>
        </w:rPr>
        <w:t>asons set out under subclause</w:t>
      </w:r>
      <w:r w:rsidRPr="00300026">
        <w:rPr>
          <w:sz w:val="22"/>
          <w:szCs w:val="22"/>
        </w:rPr>
        <w:t xml:space="preserve"> 6</w:t>
      </w:r>
      <w:r w:rsidR="00405BC2" w:rsidRPr="00300026">
        <w:rPr>
          <w:sz w:val="22"/>
          <w:szCs w:val="22"/>
        </w:rPr>
        <w:t>(4).</w:t>
      </w:r>
    </w:p>
    <w:p w14:paraId="238E143F" w14:textId="77777777" w:rsidR="006515C5" w:rsidRPr="00300026" w:rsidRDefault="006515C5">
      <w:pPr>
        <w:rPr>
          <w:sz w:val="22"/>
          <w:szCs w:val="22"/>
        </w:rPr>
      </w:pPr>
    </w:p>
    <w:p w14:paraId="1CAB752D" w14:textId="77777777" w:rsidR="00586CBB" w:rsidRPr="00300026" w:rsidRDefault="00405BC2" w:rsidP="00F5646B">
      <w:pPr>
        <w:rPr>
          <w:sz w:val="22"/>
          <w:szCs w:val="22"/>
        </w:rPr>
      </w:pPr>
      <w:r w:rsidRPr="00300026">
        <w:rPr>
          <w:sz w:val="22"/>
          <w:szCs w:val="22"/>
        </w:rPr>
        <w:t>Sub</w:t>
      </w:r>
      <w:r w:rsidR="00600BED" w:rsidRPr="00300026">
        <w:rPr>
          <w:sz w:val="22"/>
          <w:szCs w:val="22"/>
        </w:rPr>
        <w:t>clause</w:t>
      </w:r>
      <w:r w:rsidRPr="00300026">
        <w:rPr>
          <w:sz w:val="22"/>
          <w:szCs w:val="22"/>
        </w:rPr>
        <w:t xml:space="preserve"> </w:t>
      </w:r>
      <w:r w:rsidR="00FF440C" w:rsidRPr="00300026">
        <w:rPr>
          <w:sz w:val="22"/>
          <w:szCs w:val="22"/>
        </w:rPr>
        <w:t>6</w:t>
      </w:r>
      <w:r w:rsidRPr="00300026">
        <w:rPr>
          <w:sz w:val="22"/>
          <w:szCs w:val="22"/>
        </w:rPr>
        <w:t>(9) applies</w:t>
      </w:r>
      <w:r w:rsidR="00FF440C" w:rsidRPr="00300026">
        <w:rPr>
          <w:sz w:val="22"/>
          <w:szCs w:val="22"/>
        </w:rPr>
        <w:t xml:space="preserve"> the rule in sub</w:t>
      </w:r>
      <w:r w:rsidR="00600BED" w:rsidRPr="00300026">
        <w:rPr>
          <w:sz w:val="22"/>
          <w:szCs w:val="22"/>
        </w:rPr>
        <w:t>clause</w:t>
      </w:r>
      <w:r w:rsidR="00FF440C" w:rsidRPr="00300026">
        <w:rPr>
          <w:sz w:val="22"/>
          <w:szCs w:val="22"/>
        </w:rPr>
        <w:t xml:space="preserve"> 6</w:t>
      </w:r>
      <w:r w:rsidRPr="00300026">
        <w:rPr>
          <w:sz w:val="22"/>
          <w:szCs w:val="22"/>
        </w:rPr>
        <w:t xml:space="preserve">(3) to ratings </w:t>
      </w:r>
      <w:r w:rsidR="00087C24" w:rsidRPr="00300026">
        <w:rPr>
          <w:sz w:val="22"/>
          <w:szCs w:val="22"/>
        </w:rPr>
        <w:t>obtained</w:t>
      </w:r>
      <w:r w:rsidR="00FF440C" w:rsidRPr="00300026">
        <w:rPr>
          <w:sz w:val="22"/>
          <w:szCs w:val="22"/>
        </w:rPr>
        <w:t xml:space="preserve"> under</w:t>
      </w:r>
      <w:r w:rsidR="00600BED" w:rsidRPr="00300026">
        <w:rPr>
          <w:sz w:val="22"/>
          <w:szCs w:val="22"/>
        </w:rPr>
        <w:t xml:space="preserve"> subclause</w:t>
      </w:r>
      <w:r w:rsidR="00FF440C" w:rsidRPr="00300026">
        <w:rPr>
          <w:sz w:val="22"/>
          <w:szCs w:val="22"/>
        </w:rPr>
        <w:t xml:space="preserve"> 6</w:t>
      </w:r>
      <w:r w:rsidRPr="00300026">
        <w:rPr>
          <w:sz w:val="22"/>
          <w:szCs w:val="22"/>
        </w:rPr>
        <w:t xml:space="preserve">(6). </w:t>
      </w:r>
      <w:r w:rsidR="00087C24" w:rsidRPr="00300026">
        <w:rPr>
          <w:sz w:val="22"/>
          <w:szCs w:val="22"/>
        </w:rPr>
        <w:t>The effect of this subsection is that</w:t>
      </w:r>
      <w:r w:rsidR="008D0208" w:rsidRPr="00300026">
        <w:rPr>
          <w:sz w:val="22"/>
          <w:szCs w:val="22"/>
        </w:rPr>
        <w:t xml:space="preserve"> accredited assessor</w:t>
      </w:r>
      <w:r w:rsidR="00087C24" w:rsidRPr="00300026">
        <w:rPr>
          <w:sz w:val="22"/>
          <w:szCs w:val="22"/>
        </w:rPr>
        <w:t>s</w:t>
      </w:r>
      <w:r w:rsidR="008D0208" w:rsidRPr="00300026">
        <w:rPr>
          <w:sz w:val="22"/>
          <w:szCs w:val="22"/>
        </w:rPr>
        <w:t xml:space="preserve"> cannot rely on a previously </w:t>
      </w:r>
      <w:r w:rsidR="00087C24" w:rsidRPr="00300026">
        <w:rPr>
          <w:sz w:val="22"/>
          <w:szCs w:val="22"/>
        </w:rPr>
        <w:t>issued certified</w:t>
      </w:r>
      <w:r w:rsidR="008D0208" w:rsidRPr="00300026">
        <w:rPr>
          <w:sz w:val="22"/>
          <w:szCs w:val="22"/>
        </w:rPr>
        <w:t xml:space="preserve"> NABERS rating if</w:t>
      </w:r>
      <w:r w:rsidR="00087C24" w:rsidRPr="00300026">
        <w:rPr>
          <w:sz w:val="22"/>
          <w:szCs w:val="22"/>
        </w:rPr>
        <w:t>,</w:t>
      </w:r>
      <w:r w:rsidR="008D0208" w:rsidRPr="00300026">
        <w:rPr>
          <w:sz w:val="22"/>
          <w:szCs w:val="22"/>
        </w:rPr>
        <w:t xml:space="preserve"> since the rating was obtained, works that are likely to effect the energy rating of the building have commence</w:t>
      </w:r>
      <w:r w:rsidR="00F32C52" w:rsidRPr="00300026">
        <w:rPr>
          <w:sz w:val="22"/>
          <w:szCs w:val="22"/>
        </w:rPr>
        <w:t>d</w:t>
      </w:r>
      <w:r w:rsidR="008D0208" w:rsidRPr="00300026">
        <w:rPr>
          <w:sz w:val="22"/>
          <w:szCs w:val="22"/>
        </w:rPr>
        <w:t xml:space="preserve">. </w:t>
      </w:r>
      <w:r w:rsidRPr="00300026">
        <w:rPr>
          <w:sz w:val="22"/>
          <w:szCs w:val="22"/>
        </w:rPr>
        <w:t>This</w:t>
      </w:r>
      <w:r w:rsidR="008D0208" w:rsidRPr="00300026">
        <w:rPr>
          <w:sz w:val="22"/>
          <w:szCs w:val="22"/>
        </w:rPr>
        <w:t xml:space="preserve"> provision only applies whe</w:t>
      </w:r>
      <w:r w:rsidR="00586CBB" w:rsidRPr="00300026">
        <w:rPr>
          <w:sz w:val="22"/>
          <w:szCs w:val="22"/>
        </w:rPr>
        <w:t>re works are currently ongoing. S</w:t>
      </w:r>
      <w:r w:rsidR="008D0208" w:rsidRPr="00300026">
        <w:rPr>
          <w:sz w:val="22"/>
          <w:szCs w:val="22"/>
        </w:rPr>
        <w:t>ub</w:t>
      </w:r>
      <w:r w:rsidR="00600BED" w:rsidRPr="00300026">
        <w:rPr>
          <w:sz w:val="22"/>
          <w:szCs w:val="22"/>
        </w:rPr>
        <w:t>clause</w:t>
      </w:r>
      <w:r w:rsidR="008D0208" w:rsidRPr="00300026">
        <w:rPr>
          <w:sz w:val="22"/>
          <w:szCs w:val="22"/>
        </w:rPr>
        <w:t xml:space="preserve"> </w:t>
      </w:r>
      <w:r w:rsidR="00FF440C" w:rsidRPr="00300026">
        <w:rPr>
          <w:sz w:val="22"/>
          <w:szCs w:val="22"/>
        </w:rPr>
        <w:t>6</w:t>
      </w:r>
      <w:r w:rsidR="008D0208" w:rsidRPr="00300026">
        <w:rPr>
          <w:sz w:val="22"/>
          <w:szCs w:val="22"/>
        </w:rPr>
        <w:t>(10)</w:t>
      </w:r>
      <w:r w:rsidR="00586CBB" w:rsidRPr="00300026">
        <w:rPr>
          <w:sz w:val="22"/>
          <w:szCs w:val="22"/>
        </w:rPr>
        <w:t xml:space="preserve">, discussed below, </w:t>
      </w:r>
      <w:r w:rsidR="00087C24" w:rsidRPr="00300026">
        <w:rPr>
          <w:sz w:val="22"/>
          <w:szCs w:val="22"/>
        </w:rPr>
        <w:t>will</w:t>
      </w:r>
      <w:r w:rsidR="008D0208" w:rsidRPr="00300026">
        <w:rPr>
          <w:sz w:val="22"/>
          <w:szCs w:val="22"/>
        </w:rPr>
        <w:t xml:space="preserve"> appl</w:t>
      </w:r>
      <w:r w:rsidR="00087C24" w:rsidRPr="00300026">
        <w:rPr>
          <w:sz w:val="22"/>
          <w:szCs w:val="22"/>
        </w:rPr>
        <w:t>y</w:t>
      </w:r>
      <w:r w:rsidR="008D0208" w:rsidRPr="00300026">
        <w:rPr>
          <w:sz w:val="22"/>
          <w:szCs w:val="22"/>
        </w:rPr>
        <w:t xml:space="preserve"> once the works cease</w:t>
      </w:r>
      <w:r w:rsidR="00586CBB" w:rsidRPr="00300026">
        <w:rPr>
          <w:sz w:val="22"/>
          <w:szCs w:val="22"/>
        </w:rPr>
        <w:t xml:space="preserve">. </w:t>
      </w:r>
    </w:p>
    <w:p w14:paraId="78BB1357" w14:textId="77777777" w:rsidR="00586CBB" w:rsidRPr="00300026" w:rsidRDefault="00586CBB" w:rsidP="00F5646B">
      <w:pPr>
        <w:rPr>
          <w:sz w:val="22"/>
          <w:szCs w:val="22"/>
        </w:rPr>
      </w:pPr>
    </w:p>
    <w:p w14:paraId="3BE1E233" w14:textId="77777777" w:rsidR="00974261" w:rsidRPr="00300026" w:rsidRDefault="00405BC2" w:rsidP="00F5646B">
      <w:pPr>
        <w:rPr>
          <w:sz w:val="22"/>
          <w:szCs w:val="22"/>
        </w:rPr>
      </w:pPr>
      <w:r w:rsidRPr="00300026">
        <w:rPr>
          <w:sz w:val="22"/>
          <w:szCs w:val="22"/>
        </w:rPr>
        <w:t>S</w:t>
      </w:r>
      <w:r w:rsidR="00FF440C" w:rsidRPr="00300026">
        <w:rPr>
          <w:sz w:val="22"/>
          <w:szCs w:val="22"/>
        </w:rPr>
        <w:t>ub</w:t>
      </w:r>
      <w:r w:rsidR="00600BED" w:rsidRPr="00300026">
        <w:rPr>
          <w:sz w:val="22"/>
          <w:szCs w:val="22"/>
        </w:rPr>
        <w:t>clause</w:t>
      </w:r>
      <w:r w:rsidR="00FF440C" w:rsidRPr="00300026">
        <w:rPr>
          <w:sz w:val="22"/>
          <w:szCs w:val="22"/>
        </w:rPr>
        <w:t xml:space="preserve"> 6</w:t>
      </w:r>
      <w:r w:rsidRPr="00300026">
        <w:rPr>
          <w:sz w:val="22"/>
          <w:szCs w:val="22"/>
        </w:rPr>
        <w:t xml:space="preserve">(10) provides that an accredited assessor cannot use a previously </w:t>
      </w:r>
      <w:r w:rsidR="00087C24" w:rsidRPr="00300026">
        <w:rPr>
          <w:sz w:val="22"/>
          <w:szCs w:val="22"/>
        </w:rPr>
        <w:t>issued certified</w:t>
      </w:r>
      <w:r w:rsidRPr="00300026">
        <w:rPr>
          <w:sz w:val="22"/>
          <w:szCs w:val="22"/>
        </w:rPr>
        <w:t xml:space="preserve"> </w:t>
      </w:r>
      <w:r w:rsidR="008D0208" w:rsidRPr="00300026">
        <w:rPr>
          <w:sz w:val="22"/>
          <w:szCs w:val="22"/>
        </w:rPr>
        <w:t>NABER</w:t>
      </w:r>
      <w:r w:rsidR="00F32C52" w:rsidRPr="00300026">
        <w:rPr>
          <w:sz w:val="22"/>
          <w:szCs w:val="22"/>
        </w:rPr>
        <w:t>S</w:t>
      </w:r>
      <w:r w:rsidR="008D0208" w:rsidRPr="00300026">
        <w:rPr>
          <w:sz w:val="22"/>
          <w:szCs w:val="22"/>
        </w:rPr>
        <w:t xml:space="preserve"> </w:t>
      </w:r>
      <w:r w:rsidRPr="00300026">
        <w:rPr>
          <w:sz w:val="22"/>
          <w:szCs w:val="22"/>
        </w:rPr>
        <w:t>rating</w:t>
      </w:r>
      <w:r w:rsidR="008D0208" w:rsidRPr="00300026">
        <w:rPr>
          <w:sz w:val="22"/>
          <w:szCs w:val="22"/>
        </w:rPr>
        <w:t xml:space="preserve"> under sub</w:t>
      </w:r>
      <w:r w:rsidR="00600BED" w:rsidRPr="00300026">
        <w:rPr>
          <w:sz w:val="22"/>
          <w:szCs w:val="22"/>
        </w:rPr>
        <w:t>clause</w:t>
      </w:r>
      <w:r w:rsidR="008D0208" w:rsidRPr="00300026">
        <w:rPr>
          <w:sz w:val="22"/>
          <w:szCs w:val="22"/>
        </w:rPr>
        <w:t xml:space="preserve"> </w:t>
      </w:r>
      <w:r w:rsidR="00FF440C" w:rsidRPr="00300026">
        <w:rPr>
          <w:sz w:val="22"/>
          <w:szCs w:val="22"/>
        </w:rPr>
        <w:t>6</w:t>
      </w:r>
      <w:r w:rsidR="008D0208" w:rsidRPr="00300026">
        <w:rPr>
          <w:sz w:val="22"/>
          <w:szCs w:val="22"/>
        </w:rPr>
        <w:t>(6)</w:t>
      </w:r>
      <w:r w:rsidRPr="00300026">
        <w:rPr>
          <w:sz w:val="22"/>
          <w:szCs w:val="22"/>
        </w:rPr>
        <w:t xml:space="preserve"> </w:t>
      </w:r>
      <w:r w:rsidR="00087C24" w:rsidRPr="00300026">
        <w:rPr>
          <w:sz w:val="22"/>
          <w:szCs w:val="22"/>
        </w:rPr>
        <w:t>if</w:t>
      </w:r>
      <w:r w:rsidR="008D0208" w:rsidRPr="00300026">
        <w:rPr>
          <w:sz w:val="22"/>
          <w:szCs w:val="22"/>
        </w:rPr>
        <w:t xml:space="preserve"> the assessor reasonably</w:t>
      </w:r>
      <w:r w:rsidRPr="00300026">
        <w:rPr>
          <w:sz w:val="22"/>
          <w:szCs w:val="22"/>
        </w:rPr>
        <w:t xml:space="preserve"> comes to the opinion that</w:t>
      </w:r>
      <w:r w:rsidR="00586CBB" w:rsidRPr="00300026">
        <w:rPr>
          <w:sz w:val="22"/>
          <w:szCs w:val="22"/>
        </w:rPr>
        <w:t xml:space="preserve"> since the rating was obtained the building has undergone works which </w:t>
      </w:r>
      <w:r w:rsidRPr="00300026">
        <w:rPr>
          <w:sz w:val="22"/>
          <w:szCs w:val="22"/>
        </w:rPr>
        <w:t>are likely to have changed the NABERS rating</w:t>
      </w:r>
      <w:r w:rsidR="00087C24" w:rsidRPr="00300026">
        <w:rPr>
          <w:sz w:val="22"/>
          <w:szCs w:val="22"/>
        </w:rPr>
        <w:t xml:space="preserve">. </w:t>
      </w:r>
      <w:r w:rsidR="00FF440C" w:rsidRPr="00300026">
        <w:rPr>
          <w:sz w:val="22"/>
          <w:szCs w:val="22"/>
        </w:rPr>
        <w:t xml:space="preserve">This change to the rating must be by at least half a star. </w:t>
      </w:r>
    </w:p>
    <w:p w14:paraId="63AF8016" w14:textId="77777777" w:rsidR="00872AB3" w:rsidRPr="00300026" w:rsidRDefault="00872AB3" w:rsidP="00785194">
      <w:pPr>
        <w:rPr>
          <w:sz w:val="22"/>
          <w:szCs w:val="22"/>
        </w:rPr>
      </w:pPr>
    </w:p>
    <w:p w14:paraId="5ED1C9B8" w14:textId="77777777" w:rsidR="00405BC2" w:rsidRPr="00300026" w:rsidRDefault="00405BC2" w:rsidP="00785194">
      <w:pPr>
        <w:rPr>
          <w:sz w:val="22"/>
          <w:szCs w:val="22"/>
        </w:rPr>
      </w:pPr>
      <w:r w:rsidRPr="00300026">
        <w:rPr>
          <w:sz w:val="22"/>
          <w:szCs w:val="22"/>
        </w:rPr>
        <w:t>Where sub</w:t>
      </w:r>
      <w:r w:rsidR="00600BED" w:rsidRPr="00300026">
        <w:rPr>
          <w:sz w:val="22"/>
          <w:szCs w:val="22"/>
        </w:rPr>
        <w:t>clause</w:t>
      </w:r>
      <w:r w:rsidRPr="00300026">
        <w:rPr>
          <w:sz w:val="22"/>
          <w:szCs w:val="22"/>
        </w:rPr>
        <w:t xml:space="preserve"> </w:t>
      </w:r>
      <w:r w:rsidR="00872AB3" w:rsidRPr="00300026">
        <w:rPr>
          <w:sz w:val="22"/>
          <w:szCs w:val="22"/>
        </w:rPr>
        <w:t>6</w:t>
      </w:r>
      <w:r w:rsidR="00C340A9" w:rsidRPr="00300026">
        <w:rPr>
          <w:sz w:val="22"/>
          <w:szCs w:val="22"/>
        </w:rPr>
        <w:t xml:space="preserve">(9) or </w:t>
      </w:r>
      <w:r w:rsidR="00872AB3" w:rsidRPr="00300026">
        <w:rPr>
          <w:sz w:val="22"/>
          <w:szCs w:val="22"/>
        </w:rPr>
        <w:t>6</w:t>
      </w:r>
      <w:r w:rsidRPr="00300026">
        <w:rPr>
          <w:sz w:val="22"/>
          <w:szCs w:val="22"/>
        </w:rPr>
        <w:t xml:space="preserve">(10) </w:t>
      </w:r>
      <w:r w:rsidR="008D0208" w:rsidRPr="00300026">
        <w:rPr>
          <w:sz w:val="22"/>
          <w:szCs w:val="22"/>
        </w:rPr>
        <w:t xml:space="preserve">applies, </w:t>
      </w:r>
      <w:r w:rsidRPr="00300026">
        <w:rPr>
          <w:sz w:val="22"/>
          <w:szCs w:val="22"/>
        </w:rPr>
        <w:t>a new rating</w:t>
      </w:r>
      <w:r w:rsidR="00C340A9" w:rsidRPr="00300026">
        <w:rPr>
          <w:sz w:val="22"/>
          <w:szCs w:val="22"/>
        </w:rPr>
        <w:t xml:space="preserve"> or exemption</w:t>
      </w:r>
      <w:r w:rsidRPr="00300026">
        <w:rPr>
          <w:sz w:val="22"/>
          <w:szCs w:val="22"/>
        </w:rPr>
        <w:t xml:space="preserve"> must be obtai</w:t>
      </w:r>
      <w:r w:rsidR="008D0208" w:rsidRPr="00300026">
        <w:rPr>
          <w:sz w:val="22"/>
          <w:szCs w:val="22"/>
        </w:rPr>
        <w:t>ned</w:t>
      </w:r>
      <w:r w:rsidR="00C340A9" w:rsidRPr="00300026">
        <w:rPr>
          <w:sz w:val="22"/>
          <w:szCs w:val="22"/>
        </w:rPr>
        <w:t xml:space="preserve"> if the building is disclosure affected</w:t>
      </w:r>
      <w:r w:rsidR="008D0208" w:rsidRPr="00300026">
        <w:rPr>
          <w:sz w:val="22"/>
          <w:szCs w:val="22"/>
        </w:rPr>
        <w:t xml:space="preserve">. </w:t>
      </w:r>
    </w:p>
    <w:p w14:paraId="3134901B" w14:textId="77777777" w:rsidR="0014010F" w:rsidRPr="00300026" w:rsidRDefault="0014010F" w:rsidP="00785194">
      <w:pPr>
        <w:rPr>
          <w:sz w:val="22"/>
          <w:szCs w:val="22"/>
        </w:rPr>
      </w:pPr>
    </w:p>
    <w:p w14:paraId="488923BD" w14:textId="77777777" w:rsidR="009559D8" w:rsidRPr="00300026" w:rsidRDefault="00872AB3" w:rsidP="00785194">
      <w:pPr>
        <w:rPr>
          <w:b/>
          <w:szCs w:val="22"/>
        </w:rPr>
      </w:pPr>
      <w:r w:rsidRPr="00300026">
        <w:rPr>
          <w:b/>
          <w:szCs w:val="22"/>
        </w:rPr>
        <w:t>Clause 7</w:t>
      </w:r>
      <w:r w:rsidR="009559D8" w:rsidRPr="00300026">
        <w:rPr>
          <w:b/>
          <w:szCs w:val="22"/>
        </w:rPr>
        <w:t xml:space="preserve"> - Methods and standards of assessment: lighting</w:t>
      </w:r>
    </w:p>
    <w:p w14:paraId="502CF1E2" w14:textId="77777777" w:rsidR="00FD1601" w:rsidRPr="00300026" w:rsidRDefault="00FD1601" w:rsidP="00FD1601">
      <w:pPr>
        <w:rPr>
          <w:sz w:val="22"/>
          <w:szCs w:val="22"/>
        </w:rPr>
      </w:pPr>
    </w:p>
    <w:p w14:paraId="67485E57" w14:textId="77777777" w:rsidR="00FD1601" w:rsidRPr="00300026" w:rsidRDefault="009559D8" w:rsidP="00FD1601">
      <w:pPr>
        <w:rPr>
          <w:sz w:val="22"/>
          <w:szCs w:val="22"/>
        </w:rPr>
      </w:pPr>
      <w:r w:rsidRPr="00300026">
        <w:rPr>
          <w:sz w:val="22"/>
          <w:szCs w:val="22"/>
        </w:rPr>
        <w:t xml:space="preserve">This </w:t>
      </w:r>
      <w:r w:rsidR="00D03D50" w:rsidRPr="00300026">
        <w:rPr>
          <w:sz w:val="22"/>
          <w:szCs w:val="22"/>
        </w:rPr>
        <w:t>provision</w:t>
      </w:r>
      <w:r w:rsidR="00FD1601" w:rsidRPr="00300026">
        <w:rPr>
          <w:sz w:val="22"/>
          <w:szCs w:val="22"/>
        </w:rPr>
        <w:t xml:space="preserve"> specifies that the assessment methods and standards for assessing the </w:t>
      </w:r>
      <w:r w:rsidR="00872AB3" w:rsidRPr="00300026">
        <w:rPr>
          <w:sz w:val="22"/>
          <w:szCs w:val="22"/>
        </w:rPr>
        <w:t xml:space="preserve">lighting </w:t>
      </w:r>
      <w:r w:rsidR="00FD1601" w:rsidRPr="00300026">
        <w:rPr>
          <w:sz w:val="22"/>
          <w:szCs w:val="22"/>
        </w:rPr>
        <w:t xml:space="preserve">energy efficiency </w:t>
      </w:r>
      <w:r w:rsidR="00872AB3" w:rsidRPr="00300026">
        <w:rPr>
          <w:sz w:val="22"/>
          <w:szCs w:val="22"/>
        </w:rPr>
        <w:t>of</w:t>
      </w:r>
      <w:r w:rsidR="00FD1601" w:rsidRPr="00300026">
        <w:rPr>
          <w:sz w:val="22"/>
          <w:szCs w:val="22"/>
        </w:rPr>
        <w:t xml:space="preserve"> a building or </w:t>
      </w:r>
      <w:r w:rsidR="00872AB3" w:rsidRPr="00300026">
        <w:rPr>
          <w:sz w:val="22"/>
          <w:szCs w:val="22"/>
        </w:rPr>
        <w:t xml:space="preserve">an </w:t>
      </w:r>
      <w:r w:rsidR="00FD1601" w:rsidRPr="00300026">
        <w:rPr>
          <w:sz w:val="22"/>
          <w:szCs w:val="22"/>
        </w:rPr>
        <w:t xml:space="preserve">area of a building are the </w:t>
      </w:r>
      <w:r w:rsidR="00FD1601" w:rsidRPr="00300026">
        <w:rPr>
          <w:i/>
          <w:sz w:val="22"/>
          <w:szCs w:val="22"/>
        </w:rPr>
        <w:t>CBD Tenancy Lighting Assessment for Office Rules</w:t>
      </w:r>
      <w:r w:rsidR="00FD1601" w:rsidRPr="00300026">
        <w:rPr>
          <w:sz w:val="22"/>
          <w:szCs w:val="22"/>
        </w:rPr>
        <w:t>.</w:t>
      </w:r>
    </w:p>
    <w:p w14:paraId="5E581761" w14:textId="77777777" w:rsidR="00F94170" w:rsidRPr="00300026" w:rsidRDefault="00F94170" w:rsidP="00FD1601">
      <w:pPr>
        <w:rPr>
          <w:sz w:val="22"/>
          <w:szCs w:val="22"/>
        </w:rPr>
      </w:pPr>
    </w:p>
    <w:p w14:paraId="7485D407" w14:textId="79192C9F" w:rsidR="00F94170" w:rsidRPr="00300026" w:rsidRDefault="00872AB3" w:rsidP="00FD1601">
      <w:pPr>
        <w:rPr>
          <w:sz w:val="22"/>
          <w:szCs w:val="22"/>
        </w:rPr>
      </w:pPr>
      <w:r w:rsidRPr="00300026">
        <w:rPr>
          <w:sz w:val="22"/>
          <w:szCs w:val="22"/>
        </w:rPr>
        <w:t>Sub</w:t>
      </w:r>
      <w:r w:rsidR="00BB098E">
        <w:rPr>
          <w:sz w:val="22"/>
          <w:szCs w:val="22"/>
        </w:rPr>
        <w:t>clause</w:t>
      </w:r>
      <w:r w:rsidRPr="00300026">
        <w:rPr>
          <w:sz w:val="22"/>
          <w:szCs w:val="22"/>
        </w:rPr>
        <w:t xml:space="preserve"> 7</w:t>
      </w:r>
      <w:r w:rsidR="00F94170" w:rsidRPr="00300026">
        <w:rPr>
          <w:sz w:val="22"/>
          <w:szCs w:val="22"/>
        </w:rPr>
        <w:t>(1</w:t>
      </w:r>
      <w:proofErr w:type="gramStart"/>
      <w:r w:rsidR="00F94170" w:rsidRPr="00300026">
        <w:rPr>
          <w:sz w:val="22"/>
          <w:szCs w:val="22"/>
        </w:rPr>
        <w:t>)(</w:t>
      </w:r>
      <w:proofErr w:type="gramEnd"/>
      <w:r w:rsidR="00F94170" w:rsidRPr="00300026">
        <w:rPr>
          <w:sz w:val="22"/>
          <w:szCs w:val="22"/>
        </w:rPr>
        <w:t>a) provides that, for the purpose of section</w:t>
      </w:r>
      <w:r w:rsidRPr="00300026">
        <w:rPr>
          <w:sz w:val="22"/>
          <w:szCs w:val="22"/>
        </w:rPr>
        <w:t>s 21(1)(b</w:t>
      </w:r>
      <w:r w:rsidR="00F94170" w:rsidRPr="00300026">
        <w:rPr>
          <w:sz w:val="22"/>
          <w:szCs w:val="22"/>
        </w:rPr>
        <w:t>)</w:t>
      </w:r>
      <w:r w:rsidRPr="00300026">
        <w:rPr>
          <w:sz w:val="22"/>
          <w:szCs w:val="22"/>
        </w:rPr>
        <w:t xml:space="preserve"> and 21(1)(c)</w:t>
      </w:r>
      <w:r w:rsidR="00F94170" w:rsidRPr="00300026">
        <w:rPr>
          <w:sz w:val="22"/>
          <w:szCs w:val="22"/>
        </w:rPr>
        <w:t xml:space="preserve"> </w:t>
      </w:r>
      <w:r w:rsidR="00841185" w:rsidRPr="00300026">
        <w:rPr>
          <w:sz w:val="22"/>
          <w:szCs w:val="22"/>
        </w:rPr>
        <w:t xml:space="preserve">of the Act, </w:t>
      </w:r>
      <w:r w:rsidR="00F94170" w:rsidRPr="00300026">
        <w:rPr>
          <w:sz w:val="22"/>
          <w:szCs w:val="22"/>
        </w:rPr>
        <w:t>the methodology to be used by accredited assessors is the Tenancy Lighting Assessment rules. As an alternative, sub</w:t>
      </w:r>
      <w:r w:rsidR="00600BED" w:rsidRPr="00300026">
        <w:rPr>
          <w:sz w:val="22"/>
          <w:szCs w:val="22"/>
        </w:rPr>
        <w:t>clause</w:t>
      </w:r>
      <w:r w:rsidR="00F94170" w:rsidRPr="00300026">
        <w:rPr>
          <w:sz w:val="22"/>
          <w:szCs w:val="22"/>
        </w:rPr>
        <w:t xml:space="preserve"> 7(1</w:t>
      </w:r>
      <w:proofErr w:type="gramStart"/>
      <w:r w:rsidR="00F94170" w:rsidRPr="00300026">
        <w:rPr>
          <w:sz w:val="22"/>
          <w:szCs w:val="22"/>
        </w:rPr>
        <w:t>)(</w:t>
      </w:r>
      <w:proofErr w:type="gramEnd"/>
      <w:r w:rsidR="00F94170" w:rsidRPr="00300026">
        <w:rPr>
          <w:sz w:val="22"/>
          <w:szCs w:val="22"/>
        </w:rPr>
        <w:t>b) permits an assessor to rely on a pre-existing current Tenancy Lighting Assessment in the circumstances set out in sub</w:t>
      </w:r>
      <w:r w:rsidR="00600BED" w:rsidRPr="00300026">
        <w:rPr>
          <w:sz w:val="22"/>
          <w:szCs w:val="22"/>
        </w:rPr>
        <w:t>clause</w:t>
      </w:r>
      <w:r w:rsidR="00F94170" w:rsidRPr="00300026">
        <w:rPr>
          <w:sz w:val="22"/>
          <w:szCs w:val="22"/>
        </w:rPr>
        <w:t xml:space="preserve"> 7(2).  </w:t>
      </w:r>
    </w:p>
    <w:p w14:paraId="4D24110B" w14:textId="77777777" w:rsidR="00AE58F5" w:rsidRPr="00300026" w:rsidRDefault="00AE58F5" w:rsidP="00FA71A5">
      <w:pPr>
        <w:rPr>
          <w:b/>
          <w:sz w:val="22"/>
          <w:szCs w:val="22"/>
        </w:rPr>
      </w:pPr>
    </w:p>
    <w:p w14:paraId="7BAEC09D" w14:textId="77777777" w:rsidR="00AE58F5" w:rsidRPr="00300026" w:rsidRDefault="00841185" w:rsidP="00FA71A5">
      <w:pPr>
        <w:rPr>
          <w:b/>
          <w:szCs w:val="22"/>
        </w:rPr>
      </w:pPr>
      <w:r w:rsidRPr="00300026">
        <w:rPr>
          <w:b/>
          <w:szCs w:val="22"/>
        </w:rPr>
        <w:t>Clause 8</w:t>
      </w:r>
      <w:r w:rsidR="00AE58F5" w:rsidRPr="00300026">
        <w:rPr>
          <w:b/>
          <w:szCs w:val="22"/>
        </w:rPr>
        <w:t xml:space="preserve">– Information included in certificates </w:t>
      </w:r>
    </w:p>
    <w:p w14:paraId="7A203D45" w14:textId="77777777" w:rsidR="00AE58F5" w:rsidRPr="00300026" w:rsidRDefault="00AE58F5" w:rsidP="00FA71A5">
      <w:pPr>
        <w:rPr>
          <w:b/>
          <w:sz w:val="22"/>
          <w:szCs w:val="22"/>
        </w:rPr>
      </w:pPr>
    </w:p>
    <w:p w14:paraId="41DB722F" w14:textId="2D28E138" w:rsidR="00AE58F5" w:rsidRPr="00300026" w:rsidRDefault="00BB098E" w:rsidP="00AE58F5">
      <w:pPr>
        <w:rPr>
          <w:sz w:val="22"/>
          <w:szCs w:val="22"/>
        </w:rPr>
      </w:pPr>
      <w:r>
        <w:rPr>
          <w:sz w:val="22"/>
          <w:szCs w:val="22"/>
        </w:rPr>
        <w:t xml:space="preserve">In accordance with </w:t>
      </w:r>
      <w:r w:rsidR="00AE58F5" w:rsidRPr="00300026">
        <w:rPr>
          <w:sz w:val="22"/>
          <w:szCs w:val="22"/>
        </w:rPr>
        <w:t>s</w:t>
      </w:r>
      <w:r w:rsidR="00600BED" w:rsidRPr="00300026">
        <w:rPr>
          <w:sz w:val="22"/>
          <w:szCs w:val="22"/>
        </w:rPr>
        <w:t xml:space="preserve">ection </w:t>
      </w:r>
      <w:r w:rsidR="00AE58F5" w:rsidRPr="00300026">
        <w:rPr>
          <w:sz w:val="22"/>
          <w:szCs w:val="22"/>
        </w:rPr>
        <w:t>13A of the Act,</w:t>
      </w:r>
      <w:r>
        <w:rPr>
          <w:sz w:val="22"/>
          <w:szCs w:val="22"/>
        </w:rPr>
        <w:t xml:space="preserve"> clause 8 sets out the</w:t>
      </w:r>
      <w:r w:rsidR="00AE58F5" w:rsidRPr="00300026">
        <w:rPr>
          <w:sz w:val="22"/>
          <w:szCs w:val="22"/>
        </w:rPr>
        <w:t xml:space="preserve"> </w:t>
      </w:r>
      <w:proofErr w:type="spellStart"/>
      <w:r w:rsidR="00AE58F5" w:rsidRPr="00300026">
        <w:rPr>
          <w:sz w:val="22"/>
          <w:szCs w:val="22"/>
        </w:rPr>
        <w:t>the</w:t>
      </w:r>
      <w:proofErr w:type="spellEnd"/>
      <w:r w:rsidR="00AE58F5" w:rsidRPr="00300026">
        <w:rPr>
          <w:sz w:val="22"/>
          <w:szCs w:val="22"/>
        </w:rPr>
        <w:t xml:space="preserve"> information which must be included </w:t>
      </w:r>
      <w:r>
        <w:rPr>
          <w:sz w:val="22"/>
          <w:szCs w:val="22"/>
        </w:rPr>
        <w:t>in a BEEC</w:t>
      </w:r>
      <w:r w:rsidR="00AE58F5" w:rsidRPr="00300026">
        <w:rPr>
          <w:sz w:val="22"/>
          <w:szCs w:val="22"/>
        </w:rPr>
        <w:t xml:space="preserve">. </w:t>
      </w:r>
    </w:p>
    <w:p w14:paraId="1AB84121" w14:textId="77777777" w:rsidR="00AE58F5" w:rsidRPr="00300026" w:rsidRDefault="00AE58F5" w:rsidP="00AE58F5">
      <w:pPr>
        <w:rPr>
          <w:sz w:val="22"/>
          <w:szCs w:val="22"/>
        </w:rPr>
      </w:pPr>
    </w:p>
    <w:p w14:paraId="7D71F0DC" w14:textId="4FE77BC3" w:rsidR="00AE58F5" w:rsidRPr="00300026" w:rsidRDefault="00BB098E" w:rsidP="00AE58F5">
      <w:pPr>
        <w:rPr>
          <w:sz w:val="22"/>
          <w:szCs w:val="22"/>
        </w:rPr>
      </w:pPr>
      <w:r>
        <w:rPr>
          <w:sz w:val="22"/>
          <w:szCs w:val="22"/>
        </w:rPr>
        <w:t xml:space="preserve">With respect to </w:t>
      </w:r>
      <w:r w:rsidR="00841185" w:rsidRPr="00300026">
        <w:rPr>
          <w:sz w:val="22"/>
          <w:szCs w:val="22"/>
        </w:rPr>
        <w:t>sub</w:t>
      </w:r>
      <w:r w:rsidR="00600BED" w:rsidRPr="00300026">
        <w:rPr>
          <w:sz w:val="22"/>
          <w:szCs w:val="22"/>
        </w:rPr>
        <w:t>clause</w:t>
      </w:r>
      <w:r w:rsidR="00841185" w:rsidRPr="00300026">
        <w:rPr>
          <w:sz w:val="22"/>
          <w:szCs w:val="22"/>
        </w:rPr>
        <w:t xml:space="preserve"> 8(a), section</w:t>
      </w:r>
      <w:r w:rsidR="00AE58F5" w:rsidRPr="00300026">
        <w:rPr>
          <w:sz w:val="22"/>
          <w:szCs w:val="22"/>
        </w:rPr>
        <w:t xml:space="preserve"> 13(1) of the Act defines the terms </w:t>
      </w:r>
      <w:r>
        <w:rPr>
          <w:sz w:val="22"/>
          <w:szCs w:val="22"/>
        </w:rPr>
        <w:t>‘</w:t>
      </w:r>
      <w:r w:rsidR="00AE58F5" w:rsidRPr="00DD7378">
        <w:rPr>
          <w:sz w:val="22"/>
          <w:szCs w:val="22"/>
        </w:rPr>
        <w:t>issue day</w:t>
      </w:r>
      <w:r>
        <w:rPr>
          <w:sz w:val="22"/>
          <w:szCs w:val="22"/>
        </w:rPr>
        <w:t>’</w:t>
      </w:r>
      <w:r w:rsidR="00AE58F5" w:rsidRPr="00300026">
        <w:rPr>
          <w:i/>
          <w:sz w:val="22"/>
          <w:szCs w:val="22"/>
        </w:rPr>
        <w:t xml:space="preserve"> </w:t>
      </w:r>
      <w:r w:rsidR="00AE58F5" w:rsidRPr="00300026">
        <w:rPr>
          <w:sz w:val="22"/>
          <w:szCs w:val="22"/>
        </w:rPr>
        <w:t xml:space="preserve">and </w:t>
      </w:r>
      <w:r>
        <w:rPr>
          <w:sz w:val="22"/>
          <w:szCs w:val="22"/>
        </w:rPr>
        <w:t>‘</w:t>
      </w:r>
      <w:r w:rsidR="00AE58F5" w:rsidRPr="00DD7378">
        <w:rPr>
          <w:sz w:val="22"/>
          <w:szCs w:val="22"/>
        </w:rPr>
        <w:t>start day</w:t>
      </w:r>
      <w:r>
        <w:rPr>
          <w:sz w:val="22"/>
          <w:szCs w:val="22"/>
        </w:rPr>
        <w:t>’</w:t>
      </w:r>
      <w:r w:rsidR="00AE58F5" w:rsidRPr="00300026">
        <w:rPr>
          <w:sz w:val="22"/>
          <w:szCs w:val="22"/>
        </w:rPr>
        <w:t xml:space="preserve">, which were additions </w:t>
      </w:r>
      <w:r>
        <w:rPr>
          <w:sz w:val="22"/>
          <w:szCs w:val="22"/>
        </w:rPr>
        <w:t xml:space="preserve">to the Act </w:t>
      </w:r>
      <w:r w:rsidR="00F87318">
        <w:rPr>
          <w:sz w:val="22"/>
          <w:szCs w:val="22"/>
        </w:rPr>
        <w:t xml:space="preserve">resulting from </w:t>
      </w:r>
      <w:r w:rsidR="00AE58F5" w:rsidRPr="00300026">
        <w:rPr>
          <w:sz w:val="22"/>
          <w:szCs w:val="22"/>
        </w:rPr>
        <w:t xml:space="preserve">the </w:t>
      </w:r>
      <w:r w:rsidR="00AE58F5" w:rsidRPr="00300026">
        <w:rPr>
          <w:i/>
          <w:sz w:val="22"/>
          <w:szCs w:val="22"/>
        </w:rPr>
        <w:t xml:space="preserve">Building Energy Efficiency Disclosure Amendment Act 2015. </w:t>
      </w:r>
      <w:r w:rsidR="00FD2E7C" w:rsidRPr="00300026">
        <w:rPr>
          <w:sz w:val="22"/>
          <w:szCs w:val="22"/>
        </w:rPr>
        <w:t>It is intended that the ‘start day’ be the date o</w:t>
      </w:r>
      <w:r w:rsidR="005D4201">
        <w:rPr>
          <w:sz w:val="22"/>
          <w:szCs w:val="22"/>
        </w:rPr>
        <w:t>n</w:t>
      </w:r>
      <w:r w:rsidR="00FD2E7C" w:rsidRPr="00300026">
        <w:rPr>
          <w:sz w:val="22"/>
          <w:szCs w:val="22"/>
        </w:rPr>
        <w:t xml:space="preserve"> which the BEEC commences. This date may be the same date as the ‘issue day’ or be a later specified date.  </w:t>
      </w:r>
    </w:p>
    <w:p w14:paraId="173215D8" w14:textId="77777777" w:rsidR="003C0D7E" w:rsidRPr="00300026" w:rsidRDefault="003C0D7E" w:rsidP="00AE58F5">
      <w:pPr>
        <w:rPr>
          <w:sz w:val="22"/>
          <w:szCs w:val="22"/>
        </w:rPr>
      </w:pPr>
    </w:p>
    <w:p w14:paraId="777CC4ED" w14:textId="37346985" w:rsidR="001B4ED7" w:rsidRPr="00300026" w:rsidRDefault="003C0D7E" w:rsidP="00785194">
      <w:pPr>
        <w:rPr>
          <w:sz w:val="22"/>
          <w:szCs w:val="22"/>
        </w:rPr>
      </w:pPr>
      <w:r w:rsidRPr="00300026">
        <w:rPr>
          <w:sz w:val="22"/>
          <w:szCs w:val="22"/>
        </w:rPr>
        <w:t xml:space="preserve">NABERS is able to produce two types of NABERS Energy Ratings, one that takes into account </w:t>
      </w:r>
      <w:proofErr w:type="spellStart"/>
      <w:r w:rsidRPr="00300026">
        <w:rPr>
          <w:sz w:val="22"/>
          <w:szCs w:val="22"/>
        </w:rPr>
        <w:t>GreenPower</w:t>
      </w:r>
      <w:proofErr w:type="spellEnd"/>
      <w:r w:rsidRPr="00300026">
        <w:rPr>
          <w:sz w:val="22"/>
          <w:szCs w:val="22"/>
        </w:rPr>
        <w:t xml:space="preserve"> purchases and the other which does not.</w:t>
      </w:r>
      <w:r w:rsidR="00841185" w:rsidRPr="00300026">
        <w:rPr>
          <w:sz w:val="22"/>
          <w:szCs w:val="22"/>
        </w:rPr>
        <w:t xml:space="preserve"> </w:t>
      </w:r>
      <w:r w:rsidR="005D4201">
        <w:rPr>
          <w:sz w:val="22"/>
          <w:szCs w:val="22"/>
        </w:rPr>
        <w:t>Under subclause 8(m), t</w:t>
      </w:r>
      <w:r w:rsidR="00841185" w:rsidRPr="00300026">
        <w:rPr>
          <w:sz w:val="22"/>
          <w:szCs w:val="22"/>
        </w:rPr>
        <w:t xml:space="preserve">he </w:t>
      </w:r>
      <w:r w:rsidR="00BB098E">
        <w:rPr>
          <w:sz w:val="22"/>
          <w:szCs w:val="22"/>
        </w:rPr>
        <w:t>NABER</w:t>
      </w:r>
      <w:r w:rsidR="00442A18">
        <w:rPr>
          <w:sz w:val="22"/>
          <w:szCs w:val="22"/>
        </w:rPr>
        <w:t>S</w:t>
      </w:r>
      <w:r w:rsidR="00BB098E">
        <w:rPr>
          <w:sz w:val="22"/>
          <w:szCs w:val="22"/>
        </w:rPr>
        <w:t xml:space="preserve"> Energy R</w:t>
      </w:r>
      <w:r w:rsidR="00841185" w:rsidRPr="00300026">
        <w:rPr>
          <w:sz w:val="22"/>
          <w:szCs w:val="22"/>
        </w:rPr>
        <w:t xml:space="preserve">ating that does not account </w:t>
      </w:r>
      <w:r w:rsidR="00586CBB" w:rsidRPr="00300026">
        <w:rPr>
          <w:sz w:val="22"/>
          <w:szCs w:val="22"/>
        </w:rPr>
        <w:t xml:space="preserve">for </w:t>
      </w:r>
      <w:proofErr w:type="spellStart"/>
      <w:r w:rsidR="00586CBB" w:rsidRPr="00300026">
        <w:rPr>
          <w:sz w:val="22"/>
          <w:szCs w:val="22"/>
        </w:rPr>
        <w:t>GreenPower</w:t>
      </w:r>
      <w:proofErr w:type="spellEnd"/>
      <w:r w:rsidR="00586CBB" w:rsidRPr="00300026">
        <w:rPr>
          <w:sz w:val="22"/>
          <w:szCs w:val="22"/>
        </w:rPr>
        <w:t xml:space="preserve"> purchases is the</w:t>
      </w:r>
      <w:r w:rsidR="00841185" w:rsidRPr="00300026">
        <w:rPr>
          <w:sz w:val="22"/>
          <w:szCs w:val="22"/>
        </w:rPr>
        <w:t xml:space="preserve"> one to be </w:t>
      </w:r>
      <w:r w:rsidR="00BB098E">
        <w:rPr>
          <w:sz w:val="22"/>
          <w:szCs w:val="22"/>
        </w:rPr>
        <w:t xml:space="preserve">included </w:t>
      </w:r>
      <w:r w:rsidR="00841185" w:rsidRPr="00300026">
        <w:rPr>
          <w:sz w:val="22"/>
          <w:szCs w:val="22"/>
        </w:rPr>
        <w:t xml:space="preserve">on the BEEC. </w:t>
      </w:r>
    </w:p>
    <w:p w14:paraId="089BA08D" w14:textId="77777777" w:rsidR="009937FB" w:rsidRPr="00300026" w:rsidRDefault="009937FB" w:rsidP="00785194">
      <w:pPr>
        <w:rPr>
          <w:sz w:val="22"/>
          <w:szCs w:val="22"/>
        </w:rPr>
      </w:pPr>
    </w:p>
    <w:p w14:paraId="556AFCCA" w14:textId="77777777" w:rsidR="009937FB" w:rsidRPr="00300026" w:rsidRDefault="009937FB" w:rsidP="00785194">
      <w:pPr>
        <w:rPr>
          <w:sz w:val="22"/>
          <w:szCs w:val="22"/>
        </w:rPr>
      </w:pPr>
    </w:p>
    <w:p w14:paraId="0470BABC" w14:textId="77777777" w:rsidR="009937FB" w:rsidRPr="00300026" w:rsidRDefault="009937FB" w:rsidP="00785194">
      <w:pPr>
        <w:rPr>
          <w:sz w:val="22"/>
          <w:szCs w:val="22"/>
        </w:rPr>
      </w:pPr>
    </w:p>
    <w:p w14:paraId="73B8809B" w14:textId="77777777" w:rsidR="009937FB" w:rsidRPr="00300026" w:rsidRDefault="009937FB" w:rsidP="00785194">
      <w:pPr>
        <w:rPr>
          <w:sz w:val="22"/>
          <w:szCs w:val="22"/>
        </w:rPr>
      </w:pPr>
    </w:p>
    <w:p w14:paraId="082AB100" w14:textId="77777777" w:rsidR="009937FB" w:rsidRPr="00300026" w:rsidRDefault="009937FB" w:rsidP="00785194">
      <w:pPr>
        <w:rPr>
          <w:sz w:val="22"/>
          <w:szCs w:val="22"/>
        </w:rPr>
      </w:pPr>
    </w:p>
    <w:p w14:paraId="68D4F5AF" w14:textId="77777777" w:rsidR="00D54F95" w:rsidRPr="00300026" w:rsidRDefault="00D54F95">
      <w:pPr>
        <w:rPr>
          <w:b/>
          <w:sz w:val="28"/>
          <w:szCs w:val="28"/>
        </w:rPr>
      </w:pPr>
      <w:bookmarkStart w:id="1" w:name="_Toc290210739"/>
      <w:r w:rsidRPr="00300026">
        <w:rPr>
          <w:b/>
          <w:sz w:val="28"/>
          <w:szCs w:val="28"/>
        </w:rPr>
        <w:br w:type="page"/>
      </w:r>
    </w:p>
    <w:p w14:paraId="4CE22C9D" w14:textId="77777777" w:rsidR="001C2687" w:rsidRPr="00300026" w:rsidRDefault="001C2687" w:rsidP="001C2687">
      <w:pPr>
        <w:spacing w:before="360" w:after="120"/>
        <w:jc w:val="center"/>
        <w:rPr>
          <w:b/>
          <w:sz w:val="28"/>
          <w:szCs w:val="28"/>
        </w:rPr>
      </w:pPr>
      <w:r w:rsidRPr="00300026">
        <w:rPr>
          <w:b/>
          <w:sz w:val="28"/>
          <w:szCs w:val="28"/>
        </w:rPr>
        <w:lastRenderedPageBreak/>
        <w:t>Statement of Compatibility with Human Rights</w:t>
      </w:r>
    </w:p>
    <w:p w14:paraId="1BD66E69" w14:textId="77777777" w:rsidR="001C2687" w:rsidRPr="00300026" w:rsidRDefault="001C2687" w:rsidP="001C2687">
      <w:pPr>
        <w:spacing w:before="120" w:after="120"/>
        <w:jc w:val="center"/>
        <w:rPr>
          <w:i/>
        </w:rPr>
      </w:pPr>
      <w:r w:rsidRPr="00300026">
        <w:rPr>
          <w:i/>
        </w:rPr>
        <w:t>Prepared in accordance with Part 3 of the Human Rights (Parliamentary Scrutiny) Act 2011</w:t>
      </w:r>
    </w:p>
    <w:p w14:paraId="0C5670CA" w14:textId="77777777" w:rsidR="001C2687" w:rsidRPr="00300026" w:rsidRDefault="001C2687" w:rsidP="001C2687">
      <w:pPr>
        <w:spacing w:before="120" w:after="120"/>
        <w:jc w:val="center"/>
      </w:pPr>
    </w:p>
    <w:p w14:paraId="6A4D5B6C" w14:textId="70C0F146" w:rsidR="001C2687" w:rsidRPr="00DD7378" w:rsidRDefault="001C2687" w:rsidP="001C2687">
      <w:pPr>
        <w:jc w:val="center"/>
        <w:rPr>
          <w:b/>
          <w:i/>
          <w:szCs w:val="22"/>
        </w:rPr>
      </w:pPr>
      <w:r w:rsidRPr="00DD7378">
        <w:rPr>
          <w:b/>
          <w:i/>
          <w:szCs w:val="22"/>
        </w:rPr>
        <w:t>Building Energy Efficiency Disclosure Determination 201</w:t>
      </w:r>
      <w:r w:rsidR="00A552D0" w:rsidRPr="00DD7378">
        <w:rPr>
          <w:b/>
          <w:i/>
          <w:szCs w:val="22"/>
        </w:rPr>
        <w:t>6</w:t>
      </w:r>
      <w:r w:rsidRPr="00DD7378">
        <w:rPr>
          <w:b/>
          <w:i/>
          <w:szCs w:val="22"/>
        </w:rPr>
        <w:t xml:space="preserve"> </w:t>
      </w:r>
    </w:p>
    <w:p w14:paraId="34B91E12" w14:textId="77777777" w:rsidR="001C2687" w:rsidRPr="00300026" w:rsidRDefault="001C2687" w:rsidP="001C2687">
      <w:pPr>
        <w:spacing w:before="120" w:after="120"/>
        <w:jc w:val="center"/>
      </w:pPr>
    </w:p>
    <w:p w14:paraId="3CC3583B" w14:textId="77777777" w:rsidR="001C2687" w:rsidRPr="00300026" w:rsidRDefault="001C2687" w:rsidP="001C2687">
      <w:pPr>
        <w:spacing w:before="120" w:after="120"/>
        <w:jc w:val="center"/>
      </w:pPr>
    </w:p>
    <w:p w14:paraId="2D1C920C" w14:textId="77777777" w:rsidR="001C2687" w:rsidRPr="00300026" w:rsidRDefault="001C2687" w:rsidP="001C2687">
      <w:pPr>
        <w:spacing w:before="120" w:after="120"/>
        <w:jc w:val="center"/>
      </w:pPr>
      <w:r w:rsidRPr="00300026">
        <w:t xml:space="preserve">This Legislative Instrument is compatible with the human rights and freedoms recognised or declared in the international instruments listed in section 3 of the </w:t>
      </w:r>
      <w:r w:rsidRPr="00300026">
        <w:rPr>
          <w:i/>
        </w:rPr>
        <w:t>Human Rights (Parliamentary Scrutiny) Act 2011</w:t>
      </w:r>
      <w:r w:rsidRPr="00300026">
        <w:t>.</w:t>
      </w:r>
    </w:p>
    <w:p w14:paraId="3C1B9C31" w14:textId="77777777" w:rsidR="001C2687" w:rsidRPr="00300026" w:rsidRDefault="001C2687" w:rsidP="001C2687">
      <w:pPr>
        <w:spacing w:before="120" w:after="120"/>
        <w:jc w:val="center"/>
      </w:pPr>
    </w:p>
    <w:p w14:paraId="0A43E8BC" w14:textId="77777777" w:rsidR="001C2687" w:rsidRPr="00300026" w:rsidRDefault="001C2687" w:rsidP="001C2687">
      <w:pPr>
        <w:spacing w:before="120" w:after="120"/>
        <w:jc w:val="center"/>
      </w:pPr>
    </w:p>
    <w:p w14:paraId="6A441B1C" w14:textId="77777777" w:rsidR="001C2687" w:rsidRPr="00300026" w:rsidRDefault="001C2687" w:rsidP="001C2687">
      <w:pPr>
        <w:spacing w:before="120" w:after="120"/>
        <w:jc w:val="both"/>
        <w:rPr>
          <w:b/>
        </w:rPr>
      </w:pPr>
      <w:r w:rsidRPr="00300026">
        <w:rPr>
          <w:b/>
        </w:rPr>
        <w:t>Overview of the Legislative Instrument</w:t>
      </w:r>
    </w:p>
    <w:p w14:paraId="1A8C9E75" w14:textId="717A65BB" w:rsidR="00BE16E9" w:rsidRPr="00DD7378" w:rsidRDefault="00BE16E9" w:rsidP="00442A18">
      <w:pPr>
        <w:rPr>
          <w:szCs w:val="22"/>
        </w:rPr>
      </w:pPr>
      <w:r w:rsidRPr="00D84669">
        <w:t>The</w:t>
      </w:r>
      <w:r>
        <w:t xml:space="preserve"> </w:t>
      </w:r>
      <w:r w:rsidRPr="00D84669">
        <w:rPr>
          <w:i/>
          <w:szCs w:val="22"/>
        </w:rPr>
        <w:t>Building Energy Efficiency Disclosure Determination 201</w:t>
      </w:r>
      <w:r>
        <w:rPr>
          <w:i/>
          <w:szCs w:val="22"/>
        </w:rPr>
        <w:t>6</w:t>
      </w:r>
      <w:r w:rsidR="00442A18">
        <w:rPr>
          <w:i/>
          <w:szCs w:val="22"/>
        </w:rPr>
        <w:t xml:space="preserve"> </w:t>
      </w:r>
      <w:r w:rsidR="00442A18">
        <w:rPr>
          <w:szCs w:val="22"/>
        </w:rPr>
        <w:t xml:space="preserve">determines </w:t>
      </w:r>
      <w:r w:rsidR="00442A18" w:rsidRPr="00442A18">
        <w:rPr>
          <w:szCs w:val="22"/>
        </w:rPr>
        <w:t xml:space="preserve">the manner in which energy efficiency ratings must </w:t>
      </w:r>
      <w:r w:rsidR="00442A18">
        <w:rPr>
          <w:szCs w:val="22"/>
        </w:rPr>
        <w:t xml:space="preserve">be expressed in advertisements; </w:t>
      </w:r>
      <w:r w:rsidR="00442A18" w:rsidRPr="00442A18">
        <w:rPr>
          <w:szCs w:val="22"/>
        </w:rPr>
        <w:t>the assessment methods and standards to be applied in working out the energy e</w:t>
      </w:r>
      <w:r w:rsidR="00442A18">
        <w:rPr>
          <w:szCs w:val="22"/>
        </w:rPr>
        <w:t>fficiency rating for a building</w:t>
      </w:r>
      <w:r w:rsidR="00F87318">
        <w:rPr>
          <w:szCs w:val="22"/>
        </w:rPr>
        <w:t xml:space="preserve">; </w:t>
      </w:r>
      <w:r w:rsidR="00442A18">
        <w:rPr>
          <w:szCs w:val="22"/>
        </w:rPr>
        <w:t>the</w:t>
      </w:r>
      <w:r w:rsidR="00F87318">
        <w:rPr>
          <w:szCs w:val="22"/>
        </w:rPr>
        <w:t xml:space="preserve"> assessment method and standards to perform a</w:t>
      </w:r>
      <w:r w:rsidR="00442A18">
        <w:rPr>
          <w:szCs w:val="22"/>
        </w:rPr>
        <w:t xml:space="preserve"> </w:t>
      </w:r>
      <w:r w:rsidR="00442A18" w:rsidRPr="00442A18">
        <w:rPr>
          <w:szCs w:val="22"/>
        </w:rPr>
        <w:t>lighting energy efficiency</w:t>
      </w:r>
      <w:r w:rsidR="00F87318">
        <w:rPr>
          <w:szCs w:val="22"/>
        </w:rPr>
        <w:t xml:space="preserve"> assessment</w:t>
      </w:r>
      <w:r w:rsidR="00442A18" w:rsidRPr="00442A18">
        <w:rPr>
          <w:szCs w:val="22"/>
        </w:rPr>
        <w:t xml:space="preserve"> for a building</w:t>
      </w:r>
      <w:r w:rsidR="00442A18">
        <w:rPr>
          <w:szCs w:val="22"/>
        </w:rPr>
        <w:t xml:space="preserve"> or area of a building; and </w:t>
      </w:r>
      <w:r w:rsidR="00442A18" w:rsidRPr="00442A18">
        <w:rPr>
          <w:szCs w:val="22"/>
        </w:rPr>
        <w:t>information to be set out in a building</w:t>
      </w:r>
      <w:r w:rsidR="000F46C3">
        <w:rPr>
          <w:szCs w:val="22"/>
        </w:rPr>
        <w:t xml:space="preserve"> energy efficiency certificate</w:t>
      </w:r>
      <w:r>
        <w:rPr>
          <w:sz w:val="22"/>
          <w:szCs w:val="22"/>
        </w:rPr>
        <w:t>.</w:t>
      </w:r>
    </w:p>
    <w:p w14:paraId="54F30DD0" w14:textId="77777777" w:rsidR="001C2687" w:rsidRPr="00300026" w:rsidRDefault="001C2687" w:rsidP="00DD7378"/>
    <w:p w14:paraId="0B65C034" w14:textId="77777777" w:rsidR="001C2687" w:rsidRPr="00300026" w:rsidRDefault="001C2687" w:rsidP="001C2687">
      <w:pPr>
        <w:spacing w:before="120" w:after="120"/>
        <w:rPr>
          <w:b/>
        </w:rPr>
      </w:pPr>
      <w:r w:rsidRPr="00300026">
        <w:rPr>
          <w:b/>
        </w:rPr>
        <w:t>Human rights implications</w:t>
      </w:r>
    </w:p>
    <w:p w14:paraId="598B43FC" w14:textId="77777777" w:rsidR="001C2687" w:rsidRPr="00300026" w:rsidRDefault="001C2687" w:rsidP="001C2687">
      <w:pPr>
        <w:spacing w:before="120" w:after="120"/>
      </w:pPr>
      <w:r w:rsidRPr="00300026">
        <w:t>This Legislative Instrument does not engage any of the applicable rights or freedoms.</w:t>
      </w:r>
    </w:p>
    <w:p w14:paraId="4EBC041F" w14:textId="77777777" w:rsidR="001C2687" w:rsidRPr="00300026" w:rsidRDefault="001C2687" w:rsidP="001C2687">
      <w:pPr>
        <w:spacing w:before="120" w:after="120"/>
      </w:pPr>
    </w:p>
    <w:p w14:paraId="1DF6F07B" w14:textId="77777777" w:rsidR="001C2687" w:rsidRPr="00300026" w:rsidRDefault="001C2687" w:rsidP="001C2687">
      <w:pPr>
        <w:spacing w:before="120" w:after="120"/>
        <w:rPr>
          <w:b/>
        </w:rPr>
      </w:pPr>
      <w:r w:rsidRPr="00300026">
        <w:rPr>
          <w:b/>
        </w:rPr>
        <w:t>Conclusion</w:t>
      </w:r>
      <w:bookmarkStart w:id="2" w:name="CursorPositionBM"/>
      <w:bookmarkEnd w:id="2"/>
    </w:p>
    <w:p w14:paraId="257462A5" w14:textId="77777777" w:rsidR="001C2687" w:rsidRPr="00300026" w:rsidRDefault="001C2687" w:rsidP="001C2687">
      <w:pPr>
        <w:spacing w:before="120" w:after="120"/>
      </w:pPr>
      <w:r w:rsidRPr="00300026">
        <w:t>This Legislative Instrument is compatible with human rights as it does not raise any human rights issues.</w:t>
      </w:r>
    </w:p>
    <w:p w14:paraId="7CF9241C" w14:textId="77777777" w:rsidR="001C2687" w:rsidRPr="00300026" w:rsidRDefault="001C2687" w:rsidP="001C2687">
      <w:pPr>
        <w:spacing w:before="120" w:after="120"/>
        <w:jc w:val="center"/>
        <w:rPr>
          <w:b/>
        </w:rPr>
      </w:pPr>
    </w:p>
    <w:p w14:paraId="7CEB5402" w14:textId="77777777" w:rsidR="0025723A" w:rsidRPr="00300026" w:rsidRDefault="0025723A" w:rsidP="001C2687">
      <w:pPr>
        <w:spacing w:before="120" w:after="120"/>
        <w:jc w:val="center"/>
        <w:rPr>
          <w:b/>
        </w:rPr>
      </w:pPr>
    </w:p>
    <w:p w14:paraId="6B02CB15" w14:textId="679AECCD" w:rsidR="001C2687" w:rsidRPr="00300026" w:rsidRDefault="001C2687" w:rsidP="001C2687">
      <w:pPr>
        <w:spacing w:before="120" w:after="120"/>
        <w:jc w:val="center"/>
      </w:pPr>
      <w:r w:rsidRPr="00300026">
        <w:rPr>
          <w:b/>
        </w:rPr>
        <w:t xml:space="preserve">The </w:t>
      </w:r>
      <w:r w:rsidR="00DD7378">
        <w:rPr>
          <w:b/>
        </w:rPr>
        <w:t xml:space="preserve">Acting </w:t>
      </w:r>
      <w:r w:rsidRPr="00300026">
        <w:rPr>
          <w:b/>
        </w:rPr>
        <w:t xml:space="preserve">Secretary of the Department of </w:t>
      </w:r>
      <w:r w:rsidR="00DD7378">
        <w:rPr>
          <w:b/>
        </w:rPr>
        <w:t xml:space="preserve">the </w:t>
      </w:r>
      <w:r w:rsidR="00A552D0">
        <w:rPr>
          <w:b/>
        </w:rPr>
        <w:t>Environment and Energy</w:t>
      </w:r>
      <w:r w:rsidR="00BD2BB3" w:rsidRPr="00300026">
        <w:rPr>
          <w:b/>
        </w:rPr>
        <w:t xml:space="preserve">, </w:t>
      </w:r>
      <w:r w:rsidR="00DD7378">
        <w:rPr>
          <w:b/>
        </w:rPr>
        <w:t>Rhondda Dickson</w:t>
      </w:r>
    </w:p>
    <w:bookmarkEnd w:id="1"/>
    <w:p w14:paraId="6535D64B" w14:textId="77777777" w:rsidR="009937FB" w:rsidRPr="00300026" w:rsidRDefault="009937FB" w:rsidP="001B4ED7">
      <w:pPr>
        <w:rPr>
          <w:b/>
          <w:sz w:val="22"/>
          <w:szCs w:val="22"/>
        </w:rPr>
      </w:pPr>
    </w:p>
    <w:sectPr w:rsidR="009937FB" w:rsidRPr="00300026" w:rsidSect="001D216E">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D58961" w14:textId="77777777" w:rsidR="00FF4A23" w:rsidRDefault="00FF4A23" w:rsidP="003E0156">
      <w:r>
        <w:separator/>
      </w:r>
    </w:p>
  </w:endnote>
  <w:endnote w:type="continuationSeparator" w:id="0">
    <w:p w14:paraId="6CB056DE" w14:textId="77777777" w:rsidR="00FF4A23" w:rsidRDefault="00FF4A23" w:rsidP="003E0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3D16AE" w14:textId="77777777" w:rsidR="00FF4A23" w:rsidRDefault="00FF4A23" w:rsidP="003E0156">
      <w:r>
        <w:separator/>
      </w:r>
    </w:p>
  </w:footnote>
  <w:footnote w:type="continuationSeparator" w:id="0">
    <w:p w14:paraId="65D7C2F3" w14:textId="77777777" w:rsidR="00FF4A23" w:rsidRDefault="00FF4A23" w:rsidP="003E01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D2A750" w14:textId="77777777" w:rsidR="003E0156" w:rsidRDefault="003E01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EB6B96"/>
    <w:multiLevelType w:val="hybridMultilevel"/>
    <w:tmpl w:val="30FED778"/>
    <w:lvl w:ilvl="0" w:tplc="302EADC8">
      <w:start w:val="1"/>
      <w:numFmt w:val="lowerLetter"/>
      <w:lvlText w:val="%1)"/>
      <w:lvlJc w:val="left"/>
      <w:pPr>
        <w:tabs>
          <w:tab w:val="num" w:pos="1134"/>
        </w:tabs>
        <w:ind w:left="1134" w:hanging="709"/>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15:restartNumberingAfterBreak="0">
    <w:nsid w:val="185A628D"/>
    <w:multiLevelType w:val="hybridMultilevel"/>
    <w:tmpl w:val="F880D9A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D8B275E"/>
    <w:multiLevelType w:val="hybridMultilevel"/>
    <w:tmpl w:val="E9065048"/>
    <w:lvl w:ilvl="0" w:tplc="0C090001">
      <w:start w:val="1"/>
      <w:numFmt w:val="bullet"/>
      <w:lvlText w:val=""/>
      <w:lvlJc w:val="left"/>
      <w:pPr>
        <w:tabs>
          <w:tab w:val="num" w:pos="780"/>
        </w:tabs>
        <w:ind w:left="780" w:hanging="36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3" w15:restartNumberingAfterBreak="0">
    <w:nsid w:val="205D49FB"/>
    <w:multiLevelType w:val="hybridMultilevel"/>
    <w:tmpl w:val="F348969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C35E64"/>
    <w:multiLevelType w:val="hybridMultilevel"/>
    <w:tmpl w:val="59C6693A"/>
    <w:lvl w:ilvl="0" w:tplc="37EA8E9C">
      <w:start w:val="1"/>
      <w:numFmt w:val="lowerLetter"/>
      <w:lvlText w:val="(%1)"/>
      <w:lvlJc w:val="left"/>
      <w:pPr>
        <w:tabs>
          <w:tab w:val="num" w:pos="735"/>
        </w:tabs>
        <w:ind w:left="735" w:hanging="375"/>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15:restartNumberingAfterBreak="0">
    <w:nsid w:val="26FF3485"/>
    <w:multiLevelType w:val="hybridMultilevel"/>
    <w:tmpl w:val="427019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2B03F33"/>
    <w:multiLevelType w:val="hybridMultilevel"/>
    <w:tmpl w:val="A96288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A6F723F"/>
    <w:multiLevelType w:val="hybridMultilevel"/>
    <w:tmpl w:val="548C05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FF02121"/>
    <w:multiLevelType w:val="hybridMultilevel"/>
    <w:tmpl w:val="586A63D8"/>
    <w:lvl w:ilvl="0" w:tplc="7CCAE86A">
      <w:start w:val="1"/>
      <w:numFmt w:val="decimal"/>
      <w:lvlText w:val="%1."/>
      <w:lvlJc w:val="left"/>
      <w:pPr>
        <w:ind w:left="720" w:hanging="360"/>
      </w:pPr>
      <w:rPr>
        <w:b w:val="0"/>
      </w:rPr>
    </w:lvl>
    <w:lvl w:ilvl="1" w:tplc="D3086FFC">
      <w:start w:val="1"/>
      <w:numFmt w:val="lowerLetter"/>
      <w:lvlText w:val="%2."/>
      <w:lvlJc w:val="left"/>
      <w:pPr>
        <w:ind w:left="1440" w:hanging="360"/>
      </w:pPr>
      <w:rPr>
        <w:b w:val="0"/>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64043AC"/>
    <w:multiLevelType w:val="multilevel"/>
    <w:tmpl w:val="D82ED74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7F963F4"/>
    <w:multiLevelType w:val="hybridMultilevel"/>
    <w:tmpl w:val="9CC834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9DA618C"/>
    <w:multiLevelType w:val="hybridMultilevel"/>
    <w:tmpl w:val="85D254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F373B8D"/>
    <w:multiLevelType w:val="multilevel"/>
    <w:tmpl w:val="D82ED748"/>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4F7D3F68"/>
    <w:multiLevelType w:val="hybridMultilevel"/>
    <w:tmpl w:val="502AEDE8"/>
    <w:lvl w:ilvl="0" w:tplc="0C090001">
      <w:start w:val="1"/>
      <w:numFmt w:val="bullet"/>
      <w:lvlText w:val=""/>
      <w:lvlJc w:val="left"/>
      <w:pPr>
        <w:tabs>
          <w:tab w:val="num" w:pos="780"/>
        </w:tabs>
        <w:ind w:left="780" w:hanging="36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14" w15:restartNumberingAfterBreak="0">
    <w:nsid w:val="54D64AFF"/>
    <w:multiLevelType w:val="hybridMultilevel"/>
    <w:tmpl w:val="DAF6BB4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687370A"/>
    <w:multiLevelType w:val="hybridMultilevel"/>
    <w:tmpl w:val="4C6A0A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71A3C19"/>
    <w:multiLevelType w:val="hybridMultilevel"/>
    <w:tmpl w:val="B46AE52A"/>
    <w:lvl w:ilvl="0" w:tplc="302EADC8">
      <w:start w:val="1"/>
      <w:numFmt w:val="lowerLetter"/>
      <w:lvlText w:val="%1)"/>
      <w:lvlJc w:val="left"/>
      <w:pPr>
        <w:tabs>
          <w:tab w:val="num" w:pos="1134"/>
        </w:tabs>
        <w:ind w:left="1134" w:hanging="709"/>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7" w15:restartNumberingAfterBreak="0">
    <w:nsid w:val="58ED4662"/>
    <w:multiLevelType w:val="hybridMultilevel"/>
    <w:tmpl w:val="C0DE8E30"/>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D362246"/>
    <w:multiLevelType w:val="hybridMultilevel"/>
    <w:tmpl w:val="BF8C02E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6C54E48"/>
    <w:multiLevelType w:val="hybridMultilevel"/>
    <w:tmpl w:val="EB1E82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88469A1"/>
    <w:multiLevelType w:val="hybridMultilevel"/>
    <w:tmpl w:val="3AF895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A28495A"/>
    <w:multiLevelType w:val="hybridMultilevel"/>
    <w:tmpl w:val="6DB051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A7C5901"/>
    <w:multiLevelType w:val="hybridMultilevel"/>
    <w:tmpl w:val="D9FACD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AA45F49"/>
    <w:multiLevelType w:val="hybridMultilevel"/>
    <w:tmpl w:val="9B3CB1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DD540FB"/>
    <w:multiLevelType w:val="hybridMultilevel"/>
    <w:tmpl w:val="3BE2A4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1870A8D"/>
    <w:multiLevelType w:val="hybridMultilevel"/>
    <w:tmpl w:val="EB8268C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62374E7"/>
    <w:multiLevelType w:val="hybridMultilevel"/>
    <w:tmpl w:val="4A4CCD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99C1D0B"/>
    <w:multiLevelType w:val="hybridMultilevel"/>
    <w:tmpl w:val="D73CA21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AAD0550"/>
    <w:multiLevelType w:val="hybridMultilevel"/>
    <w:tmpl w:val="D82ED748"/>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num w:numId="1">
    <w:abstractNumId w:val="25"/>
  </w:num>
  <w:num w:numId="2">
    <w:abstractNumId w:val="2"/>
  </w:num>
  <w:num w:numId="3">
    <w:abstractNumId w:val="28"/>
  </w:num>
  <w:num w:numId="4">
    <w:abstractNumId w:val="9"/>
  </w:num>
  <w:num w:numId="5">
    <w:abstractNumId w:val="16"/>
  </w:num>
  <w:num w:numId="6">
    <w:abstractNumId w:val="4"/>
  </w:num>
  <w:num w:numId="7">
    <w:abstractNumId w:val="0"/>
  </w:num>
  <w:num w:numId="8">
    <w:abstractNumId w:val="14"/>
  </w:num>
  <w:num w:numId="9">
    <w:abstractNumId w:val="12"/>
  </w:num>
  <w:num w:numId="10">
    <w:abstractNumId w:val="15"/>
  </w:num>
  <w:num w:numId="11">
    <w:abstractNumId w:val="18"/>
  </w:num>
  <w:num w:numId="12">
    <w:abstractNumId w:val="13"/>
  </w:num>
  <w:num w:numId="13">
    <w:abstractNumId w:val="10"/>
  </w:num>
  <w:num w:numId="14">
    <w:abstractNumId w:val="22"/>
  </w:num>
  <w:num w:numId="15">
    <w:abstractNumId w:val="11"/>
  </w:num>
  <w:num w:numId="16">
    <w:abstractNumId w:val="23"/>
  </w:num>
  <w:num w:numId="17">
    <w:abstractNumId w:val="3"/>
  </w:num>
  <w:num w:numId="18">
    <w:abstractNumId w:val="1"/>
  </w:num>
  <w:num w:numId="19">
    <w:abstractNumId w:val="6"/>
  </w:num>
  <w:num w:numId="20">
    <w:abstractNumId w:val="17"/>
  </w:num>
  <w:num w:numId="21">
    <w:abstractNumId w:val="24"/>
  </w:num>
  <w:num w:numId="22">
    <w:abstractNumId w:val="19"/>
  </w:num>
  <w:num w:numId="23">
    <w:abstractNumId w:val="20"/>
  </w:num>
  <w:num w:numId="24">
    <w:abstractNumId w:val="7"/>
  </w:num>
  <w:num w:numId="25">
    <w:abstractNumId w:val="26"/>
  </w:num>
  <w:num w:numId="26">
    <w:abstractNumId w:val="5"/>
  </w:num>
  <w:num w:numId="27">
    <w:abstractNumId w:val="21"/>
  </w:num>
  <w:num w:numId="28">
    <w:abstractNumId w:val="27"/>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E10"/>
    <w:rsid w:val="000607DA"/>
    <w:rsid w:val="0006114E"/>
    <w:rsid w:val="000713AF"/>
    <w:rsid w:val="00077026"/>
    <w:rsid w:val="0008022D"/>
    <w:rsid w:val="00087C24"/>
    <w:rsid w:val="00091FC0"/>
    <w:rsid w:val="000A422B"/>
    <w:rsid w:val="000B02D3"/>
    <w:rsid w:val="000F46C3"/>
    <w:rsid w:val="00105970"/>
    <w:rsid w:val="00106255"/>
    <w:rsid w:val="0012267F"/>
    <w:rsid w:val="0014010F"/>
    <w:rsid w:val="00150BB2"/>
    <w:rsid w:val="00156449"/>
    <w:rsid w:val="001739E5"/>
    <w:rsid w:val="00190EBF"/>
    <w:rsid w:val="001A2A6F"/>
    <w:rsid w:val="001A70EE"/>
    <w:rsid w:val="001B230D"/>
    <w:rsid w:val="001B4ED7"/>
    <w:rsid w:val="001C2687"/>
    <w:rsid w:val="001D09A0"/>
    <w:rsid w:val="001D216E"/>
    <w:rsid w:val="001E161B"/>
    <w:rsid w:val="001E2F44"/>
    <w:rsid w:val="001F698A"/>
    <w:rsid w:val="0020491B"/>
    <w:rsid w:val="002358CE"/>
    <w:rsid w:val="002501D1"/>
    <w:rsid w:val="0025486B"/>
    <w:rsid w:val="0025723A"/>
    <w:rsid w:val="00260C70"/>
    <w:rsid w:val="002A4850"/>
    <w:rsid w:val="002D444D"/>
    <w:rsid w:val="002E41B8"/>
    <w:rsid w:val="00300026"/>
    <w:rsid w:val="0031099F"/>
    <w:rsid w:val="0031217A"/>
    <w:rsid w:val="003211B7"/>
    <w:rsid w:val="00322765"/>
    <w:rsid w:val="00343C68"/>
    <w:rsid w:val="00353597"/>
    <w:rsid w:val="003575B9"/>
    <w:rsid w:val="00380F09"/>
    <w:rsid w:val="003A2BFB"/>
    <w:rsid w:val="003C0D7E"/>
    <w:rsid w:val="003C658B"/>
    <w:rsid w:val="003E0156"/>
    <w:rsid w:val="004019BB"/>
    <w:rsid w:val="00405BC2"/>
    <w:rsid w:val="00413408"/>
    <w:rsid w:val="00420233"/>
    <w:rsid w:val="00424519"/>
    <w:rsid w:val="00441AF0"/>
    <w:rsid w:val="00442A18"/>
    <w:rsid w:val="00451DF9"/>
    <w:rsid w:val="00464068"/>
    <w:rsid w:val="0046607D"/>
    <w:rsid w:val="00477569"/>
    <w:rsid w:val="00480DFE"/>
    <w:rsid w:val="00482280"/>
    <w:rsid w:val="00487378"/>
    <w:rsid w:val="004C409E"/>
    <w:rsid w:val="004E2949"/>
    <w:rsid w:val="00500D93"/>
    <w:rsid w:val="00507AD3"/>
    <w:rsid w:val="00511E10"/>
    <w:rsid w:val="00550E30"/>
    <w:rsid w:val="00555E88"/>
    <w:rsid w:val="0057220D"/>
    <w:rsid w:val="00586CBB"/>
    <w:rsid w:val="0059230E"/>
    <w:rsid w:val="005969FD"/>
    <w:rsid w:val="005B6033"/>
    <w:rsid w:val="005B6592"/>
    <w:rsid w:val="005C5BDC"/>
    <w:rsid w:val="005D4201"/>
    <w:rsid w:val="005E3315"/>
    <w:rsid w:val="00600BED"/>
    <w:rsid w:val="006060A2"/>
    <w:rsid w:val="00611875"/>
    <w:rsid w:val="00613488"/>
    <w:rsid w:val="00621D6F"/>
    <w:rsid w:val="006276BB"/>
    <w:rsid w:val="006515C5"/>
    <w:rsid w:val="00667607"/>
    <w:rsid w:val="006A222C"/>
    <w:rsid w:val="006A6ED5"/>
    <w:rsid w:val="006F185B"/>
    <w:rsid w:val="00706E89"/>
    <w:rsid w:val="00707640"/>
    <w:rsid w:val="007248F5"/>
    <w:rsid w:val="00732369"/>
    <w:rsid w:val="00743AA2"/>
    <w:rsid w:val="00760971"/>
    <w:rsid w:val="007712B6"/>
    <w:rsid w:val="00785194"/>
    <w:rsid w:val="00794D13"/>
    <w:rsid w:val="007B622A"/>
    <w:rsid w:val="007C3E31"/>
    <w:rsid w:val="007C7B6E"/>
    <w:rsid w:val="007D162D"/>
    <w:rsid w:val="007E3D99"/>
    <w:rsid w:val="007F23F9"/>
    <w:rsid w:val="008078FE"/>
    <w:rsid w:val="0083105A"/>
    <w:rsid w:val="00841185"/>
    <w:rsid w:val="00866EE5"/>
    <w:rsid w:val="00872AB3"/>
    <w:rsid w:val="0087306B"/>
    <w:rsid w:val="008861FE"/>
    <w:rsid w:val="00887879"/>
    <w:rsid w:val="008A4416"/>
    <w:rsid w:val="008B1F28"/>
    <w:rsid w:val="008B606B"/>
    <w:rsid w:val="008C134B"/>
    <w:rsid w:val="008D0208"/>
    <w:rsid w:val="008D319F"/>
    <w:rsid w:val="008E0B0A"/>
    <w:rsid w:val="008F4130"/>
    <w:rsid w:val="00905859"/>
    <w:rsid w:val="00911CB6"/>
    <w:rsid w:val="00922388"/>
    <w:rsid w:val="0092320D"/>
    <w:rsid w:val="009431BE"/>
    <w:rsid w:val="009454A2"/>
    <w:rsid w:val="009472DE"/>
    <w:rsid w:val="00947522"/>
    <w:rsid w:val="0095376D"/>
    <w:rsid w:val="009559D8"/>
    <w:rsid w:val="00974261"/>
    <w:rsid w:val="00985B92"/>
    <w:rsid w:val="009920E8"/>
    <w:rsid w:val="009937FB"/>
    <w:rsid w:val="00993EFA"/>
    <w:rsid w:val="009D2BED"/>
    <w:rsid w:val="009D43ED"/>
    <w:rsid w:val="009F5F8F"/>
    <w:rsid w:val="00A04230"/>
    <w:rsid w:val="00A2130B"/>
    <w:rsid w:val="00A26BD2"/>
    <w:rsid w:val="00A33E96"/>
    <w:rsid w:val="00A3657C"/>
    <w:rsid w:val="00A416DA"/>
    <w:rsid w:val="00A4568A"/>
    <w:rsid w:val="00A51201"/>
    <w:rsid w:val="00A552D0"/>
    <w:rsid w:val="00A72340"/>
    <w:rsid w:val="00A759DC"/>
    <w:rsid w:val="00A81046"/>
    <w:rsid w:val="00AB5B8B"/>
    <w:rsid w:val="00AC126C"/>
    <w:rsid w:val="00AC2FE2"/>
    <w:rsid w:val="00AE58F5"/>
    <w:rsid w:val="00AE5F28"/>
    <w:rsid w:val="00AF079B"/>
    <w:rsid w:val="00AF5036"/>
    <w:rsid w:val="00AF5349"/>
    <w:rsid w:val="00B12F1F"/>
    <w:rsid w:val="00B143C7"/>
    <w:rsid w:val="00B32875"/>
    <w:rsid w:val="00B330DD"/>
    <w:rsid w:val="00B45871"/>
    <w:rsid w:val="00B46131"/>
    <w:rsid w:val="00B5210A"/>
    <w:rsid w:val="00B6663B"/>
    <w:rsid w:val="00B8248E"/>
    <w:rsid w:val="00B83605"/>
    <w:rsid w:val="00B92A4E"/>
    <w:rsid w:val="00B958DC"/>
    <w:rsid w:val="00BA5BEE"/>
    <w:rsid w:val="00BB098E"/>
    <w:rsid w:val="00BC6731"/>
    <w:rsid w:val="00BD0C08"/>
    <w:rsid w:val="00BD2BB3"/>
    <w:rsid w:val="00BE16E9"/>
    <w:rsid w:val="00BE78AD"/>
    <w:rsid w:val="00BF3099"/>
    <w:rsid w:val="00BF39AC"/>
    <w:rsid w:val="00BF4A1F"/>
    <w:rsid w:val="00C06417"/>
    <w:rsid w:val="00C22FB5"/>
    <w:rsid w:val="00C340A9"/>
    <w:rsid w:val="00C61635"/>
    <w:rsid w:val="00C94CB7"/>
    <w:rsid w:val="00CB4493"/>
    <w:rsid w:val="00CB6AEA"/>
    <w:rsid w:val="00CD54F2"/>
    <w:rsid w:val="00CF543F"/>
    <w:rsid w:val="00D03D50"/>
    <w:rsid w:val="00D2573F"/>
    <w:rsid w:val="00D3119E"/>
    <w:rsid w:val="00D32944"/>
    <w:rsid w:val="00D34C67"/>
    <w:rsid w:val="00D5026E"/>
    <w:rsid w:val="00D5270A"/>
    <w:rsid w:val="00D54F95"/>
    <w:rsid w:val="00D6492B"/>
    <w:rsid w:val="00D7397E"/>
    <w:rsid w:val="00D768C5"/>
    <w:rsid w:val="00DA3FD5"/>
    <w:rsid w:val="00DA5160"/>
    <w:rsid w:val="00DA6A3B"/>
    <w:rsid w:val="00DC5A3E"/>
    <w:rsid w:val="00DD7378"/>
    <w:rsid w:val="00DE6463"/>
    <w:rsid w:val="00DF2DFB"/>
    <w:rsid w:val="00DF3AFA"/>
    <w:rsid w:val="00E26725"/>
    <w:rsid w:val="00E31673"/>
    <w:rsid w:val="00E456BB"/>
    <w:rsid w:val="00E63413"/>
    <w:rsid w:val="00E66646"/>
    <w:rsid w:val="00E831B4"/>
    <w:rsid w:val="00E86AF3"/>
    <w:rsid w:val="00EB3C11"/>
    <w:rsid w:val="00EC4859"/>
    <w:rsid w:val="00EC679A"/>
    <w:rsid w:val="00ED0B3F"/>
    <w:rsid w:val="00ED4EF3"/>
    <w:rsid w:val="00EF4E61"/>
    <w:rsid w:val="00F04205"/>
    <w:rsid w:val="00F05331"/>
    <w:rsid w:val="00F11C5C"/>
    <w:rsid w:val="00F21631"/>
    <w:rsid w:val="00F307EB"/>
    <w:rsid w:val="00F30D4A"/>
    <w:rsid w:val="00F32C52"/>
    <w:rsid w:val="00F33FCD"/>
    <w:rsid w:val="00F37885"/>
    <w:rsid w:val="00F51D6F"/>
    <w:rsid w:val="00F5255C"/>
    <w:rsid w:val="00F5646B"/>
    <w:rsid w:val="00F87318"/>
    <w:rsid w:val="00F94170"/>
    <w:rsid w:val="00F94E9E"/>
    <w:rsid w:val="00FA71A5"/>
    <w:rsid w:val="00FC0BD2"/>
    <w:rsid w:val="00FD1601"/>
    <w:rsid w:val="00FD2E7C"/>
    <w:rsid w:val="00FF2CE4"/>
    <w:rsid w:val="00FF440C"/>
    <w:rsid w:val="00FF4A23"/>
    <w:rsid w:val="00FF7CE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41492F"/>
  <w15:docId w15:val="{78F109EA-EE17-426A-A0C8-AE75672D4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216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rsid w:val="00AC126C"/>
    <w:rPr>
      <w:sz w:val="16"/>
      <w:szCs w:val="16"/>
    </w:rPr>
  </w:style>
  <w:style w:type="paragraph" w:styleId="CommentText">
    <w:name w:val="annotation text"/>
    <w:basedOn w:val="Normal"/>
    <w:semiHidden/>
    <w:rsid w:val="00AC126C"/>
    <w:rPr>
      <w:sz w:val="20"/>
      <w:szCs w:val="20"/>
    </w:rPr>
  </w:style>
  <w:style w:type="paragraph" w:styleId="CommentSubject">
    <w:name w:val="annotation subject"/>
    <w:basedOn w:val="CommentText"/>
    <w:next w:val="CommentText"/>
    <w:semiHidden/>
    <w:rsid w:val="00AC126C"/>
    <w:rPr>
      <w:b/>
      <w:bCs/>
    </w:rPr>
  </w:style>
  <w:style w:type="paragraph" w:styleId="BalloonText">
    <w:name w:val="Balloon Text"/>
    <w:basedOn w:val="Normal"/>
    <w:semiHidden/>
    <w:rsid w:val="00AC126C"/>
    <w:rPr>
      <w:rFonts w:ascii="Tahoma" w:hAnsi="Tahoma" w:cs="Tahoma"/>
      <w:sz w:val="16"/>
      <w:szCs w:val="16"/>
    </w:rPr>
  </w:style>
  <w:style w:type="paragraph" w:styleId="ListParagraph">
    <w:name w:val="List Paragraph"/>
    <w:basedOn w:val="Normal"/>
    <w:uiPriority w:val="34"/>
    <w:qFormat/>
    <w:rsid w:val="00F94E9E"/>
    <w:pPr>
      <w:ind w:left="720"/>
      <w:contextualSpacing/>
    </w:pPr>
  </w:style>
  <w:style w:type="paragraph" w:styleId="Header">
    <w:name w:val="header"/>
    <w:basedOn w:val="Normal"/>
    <w:link w:val="HeaderChar"/>
    <w:uiPriority w:val="99"/>
    <w:unhideWhenUsed/>
    <w:rsid w:val="003E0156"/>
    <w:pPr>
      <w:tabs>
        <w:tab w:val="center" w:pos="4513"/>
        <w:tab w:val="right" w:pos="9026"/>
      </w:tabs>
    </w:pPr>
  </w:style>
  <w:style w:type="character" w:customStyle="1" w:styleId="HeaderChar">
    <w:name w:val="Header Char"/>
    <w:basedOn w:val="DefaultParagraphFont"/>
    <w:link w:val="Header"/>
    <w:uiPriority w:val="99"/>
    <w:rsid w:val="003E0156"/>
    <w:rPr>
      <w:sz w:val="24"/>
      <w:szCs w:val="24"/>
    </w:rPr>
  </w:style>
  <w:style w:type="paragraph" w:styleId="Footer">
    <w:name w:val="footer"/>
    <w:basedOn w:val="Normal"/>
    <w:link w:val="FooterChar"/>
    <w:uiPriority w:val="99"/>
    <w:unhideWhenUsed/>
    <w:rsid w:val="003E0156"/>
    <w:pPr>
      <w:tabs>
        <w:tab w:val="center" w:pos="4513"/>
        <w:tab w:val="right" w:pos="9026"/>
      </w:tabs>
    </w:pPr>
  </w:style>
  <w:style w:type="character" w:customStyle="1" w:styleId="FooterChar">
    <w:name w:val="Footer Char"/>
    <w:basedOn w:val="DefaultParagraphFont"/>
    <w:link w:val="Footer"/>
    <w:uiPriority w:val="99"/>
    <w:rsid w:val="003E0156"/>
    <w:rPr>
      <w:sz w:val="24"/>
      <w:szCs w:val="24"/>
    </w:rPr>
  </w:style>
  <w:style w:type="character" w:styleId="Hyperlink">
    <w:name w:val="Hyperlink"/>
    <w:basedOn w:val="DefaultParagraphFont"/>
    <w:uiPriority w:val="99"/>
    <w:unhideWhenUsed/>
    <w:rsid w:val="00322765"/>
    <w:rPr>
      <w:color w:val="0000FF" w:themeColor="hyperlink"/>
      <w:u w:val="single"/>
    </w:rPr>
  </w:style>
  <w:style w:type="paragraph" w:styleId="Revision">
    <w:name w:val="Revision"/>
    <w:hidden/>
    <w:uiPriority w:val="99"/>
    <w:semiHidden/>
    <w:rsid w:val="00A552D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3748441">
      <w:bodyDiv w:val="1"/>
      <w:marLeft w:val="0"/>
      <w:marRight w:val="0"/>
      <w:marTop w:val="0"/>
      <w:marBottom w:val="0"/>
      <w:divBdr>
        <w:top w:val="none" w:sz="0" w:space="0" w:color="auto"/>
        <w:left w:val="none" w:sz="0" w:space="0" w:color="auto"/>
        <w:bottom w:val="none" w:sz="0" w:space="0" w:color="auto"/>
        <w:right w:val="none" w:sz="0" w:space="0" w:color="auto"/>
      </w:divBdr>
    </w:div>
    <w:div w:id="358971754">
      <w:bodyDiv w:val="1"/>
      <w:marLeft w:val="0"/>
      <w:marRight w:val="0"/>
      <w:marTop w:val="0"/>
      <w:marBottom w:val="0"/>
      <w:divBdr>
        <w:top w:val="none" w:sz="0" w:space="0" w:color="auto"/>
        <w:left w:val="none" w:sz="0" w:space="0" w:color="auto"/>
        <w:bottom w:val="none" w:sz="0" w:space="0" w:color="auto"/>
        <w:right w:val="none" w:sz="0" w:space="0" w:color="auto"/>
      </w:divBdr>
      <w:divsChild>
        <w:div w:id="742459416">
          <w:marLeft w:val="0"/>
          <w:marRight w:val="0"/>
          <w:marTop w:val="0"/>
          <w:marBottom w:val="0"/>
          <w:divBdr>
            <w:top w:val="none" w:sz="0" w:space="0" w:color="auto"/>
            <w:left w:val="none" w:sz="0" w:space="0" w:color="auto"/>
            <w:bottom w:val="none" w:sz="0" w:space="0" w:color="auto"/>
            <w:right w:val="none" w:sz="0" w:space="0" w:color="auto"/>
          </w:divBdr>
          <w:divsChild>
            <w:div w:id="365571506">
              <w:marLeft w:val="0"/>
              <w:marRight w:val="0"/>
              <w:marTop w:val="0"/>
              <w:marBottom w:val="0"/>
              <w:divBdr>
                <w:top w:val="none" w:sz="0" w:space="0" w:color="auto"/>
                <w:left w:val="none" w:sz="0" w:space="0" w:color="auto"/>
                <w:bottom w:val="none" w:sz="0" w:space="0" w:color="auto"/>
                <w:right w:val="none" w:sz="0" w:space="0" w:color="auto"/>
              </w:divBdr>
              <w:divsChild>
                <w:div w:id="483550209">
                  <w:marLeft w:val="0"/>
                  <w:marRight w:val="0"/>
                  <w:marTop w:val="0"/>
                  <w:marBottom w:val="0"/>
                  <w:divBdr>
                    <w:top w:val="none" w:sz="0" w:space="0" w:color="auto"/>
                    <w:left w:val="none" w:sz="0" w:space="0" w:color="auto"/>
                    <w:bottom w:val="none" w:sz="0" w:space="0" w:color="auto"/>
                    <w:right w:val="none" w:sz="0" w:space="0" w:color="auto"/>
                  </w:divBdr>
                  <w:divsChild>
                    <w:div w:id="1400716026">
                      <w:marLeft w:val="0"/>
                      <w:marRight w:val="0"/>
                      <w:marTop w:val="0"/>
                      <w:marBottom w:val="0"/>
                      <w:divBdr>
                        <w:top w:val="none" w:sz="0" w:space="0" w:color="auto"/>
                        <w:left w:val="none" w:sz="0" w:space="0" w:color="auto"/>
                        <w:bottom w:val="none" w:sz="0" w:space="0" w:color="auto"/>
                        <w:right w:val="none" w:sz="0" w:space="0" w:color="auto"/>
                      </w:divBdr>
                      <w:divsChild>
                        <w:div w:id="432897572">
                          <w:marLeft w:val="0"/>
                          <w:marRight w:val="0"/>
                          <w:marTop w:val="0"/>
                          <w:marBottom w:val="0"/>
                          <w:divBdr>
                            <w:top w:val="single" w:sz="6" w:space="0" w:color="828282"/>
                            <w:left w:val="single" w:sz="6" w:space="0" w:color="828282"/>
                            <w:bottom w:val="single" w:sz="6" w:space="0" w:color="828282"/>
                            <w:right w:val="single" w:sz="6" w:space="0" w:color="828282"/>
                          </w:divBdr>
                          <w:divsChild>
                            <w:div w:id="1363171488">
                              <w:marLeft w:val="0"/>
                              <w:marRight w:val="0"/>
                              <w:marTop w:val="0"/>
                              <w:marBottom w:val="0"/>
                              <w:divBdr>
                                <w:top w:val="none" w:sz="0" w:space="0" w:color="auto"/>
                                <w:left w:val="none" w:sz="0" w:space="0" w:color="auto"/>
                                <w:bottom w:val="none" w:sz="0" w:space="0" w:color="auto"/>
                                <w:right w:val="none" w:sz="0" w:space="0" w:color="auto"/>
                              </w:divBdr>
                              <w:divsChild>
                                <w:div w:id="997924738">
                                  <w:marLeft w:val="0"/>
                                  <w:marRight w:val="0"/>
                                  <w:marTop w:val="0"/>
                                  <w:marBottom w:val="0"/>
                                  <w:divBdr>
                                    <w:top w:val="none" w:sz="0" w:space="0" w:color="auto"/>
                                    <w:left w:val="none" w:sz="0" w:space="0" w:color="auto"/>
                                    <w:bottom w:val="none" w:sz="0" w:space="0" w:color="auto"/>
                                    <w:right w:val="none" w:sz="0" w:space="0" w:color="auto"/>
                                  </w:divBdr>
                                  <w:divsChild>
                                    <w:div w:id="1393892973">
                                      <w:marLeft w:val="0"/>
                                      <w:marRight w:val="0"/>
                                      <w:marTop w:val="0"/>
                                      <w:marBottom w:val="0"/>
                                      <w:divBdr>
                                        <w:top w:val="none" w:sz="0" w:space="0" w:color="auto"/>
                                        <w:left w:val="none" w:sz="0" w:space="0" w:color="auto"/>
                                        <w:bottom w:val="none" w:sz="0" w:space="0" w:color="auto"/>
                                        <w:right w:val="none" w:sz="0" w:space="0" w:color="auto"/>
                                      </w:divBdr>
                                      <w:divsChild>
                                        <w:div w:id="1305351532">
                                          <w:marLeft w:val="0"/>
                                          <w:marRight w:val="0"/>
                                          <w:marTop w:val="0"/>
                                          <w:marBottom w:val="0"/>
                                          <w:divBdr>
                                            <w:top w:val="none" w:sz="0" w:space="0" w:color="auto"/>
                                            <w:left w:val="none" w:sz="0" w:space="0" w:color="auto"/>
                                            <w:bottom w:val="none" w:sz="0" w:space="0" w:color="auto"/>
                                            <w:right w:val="none" w:sz="0" w:space="0" w:color="auto"/>
                                          </w:divBdr>
                                          <w:divsChild>
                                            <w:div w:id="858616408">
                                              <w:marLeft w:val="0"/>
                                              <w:marRight w:val="0"/>
                                              <w:marTop w:val="0"/>
                                              <w:marBottom w:val="0"/>
                                              <w:divBdr>
                                                <w:top w:val="none" w:sz="0" w:space="0" w:color="auto"/>
                                                <w:left w:val="none" w:sz="0" w:space="0" w:color="auto"/>
                                                <w:bottom w:val="none" w:sz="0" w:space="0" w:color="auto"/>
                                                <w:right w:val="none" w:sz="0" w:space="0" w:color="auto"/>
                                              </w:divBdr>
                                              <w:divsChild>
                                                <w:div w:id="99433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E7608B-C2E6-4959-8F47-6377A96C5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2023</Words>
  <Characters>11165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Department of Industry, Innovation and Science</Company>
  <LinksUpToDate>false</LinksUpToDate>
  <CharactersWithSpaces>13162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creator>Alexander, Annabelle</dc:creator>
  <cp:lastModifiedBy>Gilkes, Amanda</cp:lastModifiedBy>
  <cp:revision>2</cp:revision>
  <cp:lastPrinted>2010-07-06T23:58:00Z</cp:lastPrinted>
  <dcterms:created xsi:type="dcterms:W3CDTF">2016-08-10T06:59:00Z</dcterms:created>
  <dcterms:modified xsi:type="dcterms:W3CDTF">2016-08-10T06:59:00Z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GS CancelDocNew">
    <vt:lpwstr>TRUE</vt:lpwstr>
  </property>
  <property fmtid="{D5CDD505-2E9C-101B-9397-08002B2CF9AE}" pid="3" name="Objective-Id">
    <vt:lpwstr>B1279118</vt:lpwstr>
  </property>
  <property fmtid="{D5CDD505-2E9C-101B-9397-08002B2CF9AE}" pid="4" name="Objective-Comment">
    <vt:lpwstr/>
  </property>
  <property fmtid="{D5CDD505-2E9C-101B-9397-08002B2CF9AE}" pid="5" name="Objective-CreationStamp">
    <vt:filetime>2010-06-28T00:00:00Z</vt:filetime>
  </property>
  <property fmtid="{D5CDD505-2E9C-101B-9397-08002B2CF9AE}" pid="6" name="Objective-IsApproved">
    <vt:lpwstr>No</vt:lpwstr>
  </property>
  <property fmtid="{D5CDD505-2E9C-101B-9397-08002B2CF9AE}" pid="7" name="Objective-IsPublished">
    <vt:lpwstr>Yes</vt:lpwstr>
  </property>
  <property fmtid="{D5CDD505-2E9C-101B-9397-08002B2CF9AE}" pid="8" name="Objective-DatePublished">
    <vt:filetime>2010-07-02T00:00:00Z</vt:filetime>
  </property>
  <property fmtid="{D5CDD505-2E9C-101B-9397-08002B2CF9AE}" pid="9" name="Objective-ModificationStamp">
    <vt:filetime>2010-07-02T00:00:00Z</vt:filetime>
  </property>
  <property fmtid="{D5CDD505-2E9C-101B-9397-08002B2CF9AE}" pid="10" name="Objective-Owner">
    <vt:lpwstr>Sainsbery, Catherine</vt:lpwstr>
  </property>
  <property fmtid="{D5CDD505-2E9C-101B-9397-08002B2CF9AE}" pid="11" name="Objective-Path">
    <vt:lpwstr>i Know-how Top Level:Client Groups:Dept of Climate Change and Energy Efficiency:DCCEE - Advice Matters:Building Energy Efficiency Disclosure Bill Implementation (10022349):10022349 - Matter Documents:10022349 Documents:</vt:lpwstr>
  </property>
  <property fmtid="{D5CDD505-2E9C-101B-9397-08002B2CF9AE}" pid="12" name="Objective-Parent">
    <vt:lpwstr>10022349 Documents</vt:lpwstr>
  </property>
  <property fmtid="{D5CDD505-2E9C-101B-9397-08002B2CF9AE}" pid="13" name="Objective-State">
    <vt:lpwstr>Published</vt:lpwstr>
  </property>
  <property fmtid="{D5CDD505-2E9C-101B-9397-08002B2CF9AE}" pid="14" name="Objective-Title">
    <vt:lpwstr>Draft Explanatory Statement for the s 21 Determination</vt:lpwstr>
  </property>
  <property fmtid="{D5CDD505-2E9C-101B-9397-08002B2CF9AE}" pid="15" name="Objective-Version">
    <vt:lpwstr>3.0</vt:lpwstr>
  </property>
  <property fmtid="{D5CDD505-2E9C-101B-9397-08002B2CF9AE}" pid="16" name="Objective-VersionComment">
    <vt:lpwstr>Incorporate explanation of retrospective effect.</vt:lpwstr>
  </property>
  <property fmtid="{D5CDD505-2E9C-101B-9397-08002B2CF9AE}" pid="17" name="Objective-VersionNumber">
    <vt:i4>5</vt:i4>
  </property>
  <property fmtid="{D5CDD505-2E9C-101B-9397-08002B2CF9AE}" pid="18" name="Objective-FileNumber">
    <vt:lpwstr>10022349-002</vt:lpwstr>
  </property>
  <property fmtid="{D5CDD505-2E9C-101B-9397-08002B2CF9AE}" pid="19" name="Objective-Classification">
    <vt:lpwstr>Not classified</vt:lpwstr>
  </property>
  <property fmtid="{D5CDD505-2E9C-101B-9397-08002B2CF9AE}" pid="20" name="Objective-Caveats">
    <vt:lpwstr/>
  </property>
  <property fmtid="{D5CDD505-2E9C-101B-9397-08002B2CF9AE}" pid="21" name="Objective-Document Category [system]">
    <vt:lpwstr/>
  </property>
  <property fmtid="{D5CDD505-2E9C-101B-9397-08002B2CF9AE}" pid="22" name="VersionNumber">
    <vt:i4>0</vt:i4>
  </property>
  <property fmtid="{D5CDD505-2E9C-101B-9397-08002B2CF9AE}" pid="23" name="ClassificationPty">
    <vt:lpwstr/>
  </property>
  <property fmtid="{D5CDD505-2E9C-101B-9397-08002B2CF9AE}" pid="24" name="FileNumberPty">
    <vt:lpwstr/>
  </property>
  <property fmtid="{D5CDD505-2E9C-101B-9397-08002B2CF9AE}" pid="25" name="CorporateTmplBased">
    <vt:lpwstr>No</vt:lpwstr>
  </property>
</Properties>
</file>