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50491" w14:textId="77777777" w:rsidR="00656CB1" w:rsidRPr="0015147C" w:rsidRDefault="0095083D" w:rsidP="00B21341">
      <w:r>
        <w:rPr>
          <w:noProof/>
        </w:rPr>
        <w:drawing>
          <wp:inline distT="0" distB="0" distL="0" distR="0" wp14:anchorId="197A189C" wp14:editId="7C0EC7F3">
            <wp:extent cx="14001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D2032" w14:textId="46B39087" w:rsidR="00656CB1" w:rsidRPr="0015147C" w:rsidRDefault="00656CB1" w:rsidP="00B21341">
      <w:pPr>
        <w:pStyle w:val="Title"/>
        <w:pBdr>
          <w:bottom w:val="single" w:sz="4" w:space="3" w:color="auto"/>
        </w:pBdr>
      </w:pPr>
      <w:bookmarkStart w:id="0" w:name="Citation"/>
      <w:r w:rsidRPr="0015147C">
        <w:t xml:space="preserve">Building Energy Efficiency Disclosure Determination </w:t>
      </w:r>
      <w:r w:rsidR="00CF003A">
        <w:t>201</w:t>
      </w:r>
      <w:bookmarkEnd w:id="0"/>
      <w:r w:rsidR="00190215">
        <w:t>6</w:t>
      </w:r>
    </w:p>
    <w:p w14:paraId="6D98D8D5" w14:textId="77777777" w:rsidR="00656CB1" w:rsidRPr="00F05EC5" w:rsidRDefault="00656CB1" w:rsidP="00B21341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15147C">
        <w:rPr>
          <w:rFonts w:ascii="Arial" w:hAnsi="Arial" w:cs="Arial"/>
          <w:i/>
          <w:sz w:val="28"/>
          <w:szCs w:val="28"/>
          <w:lang w:val="en-US"/>
        </w:rPr>
        <w:t xml:space="preserve">Building </w:t>
      </w:r>
      <w:r w:rsidRPr="00F05EC5">
        <w:rPr>
          <w:rFonts w:ascii="Arial" w:hAnsi="Arial" w:cs="Arial"/>
          <w:i/>
          <w:sz w:val="28"/>
          <w:szCs w:val="28"/>
          <w:lang w:val="en-US"/>
        </w:rPr>
        <w:t>Energy Efficiency Disclosure Act 2010</w:t>
      </w:r>
    </w:p>
    <w:p w14:paraId="1BC345D6" w14:textId="0B143C63" w:rsidR="00656CB1" w:rsidRPr="00F05EC5" w:rsidRDefault="00656CB1" w:rsidP="00B21341">
      <w:pPr>
        <w:spacing w:before="360"/>
        <w:jc w:val="both"/>
      </w:pPr>
      <w:r w:rsidRPr="00F05EC5">
        <w:t xml:space="preserve">I, </w:t>
      </w:r>
      <w:r w:rsidR="00CA25C2">
        <w:t>Rhondda Dickson</w:t>
      </w:r>
      <w:r w:rsidRPr="00F05EC5">
        <w:t xml:space="preserve">, </w:t>
      </w:r>
      <w:r w:rsidR="00CA25C2">
        <w:t xml:space="preserve">Acting </w:t>
      </w:r>
      <w:r w:rsidRPr="00F05EC5">
        <w:t xml:space="preserve">Secretary of the Department of </w:t>
      </w:r>
      <w:r w:rsidR="00190215">
        <w:t>Environment and Energy</w:t>
      </w:r>
      <w:r w:rsidRPr="00F05EC5">
        <w:t>, make this Determination under sections 13,</w:t>
      </w:r>
      <w:r w:rsidR="00E97C92" w:rsidRPr="00F05EC5">
        <w:t xml:space="preserve"> 13A,</w:t>
      </w:r>
      <w:r w:rsidRPr="00F05EC5">
        <w:t xml:space="preserve"> 15 and 21 of the </w:t>
      </w:r>
      <w:r w:rsidRPr="00F05EC5">
        <w:rPr>
          <w:i/>
        </w:rPr>
        <w:t>Building Energy Efficiency Disclosure Act 2010</w:t>
      </w:r>
      <w:r w:rsidRPr="00F05EC5">
        <w:t>.</w:t>
      </w:r>
    </w:p>
    <w:p w14:paraId="2D5AF04B" w14:textId="5C64B70F" w:rsidR="00656CB1" w:rsidRPr="00F05EC5" w:rsidRDefault="00513A31" w:rsidP="00B21341">
      <w:pPr>
        <w:tabs>
          <w:tab w:val="left" w:pos="3119"/>
        </w:tabs>
        <w:spacing w:before="300" w:after="600" w:line="300" w:lineRule="atLeast"/>
      </w:pPr>
      <w:r>
        <w:t>Dated</w:t>
      </w:r>
      <w:r w:rsidR="00190215">
        <w:t xml:space="preserve"> </w:t>
      </w:r>
      <w:r>
        <w:t>3</w:t>
      </w:r>
      <w:r w:rsidR="00190215">
        <w:t xml:space="preserve"> </w:t>
      </w:r>
      <w:r w:rsidR="00CA25C2">
        <w:t xml:space="preserve">August </w:t>
      </w:r>
      <w:r w:rsidR="006F1823">
        <w:t>201</w:t>
      </w:r>
      <w:r w:rsidR="00190215">
        <w:t>6</w:t>
      </w:r>
    </w:p>
    <w:p w14:paraId="1ECFA380" w14:textId="7981B142" w:rsidR="00513A31" w:rsidRPr="0015147C" w:rsidRDefault="00513A31" w:rsidP="00513A31">
      <w:pPr>
        <w:tabs>
          <w:tab w:val="left" w:pos="3119"/>
        </w:tabs>
        <w:spacing w:before="600" w:after="240" w:line="300" w:lineRule="atLeast"/>
      </w:pPr>
      <w:r>
        <w:t>Rhondda Dickson</w:t>
      </w:r>
      <w:bookmarkStart w:id="1" w:name="_GoBack"/>
      <w:bookmarkEnd w:id="1"/>
    </w:p>
    <w:p w14:paraId="55CE08CB" w14:textId="16464598" w:rsidR="00190215" w:rsidRDefault="00CA25C2" w:rsidP="00B21341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RHONDDA DICKSON</w:t>
      </w:r>
    </w:p>
    <w:p w14:paraId="59527ED3" w14:textId="7C595B65" w:rsidR="00656CB1" w:rsidRPr="0015147C" w:rsidRDefault="00CA25C2" w:rsidP="00B21341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656CB1" w:rsidRPr="0015147C" w:rsidSect="008B20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bookmarkStart w:id="2" w:name="Minister"/>
      <w:r>
        <w:t xml:space="preserve">Acting </w:t>
      </w:r>
      <w:r w:rsidR="00656CB1" w:rsidRPr="0015147C">
        <w:t xml:space="preserve">Secretary of the Department of </w:t>
      </w:r>
      <w:bookmarkEnd w:id="2"/>
      <w:r w:rsidR="00190215">
        <w:t>Environment and Energy</w:t>
      </w:r>
      <w:r w:rsidR="00D67E46">
        <w:t xml:space="preserve"> </w:t>
      </w:r>
    </w:p>
    <w:p w14:paraId="4CD85A4A" w14:textId="77777777" w:rsidR="00656CB1" w:rsidRPr="0015147C" w:rsidRDefault="00656CB1" w:rsidP="00B21341">
      <w:pPr>
        <w:pStyle w:val="HR"/>
      </w:pPr>
      <w:bookmarkStart w:id="3" w:name="_Toc419988947"/>
      <w:r w:rsidRPr="0015147C">
        <w:rPr>
          <w:rStyle w:val="CharSectno"/>
        </w:rPr>
        <w:lastRenderedPageBreak/>
        <w:t>1</w:t>
      </w:r>
      <w:r w:rsidRPr="0015147C">
        <w:tab/>
        <w:t>Name of Determination</w:t>
      </w:r>
      <w:bookmarkEnd w:id="3"/>
    </w:p>
    <w:p w14:paraId="230CA978" w14:textId="11D57F13" w:rsidR="00656CB1" w:rsidRPr="0015147C" w:rsidRDefault="00656CB1" w:rsidP="00B21341">
      <w:pPr>
        <w:pStyle w:val="R1"/>
      </w:pPr>
      <w:r w:rsidRPr="0015147C">
        <w:tab/>
      </w:r>
      <w:r w:rsidRPr="0015147C">
        <w:tab/>
        <w:t>This Determination is the</w:t>
      </w:r>
      <w:r w:rsidRPr="000F5C25">
        <w:rPr>
          <w:i/>
        </w:rPr>
        <w:t xml:space="preserve"> </w:t>
      </w:r>
      <w:r w:rsidRPr="00D5097B">
        <w:rPr>
          <w:i/>
        </w:rPr>
        <w:t xml:space="preserve">Building Energy Efficiency Disclosure Determination </w:t>
      </w:r>
      <w:r w:rsidR="00CF003A">
        <w:rPr>
          <w:i/>
        </w:rPr>
        <w:t>201</w:t>
      </w:r>
      <w:r w:rsidR="00190215">
        <w:rPr>
          <w:i/>
        </w:rPr>
        <w:t>6</w:t>
      </w:r>
      <w:r w:rsidR="00CF003A">
        <w:rPr>
          <w:i/>
        </w:rPr>
        <w:t>.</w:t>
      </w:r>
    </w:p>
    <w:p w14:paraId="37CE193E" w14:textId="77777777" w:rsidR="00656CB1" w:rsidRPr="0015147C" w:rsidRDefault="00656CB1" w:rsidP="00B21341">
      <w:pPr>
        <w:pStyle w:val="HR"/>
      </w:pPr>
      <w:bookmarkStart w:id="4" w:name="_Toc419988948"/>
      <w:r w:rsidRPr="00F20496">
        <w:t>2</w:t>
      </w:r>
      <w:r w:rsidRPr="0015147C">
        <w:tab/>
        <w:t>Commencement</w:t>
      </w:r>
      <w:bookmarkEnd w:id="4"/>
    </w:p>
    <w:p w14:paraId="78AB1F49" w14:textId="1EF86D65" w:rsidR="00656CB1" w:rsidRDefault="00656CB1" w:rsidP="00B21341">
      <w:pPr>
        <w:pStyle w:val="R1"/>
      </w:pPr>
      <w:r w:rsidRPr="0015147C">
        <w:tab/>
      </w:r>
      <w:r w:rsidRPr="0015147C">
        <w:tab/>
        <w:t xml:space="preserve">This Determination commences on </w:t>
      </w:r>
      <w:r w:rsidR="005F1EA6">
        <w:t xml:space="preserve">1 </w:t>
      </w:r>
      <w:r w:rsidR="00190215">
        <w:t xml:space="preserve">September </w:t>
      </w:r>
      <w:r w:rsidR="005F1EA6">
        <w:t>201</w:t>
      </w:r>
      <w:r w:rsidR="00190215">
        <w:t>6</w:t>
      </w:r>
      <w:r w:rsidR="005F1EA6">
        <w:t xml:space="preserve">. </w:t>
      </w:r>
    </w:p>
    <w:p w14:paraId="57DC2376" w14:textId="77777777" w:rsidR="00656CB1" w:rsidRPr="000E2477" w:rsidRDefault="00656CB1" w:rsidP="000E2477">
      <w:pPr>
        <w:pStyle w:val="HR"/>
      </w:pPr>
      <w:bookmarkStart w:id="5" w:name="_Toc419988949"/>
      <w:r w:rsidRPr="000E2477">
        <w:t>3</w:t>
      </w:r>
      <w:r>
        <w:tab/>
      </w:r>
      <w:r w:rsidRPr="000E2477">
        <w:t>Repeal</w:t>
      </w:r>
      <w:bookmarkEnd w:id="5"/>
    </w:p>
    <w:p w14:paraId="33494E18" w14:textId="068EE15E" w:rsidR="00656CB1" w:rsidRPr="000E2477" w:rsidRDefault="00656CB1" w:rsidP="000E2477">
      <w:pPr>
        <w:pStyle w:val="R1"/>
      </w:pPr>
      <w:r>
        <w:tab/>
      </w:r>
      <w:r>
        <w:tab/>
      </w:r>
      <w:r w:rsidRPr="000E2477">
        <w:t xml:space="preserve">The </w:t>
      </w:r>
      <w:r w:rsidRPr="00D5097B">
        <w:rPr>
          <w:i/>
        </w:rPr>
        <w:t xml:space="preserve">Building Energy Efficiency Disclosure Determination </w:t>
      </w:r>
      <w:r w:rsidR="00190215" w:rsidRPr="00D5097B">
        <w:rPr>
          <w:i/>
        </w:rPr>
        <w:t>201</w:t>
      </w:r>
      <w:r w:rsidR="00190215">
        <w:rPr>
          <w:i/>
        </w:rPr>
        <w:t>5</w:t>
      </w:r>
      <w:r w:rsidR="00190215" w:rsidRPr="000E2477">
        <w:t xml:space="preserve"> </w:t>
      </w:r>
      <w:r w:rsidRPr="000E2477">
        <w:t>is repealed.</w:t>
      </w:r>
    </w:p>
    <w:p w14:paraId="1E45BB99" w14:textId="77777777" w:rsidR="00656CB1" w:rsidRPr="0015147C" w:rsidRDefault="00656CB1" w:rsidP="00B21341">
      <w:pPr>
        <w:pStyle w:val="HR"/>
      </w:pPr>
      <w:bookmarkStart w:id="6" w:name="_Toc419988950"/>
      <w:r w:rsidRPr="00F20496">
        <w:t>4</w:t>
      </w:r>
      <w:r w:rsidRPr="0015147C">
        <w:tab/>
        <w:t>Definitions</w:t>
      </w:r>
      <w:bookmarkEnd w:id="6"/>
    </w:p>
    <w:p w14:paraId="743A9DFE" w14:textId="77777777" w:rsidR="00656CB1" w:rsidRDefault="00656CB1" w:rsidP="00B21341">
      <w:pPr>
        <w:pStyle w:val="R1"/>
      </w:pPr>
      <w:r w:rsidRPr="0015147C">
        <w:tab/>
      </w:r>
      <w:r w:rsidRPr="0015147C">
        <w:tab/>
        <w:t>In this Determination:</w:t>
      </w:r>
    </w:p>
    <w:p w14:paraId="07CC0912" w14:textId="77777777" w:rsidR="00F05EC5" w:rsidRPr="00F05EC5" w:rsidRDefault="00F05EC5" w:rsidP="00F05EC5">
      <w:pPr>
        <w:pStyle w:val="R2"/>
      </w:pPr>
    </w:p>
    <w:p w14:paraId="3984AB51" w14:textId="77777777" w:rsidR="00656CB1" w:rsidRPr="0015147C" w:rsidRDefault="00656CB1" w:rsidP="00B21341">
      <w:pPr>
        <w:pStyle w:val="definition"/>
      </w:pPr>
      <w:r w:rsidRPr="0015147C">
        <w:rPr>
          <w:b/>
          <w:i/>
        </w:rPr>
        <w:t>Act</w:t>
      </w:r>
      <w:r w:rsidRPr="0015147C">
        <w:t xml:space="preserve"> means the </w:t>
      </w:r>
      <w:r w:rsidRPr="0015147C">
        <w:rPr>
          <w:i/>
        </w:rPr>
        <w:t>Building Energy Efficiency Disclosure Act 2010</w:t>
      </w:r>
      <w:r w:rsidRPr="0015147C">
        <w:t>.</w:t>
      </w:r>
    </w:p>
    <w:p w14:paraId="31AD099C" w14:textId="77777777" w:rsidR="00D67E46" w:rsidRDefault="00D67E46" w:rsidP="00B21341">
      <w:pPr>
        <w:pStyle w:val="definition"/>
        <w:rPr>
          <w:b/>
          <w:i/>
        </w:rPr>
      </w:pPr>
    </w:p>
    <w:p w14:paraId="56566E93" w14:textId="77777777" w:rsidR="00656CB1" w:rsidRDefault="00656CB1" w:rsidP="00B21341">
      <w:pPr>
        <w:pStyle w:val="definition"/>
      </w:pPr>
      <w:proofErr w:type="gramStart"/>
      <w:r w:rsidRPr="0015147C">
        <w:rPr>
          <w:b/>
          <w:i/>
        </w:rPr>
        <w:t>base</w:t>
      </w:r>
      <w:proofErr w:type="gramEnd"/>
      <w:r w:rsidRPr="0015147C">
        <w:rPr>
          <w:b/>
          <w:i/>
        </w:rPr>
        <w:t xml:space="preserve"> building rating</w:t>
      </w:r>
      <w:r w:rsidRPr="0015147C">
        <w:t xml:space="preserve"> has the meaning given by the NABERS Energy rating rules.</w:t>
      </w:r>
    </w:p>
    <w:p w14:paraId="4CDCF37D" w14:textId="77777777" w:rsidR="00D67E46" w:rsidRDefault="00D67E46" w:rsidP="00B21341">
      <w:pPr>
        <w:pStyle w:val="definition"/>
        <w:rPr>
          <w:b/>
          <w:i/>
        </w:rPr>
      </w:pPr>
    </w:p>
    <w:p w14:paraId="5375E670" w14:textId="77777777" w:rsidR="00656CB1" w:rsidRPr="000E2477" w:rsidRDefault="00656CB1" w:rsidP="00B21341">
      <w:pPr>
        <w:pStyle w:val="definition"/>
      </w:pPr>
      <w:r>
        <w:rPr>
          <w:b/>
          <w:i/>
        </w:rPr>
        <w:t>Department</w:t>
      </w:r>
      <w:r>
        <w:t xml:space="preserve"> means the Department of the Commonwealth whose responsible Minister administers the Act.</w:t>
      </w:r>
    </w:p>
    <w:p w14:paraId="6D164355" w14:textId="77777777" w:rsidR="00D67E46" w:rsidRDefault="00D67E46" w:rsidP="00B21341">
      <w:pPr>
        <w:pStyle w:val="definition"/>
        <w:rPr>
          <w:b/>
          <w:i/>
        </w:rPr>
      </w:pPr>
    </w:p>
    <w:p w14:paraId="0A21FC42" w14:textId="77777777" w:rsidR="00656CB1" w:rsidRDefault="00656CB1" w:rsidP="00B21341">
      <w:pPr>
        <w:pStyle w:val="definition"/>
      </w:pPr>
      <w:proofErr w:type="spellStart"/>
      <w:r w:rsidRPr="0015147C">
        <w:rPr>
          <w:b/>
          <w:i/>
        </w:rPr>
        <w:t>GreenPower</w:t>
      </w:r>
      <w:proofErr w:type="spellEnd"/>
      <w:r w:rsidRPr="0015147C">
        <w:rPr>
          <w:b/>
          <w:i/>
        </w:rPr>
        <w:t xml:space="preserve"> program</w:t>
      </w:r>
      <w:r w:rsidRPr="0015147C">
        <w:t xml:space="preserve"> means the program known as the National </w:t>
      </w:r>
      <w:proofErr w:type="spellStart"/>
      <w:r w:rsidRPr="0015147C">
        <w:t>GreenPower</w:t>
      </w:r>
      <w:proofErr w:type="spellEnd"/>
      <w:r w:rsidRPr="0015147C">
        <w:t xml:space="preserve"> Accreditation Program, which is a joint initiative of agencies of the governments of New South Wales, Victoria, Queensland, Western Australia, South Australia and the Australian Capital Territory.</w:t>
      </w:r>
    </w:p>
    <w:p w14:paraId="54D72480" w14:textId="77777777" w:rsidR="00D67E46" w:rsidRDefault="00D67E46" w:rsidP="0050300B">
      <w:pPr>
        <w:pStyle w:val="definition"/>
        <w:tabs>
          <w:tab w:val="left" w:pos="4678"/>
        </w:tabs>
        <w:rPr>
          <w:b/>
          <w:i/>
        </w:rPr>
      </w:pPr>
    </w:p>
    <w:p w14:paraId="5CA02900" w14:textId="77777777" w:rsidR="00D67E46" w:rsidRDefault="0050300B" w:rsidP="00D67E46">
      <w:pPr>
        <w:pStyle w:val="definition"/>
        <w:tabs>
          <w:tab w:val="left" w:pos="4678"/>
        </w:tabs>
      </w:pPr>
      <w:proofErr w:type="gramStart"/>
      <w:r w:rsidRPr="00DC4F8D">
        <w:rPr>
          <w:b/>
          <w:i/>
        </w:rPr>
        <w:t>hours</w:t>
      </w:r>
      <w:proofErr w:type="gramEnd"/>
      <w:r w:rsidRPr="00DC4F8D">
        <w:rPr>
          <w:b/>
          <w:i/>
        </w:rPr>
        <w:t xml:space="preserve"> of occupancy</w:t>
      </w:r>
      <w:r w:rsidRPr="00DC4F8D">
        <w:t>, for a building or an area of a building, has the same meaning as in the NABERS Energy rating rules.</w:t>
      </w:r>
    </w:p>
    <w:p w14:paraId="0751D16D" w14:textId="77777777" w:rsidR="00D67E46" w:rsidRDefault="00D67E46" w:rsidP="00D67E46">
      <w:pPr>
        <w:pStyle w:val="definition"/>
        <w:tabs>
          <w:tab w:val="left" w:pos="4678"/>
        </w:tabs>
        <w:rPr>
          <w:b/>
          <w:i/>
        </w:rPr>
      </w:pPr>
    </w:p>
    <w:p w14:paraId="68DBEFB4" w14:textId="77777777" w:rsidR="00D67E46" w:rsidRPr="007C4762" w:rsidRDefault="007C4762" w:rsidP="00D67E46">
      <w:pPr>
        <w:pStyle w:val="definition"/>
        <w:tabs>
          <w:tab w:val="left" w:pos="4678"/>
        </w:tabs>
      </w:pPr>
      <w:proofErr w:type="gramStart"/>
      <w:r w:rsidRPr="007C4762">
        <w:rPr>
          <w:b/>
          <w:i/>
        </w:rPr>
        <w:t>major</w:t>
      </w:r>
      <w:proofErr w:type="gramEnd"/>
      <w:r w:rsidRPr="007C4762">
        <w:rPr>
          <w:b/>
          <w:i/>
        </w:rPr>
        <w:t xml:space="preserve"> refurbishment </w:t>
      </w:r>
      <w:r w:rsidRPr="007C4762">
        <w:t xml:space="preserve">has the meaning given to it in the Regulations. </w:t>
      </w:r>
    </w:p>
    <w:p w14:paraId="5887B391" w14:textId="77777777" w:rsidR="00D67E46" w:rsidRDefault="00D67E46" w:rsidP="00D67E46">
      <w:pPr>
        <w:pStyle w:val="definition"/>
        <w:tabs>
          <w:tab w:val="left" w:pos="4678"/>
        </w:tabs>
        <w:rPr>
          <w:u w:val="single"/>
        </w:rPr>
      </w:pPr>
    </w:p>
    <w:p w14:paraId="6900A015" w14:textId="45B4330E" w:rsidR="00D67E46" w:rsidRDefault="00C10487" w:rsidP="00D67E46">
      <w:pPr>
        <w:pStyle w:val="definition"/>
        <w:tabs>
          <w:tab w:val="left" w:pos="4678"/>
        </w:tabs>
      </w:pPr>
      <w:r>
        <w:rPr>
          <w:b/>
          <w:i/>
        </w:rPr>
        <w:t xml:space="preserve">NABERS Energy rating rules </w:t>
      </w:r>
      <w:r>
        <w:t xml:space="preserve">means the document titled </w:t>
      </w:r>
      <w:r>
        <w:rPr>
          <w:i/>
        </w:rPr>
        <w:t xml:space="preserve">NABERS Energy and Water for offices: Rules for collecting and using data, </w:t>
      </w:r>
      <w:r w:rsidR="00190215">
        <w:t>as in force from time to time,</w:t>
      </w:r>
      <w:r>
        <w:t xml:space="preserve"> published by the NSW Environment </w:t>
      </w:r>
      <w:r w:rsidR="009570B0">
        <w:t xml:space="preserve">Agency. </w:t>
      </w:r>
      <w:r>
        <w:t xml:space="preserve"> </w:t>
      </w:r>
    </w:p>
    <w:p w14:paraId="580A40BC" w14:textId="6801B0A5" w:rsidR="00C10487" w:rsidRPr="00EF7B46" w:rsidRDefault="00D67E46" w:rsidP="0017655F">
      <w:pPr>
        <w:pStyle w:val="definition"/>
        <w:tabs>
          <w:tab w:val="left" w:pos="1701"/>
          <w:tab w:val="left" w:pos="4678"/>
        </w:tabs>
        <w:ind w:left="1699" w:hanging="735"/>
        <w:jc w:val="left"/>
        <w:rPr>
          <w:sz w:val="20"/>
          <w:szCs w:val="20"/>
        </w:rPr>
      </w:pPr>
      <w:r w:rsidRPr="0017655F">
        <w:rPr>
          <w:sz w:val="20"/>
          <w:szCs w:val="20"/>
        </w:rPr>
        <w:t>Note</w:t>
      </w:r>
      <w:r w:rsidRPr="00EF7B46">
        <w:rPr>
          <w:sz w:val="20"/>
          <w:szCs w:val="20"/>
        </w:rPr>
        <w:t xml:space="preserve">: </w:t>
      </w:r>
      <w:r w:rsidRPr="00EF7B46">
        <w:rPr>
          <w:sz w:val="20"/>
          <w:szCs w:val="20"/>
        </w:rPr>
        <w:tab/>
      </w:r>
      <w:r w:rsidRPr="00EF7B46">
        <w:rPr>
          <w:sz w:val="20"/>
          <w:szCs w:val="20"/>
        </w:rPr>
        <w:tab/>
      </w:r>
      <w:r w:rsidR="00C10487" w:rsidRPr="00EF7B46">
        <w:rPr>
          <w:i/>
          <w:sz w:val="20"/>
          <w:szCs w:val="20"/>
        </w:rPr>
        <w:t xml:space="preserve">NABERS Energy and Water for offices: Rules for collecting and using data </w:t>
      </w:r>
      <w:r w:rsidR="00EC3C0B">
        <w:rPr>
          <w:sz w:val="20"/>
          <w:szCs w:val="20"/>
        </w:rPr>
        <w:t xml:space="preserve">is available </w:t>
      </w:r>
      <w:r w:rsidR="00C10487" w:rsidRPr="00EF7B46">
        <w:rPr>
          <w:sz w:val="20"/>
          <w:szCs w:val="20"/>
        </w:rPr>
        <w:t>on the NABERS’ website (</w:t>
      </w:r>
      <w:hyperlink r:id="rId15" w:history="1">
        <w:r w:rsidR="00C10487" w:rsidRPr="00EF7B46">
          <w:rPr>
            <w:rStyle w:val="Hyperlink"/>
            <w:sz w:val="20"/>
            <w:szCs w:val="20"/>
          </w:rPr>
          <w:t>http://www.nabers.gov.au</w:t>
        </w:r>
      </w:hyperlink>
      <w:r w:rsidR="00C10487" w:rsidRPr="00EF7B46">
        <w:rPr>
          <w:sz w:val="20"/>
          <w:szCs w:val="20"/>
        </w:rPr>
        <w:t xml:space="preserve">). </w:t>
      </w:r>
    </w:p>
    <w:p w14:paraId="16D047A1" w14:textId="77777777" w:rsidR="00EC3C0B" w:rsidRDefault="00EC3C0B" w:rsidP="00EC3C0B">
      <w:pPr>
        <w:pStyle w:val="definition"/>
        <w:tabs>
          <w:tab w:val="left" w:pos="4678"/>
        </w:tabs>
        <w:rPr>
          <w:b/>
          <w:i/>
        </w:rPr>
      </w:pPr>
    </w:p>
    <w:p w14:paraId="03AA818D" w14:textId="77777777" w:rsidR="0050300B" w:rsidRDefault="00D67E46" w:rsidP="00D67E46">
      <w:pPr>
        <w:pStyle w:val="definition"/>
        <w:tabs>
          <w:tab w:val="left" w:pos="993"/>
          <w:tab w:val="left" w:pos="13892"/>
        </w:tabs>
      </w:pPr>
      <w:r>
        <w:rPr>
          <w:b/>
          <w:i/>
        </w:rPr>
        <w:tab/>
      </w:r>
      <w:proofErr w:type="gramStart"/>
      <w:r w:rsidR="0050300B" w:rsidRPr="00DC4F8D">
        <w:rPr>
          <w:b/>
          <w:i/>
        </w:rPr>
        <w:t>net</w:t>
      </w:r>
      <w:proofErr w:type="gramEnd"/>
      <w:r w:rsidR="0050300B" w:rsidRPr="00DC4F8D">
        <w:rPr>
          <w:b/>
          <w:i/>
        </w:rPr>
        <w:t xml:space="preserve"> lettable area</w:t>
      </w:r>
      <w:r w:rsidR="0050300B" w:rsidRPr="00DC4F8D">
        <w:t xml:space="preserve">, for a building or an area of a building, has the same meaning as in the document </w:t>
      </w:r>
      <w:r w:rsidR="0050300B" w:rsidRPr="00DC4F8D">
        <w:rPr>
          <w:i/>
        </w:rPr>
        <w:t>Method of Measurement for Lettable Area</w:t>
      </w:r>
      <w:r w:rsidR="0050300B" w:rsidRPr="00DC4F8D">
        <w:t>, dated March 1997, published by the Property Council of Australia Limited, as in f</w:t>
      </w:r>
      <w:r w:rsidR="007C4762">
        <w:t xml:space="preserve">orce at the commencement of the </w:t>
      </w:r>
      <w:r w:rsidR="0050300B" w:rsidRPr="00DC4F8D">
        <w:t>Regulations.</w:t>
      </w:r>
    </w:p>
    <w:p w14:paraId="3F38B2F9" w14:textId="77777777" w:rsidR="0050300B" w:rsidRPr="00EF7B46" w:rsidRDefault="007C4762" w:rsidP="0017655F">
      <w:pPr>
        <w:pStyle w:val="Note"/>
        <w:tabs>
          <w:tab w:val="left" w:pos="1701"/>
          <w:tab w:val="left" w:pos="4678"/>
        </w:tabs>
        <w:ind w:left="1699" w:hanging="735"/>
        <w:jc w:val="left"/>
        <w:rPr>
          <w:szCs w:val="20"/>
        </w:rPr>
      </w:pPr>
      <w:r w:rsidRPr="0017655F">
        <w:rPr>
          <w:szCs w:val="20"/>
        </w:rPr>
        <w:lastRenderedPageBreak/>
        <w:t>N</w:t>
      </w:r>
      <w:r w:rsidR="0050300B" w:rsidRPr="0017655F">
        <w:rPr>
          <w:szCs w:val="20"/>
        </w:rPr>
        <w:t>ote</w:t>
      </w:r>
      <w:r w:rsidR="00EF7B46">
        <w:rPr>
          <w:i/>
          <w:szCs w:val="20"/>
        </w:rPr>
        <w:t>:</w:t>
      </w:r>
      <w:r w:rsidR="0050300B" w:rsidRPr="00EF7B46">
        <w:rPr>
          <w:szCs w:val="20"/>
        </w:rPr>
        <w:t>   </w:t>
      </w:r>
      <w:r w:rsidR="00EF7B46">
        <w:rPr>
          <w:szCs w:val="20"/>
        </w:rPr>
        <w:tab/>
      </w:r>
      <w:r w:rsidR="0050300B" w:rsidRPr="00EF7B46">
        <w:rPr>
          <w:szCs w:val="20"/>
        </w:rPr>
        <w:t xml:space="preserve">The document titled </w:t>
      </w:r>
      <w:r w:rsidR="0050300B" w:rsidRPr="00EF7B46">
        <w:rPr>
          <w:i/>
          <w:szCs w:val="20"/>
        </w:rPr>
        <w:t>Method of Measurement for Lettable Area</w:t>
      </w:r>
      <w:r w:rsidR="0050300B" w:rsidRPr="00EF7B46">
        <w:rPr>
          <w:szCs w:val="20"/>
        </w:rPr>
        <w:t xml:space="preserve"> is available from the Property Council of Australia Limited’s website at </w:t>
      </w:r>
      <w:hyperlink r:id="rId16" w:history="1">
        <w:r w:rsidR="00EF7B46" w:rsidRPr="007D37A9">
          <w:rPr>
            <w:rStyle w:val="Hyperlink"/>
            <w:szCs w:val="20"/>
          </w:rPr>
          <w:t>http://www.propertyoz.com.au</w:t>
        </w:r>
      </w:hyperlink>
      <w:r w:rsidR="00EF7B46">
        <w:rPr>
          <w:szCs w:val="20"/>
          <w:u w:val="single"/>
        </w:rPr>
        <w:t xml:space="preserve">. </w:t>
      </w:r>
    </w:p>
    <w:p w14:paraId="7D36CF7F" w14:textId="77777777" w:rsidR="00D67E46" w:rsidRDefault="00D67E46" w:rsidP="00B21341">
      <w:pPr>
        <w:pStyle w:val="definition"/>
        <w:rPr>
          <w:b/>
          <w:i/>
        </w:rPr>
      </w:pPr>
    </w:p>
    <w:p w14:paraId="3AC3418F" w14:textId="77777777" w:rsidR="00656CB1" w:rsidRPr="009570B0" w:rsidRDefault="00656CB1" w:rsidP="00B21341">
      <w:pPr>
        <w:pStyle w:val="definition"/>
      </w:pPr>
      <w:r w:rsidRPr="0015147C">
        <w:rPr>
          <w:b/>
          <w:i/>
        </w:rPr>
        <w:t xml:space="preserve">NSW Environment </w:t>
      </w:r>
      <w:r w:rsidR="009570B0">
        <w:rPr>
          <w:b/>
          <w:i/>
        </w:rPr>
        <w:t xml:space="preserve">Agency </w:t>
      </w:r>
      <w:r w:rsidR="009570B0">
        <w:t xml:space="preserve">means the New South Wales government agency or Department of State that manages the National Australian Built Environment Rating System (NABERS). </w:t>
      </w:r>
    </w:p>
    <w:p w14:paraId="6FB6DFB1" w14:textId="77777777" w:rsidR="001609AD" w:rsidRPr="009570B0" w:rsidRDefault="009570B0" w:rsidP="0017655F">
      <w:pPr>
        <w:pStyle w:val="definition"/>
        <w:tabs>
          <w:tab w:val="left" w:pos="1701"/>
          <w:tab w:val="left" w:pos="4678"/>
        </w:tabs>
        <w:jc w:val="left"/>
        <w:rPr>
          <w:b/>
          <w:i/>
          <w:sz w:val="20"/>
        </w:rPr>
      </w:pPr>
      <w:r w:rsidRPr="0017655F">
        <w:rPr>
          <w:sz w:val="20"/>
        </w:rPr>
        <w:t>Note</w:t>
      </w:r>
      <w:r w:rsidR="00EF7B46">
        <w:rPr>
          <w:i/>
          <w:sz w:val="20"/>
        </w:rPr>
        <w:t>:</w:t>
      </w:r>
      <w:r w:rsidRPr="009570B0">
        <w:rPr>
          <w:sz w:val="20"/>
        </w:rPr>
        <w:t>   </w:t>
      </w:r>
      <w:r w:rsidR="00EF7B46">
        <w:rPr>
          <w:sz w:val="20"/>
        </w:rPr>
        <w:tab/>
      </w:r>
      <w:r>
        <w:rPr>
          <w:sz w:val="20"/>
        </w:rPr>
        <w:t>NABERS is a system for measuring the environm</w:t>
      </w:r>
      <w:r w:rsidR="0064027D">
        <w:rPr>
          <w:sz w:val="20"/>
        </w:rPr>
        <w:t xml:space="preserve">ental performance of buildings. </w:t>
      </w:r>
    </w:p>
    <w:p w14:paraId="55B073D9" w14:textId="77777777" w:rsidR="009570B0" w:rsidRDefault="009570B0" w:rsidP="0050300B">
      <w:pPr>
        <w:pStyle w:val="definition"/>
        <w:tabs>
          <w:tab w:val="left" w:pos="4678"/>
        </w:tabs>
        <w:rPr>
          <w:b/>
          <w:i/>
        </w:rPr>
      </w:pPr>
    </w:p>
    <w:p w14:paraId="6D59310F" w14:textId="77777777" w:rsidR="0050300B" w:rsidRDefault="0050300B" w:rsidP="0050300B">
      <w:pPr>
        <w:pStyle w:val="definition"/>
        <w:tabs>
          <w:tab w:val="left" w:pos="4678"/>
        </w:tabs>
      </w:pPr>
      <w:proofErr w:type="gramStart"/>
      <w:r w:rsidRPr="00DC4F8D">
        <w:rPr>
          <w:b/>
          <w:i/>
        </w:rPr>
        <w:t>rated</w:t>
      </w:r>
      <w:proofErr w:type="gramEnd"/>
      <w:r w:rsidRPr="00DC4F8D">
        <w:rPr>
          <w:b/>
          <w:i/>
        </w:rPr>
        <w:t xml:space="preserve"> areas</w:t>
      </w:r>
      <w:r w:rsidRPr="00DC4F8D">
        <w:t xml:space="preserve"> has the meaning given by the NABERS Energy rating rules.</w:t>
      </w:r>
    </w:p>
    <w:p w14:paraId="11BBF580" w14:textId="77777777" w:rsidR="0050300B" w:rsidRPr="00DC4F8D" w:rsidRDefault="0050300B" w:rsidP="0050300B">
      <w:pPr>
        <w:pStyle w:val="definition"/>
        <w:tabs>
          <w:tab w:val="left" w:pos="4678"/>
        </w:tabs>
      </w:pPr>
    </w:p>
    <w:p w14:paraId="72C5FC73" w14:textId="77777777" w:rsidR="0050300B" w:rsidRDefault="0050300B" w:rsidP="0050300B">
      <w:pPr>
        <w:pStyle w:val="definition"/>
        <w:tabs>
          <w:tab w:val="left" w:pos="4678"/>
        </w:tabs>
      </w:pPr>
      <w:proofErr w:type="gramStart"/>
      <w:r w:rsidRPr="00DC4F8D">
        <w:rPr>
          <w:b/>
          <w:i/>
        </w:rPr>
        <w:t>rating</w:t>
      </w:r>
      <w:proofErr w:type="gramEnd"/>
      <w:r w:rsidRPr="00DC4F8D">
        <w:rPr>
          <w:b/>
          <w:i/>
        </w:rPr>
        <w:t xml:space="preserve"> period</w:t>
      </w:r>
      <w:r w:rsidRPr="00DC4F8D">
        <w:t xml:space="preserve"> has the meaning given by the NABERS Energy rating rules.</w:t>
      </w:r>
    </w:p>
    <w:p w14:paraId="3072B686" w14:textId="77777777" w:rsidR="007C4762" w:rsidRDefault="007C4762" w:rsidP="0050300B">
      <w:pPr>
        <w:pStyle w:val="definition"/>
        <w:tabs>
          <w:tab w:val="left" w:pos="4678"/>
        </w:tabs>
      </w:pPr>
    </w:p>
    <w:p w14:paraId="3BD0F824" w14:textId="77777777" w:rsidR="00F05EC5" w:rsidRDefault="007C4762" w:rsidP="00F05EC5">
      <w:pPr>
        <w:pStyle w:val="definition"/>
        <w:tabs>
          <w:tab w:val="left" w:pos="4678"/>
        </w:tabs>
        <w:rPr>
          <w:i/>
        </w:rPr>
      </w:pPr>
      <w:r w:rsidRPr="007C4762">
        <w:rPr>
          <w:b/>
          <w:i/>
        </w:rPr>
        <w:t xml:space="preserve">Regulations </w:t>
      </w:r>
      <w:r>
        <w:t xml:space="preserve">means the </w:t>
      </w:r>
      <w:r w:rsidR="00F05EC5" w:rsidRPr="000C616B">
        <w:rPr>
          <w:i/>
        </w:rPr>
        <w:t xml:space="preserve">Building Energy Efficiency Disclosure Regulations 2010. </w:t>
      </w:r>
    </w:p>
    <w:p w14:paraId="5ACC3F2A" w14:textId="77777777" w:rsidR="00F05EC5" w:rsidRPr="000C616B" w:rsidRDefault="00F05EC5" w:rsidP="00F05EC5">
      <w:pPr>
        <w:pStyle w:val="definition"/>
        <w:tabs>
          <w:tab w:val="left" w:pos="4678"/>
        </w:tabs>
        <w:rPr>
          <w:i/>
        </w:rPr>
      </w:pPr>
    </w:p>
    <w:p w14:paraId="68A01009" w14:textId="77777777" w:rsidR="0050300B" w:rsidRPr="001609AD" w:rsidRDefault="0050300B" w:rsidP="00B21341">
      <w:pPr>
        <w:pStyle w:val="definition"/>
      </w:pPr>
      <w:proofErr w:type="gramStart"/>
      <w:r>
        <w:rPr>
          <w:b/>
          <w:i/>
        </w:rPr>
        <w:t>start</w:t>
      </w:r>
      <w:proofErr w:type="gramEnd"/>
      <w:r>
        <w:rPr>
          <w:b/>
          <w:i/>
        </w:rPr>
        <w:t xml:space="preserve"> day</w:t>
      </w:r>
      <w:r>
        <w:rPr>
          <w:i/>
        </w:rPr>
        <w:t xml:space="preserve"> </w:t>
      </w:r>
      <w:r>
        <w:t xml:space="preserve">has the meaning given in section 13(1) of the Act. </w:t>
      </w:r>
    </w:p>
    <w:p w14:paraId="5F942B0B" w14:textId="77777777" w:rsidR="001609AD" w:rsidRDefault="001609AD" w:rsidP="00B21341">
      <w:pPr>
        <w:pStyle w:val="definition"/>
        <w:rPr>
          <w:b/>
          <w:i/>
        </w:rPr>
      </w:pPr>
    </w:p>
    <w:p w14:paraId="524435EA" w14:textId="23E294B7" w:rsidR="00656CB1" w:rsidRDefault="00656CB1" w:rsidP="00B21341">
      <w:pPr>
        <w:pStyle w:val="definition"/>
      </w:pPr>
      <w:r>
        <w:rPr>
          <w:b/>
          <w:i/>
        </w:rPr>
        <w:t xml:space="preserve">Tenancy Lighting Assessment rules </w:t>
      </w:r>
      <w:r w:rsidRPr="00F0587D">
        <w:t xml:space="preserve">means the </w:t>
      </w:r>
      <w:r>
        <w:rPr>
          <w:i/>
        </w:rPr>
        <w:t>CBD Tenancy Lighting Assessment for Office</w:t>
      </w:r>
      <w:r w:rsidR="00973332">
        <w:rPr>
          <w:i/>
        </w:rPr>
        <w:t>s</w:t>
      </w:r>
      <w:r>
        <w:rPr>
          <w:i/>
        </w:rPr>
        <w:t xml:space="preserve"> Rules</w:t>
      </w:r>
      <w:r w:rsidR="0064027D">
        <w:t xml:space="preserve">, </w:t>
      </w:r>
      <w:r w:rsidR="003745D9">
        <w:t>as in force from time to time</w:t>
      </w:r>
      <w:r w:rsidR="0064027D">
        <w:t>,</w:t>
      </w:r>
      <w:r>
        <w:t xml:space="preserve"> and any rulings made in accordance with those Rules</w:t>
      </w:r>
      <w:r>
        <w:rPr>
          <w:i/>
        </w:rPr>
        <w:t>,</w:t>
      </w:r>
      <w:r>
        <w:t xml:space="preserve"> </w:t>
      </w:r>
      <w:r w:rsidR="0064027D">
        <w:t xml:space="preserve">published by the Department. </w:t>
      </w:r>
    </w:p>
    <w:p w14:paraId="1DD52196" w14:textId="77777777" w:rsidR="00656CB1" w:rsidRPr="00F0587D" w:rsidRDefault="00656CB1" w:rsidP="0017655F">
      <w:pPr>
        <w:pStyle w:val="Note"/>
        <w:tabs>
          <w:tab w:val="left" w:pos="1701"/>
        </w:tabs>
        <w:ind w:left="1699" w:hanging="735"/>
        <w:jc w:val="left"/>
      </w:pPr>
      <w:r w:rsidRPr="0017655F">
        <w:t>Note</w:t>
      </w:r>
      <w:r w:rsidR="00EF7B46">
        <w:rPr>
          <w:i/>
        </w:rPr>
        <w:t>:</w:t>
      </w:r>
      <w:r w:rsidRPr="0015147C">
        <w:t>   </w:t>
      </w:r>
      <w:r w:rsidR="00EF7B46">
        <w:tab/>
      </w:r>
      <w:r w:rsidRPr="0015147C">
        <w:t xml:space="preserve">The document </w:t>
      </w:r>
      <w:r>
        <w:rPr>
          <w:i/>
        </w:rPr>
        <w:t>CBD Tenancy Lighting Assessment for Office</w:t>
      </w:r>
      <w:r w:rsidR="00973332">
        <w:rPr>
          <w:i/>
        </w:rPr>
        <w:t>s</w:t>
      </w:r>
      <w:r>
        <w:rPr>
          <w:i/>
        </w:rPr>
        <w:t xml:space="preserve"> Rules</w:t>
      </w:r>
      <w:r w:rsidRPr="0015147C">
        <w:t xml:space="preserve"> is available from the </w:t>
      </w:r>
      <w:r>
        <w:t>Commercial Building Disclosure program</w:t>
      </w:r>
      <w:r w:rsidRPr="0015147C">
        <w:t xml:space="preserve"> website at </w:t>
      </w:r>
      <w:hyperlink r:id="rId17" w:history="1">
        <w:r w:rsidR="00EF7B46" w:rsidRPr="007D37A9">
          <w:rPr>
            <w:rStyle w:val="Hyperlink"/>
          </w:rPr>
          <w:t>http://www.cbd.gov.au</w:t>
        </w:r>
      </w:hyperlink>
      <w:r w:rsidR="00EF7B46">
        <w:rPr>
          <w:u w:val="single"/>
        </w:rPr>
        <w:t xml:space="preserve">. </w:t>
      </w:r>
    </w:p>
    <w:p w14:paraId="14762739" w14:textId="77777777" w:rsidR="001609AD" w:rsidRDefault="001609AD" w:rsidP="00B21341">
      <w:pPr>
        <w:pStyle w:val="definition"/>
        <w:rPr>
          <w:b/>
          <w:i/>
        </w:rPr>
      </w:pPr>
    </w:p>
    <w:p w14:paraId="13CB843C" w14:textId="77777777" w:rsidR="00656CB1" w:rsidRPr="0015147C" w:rsidRDefault="00656CB1" w:rsidP="00B21341">
      <w:pPr>
        <w:pStyle w:val="definition"/>
      </w:pPr>
      <w:proofErr w:type="gramStart"/>
      <w:r w:rsidRPr="0015147C">
        <w:rPr>
          <w:b/>
          <w:i/>
        </w:rPr>
        <w:t>tenancy</w:t>
      </w:r>
      <w:proofErr w:type="gramEnd"/>
      <w:r w:rsidRPr="0015147C">
        <w:rPr>
          <w:b/>
          <w:i/>
        </w:rPr>
        <w:t xml:space="preserve"> rating</w:t>
      </w:r>
      <w:r w:rsidRPr="0015147C">
        <w:t xml:space="preserve"> has the meaning given by the NABERS Energy rating rules.</w:t>
      </w:r>
    </w:p>
    <w:p w14:paraId="019CB310" w14:textId="77777777" w:rsidR="001609AD" w:rsidRDefault="001609AD" w:rsidP="00B21341">
      <w:pPr>
        <w:pStyle w:val="Zdefinition"/>
        <w:rPr>
          <w:b/>
          <w:i/>
        </w:rPr>
      </w:pPr>
    </w:p>
    <w:p w14:paraId="738E284E" w14:textId="77777777" w:rsidR="00656CB1" w:rsidRPr="0015147C" w:rsidRDefault="00656CB1" w:rsidP="00B21341">
      <w:pPr>
        <w:pStyle w:val="Zdefinition"/>
      </w:pPr>
      <w:proofErr w:type="gramStart"/>
      <w:r w:rsidRPr="0015147C">
        <w:rPr>
          <w:b/>
          <w:i/>
        </w:rPr>
        <w:t>utility</w:t>
      </w:r>
      <w:proofErr w:type="gramEnd"/>
      <w:r w:rsidRPr="0015147C">
        <w:rPr>
          <w:b/>
          <w:i/>
        </w:rPr>
        <w:t xml:space="preserve"> meter</w:t>
      </w:r>
      <w:r w:rsidRPr="0015147C">
        <w:t xml:space="preserve"> means a meter:</w:t>
      </w:r>
    </w:p>
    <w:p w14:paraId="2FAD1AB8" w14:textId="77777777" w:rsidR="00656CB1" w:rsidRPr="0015147C" w:rsidRDefault="00656CB1" w:rsidP="00B21341">
      <w:pPr>
        <w:pStyle w:val="P1"/>
      </w:pPr>
      <w:r w:rsidRPr="0015147C">
        <w:tab/>
        <w:t>(a)</w:t>
      </w:r>
      <w:r w:rsidRPr="0015147C">
        <w:tab/>
      </w:r>
      <w:proofErr w:type="gramStart"/>
      <w:r w:rsidRPr="0015147C">
        <w:t>installed</w:t>
      </w:r>
      <w:proofErr w:type="gramEnd"/>
      <w:r w:rsidRPr="0015147C">
        <w:t xml:space="preserve"> to measure electricity, gas or any other source of energy used in a building; and</w:t>
      </w:r>
    </w:p>
    <w:p w14:paraId="1EE6D6E4" w14:textId="77777777" w:rsidR="00656CB1" w:rsidRPr="0015147C" w:rsidRDefault="00656CB1" w:rsidP="00B21341">
      <w:pPr>
        <w:pStyle w:val="P1"/>
      </w:pPr>
      <w:r w:rsidRPr="0015147C">
        <w:tab/>
        <w:t>(b)</w:t>
      </w:r>
      <w:r w:rsidRPr="0015147C">
        <w:tab/>
      </w:r>
      <w:proofErr w:type="gramStart"/>
      <w:r w:rsidRPr="0015147C">
        <w:t>operated</w:t>
      </w:r>
      <w:proofErr w:type="gramEnd"/>
      <w:r w:rsidRPr="0015147C">
        <w:t xml:space="preserve"> by the supplier of the electricity, gas or other source of energy as the basis for billing its customer.</w:t>
      </w:r>
    </w:p>
    <w:p w14:paraId="18CEBEB3" w14:textId="77777777" w:rsidR="001609AD" w:rsidRDefault="001609AD" w:rsidP="00B21341">
      <w:pPr>
        <w:pStyle w:val="definition"/>
        <w:rPr>
          <w:b/>
          <w:i/>
        </w:rPr>
      </w:pPr>
    </w:p>
    <w:p w14:paraId="4E7692A6" w14:textId="77777777" w:rsidR="00656CB1" w:rsidRPr="0015147C" w:rsidRDefault="00656CB1" w:rsidP="00B21341">
      <w:pPr>
        <w:pStyle w:val="definition"/>
      </w:pPr>
      <w:proofErr w:type="gramStart"/>
      <w:r w:rsidRPr="0015147C">
        <w:rPr>
          <w:b/>
          <w:i/>
        </w:rPr>
        <w:t>whole</w:t>
      </w:r>
      <w:proofErr w:type="gramEnd"/>
      <w:r w:rsidRPr="0015147C">
        <w:rPr>
          <w:b/>
          <w:i/>
        </w:rPr>
        <w:t xml:space="preserve"> building rating</w:t>
      </w:r>
      <w:r w:rsidRPr="0015147C">
        <w:t xml:space="preserve"> has the meaning given by the NABERS Energy rating rules.</w:t>
      </w:r>
    </w:p>
    <w:p w14:paraId="35E4B7EE" w14:textId="77777777" w:rsidR="00656CB1" w:rsidRPr="0015147C" w:rsidRDefault="00E97C92" w:rsidP="00B21341">
      <w:pPr>
        <w:pStyle w:val="HR"/>
      </w:pPr>
      <w:bookmarkStart w:id="7" w:name="_Toc419988951"/>
      <w:r>
        <w:t>5</w:t>
      </w:r>
      <w:r w:rsidR="00656CB1" w:rsidRPr="0015147C">
        <w:tab/>
        <w:t>Advertisements</w:t>
      </w:r>
      <w:bookmarkEnd w:id="7"/>
    </w:p>
    <w:p w14:paraId="22710632" w14:textId="77777777" w:rsidR="00656CB1" w:rsidRPr="0015147C" w:rsidRDefault="00656CB1" w:rsidP="00B21341">
      <w:pPr>
        <w:pStyle w:val="ZR1"/>
      </w:pPr>
      <w:r w:rsidRPr="0015147C">
        <w:tab/>
        <w:t>(1)</w:t>
      </w:r>
      <w:r w:rsidRPr="0015147C">
        <w:tab/>
        <w:t>For section 15 of the Act, an energy efficiency rating for a building must be expressed</w:t>
      </w:r>
      <w:r w:rsidR="00E97C92">
        <w:t xml:space="preserve"> in the advertisement</w:t>
      </w:r>
      <w:r w:rsidRPr="0015147C">
        <w:t>:</w:t>
      </w:r>
    </w:p>
    <w:p w14:paraId="650772BF" w14:textId="77777777" w:rsidR="00656CB1" w:rsidRPr="0015147C" w:rsidRDefault="00656CB1" w:rsidP="00B21341">
      <w:pPr>
        <w:pStyle w:val="P1"/>
      </w:pPr>
      <w:r w:rsidRPr="0015147C">
        <w:tab/>
        <w:t>(a)</w:t>
      </w:r>
      <w:r w:rsidRPr="0015147C">
        <w:tab/>
        <w:t>by using a whole number, or one-half of a whole number, worked out for the building under the NABERS Energy rating rules as applied by section </w:t>
      </w:r>
      <w:r w:rsidR="001E583F">
        <w:t>6</w:t>
      </w:r>
      <w:r w:rsidRPr="0015147C">
        <w:t>, with 0 indicating the lowest rating; and</w:t>
      </w:r>
    </w:p>
    <w:p w14:paraId="69C9E745" w14:textId="77777777" w:rsidR="00656CB1" w:rsidRDefault="00656CB1" w:rsidP="00B21341">
      <w:pPr>
        <w:pStyle w:val="P1"/>
      </w:pPr>
      <w:r w:rsidRPr="0015147C">
        <w:lastRenderedPageBreak/>
        <w:tab/>
        <w:t>(b)</w:t>
      </w:r>
      <w:r w:rsidRPr="0015147C">
        <w:tab/>
      </w:r>
      <w:proofErr w:type="gramStart"/>
      <w:r w:rsidRPr="0015147C">
        <w:t>by</w:t>
      </w:r>
      <w:proofErr w:type="gramEnd"/>
      <w:r w:rsidRPr="0015147C">
        <w:t xml:space="preserve"> adding the words ‘-star NABERS Energy rating’ after the number worked out under paragraph (a).</w:t>
      </w:r>
    </w:p>
    <w:p w14:paraId="5F3A1D82" w14:textId="77777777" w:rsidR="00656CB1" w:rsidRPr="0015147C" w:rsidRDefault="00656CB1" w:rsidP="00B21341">
      <w:pPr>
        <w:pStyle w:val="HE"/>
      </w:pPr>
      <w:r w:rsidRPr="0015147C">
        <w:t>Examples</w:t>
      </w:r>
    </w:p>
    <w:p w14:paraId="538AE6AF" w14:textId="77777777" w:rsidR="00656CB1" w:rsidRPr="0015147C" w:rsidRDefault="00656CB1" w:rsidP="00B21341">
      <w:pPr>
        <w:pStyle w:val="ExampleBody"/>
      </w:pPr>
      <w:r w:rsidRPr="0015147C">
        <w:t>1   ‘4.5-star NABERS Energy rating’.</w:t>
      </w:r>
    </w:p>
    <w:p w14:paraId="12C0ABFB" w14:textId="77777777" w:rsidR="00656CB1" w:rsidRDefault="00656CB1" w:rsidP="00B21341">
      <w:pPr>
        <w:pStyle w:val="ExampleBody"/>
      </w:pPr>
      <w:r w:rsidRPr="0015147C">
        <w:t>2   ‘3-star NABERS Energy rating’.</w:t>
      </w:r>
    </w:p>
    <w:p w14:paraId="4AEEFCFA" w14:textId="77777777" w:rsidR="00EC3C0B" w:rsidRDefault="00EC3C0B" w:rsidP="00EC3C0B">
      <w:pPr>
        <w:pStyle w:val="definition"/>
        <w:rPr>
          <w:b/>
          <w:i/>
        </w:rPr>
      </w:pPr>
    </w:p>
    <w:p w14:paraId="031CDDB0" w14:textId="77777777" w:rsidR="00656CB1" w:rsidRPr="0015147C" w:rsidRDefault="00656CB1" w:rsidP="00B21341">
      <w:pPr>
        <w:pStyle w:val="ZR2"/>
      </w:pPr>
      <w:r w:rsidRPr="0015147C">
        <w:tab/>
        <w:t>(2)</w:t>
      </w:r>
      <w:r w:rsidRPr="0015147C">
        <w:tab/>
        <w:t xml:space="preserve">The rating must be displayed prominently within </w:t>
      </w:r>
      <w:r w:rsidR="00F15901">
        <w:t xml:space="preserve">each separate advertisement </w:t>
      </w:r>
      <w:r w:rsidRPr="0015147C">
        <w:t>so that:</w:t>
      </w:r>
    </w:p>
    <w:p w14:paraId="05715F44" w14:textId="77777777" w:rsidR="00656CB1" w:rsidRPr="0015147C" w:rsidRDefault="00656CB1" w:rsidP="00B21341">
      <w:pPr>
        <w:pStyle w:val="P1"/>
      </w:pPr>
      <w:r w:rsidRPr="0015147C">
        <w:tab/>
        <w:t>(a)</w:t>
      </w:r>
      <w:r w:rsidRPr="0015147C">
        <w:tab/>
      </w:r>
      <w:proofErr w:type="gramStart"/>
      <w:r w:rsidRPr="0015147C">
        <w:t>it</w:t>
      </w:r>
      <w:proofErr w:type="gramEnd"/>
      <w:r w:rsidRPr="0015147C">
        <w:t xml:space="preserve"> is clearly visible; and</w:t>
      </w:r>
    </w:p>
    <w:p w14:paraId="69605B44" w14:textId="77777777" w:rsidR="00656CB1" w:rsidRPr="0015147C" w:rsidRDefault="00656CB1" w:rsidP="00B21341">
      <w:pPr>
        <w:pStyle w:val="P1"/>
      </w:pPr>
      <w:r w:rsidRPr="0015147C">
        <w:tab/>
        <w:t>(b)</w:t>
      </w:r>
      <w:r w:rsidRPr="0015147C">
        <w:tab/>
      </w:r>
      <w:proofErr w:type="gramStart"/>
      <w:r w:rsidRPr="0015147C">
        <w:t>it</w:t>
      </w:r>
      <w:proofErr w:type="gramEnd"/>
      <w:r w:rsidRPr="0015147C">
        <w:t xml:space="preserve"> is not obscured; and</w:t>
      </w:r>
    </w:p>
    <w:p w14:paraId="309A2CF1" w14:textId="77777777" w:rsidR="00656CB1" w:rsidRPr="0015147C" w:rsidRDefault="00656CB1" w:rsidP="00B21341">
      <w:pPr>
        <w:pStyle w:val="P1"/>
      </w:pPr>
      <w:r w:rsidRPr="0015147C">
        <w:tab/>
        <w:t>(c)</w:t>
      </w:r>
      <w:r w:rsidRPr="0015147C">
        <w:tab/>
      </w:r>
      <w:proofErr w:type="gramStart"/>
      <w:r w:rsidRPr="0015147C">
        <w:t>the</w:t>
      </w:r>
      <w:proofErr w:type="gramEnd"/>
      <w:r w:rsidRPr="0015147C">
        <w:t xml:space="preserve"> number and the text included in the rating is at least as large as the majority of the text contained in the advertisement.</w:t>
      </w:r>
    </w:p>
    <w:p w14:paraId="25BADDAA" w14:textId="77777777" w:rsidR="00656CB1" w:rsidRPr="0015147C" w:rsidRDefault="00E97C92" w:rsidP="00F20496">
      <w:pPr>
        <w:pStyle w:val="HR"/>
      </w:pPr>
      <w:bookmarkStart w:id="8" w:name="_Toc419988952"/>
      <w:r>
        <w:t>6</w:t>
      </w:r>
      <w:r w:rsidR="00656CB1" w:rsidRPr="0015147C">
        <w:tab/>
        <w:t>Methods and standards of assessment — energy ratings</w:t>
      </w:r>
      <w:bookmarkEnd w:id="8"/>
    </w:p>
    <w:p w14:paraId="0CD67A82" w14:textId="77777777" w:rsidR="00656CB1" w:rsidRDefault="00656CB1" w:rsidP="00B67083">
      <w:pPr>
        <w:pStyle w:val="R1"/>
      </w:pPr>
      <w:r w:rsidRPr="0015147C">
        <w:tab/>
        <w:t>(1)</w:t>
      </w:r>
      <w:r w:rsidRPr="0015147C">
        <w:tab/>
      </w:r>
      <w:r>
        <w:t xml:space="preserve">For paragraph 21 (1) (a) of the Act, the determined assessment methods and standards to be applied in working out the energy efficiency rating for a building are: </w:t>
      </w:r>
    </w:p>
    <w:p w14:paraId="1B26861A" w14:textId="77777777" w:rsidR="00656CB1" w:rsidRDefault="00656CB1" w:rsidP="001609AD">
      <w:pPr>
        <w:pStyle w:val="P1"/>
      </w:pPr>
      <w:r>
        <w:tab/>
        <w:t>(a)</w:t>
      </w:r>
      <w:r w:rsidR="007F73EA">
        <w:tab/>
      </w:r>
      <w:r>
        <w:t xml:space="preserve">the NABERS Energy rating rules as modified by subsections (2), (3), (4) and (5); or </w:t>
      </w:r>
    </w:p>
    <w:p w14:paraId="2FF341C1" w14:textId="77777777" w:rsidR="00656CB1" w:rsidRDefault="00656CB1" w:rsidP="001609AD">
      <w:pPr>
        <w:pStyle w:val="P1"/>
      </w:pPr>
      <w:r>
        <w:tab/>
        <w:t>(b)</w:t>
      </w:r>
      <w:r w:rsidR="007F73EA">
        <w:tab/>
      </w:r>
      <w:proofErr w:type="gramStart"/>
      <w:r>
        <w:t>the</w:t>
      </w:r>
      <w:proofErr w:type="gramEnd"/>
      <w:r>
        <w:t xml:space="preserve"> rules relating to reliance on a current NABERS rating contained in subsections (6), (7), (8), (9) and (10). </w:t>
      </w:r>
    </w:p>
    <w:p w14:paraId="222E4655" w14:textId="77777777" w:rsidR="00656CB1" w:rsidRPr="0015147C" w:rsidRDefault="00656CB1" w:rsidP="00B21341">
      <w:pPr>
        <w:pStyle w:val="HSR"/>
      </w:pPr>
      <w:r>
        <w:t>Modification of NABERS Energy rating rules</w:t>
      </w:r>
    </w:p>
    <w:p w14:paraId="644CEDB7" w14:textId="77777777" w:rsidR="00656CB1" w:rsidRPr="0015147C" w:rsidRDefault="00656CB1" w:rsidP="00B21341">
      <w:pPr>
        <w:pStyle w:val="ZR2"/>
      </w:pPr>
      <w:r w:rsidRPr="0015147C">
        <w:tab/>
        <w:t>(2)</w:t>
      </w:r>
      <w:r w:rsidRPr="0015147C">
        <w:tab/>
        <w:t xml:space="preserve">In </w:t>
      </w:r>
      <w:r>
        <w:t xml:space="preserve">applying </w:t>
      </w:r>
      <w:r w:rsidRPr="0015147C">
        <w:t>the NABERS Energy rating rules under subsection (1)</w:t>
      </w:r>
      <w:r>
        <w:t xml:space="preserve"> (a)</w:t>
      </w:r>
      <w:r w:rsidRPr="0015147C">
        <w:t xml:space="preserve">, </w:t>
      </w:r>
      <w:r>
        <w:t xml:space="preserve">an accredited assessor must work out an energy efficiency rating that does not take into account </w:t>
      </w:r>
      <w:r w:rsidRPr="0015147C">
        <w:t xml:space="preserve">the purchase of electricity under the </w:t>
      </w:r>
      <w:proofErr w:type="spellStart"/>
      <w:r w:rsidRPr="0015147C">
        <w:t>GreenPower</w:t>
      </w:r>
      <w:proofErr w:type="spellEnd"/>
      <w:r w:rsidRPr="0015147C">
        <w:t xml:space="preserve"> program.</w:t>
      </w:r>
    </w:p>
    <w:p w14:paraId="76486037" w14:textId="77777777" w:rsidR="00656CB1" w:rsidRPr="0015147C" w:rsidRDefault="00656CB1" w:rsidP="0017655F">
      <w:pPr>
        <w:pStyle w:val="Note"/>
        <w:tabs>
          <w:tab w:val="left" w:pos="1701"/>
        </w:tabs>
        <w:ind w:left="1699" w:hanging="735"/>
        <w:jc w:val="left"/>
      </w:pPr>
      <w:r w:rsidRPr="0015147C">
        <w:rPr>
          <w:i/>
        </w:rPr>
        <w:t>Note</w:t>
      </w:r>
      <w:r w:rsidR="00EF7B46">
        <w:rPr>
          <w:i/>
        </w:rPr>
        <w:t>:</w:t>
      </w:r>
      <w:r w:rsidRPr="0015147C">
        <w:t>   </w:t>
      </w:r>
      <w:r w:rsidR="00EF7B46">
        <w:tab/>
      </w:r>
      <w:r w:rsidRPr="0015147C">
        <w:t xml:space="preserve">Information about the </w:t>
      </w:r>
      <w:proofErr w:type="spellStart"/>
      <w:r w:rsidRPr="0015147C">
        <w:t>GreenPower</w:t>
      </w:r>
      <w:proofErr w:type="spellEnd"/>
      <w:r w:rsidRPr="0015147C">
        <w:t xml:space="preserve"> program is available at </w:t>
      </w:r>
      <w:hyperlink r:id="rId18" w:history="1">
        <w:r w:rsidR="00EF7B46" w:rsidRPr="007D37A9">
          <w:rPr>
            <w:rStyle w:val="Hyperlink"/>
          </w:rPr>
          <w:t>http://www.greenpower.gov.au</w:t>
        </w:r>
      </w:hyperlink>
      <w:r w:rsidR="00EF7B46">
        <w:rPr>
          <w:u w:val="single"/>
        </w:rPr>
        <w:t xml:space="preserve">. </w:t>
      </w:r>
    </w:p>
    <w:p w14:paraId="51A01CE9" w14:textId="77777777" w:rsidR="00656CB1" w:rsidRDefault="00656CB1" w:rsidP="009030CF">
      <w:pPr>
        <w:pStyle w:val="R2"/>
      </w:pPr>
      <w:r>
        <w:tab/>
        <w:t>(3)</w:t>
      </w:r>
      <w:r>
        <w:tab/>
        <w:t xml:space="preserve">In applying the NABERS Energy rating rules </w:t>
      </w:r>
      <w:r w:rsidR="008C7899">
        <w:t>for</w:t>
      </w:r>
      <w:r>
        <w:t xml:space="preserve"> buildings undertaking a major refurbishment under subsection (1) (a), an accredited assessor </w:t>
      </w:r>
      <w:r w:rsidR="00967E0F">
        <w:t xml:space="preserve">must not </w:t>
      </w:r>
      <w:r>
        <w:t xml:space="preserve">assign an energy efficiency rating to a building where the accredited assessor reasonably forms the opinion that the building is currently undergoing works which are likely to effect the energy efficiency rating of the building.  </w:t>
      </w:r>
    </w:p>
    <w:p w14:paraId="0681E519" w14:textId="77777777" w:rsidR="00FB4DB4" w:rsidRPr="001609AD" w:rsidRDefault="00967E0F" w:rsidP="001609AD">
      <w:pPr>
        <w:pStyle w:val="R2"/>
      </w:pPr>
      <w:r>
        <w:tab/>
      </w:r>
      <w:r w:rsidR="00FB4DB4" w:rsidRPr="001609AD">
        <w:t>(4)</w:t>
      </w:r>
      <w:r>
        <w:tab/>
      </w:r>
      <w:r w:rsidR="00FB4DB4" w:rsidRPr="001609AD">
        <w:t>In applying the NABERS Energy rating rules under subsection (1) (a), an accredited assessor must work out the base building rating for a building unless the building has inadequate met</w:t>
      </w:r>
      <w:r w:rsidR="000457B1">
        <w:t>e</w:t>
      </w:r>
      <w:r w:rsidR="00FB4DB4" w:rsidRPr="001609AD">
        <w:t>ring. Met</w:t>
      </w:r>
      <w:r w:rsidR="000457B1">
        <w:t>e</w:t>
      </w:r>
      <w:r w:rsidR="00FB4DB4" w:rsidRPr="001609AD">
        <w:t>ring is deemed inadequate when the meters installed for the building are not sufficient to distinguish energy measured for tenancy energy use from base building energy use, resulting in a non-representative figure of the</w:t>
      </w:r>
      <w:r w:rsidR="008C7899">
        <w:t xml:space="preserve"> base</w:t>
      </w:r>
      <w:r w:rsidR="00CB0C0C">
        <w:t xml:space="preserve"> building</w:t>
      </w:r>
      <w:r w:rsidR="00FB4DB4" w:rsidRPr="001609AD">
        <w:t xml:space="preserve"> energy use.  </w:t>
      </w:r>
    </w:p>
    <w:p w14:paraId="403EAA60" w14:textId="77777777" w:rsidR="00FB4DB4" w:rsidRPr="00E03566" w:rsidRDefault="00967E0F" w:rsidP="00967E0F">
      <w:pPr>
        <w:pStyle w:val="R2"/>
      </w:pPr>
      <w:r>
        <w:tab/>
      </w:r>
      <w:r w:rsidR="00FB4DB4" w:rsidRPr="001609AD">
        <w:t>(5)</w:t>
      </w:r>
      <w:r>
        <w:tab/>
      </w:r>
      <w:r w:rsidR="00FB4DB4" w:rsidRPr="001609AD">
        <w:t xml:space="preserve">If calculating a base building rating will result in a non-representative figure as under subsection (4), an accredited assessor must work out the whole building rating for the building. </w:t>
      </w:r>
    </w:p>
    <w:p w14:paraId="3F1B0ADA" w14:textId="77777777" w:rsidR="00656CB1" w:rsidRDefault="00656CB1" w:rsidP="006976FC">
      <w:pPr>
        <w:pStyle w:val="HSR"/>
        <w:rPr>
          <w:i w:val="0"/>
        </w:rPr>
      </w:pPr>
      <w:r>
        <w:lastRenderedPageBreak/>
        <w:t>Reliance on a current NABERS rating</w:t>
      </w:r>
    </w:p>
    <w:p w14:paraId="0B7C2F34" w14:textId="77777777" w:rsidR="00656CB1" w:rsidRDefault="00656CB1" w:rsidP="006976FC">
      <w:pPr>
        <w:pStyle w:val="R2"/>
      </w:pPr>
      <w:r>
        <w:tab/>
        <w:t>(6)</w:t>
      </w:r>
      <w:r>
        <w:tab/>
        <w:t xml:space="preserve">For paragraph 21 (1) (a) of the Act, it is determined that a method and standard of assessment to be applied in working out the energy efficiency rating for a building is for an accredited assessor to adopt and rely on a current NABERS rating that has been certified by the National Administrator of the NABERS scheme in accordance with the NABERS Energy rating rules. </w:t>
      </w:r>
    </w:p>
    <w:p w14:paraId="362BA7D9" w14:textId="77777777" w:rsidR="00656CB1" w:rsidRDefault="00656CB1" w:rsidP="006976FC">
      <w:pPr>
        <w:pStyle w:val="R2"/>
      </w:pPr>
      <w:r>
        <w:tab/>
        <w:t>(7)</w:t>
      </w:r>
      <w:r>
        <w:tab/>
        <w:t xml:space="preserve">For subsection (6), an accredited assessor can only rely on a current NABERS rating that does not take into account the purchase of electricity under the </w:t>
      </w:r>
      <w:proofErr w:type="spellStart"/>
      <w:r>
        <w:t>GreenPower</w:t>
      </w:r>
      <w:proofErr w:type="spellEnd"/>
      <w:r>
        <w:t xml:space="preserve"> program.</w:t>
      </w:r>
    </w:p>
    <w:p w14:paraId="43D2EE06" w14:textId="77777777" w:rsidR="00656CB1" w:rsidRDefault="00656CB1" w:rsidP="006976FC">
      <w:pPr>
        <w:pStyle w:val="R2"/>
      </w:pPr>
      <w:r>
        <w:tab/>
        <w:t>(8)</w:t>
      </w:r>
      <w:r>
        <w:tab/>
        <w:t xml:space="preserve">For subsection (6), an accredited assessor can only rely </w:t>
      </w:r>
      <w:r w:rsidR="00DB6958">
        <w:t xml:space="preserve">on </w:t>
      </w:r>
      <w:r>
        <w:t xml:space="preserve">a current NABERS rating where: </w:t>
      </w:r>
    </w:p>
    <w:p w14:paraId="0E022CE1" w14:textId="77777777" w:rsidR="00656CB1" w:rsidRDefault="00656CB1" w:rsidP="001609AD">
      <w:pPr>
        <w:pStyle w:val="P1"/>
      </w:pPr>
      <w:r>
        <w:tab/>
        <w:t>(a)</w:t>
      </w:r>
      <w:r w:rsidR="00967E0F">
        <w:tab/>
      </w:r>
      <w:proofErr w:type="gramStart"/>
      <w:r>
        <w:t>the</w:t>
      </w:r>
      <w:proofErr w:type="gramEnd"/>
      <w:r>
        <w:t xml:space="preserve"> current NABERS rating is a base building rating; or</w:t>
      </w:r>
    </w:p>
    <w:p w14:paraId="04807F45" w14:textId="77777777" w:rsidR="00656CB1" w:rsidRDefault="00656CB1" w:rsidP="001609AD">
      <w:pPr>
        <w:pStyle w:val="P1"/>
      </w:pPr>
      <w:r>
        <w:tab/>
        <w:t>(b)</w:t>
      </w:r>
      <w:r w:rsidR="00967E0F">
        <w:tab/>
      </w:r>
      <w:proofErr w:type="gramStart"/>
      <w:r>
        <w:t>the</w:t>
      </w:r>
      <w:proofErr w:type="gramEnd"/>
      <w:r>
        <w:t xml:space="preserve"> current NABERS rating is a whole building rating; and</w:t>
      </w:r>
    </w:p>
    <w:p w14:paraId="509F3123" w14:textId="77777777" w:rsidR="00656CB1" w:rsidRDefault="00656CB1" w:rsidP="001609AD">
      <w:pPr>
        <w:pStyle w:val="R2"/>
        <w:ind w:left="2160" w:hanging="600"/>
      </w:pPr>
      <w:r>
        <w:t>(</w:t>
      </w:r>
      <w:proofErr w:type="spellStart"/>
      <w:r>
        <w:t>i</w:t>
      </w:r>
      <w:proofErr w:type="spellEnd"/>
      <w:r>
        <w:t>)</w:t>
      </w:r>
      <w:r w:rsidR="00967E0F">
        <w:tab/>
      </w:r>
      <w:proofErr w:type="gramStart"/>
      <w:r>
        <w:t>there</w:t>
      </w:r>
      <w:proofErr w:type="gramEnd"/>
      <w:r>
        <w:t xml:space="preserve"> is no current NABERS rating for the building that is a base building rating; and</w:t>
      </w:r>
    </w:p>
    <w:p w14:paraId="062CF8F7" w14:textId="77777777" w:rsidR="00656CB1" w:rsidRDefault="00656CB1" w:rsidP="001609AD">
      <w:pPr>
        <w:pStyle w:val="R2"/>
        <w:ind w:left="2160" w:hanging="600"/>
      </w:pPr>
      <w:r>
        <w:t>(ii)</w:t>
      </w:r>
      <w:r w:rsidR="00967E0F">
        <w:tab/>
      </w:r>
      <w:r>
        <w:t xml:space="preserve">the accredited assessor would not be able to work out the base building rating for the building by applying the NABERS Energy rating rules under subsection (1) (a).  </w:t>
      </w:r>
    </w:p>
    <w:p w14:paraId="0657C8C4" w14:textId="77777777" w:rsidR="00656CB1" w:rsidRDefault="00656CB1" w:rsidP="0034506C">
      <w:pPr>
        <w:pStyle w:val="R2"/>
      </w:pPr>
      <w:r>
        <w:tab/>
        <w:t xml:space="preserve">(9) </w:t>
      </w:r>
      <w:r>
        <w:tab/>
        <w:t xml:space="preserve">An accredited assessor cannot rely on a current NABERS rating under subsection (6) where the accredited assessor reasonably forms the opinion that the building is currently undergoing works which are likely to </w:t>
      </w:r>
      <w:r w:rsidR="00967E0F">
        <w:t>a</w:t>
      </w:r>
      <w:r>
        <w:t xml:space="preserve">ffect the energy efficiency rating of the building. </w:t>
      </w:r>
    </w:p>
    <w:p w14:paraId="70BDC10C" w14:textId="77777777" w:rsidR="00656CB1" w:rsidRDefault="00656CB1" w:rsidP="0034506C">
      <w:pPr>
        <w:pStyle w:val="R2"/>
      </w:pPr>
      <w:r>
        <w:tab/>
        <w:t>(10)</w:t>
      </w:r>
      <w:r>
        <w:tab/>
        <w:t xml:space="preserve">An accredited assessor cannot rely on a current NABERS rating under subsection (6) where the accredited assessor reasonably forms the opinion that the building has undergone works since the rating was certified which are likely to have </w:t>
      </w:r>
      <w:r w:rsidR="00967E0F">
        <w:t>a</w:t>
      </w:r>
      <w:r>
        <w:t>ffected the energy efficiency rating of the building.</w:t>
      </w:r>
    </w:p>
    <w:p w14:paraId="3AA3CBE4" w14:textId="77777777" w:rsidR="00656CB1" w:rsidRPr="0015147C" w:rsidRDefault="00E97C92" w:rsidP="00F20496">
      <w:pPr>
        <w:pStyle w:val="HR"/>
      </w:pPr>
      <w:bookmarkStart w:id="9" w:name="_Toc419988953"/>
      <w:r>
        <w:t>7</w:t>
      </w:r>
      <w:r w:rsidR="00656CB1" w:rsidRPr="0015147C">
        <w:tab/>
        <w:t xml:space="preserve">Methods and standards of assessment — </w:t>
      </w:r>
      <w:r w:rsidR="00656CB1">
        <w:t>lighting</w:t>
      </w:r>
      <w:bookmarkEnd w:id="9"/>
    </w:p>
    <w:p w14:paraId="38D1BE46" w14:textId="77777777" w:rsidR="00656CB1" w:rsidRDefault="00656CB1" w:rsidP="00BB2A80">
      <w:pPr>
        <w:pStyle w:val="R1"/>
      </w:pPr>
      <w:r w:rsidRPr="0015147C">
        <w:tab/>
        <w:t>(1)</w:t>
      </w:r>
      <w:r w:rsidRPr="0015147C">
        <w:tab/>
        <w:t>For paragraph</w:t>
      </w:r>
      <w:r>
        <w:t>s 21 (1) (b</w:t>
      </w:r>
      <w:r w:rsidRPr="0015147C">
        <w:t>)</w:t>
      </w:r>
      <w:r>
        <w:t xml:space="preserve"> and 21 (1) (c)</w:t>
      </w:r>
      <w:r w:rsidRPr="0015147C">
        <w:t xml:space="preserve"> of the Act, the assessment methods</w:t>
      </w:r>
      <w:r>
        <w:t xml:space="preserve"> and standards to be applied in working out the </w:t>
      </w:r>
      <w:r w:rsidR="008657E7">
        <w:t xml:space="preserve">lighting </w:t>
      </w:r>
      <w:r>
        <w:t>energy efficiency for a building or an area of a building are determined to be:</w:t>
      </w:r>
    </w:p>
    <w:p w14:paraId="617D521A" w14:textId="77777777" w:rsidR="00656CB1" w:rsidRDefault="00656CB1" w:rsidP="001609AD">
      <w:pPr>
        <w:pStyle w:val="P1"/>
      </w:pPr>
      <w:r>
        <w:tab/>
        <w:t>(a)</w:t>
      </w:r>
      <w:r w:rsidR="00967E0F">
        <w:tab/>
      </w:r>
      <w:proofErr w:type="gramStart"/>
      <w:r>
        <w:t>the</w:t>
      </w:r>
      <w:proofErr w:type="gramEnd"/>
      <w:r>
        <w:t xml:space="preserve"> Tenancy Lighting Assessment rules; or</w:t>
      </w:r>
    </w:p>
    <w:p w14:paraId="1FC3A503" w14:textId="77777777" w:rsidR="00656CB1" w:rsidRPr="0015147C" w:rsidRDefault="00656CB1" w:rsidP="001609AD">
      <w:pPr>
        <w:pStyle w:val="P1"/>
      </w:pPr>
      <w:r>
        <w:tab/>
        <w:t>(b)</w:t>
      </w:r>
      <w:r w:rsidR="00967E0F">
        <w:tab/>
      </w:r>
      <w:proofErr w:type="gramStart"/>
      <w:r>
        <w:t>the</w:t>
      </w:r>
      <w:proofErr w:type="gramEnd"/>
      <w:r>
        <w:t xml:space="preserve"> rule relating to reliance on a current lighting assessment contained in subsection (2).</w:t>
      </w:r>
    </w:p>
    <w:p w14:paraId="2F9E1758" w14:textId="77777777" w:rsidR="00656CB1" w:rsidRDefault="00656CB1" w:rsidP="00E74FB8">
      <w:pPr>
        <w:pStyle w:val="HSR"/>
      </w:pPr>
      <w:r>
        <w:t>Reliance on a current lighting assessment</w:t>
      </w:r>
    </w:p>
    <w:p w14:paraId="5EF247BC" w14:textId="77777777" w:rsidR="006C25F6" w:rsidRPr="006C25F6" w:rsidRDefault="00656CB1" w:rsidP="00C32E53">
      <w:pPr>
        <w:pStyle w:val="R2"/>
        <w:jc w:val="left"/>
        <w:sectPr w:rsidR="006C25F6" w:rsidRPr="006C25F6" w:rsidSect="006C25F6">
          <w:headerReference w:type="even" r:id="rId19"/>
          <w:headerReference w:type="default" r:id="rId20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>
        <w:tab/>
        <w:t>(2)</w:t>
      </w:r>
      <w:r>
        <w:tab/>
        <w:t xml:space="preserve">For paragraphs 21 (1) (b) and 21 (1) (c) of the Act, it is determined that a method and standard of assessment to be applied in working out the </w:t>
      </w:r>
      <w:r w:rsidR="008657E7">
        <w:t xml:space="preserve">lighting energy efficiency </w:t>
      </w:r>
      <w:r>
        <w:t xml:space="preserve">for a building or an area of a building is for an accredited assessor to adopt and rely on a current lighting assessment that has been submitted to and certified by the Department in accordance with the Tenancy Lighting Assessment </w:t>
      </w:r>
      <w:r w:rsidR="00DB6958">
        <w:t>r</w:t>
      </w:r>
      <w:r>
        <w:t>ules.</w:t>
      </w:r>
    </w:p>
    <w:p w14:paraId="0FB6DD0E" w14:textId="77777777" w:rsidR="00337129" w:rsidRPr="00826F23" w:rsidRDefault="00337129" w:rsidP="009B6FE0">
      <w:pPr>
        <w:pStyle w:val="Header"/>
        <w:rPr>
          <w:vanish/>
        </w:rPr>
      </w:pPr>
      <w:bookmarkStart w:id="10" w:name="_Toc265747518"/>
    </w:p>
    <w:p w14:paraId="754B08D2" w14:textId="77777777" w:rsidR="009B6FE0" w:rsidRPr="00DC4F8D" w:rsidRDefault="00E97C92" w:rsidP="009B6FE0">
      <w:pPr>
        <w:pStyle w:val="HR"/>
        <w:tabs>
          <w:tab w:val="left" w:pos="4678"/>
        </w:tabs>
      </w:pPr>
      <w:bookmarkStart w:id="11" w:name="_Toc419988955"/>
      <w:r>
        <w:rPr>
          <w:rStyle w:val="CharSectno"/>
        </w:rPr>
        <w:t>8</w:t>
      </w:r>
      <w:r w:rsidR="009B6FE0" w:rsidRPr="00DC4F8D">
        <w:tab/>
        <w:t>Information included in certificates</w:t>
      </w:r>
      <w:bookmarkEnd w:id="10"/>
      <w:bookmarkEnd w:id="11"/>
    </w:p>
    <w:p w14:paraId="5A9E5CF8" w14:textId="77777777" w:rsidR="009B6FE0" w:rsidRPr="00DC4F8D" w:rsidRDefault="009B6FE0" w:rsidP="009B6FE0">
      <w:pPr>
        <w:pStyle w:val="ZR1"/>
      </w:pPr>
      <w:r w:rsidRPr="00DC4F8D">
        <w:tab/>
      </w:r>
      <w:r w:rsidRPr="00DC4F8D">
        <w:tab/>
        <w:t xml:space="preserve">For subsection </w:t>
      </w:r>
      <w:r w:rsidR="0066056C">
        <w:t>13A</w:t>
      </w:r>
      <w:r w:rsidR="00337129">
        <w:t xml:space="preserve"> </w:t>
      </w:r>
      <w:r w:rsidR="0066056C">
        <w:t xml:space="preserve">(4) </w:t>
      </w:r>
      <w:r w:rsidRPr="00DC4F8D">
        <w:t>of the Act, a building energy efficiency certificate must include the following information:</w:t>
      </w:r>
    </w:p>
    <w:p w14:paraId="08617987" w14:textId="77777777" w:rsidR="008C7899" w:rsidRDefault="001609AD" w:rsidP="009B6FE0">
      <w:pPr>
        <w:pStyle w:val="P1"/>
        <w:tabs>
          <w:tab w:val="left" w:pos="4678"/>
        </w:tabs>
      </w:pPr>
      <w:r>
        <w:tab/>
        <w:t>(a</w:t>
      </w:r>
      <w:r w:rsidR="009B6FE0" w:rsidRPr="00DC4F8D">
        <w:t>)</w:t>
      </w:r>
      <w:r w:rsidR="009B6FE0" w:rsidRPr="00DC4F8D">
        <w:tab/>
      </w:r>
      <w:proofErr w:type="gramStart"/>
      <w:r w:rsidR="008C7899">
        <w:t>the</w:t>
      </w:r>
      <w:proofErr w:type="gramEnd"/>
      <w:r w:rsidR="008C7899">
        <w:t xml:space="preserve"> start day for the certificate; </w:t>
      </w:r>
    </w:p>
    <w:p w14:paraId="1E7FE4F2" w14:textId="77777777" w:rsidR="009B6FE0" w:rsidRPr="00DC4F8D" w:rsidRDefault="008C7899" w:rsidP="009B6FE0">
      <w:pPr>
        <w:pStyle w:val="P1"/>
        <w:tabs>
          <w:tab w:val="left" w:pos="4678"/>
        </w:tabs>
      </w:pPr>
      <w:r>
        <w:tab/>
        <w:t>(b)</w:t>
      </w:r>
      <w:r>
        <w:tab/>
      </w:r>
      <w:proofErr w:type="gramStart"/>
      <w:r w:rsidR="009B6FE0" w:rsidRPr="00DC4F8D">
        <w:t>the</w:t>
      </w:r>
      <w:proofErr w:type="gramEnd"/>
      <w:r w:rsidR="009B6FE0" w:rsidRPr="00DC4F8D">
        <w:t xml:space="preserve"> date the certificate ceases to be current under </w:t>
      </w:r>
      <w:r w:rsidR="002C0186">
        <w:t>paragraph</w:t>
      </w:r>
      <w:r w:rsidR="009B6FE0" w:rsidRPr="00DC4F8D">
        <w:t xml:space="preserve"> </w:t>
      </w:r>
      <w:r w:rsidR="0066056C">
        <w:t>13A (</w:t>
      </w:r>
      <w:r w:rsidR="002C0186">
        <w:t>2</w:t>
      </w:r>
      <w:r w:rsidR="0066056C">
        <w:t>)</w:t>
      </w:r>
      <w:r w:rsidR="002C0186">
        <w:t>(d)</w:t>
      </w:r>
      <w:r w:rsidR="0066056C">
        <w:t xml:space="preserve"> </w:t>
      </w:r>
      <w:r w:rsidR="009B6FE0" w:rsidRPr="00DC4F8D">
        <w:t>of the Act;</w:t>
      </w:r>
    </w:p>
    <w:p w14:paraId="2B7ED488" w14:textId="77777777" w:rsidR="009B6FE0" w:rsidRPr="00DC4F8D" w:rsidRDefault="009B6FE0" w:rsidP="009B6FE0">
      <w:pPr>
        <w:pStyle w:val="P1"/>
        <w:tabs>
          <w:tab w:val="left" w:pos="4678"/>
        </w:tabs>
      </w:pPr>
      <w:r w:rsidRPr="00DC4F8D">
        <w:rPr>
          <w:b/>
          <w:i/>
        </w:rPr>
        <w:tab/>
      </w:r>
      <w:r w:rsidR="001609AD">
        <w:t>(</w:t>
      </w:r>
      <w:r w:rsidR="008C7899">
        <w:t>c</w:t>
      </w:r>
      <w:r w:rsidRPr="00DC4F8D">
        <w:t>)</w:t>
      </w:r>
      <w:r w:rsidRPr="00DC4F8D">
        <w:tab/>
      </w:r>
      <w:proofErr w:type="gramStart"/>
      <w:r w:rsidRPr="00DC4F8D">
        <w:t>a</w:t>
      </w:r>
      <w:proofErr w:type="gramEnd"/>
      <w:r w:rsidRPr="00DC4F8D">
        <w:t xml:space="preserve"> unique identifying number for the certificate;</w:t>
      </w:r>
    </w:p>
    <w:p w14:paraId="3BAC3D39" w14:textId="77777777" w:rsidR="009B6FE0" w:rsidRPr="00DC4F8D" w:rsidRDefault="001609AD" w:rsidP="009B6FE0">
      <w:pPr>
        <w:pStyle w:val="P1"/>
        <w:tabs>
          <w:tab w:val="left" w:pos="4678"/>
        </w:tabs>
      </w:pPr>
      <w:r>
        <w:tab/>
        <w:t>(</w:t>
      </w:r>
      <w:r w:rsidR="008C7899">
        <w:t>d</w:t>
      </w:r>
      <w:r w:rsidR="009B6FE0" w:rsidRPr="00DC4F8D">
        <w:t>)</w:t>
      </w:r>
      <w:r w:rsidR="009B6FE0" w:rsidRPr="00DC4F8D">
        <w:tab/>
      </w:r>
      <w:proofErr w:type="gramStart"/>
      <w:r w:rsidR="009B6FE0" w:rsidRPr="00DC4F8D">
        <w:t>the</w:t>
      </w:r>
      <w:proofErr w:type="gramEnd"/>
      <w:r w:rsidR="009B6FE0" w:rsidRPr="00DC4F8D">
        <w:t xml:space="preserve"> name of the owner of the building;</w:t>
      </w:r>
    </w:p>
    <w:p w14:paraId="59B5890D" w14:textId="77777777" w:rsidR="009B6FE0" w:rsidRPr="00DC4F8D" w:rsidRDefault="008C7899" w:rsidP="009B6FE0">
      <w:pPr>
        <w:pStyle w:val="P1"/>
        <w:tabs>
          <w:tab w:val="left" w:pos="4678"/>
        </w:tabs>
      </w:pPr>
      <w:r>
        <w:tab/>
        <w:t>(e</w:t>
      </w:r>
      <w:r w:rsidR="009B6FE0" w:rsidRPr="00DC4F8D">
        <w:t>)</w:t>
      </w:r>
      <w:r w:rsidR="009B6FE0" w:rsidRPr="00DC4F8D">
        <w:tab/>
      </w:r>
      <w:proofErr w:type="gramStart"/>
      <w:r w:rsidR="009B6FE0" w:rsidRPr="00DC4F8D">
        <w:t>if</w:t>
      </w:r>
      <w:proofErr w:type="gramEnd"/>
      <w:r w:rsidR="009B6FE0" w:rsidRPr="00DC4F8D">
        <w:t xml:space="preserve"> the building has a name</w:t>
      </w:r>
      <w:r w:rsidR="009B6FE0">
        <w:t> </w:t>
      </w:r>
      <w:r w:rsidR="009B6FE0" w:rsidRPr="00DC4F8D">
        <w:t>— the building name;</w:t>
      </w:r>
    </w:p>
    <w:p w14:paraId="24578D4B" w14:textId="77777777" w:rsidR="009B6FE0" w:rsidRPr="00DC4F8D" w:rsidRDefault="009B6FE0" w:rsidP="009B6FE0">
      <w:pPr>
        <w:pStyle w:val="P1"/>
        <w:tabs>
          <w:tab w:val="left" w:pos="4678"/>
        </w:tabs>
      </w:pPr>
      <w:r w:rsidRPr="00DC4F8D">
        <w:tab/>
        <w:t>(</w:t>
      </w:r>
      <w:r w:rsidR="008C7899">
        <w:t>f</w:t>
      </w:r>
      <w:r w:rsidRPr="00DC4F8D">
        <w:t>)</w:t>
      </w:r>
      <w:r w:rsidRPr="00DC4F8D">
        <w:tab/>
      </w:r>
      <w:proofErr w:type="gramStart"/>
      <w:r w:rsidRPr="00DC4F8D">
        <w:t>the</w:t>
      </w:r>
      <w:proofErr w:type="gramEnd"/>
      <w:r w:rsidRPr="00DC4F8D">
        <w:t xml:space="preserve"> street address of the building;</w:t>
      </w:r>
    </w:p>
    <w:p w14:paraId="4DD43A5B" w14:textId="77777777" w:rsidR="009B6FE0" w:rsidRPr="00DC4F8D" w:rsidRDefault="009B6FE0" w:rsidP="009B6FE0">
      <w:pPr>
        <w:pStyle w:val="P1"/>
        <w:tabs>
          <w:tab w:val="left" w:pos="4678"/>
        </w:tabs>
      </w:pPr>
      <w:r w:rsidRPr="00DC4F8D">
        <w:tab/>
        <w:t>(</w:t>
      </w:r>
      <w:r w:rsidR="008C7899">
        <w:t>g</w:t>
      </w:r>
      <w:r w:rsidRPr="00DC4F8D">
        <w:t>)</w:t>
      </w:r>
      <w:r w:rsidRPr="00DC4F8D">
        <w:tab/>
      </w:r>
      <w:proofErr w:type="gramStart"/>
      <w:r w:rsidRPr="00DC4F8D">
        <w:t>if</w:t>
      </w:r>
      <w:proofErr w:type="gramEnd"/>
      <w:r w:rsidRPr="00DC4F8D">
        <w:t xml:space="preserve"> the certificate is for the building</w:t>
      </w:r>
      <w:r>
        <w:t> </w:t>
      </w:r>
      <w:r w:rsidRPr="00DC4F8D">
        <w:t>— the net lettable area of the building;</w:t>
      </w:r>
    </w:p>
    <w:p w14:paraId="61CF932B" w14:textId="77777777" w:rsidR="009B6FE0" w:rsidRPr="00DC4F8D" w:rsidRDefault="009B6FE0" w:rsidP="009B6FE0">
      <w:pPr>
        <w:pStyle w:val="P1"/>
        <w:tabs>
          <w:tab w:val="left" w:pos="4678"/>
        </w:tabs>
      </w:pPr>
      <w:r w:rsidRPr="00DC4F8D">
        <w:tab/>
        <w:t>(</w:t>
      </w:r>
      <w:r w:rsidR="008C7899">
        <w:t>h</w:t>
      </w:r>
      <w:r w:rsidRPr="00DC4F8D">
        <w:t>)</w:t>
      </w:r>
      <w:r w:rsidRPr="00DC4F8D">
        <w:tab/>
      </w:r>
      <w:proofErr w:type="gramStart"/>
      <w:r w:rsidRPr="00DC4F8D">
        <w:t>if</w:t>
      </w:r>
      <w:proofErr w:type="gramEnd"/>
      <w:r w:rsidRPr="00DC4F8D">
        <w:t xml:space="preserve"> the certificate is for an area of the building</w:t>
      </w:r>
      <w:r>
        <w:t> </w:t>
      </w:r>
      <w:r w:rsidRPr="00DC4F8D">
        <w:t>— the net lettable area of the area of the building;</w:t>
      </w:r>
    </w:p>
    <w:p w14:paraId="734DB7DA" w14:textId="77777777" w:rsidR="009B6FE0" w:rsidRPr="00DC4F8D" w:rsidRDefault="008C7899" w:rsidP="009B6FE0">
      <w:pPr>
        <w:pStyle w:val="P1"/>
        <w:tabs>
          <w:tab w:val="left" w:pos="4678"/>
        </w:tabs>
        <w:rPr>
          <w:b/>
          <w:i/>
        </w:rPr>
      </w:pPr>
      <w:r>
        <w:tab/>
        <w:t>(</w:t>
      </w:r>
      <w:proofErr w:type="spellStart"/>
      <w:r>
        <w:t>i</w:t>
      </w:r>
      <w:proofErr w:type="spellEnd"/>
      <w:r w:rsidR="009B6FE0" w:rsidRPr="00DC4F8D">
        <w:t>)</w:t>
      </w:r>
      <w:r w:rsidR="009B6FE0" w:rsidRPr="00DC4F8D">
        <w:tab/>
      </w:r>
      <w:proofErr w:type="gramStart"/>
      <w:r w:rsidR="009B6FE0" w:rsidRPr="00DC4F8D">
        <w:t>the</w:t>
      </w:r>
      <w:proofErr w:type="gramEnd"/>
      <w:r w:rsidR="009B6FE0" w:rsidRPr="00DC4F8D">
        <w:t xml:space="preserve"> hours of occupancy for the building determined under the NABERS Energy rating rules;</w:t>
      </w:r>
    </w:p>
    <w:p w14:paraId="0793213B" w14:textId="77777777" w:rsidR="009B6FE0" w:rsidRPr="00DC4F8D" w:rsidRDefault="008C7899" w:rsidP="009B6FE0">
      <w:pPr>
        <w:pStyle w:val="P1"/>
      </w:pPr>
      <w:r>
        <w:tab/>
        <w:t>(j</w:t>
      </w:r>
      <w:r w:rsidR="009B6FE0" w:rsidRPr="00DC4F8D">
        <w:t>)</w:t>
      </w:r>
      <w:r w:rsidR="009B6FE0" w:rsidRPr="00DC4F8D">
        <w:tab/>
      </w:r>
      <w:proofErr w:type="gramStart"/>
      <w:r w:rsidR="009B6FE0" w:rsidRPr="00DC4F8D">
        <w:t>whether</w:t>
      </w:r>
      <w:proofErr w:type="gramEnd"/>
      <w:r w:rsidR="009B6FE0" w:rsidRPr="00DC4F8D">
        <w:t xml:space="preserve"> the energy efficiency rating for the building is a base building rating or a whole building rating;</w:t>
      </w:r>
    </w:p>
    <w:p w14:paraId="326E91CD" w14:textId="77777777" w:rsidR="009B6FE0" w:rsidRPr="00DC4F8D" w:rsidRDefault="009B6FE0" w:rsidP="009B6FE0">
      <w:pPr>
        <w:pStyle w:val="P1"/>
        <w:tabs>
          <w:tab w:val="left" w:pos="4678"/>
        </w:tabs>
      </w:pPr>
      <w:r w:rsidRPr="00DC4F8D">
        <w:rPr>
          <w:b/>
          <w:i/>
        </w:rPr>
        <w:tab/>
      </w:r>
      <w:r w:rsidR="008C7899">
        <w:t>(k</w:t>
      </w:r>
      <w:r w:rsidRPr="00DC4F8D">
        <w:t>)</w:t>
      </w:r>
      <w:r w:rsidRPr="00DC4F8D">
        <w:tab/>
      </w:r>
      <w:proofErr w:type="gramStart"/>
      <w:r w:rsidRPr="00DC4F8D">
        <w:t>the</w:t>
      </w:r>
      <w:proofErr w:type="gramEnd"/>
      <w:r w:rsidRPr="00DC4F8D">
        <w:t xml:space="preserve"> energy consumption of the building, measured in </w:t>
      </w:r>
      <w:proofErr w:type="spellStart"/>
      <w:r>
        <w:t>megajoules</w:t>
      </w:r>
      <w:proofErr w:type="spellEnd"/>
      <w:r w:rsidRPr="00DC4F8D">
        <w:t>, per year;</w:t>
      </w:r>
    </w:p>
    <w:p w14:paraId="56DC363F" w14:textId="77777777" w:rsidR="009B6FE0" w:rsidRPr="00DC4F8D" w:rsidRDefault="008C7899" w:rsidP="009B6FE0">
      <w:pPr>
        <w:pStyle w:val="ZP1"/>
      </w:pPr>
      <w:r>
        <w:tab/>
        <w:t>(l</w:t>
      </w:r>
      <w:r w:rsidR="009B6FE0" w:rsidRPr="00DC4F8D">
        <w:t>)</w:t>
      </w:r>
      <w:r w:rsidR="009B6FE0" w:rsidRPr="00DC4F8D">
        <w:tab/>
      </w:r>
      <w:proofErr w:type="gramStart"/>
      <w:r w:rsidR="009B6FE0" w:rsidRPr="00DC4F8D">
        <w:t>the</w:t>
      </w:r>
      <w:proofErr w:type="gramEnd"/>
      <w:r w:rsidR="009B6FE0" w:rsidRPr="00DC4F8D">
        <w:t xml:space="preserve"> greenhouse gas emissions generated by the building:</w:t>
      </w:r>
    </w:p>
    <w:p w14:paraId="5919E162" w14:textId="77777777" w:rsidR="009B6FE0" w:rsidRPr="00DC4F8D" w:rsidRDefault="009B6FE0" w:rsidP="009B6FE0">
      <w:pPr>
        <w:pStyle w:val="P2"/>
        <w:tabs>
          <w:tab w:val="left" w:pos="4678"/>
        </w:tabs>
      </w:pPr>
      <w:r w:rsidRPr="00DC4F8D">
        <w:tab/>
        <w:t>(</w:t>
      </w:r>
      <w:proofErr w:type="spellStart"/>
      <w:r w:rsidRPr="00DC4F8D">
        <w:t>i</w:t>
      </w:r>
      <w:proofErr w:type="spellEnd"/>
      <w:r w:rsidRPr="00DC4F8D">
        <w:t>)</w:t>
      </w:r>
      <w:r w:rsidRPr="00DC4F8D">
        <w:tab/>
        <w:t>emitted from rated areas for the rating period covered by the energy efficiency rating, measured in kg of carbon dioxide per year; and</w:t>
      </w:r>
    </w:p>
    <w:p w14:paraId="50E845EA" w14:textId="77777777" w:rsidR="009B6FE0" w:rsidRPr="00DC4F8D" w:rsidRDefault="009B6FE0" w:rsidP="009B6FE0">
      <w:pPr>
        <w:pStyle w:val="P2"/>
        <w:tabs>
          <w:tab w:val="left" w:pos="4678"/>
        </w:tabs>
      </w:pPr>
      <w:r w:rsidRPr="00DC4F8D">
        <w:tab/>
        <w:t>(ii)</w:t>
      </w:r>
      <w:r w:rsidRPr="00DC4F8D">
        <w:tab/>
      </w:r>
      <w:proofErr w:type="gramStart"/>
      <w:r w:rsidRPr="00DC4F8D">
        <w:t>not</w:t>
      </w:r>
      <w:proofErr w:type="gramEnd"/>
      <w:r w:rsidRPr="00DC4F8D">
        <w:t xml:space="preserve"> including the effect of any electricity purchased for the building or area under the </w:t>
      </w:r>
      <w:proofErr w:type="spellStart"/>
      <w:r w:rsidRPr="00DC4F8D">
        <w:t>GreenPower</w:t>
      </w:r>
      <w:proofErr w:type="spellEnd"/>
      <w:r w:rsidRPr="00DC4F8D">
        <w:t xml:space="preserve"> program;</w:t>
      </w:r>
    </w:p>
    <w:p w14:paraId="79CF0FA0" w14:textId="77777777" w:rsidR="009B6FE0" w:rsidRPr="00DC4F8D" w:rsidRDefault="009B6FE0" w:rsidP="009B6FE0">
      <w:pPr>
        <w:pStyle w:val="ZP1"/>
        <w:keepNext w:val="0"/>
      </w:pPr>
      <w:r w:rsidRPr="00DC4F8D">
        <w:tab/>
      </w:r>
      <w:r w:rsidR="008C7899">
        <w:t>(m</w:t>
      </w:r>
      <w:r w:rsidRPr="00DC4F8D">
        <w:t>)</w:t>
      </w:r>
      <w:r w:rsidRPr="00DC4F8D">
        <w:tab/>
      </w:r>
      <w:proofErr w:type="gramStart"/>
      <w:r w:rsidR="009075B7">
        <w:t>the</w:t>
      </w:r>
      <w:proofErr w:type="gramEnd"/>
      <w:r w:rsidR="009075B7">
        <w:t xml:space="preserve"> NABERS Energy rating which does not take into account the purchase of </w:t>
      </w:r>
      <w:proofErr w:type="spellStart"/>
      <w:r w:rsidR="009075B7">
        <w:t>GreenPower</w:t>
      </w:r>
      <w:proofErr w:type="spellEnd"/>
      <w:r w:rsidR="009075B7">
        <w:t xml:space="preserve">; </w:t>
      </w:r>
    </w:p>
    <w:p w14:paraId="1797635D" w14:textId="77777777" w:rsidR="009B6FE0" w:rsidRPr="00DC4F8D" w:rsidRDefault="009B6FE0" w:rsidP="009B6FE0">
      <w:pPr>
        <w:pStyle w:val="P1"/>
      </w:pPr>
      <w:r w:rsidRPr="00DC4F8D">
        <w:tab/>
        <w:t>(</w:t>
      </w:r>
      <w:r w:rsidR="008C7899">
        <w:t>n</w:t>
      </w:r>
      <w:r w:rsidRPr="00DC4F8D">
        <w:t>)</w:t>
      </w:r>
      <w:r w:rsidRPr="00DC4F8D">
        <w:tab/>
      </w:r>
      <w:proofErr w:type="gramStart"/>
      <w:r w:rsidRPr="00DC4F8D">
        <w:t>the</w:t>
      </w:r>
      <w:proofErr w:type="gramEnd"/>
      <w:r w:rsidRPr="00DC4F8D">
        <w:t xml:space="preserve"> greenhouse gas emissions generated by the building</w:t>
      </w:r>
      <w:r>
        <w:t xml:space="preserve"> during a year,</w:t>
      </w:r>
      <w:r w:rsidRPr="00DC4F8D">
        <w:t xml:space="preserve"> because of the energy consumed</w:t>
      </w:r>
      <w:r>
        <w:t>,</w:t>
      </w:r>
      <w:r w:rsidRPr="00DC4F8D">
        <w:t xml:space="preserve"> per </w:t>
      </w:r>
      <w:r>
        <w:t xml:space="preserve">square metre </w:t>
      </w:r>
      <w:r w:rsidRPr="00DC4F8D">
        <w:t>of the building;</w:t>
      </w:r>
    </w:p>
    <w:p w14:paraId="25CBB28A" w14:textId="77777777" w:rsidR="009B6FE0" w:rsidRPr="00DC4F8D" w:rsidRDefault="009B6FE0" w:rsidP="009B6FE0">
      <w:pPr>
        <w:pStyle w:val="P1"/>
        <w:tabs>
          <w:tab w:val="left" w:pos="4678"/>
        </w:tabs>
      </w:pPr>
      <w:r w:rsidRPr="00DC4F8D">
        <w:tab/>
        <w:t>(</w:t>
      </w:r>
      <w:r w:rsidR="008C7899">
        <w:t>o</w:t>
      </w:r>
      <w:r w:rsidRPr="00DC4F8D">
        <w:t>)</w:t>
      </w:r>
      <w:r w:rsidRPr="00DC4F8D">
        <w:tab/>
      </w:r>
      <w:proofErr w:type="gramStart"/>
      <w:r w:rsidRPr="00DC4F8D">
        <w:t>the</w:t>
      </w:r>
      <w:proofErr w:type="gramEnd"/>
      <w:r w:rsidRPr="00DC4F8D">
        <w:t xml:space="preserve"> name of the assessor;</w:t>
      </w:r>
    </w:p>
    <w:p w14:paraId="128D241D" w14:textId="77777777" w:rsidR="009B6FE0" w:rsidRDefault="009B6FE0" w:rsidP="009B6FE0">
      <w:pPr>
        <w:pStyle w:val="P1"/>
        <w:tabs>
          <w:tab w:val="left" w:pos="4678"/>
        </w:tabs>
      </w:pPr>
      <w:r w:rsidRPr="00DC4F8D">
        <w:tab/>
        <w:t>(</w:t>
      </w:r>
      <w:r w:rsidR="008C7899">
        <w:t>p</w:t>
      </w:r>
      <w:r w:rsidRPr="00DC4F8D">
        <w:t>)</w:t>
      </w:r>
      <w:r w:rsidRPr="00DC4F8D">
        <w:tab/>
      </w:r>
      <w:proofErr w:type="gramStart"/>
      <w:r w:rsidRPr="00DC4F8D">
        <w:t>the</w:t>
      </w:r>
      <w:proofErr w:type="gramEnd"/>
      <w:r w:rsidRPr="00DC4F8D">
        <w:t xml:space="preserve"> registration number of the assessor.</w:t>
      </w:r>
    </w:p>
    <w:p w14:paraId="067FCCAA" w14:textId="77777777" w:rsidR="0086395C" w:rsidRPr="00E202BD" w:rsidRDefault="0086395C" w:rsidP="0086395C">
      <w:pPr>
        <w:pStyle w:val="NoteEnd"/>
        <w:keepNext/>
        <w:pBdr>
          <w:top w:val="single" w:sz="4" w:space="3" w:color="auto"/>
        </w:pBdr>
        <w:spacing w:before="480"/>
        <w:jc w:val="left"/>
        <w:rPr>
          <w:rFonts w:ascii="Arial" w:hAnsi="Arial"/>
          <w:b/>
          <w:sz w:val="24"/>
        </w:rPr>
      </w:pPr>
      <w:r w:rsidRPr="00E202BD">
        <w:rPr>
          <w:rFonts w:ascii="Arial" w:hAnsi="Arial"/>
          <w:b/>
          <w:sz w:val="24"/>
        </w:rPr>
        <w:t>Note</w:t>
      </w:r>
    </w:p>
    <w:p w14:paraId="4BAF270E" w14:textId="4670041A" w:rsidR="00656CB1" w:rsidRPr="0015147C" w:rsidRDefault="0086395C" w:rsidP="00C329ED">
      <w:pPr>
        <w:ind w:left="567" w:hanging="567"/>
      </w:pPr>
      <w:r w:rsidRPr="00C329ED">
        <w:t>1.</w:t>
      </w:r>
      <w:r w:rsidRPr="00C329ED">
        <w:tab/>
        <w:t xml:space="preserve">All legislative instruments and compilations are registered on the Federal Register of Legislation kept under the </w:t>
      </w:r>
      <w:r w:rsidRPr="00C329ED">
        <w:rPr>
          <w:i/>
        </w:rPr>
        <w:t>Legislation Act 2003</w:t>
      </w:r>
      <w:r w:rsidRPr="00C329ED">
        <w:t>. See</w:t>
      </w:r>
      <w:r>
        <w:t xml:space="preserve">: </w:t>
      </w:r>
      <w:hyperlink r:id="rId21" w:history="1">
        <w:r w:rsidRPr="00E85CBB">
          <w:rPr>
            <w:rStyle w:val="Hyperlink"/>
          </w:rPr>
          <w:t>http://comlaw.gov.au</w:t>
        </w:r>
      </w:hyperlink>
    </w:p>
    <w:sectPr w:rsidR="00656CB1" w:rsidRPr="0015147C" w:rsidSect="008B20B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A6CC1" w14:textId="77777777" w:rsidR="00BF18A5" w:rsidRDefault="00BF18A5">
      <w:r>
        <w:separator/>
      </w:r>
    </w:p>
  </w:endnote>
  <w:endnote w:type="continuationSeparator" w:id="0">
    <w:p w14:paraId="6C76B315" w14:textId="77777777" w:rsidR="00BF18A5" w:rsidRDefault="00BF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16232" w14:textId="77777777" w:rsidR="00466F37" w:rsidRDefault="00466F37" w:rsidP="00F5516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66F37" w14:paraId="0F030B37" w14:textId="77777777">
      <w:tc>
        <w:tcPr>
          <w:tcW w:w="1134" w:type="dxa"/>
          <w:tcBorders>
            <w:top w:val="single" w:sz="4" w:space="0" w:color="auto"/>
          </w:tcBorders>
        </w:tcPr>
        <w:p w14:paraId="3040E006" w14:textId="77777777" w:rsidR="00466F37" w:rsidRPr="003D7214" w:rsidRDefault="00466F37" w:rsidP="00F55165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13A31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14:paraId="43DF0C93" w14:textId="67C4DC54" w:rsidR="00466F37" w:rsidRPr="004F5D6D" w:rsidRDefault="003745D9" w:rsidP="00F55165">
          <w:pPr>
            <w:pStyle w:val="FooterCitation"/>
          </w:pPr>
          <w:r>
            <w:t>Building Energy Efficiency Disclosure Determination 2016</w:t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5EF2430C" w14:textId="77777777" w:rsidR="00466F37" w:rsidRPr="00451BF5" w:rsidRDefault="00466F37" w:rsidP="00F55165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2D1E705" w14:textId="77777777" w:rsidR="00466F37" w:rsidRDefault="00466F37" w:rsidP="00F55165">
    <w:pPr>
      <w:pStyle w:val="FooterDraft"/>
      <w:ind w:right="360" w:firstLine="360"/>
    </w:pPr>
  </w:p>
  <w:p w14:paraId="49985A78" w14:textId="77777777" w:rsidR="00466F37" w:rsidRDefault="00466F37" w:rsidP="00F55165">
    <w:pPr>
      <w:pStyle w:val="FooterInfo"/>
    </w:pPr>
    <w:r w:rsidRPr="00974D8C">
      <w:t xml:space="preserve"> </w:t>
    </w:r>
    <w:r>
      <w:t xml:space="preserve"> </w:t>
    </w:r>
  </w:p>
  <w:p w14:paraId="74D39B83" w14:textId="77777777" w:rsidR="00466F37" w:rsidRPr="00505C0F" w:rsidRDefault="00466F37" w:rsidP="00F551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12918" w14:textId="77777777" w:rsidR="00466F37" w:rsidRDefault="00466F37" w:rsidP="00F55165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66F37" w14:paraId="7978FF67" w14:textId="77777777">
      <w:tc>
        <w:tcPr>
          <w:tcW w:w="1134" w:type="dxa"/>
          <w:tcBorders>
            <w:top w:val="single" w:sz="4" w:space="0" w:color="auto"/>
          </w:tcBorders>
        </w:tcPr>
        <w:p w14:paraId="66F26B7D" w14:textId="1A0A875D" w:rsidR="00466F37" w:rsidRDefault="00727372" w:rsidP="00F55165">
          <w:pPr>
            <w:spacing w:line="240" w:lineRule="exact"/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13A31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14:paraId="7D127838" w14:textId="06457E60" w:rsidR="00466F37" w:rsidRPr="004F5D6D" w:rsidRDefault="003745D9" w:rsidP="00F55165">
          <w:pPr>
            <w:pStyle w:val="FooterCitation"/>
          </w:pPr>
          <w:r>
            <w:t>Building Energy Efficiency Disclosure Determination 2016</w:t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489AE611" w14:textId="330DE605" w:rsidR="00466F37" w:rsidRPr="003D7214" w:rsidRDefault="00466F37" w:rsidP="00F55165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14:paraId="31EAFB78" w14:textId="77777777" w:rsidR="00466F37" w:rsidRDefault="00466F37" w:rsidP="00F55165">
    <w:pPr>
      <w:pStyle w:val="FooterDraft"/>
    </w:pPr>
  </w:p>
  <w:p w14:paraId="1EBDF78C" w14:textId="77777777" w:rsidR="00466F37" w:rsidRDefault="00466F37" w:rsidP="00F55165">
    <w:pPr>
      <w:pStyle w:val="FooterInfo"/>
    </w:pPr>
    <w:r w:rsidRPr="00974D8C">
      <w:t xml:space="preserve"> </w:t>
    </w:r>
    <w:r>
      <w:t xml:space="preserve"> </w:t>
    </w:r>
  </w:p>
  <w:p w14:paraId="78CE7E3D" w14:textId="77777777" w:rsidR="00466F37" w:rsidRPr="00F10D43" w:rsidRDefault="00466F37" w:rsidP="00F55165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93F08" w14:textId="57C998FA" w:rsidR="00433F25" w:rsidRDefault="00433F25" w:rsidP="00CA25C2">
    <w:pPr>
      <w:pStyle w:val="Footer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D6650" w14:textId="77777777" w:rsidR="00466F37" w:rsidRDefault="00466F37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66F37" w14:paraId="3014180B" w14:textId="77777777">
      <w:tc>
        <w:tcPr>
          <w:tcW w:w="1134" w:type="dxa"/>
          <w:tcBorders>
            <w:top w:val="single" w:sz="4" w:space="0" w:color="auto"/>
          </w:tcBorders>
        </w:tcPr>
        <w:p w14:paraId="042AEF2C" w14:textId="77777777" w:rsidR="00466F37" w:rsidRPr="003D7214" w:rsidRDefault="00466F37" w:rsidP="00BD545A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13A31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14:paraId="7E2611DE" w14:textId="77777777" w:rsidR="00466F37" w:rsidRPr="004F5D6D" w:rsidRDefault="00513A31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F387C" w:rsidRPr="0015147C">
            <w:t xml:space="preserve">Building Energy Efficiency Disclosure Determination </w:t>
          </w:r>
          <w:r w:rsidR="00EF387C">
            <w:t>2015</w:t>
          </w:r>
          <w: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15887C45" w14:textId="77777777" w:rsidR="00466F37" w:rsidRPr="00451BF5" w:rsidRDefault="00466F37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DEB2196" w14:textId="77777777" w:rsidR="00466F37" w:rsidRDefault="00466F37" w:rsidP="00BD545A">
    <w:pPr>
      <w:pStyle w:val="FooterDraft"/>
      <w:ind w:right="360" w:firstLine="360"/>
    </w:pPr>
  </w:p>
  <w:p w14:paraId="107424D4" w14:textId="77777777" w:rsidR="00466F37" w:rsidRDefault="00466F37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D7690" w14:textId="77777777" w:rsidR="00466F37" w:rsidRDefault="00466F37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66F37" w14:paraId="30472DCD" w14:textId="77777777">
      <w:tc>
        <w:tcPr>
          <w:tcW w:w="1134" w:type="dxa"/>
          <w:tcBorders>
            <w:top w:val="single" w:sz="4" w:space="0" w:color="auto"/>
          </w:tcBorders>
        </w:tcPr>
        <w:p w14:paraId="65FA21D1" w14:textId="77777777" w:rsidR="00466F37" w:rsidRDefault="00466F37" w:rsidP="00BD545A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14:paraId="47F02EE9" w14:textId="77777777" w:rsidR="00466F37" w:rsidRPr="004F5D6D" w:rsidRDefault="00513A31" w:rsidP="00BD545A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F387C" w:rsidRPr="0015147C">
            <w:t xml:space="preserve">Building Energy Efficiency Disclosure Determination </w:t>
          </w:r>
          <w:r w:rsidR="00EF387C">
            <w:t>2015</w:t>
          </w:r>
          <w: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64446E45" w14:textId="77777777" w:rsidR="00466F37" w:rsidRPr="003D7214" w:rsidRDefault="00466F37" w:rsidP="00BD545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A25C2"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5B4D80E" w14:textId="77777777" w:rsidR="00466F37" w:rsidRDefault="00466F37" w:rsidP="00BD545A">
    <w:pPr>
      <w:pStyle w:val="FooterDraft"/>
    </w:pPr>
  </w:p>
  <w:p w14:paraId="75D16EF8" w14:textId="77777777" w:rsidR="00466F37" w:rsidRDefault="00466F37" w:rsidP="00BD545A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2460" w14:textId="77777777" w:rsidR="001609AD" w:rsidRDefault="001609AD" w:rsidP="001609A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1609AD" w14:paraId="3607ACAC" w14:textId="77777777" w:rsidTr="00CA57D5">
      <w:tc>
        <w:tcPr>
          <w:tcW w:w="1134" w:type="dxa"/>
          <w:tcBorders>
            <w:top w:val="single" w:sz="4" w:space="0" w:color="auto"/>
          </w:tcBorders>
        </w:tcPr>
        <w:p w14:paraId="6FA95009" w14:textId="77777777" w:rsidR="001609AD" w:rsidRPr="003D7214" w:rsidRDefault="001609AD" w:rsidP="00CA57D5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13A31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14:paraId="6D6B4E9D" w14:textId="62065D6F" w:rsidR="001609AD" w:rsidRPr="004F5D6D" w:rsidRDefault="00727372" w:rsidP="00CA57D5">
          <w:pPr>
            <w:pStyle w:val="FooterCitation"/>
          </w:pPr>
          <w:r>
            <w:t>Building Energy Efficiency Disclosure Determination 2016</w:t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48B3D538" w14:textId="77777777" w:rsidR="001609AD" w:rsidRPr="00451BF5" w:rsidRDefault="001609AD" w:rsidP="00CA57D5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5F780877" w14:textId="77777777" w:rsidR="00466F37" w:rsidRPr="00974D8C" w:rsidRDefault="00466F37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72648" w14:textId="77777777" w:rsidR="00BF18A5" w:rsidRDefault="00BF18A5">
      <w:pPr>
        <w:pStyle w:val="Footer"/>
      </w:pPr>
    </w:p>
    <w:p w14:paraId="46F45812" w14:textId="77777777" w:rsidR="00BF18A5" w:rsidRDefault="00BF18A5"/>
    <w:p w14:paraId="26E3820F" w14:textId="77777777" w:rsidR="00BF18A5" w:rsidRDefault="00BF18A5">
      <w:pPr>
        <w:pStyle w:val="Footer"/>
      </w:pPr>
    </w:p>
    <w:p w14:paraId="010132EC" w14:textId="77777777" w:rsidR="00BF18A5" w:rsidRDefault="00BF18A5"/>
    <w:p w14:paraId="260B476D" w14:textId="77777777" w:rsidR="00BF18A5" w:rsidRDefault="00BF18A5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BF18A5" w14:paraId="1DB3FF43" w14:textId="77777777">
        <w:tc>
          <w:tcPr>
            <w:tcW w:w="1134" w:type="dxa"/>
            <w:tcBorders>
              <w:top w:val="single" w:sz="4" w:space="0" w:color="auto"/>
            </w:tcBorders>
          </w:tcPr>
          <w:p w14:paraId="19BFE336" w14:textId="77777777" w:rsidR="00BF18A5" w:rsidRPr="003D7214" w:rsidRDefault="00BF18A5" w:rsidP="00BD545A">
            <w:pPr>
              <w:spacing w:line="240" w:lineRule="exact"/>
              <w:rPr>
                <w:rFonts w:ascii="Arial" w:hAnsi="Arial"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5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717C5FF3" w14:textId="77777777" w:rsidR="00BF18A5" w:rsidRPr="004F5D6D" w:rsidRDefault="00513A31" w:rsidP="00BD545A">
            <w:pPr>
              <w:pStyle w:val="Footer"/>
              <w:spacing w:before="20" w:line="240" w:lineRule="exact"/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  <w:r w:rsidR="00BF18A5" w:rsidRPr="0015147C">
              <w:t xml:space="preserve">Building Energy Efficiency Disclosure Determination </w:t>
            </w:r>
            <w:r w:rsidR="00BF18A5">
              <w:t>2015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79E0DB" w14:textId="77777777" w:rsidR="00BF18A5" w:rsidRPr="00451BF5" w:rsidRDefault="00BF18A5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1D546EAE" w14:textId="77777777" w:rsidR="00BF18A5" w:rsidRDefault="00BF18A5" w:rsidP="00BD545A">
      <w:pPr>
        <w:pStyle w:val="FooterDraft"/>
        <w:ind w:right="360" w:firstLine="360"/>
      </w:pPr>
    </w:p>
    <w:p w14:paraId="4B26CBAC" w14:textId="77777777" w:rsidR="00BF18A5" w:rsidRDefault="00BF18A5" w:rsidP="00BD545A">
      <w:pPr>
        <w:pStyle w:val="FooterInfo"/>
      </w:pPr>
      <w:r w:rsidRPr="00974D8C">
        <w:t xml:space="preserve"> </w:t>
      </w:r>
      <w:r>
        <w:t xml:space="preserve"> </w:t>
      </w:r>
    </w:p>
    <w:p w14:paraId="2A6063BF" w14:textId="77777777" w:rsidR="00BF18A5" w:rsidRDefault="00BF18A5">
      <w:pPr>
        <w:pStyle w:val="Footer"/>
      </w:pPr>
    </w:p>
    <w:p w14:paraId="4EDF5D32" w14:textId="77777777" w:rsidR="00BF18A5" w:rsidRDefault="00BF18A5"/>
    <w:p w14:paraId="6A071397" w14:textId="77777777" w:rsidR="00BF18A5" w:rsidRDefault="00BF18A5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BF18A5" w14:paraId="24971077" w14:textId="77777777">
        <w:tc>
          <w:tcPr>
            <w:tcW w:w="1134" w:type="dxa"/>
            <w:tcBorders>
              <w:top w:val="single" w:sz="4" w:space="0" w:color="auto"/>
            </w:tcBorders>
          </w:tcPr>
          <w:p w14:paraId="2C876C30" w14:textId="77777777" w:rsidR="00BF18A5" w:rsidRDefault="00BF18A5" w:rsidP="00BD545A">
            <w:pPr>
              <w:spacing w:line="240" w:lineRule="exact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24E293A" w14:textId="77777777" w:rsidR="00BF18A5" w:rsidRPr="004F5D6D" w:rsidRDefault="00513A31" w:rsidP="00BD545A">
            <w:pPr>
              <w:pStyle w:val="FooterCitation"/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  <w:r w:rsidR="00BF18A5" w:rsidRPr="0015147C">
              <w:t xml:space="preserve">Building Energy Efficiency Disclosure Determination </w:t>
            </w:r>
            <w:r w:rsidR="00BF18A5">
              <w:t>2015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909452" w14:textId="77777777" w:rsidR="00BF18A5" w:rsidRPr="003D7214" w:rsidRDefault="00BF18A5" w:rsidP="00BD545A">
            <w:pPr>
              <w:spacing w:line="240" w:lineRule="exact"/>
              <w:jc w:val="right"/>
              <w:rPr>
                <w:rStyle w:val="PageNumber"/>
                <w:rFonts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5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</w:tr>
    </w:tbl>
    <w:p w14:paraId="525F76AD" w14:textId="77777777" w:rsidR="00BF18A5" w:rsidRDefault="00BF18A5" w:rsidP="00BD545A">
      <w:pPr>
        <w:pStyle w:val="FooterDraft"/>
      </w:pPr>
    </w:p>
    <w:p w14:paraId="3358B5B2" w14:textId="77777777" w:rsidR="00BF18A5" w:rsidRDefault="00BF18A5" w:rsidP="00BD545A">
      <w:pPr>
        <w:pStyle w:val="FooterInfo"/>
      </w:pPr>
      <w:r w:rsidRPr="00974D8C">
        <w:t xml:space="preserve"> </w:t>
      </w:r>
      <w:r>
        <w:t xml:space="preserve"> </w:t>
      </w:r>
    </w:p>
    <w:p w14:paraId="6D3F4840" w14:textId="77777777" w:rsidR="00BF18A5" w:rsidRDefault="00BF18A5">
      <w:pPr>
        <w:pStyle w:val="Footer"/>
      </w:pPr>
    </w:p>
    <w:p w14:paraId="2FC3B03E" w14:textId="77777777" w:rsidR="00BF18A5" w:rsidRDefault="00BF18A5"/>
    <w:p w14:paraId="014D1112" w14:textId="77777777" w:rsidR="00BF18A5" w:rsidRDefault="00BF18A5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BF18A5" w14:paraId="03A76392" w14:textId="77777777">
        <w:tc>
          <w:tcPr>
            <w:tcW w:w="1134" w:type="dxa"/>
            <w:tcBorders>
              <w:top w:val="single" w:sz="4" w:space="0" w:color="auto"/>
            </w:tcBorders>
          </w:tcPr>
          <w:p w14:paraId="04948B27" w14:textId="77777777" w:rsidR="00BF18A5" w:rsidRDefault="00BF18A5" w:rsidP="00BD545A">
            <w:pPr>
              <w:spacing w:line="240" w:lineRule="exact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1AAFFB4" w14:textId="77777777" w:rsidR="00BF18A5" w:rsidRPr="004F5D6D" w:rsidRDefault="00513A31" w:rsidP="00BD545A">
            <w:pPr>
              <w:pStyle w:val="FooterCitation"/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  <w:r w:rsidR="00BF18A5" w:rsidRPr="0015147C">
              <w:t xml:space="preserve">Building Energy Efficiency Disclosure Determination </w:t>
            </w:r>
            <w:r w:rsidR="00BF18A5">
              <w:t>2015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208BFE" w14:textId="77777777" w:rsidR="00BF18A5" w:rsidRPr="003D7214" w:rsidRDefault="00BF18A5" w:rsidP="00BD545A">
            <w:pPr>
              <w:spacing w:line="240" w:lineRule="exact"/>
              <w:jc w:val="right"/>
              <w:rPr>
                <w:rStyle w:val="PageNumber"/>
                <w:rFonts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5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</w:tr>
    </w:tbl>
    <w:p w14:paraId="47A398C7" w14:textId="77777777" w:rsidR="00BF18A5" w:rsidRDefault="00BF18A5" w:rsidP="00BD545A">
      <w:pPr>
        <w:pStyle w:val="FooterDraft"/>
      </w:pPr>
    </w:p>
    <w:p w14:paraId="6A28E1BB" w14:textId="77777777" w:rsidR="00BF18A5" w:rsidRDefault="00BF18A5" w:rsidP="00BD545A">
      <w:pPr>
        <w:pStyle w:val="FooterInfo"/>
      </w:pPr>
      <w:r w:rsidRPr="00974D8C">
        <w:t xml:space="preserve"> </w:t>
      </w:r>
      <w:r>
        <w:t xml:space="preserve"> </w:t>
      </w:r>
    </w:p>
    <w:p w14:paraId="3D68C22A" w14:textId="77777777" w:rsidR="00BF18A5" w:rsidRDefault="00BF18A5">
      <w:pPr>
        <w:pStyle w:val="Footer"/>
      </w:pPr>
    </w:p>
    <w:p w14:paraId="76ED8911" w14:textId="77777777" w:rsidR="00BF18A5" w:rsidRDefault="00BF18A5"/>
    <w:p w14:paraId="11B039C7" w14:textId="77777777" w:rsidR="00BF18A5" w:rsidRDefault="00BF18A5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BF18A5" w14:paraId="4EBBC4A8" w14:textId="77777777">
        <w:tc>
          <w:tcPr>
            <w:tcW w:w="1134" w:type="dxa"/>
            <w:tcBorders>
              <w:top w:val="single" w:sz="4" w:space="0" w:color="auto"/>
            </w:tcBorders>
          </w:tcPr>
          <w:p w14:paraId="30A550A6" w14:textId="77777777" w:rsidR="00BF18A5" w:rsidRPr="003D7214" w:rsidRDefault="00BF18A5" w:rsidP="00BD545A">
            <w:pPr>
              <w:spacing w:line="240" w:lineRule="exact"/>
              <w:rPr>
                <w:rFonts w:ascii="Arial" w:hAnsi="Arial"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5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113C379" w14:textId="77777777" w:rsidR="00BF18A5" w:rsidRPr="004F5D6D" w:rsidRDefault="00513A31" w:rsidP="00BD545A">
            <w:pPr>
              <w:pStyle w:val="Footer"/>
              <w:spacing w:before="20" w:line="240" w:lineRule="exact"/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  <w:r w:rsidR="00BF18A5" w:rsidRPr="0015147C">
              <w:t xml:space="preserve">Building Energy Efficiency Disclosure Determination </w:t>
            </w:r>
            <w:r w:rsidR="00BF18A5">
              <w:t>2015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3EEA9F" w14:textId="77777777" w:rsidR="00BF18A5" w:rsidRPr="00451BF5" w:rsidRDefault="00BF18A5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14743448" w14:textId="77777777" w:rsidR="00BF18A5" w:rsidRDefault="00BF18A5" w:rsidP="00BD545A">
      <w:pPr>
        <w:pStyle w:val="FooterDraft"/>
        <w:ind w:right="360" w:firstLine="360"/>
      </w:pPr>
    </w:p>
    <w:p w14:paraId="49065A10" w14:textId="77777777" w:rsidR="00BF18A5" w:rsidRDefault="00BF18A5" w:rsidP="00BD545A">
      <w:pPr>
        <w:pStyle w:val="FooterInfo"/>
      </w:pPr>
      <w:r w:rsidRPr="00974D8C">
        <w:t xml:space="preserve"> </w:t>
      </w:r>
      <w:r>
        <w:t xml:space="preserve"> </w:t>
      </w:r>
    </w:p>
    <w:p w14:paraId="13BA0297" w14:textId="77777777" w:rsidR="00BF18A5" w:rsidRDefault="00BF18A5">
      <w:pPr>
        <w:pStyle w:val="Footer"/>
      </w:pPr>
    </w:p>
    <w:p w14:paraId="6202081C" w14:textId="77777777" w:rsidR="00BF18A5" w:rsidRDefault="00BF18A5"/>
    <w:p w14:paraId="02FE0F4A" w14:textId="77777777" w:rsidR="00BF18A5" w:rsidRDefault="00BF18A5">
      <w:r>
        <w:separator/>
      </w:r>
    </w:p>
  </w:footnote>
  <w:footnote w:type="continuationSeparator" w:id="0">
    <w:p w14:paraId="15BAEA70" w14:textId="77777777" w:rsidR="00BF18A5" w:rsidRDefault="00BF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466F37" w14:paraId="186BB1E6" w14:textId="77777777">
      <w:tc>
        <w:tcPr>
          <w:tcW w:w="1546" w:type="dxa"/>
        </w:tcPr>
        <w:p w14:paraId="673C1B77" w14:textId="77777777" w:rsidR="00466F37" w:rsidRDefault="00466F37">
          <w:pPr>
            <w:pStyle w:val="HeaderLiteEven"/>
          </w:pPr>
        </w:p>
      </w:tc>
      <w:tc>
        <w:tcPr>
          <w:tcW w:w="6868" w:type="dxa"/>
          <w:vAlign w:val="bottom"/>
        </w:tcPr>
        <w:p w14:paraId="07F68C29" w14:textId="77777777" w:rsidR="00466F37" w:rsidRDefault="00466F37">
          <w:pPr>
            <w:pStyle w:val="HeaderLiteEven"/>
          </w:pPr>
        </w:p>
      </w:tc>
    </w:tr>
    <w:tr w:rsidR="00466F37" w14:paraId="26A8A2C4" w14:textId="77777777">
      <w:tc>
        <w:tcPr>
          <w:tcW w:w="1546" w:type="dxa"/>
        </w:tcPr>
        <w:p w14:paraId="76949673" w14:textId="77777777" w:rsidR="00466F37" w:rsidRDefault="00466F37">
          <w:pPr>
            <w:pStyle w:val="HeaderLiteEven"/>
          </w:pPr>
        </w:p>
      </w:tc>
      <w:tc>
        <w:tcPr>
          <w:tcW w:w="6868" w:type="dxa"/>
          <w:vAlign w:val="bottom"/>
        </w:tcPr>
        <w:p w14:paraId="3D5CA813" w14:textId="77777777" w:rsidR="00466F37" w:rsidRDefault="00466F37">
          <w:pPr>
            <w:pStyle w:val="HeaderLiteEven"/>
          </w:pPr>
        </w:p>
      </w:tc>
    </w:tr>
    <w:tr w:rsidR="00466F37" w14:paraId="73EB150A" w14:textId="77777777">
      <w:tc>
        <w:tcPr>
          <w:tcW w:w="8414" w:type="dxa"/>
          <w:gridSpan w:val="2"/>
          <w:tcBorders>
            <w:bottom w:val="single" w:sz="4" w:space="0" w:color="auto"/>
          </w:tcBorders>
        </w:tcPr>
        <w:p w14:paraId="2E790615" w14:textId="77777777" w:rsidR="00466F37" w:rsidRDefault="00466F37" w:rsidP="00F55165">
          <w:pPr>
            <w:pStyle w:val="HeaderLiteEven"/>
            <w:spacing w:before="120" w:after="60"/>
            <w:ind w:right="-108"/>
          </w:pPr>
        </w:p>
      </w:tc>
    </w:tr>
  </w:tbl>
  <w:p w14:paraId="1C93106E" w14:textId="77777777" w:rsidR="00466F37" w:rsidRDefault="00466F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466F37" w14:paraId="10CFF99A" w14:textId="77777777">
      <w:tc>
        <w:tcPr>
          <w:tcW w:w="6840" w:type="dxa"/>
          <w:vAlign w:val="bottom"/>
        </w:tcPr>
        <w:p w14:paraId="3C04BCD8" w14:textId="77777777" w:rsidR="00466F37" w:rsidRDefault="00466F37">
          <w:pPr>
            <w:pStyle w:val="HeaderLiteEven"/>
          </w:pPr>
        </w:p>
      </w:tc>
      <w:tc>
        <w:tcPr>
          <w:tcW w:w="1574" w:type="dxa"/>
        </w:tcPr>
        <w:p w14:paraId="1CCD7360" w14:textId="77777777" w:rsidR="00466F37" w:rsidRDefault="00466F37">
          <w:pPr>
            <w:pStyle w:val="HeaderLiteEven"/>
          </w:pPr>
        </w:p>
      </w:tc>
    </w:tr>
    <w:tr w:rsidR="00466F37" w14:paraId="13BAFACE" w14:textId="77777777">
      <w:tc>
        <w:tcPr>
          <w:tcW w:w="6840" w:type="dxa"/>
          <w:vAlign w:val="bottom"/>
        </w:tcPr>
        <w:p w14:paraId="15A7469D" w14:textId="77777777" w:rsidR="00466F37" w:rsidRDefault="00466F37">
          <w:pPr>
            <w:pStyle w:val="HeaderLiteEven"/>
          </w:pPr>
        </w:p>
      </w:tc>
      <w:tc>
        <w:tcPr>
          <w:tcW w:w="1574" w:type="dxa"/>
        </w:tcPr>
        <w:p w14:paraId="4D4CBB51" w14:textId="77777777" w:rsidR="00466F37" w:rsidRDefault="00466F37">
          <w:pPr>
            <w:pStyle w:val="HeaderLiteEven"/>
          </w:pPr>
        </w:p>
      </w:tc>
    </w:tr>
    <w:tr w:rsidR="00466F37" w14:paraId="001E810F" w14:textId="77777777">
      <w:tc>
        <w:tcPr>
          <w:tcW w:w="8414" w:type="dxa"/>
          <w:gridSpan w:val="2"/>
          <w:tcBorders>
            <w:bottom w:val="single" w:sz="4" w:space="0" w:color="auto"/>
          </w:tcBorders>
        </w:tcPr>
        <w:p w14:paraId="0734654A" w14:textId="77777777" w:rsidR="00466F37" w:rsidRDefault="00466F37">
          <w:pPr>
            <w:pStyle w:val="HeaderLiteEven"/>
            <w:spacing w:before="120" w:after="60"/>
            <w:ind w:right="-108"/>
          </w:pPr>
        </w:p>
      </w:tc>
    </w:tr>
  </w:tbl>
  <w:p w14:paraId="2D49C044" w14:textId="77777777" w:rsidR="00466F37" w:rsidRDefault="00466F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924"/>
    </w:tblGrid>
    <w:tr w:rsidR="008B20B6" w14:paraId="5A8B09BF" w14:textId="77777777" w:rsidTr="00603CE4">
      <w:tc>
        <w:tcPr>
          <w:tcW w:w="1548" w:type="dxa"/>
        </w:tcPr>
        <w:p w14:paraId="079126F9" w14:textId="77777777" w:rsidR="008B20B6" w:rsidRDefault="008B20B6" w:rsidP="00603CE4">
          <w:pPr>
            <w:pStyle w:val="HeaderLiteEven"/>
          </w:pPr>
        </w:p>
      </w:tc>
      <w:tc>
        <w:tcPr>
          <w:tcW w:w="6924" w:type="dxa"/>
          <w:vAlign w:val="bottom"/>
        </w:tcPr>
        <w:p w14:paraId="6690C2B8" w14:textId="77777777" w:rsidR="008B20B6" w:rsidRDefault="008B20B6" w:rsidP="00603CE4">
          <w:pPr>
            <w:pStyle w:val="HeaderLiteEven"/>
          </w:pPr>
        </w:p>
      </w:tc>
    </w:tr>
  </w:tbl>
  <w:p w14:paraId="2301DCB9" w14:textId="77777777" w:rsidR="008B20B6" w:rsidRDefault="008B20B6" w:rsidP="008B20B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924"/>
    </w:tblGrid>
    <w:tr w:rsidR="008B20B6" w14:paraId="29F3A4AA" w14:textId="77777777" w:rsidTr="00603CE4">
      <w:tc>
        <w:tcPr>
          <w:tcW w:w="1548" w:type="dxa"/>
        </w:tcPr>
        <w:p w14:paraId="4640594E" w14:textId="77777777" w:rsidR="008B20B6" w:rsidRDefault="008B20B6" w:rsidP="00603CE4">
          <w:pPr>
            <w:pStyle w:val="HeaderLiteEven"/>
          </w:pPr>
        </w:p>
      </w:tc>
      <w:tc>
        <w:tcPr>
          <w:tcW w:w="6924" w:type="dxa"/>
          <w:vAlign w:val="bottom"/>
        </w:tcPr>
        <w:p w14:paraId="2DAEE77E" w14:textId="77777777" w:rsidR="008B20B6" w:rsidRDefault="008B20B6" w:rsidP="00603CE4">
          <w:pPr>
            <w:pStyle w:val="HeaderLiteEven"/>
          </w:pPr>
        </w:p>
      </w:tc>
    </w:tr>
    <w:tr w:rsidR="008B20B6" w14:paraId="552085FC" w14:textId="77777777" w:rsidTr="00603CE4">
      <w:tc>
        <w:tcPr>
          <w:tcW w:w="8472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300EA13" w14:textId="77777777" w:rsidR="008B20B6" w:rsidRPr="00F12125" w:rsidRDefault="008B20B6" w:rsidP="00603CE4">
          <w:pPr>
            <w:pStyle w:val="HeaderBoldEven"/>
          </w:pPr>
        </w:p>
      </w:tc>
    </w:tr>
  </w:tbl>
  <w:p w14:paraId="5BC0FF65" w14:textId="77777777" w:rsidR="008B20B6" w:rsidRDefault="008B20B6" w:rsidP="008B20B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924"/>
    </w:tblGrid>
    <w:tr w:rsidR="008B20B6" w14:paraId="43C3E989" w14:textId="77777777" w:rsidTr="00603CE4">
      <w:tc>
        <w:tcPr>
          <w:tcW w:w="1548" w:type="dxa"/>
        </w:tcPr>
        <w:p w14:paraId="670E2D14" w14:textId="77777777" w:rsidR="008B20B6" w:rsidRDefault="008B20B6" w:rsidP="00603CE4">
          <w:pPr>
            <w:pStyle w:val="HeaderLiteEven"/>
          </w:pPr>
        </w:p>
      </w:tc>
      <w:tc>
        <w:tcPr>
          <w:tcW w:w="6924" w:type="dxa"/>
          <w:vAlign w:val="bottom"/>
        </w:tcPr>
        <w:p w14:paraId="25E455FF" w14:textId="77777777" w:rsidR="008B20B6" w:rsidRDefault="008B20B6" w:rsidP="00603CE4">
          <w:pPr>
            <w:pStyle w:val="HeaderLiteEven"/>
          </w:pPr>
        </w:p>
      </w:tc>
    </w:tr>
    <w:tr w:rsidR="008B20B6" w14:paraId="16D25F41" w14:textId="77777777" w:rsidTr="00603CE4">
      <w:tc>
        <w:tcPr>
          <w:tcW w:w="8472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DE2F4B3" w14:textId="77777777" w:rsidR="008B20B6" w:rsidRPr="00F12125" w:rsidRDefault="008B20B6" w:rsidP="00603CE4">
          <w:pPr>
            <w:pStyle w:val="HeaderBoldEven"/>
          </w:pPr>
        </w:p>
      </w:tc>
    </w:tr>
  </w:tbl>
  <w:p w14:paraId="1F9D0D7E" w14:textId="77777777" w:rsidR="008B20B6" w:rsidRDefault="008B20B6" w:rsidP="008B20B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466F37" w14:paraId="130A0891" w14:textId="77777777">
      <w:tc>
        <w:tcPr>
          <w:tcW w:w="1494" w:type="dxa"/>
        </w:tcPr>
        <w:p w14:paraId="1FAC66DF" w14:textId="77777777" w:rsidR="00466F37" w:rsidRDefault="00466F37" w:rsidP="00BD545A">
          <w:pPr>
            <w:pStyle w:val="HeaderLiteEven"/>
          </w:pPr>
        </w:p>
      </w:tc>
      <w:tc>
        <w:tcPr>
          <w:tcW w:w="6891" w:type="dxa"/>
        </w:tcPr>
        <w:p w14:paraId="33F32CCA" w14:textId="77777777" w:rsidR="00466F37" w:rsidRDefault="00466F37" w:rsidP="00BD545A">
          <w:pPr>
            <w:pStyle w:val="HeaderLiteEven"/>
          </w:pPr>
        </w:p>
      </w:tc>
    </w:tr>
    <w:tr w:rsidR="00466F37" w14:paraId="0165493B" w14:textId="77777777">
      <w:tc>
        <w:tcPr>
          <w:tcW w:w="1494" w:type="dxa"/>
        </w:tcPr>
        <w:p w14:paraId="02F76B96" w14:textId="77777777" w:rsidR="00466F37" w:rsidRDefault="00466F37" w:rsidP="00BD545A">
          <w:pPr>
            <w:pStyle w:val="HeaderLiteEven"/>
          </w:pPr>
        </w:p>
      </w:tc>
      <w:tc>
        <w:tcPr>
          <w:tcW w:w="6891" w:type="dxa"/>
        </w:tcPr>
        <w:p w14:paraId="68E702DA" w14:textId="77777777" w:rsidR="00466F37" w:rsidRDefault="00466F37" w:rsidP="00BD545A">
          <w:pPr>
            <w:pStyle w:val="HeaderLiteEven"/>
          </w:pPr>
        </w:p>
      </w:tc>
    </w:tr>
    <w:tr w:rsidR="00466F37" w14:paraId="7B6E695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5B7135C" w14:textId="77777777" w:rsidR="00466F37" w:rsidRDefault="00466F37" w:rsidP="00BD545A">
          <w:pPr>
            <w:pStyle w:val="HeaderBoldEven"/>
          </w:pPr>
        </w:p>
      </w:tc>
    </w:tr>
  </w:tbl>
  <w:p w14:paraId="55CD2249" w14:textId="77777777" w:rsidR="00466F37" w:rsidRDefault="00466F37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466F37" w14:paraId="63CC088C" w14:textId="77777777">
      <w:tc>
        <w:tcPr>
          <w:tcW w:w="6914" w:type="dxa"/>
        </w:tcPr>
        <w:p w14:paraId="2BF28BEB" w14:textId="77777777" w:rsidR="00466F37" w:rsidRDefault="00466F37" w:rsidP="00BD545A">
          <w:pPr>
            <w:pStyle w:val="HeaderLiteOdd"/>
          </w:pPr>
        </w:p>
      </w:tc>
      <w:tc>
        <w:tcPr>
          <w:tcW w:w="1471" w:type="dxa"/>
        </w:tcPr>
        <w:p w14:paraId="12EE875F" w14:textId="77777777" w:rsidR="00466F37" w:rsidRDefault="00466F37" w:rsidP="00BD545A">
          <w:pPr>
            <w:pStyle w:val="HeaderLiteOdd"/>
          </w:pPr>
        </w:p>
      </w:tc>
    </w:tr>
    <w:tr w:rsidR="00466F37" w14:paraId="34BA7F3E" w14:textId="77777777">
      <w:tc>
        <w:tcPr>
          <w:tcW w:w="6914" w:type="dxa"/>
        </w:tcPr>
        <w:p w14:paraId="2570D62D" w14:textId="77777777" w:rsidR="00466F37" w:rsidRDefault="00466F37" w:rsidP="00BD545A">
          <w:pPr>
            <w:pStyle w:val="HeaderLiteOdd"/>
          </w:pPr>
        </w:p>
      </w:tc>
      <w:tc>
        <w:tcPr>
          <w:tcW w:w="1471" w:type="dxa"/>
        </w:tcPr>
        <w:p w14:paraId="74D544BA" w14:textId="77777777" w:rsidR="00466F37" w:rsidRDefault="00466F37" w:rsidP="00BD545A">
          <w:pPr>
            <w:pStyle w:val="HeaderLiteOdd"/>
          </w:pPr>
        </w:p>
      </w:tc>
    </w:tr>
    <w:tr w:rsidR="00466F37" w14:paraId="12CB4B2B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1B0481C" w14:textId="77777777" w:rsidR="00466F37" w:rsidRDefault="00466F37" w:rsidP="00BD545A">
          <w:pPr>
            <w:pStyle w:val="HeaderBoldOdd"/>
          </w:pPr>
        </w:p>
      </w:tc>
    </w:tr>
  </w:tbl>
  <w:p w14:paraId="1C0F60CD" w14:textId="77777777" w:rsidR="00466F37" w:rsidRDefault="00466F37" w:rsidP="00BD545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924"/>
    </w:tblGrid>
    <w:tr w:rsidR="008B20B6" w14:paraId="046242FD" w14:textId="77777777" w:rsidTr="00603CE4">
      <w:tc>
        <w:tcPr>
          <w:tcW w:w="1548" w:type="dxa"/>
        </w:tcPr>
        <w:p w14:paraId="1DDFD00E" w14:textId="77777777" w:rsidR="008B20B6" w:rsidRDefault="008B20B6" w:rsidP="00603CE4">
          <w:pPr>
            <w:pStyle w:val="HeaderLiteEven"/>
          </w:pPr>
        </w:p>
      </w:tc>
      <w:tc>
        <w:tcPr>
          <w:tcW w:w="6924" w:type="dxa"/>
          <w:vAlign w:val="bottom"/>
        </w:tcPr>
        <w:p w14:paraId="2E3D6541" w14:textId="77777777" w:rsidR="008B20B6" w:rsidRDefault="008B20B6" w:rsidP="00603CE4">
          <w:pPr>
            <w:pStyle w:val="HeaderLiteEven"/>
          </w:pPr>
        </w:p>
      </w:tc>
    </w:tr>
    <w:tr w:rsidR="008B20B6" w14:paraId="36F4E1EF" w14:textId="77777777" w:rsidTr="00603CE4">
      <w:tc>
        <w:tcPr>
          <w:tcW w:w="8472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8B08541" w14:textId="77777777" w:rsidR="008B20B6" w:rsidRPr="00F12125" w:rsidRDefault="008B20B6" w:rsidP="00603CE4">
          <w:pPr>
            <w:pStyle w:val="HeaderBoldEven"/>
          </w:pPr>
        </w:p>
      </w:tc>
    </w:tr>
  </w:tbl>
  <w:p w14:paraId="6B8C6710" w14:textId="77777777" w:rsidR="008B20B6" w:rsidRDefault="008B20B6" w:rsidP="008B20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E27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EAA5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384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448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041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62EA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E61A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26E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645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D6B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F0CF9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0B8F0F8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EE627A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1F8C7A33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56B188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6F037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B623CA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FF6671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E51D7F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14"/>
  </w:num>
  <w:num w:numId="33">
    <w:abstractNumId w:val="17"/>
  </w:num>
  <w:num w:numId="34">
    <w:abstractNumId w:val="21"/>
  </w:num>
  <w:num w:numId="35">
    <w:abstractNumId w:val="18"/>
  </w:num>
  <w:num w:numId="36">
    <w:abstractNumId w:val="16"/>
  </w:num>
  <w:num w:numId="37">
    <w:abstractNumId w:val="13"/>
  </w:num>
  <w:num w:numId="38">
    <w:abstractNumId w:val="15"/>
  </w:num>
  <w:num w:numId="39">
    <w:abstractNumId w:val="19"/>
  </w:num>
  <w:num w:numId="40">
    <w:abstractNumId w:val="10"/>
  </w:num>
  <w:num w:numId="41">
    <w:abstractNumId w:val="20"/>
  </w:num>
  <w:num w:numId="4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2F23BC"/>
    <w:rsid w:val="000038A0"/>
    <w:rsid w:val="00010E45"/>
    <w:rsid w:val="00012E9E"/>
    <w:rsid w:val="00012F8A"/>
    <w:rsid w:val="000135EC"/>
    <w:rsid w:val="0001470E"/>
    <w:rsid w:val="000147BB"/>
    <w:rsid w:val="0001662A"/>
    <w:rsid w:val="000168EB"/>
    <w:rsid w:val="00020108"/>
    <w:rsid w:val="0002594A"/>
    <w:rsid w:val="0002639C"/>
    <w:rsid w:val="00026ED5"/>
    <w:rsid w:val="00032F2C"/>
    <w:rsid w:val="000330C1"/>
    <w:rsid w:val="0003445F"/>
    <w:rsid w:val="00040090"/>
    <w:rsid w:val="000403D5"/>
    <w:rsid w:val="000426C4"/>
    <w:rsid w:val="000427E4"/>
    <w:rsid w:val="000433DB"/>
    <w:rsid w:val="0004456C"/>
    <w:rsid w:val="000457B1"/>
    <w:rsid w:val="00045BA4"/>
    <w:rsid w:val="00045F1B"/>
    <w:rsid w:val="00051E7D"/>
    <w:rsid w:val="000521B7"/>
    <w:rsid w:val="0005339D"/>
    <w:rsid w:val="000559B0"/>
    <w:rsid w:val="00060076"/>
    <w:rsid w:val="000646EC"/>
    <w:rsid w:val="00065118"/>
    <w:rsid w:val="00065296"/>
    <w:rsid w:val="000715D1"/>
    <w:rsid w:val="00071717"/>
    <w:rsid w:val="00072BAD"/>
    <w:rsid w:val="00074F65"/>
    <w:rsid w:val="0007603C"/>
    <w:rsid w:val="00082916"/>
    <w:rsid w:val="00083098"/>
    <w:rsid w:val="00083189"/>
    <w:rsid w:val="0008560A"/>
    <w:rsid w:val="00091146"/>
    <w:rsid w:val="00093D73"/>
    <w:rsid w:val="00095849"/>
    <w:rsid w:val="000A0788"/>
    <w:rsid w:val="000A0CCA"/>
    <w:rsid w:val="000A1742"/>
    <w:rsid w:val="000A4766"/>
    <w:rsid w:val="000A620C"/>
    <w:rsid w:val="000A7869"/>
    <w:rsid w:val="000B2DB9"/>
    <w:rsid w:val="000B4121"/>
    <w:rsid w:val="000B51B3"/>
    <w:rsid w:val="000C0F33"/>
    <w:rsid w:val="000C180D"/>
    <w:rsid w:val="000C2053"/>
    <w:rsid w:val="000C3C62"/>
    <w:rsid w:val="000C43EB"/>
    <w:rsid w:val="000D0A15"/>
    <w:rsid w:val="000D1916"/>
    <w:rsid w:val="000D3742"/>
    <w:rsid w:val="000D4A2A"/>
    <w:rsid w:val="000D4CDA"/>
    <w:rsid w:val="000D7BBC"/>
    <w:rsid w:val="000E1442"/>
    <w:rsid w:val="000E16EC"/>
    <w:rsid w:val="000E2477"/>
    <w:rsid w:val="000E27E3"/>
    <w:rsid w:val="000E4844"/>
    <w:rsid w:val="000E48BD"/>
    <w:rsid w:val="000E54C7"/>
    <w:rsid w:val="000E5711"/>
    <w:rsid w:val="000E5936"/>
    <w:rsid w:val="000E7494"/>
    <w:rsid w:val="000E76B5"/>
    <w:rsid w:val="000F16AE"/>
    <w:rsid w:val="000F4C8B"/>
    <w:rsid w:val="000F5C25"/>
    <w:rsid w:val="000F6E83"/>
    <w:rsid w:val="000F6FEA"/>
    <w:rsid w:val="00101B83"/>
    <w:rsid w:val="001034E2"/>
    <w:rsid w:val="00105BB8"/>
    <w:rsid w:val="00111D90"/>
    <w:rsid w:val="0011291B"/>
    <w:rsid w:val="00114286"/>
    <w:rsid w:val="0011494C"/>
    <w:rsid w:val="00115046"/>
    <w:rsid w:val="00115E39"/>
    <w:rsid w:val="00116989"/>
    <w:rsid w:val="00120AA9"/>
    <w:rsid w:val="00120C4D"/>
    <w:rsid w:val="001227A0"/>
    <w:rsid w:val="00122E1F"/>
    <w:rsid w:val="0012410F"/>
    <w:rsid w:val="00125657"/>
    <w:rsid w:val="001269B3"/>
    <w:rsid w:val="001312D8"/>
    <w:rsid w:val="00131D43"/>
    <w:rsid w:val="001328B6"/>
    <w:rsid w:val="001328CE"/>
    <w:rsid w:val="00134B9D"/>
    <w:rsid w:val="00134DDC"/>
    <w:rsid w:val="00140090"/>
    <w:rsid w:val="001409F1"/>
    <w:rsid w:val="0014186A"/>
    <w:rsid w:val="00141C39"/>
    <w:rsid w:val="00141CBA"/>
    <w:rsid w:val="00144DE3"/>
    <w:rsid w:val="0015147C"/>
    <w:rsid w:val="00153195"/>
    <w:rsid w:val="0015338A"/>
    <w:rsid w:val="001609AD"/>
    <w:rsid w:val="00162609"/>
    <w:rsid w:val="00163901"/>
    <w:rsid w:val="00164278"/>
    <w:rsid w:val="00164935"/>
    <w:rsid w:val="00165D61"/>
    <w:rsid w:val="00171BA6"/>
    <w:rsid w:val="00172B35"/>
    <w:rsid w:val="00173486"/>
    <w:rsid w:val="0017410A"/>
    <w:rsid w:val="001747DE"/>
    <w:rsid w:val="00175B1F"/>
    <w:rsid w:val="00175FF3"/>
    <w:rsid w:val="0017655F"/>
    <w:rsid w:val="001765D2"/>
    <w:rsid w:val="0017685B"/>
    <w:rsid w:val="0017753F"/>
    <w:rsid w:val="00180277"/>
    <w:rsid w:val="00182747"/>
    <w:rsid w:val="00184547"/>
    <w:rsid w:val="0018586E"/>
    <w:rsid w:val="00185A12"/>
    <w:rsid w:val="00185F83"/>
    <w:rsid w:val="00186360"/>
    <w:rsid w:val="00187D63"/>
    <w:rsid w:val="00190215"/>
    <w:rsid w:val="0019112C"/>
    <w:rsid w:val="00191E8B"/>
    <w:rsid w:val="00191FA5"/>
    <w:rsid w:val="00192C10"/>
    <w:rsid w:val="001933B6"/>
    <w:rsid w:val="00193F32"/>
    <w:rsid w:val="00194ACF"/>
    <w:rsid w:val="00196FC6"/>
    <w:rsid w:val="00197F4E"/>
    <w:rsid w:val="001A376E"/>
    <w:rsid w:val="001A3773"/>
    <w:rsid w:val="001A4DD7"/>
    <w:rsid w:val="001A6C59"/>
    <w:rsid w:val="001B25F9"/>
    <w:rsid w:val="001B57D2"/>
    <w:rsid w:val="001C022E"/>
    <w:rsid w:val="001C22F5"/>
    <w:rsid w:val="001C25FE"/>
    <w:rsid w:val="001C2DC7"/>
    <w:rsid w:val="001C7118"/>
    <w:rsid w:val="001C769F"/>
    <w:rsid w:val="001D13F5"/>
    <w:rsid w:val="001D6D71"/>
    <w:rsid w:val="001D705F"/>
    <w:rsid w:val="001E092D"/>
    <w:rsid w:val="001E0A74"/>
    <w:rsid w:val="001E0AC6"/>
    <w:rsid w:val="001E1749"/>
    <w:rsid w:val="001E583F"/>
    <w:rsid w:val="001E63B7"/>
    <w:rsid w:val="001E6A3C"/>
    <w:rsid w:val="001F108C"/>
    <w:rsid w:val="001F41C5"/>
    <w:rsid w:val="001F68D4"/>
    <w:rsid w:val="001F74AE"/>
    <w:rsid w:val="001F7FF0"/>
    <w:rsid w:val="002015B2"/>
    <w:rsid w:val="00203232"/>
    <w:rsid w:val="00206408"/>
    <w:rsid w:val="00210652"/>
    <w:rsid w:val="002109B2"/>
    <w:rsid w:val="00210DFF"/>
    <w:rsid w:val="00213B0F"/>
    <w:rsid w:val="00214440"/>
    <w:rsid w:val="00214C3B"/>
    <w:rsid w:val="002170DD"/>
    <w:rsid w:val="00221073"/>
    <w:rsid w:val="002210DE"/>
    <w:rsid w:val="00222B9F"/>
    <w:rsid w:val="00222FD0"/>
    <w:rsid w:val="002252C7"/>
    <w:rsid w:val="00226990"/>
    <w:rsid w:val="0022734F"/>
    <w:rsid w:val="00233351"/>
    <w:rsid w:val="002334CC"/>
    <w:rsid w:val="00233C57"/>
    <w:rsid w:val="0023489C"/>
    <w:rsid w:val="0024222C"/>
    <w:rsid w:val="00242273"/>
    <w:rsid w:val="00242478"/>
    <w:rsid w:val="00242662"/>
    <w:rsid w:val="00243601"/>
    <w:rsid w:val="00243A7B"/>
    <w:rsid w:val="00243C9A"/>
    <w:rsid w:val="00244C01"/>
    <w:rsid w:val="00246042"/>
    <w:rsid w:val="002472B1"/>
    <w:rsid w:val="00252F17"/>
    <w:rsid w:val="00253DDD"/>
    <w:rsid w:val="00254C5A"/>
    <w:rsid w:val="00257743"/>
    <w:rsid w:val="0025779E"/>
    <w:rsid w:val="00260912"/>
    <w:rsid w:val="00263C8A"/>
    <w:rsid w:val="00263E42"/>
    <w:rsid w:val="0026589D"/>
    <w:rsid w:val="00265C0F"/>
    <w:rsid w:val="00267B93"/>
    <w:rsid w:val="00275005"/>
    <w:rsid w:val="00275245"/>
    <w:rsid w:val="0028007A"/>
    <w:rsid w:val="00281E63"/>
    <w:rsid w:val="002842CB"/>
    <w:rsid w:val="0028609E"/>
    <w:rsid w:val="00286CEA"/>
    <w:rsid w:val="00293042"/>
    <w:rsid w:val="00293BC3"/>
    <w:rsid w:val="00294AC5"/>
    <w:rsid w:val="002953E5"/>
    <w:rsid w:val="002A0984"/>
    <w:rsid w:val="002A19B0"/>
    <w:rsid w:val="002A37DA"/>
    <w:rsid w:val="002A4AC7"/>
    <w:rsid w:val="002A5F1D"/>
    <w:rsid w:val="002A60D4"/>
    <w:rsid w:val="002A65A6"/>
    <w:rsid w:val="002A6EDE"/>
    <w:rsid w:val="002A770D"/>
    <w:rsid w:val="002B06E4"/>
    <w:rsid w:val="002B104A"/>
    <w:rsid w:val="002B1EBA"/>
    <w:rsid w:val="002B265A"/>
    <w:rsid w:val="002B3023"/>
    <w:rsid w:val="002B3196"/>
    <w:rsid w:val="002B32C5"/>
    <w:rsid w:val="002B519A"/>
    <w:rsid w:val="002B5BE8"/>
    <w:rsid w:val="002B7DCF"/>
    <w:rsid w:val="002C0186"/>
    <w:rsid w:val="002C04AC"/>
    <w:rsid w:val="002C1C6E"/>
    <w:rsid w:val="002C60F3"/>
    <w:rsid w:val="002C7311"/>
    <w:rsid w:val="002D194E"/>
    <w:rsid w:val="002D4558"/>
    <w:rsid w:val="002D4846"/>
    <w:rsid w:val="002D71AC"/>
    <w:rsid w:val="002D7932"/>
    <w:rsid w:val="002E0D19"/>
    <w:rsid w:val="002E26A8"/>
    <w:rsid w:val="002E26E8"/>
    <w:rsid w:val="002E42F4"/>
    <w:rsid w:val="002E5749"/>
    <w:rsid w:val="002F23BC"/>
    <w:rsid w:val="002F4843"/>
    <w:rsid w:val="002F6BE4"/>
    <w:rsid w:val="002F6C02"/>
    <w:rsid w:val="002F78D5"/>
    <w:rsid w:val="00301B30"/>
    <w:rsid w:val="00301F2B"/>
    <w:rsid w:val="00306194"/>
    <w:rsid w:val="00307045"/>
    <w:rsid w:val="003072E7"/>
    <w:rsid w:val="00311739"/>
    <w:rsid w:val="00314C25"/>
    <w:rsid w:val="003206FE"/>
    <w:rsid w:val="003231C4"/>
    <w:rsid w:val="003231FF"/>
    <w:rsid w:val="00326EE4"/>
    <w:rsid w:val="003279FC"/>
    <w:rsid w:val="003339EB"/>
    <w:rsid w:val="00333B87"/>
    <w:rsid w:val="0033573E"/>
    <w:rsid w:val="00335EF5"/>
    <w:rsid w:val="00336724"/>
    <w:rsid w:val="00337129"/>
    <w:rsid w:val="00337A54"/>
    <w:rsid w:val="00341282"/>
    <w:rsid w:val="00343B24"/>
    <w:rsid w:val="0034410A"/>
    <w:rsid w:val="0034506C"/>
    <w:rsid w:val="00346162"/>
    <w:rsid w:val="00346609"/>
    <w:rsid w:val="003469E3"/>
    <w:rsid w:val="0035001E"/>
    <w:rsid w:val="00352719"/>
    <w:rsid w:val="00353F3B"/>
    <w:rsid w:val="00357657"/>
    <w:rsid w:val="003606B5"/>
    <w:rsid w:val="00360A25"/>
    <w:rsid w:val="00362A71"/>
    <w:rsid w:val="00365F82"/>
    <w:rsid w:val="00367E3F"/>
    <w:rsid w:val="00370DD7"/>
    <w:rsid w:val="0037255F"/>
    <w:rsid w:val="003744AD"/>
    <w:rsid w:val="003745D9"/>
    <w:rsid w:val="00375ADF"/>
    <w:rsid w:val="00377A06"/>
    <w:rsid w:val="00380E24"/>
    <w:rsid w:val="0038199B"/>
    <w:rsid w:val="003864B9"/>
    <w:rsid w:val="00387F34"/>
    <w:rsid w:val="00392557"/>
    <w:rsid w:val="0039396B"/>
    <w:rsid w:val="00395154"/>
    <w:rsid w:val="003A12E9"/>
    <w:rsid w:val="003A22B6"/>
    <w:rsid w:val="003A4DF1"/>
    <w:rsid w:val="003A5AF1"/>
    <w:rsid w:val="003A77F7"/>
    <w:rsid w:val="003B0D29"/>
    <w:rsid w:val="003B35F7"/>
    <w:rsid w:val="003B3D9A"/>
    <w:rsid w:val="003B449B"/>
    <w:rsid w:val="003B580C"/>
    <w:rsid w:val="003B7E2B"/>
    <w:rsid w:val="003C1D25"/>
    <w:rsid w:val="003C6419"/>
    <w:rsid w:val="003C6BA5"/>
    <w:rsid w:val="003C6EFB"/>
    <w:rsid w:val="003C7353"/>
    <w:rsid w:val="003D1079"/>
    <w:rsid w:val="003D1FD3"/>
    <w:rsid w:val="003D41D9"/>
    <w:rsid w:val="003D5FC8"/>
    <w:rsid w:val="003D659C"/>
    <w:rsid w:val="003D6F03"/>
    <w:rsid w:val="003D7214"/>
    <w:rsid w:val="003D7889"/>
    <w:rsid w:val="003E2CFB"/>
    <w:rsid w:val="003E41A4"/>
    <w:rsid w:val="003E53F2"/>
    <w:rsid w:val="003E57C0"/>
    <w:rsid w:val="003E6D06"/>
    <w:rsid w:val="003E7C12"/>
    <w:rsid w:val="003E7DD5"/>
    <w:rsid w:val="003F4C3A"/>
    <w:rsid w:val="003F6833"/>
    <w:rsid w:val="003F6AC4"/>
    <w:rsid w:val="004005D4"/>
    <w:rsid w:val="00402F5A"/>
    <w:rsid w:val="00403F78"/>
    <w:rsid w:val="004060EB"/>
    <w:rsid w:val="00406A77"/>
    <w:rsid w:val="00412C9F"/>
    <w:rsid w:val="00420B96"/>
    <w:rsid w:val="00420DEC"/>
    <w:rsid w:val="00421964"/>
    <w:rsid w:val="00421C18"/>
    <w:rsid w:val="00422522"/>
    <w:rsid w:val="00424EB9"/>
    <w:rsid w:val="004255DD"/>
    <w:rsid w:val="00427404"/>
    <w:rsid w:val="00427B61"/>
    <w:rsid w:val="00427E34"/>
    <w:rsid w:val="004309C0"/>
    <w:rsid w:val="004311E3"/>
    <w:rsid w:val="00433B06"/>
    <w:rsid w:val="00433F25"/>
    <w:rsid w:val="004361A5"/>
    <w:rsid w:val="00437C6D"/>
    <w:rsid w:val="00437FD7"/>
    <w:rsid w:val="00440B24"/>
    <w:rsid w:val="00441055"/>
    <w:rsid w:val="00441EA9"/>
    <w:rsid w:val="00442359"/>
    <w:rsid w:val="00442AA3"/>
    <w:rsid w:val="00443890"/>
    <w:rsid w:val="0044430D"/>
    <w:rsid w:val="004447F9"/>
    <w:rsid w:val="00444F77"/>
    <w:rsid w:val="00444FA3"/>
    <w:rsid w:val="004459DE"/>
    <w:rsid w:val="004501C3"/>
    <w:rsid w:val="00450DE1"/>
    <w:rsid w:val="00451BF5"/>
    <w:rsid w:val="004533FC"/>
    <w:rsid w:val="00454A14"/>
    <w:rsid w:val="004624D8"/>
    <w:rsid w:val="00463A6C"/>
    <w:rsid w:val="00463BAE"/>
    <w:rsid w:val="00464092"/>
    <w:rsid w:val="004640EA"/>
    <w:rsid w:val="00464533"/>
    <w:rsid w:val="00464AD1"/>
    <w:rsid w:val="00466DBA"/>
    <w:rsid w:val="00466F37"/>
    <w:rsid w:val="00476FA7"/>
    <w:rsid w:val="004803A3"/>
    <w:rsid w:val="004839A4"/>
    <w:rsid w:val="004879CB"/>
    <w:rsid w:val="0049172E"/>
    <w:rsid w:val="004939CA"/>
    <w:rsid w:val="00494136"/>
    <w:rsid w:val="00494F07"/>
    <w:rsid w:val="00495998"/>
    <w:rsid w:val="004972B1"/>
    <w:rsid w:val="004A0CD7"/>
    <w:rsid w:val="004A20E2"/>
    <w:rsid w:val="004A2AE9"/>
    <w:rsid w:val="004A7713"/>
    <w:rsid w:val="004A7AA7"/>
    <w:rsid w:val="004B1AC1"/>
    <w:rsid w:val="004B4042"/>
    <w:rsid w:val="004B6C4F"/>
    <w:rsid w:val="004C3968"/>
    <w:rsid w:val="004C3987"/>
    <w:rsid w:val="004D2382"/>
    <w:rsid w:val="004D32C2"/>
    <w:rsid w:val="004D35BA"/>
    <w:rsid w:val="004D5081"/>
    <w:rsid w:val="004D5EAB"/>
    <w:rsid w:val="004D6045"/>
    <w:rsid w:val="004D74D4"/>
    <w:rsid w:val="004E04D4"/>
    <w:rsid w:val="004E0619"/>
    <w:rsid w:val="004E1093"/>
    <w:rsid w:val="004E14D9"/>
    <w:rsid w:val="004E1C75"/>
    <w:rsid w:val="004E2FEB"/>
    <w:rsid w:val="004E4EBE"/>
    <w:rsid w:val="004E7590"/>
    <w:rsid w:val="004F0943"/>
    <w:rsid w:val="004F2FB0"/>
    <w:rsid w:val="004F54D3"/>
    <w:rsid w:val="004F5D6D"/>
    <w:rsid w:val="004F7961"/>
    <w:rsid w:val="00500E73"/>
    <w:rsid w:val="005013E1"/>
    <w:rsid w:val="0050157E"/>
    <w:rsid w:val="00501CD7"/>
    <w:rsid w:val="00501E0C"/>
    <w:rsid w:val="0050300B"/>
    <w:rsid w:val="005034FE"/>
    <w:rsid w:val="005056C8"/>
    <w:rsid w:val="0050598E"/>
    <w:rsid w:val="00505C0F"/>
    <w:rsid w:val="00507A31"/>
    <w:rsid w:val="0051137B"/>
    <w:rsid w:val="00511776"/>
    <w:rsid w:val="00511924"/>
    <w:rsid w:val="00512974"/>
    <w:rsid w:val="00512EDB"/>
    <w:rsid w:val="00513A31"/>
    <w:rsid w:val="0051511D"/>
    <w:rsid w:val="005210A2"/>
    <w:rsid w:val="00521232"/>
    <w:rsid w:val="005218FC"/>
    <w:rsid w:val="00521E63"/>
    <w:rsid w:val="005221F7"/>
    <w:rsid w:val="0052220C"/>
    <w:rsid w:val="005228EB"/>
    <w:rsid w:val="005234C7"/>
    <w:rsid w:val="005238E0"/>
    <w:rsid w:val="00524DD1"/>
    <w:rsid w:val="005277E8"/>
    <w:rsid w:val="00532778"/>
    <w:rsid w:val="00532C7F"/>
    <w:rsid w:val="00533A93"/>
    <w:rsid w:val="00533CF1"/>
    <w:rsid w:val="00534780"/>
    <w:rsid w:val="00536C79"/>
    <w:rsid w:val="0054351E"/>
    <w:rsid w:val="0054363C"/>
    <w:rsid w:val="00545EE7"/>
    <w:rsid w:val="005503FA"/>
    <w:rsid w:val="005516CA"/>
    <w:rsid w:val="005531B0"/>
    <w:rsid w:val="00553B69"/>
    <w:rsid w:val="00556EB9"/>
    <w:rsid w:val="0055794B"/>
    <w:rsid w:val="005672DE"/>
    <w:rsid w:val="00570666"/>
    <w:rsid w:val="005712AD"/>
    <w:rsid w:val="005749F6"/>
    <w:rsid w:val="00574D76"/>
    <w:rsid w:val="00576569"/>
    <w:rsid w:val="00580096"/>
    <w:rsid w:val="00580301"/>
    <w:rsid w:val="00582C15"/>
    <w:rsid w:val="00583316"/>
    <w:rsid w:val="005859FB"/>
    <w:rsid w:val="00586333"/>
    <w:rsid w:val="00592135"/>
    <w:rsid w:val="005924C4"/>
    <w:rsid w:val="005937DA"/>
    <w:rsid w:val="005943B6"/>
    <w:rsid w:val="005A0362"/>
    <w:rsid w:val="005A06F8"/>
    <w:rsid w:val="005A0FD1"/>
    <w:rsid w:val="005A3252"/>
    <w:rsid w:val="005A4031"/>
    <w:rsid w:val="005A563D"/>
    <w:rsid w:val="005A6D79"/>
    <w:rsid w:val="005A7E9F"/>
    <w:rsid w:val="005B2C4D"/>
    <w:rsid w:val="005B2CF2"/>
    <w:rsid w:val="005B311B"/>
    <w:rsid w:val="005B57AA"/>
    <w:rsid w:val="005B5BAF"/>
    <w:rsid w:val="005B7B02"/>
    <w:rsid w:val="005B7B17"/>
    <w:rsid w:val="005B7D81"/>
    <w:rsid w:val="005B7E4E"/>
    <w:rsid w:val="005C11C1"/>
    <w:rsid w:val="005C2BD9"/>
    <w:rsid w:val="005C2C4E"/>
    <w:rsid w:val="005C3D8D"/>
    <w:rsid w:val="005C4A85"/>
    <w:rsid w:val="005C4D76"/>
    <w:rsid w:val="005C7C2C"/>
    <w:rsid w:val="005D082C"/>
    <w:rsid w:val="005D0D39"/>
    <w:rsid w:val="005D2F97"/>
    <w:rsid w:val="005D692B"/>
    <w:rsid w:val="005E22FA"/>
    <w:rsid w:val="005E43E5"/>
    <w:rsid w:val="005E563D"/>
    <w:rsid w:val="005E60FB"/>
    <w:rsid w:val="005E6D6D"/>
    <w:rsid w:val="005F0DDB"/>
    <w:rsid w:val="005F1EA6"/>
    <w:rsid w:val="005F364B"/>
    <w:rsid w:val="005F4303"/>
    <w:rsid w:val="005F47D8"/>
    <w:rsid w:val="005F501D"/>
    <w:rsid w:val="005F52A1"/>
    <w:rsid w:val="005F57B1"/>
    <w:rsid w:val="005F7135"/>
    <w:rsid w:val="00602748"/>
    <w:rsid w:val="006036EE"/>
    <w:rsid w:val="006047C5"/>
    <w:rsid w:val="006054AE"/>
    <w:rsid w:val="00606158"/>
    <w:rsid w:val="00606D33"/>
    <w:rsid w:val="006105FD"/>
    <w:rsid w:val="006126AC"/>
    <w:rsid w:val="0061626D"/>
    <w:rsid w:val="0061721D"/>
    <w:rsid w:val="00621915"/>
    <w:rsid w:val="00624074"/>
    <w:rsid w:val="006249BA"/>
    <w:rsid w:val="00626091"/>
    <w:rsid w:val="00626AAB"/>
    <w:rsid w:val="0062769F"/>
    <w:rsid w:val="00632EFE"/>
    <w:rsid w:val="006353AA"/>
    <w:rsid w:val="0064027D"/>
    <w:rsid w:val="006403F3"/>
    <w:rsid w:val="00641664"/>
    <w:rsid w:val="0065001E"/>
    <w:rsid w:val="006516F1"/>
    <w:rsid w:val="006520AD"/>
    <w:rsid w:val="006533B7"/>
    <w:rsid w:val="006547C3"/>
    <w:rsid w:val="00654B4F"/>
    <w:rsid w:val="006568E0"/>
    <w:rsid w:val="00656CB1"/>
    <w:rsid w:val="006576CF"/>
    <w:rsid w:val="00657FB1"/>
    <w:rsid w:val="0066056C"/>
    <w:rsid w:val="00660615"/>
    <w:rsid w:val="00661813"/>
    <w:rsid w:val="00665791"/>
    <w:rsid w:val="00666E57"/>
    <w:rsid w:val="00667BCD"/>
    <w:rsid w:val="00670741"/>
    <w:rsid w:val="00673885"/>
    <w:rsid w:val="00674B00"/>
    <w:rsid w:val="00675DB7"/>
    <w:rsid w:val="006765A7"/>
    <w:rsid w:val="00680720"/>
    <w:rsid w:val="00680F2D"/>
    <w:rsid w:val="006816D6"/>
    <w:rsid w:val="006823D1"/>
    <w:rsid w:val="00682618"/>
    <w:rsid w:val="006840BA"/>
    <w:rsid w:val="00685794"/>
    <w:rsid w:val="006976FC"/>
    <w:rsid w:val="006A11DA"/>
    <w:rsid w:val="006A1DAD"/>
    <w:rsid w:val="006B5260"/>
    <w:rsid w:val="006B6640"/>
    <w:rsid w:val="006B6ED8"/>
    <w:rsid w:val="006C21BA"/>
    <w:rsid w:val="006C240A"/>
    <w:rsid w:val="006C25F6"/>
    <w:rsid w:val="006C2616"/>
    <w:rsid w:val="006C5742"/>
    <w:rsid w:val="006C6652"/>
    <w:rsid w:val="006C700B"/>
    <w:rsid w:val="006D018E"/>
    <w:rsid w:val="006D29D0"/>
    <w:rsid w:val="006D3078"/>
    <w:rsid w:val="006D4034"/>
    <w:rsid w:val="006D4E40"/>
    <w:rsid w:val="006E0791"/>
    <w:rsid w:val="006E0E37"/>
    <w:rsid w:val="006E10DE"/>
    <w:rsid w:val="006E2530"/>
    <w:rsid w:val="006E3F89"/>
    <w:rsid w:val="006E548F"/>
    <w:rsid w:val="006E75A3"/>
    <w:rsid w:val="006E7A58"/>
    <w:rsid w:val="006E7E7A"/>
    <w:rsid w:val="006F0BD8"/>
    <w:rsid w:val="006F1823"/>
    <w:rsid w:val="006F1AE8"/>
    <w:rsid w:val="006F2422"/>
    <w:rsid w:val="006F24E1"/>
    <w:rsid w:val="006F73F0"/>
    <w:rsid w:val="006F78C0"/>
    <w:rsid w:val="00702998"/>
    <w:rsid w:val="0070496D"/>
    <w:rsid w:val="00704AD0"/>
    <w:rsid w:val="0070714A"/>
    <w:rsid w:val="0070723C"/>
    <w:rsid w:val="0071055A"/>
    <w:rsid w:val="0071414A"/>
    <w:rsid w:val="0071514F"/>
    <w:rsid w:val="00715612"/>
    <w:rsid w:val="00715D23"/>
    <w:rsid w:val="00716F1E"/>
    <w:rsid w:val="00725A39"/>
    <w:rsid w:val="00727372"/>
    <w:rsid w:val="00727685"/>
    <w:rsid w:val="007308F4"/>
    <w:rsid w:val="00730AF8"/>
    <w:rsid w:val="00735D7F"/>
    <w:rsid w:val="007367E8"/>
    <w:rsid w:val="007369B9"/>
    <w:rsid w:val="007375F7"/>
    <w:rsid w:val="00740322"/>
    <w:rsid w:val="00740916"/>
    <w:rsid w:val="00742FC6"/>
    <w:rsid w:val="007431FF"/>
    <w:rsid w:val="007467E3"/>
    <w:rsid w:val="007513E9"/>
    <w:rsid w:val="00756F9E"/>
    <w:rsid w:val="00760C0C"/>
    <w:rsid w:val="00762742"/>
    <w:rsid w:val="007635B5"/>
    <w:rsid w:val="00772ADE"/>
    <w:rsid w:val="00773616"/>
    <w:rsid w:val="0077449E"/>
    <w:rsid w:val="007756B5"/>
    <w:rsid w:val="0077736E"/>
    <w:rsid w:val="00781369"/>
    <w:rsid w:val="0078300B"/>
    <w:rsid w:val="007833A9"/>
    <w:rsid w:val="0078405C"/>
    <w:rsid w:val="007844E1"/>
    <w:rsid w:val="007851E9"/>
    <w:rsid w:val="007910D2"/>
    <w:rsid w:val="0079277C"/>
    <w:rsid w:val="00794754"/>
    <w:rsid w:val="0079479B"/>
    <w:rsid w:val="007A3064"/>
    <w:rsid w:val="007A31EB"/>
    <w:rsid w:val="007A687E"/>
    <w:rsid w:val="007B1513"/>
    <w:rsid w:val="007B17B0"/>
    <w:rsid w:val="007B1FF7"/>
    <w:rsid w:val="007B405E"/>
    <w:rsid w:val="007B4706"/>
    <w:rsid w:val="007B4CF9"/>
    <w:rsid w:val="007B7A8A"/>
    <w:rsid w:val="007C1810"/>
    <w:rsid w:val="007C1D01"/>
    <w:rsid w:val="007C4762"/>
    <w:rsid w:val="007C5165"/>
    <w:rsid w:val="007C76B5"/>
    <w:rsid w:val="007C7959"/>
    <w:rsid w:val="007C7B78"/>
    <w:rsid w:val="007D1A1E"/>
    <w:rsid w:val="007D30D0"/>
    <w:rsid w:val="007D408F"/>
    <w:rsid w:val="007D480B"/>
    <w:rsid w:val="007E1E2F"/>
    <w:rsid w:val="007E231D"/>
    <w:rsid w:val="007E3AA5"/>
    <w:rsid w:val="007E45E4"/>
    <w:rsid w:val="007F402C"/>
    <w:rsid w:val="007F488D"/>
    <w:rsid w:val="007F616F"/>
    <w:rsid w:val="007F62AD"/>
    <w:rsid w:val="007F73EA"/>
    <w:rsid w:val="007F75DF"/>
    <w:rsid w:val="008002E8"/>
    <w:rsid w:val="008006D5"/>
    <w:rsid w:val="00803052"/>
    <w:rsid w:val="0080399E"/>
    <w:rsid w:val="00804E98"/>
    <w:rsid w:val="00806771"/>
    <w:rsid w:val="00807E0E"/>
    <w:rsid w:val="00811B2B"/>
    <w:rsid w:val="00811C82"/>
    <w:rsid w:val="008149B7"/>
    <w:rsid w:val="00820AD8"/>
    <w:rsid w:val="00820EFB"/>
    <w:rsid w:val="008210DA"/>
    <w:rsid w:val="00821A76"/>
    <w:rsid w:val="008245A9"/>
    <w:rsid w:val="00825250"/>
    <w:rsid w:val="00825830"/>
    <w:rsid w:val="0083211B"/>
    <w:rsid w:val="008322B6"/>
    <w:rsid w:val="0083233C"/>
    <w:rsid w:val="008349F1"/>
    <w:rsid w:val="00836024"/>
    <w:rsid w:val="00836392"/>
    <w:rsid w:val="00840E61"/>
    <w:rsid w:val="008416EA"/>
    <w:rsid w:val="00844132"/>
    <w:rsid w:val="00846373"/>
    <w:rsid w:val="008473B1"/>
    <w:rsid w:val="00847850"/>
    <w:rsid w:val="00850BC1"/>
    <w:rsid w:val="00853A76"/>
    <w:rsid w:val="008546A9"/>
    <w:rsid w:val="00854857"/>
    <w:rsid w:val="0085640D"/>
    <w:rsid w:val="00856EB5"/>
    <w:rsid w:val="008620E2"/>
    <w:rsid w:val="008622DD"/>
    <w:rsid w:val="00863597"/>
    <w:rsid w:val="0086395C"/>
    <w:rsid w:val="008657E7"/>
    <w:rsid w:val="00865CF9"/>
    <w:rsid w:val="0086648B"/>
    <w:rsid w:val="008673F2"/>
    <w:rsid w:val="00867E7D"/>
    <w:rsid w:val="00871F4E"/>
    <w:rsid w:val="00872EB7"/>
    <w:rsid w:val="00873075"/>
    <w:rsid w:val="008731F9"/>
    <w:rsid w:val="00873699"/>
    <w:rsid w:val="00873E3C"/>
    <w:rsid w:val="00874150"/>
    <w:rsid w:val="008744CA"/>
    <w:rsid w:val="008750E2"/>
    <w:rsid w:val="00876486"/>
    <w:rsid w:val="00876670"/>
    <w:rsid w:val="0088434A"/>
    <w:rsid w:val="00884757"/>
    <w:rsid w:val="008847DF"/>
    <w:rsid w:val="00886003"/>
    <w:rsid w:val="008866E8"/>
    <w:rsid w:val="0088671C"/>
    <w:rsid w:val="00886C7C"/>
    <w:rsid w:val="00890C61"/>
    <w:rsid w:val="00896FF1"/>
    <w:rsid w:val="008A0222"/>
    <w:rsid w:val="008A2CE6"/>
    <w:rsid w:val="008A4808"/>
    <w:rsid w:val="008A63A0"/>
    <w:rsid w:val="008A656F"/>
    <w:rsid w:val="008A6661"/>
    <w:rsid w:val="008A6DFE"/>
    <w:rsid w:val="008B0EFE"/>
    <w:rsid w:val="008B183C"/>
    <w:rsid w:val="008B1E93"/>
    <w:rsid w:val="008B20B6"/>
    <w:rsid w:val="008B280C"/>
    <w:rsid w:val="008B3F60"/>
    <w:rsid w:val="008B4FB6"/>
    <w:rsid w:val="008B505B"/>
    <w:rsid w:val="008B5981"/>
    <w:rsid w:val="008B6C52"/>
    <w:rsid w:val="008C19E2"/>
    <w:rsid w:val="008C3068"/>
    <w:rsid w:val="008C32E6"/>
    <w:rsid w:val="008C43C2"/>
    <w:rsid w:val="008C48D9"/>
    <w:rsid w:val="008C7899"/>
    <w:rsid w:val="008C7AC2"/>
    <w:rsid w:val="008C7B24"/>
    <w:rsid w:val="008D0BC6"/>
    <w:rsid w:val="008D2ED5"/>
    <w:rsid w:val="008D3459"/>
    <w:rsid w:val="008D5032"/>
    <w:rsid w:val="008D515B"/>
    <w:rsid w:val="008D5B3D"/>
    <w:rsid w:val="008D6958"/>
    <w:rsid w:val="008D7C76"/>
    <w:rsid w:val="008E0267"/>
    <w:rsid w:val="008E1707"/>
    <w:rsid w:val="008E2235"/>
    <w:rsid w:val="008E3423"/>
    <w:rsid w:val="008E63C4"/>
    <w:rsid w:val="008E7711"/>
    <w:rsid w:val="008F16BC"/>
    <w:rsid w:val="008F1DAB"/>
    <w:rsid w:val="008F2C08"/>
    <w:rsid w:val="008F2EDE"/>
    <w:rsid w:val="008F3C01"/>
    <w:rsid w:val="008F6B37"/>
    <w:rsid w:val="009007F1"/>
    <w:rsid w:val="009030CF"/>
    <w:rsid w:val="00903AD0"/>
    <w:rsid w:val="0090706B"/>
    <w:rsid w:val="009075B7"/>
    <w:rsid w:val="009078CC"/>
    <w:rsid w:val="009114AD"/>
    <w:rsid w:val="00911F7B"/>
    <w:rsid w:val="00913281"/>
    <w:rsid w:val="00913EA5"/>
    <w:rsid w:val="009146C1"/>
    <w:rsid w:val="00914FD3"/>
    <w:rsid w:val="00915874"/>
    <w:rsid w:val="00915D96"/>
    <w:rsid w:val="009207E3"/>
    <w:rsid w:val="00920B86"/>
    <w:rsid w:val="009217DA"/>
    <w:rsid w:val="00927849"/>
    <w:rsid w:val="00930919"/>
    <w:rsid w:val="009319B9"/>
    <w:rsid w:val="00933465"/>
    <w:rsid w:val="009346CA"/>
    <w:rsid w:val="009365CB"/>
    <w:rsid w:val="00940863"/>
    <w:rsid w:val="00943A47"/>
    <w:rsid w:val="00943CEA"/>
    <w:rsid w:val="00943D22"/>
    <w:rsid w:val="00945A5E"/>
    <w:rsid w:val="00946914"/>
    <w:rsid w:val="00946B15"/>
    <w:rsid w:val="0095083D"/>
    <w:rsid w:val="00952006"/>
    <w:rsid w:val="009570B0"/>
    <w:rsid w:val="0096035B"/>
    <w:rsid w:val="00960756"/>
    <w:rsid w:val="009612A7"/>
    <w:rsid w:val="00963ADB"/>
    <w:rsid w:val="00967444"/>
    <w:rsid w:val="00967E0F"/>
    <w:rsid w:val="0097170A"/>
    <w:rsid w:val="00971867"/>
    <w:rsid w:val="009732F0"/>
    <w:rsid w:val="00973332"/>
    <w:rsid w:val="00973DA0"/>
    <w:rsid w:val="00974D8C"/>
    <w:rsid w:val="00976374"/>
    <w:rsid w:val="0098048A"/>
    <w:rsid w:val="00983A1F"/>
    <w:rsid w:val="00985C61"/>
    <w:rsid w:val="00987485"/>
    <w:rsid w:val="0099167B"/>
    <w:rsid w:val="00993442"/>
    <w:rsid w:val="009A0CC8"/>
    <w:rsid w:val="009A207B"/>
    <w:rsid w:val="009A411F"/>
    <w:rsid w:val="009A5A0D"/>
    <w:rsid w:val="009A679E"/>
    <w:rsid w:val="009A6D1B"/>
    <w:rsid w:val="009A7B4F"/>
    <w:rsid w:val="009B2626"/>
    <w:rsid w:val="009B303B"/>
    <w:rsid w:val="009B3BDA"/>
    <w:rsid w:val="009B4A01"/>
    <w:rsid w:val="009B5201"/>
    <w:rsid w:val="009B6FE0"/>
    <w:rsid w:val="009B7238"/>
    <w:rsid w:val="009B76D8"/>
    <w:rsid w:val="009B785F"/>
    <w:rsid w:val="009C0398"/>
    <w:rsid w:val="009C0AA5"/>
    <w:rsid w:val="009C6BA0"/>
    <w:rsid w:val="009D0A21"/>
    <w:rsid w:val="009D3EB8"/>
    <w:rsid w:val="009D66A3"/>
    <w:rsid w:val="009D6B2A"/>
    <w:rsid w:val="009D6F65"/>
    <w:rsid w:val="009D788C"/>
    <w:rsid w:val="009D7BDF"/>
    <w:rsid w:val="009E1C06"/>
    <w:rsid w:val="009E28DB"/>
    <w:rsid w:val="009E2D2F"/>
    <w:rsid w:val="009E62E0"/>
    <w:rsid w:val="009E744E"/>
    <w:rsid w:val="009F3F7B"/>
    <w:rsid w:val="00A0023D"/>
    <w:rsid w:val="00A00C88"/>
    <w:rsid w:val="00A01AA8"/>
    <w:rsid w:val="00A0275F"/>
    <w:rsid w:val="00A046F7"/>
    <w:rsid w:val="00A109D5"/>
    <w:rsid w:val="00A10B39"/>
    <w:rsid w:val="00A11141"/>
    <w:rsid w:val="00A13D90"/>
    <w:rsid w:val="00A13F63"/>
    <w:rsid w:val="00A15843"/>
    <w:rsid w:val="00A15B2B"/>
    <w:rsid w:val="00A21D2D"/>
    <w:rsid w:val="00A223AA"/>
    <w:rsid w:val="00A2269F"/>
    <w:rsid w:val="00A240A8"/>
    <w:rsid w:val="00A24C6F"/>
    <w:rsid w:val="00A24DB5"/>
    <w:rsid w:val="00A24F06"/>
    <w:rsid w:val="00A266F5"/>
    <w:rsid w:val="00A26AF4"/>
    <w:rsid w:val="00A2727F"/>
    <w:rsid w:val="00A272BB"/>
    <w:rsid w:val="00A30ABA"/>
    <w:rsid w:val="00A30FD1"/>
    <w:rsid w:val="00A314B9"/>
    <w:rsid w:val="00A3341A"/>
    <w:rsid w:val="00A33D5D"/>
    <w:rsid w:val="00A34FE9"/>
    <w:rsid w:val="00A35298"/>
    <w:rsid w:val="00A357D7"/>
    <w:rsid w:val="00A35DD6"/>
    <w:rsid w:val="00A41885"/>
    <w:rsid w:val="00A41B45"/>
    <w:rsid w:val="00A52515"/>
    <w:rsid w:val="00A52700"/>
    <w:rsid w:val="00A53865"/>
    <w:rsid w:val="00A54B37"/>
    <w:rsid w:val="00A609DD"/>
    <w:rsid w:val="00A60B57"/>
    <w:rsid w:val="00A61815"/>
    <w:rsid w:val="00A6305C"/>
    <w:rsid w:val="00A634BC"/>
    <w:rsid w:val="00A644DE"/>
    <w:rsid w:val="00A649B5"/>
    <w:rsid w:val="00A65157"/>
    <w:rsid w:val="00A670BB"/>
    <w:rsid w:val="00A6740F"/>
    <w:rsid w:val="00A7483B"/>
    <w:rsid w:val="00A74E84"/>
    <w:rsid w:val="00A75159"/>
    <w:rsid w:val="00A8119C"/>
    <w:rsid w:val="00A82899"/>
    <w:rsid w:val="00A83DB8"/>
    <w:rsid w:val="00A86ACE"/>
    <w:rsid w:val="00A90C9D"/>
    <w:rsid w:val="00A921BD"/>
    <w:rsid w:val="00A948DC"/>
    <w:rsid w:val="00A95A88"/>
    <w:rsid w:val="00A966C6"/>
    <w:rsid w:val="00A96C73"/>
    <w:rsid w:val="00AA1B63"/>
    <w:rsid w:val="00AA3188"/>
    <w:rsid w:val="00AA420D"/>
    <w:rsid w:val="00AA4ED7"/>
    <w:rsid w:val="00AB14ED"/>
    <w:rsid w:val="00AB21F2"/>
    <w:rsid w:val="00AB2C8C"/>
    <w:rsid w:val="00AB444A"/>
    <w:rsid w:val="00AC3153"/>
    <w:rsid w:val="00AC405E"/>
    <w:rsid w:val="00AC6169"/>
    <w:rsid w:val="00AC6FF8"/>
    <w:rsid w:val="00AD0024"/>
    <w:rsid w:val="00AD0859"/>
    <w:rsid w:val="00AD094C"/>
    <w:rsid w:val="00AD0E2D"/>
    <w:rsid w:val="00AD20D2"/>
    <w:rsid w:val="00AD6F44"/>
    <w:rsid w:val="00AE2233"/>
    <w:rsid w:val="00AE732F"/>
    <w:rsid w:val="00AF074C"/>
    <w:rsid w:val="00AF2D2C"/>
    <w:rsid w:val="00AF5728"/>
    <w:rsid w:val="00AF716F"/>
    <w:rsid w:val="00B0040A"/>
    <w:rsid w:val="00B03AF0"/>
    <w:rsid w:val="00B05373"/>
    <w:rsid w:val="00B067D6"/>
    <w:rsid w:val="00B067E6"/>
    <w:rsid w:val="00B11A88"/>
    <w:rsid w:val="00B12260"/>
    <w:rsid w:val="00B13F00"/>
    <w:rsid w:val="00B156E1"/>
    <w:rsid w:val="00B159F3"/>
    <w:rsid w:val="00B21341"/>
    <w:rsid w:val="00B21E92"/>
    <w:rsid w:val="00B24DEB"/>
    <w:rsid w:val="00B25433"/>
    <w:rsid w:val="00B2626C"/>
    <w:rsid w:val="00B26936"/>
    <w:rsid w:val="00B322EF"/>
    <w:rsid w:val="00B3728B"/>
    <w:rsid w:val="00B408B6"/>
    <w:rsid w:val="00B5108B"/>
    <w:rsid w:val="00B531ED"/>
    <w:rsid w:val="00B53574"/>
    <w:rsid w:val="00B542AA"/>
    <w:rsid w:val="00B60027"/>
    <w:rsid w:val="00B60051"/>
    <w:rsid w:val="00B61743"/>
    <w:rsid w:val="00B61908"/>
    <w:rsid w:val="00B61B70"/>
    <w:rsid w:val="00B61BA8"/>
    <w:rsid w:val="00B63AE9"/>
    <w:rsid w:val="00B662B0"/>
    <w:rsid w:val="00B67083"/>
    <w:rsid w:val="00B670FF"/>
    <w:rsid w:val="00B67A93"/>
    <w:rsid w:val="00B67EA7"/>
    <w:rsid w:val="00B70B80"/>
    <w:rsid w:val="00B7325D"/>
    <w:rsid w:val="00B76BE0"/>
    <w:rsid w:val="00B80913"/>
    <w:rsid w:val="00B8139C"/>
    <w:rsid w:val="00B81B6F"/>
    <w:rsid w:val="00B855D7"/>
    <w:rsid w:val="00B91A8D"/>
    <w:rsid w:val="00B94358"/>
    <w:rsid w:val="00B9566B"/>
    <w:rsid w:val="00B95CC7"/>
    <w:rsid w:val="00B95FF3"/>
    <w:rsid w:val="00B96F6D"/>
    <w:rsid w:val="00BA0CD0"/>
    <w:rsid w:val="00BA24DA"/>
    <w:rsid w:val="00BA34AD"/>
    <w:rsid w:val="00BA4B2A"/>
    <w:rsid w:val="00BA5E5F"/>
    <w:rsid w:val="00BB0FB4"/>
    <w:rsid w:val="00BB1DFB"/>
    <w:rsid w:val="00BB2A80"/>
    <w:rsid w:val="00BB5E32"/>
    <w:rsid w:val="00BB69FF"/>
    <w:rsid w:val="00BC3D5D"/>
    <w:rsid w:val="00BC3F36"/>
    <w:rsid w:val="00BC5AC2"/>
    <w:rsid w:val="00BC62C8"/>
    <w:rsid w:val="00BC6AB3"/>
    <w:rsid w:val="00BC6C95"/>
    <w:rsid w:val="00BD1899"/>
    <w:rsid w:val="00BD2429"/>
    <w:rsid w:val="00BD301F"/>
    <w:rsid w:val="00BD50FB"/>
    <w:rsid w:val="00BD545A"/>
    <w:rsid w:val="00BE49BA"/>
    <w:rsid w:val="00BE52BF"/>
    <w:rsid w:val="00BE5BF8"/>
    <w:rsid w:val="00BF18A5"/>
    <w:rsid w:val="00BF1C2D"/>
    <w:rsid w:val="00BF2087"/>
    <w:rsid w:val="00BF2735"/>
    <w:rsid w:val="00BF4C10"/>
    <w:rsid w:val="00BF56F9"/>
    <w:rsid w:val="00BF5BED"/>
    <w:rsid w:val="00BF738E"/>
    <w:rsid w:val="00C03ADF"/>
    <w:rsid w:val="00C0402F"/>
    <w:rsid w:val="00C04EED"/>
    <w:rsid w:val="00C052F3"/>
    <w:rsid w:val="00C05AA0"/>
    <w:rsid w:val="00C06A7B"/>
    <w:rsid w:val="00C10487"/>
    <w:rsid w:val="00C13B0A"/>
    <w:rsid w:val="00C13ED2"/>
    <w:rsid w:val="00C14CE5"/>
    <w:rsid w:val="00C16725"/>
    <w:rsid w:val="00C24D41"/>
    <w:rsid w:val="00C30025"/>
    <w:rsid w:val="00C305B8"/>
    <w:rsid w:val="00C31396"/>
    <w:rsid w:val="00C3254A"/>
    <w:rsid w:val="00C329A2"/>
    <w:rsid w:val="00C329ED"/>
    <w:rsid w:val="00C32E53"/>
    <w:rsid w:val="00C332C3"/>
    <w:rsid w:val="00C35EC8"/>
    <w:rsid w:val="00C363D4"/>
    <w:rsid w:val="00C37937"/>
    <w:rsid w:val="00C40162"/>
    <w:rsid w:val="00C4065A"/>
    <w:rsid w:val="00C412B4"/>
    <w:rsid w:val="00C42FF3"/>
    <w:rsid w:val="00C43431"/>
    <w:rsid w:val="00C43E47"/>
    <w:rsid w:val="00C447FD"/>
    <w:rsid w:val="00C44BA2"/>
    <w:rsid w:val="00C464FB"/>
    <w:rsid w:val="00C479EC"/>
    <w:rsid w:val="00C5024F"/>
    <w:rsid w:val="00C51630"/>
    <w:rsid w:val="00C52F4B"/>
    <w:rsid w:val="00C53754"/>
    <w:rsid w:val="00C57019"/>
    <w:rsid w:val="00C6035E"/>
    <w:rsid w:val="00C639B5"/>
    <w:rsid w:val="00C651A6"/>
    <w:rsid w:val="00C677AF"/>
    <w:rsid w:val="00C7115C"/>
    <w:rsid w:val="00C725F3"/>
    <w:rsid w:val="00C72C99"/>
    <w:rsid w:val="00C75C83"/>
    <w:rsid w:val="00C762DF"/>
    <w:rsid w:val="00C77CA1"/>
    <w:rsid w:val="00C822F8"/>
    <w:rsid w:val="00C8251B"/>
    <w:rsid w:val="00C83482"/>
    <w:rsid w:val="00C83A6D"/>
    <w:rsid w:val="00C83A6F"/>
    <w:rsid w:val="00C83D92"/>
    <w:rsid w:val="00C84E5A"/>
    <w:rsid w:val="00C905BD"/>
    <w:rsid w:val="00C92D6F"/>
    <w:rsid w:val="00C93DEA"/>
    <w:rsid w:val="00C9720D"/>
    <w:rsid w:val="00C97351"/>
    <w:rsid w:val="00C97D8E"/>
    <w:rsid w:val="00CA25C2"/>
    <w:rsid w:val="00CA2A23"/>
    <w:rsid w:val="00CA3853"/>
    <w:rsid w:val="00CA5077"/>
    <w:rsid w:val="00CA516A"/>
    <w:rsid w:val="00CA752C"/>
    <w:rsid w:val="00CB009F"/>
    <w:rsid w:val="00CB0C0C"/>
    <w:rsid w:val="00CB1353"/>
    <w:rsid w:val="00CB221F"/>
    <w:rsid w:val="00CB446B"/>
    <w:rsid w:val="00CC3524"/>
    <w:rsid w:val="00CC5315"/>
    <w:rsid w:val="00CC56AA"/>
    <w:rsid w:val="00CC691F"/>
    <w:rsid w:val="00CD3536"/>
    <w:rsid w:val="00CD3C04"/>
    <w:rsid w:val="00CD3C3C"/>
    <w:rsid w:val="00CD565C"/>
    <w:rsid w:val="00CD594D"/>
    <w:rsid w:val="00CD6862"/>
    <w:rsid w:val="00CE124D"/>
    <w:rsid w:val="00CE662A"/>
    <w:rsid w:val="00CE6D50"/>
    <w:rsid w:val="00CE7AF5"/>
    <w:rsid w:val="00CF003A"/>
    <w:rsid w:val="00CF1403"/>
    <w:rsid w:val="00CF1B15"/>
    <w:rsid w:val="00CF324D"/>
    <w:rsid w:val="00CF54E6"/>
    <w:rsid w:val="00CF5BA1"/>
    <w:rsid w:val="00CF70AA"/>
    <w:rsid w:val="00CF73A6"/>
    <w:rsid w:val="00D01FA6"/>
    <w:rsid w:val="00D0318E"/>
    <w:rsid w:val="00D037FC"/>
    <w:rsid w:val="00D05575"/>
    <w:rsid w:val="00D06565"/>
    <w:rsid w:val="00D07B23"/>
    <w:rsid w:val="00D118BD"/>
    <w:rsid w:val="00D13C76"/>
    <w:rsid w:val="00D14CD9"/>
    <w:rsid w:val="00D15738"/>
    <w:rsid w:val="00D15D76"/>
    <w:rsid w:val="00D17E0F"/>
    <w:rsid w:val="00D2157E"/>
    <w:rsid w:val="00D22AE7"/>
    <w:rsid w:val="00D24F42"/>
    <w:rsid w:val="00D2550B"/>
    <w:rsid w:val="00D25F24"/>
    <w:rsid w:val="00D271FF"/>
    <w:rsid w:val="00D3225C"/>
    <w:rsid w:val="00D32D5C"/>
    <w:rsid w:val="00D3367E"/>
    <w:rsid w:val="00D33956"/>
    <w:rsid w:val="00D34F1B"/>
    <w:rsid w:val="00D35DA1"/>
    <w:rsid w:val="00D37DE8"/>
    <w:rsid w:val="00D405DB"/>
    <w:rsid w:val="00D41229"/>
    <w:rsid w:val="00D42A8A"/>
    <w:rsid w:val="00D42B76"/>
    <w:rsid w:val="00D433C9"/>
    <w:rsid w:val="00D4367A"/>
    <w:rsid w:val="00D4655D"/>
    <w:rsid w:val="00D5027F"/>
    <w:rsid w:val="00D5097B"/>
    <w:rsid w:val="00D51661"/>
    <w:rsid w:val="00D542DA"/>
    <w:rsid w:val="00D56239"/>
    <w:rsid w:val="00D56DFE"/>
    <w:rsid w:val="00D57D13"/>
    <w:rsid w:val="00D6243F"/>
    <w:rsid w:val="00D625FB"/>
    <w:rsid w:val="00D6261D"/>
    <w:rsid w:val="00D6403A"/>
    <w:rsid w:val="00D655BA"/>
    <w:rsid w:val="00D65C64"/>
    <w:rsid w:val="00D668DF"/>
    <w:rsid w:val="00D67E46"/>
    <w:rsid w:val="00D70518"/>
    <w:rsid w:val="00D7486B"/>
    <w:rsid w:val="00D74896"/>
    <w:rsid w:val="00D774C6"/>
    <w:rsid w:val="00D77CF4"/>
    <w:rsid w:val="00D80163"/>
    <w:rsid w:val="00D8475E"/>
    <w:rsid w:val="00D84CCB"/>
    <w:rsid w:val="00D84E18"/>
    <w:rsid w:val="00D87D21"/>
    <w:rsid w:val="00D9157C"/>
    <w:rsid w:val="00D95125"/>
    <w:rsid w:val="00D95EDC"/>
    <w:rsid w:val="00D96B56"/>
    <w:rsid w:val="00D97066"/>
    <w:rsid w:val="00D97CD0"/>
    <w:rsid w:val="00DA0DE2"/>
    <w:rsid w:val="00DA1781"/>
    <w:rsid w:val="00DA2F07"/>
    <w:rsid w:val="00DA54C9"/>
    <w:rsid w:val="00DB1561"/>
    <w:rsid w:val="00DB2470"/>
    <w:rsid w:val="00DB6958"/>
    <w:rsid w:val="00DC00D5"/>
    <w:rsid w:val="00DC39D2"/>
    <w:rsid w:val="00DC3FF8"/>
    <w:rsid w:val="00DC7F89"/>
    <w:rsid w:val="00DC7FB4"/>
    <w:rsid w:val="00DD167C"/>
    <w:rsid w:val="00DD77A2"/>
    <w:rsid w:val="00DE1E8B"/>
    <w:rsid w:val="00DE24F8"/>
    <w:rsid w:val="00DE3540"/>
    <w:rsid w:val="00DE5043"/>
    <w:rsid w:val="00DE6741"/>
    <w:rsid w:val="00DE6846"/>
    <w:rsid w:val="00DE7476"/>
    <w:rsid w:val="00DE7A7C"/>
    <w:rsid w:val="00DF3353"/>
    <w:rsid w:val="00DF44BE"/>
    <w:rsid w:val="00DF64FD"/>
    <w:rsid w:val="00E03566"/>
    <w:rsid w:val="00E044F1"/>
    <w:rsid w:val="00E05AF6"/>
    <w:rsid w:val="00E063A1"/>
    <w:rsid w:val="00E10958"/>
    <w:rsid w:val="00E127AC"/>
    <w:rsid w:val="00E130B5"/>
    <w:rsid w:val="00E14318"/>
    <w:rsid w:val="00E175B3"/>
    <w:rsid w:val="00E23A93"/>
    <w:rsid w:val="00E24EF9"/>
    <w:rsid w:val="00E24FB9"/>
    <w:rsid w:val="00E26CD1"/>
    <w:rsid w:val="00E26F82"/>
    <w:rsid w:val="00E27B69"/>
    <w:rsid w:val="00E306CD"/>
    <w:rsid w:val="00E31C3B"/>
    <w:rsid w:val="00E32C27"/>
    <w:rsid w:val="00E33405"/>
    <w:rsid w:val="00E3449C"/>
    <w:rsid w:val="00E35189"/>
    <w:rsid w:val="00E36E8A"/>
    <w:rsid w:val="00E40DB1"/>
    <w:rsid w:val="00E40DBD"/>
    <w:rsid w:val="00E4208F"/>
    <w:rsid w:val="00E44149"/>
    <w:rsid w:val="00E44D80"/>
    <w:rsid w:val="00E44ECA"/>
    <w:rsid w:val="00E459C3"/>
    <w:rsid w:val="00E53A61"/>
    <w:rsid w:val="00E5652E"/>
    <w:rsid w:val="00E57384"/>
    <w:rsid w:val="00E5755C"/>
    <w:rsid w:val="00E6202D"/>
    <w:rsid w:val="00E6578A"/>
    <w:rsid w:val="00E678BB"/>
    <w:rsid w:val="00E726B2"/>
    <w:rsid w:val="00E7293B"/>
    <w:rsid w:val="00E737BD"/>
    <w:rsid w:val="00E74109"/>
    <w:rsid w:val="00E74FB8"/>
    <w:rsid w:val="00E750F1"/>
    <w:rsid w:val="00E75E42"/>
    <w:rsid w:val="00E76205"/>
    <w:rsid w:val="00E76B36"/>
    <w:rsid w:val="00E804E5"/>
    <w:rsid w:val="00E814E3"/>
    <w:rsid w:val="00E83542"/>
    <w:rsid w:val="00E839C2"/>
    <w:rsid w:val="00E878F5"/>
    <w:rsid w:val="00E9191F"/>
    <w:rsid w:val="00E92B82"/>
    <w:rsid w:val="00E93362"/>
    <w:rsid w:val="00E963CF"/>
    <w:rsid w:val="00E97C92"/>
    <w:rsid w:val="00EA0DE3"/>
    <w:rsid w:val="00EA0E4D"/>
    <w:rsid w:val="00EA6D3F"/>
    <w:rsid w:val="00EA7555"/>
    <w:rsid w:val="00EB1E0E"/>
    <w:rsid w:val="00EB3588"/>
    <w:rsid w:val="00EB77D8"/>
    <w:rsid w:val="00EB7B7E"/>
    <w:rsid w:val="00EB7CEA"/>
    <w:rsid w:val="00EC100A"/>
    <w:rsid w:val="00EC3C0B"/>
    <w:rsid w:val="00ED1C66"/>
    <w:rsid w:val="00ED1DA0"/>
    <w:rsid w:val="00ED1DED"/>
    <w:rsid w:val="00ED1FB9"/>
    <w:rsid w:val="00ED2D4F"/>
    <w:rsid w:val="00EE272A"/>
    <w:rsid w:val="00EE3812"/>
    <w:rsid w:val="00EE45E2"/>
    <w:rsid w:val="00EE4BF8"/>
    <w:rsid w:val="00EE5273"/>
    <w:rsid w:val="00EE5FEE"/>
    <w:rsid w:val="00EE739D"/>
    <w:rsid w:val="00EF15F7"/>
    <w:rsid w:val="00EF1EE8"/>
    <w:rsid w:val="00EF3120"/>
    <w:rsid w:val="00EF374D"/>
    <w:rsid w:val="00EF387C"/>
    <w:rsid w:val="00EF523B"/>
    <w:rsid w:val="00EF56BD"/>
    <w:rsid w:val="00EF63BE"/>
    <w:rsid w:val="00EF69B2"/>
    <w:rsid w:val="00EF7B46"/>
    <w:rsid w:val="00F02711"/>
    <w:rsid w:val="00F02993"/>
    <w:rsid w:val="00F055D2"/>
    <w:rsid w:val="00F0587D"/>
    <w:rsid w:val="00F05EC5"/>
    <w:rsid w:val="00F06EDA"/>
    <w:rsid w:val="00F07097"/>
    <w:rsid w:val="00F07406"/>
    <w:rsid w:val="00F0752A"/>
    <w:rsid w:val="00F10D43"/>
    <w:rsid w:val="00F10F95"/>
    <w:rsid w:val="00F11A57"/>
    <w:rsid w:val="00F15901"/>
    <w:rsid w:val="00F16399"/>
    <w:rsid w:val="00F172D2"/>
    <w:rsid w:val="00F20496"/>
    <w:rsid w:val="00F2068B"/>
    <w:rsid w:val="00F242C4"/>
    <w:rsid w:val="00F25CEB"/>
    <w:rsid w:val="00F27A20"/>
    <w:rsid w:val="00F31FA7"/>
    <w:rsid w:val="00F336D9"/>
    <w:rsid w:val="00F35ECD"/>
    <w:rsid w:val="00F35F53"/>
    <w:rsid w:val="00F37483"/>
    <w:rsid w:val="00F37E63"/>
    <w:rsid w:val="00F41F12"/>
    <w:rsid w:val="00F45150"/>
    <w:rsid w:val="00F45EC8"/>
    <w:rsid w:val="00F5026D"/>
    <w:rsid w:val="00F5027B"/>
    <w:rsid w:val="00F511C0"/>
    <w:rsid w:val="00F547C7"/>
    <w:rsid w:val="00F55165"/>
    <w:rsid w:val="00F55957"/>
    <w:rsid w:val="00F67DAD"/>
    <w:rsid w:val="00F719EC"/>
    <w:rsid w:val="00F73CA5"/>
    <w:rsid w:val="00F7591B"/>
    <w:rsid w:val="00F76083"/>
    <w:rsid w:val="00F76ECD"/>
    <w:rsid w:val="00F817C2"/>
    <w:rsid w:val="00F86BD5"/>
    <w:rsid w:val="00F8738B"/>
    <w:rsid w:val="00F92ABA"/>
    <w:rsid w:val="00F92D2D"/>
    <w:rsid w:val="00F9606B"/>
    <w:rsid w:val="00F96711"/>
    <w:rsid w:val="00F96BAE"/>
    <w:rsid w:val="00F97D20"/>
    <w:rsid w:val="00FA3BE8"/>
    <w:rsid w:val="00FA4038"/>
    <w:rsid w:val="00FA494E"/>
    <w:rsid w:val="00FA4F7D"/>
    <w:rsid w:val="00FA64F2"/>
    <w:rsid w:val="00FB00A9"/>
    <w:rsid w:val="00FB0CDA"/>
    <w:rsid w:val="00FB1906"/>
    <w:rsid w:val="00FB4DB4"/>
    <w:rsid w:val="00FB7490"/>
    <w:rsid w:val="00FC10AF"/>
    <w:rsid w:val="00FC1570"/>
    <w:rsid w:val="00FC5D0C"/>
    <w:rsid w:val="00FD0678"/>
    <w:rsid w:val="00FD0A3C"/>
    <w:rsid w:val="00FD0CD4"/>
    <w:rsid w:val="00FD119D"/>
    <w:rsid w:val="00FD50D4"/>
    <w:rsid w:val="00FD6632"/>
    <w:rsid w:val="00FE262A"/>
    <w:rsid w:val="00FE36CF"/>
    <w:rsid w:val="00FE3A0D"/>
    <w:rsid w:val="00FE3E01"/>
    <w:rsid w:val="00FE4574"/>
    <w:rsid w:val="00FE501F"/>
    <w:rsid w:val="00FF26C8"/>
    <w:rsid w:val="00FF369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429E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0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4C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4C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4C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4C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4C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4C6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4C6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4C6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4C6F"/>
    <w:rPr>
      <w:rFonts w:ascii="Cambria" w:hAnsi="Cambria" w:cs="Times New Roman"/>
    </w:rPr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uiPriority w:val="99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uiPriority w:val="99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uiPriority w:val="99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4C6F"/>
    <w:rPr>
      <w:rFonts w:cs="Times New Roman"/>
      <w:sz w:val="24"/>
      <w:szCs w:val="24"/>
    </w:rPr>
  </w:style>
  <w:style w:type="paragraph" w:customStyle="1" w:styleId="FooterDraft">
    <w:name w:val="FooterDraft"/>
    <w:basedOn w:val="Normal"/>
    <w:uiPriority w:val="99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uiPriority w:val="99"/>
    <w:rsid w:val="00E814E3"/>
    <w:rPr>
      <w:rFonts w:ascii="Arial" w:hAnsi="Arial"/>
      <w:sz w:val="12"/>
    </w:rPr>
  </w:style>
  <w:style w:type="paragraph" w:styleId="BlockText">
    <w:name w:val="Block Text"/>
    <w:basedOn w:val="Normal"/>
    <w:uiPriority w:val="99"/>
    <w:rsid w:val="00E814E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814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814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814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24C6F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814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14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814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814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814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24C6F"/>
    <w:rPr>
      <w:rFonts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E814E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A24C6F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814E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A24C6F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E814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A24C6F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814E3"/>
    <w:rPr>
      <w:rFonts w:cs="Times New Roman"/>
      <w:i/>
      <w:iCs/>
    </w:rPr>
  </w:style>
  <w:style w:type="paragraph" w:styleId="EnvelopeAddress">
    <w:name w:val="envelope address"/>
    <w:basedOn w:val="Normal"/>
    <w:uiPriority w:val="99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locked/>
    <w:rsid w:val="00A24C6F"/>
    <w:rPr>
      <w:rFonts w:cs="Times New Roman"/>
      <w:sz w:val="24"/>
      <w:szCs w:val="24"/>
    </w:rPr>
  </w:style>
  <w:style w:type="character" w:styleId="HTMLAcronym">
    <w:name w:val="HTML Acronym"/>
    <w:basedOn w:val="DefaultParagraphFont"/>
    <w:uiPriority w:val="99"/>
    <w:rsid w:val="00E814E3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814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A24C6F"/>
    <w:rPr>
      <w:rFonts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rsid w:val="00E814E3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E814E3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814E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24C6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E814E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814E3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rsid w:val="00E814E3"/>
    <w:rPr>
      <w:rFonts w:cs="Times New Roman"/>
    </w:rPr>
  </w:style>
  <w:style w:type="paragraph" w:styleId="List">
    <w:name w:val="List"/>
    <w:basedOn w:val="Normal"/>
    <w:uiPriority w:val="99"/>
    <w:rsid w:val="00E814E3"/>
    <w:pPr>
      <w:ind w:left="283" w:hanging="283"/>
    </w:pPr>
  </w:style>
  <w:style w:type="paragraph" w:styleId="List2">
    <w:name w:val="List 2"/>
    <w:basedOn w:val="Normal"/>
    <w:uiPriority w:val="99"/>
    <w:rsid w:val="00E814E3"/>
    <w:pPr>
      <w:ind w:left="566" w:hanging="283"/>
    </w:pPr>
  </w:style>
  <w:style w:type="paragraph" w:styleId="List3">
    <w:name w:val="List 3"/>
    <w:basedOn w:val="Normal"/>
    <w:uiPriority w:val="99"/>
    <w:rsid w:val="00E814E3"/>
    <w:pPr>
      <w:ind w:left="849" w:hanging="283"/>
    </w:pPr>
  </w:style>
  <w:style w:type="paragraph" w:styleId="List4">
    <w:name w:val="List 4"/>
    <w:basedOn w:val="Normal"/>
    <w:uiPriority w:val="99"/>
    <w:rsid w:val="00E814E3"/>
    <w:pPr>
      <w:ind w:left="1132" w:hanging="283"/>
    </w:pPr>
  </w:style>
  <w:style w:type="paragraph" w:styleId="List5">
    <w:name w:val="List 5"/>
    <w:basedOn w:val="Normal"/>
    <w:uiPriority w:val="99"/>
    <w:rsid w:val="00E814E3"/>
    <w:pPr>
      <w:ind w:left="1415" w:hanging="283"/>
    </w:pPr>
  </w:style>
  <w:style w:type="paragraph" w:styleId="ListBullet">
    <w:name w:val="List Bullet"/>
    <w:basedOn w:val="Normal"/>
    <w:uiPriority w:val="99"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uiPriority w:val="99"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uiPriority w:val="99"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E814E3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814E3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814E3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814E3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814E3"/>
    <w:pPr>
      <w:spacing w:after="120"/>
      <w:ind w:left="1415"/>
    </w:pPr>
  </w:style>
  <w:style w:type="paragraph" w:styleId="ListNumber">
    <w:name w:val="List Number"/>
    <w:basedOn w:val="Normal"/>
    <w:uiPriority w:val="99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A24C6F"/>
    <w:rPr>
      <w:rFonts w:ascii="Cambria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uiPriority w:val="99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semiHidden/>
    <w:locked/>
    <w:rsid w:val="00A24C6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814E3"/>
    <w:rPr>
      <w:rFonts w:ascii="Arial" w:hAnsi="Arial" w:cs="Times New Roman"/>
      <w:sz w:val="22"/>
    </w:rPr>
  </w:style>
  <w:style w:type="paragraph" w:styleId="PlainText">
    <w:name w:val="Plain Text"/>
    <w:basedOn w:val="Normal"/>
    <w:link w:val="PlainTextChar"/>
    <w:uiPriority w:val="99"/>
    <w:rsid w:val="00E814E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24C6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E814E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24C6F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814E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A24C6F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814E3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4C6F"/>
    <w:rPr>
      <w:rFonts w:ascii="Cambria" w:hAnsi="Cambria" w:cs="Times New Roman"/>
      <w:sz w:val="24"/>
      <w:szCs w:val="24"/>
    </w:rPr>
  </w:style>
  <w:style w:type="table" w:styleId="Table3Deffects1">
    <w:name w:val="Table 3D effects 1"/>
    <w:basedOn w:val="TableNormal"/>
    <w:uiPriority w:val="99"/>
    <w:rsid w:val="00E814E3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E814E3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E814E3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E814E3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E814E3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E814E3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E814E3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E814E3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E814E3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E814E3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E814E3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E814E3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E814E3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E814E3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E814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814E3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E814E3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E814E3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814E3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E814E3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E814E3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E814E3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E814E3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814E3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E814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E814E3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814E3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814E3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24C6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1">
    <w:name w:val="A1"/>
    <w:aliases w:val="Heading Amendment,1. Amendment"/>
    <w:basedOn w:val="Normal"/>
    <w:next w:val="Normal"/>
    <w:uiPriority w:val="99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uiPriority w:val="99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uiPriority w:val="99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uiPriority w:val="99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uiPriority w:val="99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uiPriority w:val="99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uiPriority w:val="99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uiPriority w:val="99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uiPriority w:val="99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E81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C6F"/>
    <w:rPr>
      <w:rFonts w:cs="Times New Roman"/>
      <w:sz w:val="2"/>
    </w:rPr>
  </w:style>
  <w:style w:type="paragraph" w:styleId="Caption">
    <w:name w:val="caption"/>
    <w:basedOn w:val="Normal"/>
    <w:next w:val="Normal"/>
    <w:uiPriority w:val="99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uiPriority w:val="99"/>
    <w:rsid w:val="00E814E3"/>
    <w:rPr>
      <w:rFonts w:cs="Times New Roman"/>
    </w:rPr>
  </w:style>
  <w:style w:type="character" w:customStyle="1" w:styleId="CharAmSchText">
    <w:name w:val="CharAmSchText"/>
    <w:basedOn w:val="DefaultParagraphFont"/>
    <w:uiPriority w:val="99"/>
    <w:rsid w:val="00E814E3"/>
    <w:rPr>
      <w:rFonts w:cs="Times New Roman"/>
    </w:rPr>
  </w:style>
  <w:style w:type="character" w:customStyle="1" w:styleId="CharChapNo">
    <w:name w:val="CharChapNo"/>
    <w:basedOn w:val="DefaultParagraphFont"/>
    <w:uiPriority w:val="99"/>
    <w:rsid w:val="00E814E3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814E3"/>
    <w:rPr>
      <w:rFonts w:cs="Times New Roman"/>
    </w:rPr>
  </w:style>
  <w:style w:type="character" w:customStyle="1" w:styleId="CharDivNo">
    <w:name w:val="CharDivNo"/>
    <w:basedOn w:val="DefaultParagraphFont"/>
    <w:rsid w:val="00E814E3"/>
    <w:rPr>
      <w:rFonts w:cs="Times New Roman"/>
    </w:rPr>
  </w:style>
  <w:style w:type="character" w:customStyle="1" w:styleId="CharDivText">
    <w:name w:val="CharDivText"/>
    <w:basedOn w:val="DefaultParagraphFont"/>
    <w:rsid w:val="00E814E3"/>
    <w:rPr>
      <w:rFonts w:cs="Times New Roman"/>
    </w:rPr>
  </w:style>
  <w:style w:type="character" w:customStyle="1" w:styleId="CharPartNo">
    <w:name w:val="CharPartNo"/>
    <w:basedOn w:val="DefaultParagraphFont"/>
    <w:rsid w:val="00E814E3"/>
    <w:rPr>
      <w:rFonts w:cs="Times New Roman"/>
    </w:rPr>
  </w:style>
  <w:style w:type="character" w:customStyle="1" w:styleId="CharPartText">
    <w:name w:val="CharPartText"/>
    <w:basedOn w:val="DefaultParagraphFont"/>
    <w:rsid w:val="00E814E3"/>
    <w:rPr>
      <w:rFonts w:cs="Times New Roman"/>
    </w:rPr>
  </w:style>
  <w:style w:type="character" w:customStyle="1" w:styleId="CharSchPTNo">
    <w:name w:val="CharSchPTNo"/>
    <w:basedOn w:val="DefaultParagraphFont"/>
    <w:uiPriority w:val="99"/>
    <w:rsid w:val="00E814E3"/>
    <w:rPr>
      <w:rFonts w:cs="Times New Roman"/>
    </w:rPr>
  </w:style>
  <w:style w:type="character" w:customStyle="1" w:styleId="CharSchPTText">
    <w:name w:val="CharSchPTText"/>
    <w:basedOn w:val="DefaultParagraphFont"/>
    <w:uiPriority w:val="99"/>
    <w:rsid w:val="00E814E3"/>
    <w:rPr>
      <w:rFonts w:cs="Times New Roman"/>
    </w:rPr>
  </w:style>
  <w:style w:type="character" w:customStyle="1" w:styleId="CharSectno">
    <w:name w:val="CharSectno"/>
    <w:basedOn w:val="DefaultParagraphFont"/>
    <w:rsid w:val="00E814E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814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1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4C6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8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4C6F"/>
    <w:rPr>
      <w:rFonts w:cs="Times New Roman"/>
      <w:b/>
      <w:bCs/>
      <w:sz w:val="20"/>
      <w:szCs w:val="20"/>
    </w:rPr>
  </w:style>
  <w:style w:type="paragraph" w:customStyle="1" w:styleId="ContentsHead">
    <w:name w:val="ContentsHead"/>
    <w:basedOn w:val="Normal"/>
    <w:next w:val="Normal"/>
    <w:uiPriority w:val="99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uiPriority w:val="99"/>
    <w:rsid w:val="00E814E3"/>
  </w:style>
  <w:style w:type="paragraph" w:customStyle="1" w:styleId="DD">
    <w:name w:val="DD"/>
    <w:aliases w:val="Dictionary Definition"/>
    <w:basedOn w:val="Normal"/>
    <w:uiPriority w:val="99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uiPriority w:val="99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uiPriority w:val="99"/>
    <w:rsid w:val="00E814E3"/>
  </w:style>
  <w:style w:type="paragraph" w:customStyle="1" w:styleId="DNote">
    <w:name w:val="DNote"/>
    <w:aliases w:val="DictionaryNote"/>
    <w:basedOn w:val="Normal"/>
    <w:uiPriority w:val="99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814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24C6F"/>
    <w:rPr>
      <w:rFonts w:cs="Times New Roman"/>
      <w:sz w:val="2"/>
    </w:rPr>
  </w:style>
  <w:style w:type="paragraph" w:customStyle="1" w:styleId="DP1a">
    <w:name w:val="DP1(a)"/>
    <w:aliases w:val="Dictionary (a)"/>
    <w:basedOn w:val="Normal"/>
    <w:uiPriority w:val="99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uiPriority w:val="99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uiPriority w:val="99"/>
    <w:semiHidden/>
    <w:rsid w:val="00E814E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81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24C6F"/>
    <w:rPr>
      <w:rFonts w:cs="Times New Roman"/>
      <w:sz w:val="20"/>
      <w:szCs w:val="20"/>
    </w:rPr>
  </w:style>
  <w:style w:type="paragraph" w:customStyle="1" w:styleId="ExampleBody">
    <w:name w:val="Example Body"/>
    <w:basedOn w:val="Normal"/>
    <w:uiPriority w:val="99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uiPriority w:val="99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E814E3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814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24C6F"/>
    <w:rPr>
      <w:rFonts w:cs="Times New Roman"/>
      <w:sz w:val="20"/>
      <w:szCs w:val="20"/>
    </w:rPr>
  </w:style>
  <w:style w:type="paragraph" w:customStyle="1" w:styleId="Formula">
    <w:name w:val="Formula"/>
    <w:basedOn w:val="Normal"/>
    <w:next w:val="Normal"/>
    <w:uiPriority w:val="99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uiPriority w:val="99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uiPriority w:val="99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uiPriority w:val="99"/>
    <w:semiHidden/>
    <w:rsid w:val="00E814E3"/>
    <w:pPr>
      <w:ind w:left="240" w:hanging="240"/>
    </w:pPr>
  </w:style>
  <w:style w:type="paragraph" w:styleId="Index2">
    <w:name w:val="index 2"/>
    <w:basedOn w:val="Normal"/>
    <w:next w:val="Normal"/>
    <w:uiPriority w:val="99"/>
    <w:semiHidden/>
    <w:rsid w:val="00E814E3"/>
    <w:pPr>
      <w:ind w:left="480" w:hanging="240"/>
    </w:pPr>
  </w:style>
  <w:style w:type="paragraph" w:styleId="Index3">
    <w:name w:val="index 3"/>
    <w:basedOn w:val="Normal"/>
    <w:next w:val="Normal"/>
    <w:uiPriority w:val="99"/>
    <w:semiHidden/>
    <w:rsid w:val="00E814E3"/>
    <w:pPr>
      <w:ind w:left="720" w:hanging="240"/>
    </w:pPr>
  </w:style>
  <w:style w:type="paragraph" w:styleId="Index4">
    <w:name w:val="index 4"/>
    <w:basedOn w:val="Normal"/>
    <w:next w:val="Normal"/>
    <w:uiPriority w:val="99"/>
    <w:semiHidden/>
    <w:rsid w:val="00E814E3"/>
    <w:pPr>
      <w:ind w:left="960" w:hanging="240"/>
    </w:pPr>
  </w:style>
  <w:style w:type="paragraph" w:styleId="Index5">
    <w:name w:val="index 5"/>
    <w:basedOn w:val="Normal"/>
    <w:next w:val="Normal"/>
    <w:uiPriority w:val="99"/>
    <w:semiHidden/>
    <w:rsid w:val="00E814E3"/>
    <w:pPr>
      <w:ind w:left="1200" w:hanging="240"/>
    </w:pPr>
  </w:style>
  <w:style w:type="paragraph" w:styleId="Index6">
    <w:name w:val="index 6"/>
    <w:basedOn w:val="Normal"/>
    <w:next w:val="Normal"/>
    <w:uiPriority w:val="99"/>
    <w:semiHidden/>
    <w:rsid w:val="00E814E3"/>
    <w:pPr>
      <w:ind w:left="1440" w:hanging="240"/>
    </w:pPr>
  </w:style>
  <w:style w:type="paragraph" w:styleId="Index7">
    <w:name w:val="index 7"/>
    <w:basedOn w:val="Normal"/>
    <w:next w:val="Normal"/>
    <w:uiPriority w:val="99"/>
    <w:semiHidden/>
    <w:rsid w:val="00E814E3"/>
    <w:pPr>
      <w:ind w:left="1680" w:hanging="240"/>
    </w:pPr>
  </w:style>
  <w:style w:type="paragraph" w:styleId="Index8">
    <w:name w:val="index 8"/>
    <w:basedOn w:val="Normal"/>
    <w:next w:val="Normal"/>
    <w:uiPriority w:val="99"/>
    <w:semiHidden/>
    <w:rsid w:val="00E814E3"/>
    <w:pPr>
      <w:ind w:left="1920" w:hanging="240"/>
    </w:pPr>
  </w:style>
  <w:style w:type="paragraph" w:styleId="Index9">
    <w:name w:val="index 9"/>
    <w:basedOn w:val="Normal"/>
    <w:next w:val="Normal"/>
    <w:uiPriority w:val="99"/>
    <w:semiHidden/>
    <w:rsid w:val="00E814E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uiPriority w:val="99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uiPriority w:val="99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uiPriority w:val="99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uiPriority w:val="99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uiPriority w:val="99"/>
    <w:semiHidden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24C6F"/>
    <w:rPr>
      <w:rFonts w:ascii="Courier New" w:hAnsi="Courier New" w:cs="Courier New"/>
      <w:lang w:val="en-AU" w:eastAsia="en-US" w:bidi="ar-SA"/>
    </w:rPr>
  </w:style>
  <w:style w:type="paragraph" w:customStyle="1" w:styleId="MainBodySectionBreak">
    <w:name w:val="MainBody Section Break"/>
    <w:basedOn w:val="Normal"/>
    <w:next w:val="Normal"/>
    <w:uiPriority w:val="99"/>
    <w:rsid w:val="00E814E3"/>
  </w:style>
  <w:style w:type="paragraph" w:customStyle="1" w:styleId="Maker">
    <w:name w:val="Maker"/>
    <w:basedOn w:val="Normal"/>
    <w:uiPriority w:val="99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uiPriority w:val="99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uiPriority w:val="99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uiPriority w:val="99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uiPriority w:val="99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uiPriority w:val="99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uiPriority w:val="99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uiPriority w:val="99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uiPriority w:val="99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uiPriority w:val="99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uiPriority w:val="99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uiPriority w:val="99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uiPriority w:val="99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uiPriority w:val="99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uiPriority w:val="99"/>
    <w:rsid w:val="00E814E3"/>
  </w:style>
  <w:style w:type="paragraph" w:customStyle="1" w:styleId="RGHead">
    <w:name w:val="RGHead"/>
    <w:basedOn w:val="Normal"/>
    <w:next w:val="Normal"/>
    <w:uiPriority w:val="99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uiPriority w:val="99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uiPriority w:val="99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uiPriority w:val="99"/>
    <w:rsid w:val="00E814E3"/>
  </w:style>
  <w:style w:type="paragraph" w:customStyle="1" w:styleId="ScheduleDivision">
    <w:name w:val="Schedule Division"/>
    <w:basedOn w:val="Normal"/>
    <w:next w:val="ScheduleHeading"/>
    <w:uiPriority w:val="99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uiPriority w:val="99"/>
    <w:rsid w:val="00E814E3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E814E3"/>
    <w:rPr>
      <w:rFonts w:cs="Times New Roman"/>
    </w:rPr>
  </w:style>
  <w:style w:type="paragraph" w:customStyle="1" w:styleId="IntroP1a">
    <w:name w:val="IntroP1(a)"/>
    <w:basedOn w:val="Normal"/>
    <w:uiPriority w:val="99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uiPriority w:val="99"/>
    <w:rsid w:val="00E814E3"/>
    <w:rPr>
      <w:rFonts w:cs="Times New Roman"/>
    </w:rPr>
  </w:style>
  <w:style w:type="character" w:customStyle="1" w:styleId="CharAmSchPTText">
    <w:name w:val="CharAmSchPTText"/>
    <w:basedOn w:val="DefaultParagraphFont"/>
    <w:uiPriority w:val="99"/>
    <w:rsid w:val="00E814E3"/>
    <w:rPr>
      <w:rFonts w:cs="Times New Roman"/>
    </w:rPr>
  </w:style>
  <w:style w:type="paragraph" w:customStyle="1" w:styleId="Footerinfo0">
    <w:name w:val="Footerinfo"/>
    <w:basedOn w:val="Footer"/>
    <w:uiPriority w:val="99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uiPriority w:val="99"/>
    <w:rsid w:val="00E814E3"/>
    <w:pPr>
      <w:jc w:val="left"/>
    </w:pPr>
  </w:style>
  <w:style w:type="paragraph" w:customStyle="1" w:styleId="FooterPageOdd">
    <w:name w:val="FooterPageOdd"/>
    <w:basedOn w:val="Footer"/>
    <w:uiPriority w:val="99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uiPriority w:val="99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uiPriority w:val="99"/>
    <w:rsid w:val="00E814E3"/>
  </w:style>
  <w:style w:type="paragraph" w:customStyle="1" w:styleId="ScheduleHeading">
    <w:name w:val="Schedule Heading"/>
    <w:basedOn w:val="Normal"/>
    <w:next w:val="Normal"/>
    <w:uiPriority w:val="99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uiPriority w:val="99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uiPriority w:val="99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uiPriority w:val="99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uiPriority w:val="99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uiPriority w:val="99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uiPriority w:val="99"/>
    <w:rsid w:val="00E814E3"/>
  </w:style>
  <w:style w:type="paragraph" w:customStyle="1" w:styleId="SRNo">
    <w:name w:val="SRNo"/>
    <w:basedOn w:val="Normal"/>
    <w:next w:val="Normal"/>
    <w:uiPriority w:val="99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814E3"/>
    <w:pPr>
      <w:ind w:left="480" w:hanging="480"/>
    </w:pPr>
  </w:style>
  <w:style w:type="paragraph" w:customStyle="1" w:styleId="TableColHead">
    <w:name w:val="TableColHead"/>
    <w:basedOn w:val="Normal"/>
    <w:uiPriority w:val="99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uiPriority w:val="99"/>
    <w:rsid w:val="00E814E3"/>
    <w:pPr>
      <w:spacing w:before="60" w:after="60" w:line="240" w:lineRule="exact"/>
    </w:pPr>
    <w:rPr>
      <w:sz w:val="20"/>
      <w:szCs w:val="20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paragraph" w:customStyle="1" w:styleId="TableP1a">
    <w:name w:val="TableP1(a)"/>
    <w:basedOn w:val="Normal"/>
    <w:uiPriority w:val="99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uiPriority w:val="99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uiPriority w:val="99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uiPriority w:val="99"/>
    <w:semiHidden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uiPriority w:val="99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4803A3"/>
    <w:pPr>
      <w:tabs>
        <w:tab w:val="left" w:pos="1843"/>
        <w:tab w:val="right" w:pos="8278"/>
      </w:tabs>
      <w:spacing w:before="40"/>
      <w:ind w:left="1843" w:right="714" w:hanging="425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uiPriority w:val="99"/>
    <w:semiHidden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uiPriority w:val="99"/>
    <w:semiHidden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99"/>
    <w:semiHidden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uiPriority w:val="99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uiPriority w:val="99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uiPriority w:val="99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uiPriority w:val="99"/>
    <w:rsid w:val="00E814E3"/>
    <w:pPr>
      <w:keepNext/>
    </w:pPr>
  </w:style>
  <w:style w:type="paragraph" w:customStyle="1" w:styleId="ZA3">
    <w:name w:val="ZA3"/>
    <w:basedOn w:val="A3"/>
    <w:uiPriority w:val="99"/>
    <w:rsid w:val="00E814E3"/>
    <w:pPr>
      <w:keepNext/>
    </w:pPr>
  </w:style>
  <w:style w:type="paragraph" w:customStyle="1" w:styleId="ZA4">
    <w:name w:val="ZA4"/>
    <w:basedOn w:val="Normal"/>
    <w:next w:val="A4"/>
    <w:uiPriority w:val="99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uiPriority w:val="99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uiPriority w:val="99"/>
    <w:rsid w:val="00E814E3"/>
    <w:pPr>
      <w:keepNext/>
    </w:pPr>
  </w:style>
  <w:style w:type="paragraph" w:customStyle="1" w:styleId="ZExampleBody">
    <w:name w:val="ZExample Body"/>
    <w:basedOn w:val="ExampleBody"/>
    <w:uiPriority w:val="99"/>
    <w:rsid w:val="00E814E3"/>
    <w:pPr>
      <w:keepNext/>
    </w:pPr>
  </w:style>
  <w:style w:type="paragraph" w:customStyle="1" w:styleId="ZNote">
    <w:name w:val="ZNote"/>
    <w:basedOn w:val="Note"/>
    <w:uiPriority w:val="99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uiPriority w:val="99"/>
    <w:rsid w:val="00E814E3"/>
    <w:pPr>
      <w:keepNext/>
    </w:pPr>
  </w:style>
  <w:style w:type="paragraph" w:customStyle="1" w:styleId="ZP3">
    <w:name w:val="ZP3"/>
    <w:basedOn w:val="P3"/>
    <w:uiPriority w:val="99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uiPriority w:val="99"/>
    <w:rsid w:val="00D84E18"/>
    <w:pPr>
      <w:keepNext/>
    </w:pPr>
  </w:style>
  <w:style w:type="paragraph" w:customStyle="1" w:styleId="ZRcN">
    <w:name w:val="ZRcN"/>
    <w:basedOn w:val="Rc"/>
    <w:uiPriority w:val="99"/>
    <w:rsid w:val="00E814E3"/>
    <w:pPr>
      <w:keepNext/>
    </w:pPr>
  </w:style>
  <w:style w:type="character" w:customStyle="1" w:styleId="TitleSuperscript">
    <w:name w:val="TitleSuperscript"/>
    <w:basedOn w:val="DefaultParagraphFont"/>
    <w:uiPriority w:val="99"/>
    <w:rsid w:val="00E750F1"/>
    <w:rPr>
      <w:rFonts w:ascii="Arial" w:hAnsi="Arial" w:cs="Times New Roman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uiPriority w:val="99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uiPriority w:val="99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uiPriority w:val="99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uiPriority w:val="99"/>
    <w:rsid w:val="00B61908"/>
    <w:rPr>
      <w:b w:val="0"/>
      <w:i/>
    </w:rPr>
  </w:style>
  <w:style w:type="paragraph" w:customStyle="1" w:styleId="ReportText">
    <w:name w:val="Report Text"/>
    <w:uiPriority w:val="99"/>
    <w:rsid w:val="00F92ABA"/>
    <w:pPr>
      <w:spacing w:after="120" w:line="260" w:lineRule="atLeast"/>
      <w:ind w:left="1253"/>
    </w:pPr>
    <w:rPr>
      <w:rFonts w:ascii="Arial" w:hAnsi="Arial"/>
      <w:sz w:val="20"/>
      <w:szCs w:val="20"/>
      <w:lang w:eastAsia="en-US"/>
    </w:rPr>
  </w:style>
  <w:style w:type="paragraph" w:customStyle="1" w:styleId="hr0">
    <w:name w:val="hr"/>
    <w:basedOn w:val="Normal"/>
    <w:uiPriority w:val="99"/>
    <w:rsid w:val="000E2477"/>
    <w:pPr>
      <w:spacing w:before="100" w:beforeAutospacing="1" w:after="100" w:afterAutospacing="1"/>
    </w:pPr>
  </w:style>
  <w:style w:type="character" w:customStyle="1" w:styleId="charsectno0">
    <w:name w:val="charsectno"/>
    <w:basedOn w:val="DefaultParagraphFont"/>
    <w:uiPriority w:val="99"/>
    <w:rsid w:val="000E2477"/>
    <w:rPr>
      <w:rFonts w:cs="Times New Roman"/>
    </w:rPr>
  </w:style>
  <w:style w:type="paragraph" w:customStyle="1" w:styleId="r10">
    <w:name w:val="r1"/>
    <w:basedOn w:val="Normal"/>
    <w:uiPriority w:val="99"/>
    <w:rsid w:val="000E247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F54E6"/>
    <w:rPr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locked/>
    <w:rsid w:val="0018582E"/>
    <w:pPr>
      <w:numPr>
        <w:numId w:val="31"/>
      </w:numPr>
    </w:pPr>
  </w:style>
  <w:style w:type="numbering" w:styleId="111111">
    <w:name w:val="Outline List 2"/>
    <w:basedOn w:val="NoList"/>
    <w:uiPriority w:val="99"/>
    <w:semiHidden/>
    <w:unhideWhenUsed/>
    <w:locked/>
    <w:rsid w:val="0018582E"/>
    <w:pPr>
      <w:numPr>
        <w:numId w:val="32"/>
      </w:numPr>
    </w:pPr>
  </w:style>
  <w:style w:type="numbering" w:styleId="1ai">
    <w:name w:val="Outline List 1"/>
    <w:basedOn w:val="NoList"/>
    <w:uiPriority w:val="99"/>
    <w:semiHidden/>
    <w:unhideWhenUsed/>
    <w:locked/>
    <w:rsid w:val="0018582E"/>
    <w:pPr>
      <w:numPr>
        <w:numId w:val="33"/>
      </w:numPr>
    </w:pPr>
  </w:style>
  <w:style w:type="paragraph" w:customStyle="1" w:styleId="r20">
    <w:name w:val="r2"/>
    <w:basedOn w:val="Normal"/>
    <w:rsid w:val="00FB4DB4"/>
    <w:pPr>
      <w:spacing w:before="100" w:beforeAutospacing="1" w:after="100" w:afterAutospacing="1"/>
    </w:pPr>
    <w:rPr>
      <w:rFonts w:eastAsiaTheme="minorHAnsi"/>
    </w:rPr>
  </w:style>
  <w:style w:type="paragraph" w:customStyle="1" w:styleId="noteend0">
    <w:name w:val="noteend"/>
    <w:basedOn w:val="Normal"/>
    <w:rsid w:val="008639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953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8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7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8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9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34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55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yperlink" Target="http://www.greenpower.gov.au" TargetMode="Externa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http://comlaw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cbd.gov.au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propertyoz.com.au" TargetMode="Externa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nabers.gov.au" TargetMode="Externa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81F7-A3EA-4903-BE2D-379DDD5B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Energy Efficiency Disclosure (Assessment Methods and Standards) Determination 2010</vt:lpstr>
    </vt:vector>
  </TitlesOfParts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Energy Efficiency Disclosure (Assessment Methods and Standards) Determination 2010</dc:title>
  <dc:creator/>
  <cp:lastModifiedBy/>
  <cp:revision>1</cp:revision>
  <cp:lastPrinted>2011-07-07T01:19:00Z</cp:lastPrinted>
  <dcterms:created xsi:type="dcterms:W3CDTF">2016-08-10T06:55:00Z</dcterms:created>
  <dcterms:modified xsi:type="dcterms:W3CDTF">2016-08-10T06:55:00Z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139</vt:lpwstr>
  </property>
  <property fmtid="{D5CDD505-2E9C-101B-9397-08002B2CF9AE}" pid="3" name="IndexMatter">
    <vt:lpwstr>1004941C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AGS CancelDocNew">
    <vt:lpwstr>TRUE</vt:lpwstr>
  </property>
  <property fmtid="{D5CDD505-2E9C-101B-9397-08002B2CF9AE}" pid="7" name="VersionNumber">
    <vt:i4>0</vt:i4>
  </property>
  <property fmtid="{D5CDD505-2E9C-101B-9397-08002B2CF9AE}" pid="8" name="ClassificationPty">
    <vt:lpwstr/>
  </property>
  <property fmtid="{D5CDD505-2E9C-101B-9397-08002B2CF9AE}" pid="9" name="FileNumberPty">
    <vt:lpwstr/>
  </property>
  <property fmtid="{D5CDD505-2E9C-101B-9397-08002B2CF9AE}" pid="10" name="CorporateTmplBased">
    <vt:lpwstr>No</vt:lpwstr>
  </property>
</Properties>
</file>