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27" w:rsidRPr="00470227" w:rsidRDefault="00470227" w:rsidP="00470227">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bookmarkStart w:id="0" w:name="_GoBack"/>
      <w:bookmarkEnd w:id="0"/>
      <w:r w:rsidRPr="00470227">
        <w:rPr>
          <w:rFonts w:ascii="Times New Roman" w:eastAsia="Times New Roman" w:hAnsi="Times New Roman" w:cs="Times New Roman"/>
          <w:b/>
          <w:bCs/>
          <w:sz w:val="24"/>
          <w:szCs w:val="24"/>
          <w:lang w:eastAsia="en-AU"/>
        </w:rPr>
        <w:t> </w:t>
      </w:r>
    </w:p>
    <w:p w:rsidR="00470227" w:rsidRDefault="00470227" w:rsidP="00470227">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u w:val="single"/>
          <w:lang w:eastAsia="en-AU"/>
        </w:rPr>
      </w:pPr>
      <w:r w:rsidRPr="00470227">
        <w:rPr>
          <w:rFonts w:ascii="Times New Roman" w:eastAsia="Times New Roman" w:hAnsi="Times New Roman" w:cs="Times New Roman"/>
          <w:b/>
          <w:bCs/>
          <w:sz w:val="24"/>
          <w:szCs w:val="24"/>
          <w:u w:val="single"/>
          <w:lang w:eastAsia="en-AU"/>
        </w:rPr>
        <w:t>EXPLANATORY STATEMENT</w:t>
      </w:r>
    </w:p>
    <w:p w:rsidR="001F0015" w:rsidRPr="00C178B7" w:rsidRDefault="001F0015" w:rsidP="00470227">
      <w:pPr>
        <w:shd w:val="clear" w:color="auto" w:fill="FFFFFF"/>
        <w:spacing w:before="100" w:beforeAutospacing="1" w:after="100" w:afterAutospacing="1" w:line="240" w:lineRule="auto"/>
        <w:jc w:val="center"/>
        <w:rPr>
          <w:rFonts w:ascii="Times New Roman" w:eastAsia="Times New Roman" w:hAnsi="Times New Roman" w:cs="Times New Roman"/>
          <w:i/>
          <w:sz w:val="24"/>
          <w:szCs w:val="24"/>
          <w:lang w:val="en-US" w:eastAsia="en-AU"/>
        </w:rPr>
      </w:pPr>
      <w:r w:rsidRPr="00C178B7">
        <w:rPr>
          <w:rFonts w:ascii="Times New Roman" w:eastAsia="Times New Roman" w:hAnsi="Times New Roman" w:cs="Times New Roman"/>
          <w:b/>
          <w:bCs/>
          <w:i/>
          <w:sz w:val="24"/>
          <w:szCs w:val="24"/>
          <w:u w:val="single"/>
          <w:lang w:eastAsia="en-AU"/>
        </w:rPr>
        <w:t>Therapeutic Goods Act 1989</w:t>
      </w:r>
    </w:p>
    <w:p w:rsidR="00F72A29" w:rsidRPr="00F72A29" w:rsidRDefault="00470227" w:rsidP="00F72A2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470227">
        <w:rPr>
          <w:rFonts w:ascii="Times New Roman" w:eastAsia="Times New Roman" w:hAnsi="Times New Roman" w:cs="Times New Roman"/>
          <w:b/>
          <w:bCs/>
          <w:sz w:val="24"/>
          <w:szCs w:val="24"/>
          <w:lang w:eastAsia="en-AU"/>
        </w:rPr>
        <w:t xml:space="preserve">Therapeutic Goods </w:t>
      </w:r>
      <w:r w:rsidR="009967AB">
        <w:rPr>
          <w:rFonts w:ascii="Times New Roman" w:eastAsia="Times New Roman" w:hAnsi="Times New Roman" w:cs="Times New Roman"/>
          <w:b/>
          <w:bCs/>
          <w:sz w:val="24"/>
          <w:szCs w:val="24"/>
          <w:lang w:eastAsia="en-AU"/>
        </w:rPr>
        <w:t>Order No. 91</w:t>
      </w:r>
      <w:r w:rsidR="00F72A29">
        <w:rPr>
          <w:rFonts w:ascii="Times New Roman" w:eastAsia="Times New Roman" w:hAnsi="Times New Roman" w:cs="Times New Roman"/>
          <w:b/>
          <w:bCs/>
          <w:sz w:val="24"/>
          <w:szCs w:val="24"/>
          <w:lang w:eastAsia="en-AU"/>
        </w:rPr>
        <w:t xml:space="preserve"> - </w:t>
      </w:r>
      <w:r w:rsidR="00F72A29" w:rsidRPr="00F72A29">
        <w:rPr>
          <w:rFonts w:ascii="Times New Roman" w:eastAsia="Times New Roman" w:hAnsi="Times New Roman" w:cs="Times New Roman"/>
          <w:b/>
          <w:bCs/>
          <w:sz w:val="24"/>
          <w:szCs w:val="24"/>
          <w:lang w:eastAsia="en-AU"/>
        </w:rPr>
        <w:t>Standard for labels of prescription and related medicines</w:t>
      </w:r>
    </w:p>
    <w:p w:rsidR="00470227" w:rsidRPr="00470227" w:rsidRDefault="00470227" w:rsidP="0047022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70227">
        <w:rPr>
          <w:rFonts w:ascii="Times New Roman" w:eastAsia="Times New Roman" w:hAnsi="Times New Roman" w:cs="Times New Roman"/>
          <w:sz w:val="24"/>
          <w:szCs w:val="24"/>
          <w:lang w:eastAsia="en-AU"/>
        </w:rPr>
        <w:t xml:space="preserve">The </w:t>
      </w:r>
      <w:r w:rsidRPr="00470227">
        <w:rPr>
          <w:rFonts w:ascii="Times New Roman" w:eastAsia="Times New Roman" w:hAnsi="Times New Roman" w:cs="Times New Roman"/>
          <w:i/>
          <w:iCs/>
          <w:sz w:val="24"/>
          <w:szCs w:val="24"/>
          <w:lang w:eastAsia="en-AU"/>
        </w:rPr>
        <w:t>Therapeutic Goods Act 1989</w:t>
      </w:r>
      <w:r w:rsidRPr="00470227">
        <w:rPr>
          <w:rFonts w:ascii="Times New Roman" w:eastAsia="Times New Roman" w:hAnsi="Times New Roman" w:cs="Times New Roman"/>
          <w:sz w:val="24"/>
          <w:szCs w:val="24"/>
          <w:lang w:eastAsia="en-AU"/>
        </w:rPr>
        <w:t xml:space="preserve"> (the Act) provides for the establishment and maintenance of a national system of controls for the quality, safety, efficacy and timely availability of therapeutic goods that are used in or exported from Australia.  The Therapeutic Goods Administration (TGA), which is part of the Department of Health</w:t>
      </w:r>
      <w:r w:rsidR="002C48CA">
        <w:rPr>
          <w:rFonts w:ascii="Times New Roman" w:eastAsia="Times New Roman" w:hAnsi="Times New Roman" w:cs="Times New Roman"/>
          <w:sz w:val="24"/>
          <w:szCs w:val="24"/>
          <w:lang w:eastAsia="en-AU"/>
        </w:rPr>
        <w:t xml:space="preserve"> and Aged Care</w:t>
      </w:r>
      <w:r w:rsidRPr="00470227">
        <w:rPr>
          <w:rFonts w:ascii="Times New Roman" w:eastAsia="Times New Roman" w:hAnsi="Times New Roman" w:cs="Times New Roman"/>
          <w:sz w:val="24"/>
          <w:szCs w:val="24"/>
          <w:lang w:eastAsia="en-AU"/>
        </w:rPr>
        <w:t>, is responsible for administering the Act.</w:t>
      </w:r>
    </w:p>
    <w:p w:rsidR="00C4382B" w:rsidRDefault="008F58E7" w:rsidP="00C4382B">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8F58E7">
        <w:rPr>
          <w:rFonts w:ascii="Times New Roman" w:eastAsia="Times New Roman" w:hAnsi="Times New Roman" w:cs="Times New Roman"/>
          <w:sz w:val="24"/>
          <w:szCs w:val="24"/>
          <w:lang w:eastAsia="en-AU"/>
        </w:rPr>
        <w:t xml:space="preserve">Under </w:t>
      </w:r>
      <w:r>
        <w:rPr>
          <w:rFonts w:ascii="Times New Roman" w:eastAsia="Times New Roman" w:hAnsi="Times New Roman" w:cs="Times New Roman"/>
          <w:sz w:val="24"/>
          <w:szCs w:val="24"/>
          <w:lang w:eastAsia="en-AU"/>
        </w:rPr>
        <w:t xml:space="preserve">powers of </w:t>
      </w:r>
      <w:r w:rsidRPr="008F58E7">
        <w:rPr>
          <w:rFonts w:ascii="Times New Roman" w:eastAsia="Times New Roman" w:hAnsi="Times New Roman" w:cs="Times New Roman"/>
          <w:sz w:val="24"/>
          <w:szCs w:val="24"/>
          <w:lang w:eastAsia="en-AU"/>
        </w:rPr>
        <w:t>the Act, the TGA is responsible for establishing and enforcing requirements for the way medicines are labelled for commercial supply in Australia.</w:t>
      </w:r>
      <w:r w:rsidR="00C4382B">
        <w:rPr>
          <w:rFonts w:ascii="Times New Roman" w:eastAsia="Times New Roman" w:hAnsi="Times New Roman" w:cs="Times New Roman"/>
          <w:sz w:val="24"/>
          <w:szCs w:val="24"/>
          <w:lang w:eastAsia="en-AU"/>
        </w:rPr>
        <w:t xml:space="preserve"> </w:t>
      </w:r>
      <w:r w:rsidR="006619CF">
        <w:rPr>
          <w:rFonts w:ascii="Times New Roman" w:eastAsia="Times New Roman" w:hAnsi="Times New Roman" w:cs="Times New Roman"/>
          <w:sz w:val="24"/>
          <w:szCs w:val="24"/>
          <w:lang w:eastAsia="en-AU"/>
        </w:rPr>
        <w:t>U</w:t>
      </w:r>
      <w:r w:rsidR="00C4382B">
        <w:rPr>
          <w:rFonts w:ascii="Times New Roman" w:eastAsia="Times New Roman" w:hAnsi="Times New Roman" w:cs="Times New Roman"/>
          <w:sz w:val="24"/>
          <w:szCs w:val="24"/>
          <w:lang w:eastAsia="en-AU"/>
        </w:rPr>
        <w:t>nder section 10 of the Act, the Minister may, by way of a legislative instrument,</w:t>
      </w:r>
      <w:r w:rsidR="00C4382B" w:rsidRPr="00875D95">
        <w:rPr>
          <w:rFonts w:ascii="Times New Roman" w:eastAsia="Times New Roman" w:hAnsi="Times New Roman" w:cs="Times New Roman"/>
          <w:sz w:val="24"/>
          <w:szCs w:val="24"/>
          <w:lang w:eastAsia="en-AU"/>
        </w:rPr>
        <w:t xml:space="preserve"> </w:t>
      </w:r>
      <w:r w:rsidR="00C4382B">
        <w:rPr>
          <w:rFonts w:ascii="Times New Roman" w:eastAsia="Times New Roman" w:hAnsi="Times New Roman" w:cs="Times New Roman"/>
          <w:sz w:val="24"/>
          <w:szCs w:val="24"/>
          <w:lang w:eastAsia="en-AU"/>
        </w:rPr>
        <w:t xml:space="preserve">make </w:t>
      </w:r>
      <w:r w:rsidR="00C4382B" w:rsidRPr="00875D95">
        <w:rPr>
          <w:rFonts w:ascii="Times New Roman" w:eastAsia="Times New Roman" w:hAnsi="Times New Roman" w:cs="Times New Roman"/>
          <w:sz w:val="24"/>
          <w:szCs w:val="24"/>
          <w:lang w:eastAsia="en-AU"/>
        </w:rPr>
        <w:t xml:space="preserve">an order </w:t>
      </w:r>
      <w:r w:rsidR="001F0015">
        <w:rPr>
          <w:rFonts w:ascii="Times New Roman" w:eastAsia="Times New Roman" w:hAnsi="Times New Roman" w:cs="Times New Roman"/>
          <w:sz w:val="24"/>
          <w:szCs w:val="24"/>
          <w:lang w:eastAsia="en-AU"/>
        </w:rPr>
        <w:t xml:space="preserve">determining that matters specified in the order constitute a standard </w:t>
      </w:r>
      <w:r w:rsidR="006619CF">
        <w:rPr>
          <w:rFonts w:ascii="Times New Roman" w:eastAsia="Times New Roman" w:hAnsi="Times New Roman" w:cs="Times New Roman"/>
          <w:sz w:val="24"/>
          <w:szCs w:val="24"/>
          <w:lang w:eastAsia="en-AU"/>
        </w:rPr>
        <w:t>for</w:t>
      </w:r>
      <w:r w:rsidR="00C4382B" w:rsidRPr="00875D95">
        <w:rPr>
          <w:rFonts w:ascii="Times New Roman" w:eastAsia="Times New Roman" w:hAnsi="Times New Roman" w:cs="Times New Roman"/>
          <w:sz w:val="24"/>
          <w:szCs w:val="24"/>
          <w:lang w:eastAsia="en-AU"/>
        </w:rPr>
        <w:t xml:space="preserve"> therapeutic goods</w:t>
      </w:r>
      <w:r w:rsidR="00C4382B">
        <w:rPr>
          <w:rFonts w:ascii="Times New Roman" w:eastAsia="Times New Roman" w:hAnsi="Times New Roman" w:cs="Times New Roman"/>
          <w:sz w:val="24"/>
          <w:szCs w:val="24"/>
          <w:lang w:eastAsia="en-AU"/>
        </w:rPr>
        <w:t>. Further, under s</w:t>
      </w:r>
      <w:r w:rsidR="001F0015">
        <w:rPr>
          <w:rFonts w:ascii="Times New Roman" w:eastAsia="Times New Roman" w:hAnsi="Times New Roman" w:cs="Times New Roman"/>
          <w:sz w:val="24"/>
          <w:szCs w:val="24"/>
          <w:lang w:eastAsia="en-AU"/>
        </w:rPr>
        <w:t>ubsection</w:t>
      </w:r>
      <w:r w:rsidR="00C4382B">
        <w:rPr>
          <w:rFonts w:ascii="Times New Roman" w:eastAsia="Times New Roman" w:hAnsi="Times New Roman" w:cs="Times New Roman"/>
          <w:sz w:val="24"/>
          <w:szCs w:val="24"/>
          <w:lang w:eastAsia="en-AU"/>
        </w:rPr>
        <w:t xml:space="preserve"> 10(4) of the Act, the Minister must not make, vary or revoke an order unless consultation has taken place with a committee established </w:t>
      </w:r>
      <w:r w:rsidR="001F0015">
        <w:rPr>
          <w:rFonts w:ascii="Times New Roman" w:eastAsia="Times New Roman" w:hAnsi="Times New Roman" w:cs="Times New Roman"/>
          <w:sz w:val="24"/>
          <w:szCs w:val="24"/>
          <w:lang w:eastAsia="en-AU"/>
        </w:rPr>
        <w:t>by the regulations to advise the Minister on standards.</w:t>
      </w:r>
    </w:p>
    <w:p w:rsidR="0034243B" w:rsidRDefault="00C4382B" w:rsidP="008F58E7">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96702D">
        <w:rPr>
          <w:rFonts w:ascii="Times New Roman" w:eastAsia="Times New Roman" w:hAnsi="Times New Roman" w:cs="Times New Roman"/>
          <w:sz w:val="24"/>
          <w:szCs w:val="24"/>
          <w:lang w:eastAsia="en-AU"/>
        </w:rPr>
        <w:t>Therapeutic Goods Order No. 91 - Standard for labels of prescription and related medicines (TGO 91)</w:t>
      </w:r>
      <w:r w:rsidR="002C48CA">
        <w:rPr>
          <w:rFonts w:ascii="Times New Roman" w:eastAsia="Times New Roman" w:hAnsi="Times New Roman" w:cs="Times New Roman"/>
          <w:sz w:val="24"/>
          <w:szCs w:val="24"/>
          <w:lang w:eastAsia="en-AU"/>
        </w:rPr>
        <w:t xml:space="preserve"> has been drafted in conjunction with Therapeutic Goods Order No. 92</w:t>
      </w:r>
      <w:r w:rsidR="002C48CA" w:rsidRPr="0096702D">
        <w:rPr>
          <w:rFonts w:ascii="Times New Roman" w:eastAsia="Times New Roman" w:hAnsi="Times New Roman" w:cs="Times New Roman"/>
          <w:sz w:val="24"/>
          <w:szCs w:val="24"/>
          <w:lang w:eastAsia="en-AU"/>
        </w:rPr>
        <w:t xml:space="preserve"> - Standard for labels of </w:t>
      </w:r>
      <w:r w:rsidR="002C48CA">
        <w:rPr>
          <w:rFonts w:ascii="Times New Roman" w:eastAsia="Times New Roman" w:hAnsi="Times New Roman" w:cs="Times New Roman"/>
          <w:sz w:val="24"/>
          <w:szCs w:val="24"/>
          <w:lang w:eastAsia="en-AU"/>
        </w:rPr>
        <w:t>non-</w:t>
      </w:r>
      <w:r w:rsidR="002C48CA" w:rsidRPr="0096702D">
        <w:rPr>
          <w:rFonts w:ascii="Times New Roman" w:eastAsia="Times New Roman" w:hAnsi="Times New Roman" w:cs="Times New Roman"/>
          <w:sz w:val="24"/>
          <w:szCs w:val="24"/>
          <w:lang w:eastAsia="en-AU"/>
        </w:rPr>
        <w:t xml:space="preserve">prescription </w:t>
      </w:r>
      <w:r w:rsidR="002C48CA">
        <w:rPr>
          <w:rFonts w:ascii="Times New Roman" w:eastAsia="Times New Roman" w:hAnsi="Times New Roman" w:cs="Times New Roman"/>
          <w:sz w:val="24"/>
          <w:szCs w:val="24"/>
          <w:lang w:eastAsia="en-AU"/>
        </w:rPr>
        <w:t>medicines (TGO 92</w:t>
      </w:r>
      <w:r w:rsidR="002C48CA" w:rsidRPr="0096702D">
        <w:rPr>
          <w:rFonts w:ascii="Times New Roman" w:eastAsia="Times New Roman" w:hAnsi="Times New Roman" w:cs="Times New Roman"/>
          <w:sz w:val="24"/>
          <w:szCs w:val="24"/>
          <w:lang w:eastAsia="en-AU"/>
        </w:rPr>
        <w:t>)</w:t>
      </w:r>
      <w:r w:rsidR="002C48CA">
        <w:rPr>
          <w:rFonts w:ascii="Times New Roman" w:eastAsia="Times New Roman" w:hAnsi="Times New Roman" w:cs="Times New Roman"/>
          <w:sz w:val="24"/>
          <w:szCs w:val="24"/>
          <w:lang w:eastAsia="en-AU"/>
        </w:rPr>
        <w:t>. The purpose of TGO 91 and TGO 92</w:t>
      </w:r>
      <w:r w:rsidRPr="0096702D">
        <w:rPr>
          <w:rFonts w:ascii="Times New Roman" w:eastAsia="Times New Roman" w:hAnsi="Times New Roman" w:cs="Times New Roman"/>
          <w:sz w:val="24"/>
          <w:szCs w:val="24"/>
          <w:lang w:eastAsia="en-AU"/>
        </w:rPr>
        <w:t xml:space="preserve"> is to </w:t>
      </w:r>
      <w:r w:rsidR="00215F20">
        <w:rPr>
          <w:rFonts w:ascii="Times New Roman" w:eastAsia="Times New Roman" w:hAnsi="Times New Roman" w:cs="Times New Roman"/>
          <w:sz w:val="24"/>
          <w:szCs w:val="24"/>
          <w:lang w:eastAsia="en-AU"/>
        </w:rPr>
        <w:t>replace</w:t>
      </w:r>
      <w:r w:rsidR="00687415">
        <w:rPr>
          <w:rFonts w:ascii="Times New Roman" w:eastAsia="Times New Roman" w:hAnsi="Times New Roman" w:cs="Times New Roman"/>
          <w:sz w:val="24"/>
          <w:szCs w:val="24"/>
          <w:lang w:eastAsia="en-AU"/>
        </w:rPr>
        <w:t>, over time,</w:t>
      </w:r>
      <w:r w:rsidR="00215F20" w:rsidRPr="0096702D">
        <w:rPr>
          <w:rFonts w:ascii="Times New Roman" w:eastAsia="Times New Roman" w:hAnsi="Times New Roman" w:cs="Times New Roman"/>
          <w:sz w:val="24"/>
          <w:szCs w:val="24"/>
          <w:lang w:eastAsia="en-AU"/>
        </w:rPr>
        <w:t xml:space="preserve"> </w:t>
      </w:r>
      <w:r w:rsidRPr="0096702D">
        <w:rPr>
          <w:rFonts w:ascii="Times New Roman" w:eastAsia="Times New Roman" w:hAnsi="Times New Roman" w:cs="Times New Roman"/>
          <w:sz w:val="24"/>
          <w:szCs w:val="24"/>
          <w:lang w:eastAsia="en-AU"/>
        </w:rPr>
        <w:t>the Therapeutic Goods Order No. 69 - General requirements for labels for medicines (TGO 69</w:t>
      </w:r>
      <w:r w:rsidR="00183176" w:rsidRPr="0096702D">
        <w:rPr>
          <w:rFonts w:ascii="Times New Roman" w:eastAsia="Times New Roman" w:hAnsi="Times New Roman" w:cs="Times New Roman"/>
          <w:sz w:val="24"/>
          <w:szCs w:val="24"/>
          <w:lang w:eastAsia="en-AU"/>
        </w:rPr>
        <w:t>), the</w:t>
      </w:r>
      <w:r w:rsidR="006619CF" w:rsidRPr="0096702D">
        <w:rPr>
          <w:rFonts w:ascii="Times New Roman" w:eastAsia="Times New Roman" w:hAnsi="Times New Roman" w:cs="Times New Roman"/>
          <w:sz w:val="24"/>
          <w:szCs w:val="24"/>
          <w:lang w:eastAsia="en-AU"/>
        </w:rPr>
        <w:t xml:space="preserve"> current labelling Order</w:t>
      </w:r>
      <w:r w:rsidRPr="0096702D">
        <w:rPr>
          <w:rFonts w:ascii="Times New Roman" w:eastAsia="Times New Roman" w:hAnsi="Times New Roman" w:cs="Times New Roman"/>
          <w:sz w:val="24"/>
          <w:szCs w:val="24"/>
          <w:lang w:eastAsia="en-AU"/>
        </w:rPr>
        <w:t xml:space="preserve">. </w:t>
      </w:r>
      <w:r w:rsidR="00183176" w:rsidRPr="0096702D">
        <w:rPr>
          <w:rFonts w:ascii="Times New Roman" w:eastAsia="Times New Roman" w:hAnsi="Times New Roman" w:cs="Times New Roman"/>
          <w:sz w:val="24"/>
          <w:szCs w:val="24"/>
          <w:lang w:eastAsia="en-AU"/>
        </w:rPr>
        <w:t xml:space="preserve">TGO 69 is now more than 16 </w:t>
      </w:r>
      <w:r w:rsidR="00A84AA6" w:rsidRPr="0096702D">
        <w:rPr>
          <w:rFonts w:ascii="Times New Roman" w:eastAsia="Times New Roman" w:hAnsi="Times New Roman" w:cs="Times New Roman"/>
          <w:sz w:val="24"/>
          <w:szCs w:val="24"/>
          <w:lang w:eastAsia="en-AU"/>
        </w:rPr>
        <w:t xml:space="preserve">years old and does not align with labelling standards set by overseas regulators. </w:t>
      </w:r>
    </w:p>
    <w:p w:rsidR="0034243B" w:rsidRDefault="00E128F2" w:rsidP="008F58E7">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E128F2">
        <w:rPr>
          <w:rFonts w:ascii="Times New Roman" w:eastAsia="Times New Roman" w:hAnsi="Times New Roman" w:cs="Times New Roman"/>
          <w:sz w:val="24"/>
          <w:szCs w:val="24"/>
          <w:lang w:eastAsia="en-AU"/>
        </w:rPr>
        <w:t>Separate Orders were drafted in recognition of the specific risks associated with prescription and non-prescription medicines and their different contexts of use (i.e. prescription by a medical practitioner versus self-selection</w:t>
      </w:r>
      <w:r w:rsidR="00BB51FE">
        <w:rPr>
          <w:rFonts w:ascii="Times New Roman" w:eastAsia="Times New Roman" w:hAnsi="Times New Roman" w:cs="Times New Roman"/>
          <w:sz w:val="24"/>
          <w:szCs w:val="24"/>
          <w:lang w:eastAsia="en-AU"/>
        </w:rPr>
        <w:t xml:space="preserve"> by a consumer</w:t>
      </w:r>
      <w:r w:rsidRPr="00E128F2">
        <w:rPr>
          <w:rFonts w:ascii="Times New Roman" w:eastAsia="Times New Roman" w:hAnsi="Times New Roman" w:cs="Times New Roman"/>
          <w:sz w:val="24"/>
          <w:szCs w:val="24"/>
          <w:lang w:eastAsia="en-AU"/>
        </w:rPr>
        <w:t>).</w:t>
      </w:r>
    </w:p>
    <w:p w:rsidR="00E128F2" w:rsidRDefault="00DE2E44" w:rsidP="008F58E7">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Both O</w:t>
      </w:r>
      <w:r w:rsidR="00E128F2">
        <w:rPr>
          <w:rFonts w:ascii="Times New Roman" w:eastAsia="Times New Roman" w:hAnsi="Times New Roman" w:cs="Times New Roman"/>
          <w:sz w:val="24"/>
          <w:szCs w:val="24"/>
          <w:lang w:eastAsia="en-AU"/>
        </w:rPr>
        <w:t>rders</w:t>
      </w:r>
      <w:r w:rsidR="00E128F2" w:rsidRPr="001D31C3">
        <w:rPr>
          <w:rFonts w:ascii="Times New Roman" w:eastAsia="Times New Roman" w:hAnsi="Times New Roman" w:cs="Times New Roman"/>
          <w:sz w:val="24"/>
          <w:szCs w:val="20"/>
          <w:lang w:eastAsia="en-AU"/>
        </w:rPr>
        <w:t xml:space="preserve"> will be implemented </w:t>
      </w:r>
      <w:r w:rsidR="00766592">
        <w:rPr>
          <w:rFonts w:ascii="Times New Roman" w:eastAsia="Times New Roman" w:hAnsi="Times New Roman" w:cs="Times New Roman"/>
          <w:sz w:val="24"/>
          <w:szCs w:val="20"/>
          <w:lang w:eastAsia="en-AU"/>
        </w:rPr>
        <w:t>with</w:t>
      </w:r>
      <w:r w:rsidR="00E128F2" w:rsidRPr="001D31C3">
        <w:rPr>
          <w:rFonts w:ascii="Times New Roman" w:eastAsia="Times New Roman" w:hAnsi="Times New Roman" w:cs="Times New Roman"/>
          <w:sz w:val="24"/>
          <w:szCs w:val="20"/>
          <w:lang w:eastAsia="en-AU"/>
        </w:rPr>
        <w:t xml:space="preserve"> a</w:t>
      </w:r>
      <w:r w:rsidR="00766592">
        <w:rPr>
          <w:rFonts w:ascii="Times New Roman" w:eastAsia="Times New Roman" w:hAnsi="Times New Roman" w:cs="Times New Roman"/>
          <w:sz w:val="24"/>
          <w:szCs w:val="20"/>
          <w:lang w:eastAsia="en-AU"/>
        </w:rPr>
        <w:t xml:space="preserve"> 4-year</w:t>
      </w:r>
      <w:r w:rsidR="00E128F2" w:rsidRPr="001D31C3">
        <w:rPr>
          <w:rFonts w:ascii="Times New Roman" w:eastAsia="Times New Roman" w:hAnsi="Times New Roman" w:cs="Times New Roman"/>
          <w:sz w:val="24"/>
          <w:szCs w:val="20"/>
          <w:lang w:eastAsia="en-AU"/>
        </w:rPr>
        <w:t xml:space="preserve"> transition period. During this </w:t>
      </w:r>
      <w:r w:rsidR="001E66DE">
        <w:rPr>
          <w:rFonts w:ascii="Times New Roman" w:eastAsia="Times New Roman" w:hAnsi="Times New Roman" w:cs="Times New Roman"/>
          <w:sz w:val="24"/>
          <w:szCs w:val="20"/>
          <w:lang w:eastAsia="en-AU"/>
        </w:rPr>
        <w:t>time</w:t>
      </w:r>
      <w:r w:rsidR="00E128F2" w:rsidRPr="001D31C3">
        <w:rPr>
          <w:rFonts w:ascii="Times New Roman" w:eastAsia="Times New Roman" w:hAnsi="Times New Roman" w:cs="Times New Roman"/>
          <w:sz w:val="24"/>
          <w:szCs w:val="20"/>
          <w:lang w:eastAsia="en-AU"/>
        </w:rPr>
        <w:t>, sponsors can choose between complying with the current requirements of TGO 69 or</w:t>
      </w:r>
      <w:r w:rsidR="00BB51FE">
        <w:rPr>
          <w:rFonts w:ascii="Times New Roman" w:eastAsia="Times New Roman" w:hAnsi="Times New Roman" w:cs="Times New Roman"/>
          <w:sz w:val="24"/>
          <w:szCs w:val="20"/>
          <w:lang w:eastAsia="en-AU"/>
        </w:rPr>
        <w:t xml:space="preserve"> </w:t>
      </w:r>
      <w:r w:rsidR="00E128F2" w:rsidRPr="001D31C3">
        <w:rPr>
          <w:rFonts w:ascii="Times New Roman" w:eastAsia="Times New Roman" w:hAnsi="Times New Roman" w:cs="Times New Roman"/>
          <w:sz w:val="24"/>
          <w:szCs w:val="20"/>
          <w:lang w:eastAsia="en-AU"/>
        </w:rPr>
        <w:t>the new Order</w:t>
      </w:r>
      <w:r w:rsidR="00BB51FE">
        <w:rPr>
          <w:rFonts w:ascii="Times New Roman" w:eastAsia="Times New Roman" w:hAnsi="Times New Roman" w:cs="Times New Roman"/>
          <w:sz w:val="24"/>
          <w:szCs w:val="20"/>
          <w:lang w:eastAsia="en-AU"/>
        </w:rPr>
        <w:t xml:space="preserve"> </w:t>
      </w:r>
      <w:r w:rsidR="002C48CA">
        <w:rPr>
          <w:rFonts w:ascii="Times New Roman" w:eastAsia="Times New Roman" w:hAnsi="Times New Roman" w:cs="Times New Roman"/>
          <w:sz w:val="24"/>
          <w:szCs w:val="20"/>
          <w:lang w:eastAsia="en-AU"/>
        </w:rPr>
        <w:t>that is relevant to</w:t>
      </w:r>
      <w:r w:rsidR="00BB51FE">
        <w:rPr>
          <w:rFonts w:ascii="Times New Roman" w:eastAsia="Times New Roman" w:hAnsi="Times New Roman" w:cs="Times New Roman"/>
          <w:sz w:val="24"/>
          <w:szCs w:val="20"/>
          <w:lang w:eastAsia="en-AU"/>
        </w:rPr>
        <w:t xml:space="preserve"> their medicine</w:t>
      </w:r>
      <w:r w:rsidR="00E128F2" w:rsidRPr="001D31C3">
        <w:rPr>
          <w:rFonts w:ascii="Times New Roman" w:eastAsia="Times New Roman" w:hAnsi="Times New Roman" w:cs="Times New Roman"/>
          <w:sz w:val="24"/>
          <w:szCs w:val="20"/>
          <w:lang w:eastAsia="en-AU"/>
        </w:rPr>
        <w:t xml:space="preserve">. </w:t>
      </w:r>
      <w:r w:rsidR="003D361B">
        <w:rPr>
          <w:rFonts w:ascii="Times New Roman" w:eastAsia="Times New Roman" w:hAnsi="Times New Roman" w:cs="Times New Roman"/>
          <w:sz w:val="24"/>
          <w:szCs w:val="20"/>
          <w:lang w:eastAsia="en-AU"/>
        </w:rPr>
        <w:t>At the end of the</w:t>
      </w:r>
      <w:r w:rsidR="00E128F2">
        <w:rPr>
          <w:rFonts w:ascii="Times New Roman" w:eastAsia="Times New Roman" w:hAnsi="Times New Roman" w:cs="Times New Roman"/>
          <w:sz w:val="24"/>
          <w:szCs w:val="20"/>
          <w:lang w:eastAsia="en-AU"/>
        </w:rPr>
        <w:t xml:space="preserve"> transition period</w:t>
      </w:r>
      <w:r w:rsidR="00E128F2" w:rsidRPr="001D31C3">
        <w:rPr>
          <w:rFonts w:ascii="Times New Roman" w:eastAsia="Times New Roman" w:hAnsi="Times New Roman" w:cs="Times New Roman"/>
          <w:sz w:val="24"/>
          <w:szCs w:val="20"/>
          <w:lang w:eastAsia="en-AU"/>
        </w:rPr>
        <w:t>, all medicines supplied in Australia must be</w:t>
      </w:r>
      <w:r w:rsidR="00766592">
        <w:rPr>
          <w:rFonts w:ascii="Times New Roman" w:eastAsia="Times New Roman" w:hAnsi="Times New Roman" w:cs="Times New Roman"/>
          <w:sz w:val="24"/>
          <w:szCs w:val="20"/>
          <w:lang w:eastAsia="en-AU"/>
        </w:rPr>
        <w:t xml:space="preserve"> labelled in accordance with TGO 91</w:t>
      </w:r>
      <w:r w:rsidR="00BB51FE">
        <w:rPr>
          <w:rFonts w:ascii="Times New Roman" w:eastAsia="Times New Roman" w:hAnsi="Times New Roman" w:cs="Times New Roman"/>
          <w:sz w:val="24"/>
          <w:szCs w:val="20"/>
          <w:lang w:eastAsia="en-AU"/>
        </w:rPr>
        <w:t xml:space="preserve"> or TGO 92</w:t>
      </w:r>
      <w:r w:rsidR="002C48CA">
        <w:rPr>
          <w:rFonts w:ascii="Times New Roman" w:eastAsia="Times New Roman" w:hAnsi="Times New Roman" w:cs="Times New Roman"/>
          <w:sz w:val="24"/>
          <w:szCs w:val="20"/>
          <w:lang w:eastAsia="en-AU"/>
        </w:rPr>
        <w:t>, whichever applies</w:t>
      </w:r>
      <w:r w:rsidR="00E128F2" w:rsidRPr="001D31C3">
        <w:rPr>
          <w:rFonts w:ascii="Times New Roman" w:eastAsia="Times New Roman" w:hAnsi="Times New Roman" w:cs="Times New Roman"/>
          <w:sz w:val="24"/>
          <w:szCs w:val="20"/>
          <w:lang w:eastAsia="en-AU"/>
        </w:rPr>
        <w:t xml:space="preserve">. </w:t>
      </w:r>
    </w:p>
    <w:p w:rsidR="006619CF" w:rsidRDefault="00DE2E44" w:rsidP="008F58E7">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Pr="0096702D">
        <w:rPr>
          <w:rFonts w:ascii="Times New Roman" w:eastAsia="Times New Roman" w:hAnsi="Times New Roman" w:cs="Times New Roman"/>
          <w:sz w:val="24"/>
          <w:szCs w:val="24"/>
          <w:lang w:eastAsia="en-AU"/>
        </w:rPr>
        <w:t xml:space="preserve"> </w:t>
      </w:r>
      <w:r w:rsidR="007A282F" w:rsidRPr="0096702D">
        <w:rPr>
          <w:rFonts w:ascii="Times New Roman" w:eastAsia="Times New Roman" w:hAnsi="Times New Roman" w:cs="Times New Roman"/>
          <w:sz w:val="24"/>
          <w:szCs w:val="24"/>
          <w:lang w:eastAsia="en-AU"/>
        </w:rPr>
        <w:t>amendments</w:t>
      </w:r>
      <w:r w:rsidR="002C48CA">
        <w:rPr>
          <w:rFonts w:ascii="Times New Roman" w:eastAsia="Times New Roman" w:hAnsi="Times New Roman" w:cs="Times New Roman"/>
          <w:sz w:val="24"/>
          <w:szCs w:val="24"/>
          <w:lang w:eastAsia="en-AU"/>
        </w:rPr>
        <w:t xml:space="preserve"> to the requirements for labels of prescription and related medicines</w:t>
      </w:r>
      <w:r w:rsidR="007A282F" w:rsidRPr="0096702D">
        <w:rPr>
          <w:rFonts w:ascii="Times New Roman" w:eastAsia="Times New Roman" w:hAnsi="Times New Roman" w:cs="Times New Roman"/>
          <w:sz w:val="24"/>
          <w:szCs w:val="24"/>
          <w:lang w:eastAsia="en-AU"/>
        </w:rPr>
        <w:t xml:space="preserve"> involve substantial policy changes to better align with current international best practice for medicine labelling</w:t>
      </w:r>
      <w:r w:rsidR="007A282F">
        <w:rPr>
          <w:rFonts w:ascii="Times New Roman" w:eastAsia="Times New Roman" w:hAnsi="Times New Roman" w:cs="Times New Roman"/>
          <w:sz w:val="24"/>
          <w:szCs w:val="24"/>
          <w:lang w:eastAsia="en-AU"/>
        </w:rPr>
        <w:t>.</w:t>
      </w:r>
      <w:r w:rsidR="007A282F" w:rsidRPr="0096702D">
        <w:rPr>
          <w:rFonts w:ascii="Times New Roman" w:eastAsia="Times New Roman" w:hAnsi="Times New Roman" w:cs="Times New Roman"/>
          <w:sz w:val="24"/>
          <w:szCs w:val="24"/>
          <w:lang w:eastAsia="en-AU"/>
        </w:rPr>
        <w:t xml:space="preserve"> </w:t>
      </w:r>
      <w:r w:rsidR="003D361B">
        <w:rPr>
          <w:rFonts w:ascii="Times New Roman" w:eastAsia="Times New Roman" w:hAnsi="Times New Roman" w:cs="Times New Roman"/>
          <w:sz w:val="24"/>
          <w:szCs w:val="24"/>
          <w:lang w:eastAsia="en-AU"/>
        </w:rPr>
        <w:t>Key</w:t>
      </w:r>
      <w:r w:rsidR="003D361B" w:rsidRPr="0096702D">
        <w:rPr>
          <w:rFonts w:ascii="Times New Roman" w:eastAsia="Times New Roman" w:hAnsi="Times New Roman" w:cs="Times New Roman"/>
          <w:sz w:val="24"/>
          <w:szCs w:val="24"/>
          <w:lang w:eastAsia="en-AU"/>
        </w:rPr>
        <w:t xml:space="preserve"> </w:t>
      </w:r>
      <w:r w:rsidR="00A84AA6" w:rsidRPr="0096702D">
        <w:rPr>
          <w:rFonts w:ascii="Times New Roman" w:eastAsia="Times New Roman" w:hAnsi="Times New Roman" w:cs="Times New Roman"/>
          <w:sz w:val="24"/>
          <w:szCs w:val="24"/>
          <w:lang w:eastAsia="en-AU"/>
        </w:rPr>
        <w:t>changes include:</w:t>
      </w:r>
    </w:p>
    <w:p w:rsidR="00A84AA6" w:rsidRPr="00A84AA6" w:rsidRDefault="00A84AA6" w:rsidP="00A84AA6">
      <w:pPr>
        <w:numPr>
          <w:ilvl w:val="0"/>
          <w:numId w:val="1"/>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 xml:space="preserve">Increased prominence and consistent location of information on active ingredients </w:t>
      </w:r>
      <w:r w:rsidR="00BA3DF2">
        <w:rPr>
          <w:rFonts w:ascii="Times New Roman" w:eastAsia="Times New Roman" w:hAnsi="Times New Roman" w:cs="Times New Roman"/>
          <w:sz w:val="24"/>
          <w:szCs w:val="24"/>
          <w:lang w:eastAsia="en-AU"/>
        </w:rPr>
        <w:t>to facilitate product identification and reduce the opportunity for error</w:t>
      </w:r>
      <w:r w:rsidR="00BA3DF2" w:rsidRPr="00A84AA6">
        <w:rPr>
          <w:rFonts w:ascii="Times New Roman" w:eastAsia="Times New Roman" w:hAnsi="Times New Roman" w:cs="Times New Roman"/>
          <w:sz w:val="24"/>
          <w:szCs w:val="24"/>
          <w:lang w:eastAsia="en-AU"/>
        </w:rPr>
        <w:t xml:space="preserve"> </w:t>
      </w:r>
      <w:r w:rsidRPr="00A84AA6">
        <w:rPr>
          <w:rFonts w:ascii="Times New Roman" w:eastAsia="Times New Roman" w:hAnsi="Times New Roman" w:cs="Times New Roman"/>
          <w:sz w:val="24"/>
          <w:szCs w:val="24"/>
          <w:lang w:eastAsia="en-AU"/>
        </w:rPr>
        <w:t>(noting the minimum text height for all other information is 1.5 millimetres)</w:t>
      </w:r>
      <w:r w:rsidR="00766592">
        <w:rPr>
          <w:rFonts w:ascii="Times New Roman" w:eastAsia="Times New Roman" w:hAnsi="Times New Roman" w:cs="Times New Roman"/>
          <w:sz w:val="24"/>
          <w:szCs w:val="24"/>
          <w:lang w:eastAsia="en-AU"/>
        </w:rPr>
        <w:t>. This includes:</w:t>
      </w:r>
    </w:p>
    <w:p w:rsidR="00BB51FE" w:rsidRDefault="00A84AA6" w:rsidP="00A84AA6">
      <w:pPr>
        <w:pStyle w:val="ListBullet"/>
        <w:numPr>
          <w:ilvl w:val="0"/>
          <w:numId w:val="3"/>
        </w:numPr>
        <w:rPr>
          <w:rFonts w:ascii="Times New Roman" w:eastAsia="Times New Roman" w:hAnsi="Times New Roman"/>
          <w:sz w:val="24"/>
          <w:szCs w:val="24"/>
          <w:lang w:eastAsia="en-AU"/>
        </w:rPr>
      </w:pPr>
      <w:r w:rsidRPr="00D44D37">
        <w:rPr>
          <w:rFonts w:ascii="Times New Roman" w:eastAsia="Times New Roman" w:hAnsi="Times New Roman"/>
          <w:sz w:val="24"/>
          <w:szCs w:val="24"/>
          <w:lang w:eastAsia="en-AU"/>
        </w:rPr>
        <w:t>introduction of new requirement</w:t>
      </w:r>
      <w:r w:rsidR="001E66DE">
        <w:rPr>
          <w:rFonts w:ascii="Times New Roman" w:eastAsia="Times New Roman" w:hAnsi="Times New Roman"/>
          <w:sz w:val="24"/>
          <w:szCs w:val="24"/>
          <w:lang w:eastAsia="en-AU"/>
        </w:rPr>
        <w:t>s</w:t>
      </w:r>
      <w:r w:rsidRPr="00D44D37">
        <w:rPr>
          <w:rFonts w:ascii="Times New Roman" w:eastAsia="Times New Roman" w:hAnsi="Times New Roman"/>
          <w:sz w:val="24"/>
          <w:szCs w:val="24"/>
          <w:lang w:eastAsia="en-AU"/>
        </w:rPr>
        <w:t xml:space="preserve"> </w:t>
      </w:r>
      <w:r w:rsidR="001E66DE">
        <w:rPr>
          <w:rFonts w:ascii="Times New Roman" w:eastAsia="Times New Roman" w:hAnsi="Times New Roman"/>
          <w:sz w:val="24"/>
          <w:szCs w:val="24"/>
          <w:lang w:eastAsia="en-AU"/>
        </w:rPr>
        <w:t>for</w:t>
      </w:r>
      <w:r w:rsidR="001E66DE" w:rsidRPr="00D44D37">
        <w:rPr>
          <w:rFonts w:ascii="Times New Roman" w:eastAsia="Times New Roman" w:hAnsi="Times New Roman"/>
          <w:sz w:val="24"/>
          <w:szCs w:val="24"/>
          <w:lang w:eastAsia="en-AU"/>
        </w:rPr>
        <w:t xml:space="preserve"> </w:t>
      </w:r>
      <w:r w:rsidRPr="00D44D37">
        <w:rPr>
          <w:rFonts w:ascii="Times New Roman" w:eastAsia="Times New Roman" w:hAnsi="Times New Roman"/>
          <w:sz w:val="24"/>
          <w:szCs w:val="24"/>
          <w:lang w:eastAsia="en-AU"/>
        </w:rPr>
        <w:t>the name(s) and quantities of active ingredient(s)</w:t>
      </w:r>
      <w:r w:rsidR="00BB51FE">
        <w:rPr>
          <w:rFonts w:ascii="Times New Roman" w:eastAsia="Times New Roman" w:hAnsi="Times New Roman"/>
          <w:sz w:val="24"/>
          <w:szCs w:val="24"/>
          <w:lang w:eastAsia="en-AU"/>
        </w:rPr>
        <w:t>:</w:t>
      </w:r>
    </w:p>
    <w:p w:rsidR="00A84AA6" w:rsidRPr="00D44D37" w:rsidRDefault="00A84AA6" w:rsidP="00BC490F">
      <w:pPr>
        <w:pStyle w:val="ListBullet"/>
        <w:numPr>
          <w:ilvl w:val="1"/>
          <w:numId w:val="3"/>
        </w:numPr>
        <w:rPr>
          <w:rFonts w:ascii="Times New Roman" w:eastAsia="Times New Roman" w:hAnsi="Times New Roman"/>
          <w:sz w:val="24"/>
          <w:szCs w:val="24"/>
          <w:lang w:eastAsia="en-AU"/>
        </w:rPr>
      </w:pPr>
      <w:r w:rsidRPr="00D44D37">
        <w:rPr>
          <w:rFonts w:ascii="Times New Roman" w:eastAsia="Times New Roman" w:hAnsi="Times New Roman"/>
          <w:sz w:val="24"/>
          <w:szCs w:val="24"/>
          <w:lang w:eastAsia="en-AU"/>
        </w:rPr>
        <w:lastRenderedPageBreak/>
        <w:t xml:space="preserve">a minimum text size of 3.0 millimetres on the </w:t>
      </w:r>
      <w:r w:rsidR="001E66DE">
        <w:rPr>
          <w:rFonts w:ascii="Times New Roman" w:eastAsia="Times New Roman" w:hAnsi="Times New Roman"/>
          <w:sz w:val="24"/>
          <w:szCs w:val="24"/>
          <w:lang w:eastAsia="en-AU"/>
        </w:rPr>
        <w:t>main label</w:t>
      </w:r>
      <w:r w:rsidRPr="00D44D37">
        <w:rPr>
          <w:rFonts w:ascii="Times New Roman" w:eastAsia="Times New Roman" w:hAnsi="Times New Roman"/>
          <w:sz w:val="24"/>
          <w:szCs w:val="24"/>
          <w:lang w:eastAsia="en-AU"/>
        </w:rPr>
        <w:t>, placed either directly under or adjacent to the trade name; or</w:t>
      </w:r>
    </w:p>
    <w:p w:rsidR="00A84AA6" w:rsidRPr="00B376BB" w:rsidRDefault="00A84AA6" w:rsidP="00BC490F">
      <w:pPr>
        <w:pStyle w:val="ListBullet"/>
        <w:numPr>
          <w:ilvl w:val="1"/>
          <w:numId w:val="3"/>
        </w:numPr>
        <w:rPr>
          <w:sz w:val="24"/>
          <w:szCs w:val="24"/>
          <w:lang w:eastAsia="en-AU"/>
        </w:rPr>
      </w:pPr>
      <w:r w:rsidRPr="00B376BB">
        <w:rPr>
          <w:rFonts w:ascii="Times New Roman" w:eastAsia="Times New Roman" w:hAnsi="Times New Roman"/>
          <w:sz w:val="24"/>
          <w:szCs w:val="24"/>
          <w:lang w:eastAsia="en-AU"/>
        </w:rPr>
        <w:t>for a medicine containing four or more active ingredients, in a minimum text size of 2.5 millimetres on a side or rear panel; or</w:t>
      </w:r>
    </w:p>
    <w:p w:rsidR="00A84AA6" w:rsidRPr="00B376BB" w:rsidRDefault="00A84AA6" w:rsidP="00BC490F">
      <w:pPr>
        <w:pStyle w:val="ListParagraph"/>
        <w:numPr>
          <w:ilvl w:val="1"/>
          <w:numId w:val="3"/>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B376BB">
        <w:rPr>
          <w:rFonts w:ascii="Times New Roman" w:eastAsia="Times New Roman" w:hAnsi="Times New Roman" w:cs="Times New Roman"/>
          <w:sz w:val="24"/>
          <w:szCs w:val="24"/>
          <w:lang w:eastAsia="en-AU"/>
        </w:rPr>
        <w:t xml:space="preserve">for a medicine supplied in a small container (i.e. containers with a capacity up to or equal to 25 millilitres but greater than </w:t>
      </w:r>
      <w:r w:rsidR="001E66DE">
        <w:rPr>
          <w:rFonts w:ascii="Times New Roman" w:eastAsia="Times New Roman" w:hAnsi="Times New Roman" w:cs="Times New Roman"/>
          <w:sz w:val="24"/>
          <w:szCs w:val="24"/>
          <w:lang w:eastAsia="en-AU"/>
        </w:rPr>
        <w:t>3.0</w:t>
      </w:r>
      <w:r w:rsidRPr="00B376BB">
        <w:rPr>
          <w:rFonts w:ascii="Times New Roman" w:eastAsia="Times New Roman" w:hAnsi="Times New Roman" w:cs="Times New Roman"/>
          <w:sz w:val="24"/>
          <w:szCs w:val="24"/>
          <w:lang w:eastAsia="en-AU"/>
        </w:rPr>
        <w:t xml:space="preserve"> millilitres)</w:t>
      </w:r>
      <w:r w:rsidR="00043196">
        <w:rPr>
          <w:rFonts w:ascii="Times New Roman" w:eastAsia="Times New Roman" w:hAnsi="Times New Roman" w:cs="Times New Roman"/>
          <w:sz w:val="24"/>
          <w:szCs w:val="24"/>
          <w:lang w:eastAsia="en-AU"/>
        </w:rPr>
        <w:t xml:space="preserve">, the name of the </w:t>
      </w:r>
      <w:r w:rsidR="001E66DE">
        <w:rPr>
          <w:rFonts w:ascii="Times New Roman" w:eastAsia="Times New Roman" w:hAnsi="Times New Roman" w:cs="Times New Roman"/>
          <w:sz w:val="24"/>
          <w:szCs w:val="24"/>
          <w:lang w:eastAsia="en-AU"/>
        </w:rPr>
        <w:t xml:space="preserve">medicine and the name of all </w:t>
      </w:r>
      <w:r w:rsidR="00043196">
        <w:rPr>
          <w:rFonts w:ascii="Times New Roman" w:eastAsia="Times New Roman" w:hAnsi="Times New Roman" w:cs="Times New Roman"/>
          <w:sz w:val="24"/>
          <w:szCs w:val="24"/>
          <w:lang w:eastAsia="en-AU"/>
        </w:rPr>
        <w:t>active ingredient</w:t>
      </w:r>
      <w:r w:rsidR="001E66DE">
        <w:rPr>
          <w:rFonts w:ascii="Times New Roman" w:eastAsia="Times New Roman" w:hAnsi="Times New Roman" w:cs="Times New Roman"/>
          <w:sz w:val="24"/>
          <w:szCs w:val="24"/>
          <w:lang w:eastAsia="en-AU"/>
        </w:rPr>
        <w:t>s</w:t>
      </w:r>
      <w:r w:rsidRPr="00B376BB">
        <w:rPr>
          <w:rFonts w:ascii="Times New Roman" w:eastAsia="Times New Roman" w:hAnsi="Times New Roman" w:cs="Times New Roman"/>
          <w:sz w:val="24"/>
          <w:szCs w:val="24"/>
          <w:lang w:eastAsia="en-AU"/>
        </w:rPr>
        <w:t xml:space="preserve"> in a minimum text size of 2.0 millimetres</w:t>
      </w:r>
      <w:r w:rsidR="00043196">
        <w:rPr>
          <w:rFonts w:ascii="Times New Roman" w:eastAsia="Times New Roman" w:hAnsi="Times New Roman" w:cs="Times New Roman"/>
          <w:sz w:val="24"/>
          <w:szCs w:val="24"/>
          <w:lang w:eastAsia="en-AU"/>
        </w:rPr>
        <w:t>.</w:t>
      </w:r>
    </w:p>
    <w:p w:rsidR="00DE2E44" w:rsidRDefault="00A84AA6" w:rsidP="00BA3DF2">
      <w:pPr>
        <w:numPr>
          <w:ilvl w:val="0"/>
          <w:numId w:val="1"/>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766592">
        <w:rPr>
          <w:rFonts w:ascii="Times New Roman" w:eastAsia="Times New Roman" w:hAnsi="Times New Roman" w:cs="Times New Roman"/>
          <w:sz w:val="24"/>
          <w:szCs w:val="24"/>
          <w:lang w:eastAsia="en-AU"/>
        </w:rPr>
        <w:t xml:space="preserve">New requirements for declarations of certain substances (e.g. </w:t>
      </w:r>
      <w:proofErr w:type="spellStart"/>
      <w:r w:rsidRPr="00766592">
        <w:rPr>
          <w:rFonts w:ascii="Times New Roman" w:eastAsia="Times New Roman" w:hAnsi="Times New Roman" w:cs="Times New Roman"/>
          <w:sz w:val="24"/>
          <w:szCs w:val="24"/>
          <w:lang w:eastAsia="en-AU"/>
        </w:rPr>
        <w:t>crustacea</w:t>
      </w:r>
      <w:proofErr w:type="spellEnd"/>
      <w:r w:rsidRPr="00766592">
        <w:rPr>
          <w:rFonts w:ascii="Times New Roman" w:eastAsia="Times New Roman" w:hAnsi="Times New Roman" w:cs="Times New Roman"/>
          <w:sz w:val="24"/>
          <w:szCs w:val="24"/>
          <w:lang w:eastAsia="en-AU"/>
        </w:rPr>
        <w:t>, fis</w:t>
      </w:r>
      <w:r w:rsidR="00DE0F33" w:rsidRPr="00766592">
        <w:rPr>
          <w:rFonts w:ascii="Times New Roman" w:eastAsia="Times New Roman" w:hAnsi="Times New Roman" w:cs="Times New Roman"/>
          <w:sz w:val="24"/>
          <w:szCs w:val="24"/>
          <w:lang w:eastAsia="en-AU"/>
        </w:rPr>
        <w:t xml:space="preserve">h, eggs, soya, milk, tree nuts). </w:t>
      </w:r>
      <w:r w:rsidRPr="003D361B">
        <w:rPr>
          <w:rFonts w:ascii="Times New Roman" w:eastAsia="Times New Roman" w:hAnsi="Times New Roman" w:cs="Times New Roman"/>
          <w:sz w:val="24"/>
          <w:szCs w:val="24"/>
          <w:lang w:eastAsia="en-AU"/>
        </w:rPr>
        <w:t xml:space="preserve">The cut off for declaring gluten has also been modified and aligns with Food Standards Australia and New Zealand. </w:t>
      </w:r>
    </w:p>
    <w:p w:rsidR="00DE2E44" w:rsidRPr="005B2E7B" w:rsidRDefault="00DE2E44" w:rsidP="00DE2E44">
      <w:pPr>
        <w:numPr>
          <w:ilvl w:val="0"/>
          <w:numId w:val="1"/>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DE2E44">
        <w:rPr>
          <w:rFonts w:ascii="Times New Roman" w:eastAsia="Times New Roman" w:hAnsi="Times New Roman" w:cs="Times New Roman"/>
          <w:sz w:val="24"/>
          <w:szCs w:val="24"/>
          <w:lang w:eastAsia="en-AU"/>
        </w:rPr>
        <w:t xml:space="preserve">Introduction of a new requirement such that Schedule 1 </w:t>
      </w:r>
      <w:proofErr w:type="gramStart"/>
      <w:r w:rsidRPr="00DE2E44">
        <w:rPr>
          <w:rFonts w:ascii="Times New Roman" w:eastAsia="Times New Roman" w:hAnsi="Times New Roman" w:cs="Times New Roman"/>
          <w:sz w:val="24"/>
          <w:szCs w:val="24"/>
          <w:lang w:eastAsia="en-AU"/>
        </w:rPr>
        <w:t>substances</w:t>
      </w:r>
      <w:proofErr w:type="gramEnd"/>
      <w:r w:rsidRPr="00DE2E44">
        <w:rPr>
          <w:rFonts w:ascii="Times New Roman" w:eastAsia="Times New Roman" w:hAnsi="Times New Roman" w:cs="Times New Roman"/>
          <w:sz w:val="24"/>
          <w:szCs w:val="24"/>
          <w:lang w:eastAsia="en-AU"/>
        </w:rPr>
        <w:t xml:space="preserve"> must be declared on the label or identified by a statement that directs consumers to the Consumer Medicine Information. </w:t>
      </w:r>
      <w:r w:rsidRPr="003D361B">
        <w:rPr>
          <w:rFonts w:ascii="Times New Roman" w:eastAsia="Times New Roman" w:hAnsi="Times New Roman" w:cs="Times New Roman"/>
          <w:sz w:val="24"/>
          <w:szCs w:val="24"/>
          <w:lang w:eastAsia="en-AU"/>
        </w:rPr>
        <w:t xml:space="preserve">The current TGO 69 requirements for declaration of Schedule 1 substances do not </w:t>
      </w:r>
      <w:r w:rsidR="00B315DD">
        <w:rPr>
          <w:rFonts w:ascii="Times New Roman" w:eastAsia="Times New Roman" w:hAnsi="Times New Roman" w:cs="Times New Roman"/>
          <w:sz w:val="24"/>
          <w:szCs w:val="24"/>
          <w:lang w:eastAsia="en-AU"/>
        </w:rPr>
        <w:t>apply to prescription medicines</w:t>
      </w:r>
      <w:r w:rsidRPr="003D361B">
        <w:rPr>
          <w:rFonts w:ascii="Times New Roman" w:eastAsia="Times New Roman" w:hAnsi="Times New Roman" w:cs="Times New Roman"/>
          <w:sz w:val="24"/>
          <w:szCs w:val="24"/>
          <w:lang w:eastAsia="en-AU"/>
        </w:rPr>
        <w:t xml:space="preserve">. </w:t>
      </w:r>
      <w:r w:rsidRPr="005B2E7B">
        <w:rPr>
          <w:rFonts w:ascii="Times New Roman" w:eastAsia="Times New Roman" w:hAnsi="Times New Roman" w:cs="Times New Roman"/>
          <w:sz w:val="24"/>
          <w:szCs w:val="24"/>
          <w:lang w:eastAsia="en-AU"/>
        </w:rPr>
        <w:t xml:space="preserve"> </w:t>
      </w:r>
    </w:p>
    <w:p w:rsidR="00A84AA6" w:rsidRPr="00766592" w:rsidRDefault="00BA3DF2" w:rsidP="005B2E7B">
      <w:pPr>
        <w:shd w:val="clear" w:color="auto" w:fill="FFFFFF"/>
        <w:spacing w:before="100" w:beforeAutospacing="1" w:after="120" w:line="240" w:lineRule="auto"/>
        <w:ind w:left="360"/>
        <w:rPr>
          <w:rFonts w:ascii="Times New Roman" w:eastAsia="Times New Roman" w:hAnsi="Times New Roman" w:cs="Times New Roman"/>
          <w:sz w:val="24"/>
          <w:szCs w:val="24"/>
          <w:lang w:eastAsia="en-AU"/>
        </w:rPr>
      </w:pPr>
      <w:r w:rsidRPr="00766592">
        <w:rPr>
          <w:rFonts w:ascii="Times New Roman" w:eastAsia="Times New Roman" w:hAnsi="Times New Roman" w:cs="Times New Roman"/>
          <w:sz w:val="24"/>
          <w:szCs w:val="24"/>
          <w:lang w:eastAsia="en-AU"/>
        </w:rPr>
        <w:t xml:space="preserve">The purpose of these requirements is to </w:t>
      </w:r>
      <w:r w:rsidR="002C48CA">
        <w:rPr>
          <w:rFonts w:ascii="Times New Roman" w:eastAsia="Times New Roman" w:hAnsi="Times New Roman" w:cs="Times New Roman"/>
          <w:sz w:val="24"/>
          <w:szCs w:val="24"/>
          <w:lang w:eastAsia="en-AU"/>
        </w:rPr>
        <w:t>improve</w:t>
      </w:r>
      <w:r w:rsidRPr="00766592">
        <w:rPr>
          <w:rFonts w:ascii="Times New Roman" w:eastAsia="Times New Roman" w:hAnsi="Times New Roman" w:cs="Times New Roman"/>
          <w:sz w:val="24"/>
          <w:szCs w:val="24"/>
          <w:lang w:eastAsia="en-AU"/>
        </w:rPr>
        <w:t xml:space="preserve"> public safety because these substances have the potential to cause severe allergic reactions or result in other serious adverse health consequences in </w:t>
      </w:r>
      <w:r w:rsidR="00766592">
        <w:rPr>
          <w:rFonts w:ascii="Times New Roman" w:eastAsia="Times New Roman" w:hAnsi="Times New Roman" w:cs="Times New Roman"/>
          <w:sz w:val="24"/>
          <w:szCs w:val="24"/>
          <w:lang w:eastAsia="en-AU"/>
        </w:rPr>
        <w:t>some</w:t>
      </w:r>
      <w:r w:rsidRPr="00766592">
        <w:rPr>
          <w:rFonts w:ascii="Times New Roman" w:eastAsia="Times New Roman" w:hAnsi="Times New Roman" w:cs="Times New Roman"/>
          <w:sz w:val="24"/>
          <w:szCs w:val="24"/>
          <w:lang w:eastAsia="en-AU"/>
        </w:rPr>
        <w:t xml:space="preserve"> individuals.</w:t>
      </w:r>
    </w:p>
    <w:p w:rsidR="00A84AA6" w:rsidRPr="00A84AA6" w:rsidRDefault="00A84AA6" w:rsidP="00A84AA6">
      <w:pPr>
        <w:numPr>
          <w:ilvl w:val="0"/>
          <w:numId w:val="2"/>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 xml:space="preserve">Introduction of a new requirement for a defined space to be made available for a dispensing label. </w:t>
      </w:r>
      <w:r w:rsidR="009538CC">
        <w:rPr>
          <w:rFonts w:ascii="Times New Roman" w:eastAsia="Times New Roman" w:hAnsi="Times New Roman" w:cs="Times New Roman"/>
          <w:sz w:val="24"/>
          <w:szCs w:val="24"/>
          <w:lang w:eastAsia="en-AU"/>
        </w:rPr>
        <w:t>The purpose of this</w:t>
      </w:r>
      <w:r w:rsidR="009538CC" w:rsidRPr="00A84AA6">
        <w:rPr>
          <w:rFonts w:ascii="Times New Roman" w:eastAsia="Times New Roman" w:hAnsi="Times New Roman" w:cs="Times New Roman"/>
          <w:sz w:val="24"/>
          <w:szCs w:val="24"/>
          <w:lang w:eastAsia="en-AU"/>
        </w:rPr>
        <w:t xml:space="preserve"> </w:t>
      </w:r>
      <w:r w:rsidRPr="00A84AA6">
        <w:rPr>
          <w:rFonts w:ascii="Times New Roman" w:eastAsia="Times New Roman" w:hAnsi="Times New Roman" w:cs="Times New Roman"/>
          <w:sz w:val="24"/>
          <w:szCs w:val="24"/>
          <w:lang w:eastAsia="en-AU"/>
        </w:rPr>
        <w:t xml:space="preserve">is to ensure that </w:t>
      </w:r>
      <w:r w:rsidR="001E66DE">
        <w:rPr>
          <w:rFonts w:ascii="Times New Roman" w:eastAsia="Times New Roman" w:hAnsi="Times New Roman" w:cs="Times New Roman"/>
          <w:sz w:val="24"/>
          <w:szCs w:val="24"/>
          <w:lang w:eastAsia="en-AU"/>
        </w:rPr>
        <w:t>other</w:t>
      </w:r>
      <w:r w:rsidR="001E66DE" w:rsidRPr="00A84AA6">
        <w:rPr>
          <w:rFonts w:ascii="Times New Roman" w:eastAsia="Times New Roman" w:hAnsi="Times New Roman" w:cs="Times New Roman"/>
          <w:sz w:val="24"/>
          <w:szCs w:val="24"/>
          <w:lang w:eastAsia="en-AU"/>
        </w:rPr>
        <w:t xml:space="preserve"> </w:t>
      </w:r>
      <w:r w:rsidRPr="00A84AA6">
        <w:rPr>
          <w:rFonts w:ascii="Times New Roman" w:eastAsia="Times New Roman" w:hAnsi="Times New Roman" w:cs="Times New Roman"/>
          <w:sz w:val="24"/>
          <w:szCs w:val="24"/>
          <w:lang w:eastAsia="en-AU"/>
        </w:rPr>
        <w:t xml:space="preserve">information is not covered up </w:t>
      </w:r>
      <w:r w:rsidR="001E66DE">
        <w:rPr>
          <w:rFonts w:ascii="Times New Roman" w:eastAsia="Times New Roman" w:hAnsi="Times New Roman" w:cs="Times New Roman"/>
          <w:sz w:val="24"/>
          <w:szCs w:val="24"/>
          <w:lang w:eastAsia="en-AU"/>
        </w:rPr>
        <w:t>when a</w:t>
      </w:r>
      <w:r w:rsidRPr="00A84AA6">
        <w:rPr>
          <w:rFonts w:ascii="Times New Roman" w:eastAsia="Times New Roman" w:hAnsi="Times New Roman" w:cs="Times New Roman"/>
          <w:sz w:val="24"/>
          <w:szCs w:val="24"/>
          <w:lang w:eastAsia="en-AU"/>
        </w:rPr>
        <w:t xml:space="preserve"> dispensing label</w:t>
      </w:r>
      <w:r w:rsidR="001E66DE">
        <w:rPr>
          <w:rFonts w:ascii="Times New Roman" w:eastAsia="Times New Roman" w:hAnsi="Times New Roman" w:cs="Times New Roman"/>
          <w:sz w:val="24"/>
          <w:szCs w:val="24"/>
          <w:lang w:eastAsia="en-AU"/>
        </w:rPr>
        <w:t xml:space="preserve"> is applied by a pharmacist</w:t>
      </w:r>
      <w:r w:rsidRPr="00A84AA6">
        <w:rPr>
          <w:rFonts w:ascii="Times New Roman" w:eastAsia="Times New Roman" w:hAnsi="Times New Roman" w:cs="Times New Roman"/>
          <w:sz w:val="24"/>
          <w:szCs w:val="24"/>
          <w:lang w:eastAsia="en-AU"/>
        </w:rPr>
        <w:t>.</w:t>
      </w:r>
    </w:p>
    <w:p w:rsidR="006619CF" w:rsidRPr="00A84AA6" w:rsidRDefault="00A84AA6" w:rsidP="008F58E7">
      <w:pPr>
        <w:numPr>
          <w:ilvl w:val="0"/>
          <w:numId w:val="2"/>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Introduction of a new requirement for inclusion of a machine-readable code</w:t>
      </w:r>
      <w:r w:rsidR="009538CC">
        <w:rPr>
          <w:rFonts w:ascii="Times New Roman" w:eastAsia="Times New Roman" w:hAnsi="Times New Roman" w:cs="Times New Roman"/>
          <w:sz w:val="24"/>
          <w:szCs w:val="24"/>
          <w:lang w:eastAsia="en-AU"/>
        </w:rPr>
        <w:t xml:space="preserve">. The purpose of this requirement is to </w:t>
      </w:r>
      <w:r w:rsidR="00DE2E44">
        <w:rPr>
          <w:rFonts w:ascii="Times New Roman" w:eastAsia="Times New Roman" w:hAnsi="Times New Roman" w:cs="Times New Roman"/>
          <w:sz w:val="24"/>
          <w:szCs w:val="24"/>
          <w:lang w:eastAsia="en-AU"/>
        </w:rPr>
        <w:t xml:space="preserve">more closely </w:t>
      </w:r>
      <w:r w:rsidR="009538CC">
        <w:rPr>
          <w:rFonts w:ascii="Times New Roman" w:eastAsia="Times New Roman" w:hAnsi="Times New Roman" w:cs="Times New Roman"/>
          <w:sz w:val="24"/>
          <w:szCs w:val="24"/>
          <w:lang w:eastAsia="en-AU"/>
        </w:rPr>
        <w:t xml:space="preserve">align </w:t>
      </w:r>
      <w:r w:rsidR="00DE2E44">
        <w:rPr>
          <w:rFonts w:ascii="Times New Roman" w:eastAsia="Times New Roman" w:hAnsi="Times New Roman" w:cs="Times New Roman"/>
          <w:sz w:val="24"/>
          <w:szCs w:val="24"/>
          <w:lang w:eastAsia="en-AU"/>
        </w:rPr>
        <w:t>with international requirements, noting that</w:t>
      </w:r>
      <w:r w:rsidR="009538CC">
        <w:rPr>
          <w:rFonts w:ascii="Times New Roman" w:eastAsia="Times New Roman" w:hAnsi="Times New Roman" w:cs="Times New Roman"/>
          <w:sz w:val="24"/>
          <w:szCs w:val="24"/>
          <w:lang w:eastAsia="en-AU"/>
        </w:rPr>
        <w:t xml:space="preserve"> </w:t>
      </w:r>
      <w:r w:rsidR="003B024B">
        <w:rPr>
          <w:rFonts w:ascii="Times New Roman" w:eastAsia="Times New Roman" w:hAnsi="Times New Roman" w:cs="Times New Roman"/>
          <w:sz w:val="24"/>
          <w:szCs w:val="24"/>
          <w:lang w:eastAsia="en-AU"/>
        </w:rPr>
        <w:t>this</w:t>
      </w:r>
      <w:r w:rsidR="009538CC">
        <w:rPr>
          <w:rFonts w:ascii="Times New Roman" w:eastAsia="Times New Roman" w:hAnsi="Times New Roman" w:cs="Times New Roman"/>
          <w:sz w:val="24"/>
          <w:szCs w:val="24"/>
          <w:lang w:eastAsia="en-AU"/>
        </w:rPr>
        <w:t xml:space="preserve"> </w:t>
      </w:r>
      <w:r w:rsidR="001E66DE">
        <w:rPr>
          <w:rFonts w:ascii="Times New Roman" w:eastAsia="Times New Roman" w:hAnsi="Times New Roman" w:cs="Times New Roman"/>
          <w:sz w:val="24"/>
          <w:szCs w:val="24"/>
          <w:lang w:eastAsia="en-AU"/>
        </w:rPr>
        <w:t>will</w:t>
      </w:r>
      <w:r w:rsidRPr="00A84AA6">
        <w:rPr>
          <w:rFonts w:ascii="Times New Roman" w:eastAsia="Times New Roman" w:hAnsi="Times New Roman" w:cs="Times New Roman"/>
          <w:sz w:val="24"/>
          <w:szCs w:val="24"/>
          <w:lang w:eastAsia="en-AU"/>
        </w:rPr>
        <w:t xml:space="preserve"> not preclude future convergence with the international serialisation </w:t>
      </w:r>
      <w:r w:rsidR="00DE2E44" w:rsidRPr="00A84AA6">
        <w:rPr>
          <w:rFonts w:ascii="Times New Roman" w:eastAsia="Times New Roman" w:hAnsi="Times New Roman" w:cs="Times New Roman"/>
          <w:sz w:val="24"/>
          <w:szCs w:val="24"/>
          <w:lang w:eastAsia="en-AU"/>
        </w:rPr>
        <w:t xml:space="preserve">requirements </w:t>
      </w:r>
      <w:r w:rsidR="003B024B">
        <w:rPr>
          <w:rFonts w:ascii="Times New Roman" w:eastAsia="Times New Roman" w:hAnsi="Times New Roman" w:cs="Times New Roman"/>
          <w:sz w:val="24"/>
          <w:szCs w:val="24"/>
          <w:lang w:eastAsia="en-AU"/>
        </w:rPr>
        <w:t>for</w:t>
      </w:r>
      <w:r w:rsidR="003B024B" w:rsidRPr="00A84AA6">
        <w:rPr>
          <w:rFonts w:ascii="Times New Roman" w:eastAsia="Times New Roman" w:hAnsi="Times New Roman" w:cs="Times New Roman"/>
          <w:sz w:val="24"/>
          <w:szCs w:val="24"/>
          <w:lang w:eastAsia="en-AU"/>
        </w:rPr>
        <w:t xml:space="preserve"> </w:t>
      </w:r>
      <w:r w:rsidRPr="00A84AA6">
        <w:rPr>
          <w:rFonts w:ascii="Times New Roman" w:eastAsia="Times New Roman" w:hAnsi="Times New Roman" w:cs="Times New Roman"/>
          <w:sz w:val="24"/>
          <w:szCs w:val="24"/>
          <w:lang w:eastAsia="en-AU"/>
        </w:rPr>
        <w:t xml:space="preserve">prescription medicines. </w:t>
      </w:r>
    </w:p>
    <w:p w:rsidR="00C4382B" w:rsidRDefault="00C4382B" w:rsidP="00C4382B">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TGO 91</w:t>
      </w:r>
      <w:r w:rsidRPr="00C4382B">
        <w:rPr>
          <w:rFonts w:ascii="Times New Roman" w:eastAsia="Times New Roman" w:hAnsi="Times New Roman" w:cs="Times New Roman"/>
          <w:sz w:val="24"/>
          <w:szCs w:val="24"/>
          <w:lang w:eastAsia="en-AU"/>
        </w:rPr>
        <w:t xml:space="preserve"> </w:t>
      </w:r>
      <w:r w:rsidR="00C178B7">
        <w:rPr>
          <w:rFonts w:ascii="Times New Roman" w:eastAsia="Times New Roman" w:hAnsi="Times New Roman" w:cs="Times New Roman"/>
          <w:sz w:val="24"/>
          <w:szCs w:val="24"/>
          <w:lang w:eastAsia="en-AU"/>
        </w:rPr>
        <w:t xml:space="preserve">will commence on </w:t>
      </w:r>
      <w:r w:rsidR="003475EA">
        <w:rPr>
          <w:rFonts w:ascii="Times New Roman" w:eastAsia="Times New Roman" w:hAnsi="Times New Roman" w:cs="Times New Roman"/>
          <w:sz w:val="24"/>
          <w:szCs w:val="24"/>
          <w:lang w:eastAsia="en-AU"/>
        </w:rPr>
        <w:t>31 August 2016.</w:t>
      </w:r>
    </w:p>
    <w:p w:rsidR="003D361B" w:rsidRPr="001541B3" w:rsidRDefault="003D361B" w:rsidP="003D361B">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intention is for </w:t>
      </w:r>
      <w:r w:rsidRPr="001541B3">
        <w:rPr>
          <w:rFonts w:ascii="Times New Roman" w:eastAsia="Times New Roman" w:hAnsi="Times New Roman" w:cs="Times New Roman"/>
          <w:sz w:val="24"/>
          <w:szCs w:val="24"/>
          <w:lang w:eastAsia="en-AU"/>
        </w:rPr>
        <w:t xml:space="preserve">TGO 69 </w:t>
      </w:r>
      <w:r>
        <w:rPr>
          <w:rFonts w:ascii="Times New Roman" w:eastAsia="Times New Roman" w:hAnsi="Times New Roman" w:cs="Times New Roman"/>
          <w:sz w:val="24"/>
          <w:szCs w:val="24"/>
          <w:lang w:eastAsia="en-AU"/>
        </w:rPr>
        <w:t xml:space="preserve">to </w:t>
      </w:r>
      <w:r w:rsidRPr="001541B3">
        <w:rPr>
          <w:rFonts w:ascii="Times New Roman" w:eastAsia="Times New Roman" w:hAnsi="Times New Roman" w:cs="Times New Roman"/>
          <w:sz w:val="24"/>
          <w:szCs w:val="24"/>
          <w:lang w:eastAsia="en-AU"/>
        </w:rPr>
        <w:t xml:space="preserve">be re-made, thereby extending its period of operation beyond the current sun-setting date of 1 October 2017. </w:t>
      </w:r>
      <w:r>
        <w:rPr>
          <w:rFonts w:ascii="Times New Roman" w:eastAsia="Times New Roman" w:hAnsi="Times New Roman" w:cs="Times New Roman"/>
          <w:sz w:val="24"/>
          <w:szCs w:val="24"/>
          <w:lang w:eastAsia="en-AU"/>
        </w:rPr>
        <w:t xml:space="preserve">Further, the intention is for </w:t>
      </w:r>
      <w:r w:rsidRPr="001541B3">
        <w:rPr>
          <w:rFonts w:ascii="Times New Roman" w:eastAsia="Times New Roman" w:hAnsi="Times New Roman" w:cs="Times New Roman"/>
          <w:sz w:val="24"/>
          <w:szCs w:val="24"/>
          <w:lang w:eastAsia="en-AU"/>
        </w:rPr>
        <w:t xml:space="preserve">TGO 69 </w:t>
      </w:r>
      <w:r>
        <w:rPr>
          <w:rFonts w:ascii="Times New Roman" w:eastAsia="Times New Roman" w:hAnsi="Times New Roman" w:cs="Times New Roman"/>
          <w:sz w:val="24"/>
          <w:szCs w:val="24"/>
          <w:lang w:eastAsia="en-AU"/>
        </w:rPr>
        <w:t xml:space="preserve">to </w:t>
      </w:r>
      <w:r w:rsidRPr="001541B3">
        <w:rPr>
          <w:rFonts w:ascii="Times New Roman" w:eastAsia="Times New Roman" w:hAnsi="Times New Roman" w:cs="Times New Roman"/>
          <w:sz w:val="24"/>
          <w:szCs w:val="24"/>
          <w:lang w:eastAsia="en-AU"/>
        </w:rPr>
        <w:t>cease to be in force once the 4-y</w:t>
      </w:r>
      <w:r>
        <w:rPr>
          <w:rFonts w:ascii="Times New Roman" w:eastAsia="Times New Roman" w:hAnsi="Times New Roman" w:cs="Times New Roman"/>
          <w:sz w:val="24"/>
          <w:szCs w:val="24"/>
          <w:lang w:eastAsia="en-AU"/>
        </w:rPr>
        <w:t>ear transition period for TGO 9</w:t>
      </w:r>
      <w:r w:rsidR="00043196">
        <w:rPr>
          <w:rFonts w:ascii="Times New Roman" w:eastAsia="Times New Roman" w:hAnsi="Times New Roman" w:cs="Times New Roman"/>
          <w:sz w:val="24"/>
          <w:szCs w:val="24"/>
          <w:lang w:eastAsia="en-AU"/>
        </w:rPr>
        <w:t>1</w:t>
      </w:r>
      <w:r w:rsidRPr="001541B3">
        <w:rPr>
          <w:rFonts w:ascii="Times New Roman" w:eastAsia="Times New Roman" w:hAnsi="Times New Roman" w:cs="Times New Roman"/>
          <w:sz w:val="24"/>
          <w:szCs w:val="24"/>
          <w:lang w:eastAsia="en-AU"/>
        </w:rPr>
        <w:t xml:space="preserve"> ends </w:t>
      </w:r>
      <w:r w:rsidR="003B024B">
        <w:rPr>
          <w:rFonts w:ascii="Times New Roman" w:eastAsia="Times New Roman" w:hAnsi="Times New Roman" w:cs="Times New Roman"/>
          <w:sz w:val="24"/>
          <w:szCs w:val="24"/>
          <w:lang w:eastAsia="en-AU"/>
        </w:rPr>
        <w:t>(from 1</w:t>
      </w:r>
      <w:r w:rsidR="003B024B" w:rsidRPr="003B024B">
        <w:rPr>
          <w:rFonts w:ascii="Times New Roman" w:eastAsia="Times New Roman" w:hAnsi="Times New Roman" w:cs="Times New Roman"/>
          <w:sz w:val="24"/>
          <w:szCs w:val="24"/>
          <w:vertAlign w:val="superscript"/>
          <w:lang w:eastAsia="en-AU"/>
        </w:rPr>
        <w:t xml:space="preserve"> </w:t>
      </w:r>
      <w:r w:rsidR="003B024B">
        <w:rPr>
          <w:rFonts w:ascii="Times New Roman" w:eastAsia="Times New Roman" w:hAnsi="Times New Roman" w:cs="Times New Roman"/>
          <w:sz w:val="24"/>
          <w:szCs w:val="24"/>
          <w:lang w:eastAsia="en-AU"/>
        </w:rPr>
        <w:t>September 2020).</w:t>
      </w:r>
    </w:p>
    <w:p w:rsidR="00C4382B" w:rsidRDefault="00C4382B" w:rsidP="00C4382B">
      <w:pPr>
        <w:shd w:val="clear" w:color="auto" w:fill="FFFFFF"/>
        <w:spacing w:before="100" w:beforeAutospacing="1" w:after="120" w:line="240" w:lineRule="auto"/>
        <w:rPr>
          <w:rFonts w:ascii="Times New Roman" w:eastAsia="Times New Roman" w:hAnsi="Times New Roman" w:cs="Times New Roman"/>
          <w:b/>
          <w:bCs/>
          <w:sz w:val="24"/>
          <w:szCs w:val="24"/>
          <w:lang w:eastAsia="en-AU"/>
        </w:rPr>
      </w:pPr>
      <w:r w:rsidRPr="00C4382B">
        <w:rPr>
          <w:rFonts w:ascii="Times New Roman" w:eastAsia="Times New Roman" w:hAnsi="Times New Roman" w:cs="Times New Roman"/>
          <w:b/>
          <w:bCs/>
          <w:sz w:val="24"/>
          <w:szCs w:val="24"/>
          <w:lang w:eastAsia="en-AU"/>
        </w:rPr>
        <w:t>BACKGROUND</w:t>
      </w:r>
    </w:p>
    <w:p w:rsidR="00BC5C4B" w:rsidRPr="00BC5C4B" w:rsidRDefault="00BC5C4B" w:rsidP="00BC5C4B">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TGO 69 </w:t>
      </w:r>
      <w:r w:rsidR="00C4382B" w:rsidRPr="00C4382B">
        <w:rPr>
          <w:rFonts w:ascii="Times New Roman" w:eastAsia="Times New Roman" w:hAnsi="Times New Roman" w:cs="Times New Roman"/>
          <w:sz w:val="24"/>
          <w:szCs w:val="24"/>
          <w:lang w:eastAsia="en-AU"/>
        </w:rPr>
        <w:t xml:space="preserve">provides a standard within the Act, setting out the requirements for the </w:t>
      </w:r>
      <w:r>
        <w:rPr>
          <w:rFonts w:ascii="Times New Roman" w:eastAsia="Times New Roman" w:hAnsi="Times New Roman" w:cs="Times New Roman"/>
          <w:sz w:val="24"/>
          <w:szCs w:val="24"/>
          <w:lang w:eastAsia="en-AU"/>
        </w:rPr>
        <w:t>labelling</w:t>
      </w:r>
      <w:r w:rsidR="00C4382B" w:rsidRPr="00C4382B">
        <w:rPr>
          <w:rFonts w:ascii="Times New Roman" w:eastAsia="Times New Roman" w:hAnsi="Times New Roman" w:cs="Times New Roman"/>
          <w:sz w:val="24"/>
          <w:szCs w:val="24"/>
          <w:lang w:eastAsia="en-AU"/>
        </w:rPr>
        <w:t xml:space="preserve"> of </w:t>
      </w:r>
      <w:r>
        <w:rPr>
          <w:rFonts w:ascii="Times New Roman" w:eastAsia="Times New Roman" w:hAnsi="Times New Roman" w:cs="Times New Roman"/>
          <w:sz w:val="24"/>
          <w:szCs w:val="24"/>
          <w:lang w:eastAsia="en-AU"/>
        </w:rPr>
        <w:t>medicines. In addition to other state or territory legislation, i</w:t>
      </w:r>
      <w:r w:rsidRPr="00BC5C4B">
        <w:rPr>
          <w:rFonts w:ascii="Times New Roman" w:eastAsia="Times New Roman" w:hAnsi="Times New Roman" w:cs="Times New Roman"/>
          <w:sz w:val="24"/>
          <w:szCs w:val="24"/>
          <w:lang w:eastAsia="en-AU"/>
        </w:rPr>
        <w:t xml:space="preserve">t provides the core compliance standard underpinning the legislative framework regulating the </w:t>
      </w:r>
      <w:r>
        <w:rPr>
          <w:rFonts w:ascii="Times New Roman" w:eastAsia="Times New Roman" w:hAnsi="Times New Roman" w:cs="Times New Roman"/>
          <w:sz w:val="24"/>
          <w:szCs w:val="24"/>
          <w:lang w:eastAsia="en-AU"/>
        </w:rPr>
        <w:t>labelling</w:t>
      </w:r>
      <w:r w:rsidRPr="00BC5C4B">
        <w:rPr>
          <w:rFonts w:ascii="Times New Roman" w:eastAsia="Times New Roman" w:hAnsi="Times New Roman" w:cs="Times New Roman"/>
          <w:sz w:val="24"/>
          <w:szCs w:val="24"/>
          <w:lang w:eastAsia="en-AU"/>
        </w:rPr>
        <w:t xml:space="preserve"> of </w:t>
      </w:r>
      <w:r>
        <w:rPr>
          <w:rFonts w:ascii="Times New Roman" w:eastAsia="Times New Roman" w:hAnsi="Times New Roman" w:cs="Times New Roman"/>
          <w:sz w:val="24"/>
          <w:szCs w:val="24"/>
          <w:lang w:eastAsia="en-AU"/>
        </w:rPr>
        <w:t>prescription and non-prescription medicines</w:t>
      </w:r>
      <w:r w:rsidRPr="00BC5C4B">
        <w:rPr>
          <w:rFonts w:ascii="Times New Roman" w:eastAsia="Times New Roman" w:hAnsi="Times New Roman" w:cs="Times New Roman"/>
          <w:sz w:val="24"/>
          <w:szCs w:val="24"/>
          <w:lang w:eastAsia="en-AU"/>
        </w:rPr>
        <w:t xml:space="preserve"> to the public</w:t>
      </w:r>
      <w:r>
        <w:rPr>
          <w:rFonts w:ascii="Times New Roman" w:eastAsia="Times New Roman" w:hAnsi="Times New Roman" w:cs="Times New Roman"/>
          <w:sz w:val="24"/>
          <w:szCs w:val="24"/>
          <w:lang w:eastAsia="en-AU"/>
        </w:rPr>
        <w:t>.</w:t>
      </w:r>
    </w:p>
    <w:p w:rsidR="00BC5C4B" w:rsidRDefault="00BC5C4B" w:rsidP="00BC5C4B">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TGO 69</w:t>
      </w:r>
      <w:r w:rsidRPr="00BC5C4B">
        <w:rPr>
          <w:rFonts w:ascii="Times New Roman" w:eastAsia="Times New Roman" w:hAnsi="Times New Roman" w:cs="Times New Roman"/>
          <w:sz w:val="24"/>
          <w:szCs w:val="24"/>
          <w:lang w:eastAsia="en-AU"/>
        </w:rPr>
        <w:t xml:space="preserve"> mandates information that must be on labels and the format and placement in which it must be presented, to contribute to the quality use of medicines by Australian consumers and healthcare professionals.</w:t>
      </w:r>
      <w:r w:rsidRPr="00BC5C4B">
        <w:rPr>
          <w:rFonts w:ascii="Cambria" w:eastAsia="Cambria" w:hAnsi="Cambria" w:cs="Times New Roman"/>
          <w:szCs w:val="20"/>
        </w:rPr>
        <w:t xml:space="preserve"> </w:t>
      </w:r>
      <w:r w:rsidRPr="00BC5C4B">
        <w:rPr>
          <w:rFonts w:ascii="Times New Roman" w:eastAsia="Times New Roman" w:hAnsi="Times New Roman" w:cs="Times New Roman"/>
          <w:sz w:val="24"/>
          <w:szCs w:val="24"/>
          <w:lang w:eastAsia="en-AU"/>
        </w:rPr>
        <w:t xml:space="preserve">Examples of information required by TGO 69 include the name of the medicine, the name of the active ingredient and its strength or quantity, storage requirements, expiry date and the declaration of certain inert or inactive ingredients (‘excipient’ ingredients). </w:t>
      </w:r>
    </w:p>
    <w:p w:rsidR="00470227" w:rsidRPr="00470227" w:rsidRDefault="00470227" w:rsidP="00470227">
      <w:pPr>
        <w:shd w:val="clear" w:color="auto" w:fill="FFFFFF"/>
        <w:spacing w:before="120" w:after="120" w:line="240" w:lineRule="auto"/>
        <w:rPr>
          <w:rFonts w:ascii="Times New Roman" w:eastAsia="Times New Roman" w:hAnsi="Times New Roman" w:cs="Times New Roman"/>
          <w:sz w:val="24"/>
          <w:szCs w:val="24"/>
          <w:lang w:val="en-US" w:eastAsia="en-AU"/>
        </w:rPr>
      </w:pPr>
      <w:r w:rsidRPr="00A84AA6">
        <w:rPr>
          <w:rFonts w:ascii="Times New Roman" w:eastAsia="Times New Roman" w:hAnsi="Times New Roman" w:cs="Times New Roman"/>
          <w:b/>
          <w:bCs/>
          <w:sz w:val="24"/>
          <w:szCs w:val="24"/>
          <w:lang w:eastAsia="en-AU"/>
        </w:rPr>
        <w:lastRenderedPageBreak/>
        <w:t>CONSULTATION</w:t>
      </w:r>
    </w:p>
    <w:p w:rsidR="00A84AA6" w:rsidRDefault="00A84AA6" w:rsidP="00BC5C4B">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 xml:space="preserve">A broad range of stakeholder groups, including consumers, academics, healthcare professionals and industry, have assisted the TGA in </w:t>
      </w:r>
      <w:r w:rsidR="00215F20">
        <w:rPr>
          <w:rFonts w:ascii="Times New Roman" w:eastAsia="Times New Roman" w:hAnsi="Times New Roman" w:cs="Times New Roman"/>
          <w:sz w:val="24"/>
          <w:szCs w:val="24"/>
          <w:lang w:eastAsia="en-AU"/>
        </w:rPr>
        <w:t>the development of TGO 91</w:t>
      </w:r>
      <w:r w:rsidRPr="00A84AA6">
        <w:rPr>
          <w:rFonts w:ascii="Times New Roman" w:eastAsia="Times New Roman" w:hAnsi="Times New Roman" w:cs="Times New Roman"/>
          <w:sz w:val="24"/>
          <w:szCs w:val="24"/>
          <w:lang w:eastAsia="en-AU"/>
        </w:rPr>
        <w:t>. Since 2011, extensive stakeholder consultation has been conducted as part of a number of broader TGA reviews</w:t>
      </w:r>
      <w:r w:rsidR="00766592">
        <w:rPr>
          <w:rFonts w:ascii="Times New Roman" w:eastAsia="Times New Roman" w:hAnsi="Times New Roman" w:cs="Times New Roman"/>
          <w:sz w:val="24"/>
          <w:szCs w:val="24"/>
          <w:lang w:eastAsia="en-AU"/>
        </w:rPr>
        <w:t>.</w:t>
      </w:r>
      <w:r w:rsidR="00DE2E44">
        <w:rPr>
          <w:rFonts w:ascii="Times New Roman" w:eastAsia="Times New Roman" w:hAnsi="Times New Roman" w:cs="Times New Roman"/>
          <w:sz w:val="24"/>
          <w:szCs w:val="24"/>
          <w:lang w:eastAsia="en-AU"/>
        </w:rPr>
        <w:t xml:space="preserve"> </w:t>
      </w:r>
      <w:r w:rsidR="00C226B6" w:rsidRPr="00A84AA6">
        <w:rPr>
          <w:rFonts w:ascii="Times New Roman" w:eastAsia="Times New Roman" w:hAnsi="Times New Roman" w:cs="Times New Roman"/>
          <w:sz w:val="24"/>
          <w:szCs w:val="24"/>
          <w:lang w:eastAsia="en-AU"/>
        </w:rPr>
        <w:t>Two</w:t>
      </w:r>
      <w:r w:rsidRPr="00A84AA6">
        <w:rPr>
          <w:rFonts w:ascii="Times New Roman" w:eastAsia="Times New Roman" w:hAnsi="Times New Roman" w:cs="Times New Roman"/>
          <w:sz w:val="24"/>
          <w:szCs w:val="24"/>
          <w:lang w:eastAsia="en-AU"/>
        </w:rPr>
        <w:t xml:space="preserve"> public consultations</w:t>
      </w:r>
      <w:r w:rsidR="00294CAA">
        <w:rPr>
          <w:rFonts w:ascii="Times New Roman" w:eastAsia="Times New Roman" w:hAnsi="Times New Roman" w:cs="Times New Roman"/>
          <w:sz w:val="24"/>
          <w:szCs w:val="24"/>
          <w:lang w:eastAsia="en-AU"/>
        </w:rPr>
        <w:t xml:space="preserve"> </w:t>
      </w:r>
      <w:r w:rsidR="003B024B">
        <w:rPr>
          <w:rFonts w:ascii="Times New Roman" w:eastAsia="Times New Roman" w:hAnsi="Times New Roman" w:cs="Times New Roman"/>
          <w:sz w:val="24"/>
          <w:szCs w:val="24"/>
          <w:lang w:eastAsia="en-AU"/>
        </w:rPr>
        <w:t xml:space="preserve">on new draft labelling orders </w:t>
      </w:r>
      <w:r w:rsidR="00294CAA">
        <w:rPr>
          <w:rFonts w:ascii="Times New Roman" w:eastAsia="Times New Roman" w:hAnsi="Times New Roman" w:cs="Times New Roman"/>
          <w:sz w:val="24"/>
          <w:szCs w:val="24"/>
          <w:lang w:eastAsia="en-AU"/>
        </w:rPr>
        <w:t>also took place</w:t>
      </w:r>
      <w:r w:rsidR="00B315DD">
        <w:rPr>
          <w:rFonts w:ascii="Times New Roman" w:eastAsia="Times New Roman" w:hAnsi="Times New Roman" w:cs="Times New Roman"/>
          <w:sz w:val="24"/>
          <w:szCs w:val="24"/>
          <w:lang w:eastAsia="en-AU"/>
        </w:rPr>
        <w:t>,</w:t>
      </w:r>
      <w:r w:rsidR="00294CAA">
        <w:rPr>
          <w:rFonts w:ascii="Times New Roman" w:eastAsia="Times New Roman" w:hAnsi="Times New Roman" w:cs="Times New Roman"/>
          <w:sz w:val="24"/>
          <w:szCs w:val="24"/>
          <w:lang w:eastAsia="en-AU"/>
        </w:rPr>
        <w:t xml:space="preserve"> in 201</w:t>
      </w:r>
      <w:r w:rsidR="00A14FF6">
        <w:rPr>
          <w:rFonts w:ascii="Times New Roman" w:eastAsia="Times New Roman" w:hAnsi="Times New Roman" w:cs="Times New Roman"/>
          <w:sz w:val="24"/>
          <w:szCs w:val="24"/>
          <w:lang w:eastAsia="en-AU"/>
        </w:rPr>
        <w:t>2</w:t>
      </w:r>
      <w:r w:rsidR="00B315DD">
        <w:rPr>
          <w:rFonts w:ascii="Times New Roman" w:eastAsia="Times New Roman" w:hAnsi="Times New Roman" w:cs="Times New Roman"/>
          <w:sz w:val="24"/>
          <w:szCs w:val="24"/>
          <w:lang w:eastAsia="en-AU"/>
        </w:rPr>
        <w:t xml:space="preserve"> and 2014.</w:t>
      </w:r>
      <w:r w:rsidR="00DF02E2">
        <w:rPr>
          <w:rFonts w:ascii="Times New Roman" w:eastAsia="Times New Roman" w:hAnsi="Times New Roman" w:cs="Times New Roman"/>
          <w:sz w:val="24"/>
          <w:szCs w:val="24"/>
          <w:lang w:eastAsia="en-AU"/>
        </w:rPr>
        <w:t xml:space="preserve"> </w:t>
      </w:r>
    </w:p>
    <w:p w:rsidR="00A84AA6" w:rsidRDefault="00A84AA6" w:rsidP="00BC5C4B">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The Therapeutic Goods Committee</w:t>
      </w:r>
      <w:r w:rsidR="00A14FF6">
        <w:rPr>
          <w:rFonts w:ascii="Times New Roman" w:eastAsia="Times New Roman" w:hAnsi="Times New Roman" w:cs="Times New Roman"/>
          <w:sz w:val="24"/>
          <w:szCs w:val="24"/>
          <w:lang w:eastAsia="en-AU"/>
        </w:rPr>
        <w:t xml:space="preserve"> (TGC)</w:t>
      </w:r>
      <w:r w:rsidRPr="00A84AA6">
        <w:rPr>
          <w:rFonts w:ascii="Times New Roman" w:eastAsia="Times New Roman" w:hAnsi="Times New Roman" w:cs="Times New Roman"/>
          <w:sz w:val="24"/>
          <w:szCs w:val="24"/>
          <w:lang w:eastAsia="en-AU"/>
        </w:rPr>
        <w:t xml:space="preserve"> has been consulted in the development of the new Orders,</w:t>
      </w:r>
      <w:r w:rsidR="00766592">
        <w:rPr>
          <w:rFonts w:ascii="Times New Roman" w:eastAsia="Times New Roman" w:hAnsi="Times New Roman" w:cs="Times New Roman"/>
          <w:sz w:val="24"/>
          <w:szCs w:val="24"/>
          <w:lang w:eastAsia="en-AU"/>
        </w:rPr>
        <w:t xml:space="preserve"> TGO </w:t>
      </w:r>
      <w:r w:rsidR="00DE2E44">
        <w:rPr>
          <w:rFonts w:ascii="Times New Roman" w:eastAsia="Times New Roman" w:hAnsi="Times New Roman" w:cs="Times New Roman"/>
          <w:sz w:val="24"/>
          <w:szCs w:val="24"/>
          <w:lang w:eastAsia="en-AU"/>
        </w:rPr>
        <w:t>91 and 92</w:t>
      </w:r>
      <w:r w:rsidR="00766592">
        <w:rPr>
          <w:rFonts w:ascii="Times New Roman" w:eastAsia="Times New Roman" w:hAnsi="Times New Roman" w:cs="Times New Roman"/>
          <w:sz w:val="24"/>
          <w:szCs w:val="24"/>
          <w:lang w:eastAsia="en-AU"/>
        </w:rPr>
        <w:t>,</w:t>
      </w:r>
      <w:r w:rsidRPr="00A84AA6">
        <w:rPr>
          <w:rFonts w:ascii="Times New Roman" w:eastAsia="Times New Roman" w:hAnsi="Times New Roman" w:cs="Times New Roman"/>
          <w:sz w:val="24"/>
          <w:szCs w:val="24"/>
          <w:lang w:eastAsia="en-AU"/>
        </w:rPr>
        <w:t xml:space="preserve"> as required under </w:t>
      </w:r>
      <w:r>
        <w:rPr>
          <w:rFonts w:ascii="Times New Roman" w:eastAsia="Times New Roman" w:hAnsi="Times New Roman" w:cs="Times New Roman"/>
          <w:sz w:val="24"/>
          <w:szCs w:val="24"/>
          <w:lang w:eastAsia="en-AU"/>
        </w:rPr>
        <w:t>s</w:t>
      </w:r>
      <w:r w:rsidR="0082435D">
        <w:rPr>
          <w:rFonts w:ascii="Times New Roman" w:eastAsia="Times New Roman" w:hAnsi="Times New Roman" w:cs="Times New Roman"/>
          <w:sz w:val="24"/>
          <w:szCs w:val="24"/>
          <w:lang w:eastAsia="en-AU"/>
        </w:rPr>
        <w:t>ubsection</w:t>
      </w:r>
      <w:r>
        <w:rPr>
          <w:rFonts w:ascii="Times New Roman" w:eastAsia="Times New Roman" w:hAnsi="Times New Roman" w:cs="Times New Roman"/>
          <w:sz w:val="24"/>
          <w:szCs w:val="24"/>
          <w:lang w:eastAsia="en-AU"/>
        </w:rPr>
        <w:t xml:space="preserve"> 10(4) of the Act.</w:t>
      </w:r>
      <w:r w:rsidRPr="00A84AA6">
        <w:rPr>
          <w:rFonts w:ascii="Times New Roman" w:eastAsia="Times New Roman" w:hAnsi="Times New Roman" w:cs="Times New Roman"/>
          <w:sz w:val="24"/>
          <w:szCs w:val="24"/>
          <w:lang w:eastAsia="en-AU"/>
        </w:rPr>
        <w:t xml:space="preserve"> The </w:t>
      </w:r>
      <w:r w:rsidR="00A14FF6">
        <w:rPr>
          <w:rFonts w:ascii="Times New Roman" w:eastAsia="Times New Roman" w:hAnsi="Times New Roman" w:cs="Times New Roman"/>
          <w:sz w:val="24"/>
          <w:szCs w:val="24"/>
          <w:lang w:eastAsia="en-AU"/>
        </w:rPr>
        <w:t>TGC</w:t>
      </w:r>
      <w:r w:rsidRPr="00A84AA6">
        <w:rPr>
          <w:rFonts w:ascii="Times New Roman" w:eastAsia="Times New Roman" w:hAnsi="Times New Roman" w:cs="Times New Roman"/>
          <w:sz w:val="24"/>
          <w:szCs w:val="24"/>
          <w:lang w:eastAsia="en-AU"/>
        </w:rPr>
        <w:t xml:space="preserve"> was establis</w:t>
      </w:r>
      <w:r w:rsidR="00DE0F33">
        <w:rPr>
          <w:rFonts w:ascii="Times New Roman" w:eastAsia="Times New Roman" w:hAnsi="Times New Roman" w:cs="Times New Roman"/>
          <w:sz w:val="24"/>
          <w:szCs w:val="24"/>
          <w:lang w:eastAsia="en-AU"/>
        </w:rPr>
        <w:t xml:space="preserve">hed </w:t>
      </w:r>
      <w:r w:rsidR="00DE0F33" w:rsidRPr="00A14FF6">
        <w:rPr>
          <w:rFonts w:ascii="Times New Roman" w:eastAsia="Times New Roman" w:hAnsi="Times New Roman" w:cs="Times New Roman"/>
          <w:sz w:val="24"/>
          <w:szCs w:val="24"/>
          <w:lang w:eastAsia="en-AU"/>
        </w:rPr>
        <w:t xml:space="preserve">under </w:t>
      </w:r>
      <w:r w:rsidR="00285E91" w:rsidRPr="00A14FF6">
        <w:rPr>
          <w:rFonts w:ascii="Times New Roman" w:eastAsia="Times New Roman" w:hAnsi="Times New Roman" w:cs="Times New Roman"/>
          <w:sz w:val="24"/>
          <w:szCs w:val="24"/>
          <w:lang w:eastAsia="en-AU"/>
        </w:rPr>
        <w:t>r</w:t>
      </w:r>
      <w:r w:rsidR="00DE0F33" w:rsidRPr="00A14FF6">
        <w:rPr>
          <w:rFonts w:ascii="Times New Roman" w:eastAsia="Times New Roman" w:hAnsi="Times New Roman" w:cs="Times New Roman"/>
          <w:sz w:val="24"/>
          <w:szCs w:val="24"/>
          <w:lang w:eastAsia="en-AU"/>
        </w:rPr>
        <w:t xml:space="preserve">egulation 34 of the </w:t>
      </w:r>
      <w:r w:rsidR="0082435D">
        <w:rPr>
          <w:rFonts w:ascii="Times New Roman" w:eastAsia="Times New Roman" w:hAnsi="Times New Roman" w:cs="Times New Roman"/>
          <w:sz w:val="24"/>
          <w:szCs w:val="24"/>
          <w:lang w:eastAsia="en-AU"/>
        </w:rPr>
        <w:t xml:space="preserve">Therapeutic Goods </w:t>
      </w:r>
      <w:r w:rsidRPr="00A14FF6">
        <w:rPr>
          <w:rFonts w:ascii="Times New Roman" w:eastAsia="Times New Roman" w:hAnsi="Times New Roman" w:cs="Times New Roman"/>
          <w:sz w:val="24"/>
          <w:szCs w:val="24"/>
          <w:lang w:eastAsia="en-AU"/>
        </w:rPr>
        <w:t xml:space="preserve">Regulations </w:t>
      </w:r>
      <w:r w:rsidR="0082435D">
        <w:rPr>
          <w:rFonts w:ascii="Times New Roman" w:eastAsia="Times New Roman" w:hAnsi="Times New Roman" w:cs="Times New Roman"/>
          <w:sz w:val="24"/>
          <w:szCs w:val="24"/>
          <w:lang w:eastAsia="en-AU"/>
        </w:rPr>
        <w:t xml:space="preserve">1990 </w:t>
      </w:r>
      <w:r w:rsidRPr="00A14FF6">
        <w:rPr>
          <w:rFonts w:ascii="Times New Roman" w:eastAsia="Times New Roman" w:hAnsi="Times New Roman" w:cs="Times New Roman"/>
          <w:sz w:val="24"/>
          <w:szCs w:val="24"/>
          <w:lang w:eastAsia="en-AU"/>
        </w:rPr>
        <w:t xml:space="preserve">to provide advice and to make recommendations to the Minister on </w:t>
      </w:r>
      <w:r w:rsidR="0082435D">
        <w:rPr>
          <w:rFonts w:ascii="Times New Roman" w:eastAsia="Times New Roman" w:hAnsi="Times New Roman" w:cs="Times New Roman"/>
          <w:sz w:val="24"/>
          <w:szCs w:val="24"/>
          <w:lang w:eastAsia="en-AU"/>
        </w:rPr>
        <w:t xml:space="preserve">matters such as </w:t>
      </w:r>
      <w:r w:rsidRPr="00A14FF6">
        <w:rPr>
          <w:rFonts w:ascii="Times New Roman" w:eastAsia="Times New Roman" w:hAnsi="Times New Roman" w:cs="Times New Roman"/>
          <w:sz w:val="24"/>
          <w:szCs w:val="24"/>
          <w:lang w:eastAsia="en-AU"/>
        </w:rPr>
        <w:t>the adoption of standards for therapeutic goods and matters relating to the requirements</w:t>
      </w:r>
      <w:r w:rsidRPr="00A84AA6">
        <w:rPr>
          <w:rFonts w:ascii="Times New Roman" w:eastAsia="Times New Roman" w:hAnsi="Times New Roman" w:cs="Times New Roman"/>
          <w:sz w:val="24"/>
          <w:szCs w:val="24"/>
          <w:lang w:eastAsia="en-AU"/>
        </w:rPr>
        <w:t xml:space="preserve"> for labelling and packaging</w:t>
      </w:r>
      <w:r w:rsidR="0082435D">
        <w:rPr>
          <w:rFonts w:ascii="Times New Roman" w:eastAsia="Times New Roman" w:hAnsi="Times New Roman" w:cs="Times New Roman"/>
          <w:sz w:val="24"/>
          <w:szCs w:val="24"/>
          <w:lang w:eastAsia="en-AU"/>
        </w:rPr>
        <w:t xml:space="preserve"> of therapeutic goods.</w:t>
      </w:r>
    </w:p>
    <w:p w:rsidR="00DE2E44" w:rsidRDefault="00DE2E44" w:rsidP="00BC5C4B">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6438A2">
        <w:rPr>
          <w:rFonts w:ascii="Times New Roman" w:eastAsia="Times New Roman" w:hAnsi="Times New Roman" w:cs="Times New Roman"/>
          <w:sz w:val="24"/>
          <w:szCs w:val="24"/>
          <w:lang w:eastAsia="en-AU"/>
        </w:rPr>
        <w:t>Office of Best Practice Regulation (OBPR) was consulted</w:t>
      </w:r>
      <w:r>
        <w:rPr>
          <w:rFonts w:ascii="Times New Roman" w:eastAsia="Times New Roman" w:hAnsi="Times New Roman" w:cs="Times New Roman"/>
          <w:sz w:val="24"/>
          <w:szCs w:val="24"/>
          <w:lang w:eastAsia="en-AU"/>
        </w:rPr>
        <w:t xml:space="preserve"> on a Regulation Impact Statement (RIS), including</w:t>
      </w:r>
      <w:r w:rsidRPr="007C6AC5">
        <w:rPr>
          <w:rFonts w:ascii="Times New Roman" w:eastAsia="Times New Roman" w:hAnsi="Times New Roman" w:cs="Times New Roman"/>
          <w:sz w:val="24"/>
          <w:szCs w:val="24"/>
          <w:lang w:eastAsia="en-AU"/>
        </w:rPr>
        <w:t xml:space="preserve"> an analysis of options for labelling changes </w:t>
      </w:r>
      <w:r w:rsidR="00B315DD">
        <w:rPr>
          <w:rFonts w:ascii="Times New Roman" w:eastAsia="Times New Roman" w:hAnsi="Times New Roman" w:cs="Times New Roman"/>
          <w:sz w:val="24"/>
          <w:szCs w:val="24"/>
          <w:lang w:eastAsia="en-AU"/>
        </w:rPr>
        <w:t xml:space="preserve">and </w:t>
      </w:r>
      <w:r w:rsidRPr="007C6AC5">
        <w:rPr>
          <w:rFonts w:ascii="Times New Roman" w:eastAsia="Times New Roman" w:hAnsi="Times New Roman" w:cs="Times New Roman"/>
          <w:sz w:val="24"/>
          <w:szCs w:val="24"/>
          <w:lang w:eastAsia="en-AU"/>
        </w:rPr>
        <w:t xml:space="preserve">the cost impacts of </w:t>
      </w:r>
      <w:r>
        <w:rPr>
          <w:rFonts w:ascii="Times New Roman" w:eastAsia="Times New Roman" w:hAnsi="Times New Roman" w:cs="Times New Roman"/>
          <w:sz w:val="24"/>
          <w:szCs w:val="24"/>
          <w:lang w:eastAsia="en-AU"/>
        </w:rPr>
        <w:t>each</w:t>
      </w:r>
      <w:r w:rsidRPr="007C6AC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option</w:t>
      </w:r>
      <w:r w:rsidRPr="007C6AC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OBPR</w:t>
      </w:r>
      <w:r w:rsidRPr="006438A2">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assessed the RIS </w:t>
      </w:r>
      <w:r w:rsidRPr="006438A2">
        <w:rPr>
          <w:rFonts w:ascii="Times New Roman" w:eastAsia="Times New Roman" w:hAnsi="Times New Roman" w:cs="Times New Roman"/>
          <w:sz w:val="24"/>
          <w:szCs w:val="24"/>
          <w:lang w:eastAsia="en-AU"/>
        </w:rPr>
        <w:t xml:space="preserve">as compliant with the Government’s RIS requirements and the RIS is best practice. </w:t>
      </w:r>
    </w:p>
    <w:p w:rsidR="00BC5C4B" w:rsidRPr="00470227" w:rsidRDefault="00BC5C4B" w:rsidP="00BC5C4B">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TGO 91</w:t>
      </w:r>
      <w:r w:rsidRPr="00470227">
        <w:rPr>
          <w:rFonts w:ascii="Times New Roman" w:eastAsia="Times New Roman" w:hAnsi="Times New Roman" w:cs="Times New Roman"/>
          <w:sz w:val="24"/>
          <w:szCs w:val="24"/>
          <w:lang w:eastAsia="en-AU"/>
        </w:rPr>
        <w:t xml:space="preserve"> is a legislative instrument for the purposes of the </w:t>
      </w:r>
      <w:r w:rsidR="0082435D" w:rsidRPr="00C178B7">
        <w:rPr>
          <w:rFonts w:ascii="Times New Roman" w:eastAsia="Times New Roman" w:hAnsi="Times New Roman" w:cs="Times New Roman"/>
          <w:i/>
          <w:sz w:val="24"/>
          <w:szCs w:val="24"/>
          <w:lang w:eastAsia="en-AU"/>
        </w:rPr>
        <w:t>Legislation Act 2003</w:t>
      </w:r>
      <w:r w:rsidR="0082435D">
        <w:rPr>
          <w:rFonts w:ascii="Times New Roman" w:eastAsia="Times New Roman" w:hAnsi="Times New Roman" w:cs="Times New Roman"/>
          <w:sz w:val="24"/>
          <w:szCs w:val="24"/>
          <w:lang w:eastAsia="en-AU"/>
        </w:rPr>
        <w:t xml:space="preserve">. </w:t>
      </w:r>
    </w:p>
    <w:p w:rsidR="00BC5C4B" w:rsidRPr="00470227" w:rsidRDefault="00BC5C4B" w:rsidP="00BC5C4B">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70227">
        <w:rPr>
          <w:rFonts w:ascii="Times New Roman" w:eastAsia="Times New Roman" w:hAnsi="Times New Roman" w:cs="Times New Roman"/>
          <w:sz w:val="24"/>
          <w:szCs w:val="24"/>
          <w:lang w:eastAsia="en-AU"/>
        </w:rPr>
        <w:t xml:space="preserve">In relation to compatibility with human rights, it is considered that </w:t>
      </w:r>
      <w:r>
        <w:rPr>
          <w:rFonts w:ascii="Times New Roman" w:eastAsia="Times New Roman" w:hAnsi="Times New Roman" w:cs="Times New Roman"/>
          <w:sz w:val="24"/>
          <w:szCs w:val="24"/>
          <w:lang w:eastAsia="en-AU"/>
        </w:rPr>
        <w:t>TGO 91</w:t>
      </w:r>
      <w:r w:rsidRPr="00470227">
        <w:rPr>
          <w:rFonts w:ascii="Times New Roman" w:eastAsia="Times New Roman" w:hAnsi="Times New Roman" w:cs="Times New Roman"/>
          <w:sz w:val="24"/>
          <w:szCs w:val="24"/>
          <w:lang w:eastAsia="en-AU"/>
        </w:rPr>
        <w:t xml:space="preserve"> is compatible with the human rights and freedoms recognised or declared in the international instruments listed in section 3 of the </w:t>
      </w:r>
      <w:r w:rsidRPr="00470227">
        <w:rPr>
          <w:rFonts w:ascii="Times New Roman" w:eastAsia="Times New Roman" w:hAnsi="Times New Roman" w:cs="Times New Roman"/>
          <w:i/>
          <w:iCs/>
          <w:sz w:val="24"/>
          <w:szCs w:val="24"/>
          <w:lang w:eastAsia="en-AU"/>
        </w:rPr>
        <w:t>Human Rights (Parliamentary Scrutiny) Act 2011</w:t>
      </w:r>
      <w:r w:rsidRPr="00470227">
        <w:rPr>
          <w:rFonts w:ascii="Times New Roman" w:eastAsia="Times New Roman" w:hAnsi="Times New Roman" w:cs="Times New Roman"/>
          <w:sz w:val="24"/>
          <w:szCs w:val="24"/>
          <w:lang w:eastAsia="en-AU"/>
        </w:rPr>
        <w:t>, and a Statement of Compatibility setting that out in further detail is below.</w:t>
      </w:r>
    </w:p>
    <w:p w:rsidR="00B569CA" w:rsidRDefault="00B569CA">
      <w:pP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br w:type="page"/>
      </w: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943B7">
        <w:rPr>
          <w:rFonts w:ascii="Times New Roman" w:eastAsia="Times New Roman" w:hAnsi="Times New Roman" w:cs="Times New Roman"/>
          <w:b/>
          <w:bCs/>
          <w:sz w:val="24"/>
          <w:szCs w:val="24"/>
          <w:lang w:eastAsia="en-AU"/>
        </w:rPr>
        <w:lastRenderedPageBreak/>
        <w:t xml:space="preserve">SUPPLEMENTARY MATERIAL - STATEMENT OF COMPATIBILITY WITH HUMAN RIGHTS FOR A LEGISLATIVE INSTRUMENT THAT </w:t>
      </w:r>
      <w:r w:rsidRPr="004943B7">
        <w:rPr>
          <w:rFonts w:ascii="Times New Roman" w:eastAsia="Times New Roman" w:hAnsi="Times New Roman" w:cs="Times New Roman"/>
          <w:b/>
          <w:bCs/>
          <w:sz w:val="24"/>
          <w:szCs w:val="24"/>
          <w:u w:val="single"/>
          <w:lang w:eastAsia="en-AU"/>
        </w:rPr>
        <w:t>DOES NOT</w:t>
      </w:r>
      <w:r w:rsidRPr="004943B7">
        <w:rPr>
          <w:rFonts w:ascii="Times New Roman" w:eastAsia="Times New Roman" w:hAnsi="Times New Roman" w:cs="Times New Roman"/>
          <w:b/>
          <w:bCs/>
          <w:sz w:val="24"/>
          <w:szCs w:val="24"/>
          <w:lang w:eastAsia="en-AU"/>
        </w:rPr>
        <w:t xml:space="preserve"> RAISE ANY HUMAN RIGHTS ISSUES</w:t>
      </w: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943B7">
        <w:rPr>
          <w:rFonts w:ascii="Times New Roman" w:eastAsia="Times New Roman" w:hAnsi="Times New Roman" w:cs="Times New Roman"/>
          <w:b/>
          <w:bCs/>
          <w:sz w:val="24"/>
          <w:szCs w:val="24"/>
          <w:lang w:eastAsia="en-AU"/>
        </w:rPr>
        <w:t>Statement of Compatibility with Human Rights</w:t>
      </w: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proofErr w:type="gramStart"/>
      <w:r w:rsidRPr="004943B7">
        <w:rPr>
          <w:rFonts w:ascii="Times New Roman" w:eastAsia="Times New Roman" w:hAnsi="Times New Roman" w:cs="Times New Roman"/>
          <w:sz w:val="24"/>
          <w:szCs w:val="24"/>
          <w:lang w:eastAsia="en-AU"/>
        </w:rPr>
        <w:t>Prepared in accordance with Part 3 of the</w:t>
      </w:r>
      <w:r w:rsidRPr="004943B7">
        <w:rPr>
          <w:rFonts w:ascii="Times New Roman" w:eastAsia="Times New Roman" w:hAnsi="Times New Roman" w:cs="Times New Roman"/>
          <w:i/>
          <w:iCs/>
          <w:sz w:val="24"/>
          <w:szCs w:val="24"/>
          <w:lang w:eastAsia="en-AU"/>
        </w:rPr>
        <w:t xml:space="preserve"> Human Rights (Parliamentary Scrutiny) Act 2011</w:t>
      </w:r>
      <w:r w:rsidRPr="004943B7">
        <w:rPr>
          <w:rFonts w:ascii="Times New Roman" w:eastAsia="Times New Roman" w:hAnsi="Times New Roman" w:cs="Times New Roman"/>
          <w:sz w:val="24"/>
          <w:szCs w:val="24"/>
          <w:lang w:eastAsia="en-AU"/>
        </w:rPr>
        <w:t>.</w:t>
      </w:r>
      <w:proofErr w:type="gramEnd"/>
    </w:p>
    <w:p w:rsidR="00DE0F33" w:rsidRDefault="00DE0F33" w:rsidP="004943B7">
      <w:pPr>
        <w:shd w:val="clear" w:color="auto" w:fill="FFFFFF"/>
        <w:spacing w:before="100" w:beforeAutospacing="1" w:after="120" w:line="240" w:lineRule="auto"/>
        <w:rPr>
          <w:rFonts w:ascii="Times New Roman" w:eastAsia="Times New Roman" w:hAnsi="Times New Roman" w:cs="Times New Roman"/>
          <w:b/>
          <w:bCs/>
          <w:sz w:val="24"/>
          <w:szCs w:val="24"/>
          <w:lang w:eastAsia="en-AU"/>
        </w:rPr>
      </w:pPr>
      <w:r w:rsidRPr="00DE0F33">
        <w:rPr>
          <w:rFonts w:ascii="Times New Roman" w:eastAsia="Times New Roman" w:hAnsi="Times New Roman" w:cs="Times New Roman"/>
          <w:b/>
          <w:bCs/>
          <w:sz w:val="24"/>
          <w:szCs w:val="24"/>
          <w:lang w:eastAsia="en-AU"/>
        </w:rPr>
        <w:t xml:space="preserve">Therapeutic Goods Order No. 91 - Standard for labels of prescription and related medicines </w:t>
      </w: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943B7">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4943B7">
        <w:rPr>
          <w:rFonts w:ascii="Times New Roman" w:eastAsia="Times New Roman" w:hAnsi="Times New Roman" w:cs="Times New Roman"/>
          <w:i/>
          <w:iCs/>
          <w:sz w:val="24"/>
          <w:szCs w:val="24"/>
          <w:lang w:eastAsia="en-AU"/>
        </w:rPr>
        <w:t>Human Rights (Parliamentary Scrutiny) Act 2011</w:t>
      </w:r>
      <w:r w:rsidRPr="004943B7">
        <w:rPr>
          <w:rFonts w:ascii="Times New Roman" w:eastAsia="Times New Roman" w:hAnsi="Times New Roman" w:cs="Times New Roman"/>
          <w:sz w:val="24"/>
          <w:szCs w:val="24"/>
          <w:lang w:eastAsia="en-AU"/>
        </w:rPr>
        <w:t>.</w:t>
      </w: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943B7">
        <w:rPr>
          <w:rFonts w:ascii="Times New Roman" w:eastAsia="Times New Roman" w:hAnsi="Times New Roman" w:cs="Times New Roman"/>
          <w:b/>
          <w:bCs/>
          <w:sz w:val="24"/>
          <w:szCs w:val="24"/>
          <w:lang w:eastAsia="en-AU"/>
        </w:rPr>
        <w:t>Overview of the Legislative Instrument</w:t>
      </w:r>
    </w:p>
    <w:p w:rsid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4943B7">
        <w:rPr>
          <w:rFonts w:ascii="Times New Roman" w:eastAsia="Times New Roman" w:hAnsi="Times New Roman" w:cs="Times New Roman"/>
          <w:sz w:val="24"/>
          <w:szCs w:val="24"/>
          <w:lang w:eastAsia="en-AU"/>
        </w:rPr>
        <w:t xml:space="preserve">The </w:t>
      </w:r>
      <w:r w:rsidRPr="004943B7">
        <w:rPr>
          <w:rFonts w:ascii="Times New Roman" w:eastAsia="Times New Roman" w:hAnsi="Times New Roman" w:cs="Times New Roman"/>
          <w:i/>
          <w:iCs/>
          <w:sz w:val="24"/>
          <w:szCs w:val="24"/>
          <w:lang w:eastAsia="en-AU"/>
        </w:rPr>
        <w:t xml:space="preserve">Therapeutic Goods Order No. 91 - Standard for labels of prescription and related medicines </w:t>
      </w:r>
      <w:r w:rsidRPr="004943B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TGO 91</w:t>
      </w:r>
      <w:r w:rsidRPr="004943B7">
        <w:rPr>
          <w:rFonts w:ascii="Times New Roman" w:eastAsia="Times New Roman" w:hAnsi="Times New Roman" w:cs="Times New Roman"/>
          <w:sz w:val="24"/>
          <w:szCs w:val="24"/>
          <w:lang w:eastAsia="en-AU"/>
        </w:rPr>
        <w:t xml:space="preserve">) is made by </w:t>
      </w:r>
      <w:r w:rsidR="0082435D">
        <w:rPr>
          <w:rFonts w:ascii="Times New Roman" w:eastAsia="Times New Roman" w:hAnsi="Times New Roman" w:cs="Times New Roman"/>
          <w:sz w:val="24"/>
          <w:szCs w:val="24"/>
          <w:lang w:eastAsia="en-AU"/>
        </w:rPr>
        <w:t xml:space="preserve">a delegate of </w:t>
      </w:r>
      <w:r w:rsidRPr="004943B7">
        <w:rPr>
          <w:rFonts w:ascii="Times New Roman" w:eastAsia="Times New Roman" w:hAnsi="Times New Roman" w:cs="Times New Roman"/>
          <w:sz w:val="24"/>
          <w:szCs w:val="24"/>
          <w:lang w:eastAsia="en-AU"/>
        </w:rPr>
        <w:t xml:space="preserve">the Minister under section </w:t>
      </w:r>
      <w:r>
        <w:rPr>
          <w:rFonts w:ascii="Times New Roman" w:eastAsia="Times New Roman" w:hAnsi="Times New Roman" w:cs="Times New Roman"/>
          <w:sz w:val="24"/>
          <w:szCs w:val="24"/>
          <w:lang w:eastAsia="en-AU"/>
        </w:rPr>
        <w:t xml:space="preserve">10 </w:t>
      </w:r>
      <w:r w:rsidRPr="004943B7">
        <w:rPr>
          <w:rFonts w:ascii="Times New Roman" w:eastAsia="Times New Roman" w:hAnsi="Times New Roman" w:cs="Times New Roman"/>
          <w:sz w:val="24"/>
          <w:szCs w:val="24"/>
          <w:lang w:eastAsia="en-AU"/>
        </w:rPr>
        <w:t xml:space="preserve">of the </w:t>
      </w:r>
      <w:r w:rsidRPr="004943B7">
        <w:rPr>
          <w:rFonts w:ascii="Times New Roman" w:eastAsia="Times New Roman" w:hAnsi="Times New Roman" w:cs="Times New Roman"/>
          <w:i/>
          <w:iCs/>
          <w:sz w:val="24"/>
          <w:szCs w:val="24"/>
          <w:lang w:eastAsia="en-AU"/>
        </w:rPr>
        <w:t>Therapeutic Goods Act 1989</w:t>
      </w:r>
      <w:r w:rsidRPr="004943B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TGO 91</w:t>
      </w:r>
      <w:r w:rsidRPr="004943B7">
        <w:rPr>
          <w:rFonts w:ascii="Times New Roman" w:eastAsia="Times New Roman" w:hAnsi="Times New Roman" w:cs="Times New Roman"/>
          <w:sz w:val="24"/>
          <w:szCs w:val="24"/>
          <w:lang w:eastAsia="en-AU"/>
        </w:rPr>
        <w:t xml:space="preserve"> sets out the requirements for the </w:t>
      </w:r>
      <w:r>
        <w:rPr>
          <w:rFonts w:ascii="Times New Roman" w:eastAsia="Times New Roman" w:hAnsi="Times New Roman" w:cs="Times New Roman"/>
          <w:sz w:val="24"/>
          <w:szCs w:val="24"/>
          <w:lang w:eastAsia="en-AU"/>
        </w:rPr>
        <w:t>labelling of prescription and related medicines</w:t>
      </w:r>
      <w:r w:rsidRPr="004943B7">
        <w:rPr>
          <w:rFonts w:ascii="Times New Roman" w:eastAsia="Times New Roman" w:hAnsi="Times New Roman" w:cs="Times New Roman"/>
          <w:sz w:val="24"/>
          <w:szCs w:val="24"/>
          <w:lang w:eastAsia="en-AU"/>
        </w:rPr>
        <w:t>.</w:t>
      </w:r>
    </w:p>
    <w:p w:rsidR="003D361B" w:rsidRDefault="00B315DD" w:rsidP="003D361B">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96702D">
        <w:rPr>
          <w:rFonts w:ascii="Times New Roman" w:eastAsia="Times New Roman" w:hAnsi="Times New Roman" w:cs="Times New Roman"/>
          <w:sz w:val="24"/>
          <w:szCs w:val="24"/>
          <w:lang w:eastAsia="en-AU"/>
        </w:rPr>
        <w:t>Therapeutic Goods Order No. 91 - Standard for labels of prescription and related medicines (TGO 91)</w:t>
      </w:r>
      <w:r>
        <w:rPr>
          <w:rFonts w:ascii="Times New Roman" w:eastAsia="Times New Roman" w:hAnsi="Times New Roman" w:cs="Times New Roman"/>
          <w:sz w:val="24"/>
          <w:szCs w:val="24"/>
          <w:lang w:eastAsia="en-AU"/>
        </w:rPr>
        <w:t xml:space="preserve"> has been drafted in conjunction with Therapeutic Goods Order No. 92</w:t>
      </w:r>
      <w:r w:rsidRPr="0096702D">
        <w:rPr>
          <w:rFonts w:ascii="Times New Roman" w:eastAsia="Times New Roman" w:hAnsi="Times New Roman" w:cs="Times New Roman"/>
          <w:sz w:val="24"/>
          <w:szCs w:val="24"/>
          <w:lang w:eastAsia="en-AU"/>
        </w:rPr>
        <w:t xml:space="preserve"> - Standard for labels of </w:t>
      </w:r>
      <w:r>
        <w:rPr>
          <w:rFonts w:ascii="Times New Roman" w:eastAsia="Times New Roman" w:hAnsi="Times New Roman" w:cs="Times New Roman"/>
          <w:sz w:val="24"/>
          <w:szCs w:val="24"/>
          <w:lang w:eastAsia="en-AU"/>
        </w:rPr>
        <w:t>non-</w:t>
      </w:r>
      <w:r w:rsidRPr="0096702D">
        <w:rPr>
          <w:rFonts w:ascii="Times New Roman" w:eastAsia="Times New Roman" w:hAnsi="Times New Roman" w:cs="Times New Roman"/>
          <w:sz w:val="24"/>
          <w:szCs w:val="24"/>
          <w:lang w:eastAsia="en-AU"/>
        </w:rPr>
        <w:t xml:space="preserve">prescription </w:t>
      </w:r>
      <w:r>
        <w:rPr>
          <w:rFonts w:ascii="Times New Roman" w:eastAsia="Times New Roman" w:hAnsi="Times New Roman" w:cs="Times New Roman"/>
          <w:sz w:val="24"/>
          <w:szCs w:val="24"/>
          <w:lang w:eastAsia="en-AU"/>
        </w:rPr>
        <w:t>medicines (TGO 92</w:t>
      </w:r>
      <w:r w:rsidRPr="0096702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The purpose of TGO 91 and TGO 92</w:t>
      </w:r>
      <w:r w:rsidRPr="0096702D">
        <w:rPr>
          <w:rFonts w:ascii="Times New Roman" w:eastAsia="Times New Roman" w:hAnsi="Times New Roman" w:cs="Times New Roman"/>
          <w:sz w:val="24"/>
          <w:szCs w:val="24"/>
          <w:lang w:eastAsia="en-AU"/>
        </w:rPr>
        <w:t xml:space="preserve"> is to </w:t>
      </w:r>
      <w:r>
        <w:rPr>
          <w:rFonts w:ascii="Times New Roman" w:eastAsia="Times New Roman" w:hAnsi="Times New Roman" w:cs="Times New Roman"/>
          <w:sz w:val="24"/>
          <w:szCs w:val="24"/>
          <w:lang w:eastAsia="en-AU"/>
        </w:rPr>
        <w:t>replace, over time,</w:t>
      </w:r>
      <w:r w:rsidRPr="0096702D">
        <w:rPr>
          <w:rFonts w:ascii="Times New Roman" w:eastAsia="Times New Roman" w:hAnsi="Times New Roman" w:cs="Times New Roman"/>
          <w:sz w:val="24"/>
          <w:szCs w:val="24"/>
          <w:lang w:eastAsia="en-AU"/>
        </w:rPr>
        <w:t xml:space="preserve"> the Therapeutic Goods Order No. 69 - General requirements for labels for medicines (TGO 69), the current labelling Order. TGO 69 is now more than 16 years old and does not align with labelling standards set by overseas regulators.</w:t>
      </w:r>
    </w:p>
    <w:p w:rsidR="00B315DD" w:rsidRDefault="00B315DD" w:rsidP="00B315DD">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E128F2">
        <w:rPr>
          <w:rFonts w:ascii="Times New Roman" w:eastAsia="Times New Roman" w:hAnsi="Times New Roman" w:cs="Times New Roman"/>
          <w:sz w:val="24"/>
          <w:szCs w:val="24"/>
          <w:lang w:eastAsia="en-AU"/>
        </w:rPr>
        <w:t>Separate Orders were drafted in recognition of the specific risks associated with prescription and non-prescription medicines and their different contexts of use (i.e. prescription by a medical practitioner versus self-selection</w:t>
      </w:r>
      <w:r>
        <w:rPr>
          <w:rFonts w:ascii="Times New Roman" w:eastAsia="Times New Roman" w:hAnsi="Times New Roman" w:cs="Times New Roman"/>
          <w:sz w:val="24"/>
          <w:szCs w:val="24"/>
          <w:lang w:eastAsia="en-AU"/>
        </w:rPr>
        <w:t xml:space="preserve"> by a consumer</w:t>
      </w:r>
      <w:r w:rsidRPr="00E128F2">
        <w:rPr>
          <w:rFonts w:ascii="Times New Roman" w:eastAsia="Times New Roman" w:hAnsi="Times New Roman" w:cs="Times New Roman"/>
          <w:sz w:val="24"/>
          <w:szCs w:val="24"/>
          <w:lang w:eastAsia="en-AU"/>
        </w:rPr>
        <w:t>).</w:t>
      </w:r>
    </w:p>
    <w:p w:rsidR="00B315DD" w:rsidRDefault="00B315DD" w:rsidP="003D361B">
      <w:pPr>
        <w:shd w:val="clear" w:color="auto" w:fill="FFFFFF"/>
        <w:spacing w:before="100" w:beforeAutospacing="1" w:after="12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4"/>
          <w:lang w:eastAsia="en-AU"/>
        </w:rPr>
        <w:t>Both Orders</w:t>
      </w:r>
      <w:r w:rsidRPr="001D31C3">
        <w:rPr>
          <w:rFonts w:ascii="Times New Roman" w:eastAsia="Times New Roman" w:hAnsi="Times New Roman" w:cs="Times New Roman"/>
          <w:sz w:val="24"/>
          <w:szCs w:val="20"/>
          <w:lang w:eastAsia="en-AU"/>
        </w:rPr>
        <w:t xml:space="preserve"> will be implemented </w:t>
      </w:r>
      <w:r>
        <w:rPr>
          <w:rFonts w:ascii="Times New Roman" w:eastAsia="Times New Roman" w:hAnsi="Times New Roman" w:cs="Times New Roman"/>
          <w:sz w:val="24"/>
          <w:szCs w:val="20"/>
          <w:lang w:eastAsia="en-AU"/>
        </w:rPr>
        <w:t>with</w:t>
      </w:r>
      <w:r w:rsidRPr="001D31C3">
        <w:rPr>
          <w:rFonts w:ascii="Times New Roman" w:eastAsia="Times New Roman" w:hAnsi="Times New Roman" w:cs="Times New Roman"/>
          <w:sz w:val="24"/>
          <w:szCs w:val="20"/>
          <w:lang w:eastAsia="en-AU"/>
        </w:rPr>
        <w:t xml:space="preserve"> a</w:t>
      </w:r>
      <w:r>
        <w:rPr>
          <w:rFonts w:ascii="Times New Roman" w:eastAsia="Times New Roman" w:hAnsi="Times New Roman" w:cs="Times New Roman"/>
          <w:sz w:val="24"/>
          <w:szCs w:val="20"/>
          <w:lang w:eastAsia="en-AU"/>
        </w:rPr>
        <w:t xml:space="preserve"> 4-year</w:t>
      </w:r>
      <w:r w:rsidRPr="001D31C3">
        <w:rPr>
          <w:rFonts w:ascii="Times New Roman" w:eastAsia="Times New Roman" w:hAnsi="Times New Roman" w:cs="Times New Roman"/>
          <w:sz w:val="24"/>
          <w:szCs w:val="20"/>
          <w:lang w:eastAsia="en-AU"/>
        </w:rPr>
        <w:t xml:space="preserve"> transition period. During this </w:t>
      </w:r>
      <w:r>
        <w:rPr>
          <w:rFonts w:ascii="Times New Roman" w:eastAsia="Times New Roman" w:hAnsi="Times New Roman" w:cs="Times New Roman"/>
          <w:sz w:val="24"/>
          <w:szCs w:val="20"/>
          <w:lang w:eastAsia="en-AU"/>
        </w:rPr>
        <w:t>time</w:t>
      </w:r>
      <w:r w:rsidRPr="001D31C3">
        <w:rPr>
          <w:rFonts w:ascii="Times New Roman" w:eastAsia="Times New Roman" w:hAnsi="Times New Roman" w:cs="Times New Roman"/>
          <w:sz w:val="24"/>
          <w:szCs w:val="20"/>
          <w:lang w:eastAsia="en-AU"/>
        </w:rPr>
        <w:t>, sponsors can choose between complying with the current requirements of TGO 69 or</w:t>
      </w:r>
      <w:r>
        <w:rPr>
          <w:rFonts w:ascii="Times New Roman" w:eastAsia="Times New Roman" w:hAnsi="Times New Roman" w:cs="Times New Roman"/>
          <w:sz w:val="24"/>
          <w:szCs w:val="20"/>
          <w:lang w:eastAsia="en-AU"/>
        </w:rPr>
        <w:t xml:space="preserve"> </w:t>
      </w:r>
      <w:r w:rsidRPr="001D31C3">
        <w:rPr>
          <w:rFonts w:ascii="Times New Roman" w:eastAsia="Times New Roman" w:hAnsi="Times New Roman" w:cs="Times New Roman"/>
          <w:sz w:val="24"/>
          <w:szCs w:val="20"/>
          <w:lang w:eastAsia="en-AU"/>
        </w:rPr>
        <w:t>the new Order</w:t>
      </w:r>
      <w:r>
        <w:rPr>
          <w:rFonts w:ascii="Times New Roman" w:eastAsia="Times New Roman" w:hAnsi="Times New Roman" w:cs="Times New Roman"/>
          <w:sz w:val="24"/>
          <w:szCs w:val="20"/>
          <w:lang w:eastAsia="en-AU"/>
        </w:rPr>
        <w:t xml:space="preserve"> that is relevant to their medicine</w:t>
      </w:r>
      <w:r w:rsidRPr="001D31C3">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At the end of the transition period</w:t>
      </w:r>
      <w:r w:rsidRPr="001D31C3">
        <w:rPr>
          <w:rFonts w:ascii="Times New Roman" w:eastAsia="Times New Roman" w:hAnsi="Times New Roman" w:cs="Times New Roman"/>
          <w:sz w:val="24"/>
          <w:szCs w:val="20"/>
          <w:lang w:eastAsia="en-AU"/>
        </w:rPr>
        <w:t>, all medicines supplied in Australia must be</w:t>
      </w:r>
      <w:r>
        <w:rPr>
          <w:rFonts w:ascii="Times New Roman" w:eastAsia="Times New Roman" w:hAnsi="Times New Roman" w:cs="Times New Roman"/>
          <w:sz w:val="24"/>
          <w:szCs w:val="20"/>
          <w:lang w:eastAsia="en-AU"/>
        </w:rPr>
        <w:t xml:space="preserve"> labelled in accordance with TGO 91 or TGO 92, whichever applies</w:t>
      </w:r>
      <w:r w:rsidRPr="001D31C3">
        <w:rPr>
          <w:rFonts w:ascii="Times New Roman" w:eastAsia="Times New Roman" w:hAnsi="Times New Roman" w:cs="Times New Roman"/>
          <w:sz w:val="24"/>
          <w:szCs w:val="20"/>
          <w:lang w:eastAsia="en-AU"/>
        </w:rPr>
        <w:t>.</w:t>
      </w:r>
    </w:p>
    <w:p w:rsidR="00B315DD" w:rsidRDefault="00B315DD" w:rsidP="00B315DD">
      <w:pPr>
        <w:shd w:val="clear" w:color="auto" w:fill="FFFFFF"/>
        <w:spacing w:before="100" w:beforeAutospacing="1" w:after="12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Pr="0096702D">
        <w:rPr>
          <w:rFonts w:ascii="Times New Roman" w:eastAsia="Times New Roman" w:hAnsi="Times New Roman" w:cs="Times New Roman"/>
          <w:sz w:val="24"/>
          <w:szCs w:val="24"/>
          <w:lang w:eastAsia="en-AU"/>
        </w:rPr>
        <w:t xml:space="preserve"> amendments</w:t>
      </w:r>
      <w:r>
        <w:rPr>
          <w:rFonts w:ascii="Times New Roman" w:eastAsia="Times New Roman" w:hAnsi="Times New Roman" w:cs="Times New Roman"/>
          <w:sz w:val="24"/>
          <w:szCs w:val="24"/>
          <w:lang w:eastAsia="en-AU"/>
        </w:rPr>
        <w:t xml:space="preserve"> to the requirements for labels of prescription and related medicines</w:t>
      </w:r>
      <w:r w:rsidRPr="0096702D">
        <w:rPr>
          <w:rFonts w:ascii="Times New Roman" w:eastAsia="Times New Roman" w:hAnsi="Times New Roman" w:cs="Times New Roman"/>
          <w:sz w:val="24"/>
          <w:szCs w:val="24"/>
          <w:lang w:eastAsia="en-AU"/>
        </w:rPr>
        <w:t xml:space="preserve"> involve substantial policy changes to better align with current international best practice for medicine labelling</w:t>
      </w:r>
      <w:r>
        <w:rPr>
          <w:rFonts w:ascii="Times New Roman" w:eastAsia="Times New Roman" w:hAnsi="Times New Roman" w:cs="Times New Roman"/>
          <w:sz w:val="24"/>
          <w:szCs w:val="24"/>
          <w:lang w:eastAsia="en-AU"/>
        </w:rPr>
        <w:t>.</w:t>
      </w:r>
      <w:r w:rsidRPr="0096702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Key</w:t>
      </w:r>
      <w:r w:rsidRPr="0096702D">
        <w:rPr>
          <w:rFonts w:ascii="Times New Roman" w:eastAsia="Times New Roman" w:hAnsi="Times New Roman" w:cs="Times New Roman"/>
          <w:sz w:val="24"/>
          <w:szCs w:val="24"/>
          <w:lang w:eastAsia="en-AU"/>
        </w:rPr>
        <w:t xml:space="preserve"> changes include:</w:t>
      </w:r>
    </w:p>
    <w:p w:rsidR="00B315DD" w:rsidRPr="00A84AA6" w:rsidRDefault="00B315DD" w:rsidP="00B315DD">
      <w:pPr>
        <w:numPr>
          <w:ilvl w:val="0"/>
          <w:numId w:val="1"/>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 xml:space="preserve">Increased prominence and consistent location of information on active ingredients </w:t>
      </w:r>
      <w:r>
        <w:rPr>
          <w:rFonts w:ascii="Times New Roman" w:eastAsia="Times New Roman" w:hAnsi="Times New Roman" w:cs="Times New Roman"/>
          <w:sz w:val="24"/>
          <w:szCs w:val="24"/>
          <w:lang w:eastAsia="en-AU"/>
        </w:rPr>
        <w:t>to facilitate product identification and reduce the opportunity for error</w:t>
      </w:r>
      <w:r w:rsidRPr="00A84AA6">
        <w:rPr>
          <w:rFonts w:ascii="Times New Roman" w:eastAsia="Times New Roman" w:hAnsi="Times New Roman" w:cs="Times New Roman"/>
          <w:sz w:val="24"/>
          <w:szCs w:val="24"/>
          <w:lang w:eastAsia="en-AU"/>
        </w:rPr>
        <w:t xml:space="preserve"> (noting the minimum text height for all other information is 1.5 millimetres)</w:t>
      </w:r>
      <w:r>
        <w:rPr>
          <w:rFonts w:ascii="Times New Roman" w:eastAsia="Times New Roman" w:hAnsi="Times New Roman" w:cs="Times New Roman"/>
          <w:sz w:val="24"/>
          <w:szCs w:val="24"/>
          <w:lang w:eastAsia="en-AU"/>
        </w:rPr>
        <w:t>. This includes:</w:t>
      </w:r>
    </w:p>
    <w:p w:rsidR="00B315DD" w:rsidRDefault="00B315DD" w:rsidP="00B315DD">
      <w:pPr>
        <w:pStyle w:val="ListBullet"/>
        <w:numPr>
          <w:ilvl w:val="0"/>
          <w:numId w:val="3"/>
        </w:numPr>
        <w:rPr>
          <w:rFonts w:ascii="Times New Roman" w:eastAsia="Times New Roman" w:hAnsi="Times New Roman"/>
          <w:sz w:val="24"/>
          <w:szCs w:val="24"/>
          <w:lang w:eastAsia="en-AU"/>
        </w:rPr>
      </w:pPr>
      <w:r w:rsidRPr="00D44D37">
        <w:rPr>
          <w:rFonts w:ascii="Times New Roman" w:eastAsia="Times New Roman" w:hAnsi="Times New Roman"/>
          <w:sz w:val="24"/>
          <w:szCs w:val="24"/>
          <w:lang w:eastAsia="en-AU"/>
        </w:rPr>
        <w:t>introduction of new requirement</w:t>
      </w:r>
      <w:r>
        <w:rPr>
          <w:rFonts w:ascii="Times New Roman" w:eastAsia="Times New Roman" w:hAnsi="Times New Roman"/>
          <w:sz w:val="24"/>
          <w:szCs w:val="24"/>
          <w:lang w:eastAsia="en-AU"/>
        </w:rPr>
        <w:t>s</w:t>
      </w:r>
      <w:r w:rsidRPr="00D44D37">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for</w:t>
      </w:r>
      <w:r w:rsidRPr="00D44D37">
        <w:rPr>
          <w:rFonts w:ascii="Times New Roman" w:eastAsia="Times New Roman" w:hAnsi="Times New Roman"/>
          <w:sz w:val="24"/>
          <w:szCs w:val="24"/>
          <w:lang w:eastAsia="en-AU"/>
        </w:rPr>
        <w:t xml:space="preserve"> the name(s) and quantities of active ingredient(s)</w:t>
      </w:r>
      <w:r>
        <w:rPr>
          <w:rFonts w:ascii="Times New Roman" w:eastAsia="Times New Roman" w:hAnsi="Times New Roman"/>
          <w:sz w:val="24"/>
          <w:szCs w:val="24"/>
          <w:lang w:eastAsia="en-AU"/>
        </w:rPr>
        <w:t>:</w:t>
      </w:r>
    </w:p>
    <w:p w:rsidR="00B315DD" w:rsidRPr="00D44D37" w:rsidRDefault="00B315DD" w:rsidP="00B315DD">
      <w:pPr>
        <w:pStyle w:val="ListBullet"/>
        <w:numPr>
          <w:ilvl w:val="1"/>
          <w:numId w:val="3"/>
        </w:numPr>
        <w:rPr>
          <w:rFonts w:ascii="Times New Roman" w:eastAsia="Times New Roman" w:hAnsi="Times New Roman"/>
          <w:sz w:val="24"/>
          <w:szCs w:val="24"/>
          <w:lang w:eastAsia="en-AU"/>
        </w:rPr>
      </w:pPr>
      <w:r w:rsidRPr="00D44D37">
        <w:rPr>
          <w:rFonts w:ascii="Times New Roman" w:eastAsia="Times New Roman" w:hAnsi="Times New Roman"/>
          <w:sz w:val="24"/>
          <w:szCs w:val="24"/>
          <w:lang w:eastAsia="en-AU"/>
        </w:rPr>
        <w:t xml:space="preserve">a minimum text size of 3.0 millimetres on the </w:t>
      </w:r>
      <w:r>
        <w:rPr>
          <w:rFonts w:ascii="Times New Roman" w:eastAsia="Times New Roman" w:hAnsi="Times New Roman"/>
          <w:sz w:val="24"/>
          <w:szCs w:val="24"/>
          <w:lang w:eastAsia="en-AU"/>
        </w:rPr>
        <w:t>main label</w:t>
      </w:r>
      <w:r w:rsidRPr="00D44D37">
        <w:rPr>
          <w:rFonts w:ascii="Times New Roman" w:eastAsia="Times New Roman" w:hAnsi="Times New Roman"/>
          <w:sz w:val="24"/>
          <w:szCs w:val="24"/>
          <w:lang w:eastAsia="en-AU"/>
        </w:rPr>
        <w:t>, placed either directly under or adjacent to the trade name; or</w:t>
      </w:r>
    </w:p>
    <w:p w:rsidR="00B315DD" w:rsidRPr="00B376BB" w:rsidRDefault="00B315DD" w:rsidP="00B315DD">
      <w:pPr>
        <w:pStyle w:val="ListBullet"/>
        <w:numPr>
          <w:ilvl w:val="1"/>
          <w:numId w:val="3"/>
        </w:numPr>
        <w:rPr>
          <w:sz w:val="24"/>
          <w:szCs w:val="24"/>
          <w:lang w:eastAsia="en-AU"/>
        </w:rPr>
      </w:pPr>
      <w:r w:rsidRPr="00B376BB">
        <w:rPr>
          <w:rFonts w:ascii="Times New Roman" w:eastAsia="Times New Roman" w:hAnsi="Times New Roman"/>
          <w:sz w:val="24"/>
          <w:szCs w:val="24"/>
          <w:lang w:eastAsia="en-AU"/>
        </w:rPr>
        <w:lastRenderedPageBreak/>
        <w:t>for a medicine containing four or more active ingredients, in a minimum text size of 2.5 millimetres on a side or rear panel; or</w:t>
      </w:r>
    </w:p>
    <w:p w:rsidR="00B315DD" w:rsidRPr="00B376BB" w:rsidRDefault="00B315DD" w:rsidP="00B315DD">
      <w:pPr>
        <w:pStyle w:val="ListParagraph"/>
        <w:numPr>
          <w:ilvl w:val="1"/>
          <w:numId w:val="3"/>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B376BB">
        <w:rPr>
          <w:rFonts w:ascii="Times New Roman" w:eastAsia="Times New Roman" w:hAnsi="Times New Roman" w:cs="Times New Roman"/>
          <w:sz w:val="24"/>
          <w:szCs w:val="24"/>
          <w:lang w:eastAsia="en-AU"/>
        </w:rPr>
        <w:t xml:space="preserve">for a medicine supplied in a small container (i.e. containers with a capacity up to or equal to 25 millilitres but greater than </w:t>
      </w:r>
      <w:r>
        <w:rPr>
          <w:rFonts w:ascii="Times New Roman" w:eastAsia="Times New Roman" w:hAnsi="Times New Roman" w:cs="Times New Roman"/>
          <w:sz w:val="24"/>
          <w:szCs w:val="24"/>
          <w:lang w:eastAsia="en-AU"/>
        </w:rPr>
        <w:t>3.0</w:t>
      </w:r>
      <w:r w:rsidRPr="00B376BB">
        <w:rPr>
          <w:rFonts w:ascii="Times New Roman" w:eastAsia="Times New Roman" w:hAnsi="Times New Roman" w:cs="Times New Roman"/>
          <w:sz w:val="24"/>
          <w:szCs w:val="24"/>
          <w:lang w:eastAsia="en-AU"/>
        </w:rPr>
        <w:t xml:space="preserve"> millilitres)</w:t>
      </w:r>
      <w:r>
        <w:rPr>
          <w:rFonts w:ascii="Times New Roman" w:eastAsia="Times New Roman" w:hAnsi="Times New Roman" w:cs="Times New Roman"/>
          <w:sz w:val="24"/>
          <w:szCs w:val="24"/>
          <w:lang w:eastAsia="en-AU"/>
        </w:rPr>
        <w:t>, the name of the medicine and the name of all active ingredients</w:t>
      </w:r>
      <w:r w:rsidRPr="00B376BB">
        <w:rPr>
          <w:rFonts w:ascii="Times New Roman" w:eastAsia="Times New Roman" w:hAnsi="Times New Roman" w:cs="Times New Roman"/>
          <w:sz w:val="24"/>
          <w:szCs w:val="24"/>
          <w:lang w:eastAsia="en-AU"/>
        </w:rPr>
        <w:t xml:space="preserve"> in a minimum text size of 2.0 millimetres</w:t>
      </w:r>
      <w:r>
        <w:rPr>
          <w:rFonts w:ascii="Times New Roman" w:eastAsia="Times New Roman" w:hAnsi="Times New Roman" w:cs="Times New Roman"/>
          <w:sz w:val="24"/>
          <w:szCs w:val="24"/>
          <w:lang w:eastAsia="en-AU"/>
        </w:rPr>
        <w:t>.</w:t>
      </w:r>
    </w:p>
    <w:p w:rsidR="00B315DD" w:rsidRDefault="00B315DD" w:rsidP="00B315DD">
      <w:pPr>
        <w:numPr>
          <w:ilvl w:val="0"/>
          <w:numId w:val="1"/>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766592">
        <w:rPr>
          <w:rFonts w:ascii="Times New Roman" w:eastAsia="Times New Roman" w:hAnsi="Times New Roman" w:cs="Times New Roman"/>
          <w:sz w:val="24"/>
          <w:szCs w:val="24"/>
          <w:lang w:eastAsia="en-AU"/>
        </w:rPr>
        <w:t xml:space="preserve">New requirements for declarations of certain substances (e.g. </w:t>
      </w:r>
      <w:proofErr w:type="spellStart"/>
      <w:r w:rsidRPr="00766592">
        <w:rPr>
          <w:rFonts w:ascii="Times New Roman" w:eastAsia="Times New Roman" w:hAnsi="Times New Roman" w:cs="Times New Roman"/>
          <w:sz w:val="24"/>
          <w:szCs w:val="24"/>
          <w:lang w:eastAsia="en-AU"/>
        </w:rPr>
        <w:t>crustacea</w:t>
      </w:r>
      <w:proofErr w:type="spellEnd"/>
      <w:r w:rsidRPr="00766592">
        <w:rPr>
          <w:rFonts w:ascii="Times New Roman" w:eastAsia="Times New Roman" w:hAnsi="Times New Roman" w:cs="Times New Roman"/>
          <w:sz w:val="24"/>
          <w:szCs w:val="24"/>
          <w:lang w:eastAsia="en-AU"/>
        </w:rPr>
        <w:t xml:space="preserve">, fish, eggs, soya, milk, tree nuts). </w:t>
      </w:r>
      <w:r w:rsidRPr="003D361B">
        <w:rPr>
          <w:rFonts w:ascii="Times New Roman" w:eastAsia="Times New Roman" w:hAnsi="Times New Roman" w:cs="Times New Roman"/>
          <w:sz w:val="24"/>
          <w:szCs w:val="24"/>
          <w:lang w:eastAsia="en-AU"/>
        </w:rPr>
        <w:t xml:space="preserve">The cut off for declaring gluten has also been modified and aligns with Food Standards Australia and New Zealand. </w:t>
      </w:r>
    </w:p>
    <w:p w:rsidR="00B315DD" w:rsidRPr="005B2E7B" w:rsidRDefault="00B315DD" w:rsidP="00B315DD">
      <w:pPr>
        <w:numPr>
          <w:ilvl w:val="0"/>
          <w:numId w:val="1"/>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DE2E44">
        <w:rPr>
          <w:rFonts w:ascii="Times New Roman" w:eastAsia="Times New Roman" w:hAnsi="Times New Roman" w:cs="Times New Roman"/>
          <w:sz w:val="24"/>
          <w:szCs w:val="24"/>
          <w:lang w:eastAsia="en-AU"/>
        </w:rPr>
        <w:t xml:space="preserve">Introduction of a new requirement such that Schedule 1 </w:t>
      </w:r>
      <w:proofErr w:type="gramStart"/>
      <w:r w:rsidRPr="00DE2E44">
        <w:rPr>
          <w:rFonts w:ascii="Times New Roman" w:eastAsia="Times New Roman" w:hAnsi="Times New Roman" w:cs="Times New Roman"/>
          <w:sz w:val="24"/>
          <w:szCs w:val="24"/>
          <w:lang w:eastAsia="en-AU"/>
        </w:rPr>
        <w:t>substances</w:t>
      </w:r>
      <w:proofErr w:type="gramEnd"/>
      <w:r w:rsidRPr="00DE2E44">
        <w:rPr>
          <w:rFonts w:ascii="Times New Roman" w:eastAsia="Times New Roman" w:hAnsi="Times New Roman" w:cs="Times New Roman"/>
          <w:sz w:val="24"/>
          <w:szCs w:val="24"/>
          <w:lang w:eastAsia="en-AU"/>
        </w:rPr>
        <w:t xml:space="preserve"> must be declared on the label or identified by a statement that directs consumers to the Consumer Medicine Information. </w:t>
      </w:r>
      <w:r w:rsidRPr="003D361B">
        <w:rPr>
          <w:rFonts w:ascii="Times New Roman" w:eastAsia="Times New Roman" w:hAnsi="Times New Roman" w:cs="Times New Roman"/>
          <w:sz w:val="24"/>
          <w:szCs w:val="24"/>
          <w:lang w:eastAsia="en-AU"/>
        </w:rPr>
        <w:t xml:space="preserve">The current TGO 69 requirements for declaration of Schedule 1 substances do not </w:t>
      </w:r>
      <w:r>
        <w:rPr>
          <w:rFonts w:ascii="Times New Roman" w:eastAsia="Times New Roman" w:hAnsi="Times New Roman" w:cs="Times New Roman"/>
          <w:sz w:val="24"/>
          <w:szCs w:val="24"/>
          <w:lang w:eastAsia="en-AU"/>
        </w:rPr>
        <w:t>apply to prescription medicines</w:t>
      </w:r>
      <w:r w:rsidRPr="003D361B">
        <w:rPr>
          <w:rFonts w:ascii="Times New Roman" w:eastAsia="Times New Roman" w:hAnsi="Times New Roman" w:cs="Times New Roman"/>
          <w:sz w:val="24"/>
          <w:szCs w:val="24"/>
          <w:lang w:eastAsia="en-AU"/>
        </w:rPr>
        <w:t xml:space="preserve">. </w:t>
      </w:r>
      <w:r w:rsidRPr="005B2E7B">
        <w:rPr>
          <w:rFonts w:ascii="Times New Roman" w:eastAsia="Times New Roman" w:hAnsi="Times New Roman" w:cs="Times New Roman"/>
          <w:sz w:val="24"/>
          <w:szCs w:val="24"/>
          <w:lang w:eastAsia="en-AU"/>
        </w:rPr>
        <w:t xml:space="preserve"> </w:t>
      </w:r>
    </w:p>
    <w:p w:rsidR="00B315DD" w:rsidRPr="00766592" w:rsidRDefault="00B315DD" w:rsidP="00B315DD">
      <w:pPr>
        <w:shd w:val="clear" w:color="auto" w:fill="FFFFFF"/>
        <w:spacing w:before="100" w:beforeAutospacing="1" w:after="120" w:line="240" w:lineRule="auto"/>
        <w:ind w:left="360"/>
        <w:rPr>
          <w:rFonts w:ascii="Times New Roman" w:eastAsia="Times New Roman" w:hAnsi="Times New Roman" w:cs="Times New Roman"/>
          <w:sz w:val="24"/>
          <w:szCs w:val="24"/>
          <w:lang w:eastAsia="en-AU"/>
        </w:rPr>
      </w:pPr>
      <w:r w:rsidRPr="00766592">
        <w:rPr>
          <w:rFonts w:ascii="Times New Roman" w:eastAsia="Times New Roman" w:hAnsi="Times New Roman" w:cs="Times New Roman"/>
          <w:sz w:val="24"/>
          <w:szCs w:val="24"/>
          <w:lang w:eastAsia="en-AU"/>
        </w:rPr>
        <w:t xml:space="preserve">The purpose of these requirements is to </w:t>
      </w:r>
      <w:r>
        <w:rPr>
          <w:rFonts w:ascii="Times New Roman" w:eastAsia="Times New Roman" w:hAnsi="Times New Roman" w:cs="Times New Roman"/>
          <w:sz w:val="24"/>
          <w:szCs w:val="24"/>
          <w:lang w:eastAsia="en-AU"/>
        </w:rPr>
        <w:t>improve</w:t>
      </w:r>
      <w:r w:rsidRPr="00766592">
        <w:rPr>
          <w:rFonts w:ascii="Times New Roman" w:eastAsia="Times New Roman" w:hAnsi="Times New Roman" w:cs="Times New Roman"/>
          <w:sz w:val="24"/>
          <w:szCs w:val="24"/>
          <w:lang w:eastAsia="en-AU"/>
        </w:rPr>
        <w:t xml:space="preserve"> public safety because these substances have the potential to cause severe allergic reactions or result in other serious adverse health consequences in </w:t>
      </w:r>
      <w:r>
        <w:rPr>
          <w:rFonts w:ascii="Times New Roman" w:eastAsia="Times New Roman" w:hAnsi="Times New Roman" w:cs="Times New Roman"/>
          <w:sz w:val="24"/>
          <w:szCs w:val="24"/>
          <w:lang w:eastAsia="en-AU"/>
        </w:rPr>
        <w:t>some</w:t>
      </w:r>
      <w:r w:rsidRPr="00766592">
        <w:rPr>
          <w:rFonts w:ascii="Times New Roman" w:eastAsia="Times New Roman" w:hAnsi="Times New Roman" w:cs="Times New Roman"/>
          <w:sz w:val="24"/>
          <w:szCs w:val="24"/>
          <w:lang w:eastAsia="en-AU"/>
        </w:rPr>
        <w:t xml:space="preserve"> individuals.</w:t>
      </w:r>
    </w:p>
    <w:p w:rsidR="00B315DD" w:rsidRPr="00A84AA6" w:rsidRDefault="00B315DD" w:rsidP="00B315DD">
      <w:pPr>
        <w:numPr>
          <w:ilvl w:val="0"/>
          <w:numId w:val="2"/>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 xml:space="preserve">Introduction of a new requirement for a defined space to be made available for a dispensing label. </w:t>
      </w:r>
      <w:r>
        <w:rPr>
          <w:rFonts w:ascii="Times New Roman" w:eastAsia="Times New Roman" w:hAnsi="Times New Roman" w:cs="Times New Roman"/>
          <w:sz w:val="24"/>
          <w:szCs w:val="24"/>
          <w:lang w:eastAsia="en-AU"/>
        </w:rPr>
        <w:t>The purpose of this</w:t>
      </w:r>
      <w:r w:rsidRPr="00A84AA6">
        <w:rPr>
          <w:rFonts w:ascii="Times New Roman" w:eastAsia="Times New Roman" w:hAnsi="Times New Roman" w:cs="Times New Roman"/>
          <w:sz w:val="24"/>
          <w:szCs w:val="24"/>
          <w:lang w:eastAsia="en-AU"/>
        </w:rPr>
        <w:t xml:space="preserve"> is to ensure that </w:t>
      </w:r>
      <w:r>
        <w:rPr>
          <w:rFonts w:ascii="Times New Roman" w:eastAsia="Times New Roman" w:hAnsi="Times New Roman" w:cs="Times New Roman"/>
          <w:sz w:val="24"/>
          <w:szCs w:val="24"/>
          <w:lang w:eastAsia="en-AU"/>
        </w:rPr>
        <w:t>other</w:t>
      </w:r>
      <w:r w:rsidRPr="00A84AA6">
        <w:rPr>
          <w:rFonts w:ascii="Times New Roman" w:eastAsia="Times New Roman" w:hAnsi="Times New Roman" w:cs="Times New Roman"/>
          <w:sz w:val="24"/>
          <w:szCs w:val="24"/>
          <w:lang w:eastAsia="en-AU"/>
        </w:rPr>
        <w:t xml:space="preserve"> information is not covered up </w:t>
      </w:r>
      <w:r>
        <w:rPr>
          <w:rFonts w:ascii="Times New Roman" w:eastAsia="Times New Roman" w:hAnsi="Times New Roman" w:cs="Times New Roman"/>
          <w:sz w:val="24"/>
          <w:szCs w:val="24"/>
          <w:lang w:eastAsia="en-AU"/>
        </w:rPr>
        <w:t>when a</w:t>
      </w:r>
      <w:r w:rsidRPr="00A84AA6">
        <w:rPr>
          <w:rFonts w:ascii="Times New Roman" w:eastAsia="Times New Roman" w:hAnsi="Times New Roman" w:cs="Times New Roman"/>
          <w:sz w:val="24"/>
          <w:szCs w:val="24"/>
          <w:lang w:eastAsia="en-AU"/>
        </w:rPr>
        <w:t xml:space="preserve"> dispensing label</w:t>
      </w:r>
      <w:r>
        <w:rPr>
          <w:rFonts w:ascii="Times New Roman" w:eastAsia="Times New Roman" w:hAnsi="Times New Roman" w:cs="Times New Roman"/>
          <w:sz w:val="24"/>
          <w:szCs w:val="24"/>
          <w:lang w:eastAsia="en-AU"/>
        </w:rPr>
        <w:t xml:space="preserve"> is applied by a pharmacist</w:t>
      </w:r>
      <w:r w:rsidRPr="00A84AA6">
        <w:rPr>
          <w:rFonts w:ascii="Times New Roman" w:eastAsia="Times New Roman" w:hAnsi="Times New Roman" w:cs="Times New Roman"/>
          <w:sz w:val="24"/>
          <w:szCs w:val="24"/>
          <w:lang w:eastAsia="en-AU"/>
        </w:rPr>
        <w:t>.</w:t>
      </w:r>
    </w:p>
    <w:p w:rsidR="00B315DD" w:rsidRPr="00A84AA6" w:rsidRDefault="00B315DD" w:rsidP="00B315DD">
      <w:pPr>
        <w:numPr>
          <w:ilvl w:val="0"/>
          <w:numId w:val="2"/>
        </w:num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A84AA6">
        <w:rPr>
          <w:rFonts w:ascii="Times New Roman" w:eastAsia="Times New Roman" w:hAnsi="Times New Roman" w:cs="Times New Roman"/>
          <w:sz w:val="24"/>
          <w:szCs w:val="24"/>
          <w:lang w:eastAsia="en-AU"/>
        </w:rPr>
        <w:t>Introduction of a new requirement for inclusion of a machine-readable code</w:t>
      </w:r>
      <w:r>
        <w:rPr>
          <w:rFonts w:ascii="Times New Roman" w:eastAsia="Times New Roman" w:hAnsi="Times New Roman" w:cs="Times New Roman"/>
          <w:sz w:val="24"/>
          <w:szCs w:val="24"/>
          <w:lang w:eastAsia="en-AU"/>
        </w:rPr>
        <w:t>. The purpose of this requirement is to more closely align with international requirements, noting that this will</w:t>
      </w:r>
      <w:r w:rsidRPr="00A84AA6">
        <w:rPr>
          <w:rFonts w:ascii="Times New Roman" w:eastAsia="Times New Roman" w:hAnsi="Times New Roman" w:cs="Times New Roman"/>
          <w:sz w:val="24"/>
          <w:szCs w:val="24"/>
          <w:lang w:eastAsia="en-AU"/>
        </w:rPr>
        <w:t xml:space="preserve"> not preclude future convergence with the international serialisation requirements </w:t>
      </w:r>
      <w:r>
        <w:rPr>
          <w:rFonts w:ascii="Times New Roman" w:eastAsia="Times New Roman" w:hAnsi="Times New Roman" w:cs="Times New Roman"/>
          <w:sz w:val="24"/>
          <w:szCs w:val="24"/>
          <w:lang w:eastAsia="en-AU"/>
        </w:rPr>
        <w:t>for</w:t>
      </w:r>
      <w:r w:rsidRPr="00A84AA6">
        <w:rPr>
          <w:rFonts w:ascii="Times New Roman" w:eastAsia="Times New Roman" w:hAnsi="Times New Roman" w:cs="Times New Roman"/>
          <w:sz w:val="24"/>
          <w:szCs w:val="24"/>
          <w:lang w:eastAsia="en-AU"/>
        </w:rPr>
        <w:t xml:space="preserve"> prescription medicines. </w:t>
      </w:r>
    </w:p>
    <w:p w:rsidR="003D361B" w:rsidRPr="003D361B" w:rsidRDefault="003D361B" w:rsidP="003D361B">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3D361B">
        <w:rPr>
          <w:rFonts w:ascii="Times New Roman" w:eastAsia="Times New Roman" w:hAnsi="Times New Roman" w:cs="Times New Roman"/>
          <w:sz w:val="24"/>
          <w:szCs w:val="24"/>
          <w:lang w:eastAsia="en-AU"/>
        </w:rPr>
        <w:t xml:space="preserve">TGO 91 will commence </w:t>
      </w:r>
      <w:r w:rsidRPr="00B315DD">
        <w:rPr>
          <w:rFonts w:ascii="Times New Roman" w:eastAsia="Times New Roman" w:hAnsi="Times New Roman" w:cs="Times New Roman"/>
          <w:sz w:val="24"/>
          <w:szCs w:val="24"/>
          <w:lang w:eastAsia="en-AU"/>
        </w:rPr>
        <w:t xml:space="preserve">on </w:t>
      </w:r>
      <w:r w:rsidR="0003695D" w:rsidRPr="00B315DD">
        <w:rPr>
          <w:rFonts w:ascii="Times New Roman" w:eastAsia="Times New Roman" w:hAnsi="Times New Roman" w:cs="Times New Roman"/>
          <w:sz w:val="24"/>
          <w:szCs w:val="24"/>
          <w:lang w:eastAsia="en-AU"/>
        </w:rPr>
        <w:t>31 August 2016.</w:t>
      </w:r>
    </w:p>
    <w:p w:rsidR="00DE0F33" w:rsidRDefault="003D361B" w:rsidP="004943B7">
      <w:pPr>
        <w:shd w:val="clear" w:color="auto" w:fill="FFFFFF"/>
        <w:spacing w:before="100" w:beforeAutospacing="1" w:after="120" w:line="240" w:lineRule="auto"/>
        <w:rPr>
          <w:rFonts w:ascii="Times New Roman" w:eastAsia="Times New Roman" w:hAnsi="Times New Roman" w:cs="Times New Roman"/>
          <w:b/>
          <w:bCs/>
          <w:sz w:val="24"/>
          <w:szCs w:val="24"/>
          <w:lang w:eastAsia="en-AU"/>
        </w:rPr>
      </w:pPr>
      <w:r w:rsidRPr="003D361B">
        <w:rPr>
          <w:rFonts w:ascii="Times New Roman" w:eastAsia="Times New Roman" w:hAnsi="Times New Roman" w:cs="Times New Roman"/>
          <w:sz w:val="24"/>
          <w:szCs w:val="24"/>
          <w:lang w:eastAsia="en-AU"/>
        </w:rPr>
        <w:t xml:space="preserve">The intention is for TGO 69 to be re-made, thereby extending its period of operation beyond the current sun-setting date of 1 October 2017. Further, the intention is for TGO 69 to cease to be in force once the 4-year transition period for TGO 92 </w:t>
      </w:r>
      <w:r w:rsidRPr="00B315DD">
        <w:rPr>
          <w:rFonts w:ascii="Times New Roman" w:eastAsia="Times New Roman" w:hAnsi="Times New Roman" w:cs="Times New Roman"/>
          <w:sz w:val="24"/>
          <w:szCs w:val="24"/>
          <w:lang w:eastAsia="en-AU"/>
        </w:rPr>
        <w:t>ends (</w:t>
      </w:r>
      <w:r w:rsidR="0003695D" w:rsidRPr="00B315DD">
        <w:rPr>
          <w:rFonts w:ascii="Times New Roman" w:eastAsia="Times New Roman" w:hAnsi="Times New Roman" w:cs="Times New Roman"/>
          <w:sz w:val="24"/>
          <w:szCs w:val="24"/>
          <w:lang w:eastAsia="en-AU"/>
        </w:rPr>
        <w:t>1</w:t>
      </w:r>
      <w:r w:rsidR="0003695D" w:rsidRPr="00B315DD">
        <w:rPr>
          <w:rFonts w:ascii="Times New Roman" w:eastAsia="Times New Roman" w:hAnsi="Times New Roman" w:cs="Times New Roman"/>
          <w:sz w:val="24"/>
          <w:szCs w:val="24"/>
          <w:vertAlign w:val="superscript"/>
          <w:lang w:eastAsia="en-AU"/>
        </w:rPr>
        <w:t xml:space="preserve"> </w:t>
      </w:r>
      <w:r w:rsidR="0003695D" w:rsidRPr="00B315DD">
        <w:rPr>
          <w:rFonts w:ascii="Times New Roman" w:eastAsia="Times New Roman" w:hAnsi="Times New Roman" w:cs="Times New Roman"/>
          <w:sz w:val="24"/>
          <w:szCs w:val="24"/>
          <w:lang w:eastAsia="en-AU"/>
        </w:rPr>
        <w:t>September 2020).</w:t>
      </w: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943B7">
        <w:rPr>
          <w:rFonts w:ascii="Times New Roman" w:eastAsia="Times New Roman" w:hAnsi="Times New Roman" w:cs="Times New Roman"/>
          <w:b/>
          <w:bCs/>
          <w:sz w:val="24"/>
          <w:szCs w:val="24"/>
          <w:lang w:eastAsia="en-AU"/>
        </w:rPr>
        <w:t>Human rights implications</w:t>
      </w:r>
    </w:p>
    <w:p w:rsid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eastAsia="en-AU"/>
        </w:rPr>
      </w:pPr>
      <w:r w:rsidRPr="004943B7">
        <w:rPr>
          <w:rFonts w:ascii="Times New Roman" w:eastAsia="Times New Roman" w:hAnsi="Times New Roman" w:cs="Times New Roman"/>
          <w:sz w:val="24"/>
          <w:szCs w:val="24"/>
          <w:lang w:eastAsia="en-AU"/>
        </w:rPr>
        <w:t>This legislative instrument does not engage any of the applicable rights or freedoms.</w:t>
      </w: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943B7">
        <w:rPr>
          <w:rFonts w:ascii="Times New Roman" w:eastAsia="Times New Roman" w:hAnsi="Times New Roman" w:cs="Times New Roman"/>
          <w:b/>
          <w:bCs/>
          <w:sz w:val="24"/>
          <w:szCs w:val="24"/>
          <w:lang w:eastAsia="en-AU"/>
        </w:rPr>
        <w:t>Conclusion</w:t>
      </w:r>
    </w:p>
    <w:p w:rsid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4943B7">
        <w:rPr>
          <w:rFonts w:ascii="Times New Roman" w:eastAsia="Times New Roman" w:hAnsi="Times New Roman" w:cs="Times New Roman"/>
          <w:sz w:val="24"/>
          <w:szCs w:val="24"/>
          <w:lang w:eastAsia="en-AU"/>
        </w:rPr>
        <w:t>This legislative instrument is compatible with human rights as it does not raise any human rights issues.</w:t>
      </w:r>
    </w:p>
    <w:p w:rsidR="00DE0F33" w:rsidRPr="004943B7" w:rsidRDefault="00DE0F33"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p>
    <w:p w:rsidR="004943B7" w:rsidRPr="004943B7" w:rsidRDefault="004943B7" w:rsidP="004943B7">
      <w:pPr>
        <w:shd w:val="clear" w:color="auto" w:fill="FFFFFF"/>
        <w:spacing w:before="100" w:beforeAutospacing="1" w:after="120" w:line="240" w:lineRule="auto"/>
        <w:rPr>
          <w:rFonts w:ascii="Times New Roman" w:eastAsia="Times New Roman" w:hAnsi="Times New Roman" w:cs="Times New Roman"/>
          <w:sz w:val="24"/>
          <w:szCs w:val="24"/>
          <w:lang w:val="en-US" w:eastAsia="en-AU"/>
        </w:rPr>
      </w:pPr>
      <w:r w:rsidRPr="00BC490F">
        <w:rPr>
          <w:rFonts w:ascii="Times New Roman" w:eastAsia="Times New Roman" w:hAnsi="Times New Roman" w:cs="Times New Roman"/>
          <w:b/>
          <w:bCs/>
          <w:sz w:val="24"/>
          <w:szCs w:val="24"/>
          <w:lang w:eastAsia="en-AU"/>
        </w:rPr>
        <w:t>Harry Rothenfluh, delegate of the Minister for Health</w:t>
      </w:r>
      <w:r w:rsidR="00BC490F" w:rsidRPr="00BC490F">
        <w:rPr>
          <w:rFonts w:ascii="Times New Roman" w:eastAsia="Times New Roman" w:hAnsi="Times New Roman" w:cs="Times New Roman"/>
          <w:b/>
          <w:bCs/>
          <w:sz w:val="24"/>
          <w:szCs w:val="24"/>
          <w:lang w:eastAsia="en-AU"/>
        </w:rPr>
        <w:t xml:space="preserve"> and Aged Care</w:t>
      </w:r>
    </w:p>
    <w:p w:rsidR="009733D5" w:rsidRDefault="009733D5"/>
    <w:sectPr w:rsidR="009733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8E7" w:rsidRDefault="008F58E7" w:rsidP="008F58E7">
      <w:pPr>
        <w:spacing w:after="0" w:line="240" w:lineRule="auto"/>
      </w:pPr>
      <w:r>
        <w:separator/>
      </w:r>
    </w:p>
  </w:endnote>
  <w:endnote w:type="continuationSeparator" w:id="0">
    <w:p w:rsidR="008F58E7" w:rsidRDefault="008F58E7"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8E7" w:rsidRDefault="008F58E7" w:rsidP="008F58E7">
      <w:pPr>
        <w:spacing w:after="0" w:line="240" w:lineRule="auto"/>
      </w:pPr>
      <w:r>
        <w:separator/>
      </w:r>
    </w:p>
  </w:footnote>
  <w:footnote w:type="continuationSeparator" w:id="0">
    <w:p w:rsidR="008F58E7" w:rsidRDefault="008F58E7" w:rsidP="008F5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27"/>
    <w:rsid w:val="0003695D"/>
    <w:rsid w:val="00043196"/>
    <w:rsid w:val="000731E4"/>
    <w:rsid w:val="00087384"/>
    <w:rsid w:val="001104A3"/>
    <w:rsid w:val="001567D7"/>
    <w:rsid w:val="00181566"/>
    <w:rsid w:val="00183176"/>
    <w:rsid w:val="001E15C1"/>
    <w:rsid w:val="001E66DE"/>
    <w:rsid w:val="001F0015"/>
    <w:rsid w:val="00215F20"/>
    <w:rsid w:val="0023465C"/>
    <w:rsid w:val="0027771C"/>
    <w:rsid w:val="00285E91"/>
    <w:rsid w:val="00294CAA"/>
    <w:rsid w:val="002C48CA"/>
    <w:rsid w:val="002F2A73"/>
    <w:rsid w:val="00304C4C"/>
    <w:rsid w:val="0034243B"/>
    <w:rsid w:val="003475EA"/>
    <w:rsid w:val="003B024B"/>
    <w:rsid w:val="003D2E63"/>
    <w:rsid w:val="003D361B"/>
    <w:rsid w:val="00470227"/>
    <w:rsid w:val="004943B7"/>
    <w:rsid w:val="005B2E7B"/>
    <w:rsid w:val="006619CF"/>
    <w:rsid w:val="00687415"/>
    <w:rsid w:val="006A0F28"/>
    <w:rsid w:val="00766592"/>
    <w:rsid w:val="0078055F"/>
    <w:rsid w:val="007A0068"/>
    <w:rsid w:val="007A282F"/>
    <w:rsid w:val="007A6DB0"/>
    <w:rsid w:val="0082435D"/>
    <w:rsid w:val="00875D95"/>
    <w:rsid w:val="008F58E7"/>
    <w:rsid w:val="009538CC"/>
    <w:rsid w:val="0096702D"/>
    <w:rsid w:val="009733D5"/>
    <w:rsid w:val="00985CE7"/>
    <w:rsid w:val="009967AB"/>
    <w:rsid w:val="009A25BD"/>
    <w:rsid w:val="009B611E"/>
    <w:rsid w:val="009E35FF"/>
    <w:rsid w:val="00A14FF6"/>
    <w:rsid w:val="00A311CF"/>
    <w:rsid w:val="00A37484"/>
    <w:rsid w:val="00A84AA6"/>
    <w:rsid w:val="00B273DF"/>
    <w:rsid w:val="00B315DD"/>
    <w:rsid w:val="00B376BB"/>
    <w:rsid w:val="00B569CA"/>
    <w:rsid w:val="00B74BE8"/>
    <w:rsid w:val="00BA3DF2"/>
    <w:rsid w:val="00BB51FE"/>
    <w:rsid w:val="00BC490F"/>
    <w:rsid w:val="00BC5C4B"/>
    <w:rsid w:val="00BF1C90"/>
    <w:rsid w:val="00C178B7"/>
    <w:rsid w:val="00C226B6"/>
    <w:rsid w:val="00C4382B"/>
    <w:rsid w:val="00C579EA"/>
    <w:rsid w:val="00C91491"/>
    <w:rsid w:val="00D44D37"/>
    <w:rsid w:val="00D76D27"/>
    <w:rsid w:val="00DE0F33"/>
    <w:rsid w:val="00DE2E44"/>
    <w:rsid w:val="00DF02E2"/>
    <w:rsid w:val="00E009D1"/>
    <w:rsid w:val="00E128F2"/>
    <w:rsid w:val="00EE2B19"/>
    <w:rsid w:val="00F4372C"/>
    <w:rsid w:val="00F72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semiHidden/>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List Bullet 2" w:uiPriority="2" w:qFormat="1"/>
    <w:lsdException w:name="List Bullet 3"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semiHidden/>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1821</Words>
  <Characters>10381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Goodenough, Rosemary</dc:creator>
  <cp:lastModifiedBy>Carter, Bless</cp:lastModifiedBy>
  <cp:revision>2</cp:revision>
  <dcterms:created xsi:type="dcterms:W3CDTF">2016-08-10T05:44:00Z</dcterms:created>
  <dcterms:modified xsi:type="dcterms:W3CDTF">2016-08-10T05:44:00Z</dcterms:modified>
</cp:coreProperties>
</file>