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A5787" w:rsidP="006647B7">
      <w:pPr>
        <w:pStyle w:val="Plainheader"/>
      </w:pPr>
      <w:bookmarkStart w:id="0" w:name="SoP_Name_Title"/>
      <w:r>
        <w:t>GANGLION</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2166CF">
        <w:t>71</w:t>
      </w:r>
      <w:r w:rsidRPr="00024911">
        <w:t xml:space="preserve"> of</w:t>
      </w:r>
      <w:r w:rsidR="00085567">
        <w:t xml:space="preserve"> </w:t>
      </w:r>
      <w:bookmarkStart w:id="1" w:name="year"/>
      <w:r w:rsidR="002A5787">
        <w:t>2016</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166CF">
        <w:t>26 August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2166CF" w:rsidRPr="00326052" w:rsidRDefault="002166CF" w:rsidP="002166CF">
      <w:pPr>
        <w:pStyle w:val="Plain"/>
      </w:pPr>
      <w:r w:rsidRPr="00326052">
        <w:t>The Common Seal of the</w:t>
      </w:r>
      <w:r w:rsidRPr="00326052">
        <w:br/>
        <w:t>Repatriation Medical Authority</w:t>
      </w:r>
      <w:r w:rsidRPr="00326052">
        <w:br/>
        <w:t>was affixed to this instrument</w:t>
      </w:r>
      <w:r w:rsidRPr="00326052">
        <w:br/>
        <w:t>at the direction of:</w:t>
      </w:r>
    </w:p>
    <w:p w:rsidR="002166CF" w:rsidRPr="00326052" w:rsidRDefault="002166CF" w:rsidP="002166CF">
      <w:pPr>
        <w:pStyle w:val="Plain"/>
      </w:pPr>
      <w:r w:rsidRPr="00326052">
        <w:rPr>
          <w:noProof/>
        </w:rPr>
        <w:drawing>
          <wp:anchor distT="0" distB="0" distL="114300" distR="114300" simplePos="0" relativeHeight="251659264" behindDoc="1" locked="0" layoutInCell="1" allowOverlap="1" wp14:anchorId="2FDF63A8" wp14:editId="27FEE512">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p>
    <w:p w:rsidR="002166CF" w:rsidRPr="00326052" w:rsidRDefault="002166CF" w:rsidP="002166CF">
      <w:pPr>
        <w:pStyle w:val="Plain"/>
      </w:pPr>
      <w:r w:rsidRPr="00326052">
        <w:t>Professor Nicholas Saunders AO</w:t>
      </w:r>
    </w:p>
    <w:p w:rsidR="002166CF" w:rsidRPr="007527C1" w:rsidRDefault="002166CF" w:rsidP="002166CF">
      <w:pPr>
        <w:pStyle w:val="Plain"/>
      </w:pPr>
      <w:r w:rsidRPr="0032605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2A578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A5787">
        <w:rPr>
          <w:noProof/>
        </w:rPr>
        <w:t>1</w:t>
      </w:r>
      <w:r w:rsidR="002A5787">
        <w:rPr>
          <w:rFonts w:asciiTheme="minorHAnsi" w:eastAsiaTheme="minorEastAsia" w:hAnsiTheme="minorHAnsi" w:cstheme="minorBidi"/>
          <w:noProof/>
          <w:kern w:val="0"/>
          <w:sz w:val="22"/>
          <w:szCs w:val="22"/>
        </w:rPr>
        <w:tab/>
      </w:r>
      <w:r w:rsidR="002A5787">
        <w:rPr>
          <w:noProof/>
        </w:rPr>
        <w:t>Name</w:t>
      </w:r>
      <w:r w:rsidR="002A5787">
        <w:rPr>
          <w:noProof/>
        </w:rPr>
        <w:tab/>
      </w:r>
      <w:r w:rsidR="002A5787">
        <w:rPr>
          <w:noProof/>
        </w:rPr>
        <w:fldChar w:fldCharType="begin"/>
      </w:r>
      <w:r w:rsidR="002A5787">
        <w:rPr>
          <w:noProof/>
        </w:rPr>
        <w:instrText xml:space="preserve"> PAGEREF _Toc454964459 \h </w:instrText>
      </w:r>
      <w:r w:rsidR="002A5787">
        <w:rPr>
          <w:noProof/>
        </w:rPr>
      </w:r>
      <w:r w:rsidR="002A5787">
        <w:rPr>
          <w:noProof/>
        </w:rPr>
        <w:fldChar w:fldCharType="separate"/>
      </w:r>
      <w:r w:rsidR="00694A22">
        <w:rPr>
          <w:noProof/>
        </w:rPr>
        <w:t>3</w:t>
      </w:r>
      <w:r w:rsidR="002A5787">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_Toc454964460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_Toc454964461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_Toc454964462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_Toc454964463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_Toc454964464 \h </w:instrText>
      </w:r>
      <w:r>
        <w:rPr>
          <w:noProof/>
        </w:rPr>
      </w:r>
      <w:r>
        <w:rPr>
          <w:noProof/>
        </w:rPr>
        <w:fldChar w:fldCharType="separate"/>
      </w:r>
      <w:r w:rsidR="00694A22">
        <w:rPr>
          <w:noProof/>
        </w:rPr>
        <w:t>3</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_Toc454964465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_Toc454964466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_Toc454964467 \h </w:instrText>
      </w:r>
      <w:r>
        <w:rPr>
          <w:noProof/>
        </w:rPr>
      </w:r>
      <w:r>
        <w:rPr>
          <w:noProof/>
        </w:rPr>
        <w:fldChar w:fldCharType="separate"/>
      </w:r>
      <w:r w:rsidR="00694A22">
        <w:rPr>
          <w:noProof/>
        </w:rPr>
        <w:t>4</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_Toc454964468 \h </w:instrText>
      </w:r>
      <w:r>
        <w:rPr>
          <w:noProof/>
        </w:rPr>
      </w:r>
      <w:r>
        <w:rPr>
          <w:noProof/>
        </w:rPr>
        <w:fldChar w:fldCharType="separate"/>
      </w:r>
      <w:r w:rsidR="00694A22">
        <w:rPr>
          <w:noProof/>
        </w:rPr>
        <w:t>4</w:t>
      </w:r>
      <w:r>
        <w:rPr>
          <w:noProof/>
        </w:rPr>
        <w:fldChar w:fldCharType="end"/>
      </w:r>
    </w:p>
    <w:p w:rsidR="002A5787" w:rsidRDefault="002A578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_Toc454964469 \h </w:instrText>
      </w:r>
      <w:r>
        <w:rPr>
          <w:noProof/>
        </w:rPr>
      </w:r>
      <w:r>
        <w:rPr>
          <w:noProof/>
        </w:rPr>
        <w:fldChar w:fldCharType="separate"/>
      </w:r>
      <w:r w:rsidR="00694A22">
        <w:rPr>
          <w:noProof/>
        </w:rPr>
        <w:t>6</w:t>
      </w:r>
      <w:r>
        <w:rPr>
          <w:noProof/>
        </w:rPr>
        <w:fldChar w:fldCharType="end"/>
      </w:r>
    </w:p>
    <w:p w:rsidR="002A5787" w:rsidRDefault="002A578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_Toc454964470 \h </w:instrText>
      </w:r>
      <w:r>
        <w:rPr>
          <w:noProof/>
        </w:rPr>
      </w:r>
      <w:r>
        <w:rPr>
          <w:noProof/>
        </w:rPr>
        <w:fldChar w:fldCharType="separate"/>
      </w:r>
      <w:r w:rsidR="00694A22">
        <w:rPr>
          <w:noProof/>
        </w:rPr>
        <w:t>6</w:t>
      </w:r>
      <w:r>
        <w:rPr>
          <w:noProof/>
        </w:rPr>
        <w:fldChar w:fldCharType="end"/>
      </w:r>
    </w:p>
    <w:p w:rsidR="003A2FFE" w:rsidRDefault="002A3436" w:rsidP="00715914">
      <w:r>
        <w:rPr>
          <w:rFonts w:eastAsia="Times New Roman"/>
          <w:b/>
          <w:kern w:val="28"/>
          <w:sz w:val="18"/>
          <w:lang w:eastAsia="en-AU"/>
        </w:rPr>
        <w:fldChar w:fldCharType="end"/>
      </w:r>
    </w:p>
    <w:p w:rsidR="00DC2E11" w:rsidRDefault="00DC2E11" w:rsidP="00DC2E11">
      <w:pPr>
        <w:tabs>
          <w:tab w:val="left" w:pos="3631"/>
        </w:tabs>
      </w:pPr>
    </w:p>
    <w:p w:rsidR="00DC2E11" w:rsidRDefault="00DC2E11" w:rsidP="00DC2E11">
      <w:r w:rsidRPr="003A2FFE">
        <w:br w:type="page"/>
      </w:r>
    </w:p>
    <w:p w:rsidR="00877AE3" w:rsidRDefault="00877AE3" w:rsidP="0069220C">
      <w:pPr>
        <w:pStyle w:val="LV1"/>
        <w:numPr>
          <w:ilvl w:val="0"/>
          <w:numId w:val="19"/>
        </w:numPr>
      </w:pPr>
      <w:bookmarkStart w:id="3" w:name="_Toc454964459"/>
      <w:bookmarkStart w:id="4" w:name="_GoBack"/>
      <w:bookmarkEnd w:id="4"/>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A5787">
        <w:rPr>
          <w:i/>
        </w:rPr>
        <w:t>ganglion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166CF">
        <w:t>71</w:t>
      </w:r>
      <w:r w:rsidR="00085567">
        <w:t xml:space="preserve"> </w:t>
      </w:r>
      <w:r w:rsidR="00E55F66" w:rsidRPr="00F97A62">
        <w:t>of</w:t>
      </w:r>
      <w:r w:rsidR="00085567">
        <w:t xml:space="preserve"> </w:t>
      </w:r>
      <w:r w:rsidR="002A5787">
        <w:t>2016</w:t>
      </w:r>
      <w:r w:rsidR="00E55F66" w:rsidRPr="00F97A62">
        <w:t>)</w:t>
      </w:r>
      <w:r w:rsidRPr="00F97A62">
        <w:t>.</w:t>
      </w:r>
    </w:p>
    <w:p w:rsidR="00F67B67" w:rsidRPr="00684C0E" w:rsidRDefault="00F67B67" w:rsidP="0069220C">
      <w:pPr>
        <w:pStyle w:val="LV1"/>
      </w:pPr>
      <w:bookmarkStart w:id="7" w:name="_Toc45496446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2166CF" w:rsidRPr="002166CF">
        <w:t>26 September 2016</w:t>
      </w:r>
      <w:r w:rsidR="00F67B67" w:rsidRPr="007527C1">
        <w:t>.</w:t>
      </w:r>
    </w:p>
    <w:p w:rsidR="00F67B67" w:rsidRPr="00684C0E" w:rsidRDefault="00F67B67" w:rsidP="0069220C">
      <w:pPr>
        <w:pStyle w:val="LV1"/>
      </w:pPr>
      <w:bookmarkStart w:id="8" w:name="_Toc45496446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69220C">
      <w:pPr>
        <w:pStyle w:val="LV1"/>
      </w:pPr>
      <w:bookmarkStart w:id="9" w:name="_Toc454964462"/>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5496446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5496446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2A5787" w:rsidRPr="002A5787">
        <w:t>ganglion</w:t>
      </w:r>
      <w:r w:rsidR="00D5620B" w:rsidRPr="002F77A1">
        <w:t xml:space="preserve"> </w:t>
      </w:r>
      <w:r w:rsidRPr="002F77A1">
        <w:t>and death</w:t>
      </w:r>
      <w:r w:rsidRPr="00D5620B">
        <w:t xml:space="preserve"> from</w:t>
      </w:r>
      <w:r w:rsidR="002F77A1">
        <w:t xml:space="preserve"> </w:t>
      </w:r>
      <w:r w:rsidR="002A5787" w:rsidRPr="002A5787">
        <w:t>ganglion</w:t>
      </w:r>
      <w:r w:rsidRPr="00D5620B">
        <w:t>.</w:t>
      </w:r>
      <w:bookmarkEnd w:id="16"/>
    </w:p>
    <w:p w:rsidR="00215860" w:rsidRPr="00C670B0" w:rsidRDefault="00215860" w:rsidP="00C670B0">
      <w:pPr>
        <w:pStyle w:val="LVtext"/>
      </w:pPr>
      <w:r w:rsidRPr="00C670B0">
        <w:t>Meaning of</w:t>
      </w:r>
      <w:r w:rsidR="00D60FC8" w:rsidRPr="00C670B0">
        <w:t xml:space="preserve"> </w:t>
      </w:r>
      <w:r w:rsidR="002A5787" w:rsidRPr="002A5787">
        <w:rPr>
          <w:b/>
        </w:rPr>
        <w:t>ganglion</w:t>
      </w:r>
    </w:p>
    <w:p w:rsidR="002716E4" w:rsidRPr="00237BAF" w:rsidRDefault="007C7DEE" w:rsidP="003802D6">
      <w:pPr>
        <w:pStyle w:val="LV2"/>
      </w:pPr>
      <w:bookmarkStart w:id="17" w:name="_Ref409598124"/>
      <w:bookmarkStart w:id="18" w:name="_Ref402529683"/>
      <w:r w:rsidRPr="00237BAF">
        <w:t>For the purposes of this Statement of Principles,</w:t>
      </w:r>
      <w:r w:rsidR="002F77A1" w:rsidRPr="002F77A1">
        <w:t xml:space="preserve"> </w:t>
      </w:r>
      <w:r w:rsidR="002A5787" w:rsidRPr="002A5787">
        <w:t>ganglion</w:t>
      </w:r>
      <w:r w:rsidR="008B170B">
        <w:t xml:space="preserve"> means</w:t>
      </w:r>
      <w:r w:rsidR="002716E4" w:rsidRPr="00237BAF">
        <w:t>:</w:t>
      </w:r>
      <w:bookmarkEnd w:id="17"/>
    </w:p>
    <w:bookmarkEnd w:id="18"/>
    <w:p w:rsidR="004D0B9A" w:rsidRDefault="004D0B9A" w:rsidP="004D0B9A">
      <w:pPr>
        <w:pStyle w:val="LV3"/>
      </w:pPr>
      <w:r>
        <w:t>a benign</w:t>
      </w:r>
      <w:r w:rsidR="003841C3">
        <w:t>,</w:t>
      </w:r>
      <w:r>
        <w:t xml:space="preserve"> cystic lesion overlying a joint or tendon, consisting of a thin fibrous capsule enclosing clear mucinous fluid</w:t>
      </w:r>
      <w:r w:rsidR="006C0FEE">
        <w:t xml:space="preserve"> which</w:t>
      </w:r>
      <w:r>
        <w:t xml:space="preserve"> occurs commonly in the wrist and may be accompanied by pain, weakness and loss of function; and</w:t>
      </w:r>
    </w:p>
    <w:p w:rsidR="007C7DEE" w:rsidRPr="008E76DC" w:rsidRDefault="004D0B9A" w:rsidP="004D0B9A">
      <w:pPr>
        <w:pStyle w:val="LV3"/>
      </w:pPr>
      <w:r>
        <w:tab/>
        <w:t>excludes cyst of bursa, cyst of synovium and ganglion in yaws.</w:t>
      </w:r>
    </w:p>
    <w:p w:rsidR="008F572A" w:rsidRPr="00237BAF" w:rsidRDefault="008F572A" w:rsidP="003802D6">
      <w:pPr>
        <w:pStyle w:val="LV2"/>
      </w:pPr>
      <w:r w:rsidRPr="00237BAF">
        <w:t xml:space="preserve">While </w:t>
      </w:r>
      <w:r w:rsidR="002A5787" w:rsidRPr="002A5787">
        <w:t>ganglion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4D0B9A">
        <w:t xml:space="preserve">code </w:t>
      </w:r>
      <w:r w:rsidR="004D0B9A" w:rsidRPr="004D0B9A">
        <w:t>M67.4</w:t>
      </w:r>
      <w:r w:rsidR="00885EAB" w:rsidRPr="004D0B9A">
        <w:t>,</w:t>
      </w:r>
      <w:r w:rsidRPr="004D0B9A">
        <w:t xml:space="preserve"> in </w:t>
      </w:r>
      <w:r w:rsidRPr="00237BAF">
        <w:t xml:space="preserve">applying this Statement of Principles the </w:t>
      </w:r>
      <w:r w:rsidR="00FA33FB" w:rsidRPr="00D5620B">
        <w:t xml:space="preserve">meaning </w:t>
      </w:r>
      <w:r w:rsidRPr="00D5620B">
        <w:t xml:space="preserve">of </w:t>
      </w:r>
      <w:r w:rsidR="002A5787" w:rsidRPr="002A5787">
        <w:t>ganglion</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lastRenderedPageBreak/>
        <w:t>Death from</w:t>
      </w:r>
      <w:r w:rsidR="008F572A" w:rsidRPr="00237BAF">
        <w:t xml:space="preserve"> </w:t>
      </w:r>
      <w:r w:rsidR="002A5787" w:rsidRPr="002A5787">
        <w:rPr>
          <w:b/>
        </w:rPr>
        <w:t>ganglion</w:t>
      </w:r>
    </w:p>
    <w:p w:rsidR="008F572A" w:rsidRPr="00237BAF" w:rsidRDefault="008F572A" w:rsidP="003802D6">
      <w:pPr>
        <w:pStyle w:val="LV2"/>
      </w:pPr>
      <w:r w:rsidRPr="00237BAF">
        <w:t xml:space="preserve">For the purposes of this Statement of </w:t>
      </w:r>
      <w:r w:rsidR="00D5620B">
        <w:t xml:space="preserve">Principles, </w:t>
      </w:r>
      <w:r w:rsidR="002A5787" w:rsidRPr="002A5787">
        <w:t>ganglion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2A5787" w:rsidRPr="002A5787">
        <w:t>ganglion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69220C">
      <w:pPr>
        <w:pStyle w:val="LV1"/>
      </w:pPr>
      <w:bookmarkStart w:id="19" w:name="_Toc454964465"/>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A5787" w:rsidRPr="002A5787">
        <w:t>ganglion</w:t>
      </w:r>
      <w:r>
        <w:t xml:space="preserve"> </w:t>
      </w:r>
      <w:r w:rsidRPr="00D5620B">
        <w:t>and death from</w:t>
      </w:r>
      <w:r>
        <w:t xml:space="preserve"> </w:t>
      </w:r>
      <w:r w:rsidR="002A5787" w:rsidRPr="002A5787">
        <w:t>ganglion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54964466"/>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A5787" w:rsidRPr="002A5787">
        <w:t>ganglion</w:t>
      </w:r>
      <w:r w:rsidR="007A3989">
        <w:t xml:space="preserve"> </w:t>
      </w:r>
      <w:r w:rsidR="007C7DEE" w:rsidRPr="00AA6D8B">
        <w:t xml:space="preserve">or death from </w:t>
      </w:r>
      <w:r w:rsidR="002A5787" w:rsidRPr="002A5787">
        <w:t>ganglion</w:t>
      </w:r>
      <w:r w:rsidR="007A3989">
        <w:t xml:space="preserve"> </w:t>
      </w:r>
      <w:r w:rsidR="007C7DEE" w:rsidRPr="00AA6D8B">
        <w:t>with the circumstances of a pers</w:t>
      </w:r>
      <w:r w:rsidR="002A1ECC" w:rsidRPr="00AA6D8B">
        <w:t>on</w:t>
      </w:r>
      <w:r w:rsidR="00832FEA">
        <w:t>'</w:t>
      </w:r>
      <w:r w:rsidR="002A1ECC" w:rsidRPr="00AA6D8B">
        <w:t>s relevant service</w:t>
      </w:r>
      <w:r w:rsidR="007C7DEE" w:rsidRPr="00AA6D8B">
        <w:t>:</w:t>
      </w:r>
      <w:bookmarkEnd w:id="24"/>
    </w:p>
    <w:p w:rsidR="007C7DEE" w:rsidRPr="008D1B8B" w:rsidRDefault="004D0B9A" w:rsidP="006647B7">
      <w:pPr>
        <w:pStyle w:val="LV2"/>
      </w:pPr>
      <w:r>
        <w:t>having acute t</w:t>
      </w:r>
      <w:r w:rsidRPr="0072001A">
        <w:t>rauma</w:t>
      </w:r>
      <w:r>
        <w:t xml:space="preserve"> to the affected joint or tendon within the one year before the clinical onset of ganglion;</w:t>
      </w:r>
    </w:p>
    <w:p w:rsidR="00885EAB" w:rsidRPr="00046E67" w:rsidRDefault="00046E67" w:rsidP="002717B2">
      <w:pPr>
        <w:pStyle w:val="NOTE"/>
      </w:pPr>
      <w:r>
        <w:t xml:space="preserve">Note: </w:t>
      </w:r>
      <w:r w:rsidR="004D0B9A" w:rsidRPr="004D0B9A">
        <w:rPr>
          <w:b/>
          <w:i/>
        </w:rPr>
        <w:t>acute trauma to the affected joint or tendon</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7C7DEE" w:rsidRPr="008D1B8B" w:rsidRDefault="007C7DEE" w:rsidP="003802D6">
      <w:pPr>
        <w:pStyle w:val="LV2"/>
      </w:pPr>
      <w:bookmarkStart w:id="25" w:name="_Ref402530260"/>
      <w:bookmarkStart w:id="26" w:name="_Ref409598844"/>
      <w:r w:rsidRPr="008D1B8B">
        <w:t>inability to obtain appropriate clinical management for</w:t>
      </w:r>
      <w:bookmarkEnd w:id="25"/>
      <w:r w:rsidR="007A3989">
        <w:t xml:space="preserve"> </w:t>
      </w:r>
      <w:r w:rsidR="002A5787" w:rsidRPr="002A5787">
        <w:t>ganglion</w:t>
      </w:r>
      <w:r w:rsidR="00D5620B" w:rsidRPr="008D1B8B">
        <w:t>.</w:t>
      </w:r>
      <w:bookmarkEnd w:id="26"/>
    </w:p>
    <w:p w:rsidR="000C21A3" w:rsidRPr="00684C0E" w:rsidRDefault="00D32F71" w:rsidP="0069220C">
      <w:pPr>
        <w:pStyle w:val="LV1"/>
      </w:pPr>
      <w:bookmarkStart w:id="27" w:name="_Toc454964467"/>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 xml:space="preserve">The factor set out in </w:t>
      </w:r>
      <w:r w:rsidR="009056AF">
        <w:t>subsection</w:t>
      </w:r>
      <w:r w:rsidR="00FF1D47">
        <w:t xml:space="preserve"> 8(</w:t>
      </w:r>
      <w:r w:rsidR="004D0B9A">
        <w:t>2</w:t>
      </w:r>
      <w:r w:rsidR="00FF1D47">
        <w:t xml:space="preserve">) </w:t>
      </w:r>
      <w:r w:rsidRPr="00187DE1">
        <w:t xml:space="preserve">applies only to material contribution to, or aggravation of, </w:t>
      </w:r>
      <w:r w:rsidR="002A5787" w:rsidRPr="002A5787">
        <w:t>ganglion</w:t>
      </w:r>
      <w:r w:rsidR="007A3989">
        <w:t xml:space="preserve"> </w:t>
      </w:r>
      <w:r w:rsidRPr="00187DE1">
        <w:t>where the person</w:t>
      </w:r>
      <w:r w:rsidR="00832FEA">
        <w:t>'</w:t>
      </w:r>
      <w:r w:rsidRPr="00187DE1">
        <w:t xml:space="preserve">s </w:t>
      </w:r>
      <w:r w:rsidR="002A5787" w:rsidRPr="002A5787">
        <w:t>ganglion</w:t>
      </w:r>
      <w:r w:rsidR="007A3989">
        <w:t xml:space="preserve"> </w:t>
      </w:r>
      <w:r w:rsidRPr="00187DE1">
        <w:t>was suffered or contracted before or during (but did not arise out of) the person</w:t>
      </w:r>
      <w:r w:rsidR="00832FEA">
        <w:t>'</w:t>
      </w:r>
      <w:r w:rsidRPr="00187DE1">
        <w:t xml:space="preserve">s relevant service. </w:t>
      </w:r>
    </w:p>
    <w:p w:rsidR="00774897" w:rsidRPr="00301C54" w:rsidRDefault="00774897" w:rsidP="0069220C">
      <w:pPr>
        <w:pStyle w:val="LV1"/>
      </w:pPr>
      <w:bookmarkStart w:id="29" w:name="_Toc454964468"/>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F06FF0">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496446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4964470"/>
      <w:r w:rsidRPr="00D97BB3">
        <w:t>Definitions</w:t>
      </w:r>
      <w:bookmarkEnd w:id="33"/>
      <w:bookmarkEnd w:id="34"/>
    </w:p>
    <w:p w:rsidR="00702C42" w:rsidRPr="00516768" w:rsidRDefault="00702C42" w:rsidP="00F97A62">
      <w:pPr>
        <w:pStyle w:val="SH2"/>
      </w:pPr>
      <w:r w:rsidRPr="00516768">
        <w:t>In this instrument:</w:t>
      </w:r>
    </w:p>
    <w:p w:rsidR="004D0B9A" w:rsidRDefault="004D0B9A" w:rsidP="004D0B9A">
      <w:pPr>
        <w:pStyle w:val="SH3"/>
      </w:pPr>
      <w:bookmarkStart w:id="35" w:name="_Ref402530810"/>
      <w:r w:rsidRPr="004D0B9A">
        <w:rPr>
          <w:b/>
          <w:i/>
        </w:rPr>
        <w:t>acute trauma to the affected joint or tendon</w:t>
      </w:r>
      <w:r>
        <w:t xml:space="preserve"> means a discrete event involving the application of significant physical force to or through the affected joint or tendon, that causes damage to the joint or tendon and the development, within 24 hours of the event occurring, of symptoms and signs of pain, and tenderness, and either altered mobility or range of movement of the joint or tendon.  These symptoms and signs must last for a period of at least seven days following their onset; save for where medical intervention for the trauma to that joint or tendon has occurred and that medical intervention involves either:</w:t>
      </w:r>
    </w:p>
    <w:p w:rsidR="004D0B9A" w:rsidRDefault="004D0B9A" w:rsidP="004D0B9A">
      <w:pPr>
        <w:pStyle w:val="SH4"/>
        <w:ind w:left="1418"/>
      </w:pPr>
      <w:r>
        <w:t xml:space="preserve">immobilisation of the joint, tendon or limb by splinting, or similar external agent; or </w:t>
      </w:r>
    </w:p>
    <w:p w:rsidR="004D0B9A" w:rsidRDefault="004D0B9A" w:rsidP="004D0B9A">
      <w:pPr>
        <w:pStyle w:val="SH4"/>
        <w:ind w:left="1418"/>
      </w:pPr>
      <w:r>
        <w:t xml:space="preserve">injection of corticosteroids or local anaesthetics into that joint or around the tendon; or </w:t>
      </w:r>
    </w:p>
    <w:p w:rsidR="004D0B9A" w:rsidRDefault="004D0B9A" w:rsidP="004D0B9A">
      <w:pPr>
        <w:pStyle w:val="SH4"/>
        <w:ind w:left="1418"/>
      </w:pPr>
      <w:r>
        <w:t>surgery to that joint or tendon.</w:t>
      </w:r>
    </w:p>
    <w:p w:rsidR="004D0B9A" w:rsidRPr="00513D05" w:rsidRDefault="004D0B9A" w:rsidP="004D0B9A">
      <w:pPr>
        <w:pStyle w:val="SH3"/>
        <w:ind w:left="851" w:hanging="851"/>
      </w:pPr>
      <w:r w:rsidRPr="002A5787">
        <w:rPr>
          <w:b/>
          <w:i/>
        </w:rPr>
        <w:t>ganglion</w:t>
      </w:r>
      <w:r w:rsidRPr="00513D05">
        <w:t>—see subsection</w:t>
      </w:r>
      <w:r>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117E4A">
      <w:pPr>
        <w:pStyle w:val="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94A22" w:rsidRPr="00694A22">
            <w:rPr>
              <w:i/>
              <w:sz w:val="18"/>
              <w:szCs w:val="18"/>
            </w:rPr>
            <w:t>Ganglion</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694A22">
            <w:rPr>
              <w:b/>
              <w:bCs/>
              <w:i/>
              <w:sz w:val="18"/>
              <w:szCs w:val="18"/>
              <w:lang w:val="en-US"/>
            </w:rPr>
            <w:t>Error! Reference source not found.</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694A22" w:rsidRPr="00694A22">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94A22">
            <w:rPr>
              <w:i/>
              <w:noProof/>
              <w:sz w:val="18"/>
            </w:rPr>
            <w:t>6</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2A5787" w:rsidP="005226B5">
          <w:pPr>
            <w:spacing w:line="0" w:lineRule="atLeast"/>
            <w:jc w:val="center"/>
            <w:rPr>
              <w:i/>
              <w:sz w:val="18"/>
              <w:szCs w:val="18"/>
            </w:rPr>
          </w:pPr>
          <w:r w:rsidRPr="002A5787">
            <w:rPr>
              <w:i/>
              <w:sz w:val="18"/>
              <w:szCs w:val="18"/>
            </w:rPr>
            <w:t>Ganglion</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2166CF">
            <w:rPr>
              <w:i/>
              <w:sz w:val="18"/>
              <w:szCs w:val="18"/>
            </w:rPr>
            <w:t>71</w:t>
          </w:r>
          <w:r w:rsidR="005226B5" w:rsidRPr="007C5CE0">
            <w:rPr>
              <w:i/>
              <w:sz w:val="18"/>
              <w:szCs w:val="18"/>
            </w:rPr>
            <w:t xml:space="preserve"> of </w:t>
          </w:r>
          <w:r w:rsidRPr="002A5787">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2E11">
            <w:rPr>
              <w:i/>
              <w:noProof/>
              <w:sz w:val="18"/>
            </w:rPr>
            <w:t>3</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C2E11">
            <w:rPr>
              <w:i/>
              <w:noProof/>
              <w:sz w:val="18"/>
            </w:rPr>
            <w:t>5</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2A5787" w:rsidP="005226B5">
          <w:pPr>
            <w:spacing w:line="0" w:lineRule="atLeast"/>
            <w:jc w:val="center"/>
            <w:rPr>
              <w:i/>
              <w:sz w:val="18"/>
              <w:szCs w:val="18"/>
            </w:rPr>
          </w:pPr>
          <w:r w:rsidRPr="002A5787">
            <w:rPr>
              <w:i/>
              <w:sz w:val="18"/>
              <w:szCs w:val="18"/>
            </w:rPr>
            <w:t>Ganglion</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2166CF">
            <w:rPr>
              <w:i/>
              <w:sz w:val="18"/>
              <w:szCs w:val="18"/>
            </w:rPr>
            <w:t>71</w:t>
          </w:r>
          <w:r w:rsidR="007F2378" w:rsidRPr="007C5CE0">
            <w:rPr>
              <w:i/>
              <w:sz w:val="18"/>
              <w:szCs w:val="18"/>
            </w:rPr>
            <w:t xml:space="preserve"> of </w:t>
          </w:r>
          <w:r w:rsidRPr="002A5787">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2E11">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C2E11">
            <w:rPr>
              <w:i/>
              <w:noProof/>
              <w:sz w:val="18"/>
            </w:rPr>
            <w:t>5</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94A22" w:rsidRPr="00694A22">
            <w:rPr>
              <w:i/>
              <w:sz w:val="18"/>
              <w:szCs w:val="18"/>
            </w:rPr>
            <w:t>Ganglion</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694A22">
            <w:rPr>
              <w:b/>
              <w:bCs/>
              <w:i/>
              <w:sz w:val="18"/>
              <w:szCs w:val="18"/>
              <w:lang w:val="en-US"/>
            </w:rPr>
            <w:t>Error! Reference source not found.</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694A22" w:rsidRPr="00694A22">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sidR="00832FE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94A22">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694A22">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60988B4" wp14:editId="46CE3576">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88B4"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D0B9A">
            <w:rPr>
              <w:i/>
              <w:noProof/>
              <w:sz w:val="18"/>
            </w:rPr>
            <w:t>2</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94A22">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94A22">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94A22">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694A22"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94A2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694A22">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94A22">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94A22">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94A22">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94A22">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94A2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4A22">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13F2"/>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166CF"/>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5787"/>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41C3"/>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B9A"/>
    <w:rsid w:val="004D10CF"/>
    <w:rsid w:val="004D4BCA"/>
    <w:rsid w:val="004E063A"/>
    <w:rsid w:val="004E1438"/>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4A22"/>
    <w:rsid w:val="00695023"/>
    <w:rsid w:val="006B5789"/>
    <w:rsid w:val="006C0FEE"/>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41A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2E11"/>
    <w:rsid w:val="00DC4F88"/>
    <w:rsid w:val="00DD2B43"/>
    <w:rsid w:val="00DD31AB"/>
    <w:rsid w:val="00DE59B7"/>
    <w:rsid w:val="00DF24DC"/>
    <w:rsid w:val="00DF5291"/>
    <w:rsid w:val="00DF6D11"/>
    <w:rsid w:val="00E05704"/>
    <w:rsid w:val="00E11E44"/>
    <w:rsid w:val="00E3270E"/>
    <w:rsid w:val="00E338EF"/>
    <w:rsid w:val="00E35C4E"/>
    <w:rsid w:val="00E4490C"/>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6FF0"/>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5615</Characters>
  <Application>Microsoft Office Word</Application>
  <DocSecurity>0</DocSecurity>
  <PresentationFormat/>
  <Lines>46</Lines>
  <Paragraphs>13</Paragraphs>
  <ScaleCrop>false</ScaleCrop>
  <Manager/>
  <Company/>
  <LinksUpToDate>false</LinksUpToDate>
  <CharactersWithSpaces>6586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2016-08-16T00:13:00Z</dcterms:created>
  <dcterms:modified xsi:type="dcterms:W3CDTF">2016-08-26T05:16:00Z</dcterms:modified>
  <cp:category/>
  <cp:contentStatus/>
  <dc:language/>
  <cp:version/>
</cp:coreProperties>
</file>