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591F9" w14:textId="7B25E45C" w:rsidR="00BA4754" w:rsidRPr="00606B97" w:rsidRDefault="00BA4754" w:rsidP="009A57AF">
      <w:pPr>
        <w:pStyle w:val="Heading1"/>
        <w:spacing w:before="100" w:beforeAutospacing="1" w:after="100" w:afterAutospacing="1"/>
        <w:jc w:val="center"/>
        <w:rPr>
          <w:caps w:val="0"/>
          <w:kern w:val="28"/>
          <w:szCs w:val="28"/>
        </w:rPr>
      </w:pPr>
      <w:bookmarkStart w:id="0" w:name="_GoBack"/>
      <w:bookmarkEnd w:id="0"/>
      <w:r w:rsidRPr="00606B97">
        <w:rPr>
          <w:caps w:val="0"/>
          <w:kern w:val="28"/>
          <w:szCs w:val="28"/>
        </w:rPr>
        <w:t>EXPLANATORY STATEMENT</w:t>
      </w:r>
    </w:p>
    <w:p w14:paraId="668DE23C" w14:textId="57FC85B9" w:rsidR="00BA4754" w:rsidRPr="00606B97" w:rsidRDefault="00BA4754" w:rsidP="009A57AF">
      <w:pPr>
        <w:pStyle w:val="Heading2"/>
        <w:spacing w:before="100" w:beforeAutospacing="1" w:after="100" w:afterAutospacing="1"/>
        <w:jc w:val="center"/>
        <w:rPr>
          <w:caps w:val="0"/>
          <w:sz w:val="28"/>
          <w:szCs w:val="28"/>
          <w:u w:val="single"/>
        </w:rPr>
      </w:pPr>
      <w:r w:rsidRPr="00606B97">
        <w:rPr>
          <w:caps w:val="0"/>
          <w:sz w:val="28"/>
          <w:szCs w:val="28"/>
          <w:u w:val="single"/>
        </w:rPr>
        <w:t>Issued by authority of the</w:t>
      </w:r>
      <w:r w:rsidR="00D35086">
        <w:rPr>
          <w:caps w:val="0"/>
          <w:sz w:val="28"/>
          <w:szCs w:val="28"/>
          <w:u w:val="single"/>
        </w:rPr>
        <w:t xml:space="preserve"> Minister for Revenue and Financial Services</w:t>
      </w:r>
    </w:p>
    <w:p w14:paraId="6C2CFD66" w14:textId="29E419C8" w:rsidR="00BA4754" w:rsidRPr="003119F2" w:rsidRDefault="00016B0B" w:rsidP="00BA4754">
      <w:pPr>
        <w:tabs>
          <w:tab w:val="left" w:pos="1701"/>
          <w:tab w:val="right" w:pos="9072"/>
        </w:tabs>
        <w:spacing w:before="100" w:beforeAutospacing="1" w:after="100" w:afterAutospacing="1"/>
        <w:ind w:right="91"/>
        <w:jc w:val="center"/>
        <w:rPr>
          <w:i/>
        </w:rPr>
      </w:pPr>
      <w:r>
        <w:rPr>
          <w:i/>
        </w:rPr>
        <w:t>Fuel Tax Act 2006</w:t>
      </w:r>
    </w:p>
    <w:p w14:paraId="15021796" w14:textId="61B8B0F4" w:rsidR="00BA4754" w:rsidRPr="003119F2" w:rsidRDefault="00016B0B" w:rsidP="00BA4754">
      <w:pPr>
        <w:tabs>
          <w:tab w:val="left" w:pos="1701"/>
          <w:tab w:val="right" w:pos="9072"/>
        </w:tabs>
        <w:spacing w:before="100" w:beforeAutospacing="1" w:after="100" w:afterAutospacing="1"/>
        <w:ind w:right="91"/>
        <w:jc w:val="center"/>
        <w:rPr>
          <w:i/>
        </w:rPr>
      </w:pPr>
      <w:r>
        <w:rPr>
          <w:i/>
        </w:rPr>
        <w:t>Fuel Tax Regulation 2016</w:t>
      </w:r>
    </w:p>
    <w:p w14:paraId="0C4F8DC4" w14:textId="56DEB931" w:rsidR="00BA4754" w:rsidRPr="003119F2" w:rsidRDefault="00016B0B" w:rsidP="00796CDF">
      <w:pPr>
        <w:tabs>
          <w:tab w:val="left" w:pos="1701"/>
          <w:tab w:val="right" w:pos="9072"/>
        </w:tabs>
        <w:spacing w:before="240" w:after="120"/>
        <w:ind w:right="91"/>
      </w:pPr>
      <w:r>
        <w:t xml:space="preserve">Section 95-100 of the </w:t>
      </w:r>
      <w:r w:rsidRPr="00E14384">
        <w:rPr>
          <w:i/>
        </w:rPr>
        <w:t>Fuel Tax Act 2006</w:t>
      </w:r>
      <w:r>
        <w:t xml:space="preserve"> (the Act) provides that the </w:t>
      </w:r>
      <w:r w:rsidR="00BA4754" w:rsidRPr="003119F2">
        <w:t>Governor</w:t>
      </w:r>
      <w:r w:rsidR="00BA4754" w:rsidRPr="003119F2">
        <w:noBreakHyphen/>
        <w:t xml:space="preserve">General may </w:t>
      </w:r>
      <w:r>
        <w:t xml:space="preserve">make regulations prescribing matters required or permitted by the Act to be prescribed, or necessary or convenient to be prescribed for carrying out or giving effect to the Act. </w:t>
      </w:r>
    </w:p>
    <w:p w14:paraId="6797542B" w14:textId="7F2F7A7F" w:rsidR="005F6EA9" w:rsidRDefault="00BA4754" w:rsidP="00796CDF">
      <w:pPr>
        <w:tabs>
          <w:tab w:val="left" w:pos="1701"/>
          <w:tab w:val="right" w:pos="9072"/>
        </w:tabs>
        <w:spacing w:before="240" w:after="120"/>
        <w:ind w:right="91"/>
      </w:pPr>
      <w:r w:rsidRPr="003119F2">
        <w:t xml:space="preserve">The purpose of the </w:t>
      </w:r>
      <w:r w:rsidR="00016B0B">
        <w:rPr>
          <w:i/>
        </w:rPr>
        <w:t>Fuel Tax Regulation 2016</w:t>
      </w:r>
      <w:r w:rsidRPr="003119F2">
        <w:t xml:space="preserve"> (Regulation) is to remake the </w:t>
      </w:r>
      <w:r w:rsidR="00016B0B">
        <w:rPr>
          <w:i/>
        </w:rPr>
        <w:t>Fuel Tax</w:t>
      </w:r>
      <w:r w:rsidRPr="003119F2">
        <w:rPr>
          <w:i/>
        </w:rPr>
        <w:t xml:space="preserve"> Regulations</w:t>
      </w:r>
      <w:r w:rsidR="00016B0B">
        <w:rPr>
          <w:i/>
        </w:rPr>
        <w:t xml:space="preserve"> 2006</w:t>
      </w:r>
      <w:r w:rsidR="00F27A75">
        <w:rPr>
          <w:i/>
        </w:rPr>
        <w:t xml:space="preserve"> </w:t>
      </w:r>
      <w:r w:rsidR="00260B30">
        <w:t>(former</w:t>
      </w:r>
      <w:r w:rsidR="00F27A75" w:rsidRPr="00F27A75">
        <w:t xml:space="preserve"> Regulations)</w:t>
      </w:r>
      <w:r w:rsidR="005F6EA9" w:rsidRPr="00F27A75">
        <w:t>.</w:t>
      </w:r>
      <w:r w:rsidR="00F27A75">
        <w:t xml:space="preserve"> </w:t>
      </w:r>
      <w:r w:rsidRPr="003119F2">
        <w:t xml:space="preserve">The </w:t>
      </w:r>
      <w:r w:rsidR="006A656C">
        <w:rPr>
          <w:i/>
        </w:rPr>
        <w:t>Legislation</w:t>
      </w:r>
      <w:r w:rsidRPr="003119F2">
        <w:rPr>
          <w:i/>
        </w:rPr>
        <w:t xml:space="preserve"> Act 2003</w:t>
      </w:r>
      <w:r w:rsidR="006A656C">
        <w:t xml:space="preserve"> (L</w:t>
      </w:r>
      <w:r w:rsidR="00135A64">
        <w:t xml:space="preserve">egislation </w:t>
      </w:r>
      <w:r w:rsidRPr="003119F2">
        <w:t>A</w:t>
      </w:r>
      <w:r w:rsidR="00135A64">
        <w:t>ct</w:t>
      </w:r>
      <w:r w:rsidRPr="003119F2">
        <w:t>) provides that all legislative instruments</w:t>
      </w:r>
      <w:r w:rsidR="005F6EA9">
        <w:t>,</w:t>
      </w:r>
      <w:r w:rsidRPr="003119F2">
        <w:t xml:space="preserve"> other than exempt instruments</w:t>
      </w:r>
      <w:r w:rsidR="005F6EA9">
        <w:t>,</w:t>
      </w:r>
      <w:r w:rsidRPr="003119F2">
        <w:t xml:space="preserve"> progressively ‘sunset’ according to</w:t>
      </w:r>
      <w:r w:rsidR="006A656C">
        <w:t xml:space="preserve"> the timetable set out in the L</w:t>
      </w:r>
      <w:r w:rsidR="00135A64">
        <w:t xml:space="preserve">egislation </w:t>
      </w:r>
      <w:r w:rsidR="004519DA">
        <w:t>A</w:t>
      </w:r>
      <w:r w:rsidR="00135A64">
        <w:t>ct</w:t>
      </w:r>
      <w:r w:rsidR="004519DA">
        <w:t xml:space="preserve">. </w:t>
      </w:r>
      <w:r w:rsidRPr="003119F2">
        <w:t xml:space="preserve">Legislative instruments </w:t>
      </w:r>
      <w:r w:rsidR="00AC7526">
        <w:t xml:space="preserve">registered </w:t>
      </w:r>
      <w:r w:rsidR="00D1371E">
        <w:t xml:space="preserve">on </w:t>
      </w:r>
      <w:r w:rsidR="006A656C">
        <w:t xml:space="preserve">the Federal Register of Legislation </w:t>
      </w:r>
      <w:r w:rsidR="005E7AAE">
        <w:t>(previously</w:t>
      </w:r>
      <w:r w:rsidR="006A656C" w:rsidRPr="00407188">
        <w:t xml:space="preserve"> known as the </w:t>
      </w:r>
      <w:r w:rsidR="00D1371E" w:rsidRPr="00407188">
        <w:t xml:space="preserve">Federal Register of Legislative </w:t>
      </w:r>
      <w:r w:rsidR="006A656C" w:rsidRPr="00407188">
        <w:t>Instruments)</w:t>
      </w:r>
      <w:r w:rsidR="006A656C">
        <w:t xml:space="preserve"> </w:t>
      </w:r>
      <w:r w:rsidR="00210946">
        <w:t>on</w:t>
      </w:r>
      <w:r w:rsidR="00D1371E">
        <w:t xml:space="preserve"> </w:t>
      </w:r>
      <w:r w:rsidR="00AC7526">
        <w:t>30 June</w:t>
      </w:r>
      <w:r w:rsidR="00566265">
        <w:t xml:space="preserve"> </w:t>
      </w:r>
      <w:r w:rsidR="00AC7526">
        <w:t>2006</w:t>
      </w:r>
      <w:r w:rsidRPr="003119F2">
        <w:t xml:space="preserve">, such as the </w:t>
      </w:r>
      <w:r w:rsidR="00AC7526">
        <w:rPr>
          <w:i/>
        </w:rPr>
        <w:t>Fuel Tax</w:t>
      </w:r>
      <w:r w:rsidR="00AC7526" w:rsidRPr="003119F2">
        <w:rPr>
          <w:i/>
        </w:rPr>
        <w:t xml:space="preserve"> Regulations</w:t>
      </w:r>
      <w:r w:rsidR="00AC7526">
        <w:rPr>
          <w:i/>
        </w:rPr>
        <w:t xml:space="preserve"> 2006</w:t>
      </w:r>
      <w:r w:rsidRPr="003119F2">
        <w:t>,</w:t>
      </w:r>
      <w:r w:rsidRPr="003119F2">
        <w:rPr>
          <w:i/>
        </w:rPr>
        <w:t xml:space="preserve"> </w:t>
      </w:r>
      <w:r w:rsidR="00AC7526">
        <w:t>sunset on 1</w:t>
      </w:r>
      <w:r w:rsidR="00B24F86">
        <w:t xml:space="preserve"> </w:t>
      </w:r>
      <w:r w:rsidR="00AC7526">
        <w:t>October 2016</w:t>
      </w:r>
      <w:r w:rsidR="004519DA">
        <w:t xml:space="preserve">. </w:t>
      </w:r>
      <w:r w:rsidRPr="003119F2">
        <w:t>When a legislative instrument sunsets, it is automatically rep</w:t>
      </w:r>
      <w:r w:rsidR="006A656C">
        <w:t>ealed under section 50 of the L</w:t>
      </w:r>
      <w:r w:rsidR="00135A64">
        <w:t xml:space="preserve">egislation </w:t>
      </w:r>
      <w:r w:rsidRPr="003119F2">
        <w:t>A</w:t>
      </w:r>
      <w:r w:rsidR="00135A64">
        <w:t>ct</w:t>
      </w:r>
      <w:r w:rsidRPr="003119F2">
        <w:t>.</w:t>
      </w:r>
    </w:p>
    <w:p w14:paraId="73749271" w14:textId="649B7BF7" w:rsidR="000530FB" w:rsidRDefault="005F6EA9" w:rsidP="00796CDF">
      <w:pPr>
        <w:tabs>
          <w:tab w:val="left" w:pos="1701"/>
          <w:tab w:val="right" w:pos="9072"/>
        </w:tabs>
        <w:spacing w:before="240" w:after="120"/>
        <w:ind w:right="91"/>
      </w:pPr>
      <w:r>
        <w:t>The Regulation remakes the</w:t>
      </w:r>
      <w:r w:rsidR="00016B0B">
        <w:t xml:space="preserve"> </w:t>
      </w:r>
      <w:r w:rsidR="00016B0B">
        <w:rPr>
          <w:i/>
        </w:rPr>
        <w:t>Fuel Tax</w:t>
      </w:r>
      <w:r w:rsidR="00016B0B" w:rsidRPr="003119F2">
        <w:rPr>
          <w:i/>
        </w:rPr>
        <w:t xml:space="preserve"> Regulations</w:t>
      </w:r>
      <w:r w:rsidR="00016B0B">
        <w:rPr>
          <w:i/>
        </w:rPr>
        <w:t xml:space="preserve"> 2006</w:t>
      </w:r>
      <w:r>
        <w:t xml:space="preserve">, and </w:t>
      </w:r>
      <w:r w:rsidRPr="009B784A">
        <w:t xml:space="preserve">makes </w:t>
      </w:r>
      <w:r>
        <w:t>improvem</w:t>
      </w:r>
      <w:r w:rsidR="007D6F0A">
        <w:t xml:space="preserve">ents </w:t>
      </w:r>
      <w:proofErr w:type="gramStart"/>
      <w:r w:rsidR="007D6F0A">
        <w:t>by</w:t>
      </w:r>
      <w:proofErr w:type="gramEnd"/>
      <w:r w:rsidR="007D6F0A">
        <w:t xml:space="preserve"> simplifying </w:t>
      </w:r>
      <w:r w:rsidR="00407188">
        <w:t>existing</w:t>
      </w:r>
      <w:r w:rsidR="007D6F0A">
        <w:t xml:space="preserve"> provisions </w:t>
      </w:r>
      <w:r w:rsidR="009140CD">
        <w:t xml:space="preserve">through consolidating repeated requirements and improving </w:t>
      </w:r>
      <w:r w:rsidR="0034790F">
        <w:t xml:space="preserve">readability. </w:t>
      </w:r>
      <w:r w:rsidR="00F27A75">
        <w:t>In addition to remakin</w:t>
      </w:r>
      <w:r w:rsidR="00DF5C75">
        <w:t>g the former</w:t>
      </w:r>
      <w:r w:rsidR="00F27A75">
        <w:t xml:space="preserve"> Regulations, the Government </w:t>
      </w:r>
      <w:r w:rsidR="00260B30">
        <w:t xml:space="preserve">has </w:t>
      </w:r>
      <w:r w:rsidR="00F27A75">
        <w:t xml:space="preserve">identified opportunities to improve and streamline some of the arrangements in the Act. </w:t>
      </w:r>
    </w:p>
    <w:p w14:paraId="7876BB02" w14:textId="559A88E5" w:rsidR="000530FB" w:rsidRDefault="000530FB" w:rsidP="00796CDF">
      <w:pPr>
        <w:tabs>
          <w:tab w:val="left" w:pos="1701"/>
          <w:tab w:val="right" w:pos="9072"/>
        </w:tabs>
        <w:spacing w:before="240" w:after="120"/>
        <w:ind w:right="91"/>
      </w:pPr>
      <w:r>
        <w:t xml:space="preserve">Further details of the Regulation are set out in the </w:t>
      </w:r>
      <w:r w:rsidRPr="000530FB">
        <w:rPr>
          <w:u w:val="single"/>
        </w:rPr>
        <w:t>Attachment</w:t>
      </w:r>
      <w:r>
        <w:t xml:space="preserve">. </w:t>
      </w:r>
    </w:p>
    <w:p w14:paraId="55B49C9C" w14:textId="1FEC73D2" w:rsidR="00BA4754" w:rsidRPr="003119F2" w:rsidRDefault="00BA4754" w:rsidP="00796CDF">
      <w:pPr>
        <w:tabs>
          <w:tab w:val="left" w:pos="1701"/>
          <w:tab w:val="right" w:pos="9072"/>
        </w:tabs>
        <w:spacing w:before="240" w:after="120"/>
        <w:ind w:right="91"/>
      </w:pPr>
      <w:r w:rsidRPr="003119F2">
        <w:t xml:space="preserve">The </w:t>
      </w:r>
      <w:r w:rsidR="009E7523">
        <w:t xml:space="preserve">Act </w:t>
      </w:r>
      <w:r w:rsidRPr="003119F2">
        <w:t>does not specify any conditions that need to be met before the power to make the Regulation may be exercised.</w:t>
      </w:r>
      <w:r w:rsidR="002E583C">
        <w:t xml:space="preserve"> </w:t>
      </w:r>
    </w:p>
    <w:p w14:paraId="0CE8F25A" w14:textId="1242E01E" w:rsidR="00BA4754" w:rsidRDefault="00BA4754" w:rsidP="00796CDF">
      <w:pPr>
        <w:tabs>
          <w:tab w:val="left" w:pos="1701"/>
          <w:tab w:val="right" w:pos="9072"/>
        </w:tabs>
        <w:spacing w:before="240" w:after="120"/>
        <w:ind w:right="91"/>
      </w:pPr>
      <w:r w:rsidRPr="003119F2">
        <w:t xml:space="preserve">The Regulation </w:t>
      </w:r>
      <w:r w:rsidR="006E0C9F">
        <w:t>is</w:t>
      </w:r>
      <w:r w:rsidRPr="003119F2">
        <w:t xml:space="preserve"> a legislative instr</w:t>
      </w:r>
      <w:r w:rsidR="003B1A5B">
        <w:t>ument for the purposes of the L</w:t>
      </w:r>
      <w:r w:rsidR="00135A64">
        <w:t xml:space="preserve">egislation </w:t>
      </w:r>
      <w:r w:rsidRPr="003119F2">
        <w:t>A</w:t>
      </w:r>
      <w:r w:rsidR="00135A64">
        <w:t>ct</w:t>
      </w:r>
      <w:r w:rsidRPr="003119F2">
        <w:t>.</w:t>
      </w:r>
    </w:p>
    <w:p w14:paraId="07CEFAC9" w14:textId="339F7EC3" w:rsidR="0026728C" w:rsidRDefault="00E55F51" w:rsidP="00796CDF">
      <w:pPr>
        <w:tabs>
          <w:tab w:val="left" w:pos="1701"/>
          <w:tab w:val="right" w:pos="9072"/>
        </w:tabs>
        <w:spacing w:before="240" w:after="120"/>
        <w:ind w:right="91"/>
      </w:pPr>
      <w:r>
        <w:t xml:space="preserve">Government stakeholders including the </w:t>
      </w:r>
      <w:r w:rsidR="00B24F86">
        <w:t>Australian Taxation Office and t</w:t>
      </w:r>
      <w:r>
        <w:t xml:space="preserve">he Department of Infrastructure and Regional Development were </w:t>
      </w:r>
      <w:r w:rsidR="00B24F86">
        <w:t xml:space="preserve">consulted for the remake of </w:t>
      </w:r>
      <w:r w:rsidRPr="003119F2">
        <w:t xml:space="preserve">the </w:t>
      </w:r>
      <w:r>
        <w:rPr>
          <w:i/>
        </w:rPr>
        <w:t>Fuel Tax</w:t>
      </w:r>
      <w:r w:rsidRPr="003119F2">
        <w:rPr>
          <w:i/>
        </w:rPr>
        <w:t xml:space="preserve"> Regulations</w:t>
      </w:r>
      <w:r>
        <w:rPr>
          <w:i/>
        </w:rPr>
        <w:t xml:space="preserve"> 2006. </w:t>
      </w:r>
      <w:r w:rsidR="00C50062">
        <w:t>An</w:t>
      </w:r>
      <w:r w:rsidR="00D3663F">
        <w:t xml:space="preserve"> </w:t>
      </w:r>
      <w:r w:rsidR="009E7523">
        <w:t xml:space="preserve">exposure draft </w:t>
      </w:r>
      <w:r w:rsidR="00C50062">
        <w:t xml:space="preserve">of the </w:t>
      </w:r>
      <w:r w:rsidR="00D3663F">
        <w:t xml:space="preserve">Regulation </w:t>
      </w:r>
      <w:r w:rsidR="00F27A75">
        <w:t>was</w:t>
      </w:r>
      <w:r w:rsidR="002E583C">
        <w:t xml:space="preserve"> not released for public consu</w:t>
      </w:r>
      <w:r w:rsidR="000530FB">
        <w:t xml:space="preserve">ltation given </w:t>
      </w:r>
      <w:r w:rsidR="009140CD">
        <w:t xml:space="preserve">the Regulation </w:t>
      </w:r>
      <w:r w:rsidR="00B24F86">
        <w:t xml:space="preserve">does not make a </w:t>
      </w:r>
      <w:r w:rsidR="009140CD">
        <w:t xml:space="preserve">substantive change to the </w:t>
      </w:r>
      <w:r>
        <w:rPr>
          <w:i/>
        </w:rPr>
        <w:t>Fuel Tax</w:t>
      </w:r>
      <w:r w:rsidRPr="003119F2">
        <w:rPr>
          <w:i/>
        </w:rPr>
        <w:t xml:space="preserve"> Regulations</w:t>
      </w:r>
      <w:r>
        <w:rPr>
          <w:i/>
        </w:rPr>
        <w:t xml:space="preserve"> 2006 </w:t>
      </w:r>
      <w:r w:rsidR="009140CD">
        <w:t xml:space="preserve">and </w:t>
      </w:r>
      <w:r>
        <w:t xml:space="preserve">the </w:t>
      </w:r>
      <w:r w:rsidR="00B24F86">
        <w:t>impact upon taxpayers is</w:t>
      </w:r>
      <w:r w:rsidR="009140CD">
        <w:t xml:space="preserve"> negligible. </w:t>
      </w:r>
    </w:p>
    <w:p w14:paraId="2E482F63" w14:textId="7A34952A" w:rsidR="00D3663F" w:rsidRPr="0026728C" w:rsidRDefault="00D3663F" w:rsidP="00796CDF">
      <w:pPr>
        <w:tabs>
          <w:tab w:val="left" w:pos="1701"/>
          <w:tab w:val="right" w:pos="9072"/>
        </w:tabs>
        <w:spacing w:before="240" w:after="120"/>
        <w:ind w:right="91"/>
      </w:pPr>
      <w:r>
        <w:t>Before this Regulation was made, its expected impact was assessed using the Preliminary Assessment tool approved by the Office of Be</w:t>
      </w:r>
      <w:r w:rsidR="00B31974">
        <w:t xml:space="preserve">st Practice Regulation (OBPR). </w:t>
      </w:r>
      <w:r>
        <w:t>T</w:t>
      </w:r>
      <w:r w:rsidR="00B31974">
        <w:t>he asse</w:t>
      </w:r>
      <w:r w:rsidR="0034790F">
        <w:t xml:space="preserve">ssment indicated that the likely regulation impact is minimal or machinery. </w:t>
      </w:r>
      <w:r>
        <w:t>This assessment has been confirmed b</w:t>
      </w:r>
      <w:r w:rsidR="00407188">
        <w:t>y the OBPR (OBPR reference 20886</w:t>
      </w:r>
      <w:r>
        <w:t>).</w:t>
      </w:r>
    </w:p>
    <w:p w14:paraId="4BF9D8C6" w14:textId="5FD1A669" w:rsidR="0026728C" w:rsidRDefault="00BA4754" w:rsidP="00796CDF">
      <w:pPr>
        <w:tabs>
          <w:tab w:val="left" w:pos="1701"/>
          <w:tab w:val="right" w:pos="9072"/>
        </w:tabs>
        <w:spacing w:before="240" w:after="120"/>
        <w:ind w:right="91"/>
        <w:rPr>
          <w:b/>
          <w:u w:val="single"/>
        </w:rPr>
      </w:pPr>
      <w:r w:rsidRPr="003119F2">
        <w:t xml:space="preserve">The Regulation </w:t>
      </w:r>
      <w:r w:rsidR="006E0C9F">
        <w:t>commence</w:t>
      </w:r>
      <w:r w:rsidR="00210946">
        <w:t>d</w:t>
      </w:r>
      <w:r w:rsidR="00DF774C">
        <w:t xml:space="preserve"> on </w:t>
      </w:r>
      <w:r w:rsidR="003B1A5B">
        <w:t>1 October 2016</w:t>
      </w:r>
      <w:r w:rsidR="00621B68">
        <w:t>.</w:t>
      </w:r>
      <w:r w:rsidR="005D60EA" w:rsidRPr="003119F2">
        <w:rPr>
          <w:b/>
          <w:u w:val="single"/>
        </w:rPr>
        <w:t xml:space="preserve"> </w:t>
      </w:r>
    </w:p>
    <w:p w14:paraId="7CE318CB" w14:textId="77777777" w:rsidR="004411BF" w:rsidRPr="00462095" w:rsidRDefault="004411BF" w:rsidP="004411BF">
      <w:pPr>
        <w:pStyle w:val="Heading3"/>
        <w:spacing w:before="240" w:after="120"/>
      </w:pPr>
      <w:r w:rsidRPr="00462095">
        <w:lastRenderedPageBreak/>
        <w:t>Statement of Compatibility with Human Rights</w:t>
      </w:r>
    </w:p>
    <w:p w14:paraId="2F3B261F" w14:textId="77777777" w:rsidR="004411BF" w:rsidRPr="00647BB7" w:rsidRDefault="004411BF" w:rsidP="004411BF">
      <w:pPr>
        <w:spacing w:before="240" w:after="120"/>
        <w:jc w:val="center"/>
        <w:rPr>
          <w:i/>
        </w:rPr>
      </w:pPr>
      <w:r w:rsidRPr="00647BB7">
        <w:rPr>
          <w:i/>
        </w:rPr>
        <w:t>Prepared in accordance with Part 3 of the Human Rights (Parliamentary Scrutiny) Act 2011</w:t>
      </w:r>
    </w:p>
    <w:p w14:paraId="0B324F34" w14:textId="29760F1C" w:rsidR="004411BF" w:rsidRPr="00647BB7" w:rsidRDefault="004411BF" w:rsidP="004411BF">
      <w:pPr>
        <w:pStyle w:val="Heading3"/>
        <w:spacing w:before="240" w:after="120"/>
        <w:jc w:val="center"/>
      </w:pPr>
      <w:r>
        <w:t>Fuel Tax Regulation 2016</w:t>
      </w:r>
    </w:p>
    <w:p w14:paraId="24152C80" w14:textId="77777777" w:rsidR="004411BF" w:rsidRPr="00647BB7" w:rsidRDefault="004411BF" w:rsidP="004411BF">
      <w:pPr>
        <w:spacing w:before="240" w:after="12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5B58DD3A" w14:textId="77777777" w:rsidR="004411BF" w:rsidRPr="00647BB7" w:rsidRDefault="004411BF" w:rsidP="004411BF">
      <w:pPr>
        <w:pStyle w:val="Heading3"/>
        <w:spacing w:before="240" w:after="120"/>
      </w:pPr>
      <w:r w:rsidRPr="00647BB7">
        <w:t>Overview of the Legislative Instrument</w:t>
      </w:r>
    </w:p>
    <w:p w14:paraId="00B65F88" w14:textId="1130C4E8" w:rsidR="00421939" w:rsidRDefault="00421939" w:rsidP="00421939">
      <w:pPr>
        <w:tabs>
          <w:tab w:val="left" w:pos="1701"/>
          <w:tab w:val="right" w:pos="9072"/>
        </w:tabs>
        <w:spacing w:before="100" w:beforeAutospacing="1" w:after="100" w:afterAutospacing="1"/>
        <w:ind w:right="91"/>
      </w:pPr>
      <w:r>
        <w:t xml:space="preserve">The </w:t>
      </w:r>
      <w:r>
        <w:rPr>
          <w:i/>
        </w:rPr>
        <w:t>Fuel Tax Regulation 2016</w:t>
      </w:r>
      <w:r>
        <w:t xml:space="preserve"> </w:t>
      </w:r>
      <w:r w:rsidR="00F3508A">
        <w:t xml:space="preserve">(Regulation) </w:t>
      </w:r>
      <w:r>
        <w:t xml:space="preserve">remakes the </w:t>
      </w:r>
      <w:r>
        <w:rPr>
          <w:i/>
        </w:rPr>
        <w:t>Fuel Tax Regulations 2006</w:t>
      </w:r>
      <w:r w:rsidR="00F3508A">
        <w:rPr>
          <w:i/>
        </w:rPr>
        <w:t xml:space="preserve"> </w:t>
      </w:r>
      <w:r w:rsidR="00F3508A" w:rsidRPr="00F75B76">
        <w:t>(former Regulations</w:t>
      </w:r>
      <w:r w:rsidR="00F75B76" w:rsidRPr="00F75B76">
        <w:t>)</w:t>
      </w:r>
      <w:r w:rsidR="00F3508A" w:rsidRPr="00F75B76">
        <w:t>.</w:t>
      </w:r>
      <w:r w:rsidR="00F3508A">
        <w:rPr>
          <w:i/>
        </w:rPr>
        <w:t xml:space="preserve"> </w:t>
      </w:r>
      <w:r w:rsidRPr="003119F2">
        <w:t xml:space="preserve">The </w:t>
      </w:r>
      <w:r>
        <w:rPr>
          <w:i/>
        </w:rPr>
        <w:t xml:space="preserve">Legislation </w:t>
      </w:r>
      <w:r w:rsidRPr="003119F2">
        <w:rPr>
          <w:i/>
        </w:rPr>
        <w:t>Act 2003</w:t>
      </w:r>
      <w:r>
        <w:t xml:space="preserve"> (L</w:t>
      </w:r>
      <w:r w:rsidR="00135A64">
        <w:t xml:space="preserve">egislation </w:t>
      </w:r>
      <w:r w:rsidRPr="003119F2">
        <w:t>A</w:t>
      </w:r>
      <w:r w:rsidR="00135A64">
        <w:t>ct</w:t>
      </w:r>
      <w:r w:rsidRPr="003119F2">
        <w:t>) provides that all legislative instruments</w:t>
      </w:r>
      <w:r>
        <w:t>,</w:t>
      </w:r>
      <w:r w:rsidRPr="003119F2">
        <w:t xml:space="preserve"> other than exempt instruments</w:t>
      </w:r>
      <w:r>
        <w:t>,</w:t>
      </w:r>
      <w:r w:rsidRPr="003119F2">
        <w:t xml:space="preserve"> progressively ‘sunset’ according to</w:t>
      </w:r>
      <w:r>
        <w:t xml:space="preserve"> the timetable set out in the L</w:t>
      </w:r>
      <w:r w:rsidR="00135A64">
        <w:t xml:space="preserve">egislation </w:t>
      </w:r>
      <w:r>
        <w:t>A</w:t>
      </w:r>
      <w:r w:rsidR="00135A64">
        <w:t>ct</w:t>
      </w:r>
      <w:r>
        <w:t xml:space="preserve">. </w:t>
      </w:r>
      <w:r w:rsidRPr="003119F2">
        <w:t xml:space="preserve">Legislative instruments </w:t>
      </w:r>
      <w:r>
        <w:t xml:space="preserve">registered on the Federal Register of Legislation (previously known as the Federal Register of Legislative Instruments) on 30 June 2006, such as the </w:t>
      </w:r>
      <w:r w:rsidR="00135A64" w:rsidRPr="00C277F2">
        <w:t>former Regulations</w:t>
      </w:r>
      <w:r>
        <w:t xml:space="preserve">, sunset on 1 October 2016. </w:t>
      </w:r>
      <w:r w:rsidRPr="003119F2">
        <w:t xml:space="preserve">When a legislative instrument sunsets, it is automatically repealed under </w:t>
      </w:r>
      <w:r>
        <w:t>section 50 of the L</w:t>
      </w:r>
      <w:r w:rsidR="00135A64">
        <w:t xml:space="preserve">egislation </w:t>
      </w:r>
      <w:r w:rsidRPr="003119F2">
        <w:t>A</w:t>
      </w:r>
      <w:r w:rsidR="00135A64">
        <w:t>ct</w:t>
      </w:r>
      <w:r w:rsidRPr="003119F2">
        <w:t>.</w:t>
      </w:r>
    </w:p>
    <w:p w14:paraId="6F7BA238" w14:textId="5ECC3506" w:rsidR="00421939" w:rsidRDefault="00421939" w:rsidP="00421939">
      <w:pPr>
        <w:tabs>
          <w:tab w:val="left" w:pos="1701"/>
          <w:tab w:val="right" w:pos="9072"/>
        </w:tabs>
        <w:spacing w:before="240" w:after="120"/>
        <w:ind w:right="91"/>
      </w:pPr>
      <w:r>
        <w:t xml:space="preserve">The Regulation remakes the </w:t>
      </w:r>
      <w:r w:rsidR="00175BF8">
        <w:rPr>
          <w:i/>
        </w:rPr>
        <w:t xml:space="preserve">Fuel Tax Regulations 2006 </w:t>
      </w:r>
      <w:r>
        <w:t xml:space="preserve">and </w:t>
      </w:r>
      <w:r w:rsidRPr="009B784A">
        <w:t xml:space="preserve">makes </w:t>
      </w:r>
      <w:r>
        <w:t xml:space="preserve">improvements by simplifying existing provisions through consolidating repeated requirements and improving readability. In addition to remaking the former Regulations, the Government has identified opportunities to improve and streamline some of the arrangements in the Act. </w:t>
      </w:r>
    </w:p>
    <w:p w14:paraId="750B38ED" w14:textId="77777777" w:rsidR="00421939" w:rsidRPr="003119F2" w:rsidRDefault="00421939" w:rsidP="00421939">
      <w:pPr>
        <w:tabs>
          <w:tab w:val="left" w:pos="1701"/>
          <w:tab w:val="right" w:pos="9072"/>
        </w:tabs>
        <w:spacing w:before="100" w:beforeAutospacing="1" w:after="100" w:afterAutospacing="1"/>
        <w:ind w:right="91"/>
      </w:pPr>
      <w:r>
        <w:t>Further d</w:t>
      </w:r>
      <w:r w:rsidRPr="003119F2">
        <w:t xml:space="preserve">etails of the Regulation are set out in the </w:t>
      </w:r>
      <w:r w:rsidRPr="0040667B">
        <w:t>Attachment</w:t>
      </w:r>
      <w:r w:rsidRPr="00210946">
        <w:t xml:space="preserve"> to the Explanatory Statement</w:t>
      </w:r>
      <w:r w:rsidRPr="003119F2">
        <w:t>.</w:t>
      </w:r>
    </w:p>
    <w:p w14:paraId="5B424541" w14:textId="77777777" w:rsidR="004411BF" w:rsidRPr="00647BB7" w:rsidRDefault="004411BF" w:rsidP="004411BF">
      <w:pPr>
        <w:pStyle w:val="Heading3"/>
        <w:spacing w:before="240" w:after="120"/>
      </w:pPr>
      <w:r w:rsidRPr="00647BB7">
        <w:t>Human rights implications</w:t>
      </w:r>
    </w:p>
    <w:p w14:paraId="1867BF88" w14:textId="77777777" w:rsidR="004411BF" w:rsidRPr="00647BB7" w:rsidRDefault="004411BF" w:rsidP="004411BF">
      <w:pPr>
        <w:spacing w:before="240" w:after="120"/>
      </w:pPr>
      <w:r w:rsidRPr="00647BB7">
        <w:t>This Legislative Instrument does not engage any of the applicable rights or freedoms.</w:t>
      </w:r>
    </w:p>
    <w:p w14:paraId="5F2B93FB" w14:textId="77777777" w:rsidR="004411BF" w:rsidRPr="00647BB7" w:rsidRDefault="004411BF" w:rsidP="004411BF">
      <w:pPr>
        <w:pStyle w:val="Heading3"/>
        <w:spacing w:before="240" w:after="120"/>
      </w:pPr>
      <w:r w:rsidRPr="00647BB7">
        <w:t>Conclusion</w:t>
      </w:r>
    </w:p>
    <w:p w14:paraId="25D8DA47" w14:textId="77777777" w:rsidR="004411BF" w:rsidRPr="00647BB7" w:rsidRDefault="004411BF" w:rsidP="004411BF">
      <w:pPr>
        <w:spacing w:before="240" w:after="120"/>
      </w:pPr>
      <w:r w:rsidRPr="00647BB7">
        <w:t>This Legislative Instrument is compatible with human rights as it does not raise any human rights issues.</w:t>
      </w:r>
    </w:p>
    <w:p w14:paraId="633E61E1" w14:textId="77777777" w:rsidR="00796CDF" w:rsidRDefault="00796CDF">
      <w:pPr>
        <w:spacing w:after="200" w:line="276" w:lineRule="auto"/>
        <w:rPr>
          <w:b/>
          <w:u w:val="single"/>
        </w:rPr>
      </w:pPr>
      <w:r>
        <w:rPr>
          <w:b/>
          <w:u w:val="single"/>
        </w:rPr>
        <w:br w:type="page"/>
      </w:r>
    </w:p>
    <w:p w14:paraId="35E29432" w14:textId="64D53AD1" w:rsidR="00BA4754" w:rsidRPr="003119F2" w:rsidRDefault="00BA4754" w:rsidP="00BA4754">
      <w:pPr>
        <w:spacing w:before="100" w:beforeAutospacing="1" w:after="100" w:afterAutospacing="1"/>
        <w:jc w:val="right"/>
        <w:rPr>
          <w:b/>
          <w:u w:val="single"/>
        </w:rPr>
      </w:pPr>
      <w:r w:rsidRPr="003119F2">
        <w:rPr>
          <w:b/>
          <w:u w:val="single"/>
        </w:rPr>
        <w:lastRenderedPageBreak/>
        <w:t>ATTACHMENT</w:t>
      </w:r>
    </w:p>
    <w:p w14:paraId="505C20F3" w14:textId="2142D501" w:rsidR="00BA4754" w:rsidRPr="003119F2" w:rsidRDefault="00BA4754" w:rsidP="00BA4754">
      <w:pPr>
        <w:spacing w:before="100" w:beforeAutospacing="1" w:after="100" w:afterAutospacing="1"/>
        <w:rPr>
          <w:b/>
          <w:i/>
          <w:u w:val="single"/>
        </w:rPr>
      </w:pPr>
      <w:r w:rsidRPr="003119F2">
        <w:rPr>
          <w:b/>
          <w:u w:val="single"/>
        </w:rPr>
        <w:t xml:space="preserve">Details of the </w:t>
      </w:r>
      <w:r w:rsidR="00FF4DA4">
        <w:rPr>
          <w:b/>
          <w:i/>
          <w:u w:val="single"/>
        </w:rPr>
        <w:t>Fuel Tax</w:t>
      </w:r>
      <w:r w:rsidRPr="003119F2">
        <w:rPr>
          <w:b/>
          <w:i/>
          <w:u w:val="single"/>
        </w:rPr>
        <w:t xml:space="preserve"> Regulation</w:t>
      </w:r>
      <w:r w:rsidR="00FF4DA4">
        <w:rPr>
          <w:b/>
          <w:i/>
          <w:u w:val="single"/>
        </w:rPr>
        <w:t xml:space="preserve"> 2016</w:t>
      </w:r>
    </w:p>
    <w:p w14:paraId="599FD7E6" w14:textId="6D95A200" w:rsidR="0038330C" w:rsidRPr="003119F2" w:rsidRDefault="0038330C" w:rsidP="0038330C">
      <w:pPr>
        <w:spacing w:before="100" w:beforeAutospacing="1" w:after="100" w:afterAutospacing="1"/>
      </w:pPr>
      <w:r w:rsidRPr="003119F2">
        <w:t xml:space="preserve">All references are to the </w:t>
      </w:r>
      <w:r>
        <w:rPr>
          <w:i/>
        </w:rPr>
        <w:t>Fuel Tax Regulation 2016</w:t>
      </w:r>
      <w:r w:rsidRPr="003119F2">
        <w:t xml:space="preserve"> (</w:t>
      </w:r>
      <w:r w:rsidRPr="00DF774C">
        <w:t>Regulation</w:t>
      </w:r>
      <w:r w:rsidRPr="003119F2">
        <w:t xml:space="preserve">) unless otherwise stated.  </w:t>
      </w:r>
    </w:p>
    <w:p w14:paraId="43529E31" w14:textId="76417B5C" w:rsidR="001F0BA9" w:rsidRPr="0038330C" w:rsidRDefault="0038330C" w:rsidP="0038330C">
      <w:pPr>
        <w:spacing w:before="100" w:beforeAutospacing="1" w:after="100" w:afterAutospacing="1"/>
      </w:pPr>
      <w:r w:rsidRPr="003119F2">
        <w:t xml:space="preserve">The Regulation makes improvements to the </w:t>
      </w:r>
      <w:r>
        <w:rPr>
          <w:i/>
        </w:rPr>
        <w:t>Fuel Tax</w:t>
      </w:r>
      <w:r w:rsidRPr="003119F2">
        <w:rPr>
          <w:i/>
        </w:rPr>
        <w:t xml:space="preserve"> Regulations</w:t>
      </w:r>
      <w:r>
        <w:rPr>
          <w:i/>
        </w:rPr>
        <w:t xml:space="preserve"> 2006 </w:t>
      </w:r>
      <w:r w:rsidR="00260B30">
        <w:t>(former</w:t>
      </w:r>
      <w:r w:rsidR="00F27A75" w:rsidRPr="00F27A75">
        <w:t xml:space="preserve"> Regulations) </w:t>
      </w:r>
      <w:r w:rsidRPr="003119F2">
        <w:t xml:space="preserve">by repealing redundant provisions and restructuring provisions to take account of </w:t>
      </w:r>
      <w:r>
        <w:t>modern</w:t>
      </w:r>
      <w:r w:rsidRPr="003119F2">
        <w:t xml:space="preserve"> instrument drafting techniques such as the great</w:t>
      </w:r>
      <w:r w:rsidR="00F27A75">
        <w:t xml:space="preserve">er use of headings and tables. </w:t>
      </w:r>
      <w:r w:rsidRPr="003119F2">
        <w:t>The Regulation also s</w:t>
      </w:r>
      <w:r w:rsidR="0034790F">
        <w:t>implifies and updates language in accordance with standard drafting practices. F</w:t>
      </w:r>
      <w:r w:rsidRPr="003119F2">
        <w:t xml:space="preserve">or example, provisions in the </w:t>
      </w:r>
      <w:r w:rsidR="00135A64">
        <w:t xml:space="preserve">former Regulations </w:t>
      </w:r>
      <w:r w:rsidRPr="003119F2">
        <w:t xml:space="preserve">are referred to as ‘regulations’, however provisions in new principal instruments, such as the Regulation, are </w:t>
      </w:r>
      <w:r>
        <w:t xml:space="preserve">now </w:t>
      </w:r>
      <w:r w:rsidR="004519DA">
        <w:t xml:space="preserve">referred to as ‘sections’. </w:t>
      </w:r>
      <w:r>
        <w:t>Principal instruments are also now referred to as ‘Regulation’ rather than ‘Regulation</w:t>
      </w:r>
      <w:r w:rsidRPr="00B24F86">
        <w:t>s</w:t>
      </w:r>
      <w:r w:rsidR="004519DA">
        <w:t xml:space="preserve">’. </w:t>
      </w:r>
      <w:r w:rsidRPr="003119F2">
        <w:t xml:space="preserve">These </w:t>
      </w:r>
      <w:r>
        <w:t xml:space="preserve">restructuring and updating </w:t>
      </w:r>
      <w:r w:rsidRPr="003119F2">
        <w:t xml:space="preserve">changes </w:t>
      </w:r>
      <w:r w:rsidR="00F27A75">
        <w:t>do not</w:t>
      </w:r>
      <w:r w:rsidRPr="003119F2">
        <w:t xml:space="preserve"> change the current operation of the equivalent provisions in the</w:t>
      </w:r>
      <w:r w:rsidR="00135A64">
        <w:t xml:space="preserve"> former Regulations</w:t>
      </w:r>
      <w:r w:rsidR="00F27A75">
        <w:t xml:space="preserve">. </w:t>
      </w:r>
      <w:r w:rsidR="00646EA7">
        <w:t xml:space="preserve">These changes and other changes that require further explanation </w:t>
      </w:r>
      <w:r w:rsidRPr="004A7703">
        <w:t xml:space="preserve">are identified and explained in this Attachment.  </w:t>
      </w:r>
    </w:p>
    <w:p w14:paraId="622E0A31" w14:textId="6E0A7FB1" w:rsidR="001F0BA9" w:rsidRPr="00A63BAA" w:rsidRDefault="0038330C" w:rsidP="005D60EA">
      <w:pPr>
        <w:autoSpaceDE w:val="0"/>
        <w:autoSpaceDN w:val="0"/>
        <w:adjustRightInd w:val="0"/>
        <w:rPr>
          <w:rFonts w:eastAsiaTheme="minorHAnsi"/>
          <w:szCs w:val="24"/>
          <w:u w:val="single"/>
          <w:lang w:eastAsia="en-US"/>
        </w:rPr>
      </w:pPr>
      <w:r w:rsidRPr="00A63BAA">
        <w:rPr>
          <w:rFonts w:eastAsiaTheme="minorHAnsi"/>
          <w:szCs w:val="24"/>
          <w:u w:val="single"/>
          <w:lang w:eastAsia="en-US"/>
        </w:rPr>
        <w:t xml:space="preserve">Section 6 - </w:t>
      </w:r>
      <w:r w:rsidR="001F0BA9" w:rsidRPr="00A63BAA">
        <w:rPr>
          <w:rFonts w:eastAsiaTheme="minorHAnsi"/>
          <w:szCs w:val="24"/>
          <w:u w:val="single"/>
          <w:lang w:eastAsia="en-US"/>
        </w:rPr>
        <w:t>Fuel tax credit for fuel to be sold or packaged</w:t>
      </w:r>
    </w:p>
    <w:p w14:paraId="07420EED" w14:textId="77777777" w:rsidR="00ED02E3" w:rsidRDefault="00ED02E3" w:rsidP="005D60EA">
      <w:pPr>
        <w:autoSpaceDE w:val="0"/>
        <w:autoSpaceDN w:val="0"/>
        <w:adjustRightInd w:val="0"/>
        <w:rPr>
          <w:rFonts w:eastAsiaTheme="minorHAnsi"/>
          <w:szCs w:val="24"/>
          <w:u w:val="single"/>
          <w:lang w:eastAsia="en-US"/>
        </w:rPr>
      </w:pPr>
    </w:p>
    <w:p w14:paraId="1C95C1B6" w14:textId="45D50B7A" w:rsidR="00ED02E3" w:rsidRDefault="00ED02E3" w:rsidP="00ED02E3">
      <w:pPr>
        <w:autoSpaceDE w:val="0"/>
        <w:autoSpaceDN w:val="0"/>
        <w:adjustRightInd w:val="0"/>
        <w:rPr>
          <w:rFonts w:eastAsiaTheme="minorHAnsi"/>
          <w:szCs w:val="24"/>
          <w:lang w:eastAsia="en-US"/>
        </w:rPr>
      </w:pPr>
      <w:r w:rsidRPr="00A63BAA">
        <w:rPr>
          <w:rFonts w:eastAsiaTheme="minorHAnsi"/>
          <w:szCs w:val="24"/>
          <w:lang w:eastAsia="en-US"/>
        </w:rPr>
        <w:t xml:space="preserve">Section 6 of the </w:t>
      </w:r>
      <w:r w:rsidR="00F27A75">
        <w:rPr>
          <w:rFonts w:eastAsiaTheme="minorHAnsi"/>
          <w:szCs w:val="24"/>
          <w:lang w:eastAsia="en-US"/>
        </w:rPr>
        <w:t>Regulation</w:t>
      </w:r>
      <w:r w:rsidRPr="00A63BAA">
        <w:rPr>
          <w:rFonts w:eastAsiaTheme="minorHAnsi"/>
          <w:szCs w:val="24"/>
          <w:lang w:eastAsia="en-US"/>
        </w:rPr>
        <w:t xml:space="preserve"> </w:t>
      </w:r>
      <w:r w:rsidR="00C50062">
        <w:rPr>
          <w:rFonts w:eastAsiaTheme="minorHAnsi"/>
          <w:szCs w:val="24"/>
          <w:lang w:eastAsia="en-US"/>
        </w:rPr>
        <w:t xml:space="preserve">restructures </w:t>
      </w:r>
      <w:r w:rsidRPr="00A63BAA">
        <w:rPr>
          <w:rFonts w:eastAsiaTheme="minorHAnsi"/>
          <w:szCs w:val="24"/>
          <w:lang w:eastAsia="en-US"/>
        </w:rPr>
        <w:t xml:space="preserve">regulation 41-10 </w:t>
      </w:r>
      <w:r w:rsidR="00260B30">
        <w:rPr>
          <w:rFonts w:eastAsiaTheme="minorHAnsi"/>
          <w:szCs w:val="24"/>
          <w:lang w:eastAsia="en-US"/>
        </w:rPr>
        <w:t>of the former</w:t>
      </w:r>
      <w:r w:rsidR="00F27A75">
        <w:rPr>
          <w:rFonts w:eastAsiaTheme="minorHAnsi"/>
          <w:szCs w:val="24"/>
          <w:lang w:eastAsia="en-US"/>
        </w:rPr>
        <w:t xml:space="preserve"> Regulations </w:t>
      </w:r>
      <w:r w:rsidRPr="00A63BAA">
        <w:rPr>
          <w:rFonts w:eastAsiaTheme="minorHAnsi"/>
          <w:szCs w:val="24"/>
          <w:lang w:eastAsia="en-US"/>
        </w:rPr>
        <w:t xml:space="preserve">to consolidate repeated packaging requirements and minor amendments </w:t>
      </w:r>
      <w:r w:rsidR="004519DA">
        <w:rPr>
          <w:rFonts w:eastAsiaTheme="minorHAnsi"/>
          <w:szCs w:val="24"/>
          <w:lang w:eastAsia="en-US"/>
        </w:rPr>
        <w:t xml:space="preserve">were made </w:t>
      </w:r>
      <w:r w:rsidRPr="00A63BAA">
        <w:rPr>
          <w:rFonts w:eastAsiaTheme="minorHAnsi"/>
          <w:szCs w:val="24"/>
          <w:lang w:eastAsia="en-US"/>
        </w:rPr>
        <w:t>to</w:t>
      </w:r>
      <w:r>
        <w:rPr>
          <w:rFonts w:eastAsiaTheme="minorHAnsi"/>
          <w:szCs w:val="24"/>
          <w:lang w:eastAsia="en-US"/>
        </w:rPr>
        <w:t xml:space="preserve"> simplify and</w:t>
      </w:r>
      <w:r w:rsidRPr="00A63BAA">
        <w:rPr>
          <w:rFonts w:eastAsiaTheme="minorHAnsi"/>
          <w:szCs w:val="24"/>
          <w:lang w:eastAsia="en-US"/>
        </w:rPr>
        <w:t xml:space="preserve"> improve the readability of section 6. </w:t>
      </w:r>
      <w:r w:rsidR="00E50CB0">
        <w:rPr>
          <w:rFonts w:eastAsiaTheme="minorHAnsi"/>
          <w:szCs w:val="24"/>
          <w:lang w:eastAsia="en-US"/>
        </w:rPr>
        <w:t>These amendments do not impact the scope and operation of regulation 41-10</w:t>
      </w:r>
      <w:r w:rsidR="00DF5C75">
        <w:rPr>
          <w:rFonts w:eastAsiaTheme="minorHAnsi"/>
          <w:szCs w:val="24"/>
          <w:lang w:eastAsia="en-US"/>
        </w:rPr>
        <w:t xml:space="preserve"> of the former</w:t>
      </w:r>
      <w:r w:rsidR="006E0B8B">
        <w:rPr>
          <w:rFonts w:eastAsiaTheme="minorHAnsi"/>
          <w:szCs w:val="24"/>
          <w:lang w:eastAsia="en-US"/>
        </w:rPr>
        <w:t xml:space="preserve"> Regulations</w:t>
      </w:r>
      <w:r w:rsidR="00E50CB0">
        <w:rPr>
          <w:rFonts w:eastAsiaTheme="minorHAnsi"/>
          <w:szCs w:val="24"/>
          <w:lang w:eastAsia="en-US"/>
        </w:rPr>
        <w:t xml:space="preserve">. </w:t>
      </w:r>
      <w:r>
        <w:rPr>
          <w:rFonts w:eastAsiaTheme="minorHAnsi"/>
          <w:szCs w:val="24"/>
          <w:lang w:eastAsia="en-US"/>
        </w:rPr>
        <w:t xml:space="preserve">Packaging requirements for fuels such as kerosene, mineral turpentine and white spirit </w:t>
      </w:r>
      <w:r w:rsidR="00E50CB0">
        <w:rPr>
          <w:rFonts w:eastAsiaTheme="minorHAnsi"/>
          <w:szCs w:val="24"/>
          <w:lang w:eastAsia="en-US"/>
        </w:rPr>
        <w:t>have</w:t>
      </w:r>
      <w:r w:rsidR="00BB3A77">
        <w:rPr>
          <w:rFonts w:eastAsiaTheme="minorHAnsi"/>
          <w:szCs w:val="24"/>
          <w:lang w:eastAsia="en-US"/>
        </w:rPr>
        <w:t xml:space="preserve"> </w:t>
      </w:r>
      <w:r>
        <w:rPr>
          <w:rFonts w:eastAsiaTheme="minorHAnsi"/>
          <w:szCs w:val="24"/>
          <w:lang w:eastAsia="en-US"/>
        </w:rPr>
        <w:t xml:space="preserve">been </w:t>
      </w:r>
      <w:r w:rsidR="00BB3A77">
        <w:rPr>
          <w:rFonts w:eastAsiaTheme="minorHAnsi"/>
          <w:szCs w:val="24"/>
          <w:lang w:eastAsia="en-US"/>
        </w:rPr>
        <w:t>amended to be</w:t>
      </w:r>
      <w:r>
        <w:rPr>
          <w:rFonts w:eastAsiaTheme="minorHAnsi"/>
          <w:szCs w:val="24"/>
          <w:lang w:eastAsia="en-US"/>
        </w:rPr>
        <w:t xml:space="preserve"> consistent with the packaging requirements fo</w:t>
      </w:r>
      <w:r w:rsidR="00DF5C75">
        <w:rPr>
          <w:rFonts w:eastAsiaTheme="minorHAnsi"/>
          <w:szCs w:val="24"/>
          <w:lang w:eastAsia="en-US"/>
        </w:rPr>
        <w:t>r other fuels prescribed by the</w:t>
      </w:r>
      <w:r w:rsidR="006E0B8B">
        <w:rPr>
          <w:rFonts w:eastAsiaTheme="minorHAnsi"/>
          <w:szCs w:val="24"/>
          <w:lang w:eastAsia="en-US"/>
        </w:rPr>
        <w:t xml:space="preserve"> </w:t>
      </w:r>
      <w:r>
        <w:rPr>
          <w:rFonts w:eastAsiaTheme="minorHAnsi"/>
          <w:szCs w:val="24"/>
          <w:lang w:eastAsia="en-US"/>
        </w:rPr>
        <w:t xml:space="preserve">Regulation. </w:t>
      </w:r>
    </w:p>
    <w:p w14:paraId="1BB6134B" w14:textId="5F4CD8C9" w:rsidR="001F0BA9" w:rsidRDefault="001F0BA9" w:rsidP="005D60EA">
      <w:pPr>
        <w:autoSpaceDE w:val="0"/>
        <w:autoSpaceDN w:val="0"/>
        <w:adjustRightInd w:val="0"/>
        <w:rPr>
          <w:rFonts w:eastAsiaTheme="minorHAnsi"/>
          <w:szCs w:val="24"/>
          <w:u w:val="single"/>
          <w:lang w:eastAsia="en-US"/>
        </w:rPr>
      </w:pPr>
    </w:p>
    <w:p w14:paraId="49FBF271" w14:textId="40DEF72F" w:rsidR="001F0BA9" w:rsidRPr="00FF4DA4" w:rsidRDefault="00646EA7" w:rsidP="001F0BA9">
      <w:pPr>
        <w:autoSpaceDE w:val="0"/>
        <w:autoSpaceDN w:val="0"/>
        <w:adjustRightInd w:val="0"/>
        <w:rPr>
          <w:rFonts w:eastAsiaTheme="minorHAnsi"/>
          <w:szCs w:val="24"/>
          <w:u w:val="single"/>
          <w:lang w:eastAsia="en-US"/>
        </w:rPr>
      </w:pPr>
      <w:r>
        <w:rPr>
          <w:rFonts w:eastAsiaTheme="minorHAnsi"/>
          <w:szCs w:val="24"/>
          <w:u w:val="single"/>
          <w:lang w:eastAsia="en-US"/>
        </w:rPr>
        <w:t xml:space="preserve">Section 7 – Working out the effective fuel tax for </w:t>
      </w:r>
      <w:r w:rsidR="001F0BA9" w:rsidRPr="00FF4DA4">
        <w:rPr>
          <w:rFonts w:eastAsiaTheme="minorHAnsi"/>
          <w:szCs w:val="24"/>
          <w:u w:val="single"/>
          <w:lang w:eastAsia="en-US"/>
        </w:rPr>
        <w:t>fuel blends</w:t>
      </w:r>
    </w:p>
    <w:p w14:paraId="6190C7CB" w14:textId="77777777" w:rsidR="001F0BA9" w:rsidRDefault="001F0BA9" w:rsidP="001F0BA9">
      <w:pPr>
        <w:autoSpaceDE w:val="0"/>
        <w:autoSpaceDN w:val="0"/>
        <w:adjustRightInd w:val="0"/>
        <w:rPr>
          <w:rFonts w:eastAsiaTheme="minorHAnsi"/>
          <w:szCs w:val="24"/>
          <w:lang w:eastAsia="en-US"/>
        </w:rPr>
      </w:pPr>
    </w:p>
    <w:p w14:paraId="0A4DA26C" w14:textId="2B089765" w:rsidR="001F0BA9" w:rsidRDefault="006E0B8B" w:rsidP="001F0BA9">
      <w:pPr>
        <w:autoSpaceDE w:val="0"/>
        <w:autoSpaceDN w:val="0"/>
        <w:adjustRightInd w:val="0"/>
        <w:rPr>
          <w:rFonts w:eastAsiaTheme="minorHAnsi"/>
          <w:szCs w:val="24"/>
          <w:lang w:eastAsia="en-US"/>
        </w:rPr>
      </w:pPr>
      <w:r>
        <w:rPr>
          <w:rFonts w:eastAsiaTheme="minorHAnsi"/>
          <w:szCs w:val="24"/>
          <w:lang w:eastAsia="en-US"/>
        </w:rPr>
        <w:t>R</w:t>
      </w:r>
      <w:r w:rsidR="001F0BA9">
        <w:rPr>
          <w:rFonts w:eastAsiaTheme="minorHAnsi"/>
          <w:szCs w:val="24"/>
          <w:lang w:eastAsia="en-US"/>
        </w:rPr>
        <w:t xml:space="preserve">egulation 43-7 </w:t>
      </w:r>
      <w:r w:rsidR="00260B30">
        <w:rPr>
          <w:rFonts w:eastAsiaTheme="minorHAnsi"/>
          <w:szCs w:val="24"/>
          <w:lang w:eastAsia="en-US"/>
        </w:rPr>
        <w:t>of the former</w:t>
      </w:r>
      <w:r>
        <w:rPr>
          <w:rFonts w:eastAsiaTheme="minorHAnsi"/>
          <w:szCs w:val="24"/>
          <w:lang w:eastAsia="en-US"/>
        </w:rPr>
        <w:t xml:space="preserve"> Regulations </w:t>
      </w:r>
      <w:r w:rsidR="009D5C25">
        <w:rPr>
          <w:rFonts w:eastAsiaTheme="minorHAnsi"/>
          <w:szCs w:val="24"/>
          <w:lang w:eastAsia="en-US"/>
        </w:rPr>
        <w:t>has been</w:t>
      </w:r>
      <w:r w:rsidR="001F0BA9">
        <w:rPr>
          <w:rFonts w:eastAsiaTheme="minorHAnsi"/>
          <w:szCs w:val="24"/>
          <w:lang w:eastAsia="en-US"/>
        </w:rPr>
        <w:t xml:space="preserve"> remade into section 7 of the Regulation. Minor c</w:t>
      </w:r>
      <w:r w:rsidR="00E50CB0">
        <w:rPr>
          <w:rFonts w:eastAsiaTheme="minorHAnsi"/>
          <w:szCs w:val="24"/>
          <w:lang w:eastAsia="en-US"/>
        </w:rPr>
        <w:t xml:space="preserve">hanges were made to improve </w:t>
      </w:r>
      <w:r w:rsidR="001F0BA9">
        <w:rPr>
          <w:rFonts w:eastAsiaTheme="minorHAnsi"/>
          <w:szCs w:val="24"/>
          <w:lang w:eastAsia="en-US"/>
        </w:rPr>
        <w:t>readability</w:t>
      </w:r>
      <w:r w:rsidR="007575CC">
        <w:rPr>
          <w:rFonts w:eastAsiaTheme="minorHAnsi"/>
          <w:szCs w:val="24"/>
          <w:lang w:eastAsia="en-US"/>
        </w:rPr>
        <w:t xml:space="preserve">. These amendments </w:t>
      </w:r>
      <w:r w:rsidR="00A866ED">
        <w:rPr>
          <w:rFonts w:eastAsiaTheme="minorHAnsi"/>
          <w:szCs w:val="24"/>
          <w:lang w:eastAsia="en-US"/>
        </w:rPr>
        <w:t>do not</w:t>
      </w:r>
      <w:r w:rsidR="007575CC">
        <w:rPr>
          <w:rFonts w:eastAsiaTheme="minorHAnsi"/>
          <w:szCs w:val="24"/>
          <w:lang w:eastAsia="en-US"/>
        </w:rPr>
        <w:t xml:space="preserve"> impact the </w:t>
      </w:r>
      <w:r>
        <w:rPr>
          <w:rFonts w:eastAsiaTheme="minorHAnsi"/>
          <w:szCs w:val="24"/>
          <w:lang w:eastAsia="en-US"/>
        </w:rPr>
        <w:t xml:space="preserve">scope and operation of </w:t>
      </w:r>
      <w:r w:rsidR="001F0BA9">
        <w:rPr>
          <w:rFonts w:eastAsiaTheme="minorHAnsi"/>
          <w:szCs w:val="24"/>
          <w:lang w:eastAsia="en-US"/>
        </w:rPr>
        <w:t xml:space="preserve">regulation 43-7. </w:t>
      </w:r>
    </w:p>
    <w:p w14:paraId="521E75B5" w14:textId="77777777" w:rsidR="001F0BA9" w:rsidRDefault="001F0BA9" w:rsidP="005D60EA">
      <w:pPr>
        <w:autoSpaceDE w:val="0"/>
        <w:autoSpaceDN w:val="0"/>
        <w:adjustRightInd w:val="0"/>
        <w:rPr>
          <w:rFonts w:eastAsiaTheme="minorHAnsi"/>
          <w:szCs w:val="24"/>
          <w:u w:val="single"/>
          <w:lang w:eastAsia="en-US"/>
        </w:rPr>
      </w:pPr>
    </w:p>
    <w:p w14:paraId="50943580" w14:textId="77777777" w:rsidR="005D60EA" w:rsidRPr="00FF4DA4" w:rsidRDefault="005D60EA" w:rsidP="005D60EA">
      <w:pPr>
        <w:autoSpaceDE w:val="0"/>
        <w:autoSpaceDN w:val="0"/>
        <w:adjustRightInd w:val="0"/>
        <w:rPr>
          <w:rFonts w:eastAsiaTheme="minorHAnsi"/>
          <w:szCs w:val="24"/>
          <w:u w:val="single"/>
          <w:lang w:eastAsia="en-US"/>
        </w:rPr>
      </w:pPr>
      <w:r w:rsidRPr="00FF4DA4">
        <w:rPr>
          <w:rFonts w:eastAsiaTheme="minorHAnsi"/>
          <w:szCs w:val="24"/>
          <w:u w:val="single"/>
          <w:lang w:eastAsia="en-US"/>
        </w:rPr>
        <w:t>Conversion rate for road user charge</w:t>
      </w:r>
    </w:p>
    <w:p w14:paraId="60D55D7E" w14:textId="77777777" w:rsidR="005D60EA" w:rsidRDefault="005D60EA" w:rsidP="005D60EA">
      <w:pPr>
        <w:autoSpaceDE w:val="0"/>
        <w:autoSpaceDN w:val="0"/>
        <w:adjustRightInd w:val="0"/>
        <w:rPr>
          <w:rFonts w:eastAsiaTheme="minorHAnsi"/>
          <w:szCs w:val="24"/>
          <w:lang w:eastAsia="en-US"/>
        </w:rPr>
      </w:pPr>
    </w:p>
    <w:p w14:paraId="5CF309DA" w14:textId="4F1D2023" w:rsidR="006E0B8B" w:rsidRDefault="00260B30" w:rsidP="005D60EA">
      <w:pPr>
        <w:autoSpaceDE w:val="0"/>
        <w:autoSpaceDN w:val="0"/>
        <w:adjustRightInd w:val="0"/>
        <w:rPr>
          <w:rFonts w:eastAsiaTheme="minorHAnsi"/>
          <w:szCs w:val="24"/>
          <w:lang w:eastAsia="en-US"/>
        </w:rPr>
      </w:pPr>
      <w:r>
        <w:rPr>
          <w:rFonts w:eastAsiaTheme="minorHAnsi"/>
          <w:szCs w:val="24"/>
          <w:lang w:eastAsia="en-US"/>
        </w:rPr>
        <w:t xml:space="preserve">The </w:t>
      </w:r>
      <w:r w:rsidR="006E0B8B">
        <w:rPr>
          <w:rFonts w:eastAsiaTheme="minorHAnsi"/>
          <w:szCs w:val="24"/>
          <w:lang w:eastAsia="en-US"/>
        </w:rPr>
        <w:t xml:space="preserve">Regulation did not remake </w:t>
      </w:r>
      <w:r w:rsidR="005E7AAE">
        <w:rPr>
          <w:rFonts w:eastAsiaTheme="minorHAnsi"/>
          <w:szCs w:val="24"/>
          <w:lang w:eastAsia="en-US"/>
        </w:rPr>
        <w:t>regulation 43-10 of the former</w:t>
      </w:r>
      <w:r w:rsidR="006E0B8B">
        <w:rPr>
          <w:rFonts w:eastAsiaTheme="minorHAnsi"/>
          <w:szCs w:val="24"/>
          <w:lang w:eastAsia="en-US"/>
        </w:rPr>
        <w:t xml:space="preserve"> Regulations which allowed the Road User Charge (RUC) expressed in cents for each litre of fuel to be converted to a rate in cents for each kilogram of fuel. This regulation was designed to provide some flexibility so that the RUC, which reduces the amount of fuel tax credits under section 43-10 of the </w:t>
      </w:r>
      <w:r w:rsidR="006E0B8B" w:rsidRPr="006E0B8B">
        <w:rPr>
          <w:rFonts w:eastAsiaTheme="minorHAnsi"/>
          <w:i/>
          <w:szCs w:val="24"/>
          <w:lang w:eastAsia="en-US"/>
        </w:rPr>
        <w:t>Fuel Tax Act 2006</w:t>
      </w:r>
      <w:r w:rsidR="006E0B8B">
        <w:rPr>
          <w:rFonts w:eastAsiaTheme="minorHAnsi"/>
          <w:szCs w:val="24"/>
          <w:lang w:eastAsia="en-US"/>
        </w:rPr>
        <w:t xml:space="preserve"> (the Act) can be applied to liquefied natural gas (LNG) and compressed natural gas (CNG) powered heavy vehicles on-road. </w:t>
      </w:r>
    </w:p>
    <w:p w14:paraId="3E84FCD1" w14:textId="299808C9" w:rsidR="00E14384" w:rsidRDefault="00E14384" w:rsidP="005D60EA">
      <w:pPr>
        <w:autoSpaceDE w:val="0"/>
        <w:autoSpaceDN w:val="0"/>
        <w:adjustRightInd w:val="0"/>
        <w:rPr>
          <w:rFonts w:eastAsiaTheme="minorHAnsi"/>
          <w:szCs w:val="24"/>
          <w:lang w:eastAsia="en-US"/>
        </w:rPr>
      </w:pPr>
    </w:p>
    <w:p w14:paraId="7192D8E7" w14:textId="77777777" w:rsidR="00E14384" w:rsidRDefault="00E14384" w:rsidP="005D60EA">
      <w:pPr>
        <w:autoSpaceDE w:val="0"/>
        <w:autoSpaceDN w:val="0"/>
        <w:adjustRightInd w:val="0"/>
        <w:rPr>
          <w:rFonts w:eastAsiaTheme="minorHAnsi"/>
          <w:szCs w:val="24"/>
          <w:lang w:eastAsia="en-US"/>
        </w:rPr>
      </w:pPr>
    </w:p>
    <w:p w14:paraId="693B6787" w14:textId="77777777" w:rsidR="00E14384" w:rsidRDefault="00E14384" w:rsidP="005D60EA">
      <w:pPr>
        <w:autoSpaceDE w:val="0"/>
        <w:autoSpaceDN w:val="0"/>
        <w:adjustRightInd w:val="0"/>
        <w:rPr>
          <w:rFonts w:eastAsiaTheme="minorHAnsi"/>
          <w:szCs w:val="24"/>
          <w:lang w:eastAsia="en-US"/>
        </w:rPr>
      </w:pPr>
    </w:p>
    <w:p w14:paraId="65A142FD" w14:textId="77777777" w:rsidR="00E14384" w:rsidRDefault="00E14384" w:rsidP="005D60EA">
      <w:pPr>
        <w:autoSpaceDE w:val="0"/>
        <w:autoSpaceDN w:val="0"/>
        <w:adjustRightInd w:val="0"/>
        <w:rPr>
          <w:rFonts w:eastAsiaTheme="minorHAnsi"/>
          <w:szCs w:val="24"/>
          <w:lang w:eastAsia="en-US"/>
        </w:rPr>
      </w:pPr>
    </w:p>
    <w:p w14:paraId="06DE8965" w14:textId="77777777" w:rsidR="00E14384" w:rsidRDefault="00E14384" w:rsidP="005D60EA">
      <w:pPr>
        <w:autoSpaceDE w:val="0"/>
        <w:autoSpaceDN w:val="0"/>
        <w:adjustRightInd w:val="0"/>
        <w:rPr>
          <w:rFonts w:eastAsiaTheme="minorHAnsi"/>
          <w:szCs w:val="24"/>
          <w:lang w:eastAsia="en-US"/>
        </w:rPr>
      </w:pPr>
    </w:p>
    <w:p w14:paraId="2B488F1A" w14:textId="77777777" w:rsidR="00E14384" w:rsidRDefault="00E14384" w:rsidP="005D60EA">
      <w:pPr>
        <w:autoSpaceDE w:val="0"/>
        <w:autoSpaceDN w:val="0"/>
        <w:adjustRightInd w:val="0"/>
        <w:rPr>
          <w:rFonts w:eastAsiaTheme="minorHAnsi"/>
          <w:szCs w:val="24"/>
          <w:lang w:eastAsia="en-US"/>
        </w:rPr>
      </w:pPr>
    </w:p>
    <w:p w14:paraId="72828ED1" w14:textId="77777777" w:rsidR="00E14384" w:rsidRDefault="00E14384" w:rsidP="005D60EA">
      <w:pPr>
        <w:autoSpaceDE w:val="0"/>
        <w:autoSpaceDN w:val="0"/>
        <w:adjustRightInd w:val="0"/>
        <w:rPr>
          <w:rFonts w:eastAsiaTheme="minorHAnsi"/>
          <w:szCs w:val="24"/>
          <w:lang w:eastAsia="en-US"/>
        </w:rPr>
      </w:pPr>
    </w:p>
    <w:p w14:paraId="44120F17" w14:textId="27A34DF1" w:rsidR="006E0B8B" w:rsidRDefault="006E0B8B" w:rsidP="005D60EA">
      <w:pPr>
        <w:autoSpaceDE w:val="0"/>
        <w:autoSpaceDN w:val="0"/>
        <w:adjustRightInd w:val="0"/>
        <w:rPr>
          <w:rFonts w:eastAsiaTheme="minorHAnsi"/>
          <w:szCs w:val="24"/>
          <w:lang w:eastAsia="en-US"/>
        </w:rPr>
      </w:pPr>
      <w:r>
        <w:rPr>
          <w:rFonts w:eastAsiaTheme="minorHAnsi"/>
          <w:szCs w:val="24"/>
          <w:lang w:eastAsia="en-US"/>
        </w:rPr>
        <w:t xml:space="preserve">Instead the Government intends to amend section 43-10 of the Act to provide ongoing structural flexibility for the Transport Minister to determine rates for the RUC in units of weight, volume or energy. For example, taxpayers who purchase fuels sold in kilograms (such as LNG or CNG) would be able to apply the RUC expressed in cents for each kilogram of fuel directly rather than undertake a conversion process. Such changes would also allow the RUC to </w:t>
      </w:r>
      <w:r w:rsidR="00DF5C75">
        <w:rPr>
          <w:rFonts w:eastAsiaTheme="minorHAnsi"/>
          <w:szCs w:val="24"/>
          <w:lang w:eastAsia="en-US"/>
        </w:rPr>
        <w:t>be adapted to new forms of fuel</w:t>
      </w:r>
      <w:r>
        <w:rPr>
          <w:rFonts w:eastAsiaTheme="minorHAnsi"/>
          <w:szCs w:val="24"/>
          <w:lang w:eastAsia="en-US"/>
        </w:rPr>
        <w:t xml:space="preserve"> used in the future. </w:t>
      </w:r>
    </w:p>
    <w:p w14:paraId="58DD1916" w14:textId="77777777" w:rsidR="006E0B8B" w:rsidRDefault="006E0B8B" w:rsidP="005D60EA">
      <w:pPr>
        <w:autoSpaceDE w:val="0"/>
        <w:autoSpaceDN w:val="0"/>
        <w:adjustRightInd w:val="0"/>
        <w:rPr>
          <w:rFonts w:eastAsiaTheme="minorHAnsi"/>
          <w:szCs w:val="24"/>
          <w:lang w:eastAsia="en-US"/>
        </w:rPr>
      </w:pPr>
    </w:p>
    <w:p w14:paraId="7CE956CF" w14:textId="1EB42DAD" w:rsidR="006E0B8B" w:rsidRDefault="006E0B8B" w:rsidP="005D60EA">
      <w:pPr>
        <w:autoSpaceDE w:val="0"/>
        <w:autoSpaceDN w:val="0"/>
        <w:adjustRightInd w:val="0"/>
        <w:rPr>
          <w:rFonts w:eastAsiaTheme="minorHAnsi"/>
          <w:szCs w:val="24"/>
          <w:lang w:eastAsia="en-US"/>
        </w:rPr>
      </w:pPr>
      <w:r>
        <w:rPr>
          <w:rFonts w:eastAsiaTheme="minorHAnsi"/>
          <w:szCs w:val="24"/>
          <w:lang w:eastAsia="en-US"/>
        </w:rPr>
        <w:t xml:space="preserve">The Government intends to introduce the amendments into Parliament as soon as practicable. </w:t>
      </w:r>
    </w:p>
    <w:p w14:paraId="7E19DB25" w14:textId="77777777" w:rsidR="006E0B8B" w:rsidRDefault="006E0B8B" w:rsidP="005D60EA">
      <w:pPr>
        <w:autoSpaceDE w:val="0"/>
        <w:autoSpaceDN w:val="0"/>
        <w:adjustRightInd w:val="0"/>
        <w:rPr>
          <w:rFonts w:eastAsiaTheme="minorHAnsi"/>
          <w:szCs w:val="24"/>
          <w:lang w:eastAsia="en-US"/>
        </w:rPr>
      </w:pPr>
    </w:p>
    <w:p w14:paraId="40F912DA" w14:textId="77777777" w:rsidR="006E0B8B" w:rsidRDefault="006E0B8B" w:rsidP="005D60EA">
      <w:pPr>
        <w:autoSpaceDE w:val="0"/>
        <w:autoSpaceDN w:val="0"/>
        <w:adjustRightInd w:val="0"/>
        <w:rPr>
          <w:rFonts w:eastAsiaTheme="minorHAnsi"/>
          <w:szCs w:val="24"/>
          <w:lang w:eastAsia="en-US"/>
        </w:rPr>
      </w:pPr>
    </w:p>
    <w:p w14:paraId="2E550B24" w14:textId="77777777" w:rsidR="006E0B8B" w:rsidRDefault="006E0B8B" w:rsidP="005D60EA">
      <w:pPr>
        <w:autoSpaceDE w:val="0"/>
        <w:autoSpaceDN w:val="0"/>
        <w:adjustRightInd w:val="0"/>
        <w:rPr>
          <w:rFonts w:eastAsiaTheme="minorHAnsi"/>
          <w:szCs w:val="24"/>
          <w:lang w:eastAsia="en-US"/>
        </w:rPr>
      </w:pPr>
    </w:p>
    <w:p w14:paraId="0F9924AB" w14:textId="77777777" w:rsidR="006E0B8B" w:rsidRDefault="006E0B8B" w:rsidP="005D60EA">
      <w:pPr>
        <w:autoSpaceDE w:val="0"/>
        <w:autoSpaceDN w:val="0"/>
        <w:adjustRightInd w:val="0"/>
        <w:rPr>
          <w:rFonts w:eastAsiaTheme="minorHAnsi"/>
          <w:szCs w:val="24"/>
          <w:lang w:eastAsia="en-US"/>
        </w:rPr>
      </w:pPr>
    </w:p>
    <w:sectPr w:rsidR="006E0B8B">
      <w:headerReference w:type="even" r:id="rId14"/>
      <w:headerReference w:type="default" r:id="rId15"/>
      <w:footerReference w:type="even" r:id="rId16"/>
      <w:footerReference w:type="default" r:id="rId17"/>
      <w:headerReference w:type="first" r:id="rId18"/>
      <w:footerReference w:type="first" r:id="rId19"/>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D9EF4" w14:textId="77777777" w:rsidR="00C2134B" w:rsidRDefault="00C2134B" w:rsidP="009179FB">
      <w:r>
        <w:separator/>
      </w:r>
    </w:p>
  </w:endnote>
  <w:endnote w:type="continuationSeparator" w:id="0">
    <w:p w14:paraId="10285E86" w14:textId="77777777" w:rsidR="00C2134B" w:rsidRDefault="00C2134B" w:rsidP="009179FB">
      <w:r>
        <w:continuationSeparator/>
      </w:r>
    </w:p>
  </w:endnote>
  <w:endnote w:type="continuationNotice" w:id="1">
    <w:p w14:paraId="71F72F62" w14:textId="77777777" w:rsidR="00C2134B" w:rsidRDefault="00C21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2396C" w14:textId="77777777" w:rsidR="00C2134B" w:rsidRDefault="00C213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346803"/>
      <w:docPartObj>
        <w:docPartGallery w:val="Page Numbers (Bottom of Page)"/>
        <w:docPartUnique/>
      </w:docPartObj>
    </w:sdtPr>
    <w:sdtEndPr>
      <w:rPr>
        <w:noProof/>
      </w:rPr>
    </w:sdtEndPr>
    <w:sdtContent>
      <w:p w14:paraId="1BAE4345" w14:textId="413FA0E6" w:rsidR="00C2134B" w:rsidRDefault="00C2134B">
        <w:pPr>
          <w:pStyle w:val="Footer"/>
          <w:jc w:val="right"/>
        </w:pPr>
        <w:r>
          <w:fldChar w:fldCharType="begin"/>
        </w:r>
        <w:r>
          <w:instrText xml:space="preserve"> PAGE   \* MERGEFORMAT </w:instrText>
        </w:r>
        <w:r>
          <w:fldChar w:fldCharType="separate"/>
        </w:r>
        <w:r w:rsidR="00C277F2">
          <w:rPr>
            <w:noProof/>
          </w:rPr>
          <w:t>2</w:t>
        </w:r>
        <w:r>
          <w:rPr>
            <w:noProof/>
          </w:rPr>
          <w:fldChar w:fldCharType="end"/>
        </w:r>
      </w:p>
    </w:sdtContent>
  </w:sdt>
  <w:p w14:paraId="5C2965BB" w14:textId="77777777" w:rsidR="00C2134B" w:rsidRDefault="00C213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2C20C" w14:textId="77777777" w:rsidR="00C2134B" w:rsidRDefault="00C21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B2486" w14:textId="77777777" w:rsidR="00C2134B" w:rsidRDefault="00C2134B" w:rsidP="009179FB">
      <w:r>
        <w:separator/>
      </w:r>
    </w:p>
  </w:footnote>
  <w:footnote w:type="continuationSeparator" w:id="0">
    <w:p w14:paraId="273A24FC" w14:textId="77777777" w:rsidR="00C2134B" w:rsidRDefault="00C2134B" w:rsidP="009179FB">
      <w:r>
        <w:continuationSeparator/>
      </w:r>
    </w:p>
  </w:footnote>
  <w:footnote w:type="continuationNotice" w:id="1">
    <w:p w14:paraId="0FF68EF7" w14:textId="77777777" w:rsidR="00C2134B" w:rsidRDefault="00C213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D8B86" w14:textId="32DB24ED" w:rsidR="00C2134B" w:rsidRDefault="00C213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DF9A2" w14:textId="1C246C52" w:rsidR="00C2134B" w:rsidRDefault="00C213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BB699" w14:textId="2B27D9CC" w:rsidR="00C2134B" w:rsidRDefault="00C213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14D4B"/>
    <w:multiLevelType w:val="multilevel"/>
    <w:tmpl w:val="A316FE50"/>
    <w:styleLink w:val="ChapterList"/>
    <w:lvl w:ilvl="0">
      <w:start w:val="1"/>
      <w:numFmt w:val="decimal"/>
      <w:lvlText w:val="Chapter %1"/>
      <w:lvlJc w:val="left"/>
      <w:pPr>
        <w:tabs>
          <w:tab w:val="num" w:pos="1134"/>
        </w:tabs>
        <w:ind w:left="0" w:firstLine="0"/>
      </w:pPr>
    </w:lvl>
    <w:lvl w:ilvl="1">
      <w:start w:val="1"/>
      <w:numFmt w:val="decimal"/>
      <w:lvlText w:val="%1.%2"/>
      <w:lvlJc w:val="left"/>
      <w:pPr>
        <w:tabs>
          <w:tab w:val="num" w:pos="1985"/>
        </w:tabs>
        <w:ind w:left="1134" w:firstLine="0"/>
      </w:pPr>
    </w:lvl>
    <w:lvl w:ilvl="2">
      <w:start w:val="1"/>
      <w:numFmt w:val="decimal"/>
      <w:lvlRestart w:val="1"/>
      <w:suff w:val="nothing"/>
      <w:lvlText w:val="Diagram %1.%3"/>
      <w:lvlJc w:val="left"/>
      <w:pPr>
        <w:ind w:left="1134" w:firstLine="0"/>
      </w:pPr>
    </w:lvl>
    <w:lvl w:ilvl="3">
      <w:start w:val="1"/>
      <w:numFmt w:val="decimal"/>
      <w:lvlRestart w:val="1"/>
      <w:suff w:val="nothing"/>
      <w:lvlText w:val="Example %1.%4"/>
      <w:lvlJc w:val="left"/>
      <w:pPr>
        <w:ind w:left="1134" w:firstLine="0"/>
      </w:pPr>
    </w:lvl>
    <w:lvl w:ilvl="4">
      <w:start w:val="1"/>
      <w:numFmt w:val="decimal"/>
      <w:lvlRestart w:val="1"/>
      <w:suff w:val="nothing"/>
      <w:lvlText w:val="Table %1.%5"/>
      <w:lvlJc w:val="left"/>
      <w:pPr>
        <w:ind w:left="1134"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2C16D5A"/>
    <w:multiLevelType w:val="multilevel"/>
    <w:tmpl w:val="61AEBDB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FBC7E8D"/>
    <w:multiLevelType w:val="singleLevel"/>
    <w:tmpl w:val="CC3A5EB2"/>
    <w:lvl w:ilvl="0">
      <w:start w:val="1"/>
      <w:numFmt w:val="decimal"/>
      <w:lvlRestart w:val="0"/>
      <w:pStyle w:val="base-text-paragraph"/>
      <w:lvlText w:val="%1."/>
      <w:lvlJc w:val="left"/>
      <w:pPr>
        <w:tabs>
          <w:tab w:val="num" w:pos="1837"/>
        </w:tabs>
        <w:ind w:left="993" w:firstLine="0"/>
      </w:pPr>
      <w:rPr>
        <w:b w:val="0"/>
        <w:i w:val="0"/>
        <w:color w:val="000000"/>
      </w:rPr>
    </w:lvl>
  </w:abstractNum>
  <w:abstractNum w:abstractNumId="3">
    <w:nsid w:val="65DF6494"/>
    <w:multiLevelType w:val="multilevel"/>
    <w:tmpl w:val="0B04EE3E"/>
    <w:lvl w:ilvl="0">
      <w:start w:val="1"/>
      <w:numFmt w:val="decimal"/>
      <w:lvlText w:val="Chapter %1"/>
      <w:lvlJc w:val="left"/>
      <w:pPr>
        <w:tabs>
          <w:tab w:val="num" w:pos="1134"/>
        </w:tabs>
        <w:ind w:left="0" w:firstLine="0"/>
      </w:pPr>
    </w:lvl>
    <w:lvl w:ilvl="1">
      <w:start w:val="1"/>
      <w:numFmt w:val="decimal"/>
      <w:lvlText w:val="%1.%2"/>
      <w:lvlJc w:val="left"/>
      <w:pPr>
        <w:tabs>
          <w:tab w:val="num" w:pos="1985"/>
        </w:tabs>
        <w:ind w:left="1134" w:firstLine="0"/>
      </w:pPr>
    </w:lvl>
    <w:lvl w:ilvl="2">
      <w:start w:val="1"/>
      <w:numFmt w:val="decimal"/>
      <w:lvlRestart w:val="1"/>
      <w:suff w:val="nothing"/>
      <w:lvlText w:val="Diagram %1.%3"/>
      <w:lvlJc w:val="left"/>
      <w:pPr>
        <w:ind w:left="1134" w:firstLine="0"/>
      </w:pPr>
    </w:lvl>
    <w:lvl w:ilvl="3">
      <w:start w:val="1"/>
      <w:numFmt w:val="decimal"/>
      <w:lvlRestart w:val="1"/>
      <w:suff w:val="nothing"/>
      <w:lvlText w:val="Example %1.%4"/>
      <w:lvlJc w:val="left"/>
      <w:pPr>
        <w:ind w:left="1134" w:firstLine="0"/>
      </w:pPr>
    </w:lvl>
    <w:lvl w:ilvl="4">
      <w:start w:val="1"/>
      <w:numFmt w:val="decimal"/>
      <w:lvlRestart w:val="1"/>
      <w:suff w:val="nothing"/>
      <w:lvlText w:val="Table %1.%5"/>
      <w:lvlJc w:val="left"/>
      <w:pPr>
        <w:ind w:left="1134" w:firstLine="0"/>
      </w:pPr>
      <w:rPr>
        <w:i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DE364B3"/>
    <w:multiLevelType w:val="hybridMultilevel"/>
    <w:tmpl w:val="C0D41C2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0"/>
  </w:num>
  <w:num w:numId="5">
    <w:abstractNumId w:val="3"/>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1"/>
  </w:num>
  <w:num w:numId="7">
    <w:abstractNumId w:val="1"/>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754"/>
    <w:rsid w:val="00000140"/>
    <w:rsid w:val="000019A7"/>
    <w:rsid w:val="00006915"/>
    <w:rsid w:val="00012D7F"/>
    <w:rsid w:val="0001383B"/>
    <w:rsid w:val="00016B0B"/>
    <w:rsid w:val="000219C5"/>
    <w:rsid w:val="00022195"/>
    <w:rsid w:val="0002355F"/>
    <w:rsid w:val="00025EDC"/>
    <w:rsid w:val="00032D02"/>
    <w:rsid w:val="000358A9"/>
    <w:rsid w:val="00035BA0"/>
    <w:rsid w:val="0003638F"/>
    <w:rsid w:val="00040D58"/>
    <w:rsid w:val="00041CC2"/>
    <w:rsid w:val="00041FCB"/>
    <w:rsid w:val="000421BD"/>
    <w:rsid w:val="00046D89"/>
    <w:rsid w:val="000530FB"/>
    <w:rsid w:val="0005369D"/>
    <w:rsid w:val="00056783"/>
    <w:rsid w:val="00056C34"/>
    <w:rsid w:val="000619A0"/>
    <w:rsid w:val="00063A04"/>
    <w:rsid w:val="00064D35"/>
    <w:rsid w:val="000700A3"/>
    <w:rsid w:val="0007023B"/>
    <w:rsid w:val="00073131"/>
    <w:rsid w:val="00093ED4"/>
    <w:rsid w:val="0009655E"/>
    <w:rsid w:val="000A1F97"/>
    <w:rsid w:val="000B0F75"/>
    <w:rsid w:val="000B1394"/>
    <w:rsid w:val="000B27A6"/>
    <w:rsid w:val="000B3CB0"/>
    <w:rsid w:val="000C08DF"/>
    <w:rsid w:val="000C15CB"/>
    <w:rsid w:val="000C3F77"/>
    <w:rsid w:val="000C6B47"/>
    <w:rsid w:val="000C70DC"/>
    <w:rsid w:val="000D2CC9"/>
    <w:rsid w:val="000E0DAA"/>
    <w:rsid w:val="000E389C"/>
    <w:rsid w:val="000E59BB"/>
    <w:rsid w:val="000E6A78"/>
    <w:rsid w:val="000F159E"/>
    <w:rsid w:val="000F2564"/>
    <w:rsid w:val="000F2E62"/>
    <w:rsid w:val="000F6002"/>
    <w:rsid w:val="001021BC"/>
    <w:rsid w:val="0010387D"/>
    <w:rsid w:val="00107C0F"/>
    <w:rsid w:val="00107C75"/>
    <w:rsid w:val="00114EE9"/>
    <w:rsid w:val="001176FC"/>
    <w:rsid w:val="00122F26"/>
    <w:rsid w:val="0012480A"/>
    <w:rsid w:val="00131D4B"/>
    <w:rsid w:val="00135A64"/>
    <w:rsid w:val="00140855"/>
    <w:rsid w:val="00141B99"/>
    <w:rsid w:val="001460D8"/>
    <w:rsid w:val="001513EA"/>
    <w:rsid w:val="0016001C"/>
    <w:rsid w:val="0016141A"/>
    <w:rsid w:val="00161482"/>
    <w:rsid w:val="00170366"/>
    <w:rsid w:val="0017088A"/>
    <w:rsid w:val="00175BF8"/>
    <w:rsid w:val="00177D6E"/>
    <w:rsid w:val="001816A1"/>
    <w:rsid w:val="00182CB0"/>
    <w:rsid w:val="001832C5"/>
    <w:rsid w:val="0018391F"/>
    <w:rsid w:val="00184874"/>
    <w:rsid w:val="00184B50"/>
    <w:rsid w:val="00185479"/>
    <w:rsid w:val="00190C8C"/>
    <w:rsid w:val="0019562F"/>
    <w:rsid w:val="001A4F30"/>
    <w:rsid w:val="001A6ECA"/>
    <w:rsid w:val="001A768F"/>
    <w:rsid w:val="001A7C90"/>
    <w:rsid w:val="001B093A"/>
    <w:rsid w:val="001B1E5F"/>
    <w:rsid w:val="001D1C51"/>
    <w:rsid w:val="001D2A73"/>
    <w:rsid w:val="001D6666"/>
    <w:rsid w:val="001D674F"/>
    <w:rsid w:val="001D6E23"/>
    <w:rsid w:val="001E1231"/>
    <w:rsid w:val="001E3A77"/>
    <w:rsid w:val="001E5E60"/>
    <w:rsid w:val="001E7B89"/>
    <w:rsid w:val="001F0BA9"/>
    <w:rsid w:val="001F41AD"/>
    <w:rsid w:val="001F6D8E"/>
    <w:rsid w:val="002001AB"/>
    <w:rsid w:val="002025CD"/>
    <w:rsid w:val="002038DE"/>
    <w:rsid w:val="00203C05"/>
    <w:rsid w:val="0020746C"/>
    <w:rsid w:val="00210946"/>
    <w:rsid w:val="00224A5C"/>
    <w:rsid w:val="002256E3"/>
    <w:rsid w:val="00226E10"/>
    <w:rsid w:val="00230049"/>
    <w:rsid w:val="00232737"/>
    <w:rsid w:val="0023693F"/>
    <w:rsid w:val="0024237C"/>
    <w:rsid w:val="0024285B"/>
    <w:rsid w:val="0024747B"/>
    <w:rsid w:val="0025136F"/>
    <w:rsid w:val="002518FF"/>
    <w:rsid w:val="0025452E"/>
    <w:rsid w:val="0025778E"/>
    <w:rsid w:val="00260B30"/>
    <w:rsid w:val="0026136A"/>
    <w:rsid w:val="00262777"/>
    <w:rsid w:val="00266D01"/>
    <w:rsid w:val="0026728C"/>
    <w:rsid w:val="002712AB"/>
    <w:rsid w:val="0027163A"/>
    <w:rsid w:val="002747DC"/>
    <w:rsid w:val="002753AA"/>
    <w:rsid w:val="00280799"/>
    <w:rsid w:val="0028604E"/>
    <w:rsid w:val="002918EE"/>
    <w:rsid w:val="00292232"/>
    <w:rsid w:val="00293C79"/>
    <w:rsid w:val="00294225"/>
    <w:rsid w:val="002A00CA"/>
    <w:rsid w:val="002A0597"/>
    <w:rsid w:val="002A1079"/>
    <w:rsid w:val="002B0823"/>
    <w:rsid w:val="002B4298"/>
    <w:rsid w:val="002B5746"/>
    <w:rsid w:val="002B7A39"/>
    <w:rsid w:val="002B7BC6"/>
    <w:rsid w:val="002C0491"/>
    <w:rsid w:val="002C537D"/>
    <w:rsid w:val="002C6E51"/>
    <w:rsid w:val="002C7379"/>
    <w:rsid w:val="002C789D"/>
    <w:rsid w:val="002D2F64"/>
    <w:rsid w:val="002D3A60"/>
    <w:rsid w:val="002D4CF1"/>
    <w:rsid w:val="002E55E8"/>
    <w:rsid w:val="002E5757"/>
    <w:rsid w:val="002E583C"/>
    <w:rsid w:val="002F05A2"/>
    <w:rsid w:val="002F0921"/>
    <w:rsid w:val="002F4D80"/>
    <w:rsid w:val="00300FA9"/>
    <w:rsid w:val="00301A96"/>
    <w:rsid w:val="003071C9"/>
    <w:rsid w:val="003117F4"/>
    <w:rsid w:val="003125B9"/>
    <w:rsid w:val="00313FF1"/>
    <w:rsid w:val="0032107B"/>
    <w:rsid w:val="00324C5C"/>
    <w:rsid w:val="0033042E"/>
    <w:rsid w:val="003313DA"/>
    <w:rsid w:val="00332358"/>
    <w:rsid w:val="00341280"/>
    <w:rsid w:val="00344254"/>
    <w:rsid w:val="0034790F"/>
    <w:rsid w:val="0035406D"/>
    <w:rsid w:val="00354117"/>
    <w:rsid w:val="003549C7"/>
    <w:rsid w:val="003566B7"/>
    <w:rsid w:val="00357083"/>
    <w:rsid w:val="00360E87"/>
    <w:rsid w:val="00361A5D"/>
    <w:rsid w:val="00363BCC"/>
    <w:rsid w:val="00374ECC"/>
    <w:rsid w:val="00376D90"/>
    <w:rsid w:val="00381422"/>
    <w:rsid w:val="00381D36"/>
    <w:rsid w:val="0038330C"/>
    <w:rsid w:val="0038407A"/>
    <w:rsid w:val="00385232"/>
    <w:rsid w:val="003908F5"/>
    <w:rsid w:val="00391BEB"/>
    <w:rsid w:val="00392200"/>
    <w:rsid w:val="00395D4F"/>
    <w:rsid w:val="003A0CA0"/>
    <w:rsid w:val="003A0ED0"/>
    <w:rsid w:val="003A5ED1"/>
    <w:rsid w:val="003B1A5B"/>
    <w:rsid w:val="003B53BF"/>
    <w:rsid w:val="003B62E4"/>
    <w:rsid w:val="003B706A"/>
    <w:rsid w:val="003C4A03"/>
    <w:rsid w:val="003C645F"/>
    <w:rsid w:val="003E25A2"/>
    <w:rsid w:val="003F6A4C"/>
    <w:rsid w:val="00402C0B"/>
    <w:rsid w:val="00405CF7"/>
    <w:rsid w:val="0040667B"/>
    <w:rsid w:val="00406CA4"/>
    <w:rsid w:val="00407188"/>
    <w:rsid w:val="0041265E"/>
    <w:rsid w:val="004133EC"/>
    <w:rsid w:val="00420960"/>
    <w:rsid w:val="00421939"/>
    <w:rsid w:val="00422A2A"/>
    <w:rsid w:val="00426F44"/>
    <w:rsid w:val="00430786"/>
    <w:rsid w:val="00430FEE"/>
    <w:rsid w:val="00432347"/>
    <w:rsid w:val="00432BF2"/>
    <w:rsid w:val="00440CFF"/>
    <w:rsid w:val="00441078"/>
    <w:rsid w:val="004411BF"/>
    <w:rsid w:val="00442CED"/>
    <w:rsid w:val="00444C14"/>
    <w:rsid w:val="004458DF"/>
    <w:rsid w:val="004519DA"/>
    <w:rsid w:val="00455BBB"/>
    <w:rsid w:val="00457B98"/>
    <w:rsid w:val="0046039F"/>
    <w:rsid w:val="00462BC6"/>
    <w:rsid w:val="0046417C"/>
    <w:rsid w:val="004672F6"/>
    <w:rsid w:val="004747CC"/>
    <w:rsid w:val="00474918"/>
    <w:rsid w:val="00474D3D"/>
    <w:rsid w:val="004829BB"/>
    <w:rsid w:val="00483113"/>
    <w:rsid w:val="00484206"/>
    <w:rsid w:val="00484CD7"/>
    <w:rsid w:val="00485400"/>
    <w:rsid w:val="00490AC7"/>
    <w:rsid w:val="0049129F"/>
    <w:rsid w:val="0049506E"/>
    <w:rsid w:val="004A1F33"/>
    <w:rsid w:val="004A346E"/>
    <w:rsid w:val="004A4CBF"/>
    <w:rsid w:val="004A5B6A"/>
    <w:rsid w:val="004A7703"/>
    <w:rsid w:val="004C097F"/>
    <w:rsid w:val="004C3F48"/>
    <w:rsid w:val="004D2579"/>
    <w:rsid w:val="004D3CEE"/>
    <w:rsid w:val="004D4481"/>
    <w:rsid w:val="004D4EA7"/>
    <w:rsid w:val="004D4F3A"/>
    <w:rsid w:val="004D50D2"/>
    <w:rsid w:val="004D5BDD"/>
    <w:rsid w:val="004E45B2"/>
    <w:rsid w:val="004E6533"/>
    <w:rsid w:val="004E664B"/>
    <w:rsid w:val="004E7E5D"/>
    <w:rsid w:val="004F11D0"/>
    <w:rsid w:val="004F1F9E"/>
    <w:rsid w:val="004F2FAE"/>
    <w:rsid w:val="004F3D6A"/>
    <w:rsid w:val="004F4526"/>
    <w:rsid w:val="005003ED"/>
    <w:rsid w:val="00500CB8"/>
    <w:rsid w:val="00500D85"/>
    <w:rsid w:val="00505C57"/>
    <w:rsid w:val="00515D9C"/>
    <w:rsid w:val="00520572"/>
    <w:rsid w:val="00521C34"/>
    <w:rsid w:val="00523695"/>
    <w:rsid w:val="00525597"/>
    <w:rsid w:val="005264F5"/>
    <w:rsid w:val="00527E5E"/>
    <w:rsid w:val="005347D6"/>
    <w:rsid w:val="0053632C"/>
    <w:rsid w:val="00536924"/>
    <w:rsid w:val="00537737"/>
    <w:rsid w:val="00537DB5"/>
    <w:rsid w:val="005449FB"/>
    <w:rsid w:val="005453D6"/>
    <w:rsid w:val="005556AA"/>
    <w:rsid w:val="00563390"/>
    <w:rsid w:val="00566265"/>
    <w:rsid w:val="005750D7"/>
    <w:rsid w:val="00581543"/>
    <w:rsid w:val="00593E87"/>
    <w:rsid w:val="00597F03"/>
    <w:rsid w:val="005A53FA"/>
    <w:rsid w:val="005A6293"/>
    <w:rsid w:val="005B0C8E"/>
    <w:rsid w:val="005B14A5"/>
    <w:rsid w:val="005B40B1"/>
    <w:rsid w:val="005B4FEB"/>
    <w:rsid w:val="005B56F2"/>
    <w:rsid w:val="005C0247"/>
    <w:rsid w:val="005C3C59"/>
    <w:rsid w:val="005C4D56"/>
    <w:rsid w:val="005D49B2"/>
    <w:rsid w:val="005D60EA"/>
    <w:rsid w:val="005D700D"/>
    <w:rsid w:val="005D7E55"/>
    <w:rsid w:val="005E15AD"/>
    <w:rsid w:val="005E6855"/>
    <w:rsid w:val="005E7AAE"/>
    <w:rsid w:val="005F27CF"/>
    <w:rsid w:val="005F2903"/>
    <w:rsid w:val="005F6EA9"/>
    <w:rsid w:val="00600854"/>
    <w:rsid w:val="006036ED"/>
    <w:rsid w:val="00604ED4"/>
    <w:rsid w:val="00605365"/>
    <w:rsid w:val="00606B97"/>
    <w:rsid w:val="00606BF7"/>
    <w:rsid w:val="006117D3"/>
    <w:rsid w:val="006125C9"/>
    <w:rsid w:val="00614CC7"/>
    <w:rsid w:val="00620A23"/>
    <w:rsid w:val="00621AF6"/>
    <w:rsid w:val="00621B68"/>
    <w:rsid w:val="006232B5"/>
    <w:rsid w:val="00631418"/>
    <w:rsid w:val="006317F9"/>
    <w:rsid w:val="006332E7"/>
    <w:rsid w:val="00633CDA"/>
    <w:rsid w:val="00636D3C"/>
    <w:rsid w:val="00646EA7"/>
    <w:rsid w:val="00646F06"/>
    <w:rsid w:val="00660B98"/>
    <w:rsid w:val="00661949"/>
    <w:rsid w:val="00664E72"/>
    <w:rsid w:val="0067017A"/>
    <w:rsid w:val="00673423"/>
    <w:rsid w:val="00682F4A"/>
    <w:rsid w:val="0068418C"/>
    <w:rsid w:val="00690025"/>
    <w:rsid w:val="0069187F"/>
    <w:rsid w:val="0069239E"/>
    <w:rsid w:val="00693DBF"/>
    <w:rsid w:val="006940BC"/>
    <w:rsid w:val="00697800"/>
    <w:rsid w:val="00697FEC"/>
    <w:rsid w:val="006A16C3"/>
    <w:rsid w:val="006A2261"/>
    <w:rsid w:val="006A57F3"/>
    <w:rsid w:val="006A656C"/>
    <w:rsid w:val="006A7A8D"/>
    <w:rsid w:val="006B2C36"/>
    <w:rsid w:val="006C152A"/>
    <w:rsid w:val="006D5FEA"/>
    <w:rsid w:val="006E0A26"/>
    <w:rsid w:val="006E0B8B"/>
    <w:rsid w:val="006E0C9F"/>
    <w:rsid w:val="006E3B75"/>
    <w:rsid w:val="006E40DF"/>
    <w:rsid w:val="006E41B4"/>
    <w:rsid w:val="006E4F23"/>
    <w:rsid w:val="006E7D3C"/>
    <w:rsid w:val="006F1AEF"/>
    <w:rsid w:val="006F6C35"/>
    <w:rsid w:val="00701018"/>
    <w:rsid w:val="00701CBB"/>
    <w:rsid w:val="007069F8"/>
    <w:rsid w:val="00707271"/>
    <w:rsid w:val="00707BCD"/>
    <w:rsid w:val="007131E3"/>
    <w:rsid w:val="0071426C"/>
    <w:rsid w:val="0071479D"/>
    <w:rsid w:val="007158FA"/>
    <w:rsid w:val="00721FD6"/>
    <w:rsid w:val="00722719"/>
    <w:rsid w:val="007268FB"/>
    <w:rsid w:val="00730347"/>
    <w:rsid w:val="00731EFA"/>
    <w:rsid w:val="00737AFA"/>
    <w:rsid w:val="007420AD"/>
    <w:rsid w:val="00751E2E"/>
    <w:rsid w:val="0075530D"/>
    <w:rsid w:val="0075582F"/>
    <w:rsid w:val="00756F59"/>
    <w:rsid w:val="007575CC"/>
    <w:rsid w:val="00762075"/>
    <w:rsid w:val="00766CC5"/>
    <w:rsid w:val="00775EBB"/>
    <w:rsid w:val="00775F00"/>
    <w:rsid w:val="0077631A"/>
    <w:rsid w:val="0077646F"/>
    <w:rsid w:val="00776D6E"/>
    <w:rsid w:val="0078179F"/>
    <w:rsid w:val="007873B6"/>
    <w:rsid w:val="00791064"/>
    <w:rsid w:val="00793BEE"/>
    <w:rsid w:val="00795D19"/>
    <w:rsid w:val="00796797"/>
    <w:rsid w:val="00796CDF"/>
    <w:rsid w:val="007972EF"/>
    <w:rsid w:val="007A4D02"/>
    <w:rsid w:val="007B1137"/>
    <w:rsid w:val="007B36E3"/>
    <w:rsid w:val="007B3F49"/>
    <w:rsid w:val="007B4537"/>
    <w:rsid w:val="007B6410"/>
    <w:rsid w:val="007C6CE6"/>
    <w:rsid w:val="007D0E12"/>
    <w:rsid w:val="007D574C"/>
    <w:rsid w:val="007D5E87"/>
    <w:rsid w:val="007D6F0A"/>
    <w:rsid w:val="007E06AB"/>
    <w:rsid w:val="007E0866"/>
    <w:rsid w:val="007E7D36"/>
    <w:rsid w:val="007F0E59"/>
    <w:rsid w:val="007F283E"/>
    <w:rsid w:val="007F40D3"/>
    <w:rsid w:val="007F5BE2"/>
    <w:rsid w:val="007F6418"/>
    <w:rsid w:val="0080644A"/>
    <w:rsid w:val="00806EBD"/>
    <w:rsid w:val="008070AE"/>
    <w:rsid w:val="00807AE2"/>
    <w:rsid w:val="00811995"/>
    <w:rsid w:val="008138D4"/>
    <w:rsid w:val="00814975"/>
    <w:rsid w:val="008211FD"/>
    <w:rsid w:val="00821728"/>
    <w:rsid w:val="008231D1"/>
    <w:rsid w:val="00825267"/>
    <w:rsid w:val="008267E8"/>
    <w:rsid w:val="008314F3"/>
    <w:rsid w:val="00833106"/>
    <w:rsid w:val="00833F1C"/>
    <w:rsid w:val="0083540B"/>
    <w:rsid w:val="00835C78"/>
    <w:rsid w:val="00837E25"/>
    <w:rsid w:val="00843609"/>
    <w:rsid w:val="00845433"/>
    <w:rsid w:val="00846B5E"/>
    <w:rsid w:val="0085003B"/>
    <w:rsid w:val="0085653E"/>
    <w:rsid w:val="00857E8F"/>
    <w:rsid w:val="0086014B"/>
    <w:rsid w:val="00865506"/>
    <w:rsid w:val="008666D2"/>
    <w:rsid w:val="00872FCB"/>
    <w:rsid w:val="008743E3"/>
    <w:rsid w:val="00886136"/>
    <w:rsid w:val="008871A8"/>
    <w:rsid w:val="00892241"/>
    <w:rsid w:val="008962C8"/>
    <w:rsid w:val="008A0812"/>
    <w:rsid w:val="008A2F78"/>
    <w:rsid w:val="008A3807"/>
    <w:rsid w:val="008A47FF"/>
    <w:rsid w:val="008A709B"/>
    <w:rsid w:val="008B7D06"/>
    <w:rsid w:val="008C7DB2"/>
    <w:rsid w:val="008D255C"/>
    <w:rsid w:val="008D3015"/>
    <w:rsid w:val="008D5430"/>
    <w:rsid w:val="008D677E"/>
    <w:rsid w:val="008E1AEC"/>
    <w:rsid w:val="008E1E6A"/>
    <w:rsid w:val="008E1F0E"/>
    <w:rsid w:val="008E254E"/>
    <w:rsid w:val="008E550F"/>
    <w:rsid w:val="008F0070"/>
    <w:rsid w:val="008F0727"/>
    <w:rsid w:val="008F53DA"/>
    <w:rsid w:val="009036AB"/>
    <w:rsid w:val="00912079"/>
    <w:rsid w:val="00913A06"/>
    <w:rsid w:val="009140CD"/>
    <w:rsid w:val="00914ED6"/>
    <w:rsid w:val="00914FD1"/>
    <w:rsid w:val="009179FB"/>
    <w:rsid w:val="00923505"/>
    <w:rsid w:val="0092782E"/>
    <w:rsid w:val="00932367"/>
    <w:rsid w:val="0094049B"/>
    <w:rsid w:val="00940794"/>
    <w:rsid w:val="009471B7"/>
    <w:rsid w:val="00947A30"/>
    <w:rsid w:val="00956757"/>
    <w:rsid w:val="00956DD9"/>
    <w:rsid w:val="00956E76"/>
    <w:rsid w:val="0095780A"/>
    <w:rsid w:val="00961FFB"/>
    <w:rsid w:val="009658CC"/>
    <w:rsid w:val="009665E8"/>
    <w:rsid w:val="00966DAF"/>
    <w:rsid w:val="00970538"/>
    <w:rsid w:val="0097339B"/>
    <w:rsid w:val="009746CF"/>
    <w:rsid w:val="00977440"/>
    <w:rsid w:val="009841B0"/>
    <w:rsid w:val="00984680"/>
    <w:rsid w:val="009878FA"/>
    <w:rsid w:val="00991AAF"/>
    <w:rsid w:val="00991CC3"/>
    <w:rsid w:val="00994CB8"/>
    <w:rsid w:val="00996224"/>
    <w:rsid w:val="009A57AF"/>
    <w:rsid w:val="009B1085"/>
    <w:rsid w:val="009B45AC"/>
    <w:rsid w:val="009B4DA2"/>
    <w:rsid w:val="009B784A"/>
    <w:rsid w:val="009D238E"/>
    <w:rsid w:val="009D46FD"/>
    <w:rsid w:val="009D5C25"/>
    <w:rsid w:val="009D5EBA"/>
    <w:rsid w:val="009D64A7"/>
    <w:rsid w:val="009E1B73"/>
    <w:rsid w:val="009E4B53"/>
    <w:rsid w:val="009E7523"/>
    <w:rsid w:val="009F042A"/>
    <w:rsid w:val="009F04EB"/>
    <w:rsid w:val="009F3CA1"/>
    <w:rsid w:val="009F63ED"/>
    <w:rsid w:val="009F6710"/>
    <w:rsid w:val="00A008BD"/>
    <w:rsid w:val="00A01EB2"/>
    <w:rsid w:val="00A1232F"/>
    <w:rsid w:val="00A16311"/>
    <w:rsid w:val="00A27A48"/>
    <w:rsid w:val="00A3015D"/>
    <w:rsid w:val="00A33EAA"/>
    <w:rsid w:val="00A3521E"/>
    <w:rsid w:val="00A378D9"/>
    <w:rsid w:val="00A40799"/>
    <w:rsid w:val="00A409CC"/>
    <w:rsid w:val="00A40D62"/>
    <w:rsid w:val="00A46B88"/>
    <w:rsid w:val="00A50557"/>
    <w:rsid w:val="00A50964"/>
    <w:rsid w:val="00A50E32"/>
    <w:rsid w:val="00A54E97"/>
    <w:rsid w:val="00A62297"/>
    <w:rsid w:val="00A63BAA"/>
    <w:rsid w:val="00A6472C"/>
    <w:rsid w:val="00A66092"/>
    <w:rsid w:val="00A70012"/>
    <w:rsid w:val="00A72D25"/>
    <w:rsid w:val="00A74006"/>
    <w:rsid w:val="00A74D41"/>
    <w:rsid w:val="00A7505C"/>
    <w:rsid w:val="00A7581B"/>
    <w:rsid w:val="00A81C3A"/>
    <w:rsid w:val="00A836C0"/>
    <w:rsid w:val="00A85BA7"/>
    <w:rsid w:val="00A85DDC"/>
    <w:rsid w:val="00A866ED"/>
    <w:rsid w:val="00A86FCD"/>
    <w:rsid w:val="00A932F9"/>
    <w:rsid w:val="00A947D7"/>
    <w:rsid w:val="00A94FF9"/>
    <w:rsid w:val="00A96AFD"/>
    <w:rsid w:val="00A97F00"/>
    <w:rsid w:val="00AA57E4"/>
    <w:rsid w:val="00AA5C5C"/>
    <w:rsid w:val="00AA76E3"/>
    <w:rsid w:val="00AB125F"/>
    <w:rsid w:val="00AB1FD3"/>
    <w:rsid w:val="00AC54BD"/>
    <w:rsid w:val="00AC72F2"/>
    <w:rsid w:val="00AC731B"/>
    <w:rsid w:val="00AC7526"/>
    <w:rsid w:val="00AD6AC7"/>
    <w:rsid w:val="00AE3C78"/>
    <w:rsid w:val="00AE423C"/>
    <w:rsid w:val="00AF6D6B"/>
    <w:rsid w:val="00B103DA"/>
    <w:rsid w:val="00B11686"/>
    <w:rsid w:val="00B1220D"/>
    <w:rsid w:val="00B13125"/>
    <w:rsid w:val="00B15401"/>
    <w:rsid w:val="00B22ED4"/>
    <w:rsid w:val="00B23089"/>
    <w:rsid w:val="00B230F6"/>
    <w:rsid w:val="00B24F82"/>
    <w:rsid w:val="00B24F86"/>
    <w:rsid w:val="00B261A0"/>
    <w:rsid w:val="00B31974"/>
    <w:rsid w:val="00B3262C"/>
    <w:rsid w:val="00B35469"/>
    <w:rsid w:val="00B44754"/>
    <w:rsid w:val="00B46E61"/>
    <w:rsid w:val="00B52834"/>
    <w:rsid w:val="00B552C7"/>
    <w:rsid w:val="00B55B67"/>
    <w:rsid w:val="00B55E9E"/>
    <w:rsid w:val="00B570C9"/>
    <w:rsid w:val="00B5767F"/>
    <w:rsid w:val="00B60DF3"/>
    <w:rsid w:val="00B643D9"/>
    <w:rsid w:val="00B65280"/>
    <w:rsid w:val="00B66AC9"/>
    <w:rsid w:val="00B672EA"/>
    <w:rsid w:val="00B70B63"/>
    <w:rsid w:val="00B75161"/>
    <w:rsid w:val="00B81949"/>
    <w:rsid w:val="00B84DD8"/>
    <w:rsid w:val="00B85B53"/>
    <w:rsid w:val="00B8635C"/>
    <w:rsid w:val="00B95787"/>
    <w:rsid w:val="00BA4754"/>
    <w:rsid w:val="00BB145E"/>
    <w:rsid w:val="00BB1B9F"/>
    <w:rsid w:val="00BB3A77"/>
    <w:rsid w:val="00BB54FB"/>
    <w:rsid w:val="00BB723F"/>
    <w:rsid w:val="00BC29A0"/>
    <w:rsid w:val="00BC2DDC"/>
    <w:rsid w:val="00BC320D"/>
    <w:rsid w:val="00BC4E94"/>
    <w:rsid w:val="00BC6555"/>
    <w:rsid w:val="00BC7F03"/>
    <w:rsid w:val="00BD1156"/>
    <w:rsid w:val="00BD249A"/>
    <w:rsid w:val="00BD633F"/>
    <w:rsid w:val="00BD6E3A"/>
    <w:rsid w:val="00BD76D4"/>
    <w:rsid w:val="00BE0FCA"/>
    <w:rsid w:val="00BE20F7"/>
    <w:rsid w:val="00BE701C"/>
    <w:rsid w:val="00BF60C4"/>
    <w:rsid w:val="00BF634A"/>
    <w:rsid w:val="00BF7706"/>
    <w:rsid w:val="00C01DD4"/>
    <w:rsid w:val="00C03522"/>
    <w:rsid w:val="00C06B41"/>
    <w:rsid w:val="00C100D1"/>
    <w:rsid w:val="00C202E2"/>
    <w:rsid w:val="00C2134B"/>
    <w:rsid w:val="00C2325D"/>
    <w:rsid w:val="00C277F2"/>
    <w:rsid w:val="00C33545"/>
    <w:rsid w:val="00C4044F"/>
    <w:rsid w:val="00C43AC5"/>
    <w:rsid w:val="00C43E0C"/>
    <w:rsid w:val="00C44B51"/>
    <w:rsid w:val="00C50062"/>
    <w:rsid w:val="00C53F5D"/>
    <w:rsid w:val="00C557B2"/>
    <w:rsid w:val="00C55D31"/>
    <w:rsid w:val="00C5783A"/>
    <w:rsid w:val="00C62654"/>
    <w:rsid w:val="00C65DFA"/>
    <w:rsid w:val="00C731C7"/>
    <w:rsid w:val="00C7459C"/>
    <w:rsid w:val="00C76923"/>
    <w:rsid w:val="00C804FD"/>
    <w:rsid w:val="00C81AFD"/>
    <w:rsid w:val="00C84F34"/>
    <w:rsid w:val="00C90D14"/>
    <w:rsid w:val="00C9254F"/>
    <w:rsid w:val="00C96CEF"/>
    <w:rsid w:val="00CA1E5E"/>
    <w:rsid w:val="00CA2425"/>
    <w:rsid w:val="00CA2DDA"/>
    <w:rsid w:val="00CA2E80"/>
    <w:rsid w:val="00CB1AD7"/>
    <w:rsid w:val="00CB4C8A"/>
    <w:rsid w:val="00CB4F34"/>
    <w:rsid w:val="00CB5B82"/>
    <w:rsid w:val="00CC0590"/>
    <w:rsid w:val="00CC2B65"/>
    <w:rsid w:val="00CC5F93"/>
    <w:rsid w:val="00CC77DF"/>
    <w:rsid w:val="00CD23AC"/>
    <w:rsid w:val="00CD2602"/>
    <w:rsid w:val="00CD58D6"/>
    <w:rsid w:val="00CD6383"/>
    <w:rsid w:val="00CD7E62"/>
    <w:rsid w:val="00CF0712"/>
    <w:rsid w:val="00CF2316"/>
    <w:rsid w:val="00CF5646"/>
    <w:rsid w:val="00D0399A"/>
    <w:rsid w:val="00D054AD"/>
    <w:rsid w:val="00D1371E"/>
    <w:rsid w:val="00D227E4"/>
    <w:rsid w:val="00D25A3C"/>
    <w:rsid w:val="00D25E85"/>
    <w:rsid w:val="00D260FA"/>
    <w:rsid w:val="00D32212"/>
    <w:rsid w:val="00D346CB"/>
    <w:rsid w:val="00D35086"/>
    <w:rsid w:val="00D3663F"/>
    <w:rsid w:val="00D41C14"/>
    <w:rsid w:val="00D4479C"/>
    <w:rsid w:val="00D4627A"/>
    <w:rsid w:val="00D5095A"/>
    <w:rsid w:val="00D54978"/>
    <w:rsid w:val="00D57C8D"/>
    <w:rsid w:val="00D57E83"/>
    <w:rsid w:val="00D6147E"/>
    <w:rsid w:val="00D706DC"/>
    <w:rsid w:val="00D767A7"/>
    <w:rsid w:val="00D83FC7"/>
    <w:rsid w:val="00D87AD6"/>
    <w:rsid w:val="00D903E2"/>
    <w:rsid w:val="00D91DF5"/>
    <w:rsid w:val="00D92F5F"/>
    <w:rsid w:val="00D95DC5"/>
    <w:rsid w:val="00DA0F6B"/>
    <w:rsid w:val="00DA10B5"/>
    <w:rsid w:val="00DA1FC0"/>
    <w:rsid w:val="00DB3FA9"/>
    <w:rsid w:val="00DB405C"/>
    <w:rsid w:val="00DB48A2"/>
    <w:rsid w:val="00DC0B14"/>
    <w:rsid w:val="00DC2803"/>
    <w:rsid w:val="00DC3CD1"/>
    <w:rsid w:val="00DC46AD"/>
    <w:rsid w:val="00DC4D90"/>
    <w:rsid w:val="00DD2063"/>
    <w:rsid w:val="00DD3884"/>
    <w:rsid w:val="00DD4108"/>
    <w:rsid w:val="00DD5125"/>
    <w:rsid w:val="00DE368A"/>
    <w:rsid w:val="00DE741B"/>
    <w:rsid w:val="00DF5C75"/>
    <w:rsid w:val="00DF774C"/>
    <w:rsid w:val="00DF7EA6"/>
    <w:rsid w:val="00E01C71"/>
    <w:rsid w:val="00E039F5"/>
    <w:rsid w:val="00E07C2A"/>
    <w:rsid w:val="00E11A7F"/>
    <w:rsid w:val="00E1420C"/>
    <w:rsid w:val="00E14384"/>
    <w:rsid w:val="00E164D1"/>
    <w:rsid w:val="00E16E8F"/>
    <w:rsid w:val="00E207C7"/>
    <w:rsid w:val="00E2271F"/>
    <w:rsid w:val="00E22851"/>
    <w:rsid w:val="00E277CA"/>
    <w:rsid w:val="00E27DD3"/>
    <w:rsid w:val="00E339F8"/>
    <w:rsid w:val="00E37192"/>
    <w:rsid w:val="00E44251"/>
    <w:rsid w:val="00E44CCB"/>
    <w:rsid w:val="00E50CB0"/>
    <w:rsid w:val="00E5223E"/>
    <w:rsid w:val="00E55F51"/>
    <w:rsid w:val="00E5788B"/>
    <w:rsid w:val="00E61564"/>
    <w:rsid w:val="00E62177"/>
    <w:rsid w:val="00E621D5"/>
    <w:rsid w:val="00E73805"/>
    <w:rsid w:val="00E74C17"/>
    <w:rsid w:val="00E81AFE"/>
    <w:rsid w:val="00E83F4C"/>
    <w:rsid w:val="00E900E8"/>
    <w:rsid w:val="00E9091A"/>
    <w:rsid w:val="00E92495"/>
    <w:rsid w:val="00E92F19"/>
    <w:rsid w:val="00E938F1"/>
    <w:rsid w:val="00E95929"/>
    <w:rsid w:val="00EA5F44"/>
    <w:rsid w:val="00EA6B74"/>
    <w:rsid w:val="00EB0A2E"/>
    <w:rsid w:val="00EB269A"/>
    <w:rsid w:val="00EC367C"/>
    <w:rsid w:val="00ED02E3"/>
    <w:rsid w:val="00ED1807"/>
    <w:rsid w:val="00ED57A7"/>
    <w:rsid w:val="00ED7950"/>
    <w:rsid w:val="00EE3CE0"/>
    <w:rsid w:val="00EF2A20"/>
    <w:rsid w:val="00EF6DCB"/>
    <w:rsid w:val="00EF79FE"/>
    <w:rsid w:val="00F026A8"/>
    <w:rsid w:val="00F02C18"/>
    <w:rsid w:val="00F02DB2"/>
    <w:rsid w:val="00F065AC"/>
    <w:rsid w:val="00F06C49"/>
    <w:rsid w:val="00F07C6E"/>
    <w:rsid w:val="00F158A2"/>
    <w:rsid w:val="00F17464"/>
    <w:rsid w:val="00F17FA1"/>
    <w:rsid w:val="00F22B7F"/>
    <w:rsid w:val="00F27A75"/>
    <w:rsid w:val="00F27BB1"/>
    <w:rsid w:val="00F340D4"/>
    <w:rsid w:val="00F3508A"/>
    <w:rsid w:val="00F37660"/>
    <w:rsid w:val="00F4067B"/>
    <w:rsid w:val="00F40689"/>
    <w:rsid w:val="00F42D2F"/>
    <w:rsid w:val="00F46443"/>
    <w:rsid w:val="00F53C67"/>
    <w:rsid w:val="00F5516F"/>
    <w:rsid w:val="00F55C5B"/>
    <w:rsid w:val="00F57B2E"/>
    <w:rsid w:val="00F6138A"/>
    <w:rsid w:val="00F64C3A"/>
    <w:rsid w:val="00F64D6B"/>
    <w:rsid w:val="00F66290"/>
    <w:rsid w:val="00F726BD"/>
    <w:rsid w:val="00F73AE3"/>
    <w:rsid w:val="00F75B76"/>
    <w:rsid w:val="00F77B2A"/>
    <w:rsid w:val="00F80F4B"/>
    <w:rsid w:val="00F842FA"/>
    <w:rsid w:val="00F86CAF"/>
    <w:rsid w:val="00F9019F"/>
    <w:rsid w:val="00F91F13"/>
    <w:rsid w:val="00F96068"/>
    <w:rsid w:val="00FA0D25"/>
    <w:rsid w:val="00FA64CB"/>
    <w:rsid w:val="00FB2BED"/>
    <w:rsid w:val="00FB492E"/>
    <w:rsid w:val="00FB69C3"/>
    <w:rsid w:val="00FB6B66"/>
    <w:rsid w:val="00FC2DFA"/>
    <w:rsid w:val="00FC516E"/>
    <w:rsid w:val="00FD2773"/>
    <w:rsid w:val="00FD2AAC"/>
    <w:rsid w:val="00FD388C"/>
    <w:rsid w:val="00FE0228"/>
    <w:rsid w:val="00FE3968"/>
    <w:rsid w:val="00FE7DCF"/>
    <w:rsid w:val="00FF1914"/>
    <w:rsid w:val="00FF3B4E"/>
    <w:rsid w:val="00FF4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0A6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54"/>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BA4754"/>
    <w:pPr>
      <w:keepNext/>
      <w:spacing w:before="240" w:after="360"/>
      <w:outlineLvl w:val="0"/>
    </w:pPr>
    <w:rPr>
      <w:b/>
      <w:caps/>
      <w:sz w:val="28"/>
    </w:rPr>
  </w:style>
  <w:style w:type="paragraph" w:styleId="Heading2">
    <w:name w:val="heading 2"/>
    <w:basedOn w:val="Normal"/>
    <w:next w:val="Normal"/>
    <w:link w:val="Heading2Char"/>
    <w:qFormat/>
    <w:rsid w:val="00BA4754"/>
    <w:pPr>
      <w:keepNext/>
      <w:spacing w:before="120"/>
      <w:outlineLvl w:val="1"/>
    </w:pPr>
    <w:rPr>
      <w:b/>
      <w:caps/>
    </w:rPr>
  </w:style>
  <w:style w:type="paragraph" w:styleId="Heading3">
    <w:name w:val="heading 3"/>
    <w:basedOn w:val="Normal"/>
    <w:next w:val="Normal"/>
    <w:link w:val="Heading3Char"/>
    <w:qFormat/>
    <w:rsid w:val="00BA4754"/>
    <w:pPr>
      <w:keepNext/>
      <w:spacing w:before="60"/>
      <w:outlineLvl w:val="2"/>
    </w:pPr>
    <w:rPr>
      <w:b/>
    </w:rPr>
  </w:style>
  <w:style w:type="paragraph" w:styleId="Heading4">
    <w:name w:val="heading 4"/>
    <w:basedOn w:val="Normal"/>
    <w:next w:val="Normal"/>
    <w:link w:val="Heading4Char"/>
    <w:qFormat/>
    <w:rsid w:val="00BA4754"/>
    <w:pPr>
      <w:keepNext/>
      <w:outlineLvl w:val="3"/>
    </w:pPr>
    <w:rPr>
      <w:i/>
      <w:sz w:val="20"/>
    </w:rPr>
  </w:style>
  <w:style w:type="paragraph" w:styleId="Heading6">
    <w:name w:val="heading 6"/>
    <w:basedOn w:val="Normal"/>
    <w:next w:val="Normal"/>
    <w:link w:val="Heading6Char"/>
    <w:qFormat/>
    <w:rsid w:val="00BA4754"/>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754"/>
    <w:rPr>
      <w:rFonts w:ascii="Times New Roman" w:eastAsia="Times New Roman" w:hAnsi="Times New Roman" w:cs="Times New Roman"/>
      <w:b/>
      <w:caps/>
      <w:sz w:val="28"/>
      <w:szCs w:val="20"/>
      <w:lang w:eastAsia="en-AU"/>
    </w:rPr>
  </w:style>
  <w:style w:type="character" w:customStyle="1" w:styleId="Heading2Char">
    <w:name w:val="Heading 2 Char"/>
    <w:basedOn w:val="DefaultParagraphFont"/>
    <w:link w:val="Heading2"/>
    <w:rsid w:val="00BA4754"/>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BA4754"/>
    <w:rPr>
      <w:rFonts w:ascii="Times New Roman" w:eastAsia="Times New Roman" w:hAnsi="Times New Roman" w:cs="Times New Roman"/>
      <w:b/>
      <w:sz w:val="24"/>
      <w:szCs w:val="20"/>
      <w:lang w:eastAsia="en-AU"/>
    </w:rPr>
  </w:style>
  <w:style w:type="character" w:customStyle="1" w:styleId="Heading4Char">
    <w:name w:val="Heading 4 Char"/>
    <w:basedOn w:val="DefaultParagraphFont"/>
    <w:link w:val="Heading4"/>
    <w:rsid w:val="00BA4754"/>
    <w:rPr>
      <w:rFonts w:ascii="Times New Roman" w:eastAsia="Times New Roman" w:hAnsi="Times New Roman" w:cs="Times New Roman"/>
      <w:i/>
      <w:sz w:val="20"/>
      <w:szCs w:val="20"/>
      <w:lang w:eastAsia="en-AU"/>
    </w:rPr>
  </w:style>
  <w:style w:type="character" w:customStyle="1" w:styleId="Heading6Char">
    <w:name w:val="Heading 6 Char"/>
    <w:basedOn w:val="DefaultParagraphFont"/>
    <w:link w:val="Heading6"/>
    <w:rsid w:val="00BA4754"/>
    <w:rPr>
      <w:rFonts w:ascii="Times New Roman" w:eastAsia="Times New Roman" w:hAnsi="Times New Roman" w:cs="Times New Roman"/>
      <w:sz w:val="24"/>
      <w:szCs w:val="20"/>
      <w:u w:val="single"/>
      <w:lang w:eastAsia="en-AU"/>
    </w:rPr>
  </w:style>
  <w:style w:type="paragraph" w:customStyle="1" w:styleId="SingleParagraph">
    <w:name w:val="Single Paragraph"/>
    <w:basedOn w:val="Normal"/>
    <w:rsid w:val="00BA4754"/>
  </w:style>
  <w:style w:type="paragraph" w:customStyle="1" w:styleId="ChartMainHeading">
    <w:name w:val="Chart Main Heading"/>
    <w:basedOn w:val="SingleParagraph"/>
    <w:next w:val="Normal"/>
    <w:rsid w:val="00BA4754"/>
    <w:pPr>
      <w:jc w:val="center"/>
    </w:pPr>
    <w:rPr>
      <w:b/>
      <w:caps/>
    </w:rPr>
  </w:style>
  <w:style w:type="paragraph" w:customStyle="1" w:styleId="ChartSecondHeading">
    <w:name w:val="Chart Second Heading"/>
    <w:basedOn w:val="SingleParagraph"/>
    <w:next w:val="Normal"/>
    <w:rsid w:val="00BA4754"/>
    <w:pPr>
      <w:jc w:val="center"/>
    </w:pPr>
    <w:rPr>
      <w:b/>
    </w:rPr>
  </w:style>
  <w:style w:type="paragraph" w:customStyle="1" w:styleId="TableMainHeading">
    <w:name w:val="Table Main Heading"/>
    <w:basedOn w:val="Heading2"/>
    <w:next w:val="Normal"/>
    <w:rsid w:val="00BA4754"/>
    <w:pPr>
      <w:spacing w:before="240"/>
      <w:outlineLvl w:val="9"/>
    </w:pPr>
    <w:rPr>
      <w:rFonts w:ascii="Helvetica" w:hAnsi="Helvetica"/>
      <w:b w:val="0"/>
      <w:caps w:val="0"/>
      <w:spacing w:val="30"/>
      <w:sz w:val="22"/>
    </w:rPr>
  </w:style>
  <w:style w:type="paragraph" w:customStyle="1" w:styleId="base-text-paragraph">
    <w:name w:val="base-text-paragraph"/>
    <w:link w:val="base-text-paragraphChar"/>
    <w:rsid w:val="00BA4754"/>
    <w:pPr>
      <w:numPr>
        <w:numId w:val="1"/>
      </w:numPr>
      <w:tabs>
        <w:tab w:val="clear" w:pos="1837"/>
        <w:tab w:val="num" w:pos="1984"/>
      </w:tabs>
      <w:spacing w:before="120" w:after="120" w:line="240" w:lineRule="auto"/>
      <w:ind w:left="1140"/>
    </w:pPr>
    <w:rPr>
      <w:rFonts w:ascii="Times New Roman" w:eastAsia="Times New Roman" w:hAnsi="Times New Roman" w:cs="Times New Roman"/>
      <w:szCs w:val="20"/>
      <w:lang w:eastAsia="en-AU"/>
    </w:rPr>
  </w:style>
  <w:style w:type="character" w:customStyle="1" w:styleId="base-text-paragraphChar">
    <w:name w:val="base-text-paragraph Char"/>
    <w:basedOn w:val="DefaultParagraphFont"/>
    <w:link w:val="base-text-paragraph"/>
    <w:rsid w:val="00BA4754"/>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BA4754"/>
    <w:rPr>
      <w:rFonts w:ascii="Tahoma" w:hAnsi="Tahoma" w:cs="Tahoma"/>
      <w:sz w:val="16"/>
      <w:szCs w:val="16"/>
    </w:rPr>
  </w:style>
  <w:style w:type="character" w:customStyle="1" w:styleId="BalloonTextChar">
    <w:name w:val="Balloon Text Char"/>
    <w:basedOn w:val="DefaultParagraphFont"/>
    <w:link w:val="BalloonText"/>
    <w:uiPriority w:val="99"/>
    <w:semiHidden/>
    <w:rsid w:val="00BA4754"/>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BA4754"/>
    <w:rPr>
      <w:sz w:val="16"/>
      <w:szCs w:val="16"/>
    </w:rPr>
  </w:style>
  <w:style w:type="paragraph" w:styleId="CommentText">
    <w:name w:val="annotation text"/>
    <w:basedOn w:val="Normal"/>
    <w:link w:val="CommentTextChar"/>
    <w:uiPriority w:val="99"/>
    <w:unhideWhenUsed/>
    <w:rsid w:val="00BA4754"/>
    <w:rPr>
      <w:sz w:val="20"/>
    </w:rPr>
  </w:style>
  <w:style w:type="character" w:customStyle="1" w:styleId="CommentTextChar">
    <w:name w:val="Comment Text Char"/>
    <w:basedOn w:val="DefaultParagraphFont"/>
    <w:link w:val="CommentText"/>
    <w:uiPriority w:val="99"/>
    <w:rsid w:val="00BA475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A4754"/>
    <w:rPr>
      <w:b/>
      <w:bCs/>
    </w:rPr>
  </w:style>
  <w:style w:type="character" w:customStyle="1" w:styleId="CommentSubjectChar">
    <w:name w:val="Comment Subject Char"/>
    <w:basedOn w:val="CommentTextChar"/>
    <w:link w:val="CommentSubject"/>
    <w:uiPriority w:val="99"/>
    <w:semiHidden/>
    <w:rsid w:val="00BA4754"/>
    <w:rPr>
      <w:rFonts w:ascii="Times New Roman" w:eastAsia="Times New Roman" w:hAnsi="Times New Roman" w:cs="Times New Roman"/>
      <w:b/>
      <w:bCs/>
      <w:sz w:val="20"/>
      <w:szCs w:val="20"/>
      <w:lang w:eastAsia="en-AU"/>
    </w:rPr>
  </w:style>
  <w:style w:type="character" w:customStyle="1" w:styleId="BulletChar">
    <w:name w:val="Bullet Char"/>
    <w:basedOn w:val="DefaultParagraphFont"/>
    <w:link w:val="Bullet"/>
    <w:locked/>
    <w:rsid w:val="00BA4754"/>
    <w:rPr>
      <w:sz w:val="24"/>
    </w:rPr>
  </w:style>
  <w:style w:type="paragraph" w:customStyle="1" w:styleId="Bullet">
    <w:name w:val="Bullet"/>
    <w:basedOn w:val="Normal"/>
    <w:link w:val="BulletChar"/>
    <w:rsid w:val="00BA4754"/>
    <w:pPr>
      <w:numPr>
        <w:numId w:val="6"/>
      </w:numPr>
    </w:pPr>
    <w:rPr>
      <w:rFonts w:asciiTheme="minorHAnsi" w:eastAsiaTheme="minorHAnsi" w:hAnsiTheme="minorHAnsi" w:cstheme="minorBidi"/>
      <w:szCs w:val="22"/>
      <w:lang w:eastAsia="en-US"/>
    </w:rPr>
  </w:style>
  <w:style w:type="paragraph" w:customStyle="1" w:styleId="Dash">
    <w:name w:val="Dash"/>
    <w:basedOn w:val="Normal"/>
    <w:rsid w:val="00BA4754"/>
    <w:pPr>
      <w:numPr>
        <w:ilvl w:val="1"/>
        <w:numId w:val="6"/>
      </w:numPr>
    </w:pPr>
  </w:style>
  <w:style w:type="paragraph" w:customStyle="1" w:styleId="DoubleDot">
    <w:name w:val="Double Dot"/>
    <w:basedOn w:val="Normal"/>
    <w:rsid w:val="00BA4754"/>
    <w:pPr>
      <w:numPr>
        <w:ilvl w:val="2"/>
        <w:numId w:val="6"/>
      </w:numPr>
    </w:pPr>
  </w:style>
  <w:style w:type="paragraph" w:customStyle="1" w:styleId="ChapterHeading">
    <w:name w:val="Chapter Heading"/>
    <w:next w:val="Heading2"/>
    <w:rsid w:val="00BA4754"/>
    <w:pPr>
      <w:pBdr>
        <w:top w:val="single" w:sz="4" w:space="1" w:color="auto"/>
        <w:bottom w:val="single" w:sz="4" w:space="1" w:color="auto"/>
      </w:pBdr>
      <w:tabs>
        <w:tab w:val="num" w:pos="1134"/>
      </w:tabs>
      <w:spacing w:before="240" w:after="0" w:line="260" w:lineRule="atLeast"/>
    </w:pPr>
    <w:rPr>
      <w:rFonts w:ascii="Helvetica" w:eastAsia="Times New Roman" w:hAnsi="Helvetica" w:cs="Times New Roman"/>
      <w:b/>
      <w:i/>
      <w:sz w:val="38"/>
      <w:szCs w:val="20"/>
      <w:lang w:eastAsia="en-AU"/>
    </w:rPr>
  </w:style>
  <w:style w:type="paragraph" w:customStyle="1" w:styleId="TableHeadingoutsidetable">
    <w:name w:val="Table Heading (outside table)"/>
    <w:basedOn w:val="Heading4"/>
    <w:rsid w:val="00BA4754"/>
  </w:style>
  <w:style w:type="paragraph" w:customStyle="1" w:styleId="ExampleHeading">
    <w:name w:val="Example Heading"/>
    <w:basedOn w:val="Normal"/>
    <w:next w:val="Normal"/>
    <w:rsid w:val="00BA4754"/>
    <w:pPr>
      <w:keepNext/>
      <w:spacing w:before="120" w:after="120"/>
      <w:ind w:left="1134"/>
    </w:pPr>
    <w:rPr>
      <w:b/>
      <w:sz w:val="22"/>
    </w:rPr>
  </w:style>
  <w:style w:type="paragraph" w:customStyle="1" w:styleId="Diagram">
    <w:name w:val="Diagram"/>
    <w:basedOn w:val="Normal"/>
    <w:next w:val="Normal"/>
    <w:rsid w:val="00BA4754"/>
    <w:pPr>
      <w:keepNext/>
      <w:ind w:left="1134"/>
    </w:pPr>
    <w:rPr>
      <w:b/>
      <w:sz w:val="22"/>
    </w:rPr>
  </w:style>
  <w:style w:type="table" w:styleId="TableGrid">
    <w:name w:val="Table Grid"/>
    <w:basedOn w:val="TableNormal"/>
    <w:uiPriority w:val="59"/>
    <w:rsid w:val="00BA4754"/>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hapterList">
    <w:name w:val="ChapterList"/>
    <w:uiPriority w:val="99"/>
    <w:rsid w:val="00BA4754"/>
    <w:pPr>
      <w:numPr>
        <w:numId w:val="4"/>
      </w:numPr>
    </w:pPr>
  </w:style>
  <w:style w:type="character" w:styleId="Hyperlink">
    <w:name w:val="Hyperlink"/>
    <w:basedOn w:val="DefaultParagraphFont"/>
    <w:uiPriority w:val="99"/>
    <w:unhideWhenUsed/>
    <w:rsid w:val="00BA4754"/>
    <w:rPr>
      <w:color w:val="0000FF" w:themeColor="hyperlink"/>
      <w:u w:val="single"/>
    </w:rPr>
  </w:style>
  <w:style w:type="paragraph" w:customStyle="1" w:styleId="tabletext">
    <w:name w:val="table text"/>
    <w:basedOn w:val="Normal"/>
    <w:rsid w:val="00BA4754"/>
    <w:pPr>
      <w:spacing w:before="40" w:after="40"/>
    </w:pPr>
    <w:rPr>
      <w:sz w:val="20"/>
    </w:rPr>
  </w:style>
  <w:style w:type="paragraph" w:customStyle="1" w:styleId="tableheaderwithintable">
    <w:name w:val="table header (within table)"/>
    <w:basedOn w:val="Heading4"/>
    <w:rsid w:val="00BA4754"/>
    <w:pPr>
      <w:spacing w:before="60" w:after="60"/>
      <w:jc w:val="center"/>
    </w:pPr>
    <w:rPr>
      <w:b/>
    </w:rPr>
  </w:style>
  <w:style w:type="paragraph" w:customStyle="1" w:styleId="rightheader">
    <w:name w:val="right header"/>
    <w:basedOn w:val="Normal"/>
    <w:rsid w:val="00BA4754"/>
    <w:pPr>
      <w:pBdr>
        <w:bottom w:val="single" w:sz="4" w:space="1" w:color="auto"/>
      </w:pBdr>
      <w:spacing w:before="120" w:after="120"/>
      <w:jc w:val="right"/>
    </w:pPr>
    <w:rPr>
      <w:i/>
      <w:sz w:val="20"/>
    </w:rPr>
  </w:style>
  <w:style w:type="paragraph" w:customStyle="1" w:styleId="Tablea">
    <w:name w:val="Table(a)"/>
    <w:aliases w:val="ta"/>
    <w:basedOn w:val="Normal"/>
    <w:rsid w:val="002001AB"/>
    <w:pPr>
      <w:spacing w:before="60"/>
      <w:ind w:left="284" w:hanging="284"/>
    </w:pPr>
    <w:rPr>
      <w:sz w:val="20"/>
    </w:rPr>
  </w:style>
  <w:style w:type="paragraph" w:customStyle="1" w:styleId="Tabletext0">
    <w:name w:val="Tabletext"/>
    <w:aliases w:val="tt"/>
    <w:basedOn w:val="Normal"/>
    <w:rsid w:val="002001AB"/>
    <w:pPr>
      <w:spacing w:before="60" w:line="240" w:lineRule="atLeast"/>
    </w:pPr>
    <w:rPr>
      <w:sz w:val="20"/>
    </w:rPr>
  </w:style>
  <w:style w:type="paragraph" w:styleId="Header">
    <w:name w:val="header"/>
    <w:basedOn w:val="Normal"/>
    <w:link w:val="HeaderChar"/>
    <w:uiPriority w:val="99"/>
    <w:unhideWhenUsed/>
    <w:rsid w:val="009179FB"/>
    <w:pPr>
      <w:tabs>
        <w:tab w:val="center" w:pos="4513"/>
        <w:tab w:val="right" w:pos="9026"/>
      </w:tabs>
    </w:pPr>
  </w:style>
  <w:style w:type="character" w:customStyle="1" w:styleId="HeaderChar">
    <w:name w:val="Header Char"/>
    <w:basedOn w:val="DefaultParagraphFont"/>
    <w:link w:val="Header"/>
    <w:uiPriority w:val="99"/>
    <w:rsid w:val="009179FB"/>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9179FB"/>
    <w:pPr>
      <w:tabs>
        <w:tab w:val="center" w:pos="4513"/>
        <w:tab w:val="right" w:pos="9026"/>
      </w:tabs>
    </w:pPr>
  </w:style>
  <w:style w:type="character" w:customStyle="1" w:styleId="FooterChar">
    <w:name w:val="Footer Char"/>
    <w:basedOn w:val="DefaultParagraphFont"/>
    <w:link w:val="Footer"/>
    <w:uiPriority w:val="99"/>
    <w:rsid w:val="009179FB"/>
    <w:rPr>
      <w:rFonts w:ascii="Times New Roman" w:eastAsia="Times New Roman" w:hAnsi="Times New Roman" w:cs="Times New Roman"/>
      <w:sz w:val="24"/>
      <w:szCs w:val="20"/>
      <w:lang w:eastAsia="en-AU"/>
    </w:rPr>
  </w:style>
  <w:style w:type="paragraph" w:styleId="Revision">
    <w:name w:val="Revision"/>
    <w:hidden/>
    <w:uiPriority w:val="99"/>
    <w:semiHidden/>
    <w:rsid w:val="00B23089"/>
    <w:pPr>
      <w:spacing w:after="0" w:line="240" w:lineRule="auto"/>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405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54"/>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BA4754"/>
    <w:pPr>
      <w:keepNext/>
      <w:spacing w:before="240" w:after="360"/>
      <w:outlineLvl w:val="0"/>
    </w:pPr>
    <w:rPr>
      <w:b/>
      <w:caps/>
      <w:sz w:val="28"/>
    </w:rPr>
  </w:style>
  <w:style w:type="paragraph" w:styleId="Heading2">
    <w:name w:val="heading 2"/>
    <w:basedOn w:val="Normal"/>
    <w:next w:val="Normal"/>
    <w:link w:val="Heading2Char"/>
    <w:qFormat/>
    <w:rsid w:val="00BA4754"/>
    <w:pPr>
      <w:keepNext/>
      <w:spacing w:before="120"/>
      <w:outlineLvl w:val="1"/>
    </w:pPr>
    <w:rPr>
      <w:b/>
      <w:caps/>
    </w:rPr>
  </w:style>
  <w:style w:type="paragraph" w:styleId="Heading3">
    <w:name w:val="heading 3"/>
    <w:basedOn w:val="Normal"/>
    <w:next w:val="Normal"/>
    <w:link w:val="Heading3Char"/>
    <w:qFormat/>
    <w:rsid w:val="00BA4754"/>
    <w:pPr>
      <w:keepNext/>
      <w:spacing w:before="60"/>
      <w:outlineLvl w:val="2"/>
    </w:pPr>
    <w:rPr>
      <w:b/>
    </w:rPr>
  </w:style>
  <w:style w:type="paragraph" w:styleId="Heading4">
    <w:name w:val="heading 4"/>
    <w:basedOn w:val="Normal"/>
    <w:next w:val="Normal"/>
    <w:link w:val="Heading4Char"/>
    <w:qFormat/>
    <w:rsid w:val="00BA4754"/>
    <w:pPr>
      <w:keepNext/>
      <w:outlineLvl w:val="3"/>
    </w:pPr>
    <w:rPr>
      <w:i/>
      <w:sz w:val="20"/>
    </w:rPr>
  </w:style>
  <w:style w:type="paragraph" w:styleId="Heading6">
    <w:name w:val="heading 6"/>
    <w:basedOn w:val="Normal"/>
    <w:next w:val="Normal"/>
    <w:link w:val="Heading6Char"/>
    <w:qFormat/>
    <w:rsid w:val="00BA4754"/>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754"/>
    <w:rPr>
      <w:rFonts w:ascii="Times New Roman" w:eastAsia="Times New Roman" w:hAnsi="Times New Roman" w:cs="Times New Roman"/>
      <w:b/>
      <w:caps/>
      <w:sz w:val="28"/>
      <w:szCs w:val="20"/>
      <w:lang w:eastAsia="en-AU"/>
    </w:rPr>
  </w:style>
  <w:style w:type="character" w:customStyle="1" w:styleId="Heading2Char">
    <w:name w:val="Heading 2 Char"/>
    <w:basedOn w:val="DefaultParagraphFont"/>
    <w:link w:val="Heading2"/>
    <w:rsid w:val="00BA4754"/>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BA4754"/>
    <w:rPr>
      <w:rFonts w:ascii="Times New Roman" w:eastAsia="Times New Roman" w:hAnsi="Times New Roman" w:cs="Times New Roman"/>
      <w:b/>
      <w:sz w:val="24"/>
      <w:szCs w:val="20"/>
      <w:lang w:eastAsia="en-AU"/>
    </w:rPr>
  </w:style>
  <w:style w:type="character" w:customStyle="1" w:styleId="Heading4Char">
    <w:name w:val="Heading 4 Char"/>
    <w:basedOn w:val="DefaultParagraphFont"/>
    <w:link w:val="Heading4"/>
    <w:rsid w:val="00BA4754"/>
    <w:rPr>
      <w:rFonts w:ascii="Times New Roman" w:eastAsia="Times New Roman" w:hAnsi="Times New Roman" w:cs="Times New Roman"/>
      <w:i/>
      <w:sz w:val="20"/>
      <w:szCs w:val="20"/>
      <w:lang w:eastAsia="en-AU"/>
    </w:rPr>
  </w:style>
  <w:style w:type="character" w:customStyle="1" w:styleId="Heading6Char">
    <w:name w:val="Heading 6 Char"/>
    <w:basedOn w:val="DefaultParagraphFont"/>
    <w:link w:val="Heading6"/>
    <w:rsid w:val="00BA4754"/>
    <w:rPr>
      <w:rFonts w:ascii="Times New Roman" w:eastAsia="Times New Roman" w:hAnsi="Times New Roman" w:cs="Times New Roman"/>
      <w:sz w:val="24"/>
      <w:szCs w:val="20"/>
      <w:u w:val="single"/>
      <w:lang w:eastAsia="en-AU"/>
    </w:rPr>
  </w:style>
  <w:style w:type="paragraph" w:customStyle="1" w:styleId="SingleParagraph">
    <w:name w:val="Single Paragraph"/>
    <w:basedOn w:val="Normal"/>
    <w:rsid w:val="00BA4754"/>
  </w:style>
  <w:style w:type="paragraph" w:customStyle="1" w:styleId="ChartMainHeading">
    <w:name w:val="Chart Main Heading"/>
    <w:basedOn w:val="SingleParagraph"/>
    <w:next w:val="Normal"/>
    <w:rsid w:val="00BA4754"/>
    <w:pPr>
      <w:jc w:val="center"/>
    </w:pPr>
    <w:rPr>
      <w:b/>
      <w:caps/>
    </w:rPr>
  </w:style>
  <w:style w:type="paragraph" w:customStyle="1" w:styleId="ChartSecondHeading">
    <w:name w:val="Chart Second Heading"/>
    <w:basedOn w:val="SingleParagraph"/>
    <w:next w:val="Normal"/>
    <w:rsid w:val="00BA4754"/>
    <w:pPr>
      <w:jc w:val="center"/>
    </w:pPr>
    <w:rPr>
      <w:b/>
    </w:rPr>
  </w:style>
  <w:style w:type="paragraph" w:customStyle="1" w:styleId="TableMainHeading">
    <w:name w:val="Table Main Heading"/>
    <w:basedOn w:val="Heading2"/>
    <w:next w:val="Normal"/>
    <w:rsid w:val="00BA4754"/>
    <w:pPr>
      <w:spacing w:before="240"/>
      <w:outlineLvl w:val="9"/>
    </w:pPr>
    <w:rPr>
      <w:rFonts w:ascii="Helvetica" w:hAnsi="Helvetica"/>
      <w:b w:val="0"/>
      <w:caps w:val="0"/>
      <w:spacing w:val="30"/>
      <w:sz w:val="22"/>
    </w:rPr>
  </w:style>
  <w:style w:type="paragraph" w:customStyle="1" w:styleId="base-text-paragraph">
    <w:name w:val="base-text-paragraph"/>
    <w:link w:val="base-text-paragraphChar"/>
    <w:rsid w:val="00BA4754"/>
    <w:pPr>
      <w:numPr>
        <w:numId w:val="1"/>
      </w:numPr>
      <w:tabs>
        <w:tab w:val="clear" w:pos="1837"/>
        <w:tab w:val="num" w:pos="1984"/>
      </w:tabs>
      <w:spacing w:before="120" w:after="120" w:line="240" w:lineRule="auto"/>
      <w:ind w:left="1140"/>
    </w:pPr>
    <w:rPr>
      <w:rFonts w:ascii="Times New Roman" w:eastAsia="Times New Roman" w:hAnsi="Times New Roman" w:cs="Times New Roman"/>
      <w:szCs w:val="20"/>
      <w:lang w:eastAsia="en-AU"/>
    </w:rPr>
  </w:style>
  <w:style w:type="character" w:customStyle="1" w:styleId="base-text-paragraphChar">
    <w:name w:val="base-text-paragraph Char"/>
    <w:basedOn w:val="DefaultParagraphFont"/>
    <w:link w:val="base-text-paragraph"/>
    <w:rsid w:val="00BA4754"/>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BA4754"/>
    <w:rPr>
      <w:rFonts w:ascii="Tahoma" w:hAnsi="Tahoma" w:cs="Tahoma"/>
      <w:sz w:val="16"/>
      <w:szCs w:val="16"/>
    </w:rPr>
  </w:style>
  <w:style w:type="character" w:customStyle="1" w:styleId="BalloonTextChar">
    <w:name w:val="Balloon Text Char"/>
    <w:basedOn w:val="DefaultParagraphFont"/>
    <w:link w:val="BalloonText"/>
    <w:uiPriority w:val="99"/>
    <w:semiHidden/>
    <w:rsid w:val="00BA4754"/>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BA4754"/>
    <w:rPr>
      <w:sz w:val="16"/>
      <w:szCs w:val="16"/>
    </w:rPr>
  </w:style>
  <w:style w:type="paragraph" w:styleId="CommentText">
    <w:name w:val="annotation text"/>
    <w:basedOn w:val="Normal"/>
    <w:link w:val="CommentTextChar"/>
    <w:uiPriority w:val="99"/>
    <w:unhideWhenUsed/>
    <w:rsid w:val="00BA4754"/>
    <w:rPr>
      <w:sz w:val="20"/>
    </w:rPr>
  </w:style>
  <w:style w:type="character" w:customStyle="1" w:styleId="CommentTextChar">
    <w:name w:val="Comment Text Char"/>
    <w:basedOn w:val="DefaultParagraphFont"/>
    <w:link w:val="CommentText"/>
    <w:uiPriority w:val="99"/>
    <w:rsid w:val="00BA475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A4754"/>
    <w:rPr>
      <w:b/>
      <w:bCs/>
    </w:rPr>
  </w:style>
  <w:style w:type="character" w:customStyle="1" w:styleId="CommentSubjectChar">
    <w:name w:val="Comment Subject Char"/>
    <w:basedOn w:val="CommentTextChar"/>
    <w:link w:val="CommentSubject"/>
    <w:uiPriority w:val="99"/>
    <w:semiHidden/>
    <w:rsid w:val="00BA4754"/>
    <w:rPr>
      <w:rFonts w:ascii="Times New Roman" w:eastAsia="Times New Roman" w:hAnsi="Times New Roman" w:cs="Times New Roman"/>
      <w:b/>
      <w:bCs/>
      <w:sz w:val="20"/>
      <w:szCs w:val="20"/>
      <w:lang w:eastAsia="en-AU"/>
    </w:rPr>
  </w:style>
  <w:style w:type="character" w:customStyle="1" w:styleId="BulletChar">
    <w:name w:val="Bullet Char"/>
    <w:basedOn w:val="DefaultParagraphFont"/>
    <w:link w:val="Bullet"/>
    <w:locked/>
    <w:rsid w:val="00BA4754"/>
    <w:rPr>
      <w:sz w:val="24"/>
    </w:rPr>
  </w:style>
  <w:style w:type="paragraph" w:customStyle="1" w:styleId="Bullet">
    <w:name w:val="Bullet"/>
    <w:basedOn w:val="Normal"/>
    <w:link w:val="BulletChar"/>
    <w:rsid w:val="00BA4754"/>
    <w:pPr>
      <w:numPr>
        <w:numId w:val="6"/>
      </w:numPr>
    </w:pPr>
    <w:rPr>
      <w:rFonts w:asciiTheme="minorHAnsi" w:eastAsiaTheme="minorHAnsi" w:hAnsiTheme="minorHAnsi" w:cstheme="minorBidi"/>
      <w:szCs w:val="22"/>
      <w:lang w:eastAsia="en-US"/>
    </w:rPr>
  </w:style>
  <w:style w:type="paragraph" w:customStyle="1" w:styleId="Dash">
    <w:name w:val="Dash"/>
    <w:basedOn w:val="Normal"/>
    <w:rsid w:val="00BA4754"/>
    <w:pPr>
      <w:numPr>
        <w:ilvl w:val="1"/>
        <w:numId w:val="6"/>
      </w:numPr>
    </w:pPr>
  </w:style>
  <w:style w:type="paragraph" w:customStyle="1" w:styleId="DoubleDot">
    <w:name w:val="Double Dot"/>
    <w:basedOn w:val="Normal"/>
    <w:rsid w:val="00BA4754"/>
    <w:pPr>
      <w:numPr>
        <w:ilvl w:val="2"/>
        <w:numId w:val="6"/>
      </w:numPr>
    </w:pPr>
  </w:style>
  <w:style w:type="paragraph" w:customStyle="1" w:styleId="ChapterHeading">
    <w:name w:val="Chapter Heading"/>
    <w:next w:val="Heading2"/>
    <w:rsid w:val="00BA4754"/>
    <w:pPr>
      <w:pBdr>
        <w:top w:val="single" w:sz="4" w:space="1" w:color="auto"/>
        <w:bottom w:val="single" w:sz="4" w:space="1" w:color="auto"/>
      </w:pBdr>
      <w:tabs>
        <w:tab w:val="num" w:pos="1134"/>
      </w:tabs>
      <w:spacing w:before="240" w:after="0" w:line="260" w:lineRule="atLeast"/>
    </w:pPr>
    <w:rPr>
      <w:rFonts w:ascii="Helvetica" w:eastAsia="Times New Roman" w:hAnsi="Helvetica" w:cs="Times New Roman"/>
      <w:b/>
      <w:i/>
      <w:sz w:val="38"/>
      <w:szCs w:val="20"/>
      <w:lang w:eastAsia="en-AU"/>
    </w:rPr>
  </w:style>
  <w:style w:type="paragraph" w:customStyle="1" w:styleId="TableHeadingoutsidetable">
    <w:name w:val="Table Heading (outside table)"/>
    <w:basedOn w:val="Heading4"/>
    <w:rsid w:val="00BA4754"/>
  </w:style>
  <w:style w:type="paragraph" w:customStyle="1" w:styleId="ExampleHeading">
    <w:name w:val="Example Heading"/>
    <w:basedOn w:val="Normal"/>
    <w:next w:val="Normal"/>
    <w:rsid w:val="00BA4754"/>
    <w:pPr>
      <w:keepNext/>
      <w:spacing w:before="120" w:after="120"/>
      <w:ind w:left="1134"/>
    </w:pPr>
    <w:rPr>
      <w:b/>
      <w:sz w:val="22"/>
    </w:rPr>
  </w:style>
  <w:style w:type="paragraph" w:customStyle="1" w:styleId="Diagram">
    <w:name w:val="Diagram"/>
    <w:basedOn w:val="Normal"/>
    <w:next w:val="Normal"/>
    <w:rsid w:val="00BA4754"/>
    <w:pPr>
      <w:keepNext/>
      <w:ind w:left="1134"/>
    </w:pPr>
    <w:rPr>
      <w:b/>
      <w:sz w:val="22"/>
    </w:rPr>
  </w:style>
  <w:style w:type="table" w:styleId="TableGrid">
    <w:name w:val="Table Grid"/>
    <w:basedOn w:val="TableNormal"/>
    <w:uiPriority w:val="59"/>
    <w:rsid w:val="00BA4754"/>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hapterList">
    <w:name w:val="ChapterList"/>
    <w:uiPriority w:val="99"/>
    <w:rsid w:val="00BA4754"/>
    <w:pPr>
      <w:numPr>
        <w:numId w:val="4"/>
      </w:numPr>
    </w:pPr>
  </w:style>
  <w:style w:type="character" w:styleId="Hyperlink">
    <w:name w:val="Hyperlink"/>
    <w:basedOn w:val="DefaultParagraphFont"/>
    <w:uiPriority w:val="99"/>
    <w:unhideWhenUsed/>
    <w:rsid w:val="00BA4754"/>
    <w:rPr>
      <w:color w:val="0000FF" w:themeColor="hyperlink"/>
      <w:u w:val="single"/>
    </w:rPr>
  </w:style>
  <w:style w:type="paragraph" w:customStyle="1" w:styleId="tabletext">
    <w:name w:val="table text"/>
    <w:basedOn w:val="Normal"/>
    <w:rsid w:val="00BA4754"/>
    <w:pPr>
      <w:spacing w:before="40" w:after="40"/>
    </w:pPr>
    <w:rPr>
      <w:sz w:val="20"/>
    </w:rPr>
  </w:style>
  <w:style w:type="paragraph" w:customStyle="1" w:styleId="tableheaderwithintable">
    <w:name w:val="table header (within table)"/>
    <w:basedOn w:val="Heading4"/>
    <w:rsid w:val="00BA4754"/>
    <w:pPr>
      <w:spacing w:before="60" w:after="60"/>
      <w:jc w:val="center"/>
    </w:pPr>
    <w:rPr>
      <w:b/>
    </w:rPr>
  </w:style>
  <w:style w:type="paragraph" w:customStyle="1" w:styleId="rightheader">
    <w:name w:val="right header"/>
    <w:basedOn w:val="Normal"/>
    <w:rsid w:val="00BA4754"/>
    <w:pPr>
      <w:pBdr>
        <w:bottom w:val="single" w:sz="4" w:space="1" w:color="auto"/>
      </w:pBdr>
      <w:spacing w:before="120" w:after="120"/>
      <w:jc w:val="right"/>
    </w:pPr>
    <w:rPr>
      <w:i/>
      <w:sz w:val="20"/>
    </w:rPr>
  </w:style>
  <w:style w:type="paragraph" w:customStyle="1" w:styleId="Tablea">
    <w:name w:val="Table(a)"/>
    <w:aliases w:val="ta"/>
    <w:basedOn w:val="Normal"/>
    <w:rsid w:val="002001AB"/>
    <w:pPr>
      <w:spacing w:before="60"/>
      <w:ind w:left="284" w:hanging="284"/>
    </w:pPr>
    <w:rPr>
      <w:sz w:val="20"/>
    </w:rPr>
  </w:style>
  <w:style w:type="paragraph" w:customStyle="1" w:styleId="Tabletext0">
    <w:name w:val="Tabletext"/>
    <w:aliases w:val="tt"/>
    <w:basedOn w:val="Normal"/>
    <w:rsid w:val="002001AB"/>
    <w:pPr>
      <w:spacing w:before="60" w:line="240" w:lineRule="atLeast"/>
    </w:pPr>
    <w:rPr>
      <w:sz w:val="20"/>
    </w:rPr>
  </w:style>
  <w:style w:type="paragraph" w:styleId="Header">
    <w:name w:val="header"/>
    <w:basedOn w:val="Normal"/>
    <w:link w:val="HeaderChar"/>
    <w:uiPriority w:val="99"/>
    <w:unhideWhenUsed/>
    <w:rsid w:val="009179FB"/>
    <w:pPr>
      <w:tabs>
        <w:tab w:val="center" w:pos="4513"/>
        <w:tab w:val="right" w:pos="9026"/>
      </w:tabs>
    </w:pPr>
  </w:style>
  <w:style w:type="character" w:customStyle="1" w:styleId="HeaderChar">
    <w:name w:val="Header Char"/>
    <w:basedOn w:val="DefaultParagraphFont"/>
    <w:link w:val="Header"/>
    <w:uiPriority w:val="99"/>
    <w:rsid w:val="009179FB"/>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9179FB"/>
    <w:pPr>
      <w:tabs>
        <w:tab w:val="center" w:pos="4513"/>
        <w:tab w:val="right" w:pos="9026"/>
      </w:tabs>
    </w:pPr>
  </w:style>
  <w:style w:type="character" w:customStyle="1" w:styleId="FooterChar">
    <w:name w:val="Footer Char"/>
    <w:basedOn w:val="DefaultParagraphFont"/>
    <w:link w:val="Footer"/>
    <w:uiPriority w:val="99"/>
    <w:rsid w:val="009179FB"/>
    <w:rPr>
      <w:rFonts w:ascii="Times New Roman" w:eastAsia="Times New Roman" w:hAnsi="Times New Roman" w:cs="Times New Roman"/>
      <w:sz w:val="24"/>
      <w:szCs w:val="20"/>
      <w:lang w:eastAsia="en-AU"/>
    </w:rPr>
  </w:style>
  <w:style w:type="paragraph" w:styleId="Revision">
    <w:name w:val="Revision"/>
    <w:hidden/>
    <w:uiPriority w:val="99"/>
    <w:semiHidden/>
    <w:rsid w:val="00B23089"/>
    <w:pPr>
      <w:spacing w:after="0" w:line="240" w:lineRule="auto"/>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405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84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7</Value>
    </TaxCatchAll>
    <_dlc_DocId xmlns="9f7bc583-7cbe-45b9-a2bd-8bbb6543b37e">2016RG-111-6206</_dlc_DocId>
    <_dlc_DocIdUrl xmlns="9f7bc583-7cbe-45b9-a2bd-8bbb6543b37e">
      <Url>http://tweb13/sites/rg/ldp/lmu/_layouts/15/DocIdRedir.aspx?ID=2016RG-111-6206</Url>
      <Description>2016RG-111-6206</Description>
    </_dlc_DocIdUrl>
    <IconOverlay xmlns="http://schemas.microsoft.com/sharepoint/v4" xsi:nil="true"/>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A907A-21BE-4210-B748-C4EB5E6A53D8}"/>
</file>

<file path=customXml/itemProps2.xml><?xml version="1.0" encoding="utf-8"?>
<ds:datastoreItem xmlns:ds="http://schemas.openxmlformats.org/officeDocument/2006/customXml" ds:itemID="{610A510A-8CA0-4159-BE1B-2B40464DCD90}"/>
</file>

<file path=customXml/itemProps3.xml><?xml version="1.0" encoding="utf-8"?>
<ds:datastoreItem xmlns:ds="http://schemas.openxmlformats.org/officeDocument/2006/customXml" ds:itemID="{35C43D2C-3D8B-478C-9870-76D577BD69A2}"/>
</file>

<file path=customXml/itemProps4.xml><?xml version="1.0" encoding="utf-8"?>
<ds:datastoreItem xmlns:ds="http://schemas.openxmlformats.org/officeDocument/2006/customXml" ds:itemID="{7788FBB1-C140-40D5-BB0A-FAEF4AC575C3}"/>
</file>

<file path=customXml/itemProps5.xml><?xml version="1.0" encoding="utf-8"?>
<ds:datastoreItem xmlns:ds="http://schemas.openxmlformats.org/officeDocument/2006/customXml" ds:itemID="{4184234F-BD06-45B8-A676-98C688281E41}"/>
</file>

<file path=customXml/itemProps6.xml><?xml version="1.0" encoding="utf-8"?>
<ds:datastoreItem xmlns:ds="http://schemas.openxmlformats.org/officeDocument/2006/customXml" ds:itemID="{D5E09D17-3982-46C1-8658-00891B5E09AA}"/>
</file>

<file path=docProps/app.xml><?xml version="1.0" encoding="utf-8"?>
<Properties xmlns="http://schemas.openxmlformats.org/officeDocument/2006/extended-properties" xmlns:vt="http://schemas.openxmlformats.org/officeDocument/2006/docPropsVTypes">
  <Template>Normal.dotm</Template>
  <TotalTime>0</TotalTime>
  <Pages>4</Pages>
  <Words>1071</Words>
  <Characters>6105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ES</vt:lpstr>
    </vt:vector>
  </TitlesOfParts>
  <Company>Australian Government - The Treasury</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dc:title>
  <dc:creator>Cavenagh, Laurel</dc:creator>
  <cp:lastModifiedBy>Anderson, Sharon</cp:lastModifiedBy>
  <cp:revision>2</cp:revision>
  <cp:lastPrinted>2016-08-04T01:24:00Z</cp:lastPrinted>
  <dcterms:created xsi:type="dcterms:W3CDTF">2016-08-12T03:51:00Z</dcterms:created>
  <dcterms:modified xsi:type="dcterms:W3CDTF">2016-08-12T03:51:00Z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RecordClass">
    <vt:lpwstr>11</vt:lpwstr>
  </property>
  <property fmtid="{D5CDD505-2E9C-101B-9397-08002B2CF9AE}" pid="4" name="_dlc_DocIdItemGuid">
    <vt:lpwstr>2ed32278-d329-41a3-8f0d-6179aa5cf2e3</vt:lpwstr>
  </property>
  <property fmtid="{D5CDD505-2E9C-101B-9397-08002B2CF9AE}" pid="5" name="_AdHocReviewCycleID">
    <vt:i4>-273317161</vt:i4>
  </property>
  <property fmtid="{D5CDD505-2E9C-101B-9397-08002B2CF9AE}" pid="6" name="_NewReviewCycle">
    <vt:lpwstr/>
  </property>
  <property fmtid="{D5CDD505-2E9C-101B-9397-08002B2CF9AE}" pid="7" name="_EmailSubject">
    <vt:lpwstr>Word version of EM and ES - Fuel Tax Regulation [SEC=UNCLASSIFIED]</vt:lpwstr>
  </property>
  <property fmtid="{D5CDD505-2E9C-101B-9397-08002B2CF9AE}" pid="8" name="_AuthorEmail">
    <vt:lpwstr>Simon.Li@treasury.gov.au</vt:lpwstr>
  </property>
  <property fmtid="{D5CDD505-2E9C-101B-9397-08002B2CF9AE}" pid="9" name="_AuthorEmailDisplayName">
    <vt:lpwstr>Li, Simon</vt:lpwstr>
  </property>
  <property fmtid="{D5CDD505-2E9C-101B-9397-08002B2CF9AE}" pid="10" name="RecordPoint_WorkflowType">
    <vt:lpwstr>ActiveSubmitStub</vt:lpwstr>
  </property>
  <property fmtid="{D5CDD505-2E9C-101B-9397-08002B2CF9AE}" pid="11" name="RecordPoint_ActiveItemListId">
    <vt:lpwstr>{1a010be9-83b3-4740-abb7-452f2d1120fe}</vt:lpwstr>
  </property>
  <property fmtid="{D5CDD505-2E9C-101B-9397-08002B2CF9AE}" pid="12" name="RecordPoint_ActiveItemUniqueId">
    <vt:lpwstr>{2ed32278-d329-41a3-8f0d-6179aa5cf2e3}</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RecordNumberSubmitted">
    <vt:lpwstr>R0001077487</vt:lpwstr>
  </property>
  <property fmtid="{D5CDD505-2E9C-101B-9397-08002B2CF9AE}" pid="16" name="RecordPoint_SubmissionCompleted">
    <vt:lpwstr>2016-08-12T13:55:48.8328612+10:00</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_PreviousAdHocReviewCycleID">
    <vt:i4>1935447319</vt:i4>
  </property>
  <property fmtid="{D5CDD505-2E9C-101B-9397-08002B2CF9AE}" pid="21" name="_ReviewingToolsShownOnce">
    <vt:lpwstr/>
  </property>
</Properties>
</file>