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CE3DE9" w:rsidRDefault="00193461" w:rsidP="00C63713">
      <w:pPr>
        <w:rPr>
          <w:sz w:val="28"/>
        </w:rPr>
      </w:pPr>
      <w:r w:rsidRPr="00CE3DE9">
        <w:rPr>
          <w:noProof/>
          <w:lang w:eastAsia="en-AU"/>
        </w:rPr>
        <w:drawing>
          <wp:inline distT="0" distB="0" distL="0" distR="0" wp14:anchorId="496C987F" wp14:editId="6623102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CE3DE9" w:rsidRDefault="0048364F" w:rsidP="0048364F">
      <w:pPr>
        <w:rPr>
          <w:sz w:val="19"/>
        </w:rPr>
      </w:pPr>
    </w:p>
    <w:p w:rsidR="0048364F" w:rsidRPr="00CE3DE9" w:rsidRDefault="00A95C46" w:rsidP="0048364F">
      <w:pPr>
        <w:pStyle w:val="ShortT"/>
      </w:pPr>
      <w:r w:rsidRPr="00CE3DE9">
        <w:t xml:space="preserve">Consular Fees Amendment </w:t>
      </w:r>
      <w:r w:rsidR="00376955" w:rsidRPr="00CE3DE9">
        <w:t>(Fee</w:t>
      </w:r>
      <w:r w:rsidR="00710696" w:rsidRPr="00CE3DE9">
        <w:t>s</w:t>
      </w:r>
      <w:r w:rsidR="00376955" w:rsidRPr="00CE3DE9">
        <w:t xml:space="preserve"> and Indexation) </w:t>
      </w:r>
      <w:r w:rsidRPr="00CE3DE9">
        <w:t>Regulation</w:t>
      </w:r>
      <w:r w:rsidR="00CE3DE9" w:rsidRPr="00CE3DE9">
        <w:t> </w:t>
      </w:r>
      <w:r w:rsidRPr="00CE3DE9">
        <w:t>2016</w:t>
      </w:r>
    </w:p>
    <w:p w:rsidR="00A95C46" w:rsidRPr="00CE3DE9" w:rsidRDefault="00A95C46" w:rsidP="007517B8">
      <w:pPr>
        <w:pStyle w:val="SignCoverPageStart"/>
        <w:spacing w:before="240"/>
        <w:rPr>
          <w:szCs w:val="22"/>
        </w:rPr>
      </w:pPr>
      <w:r w:rsidRPr="00CE3DE9">
        <w:rPr>
          <w:szCs w:val="22"/>
        </w:rPr>
        <w:t>I, General the Honourable Sir Peter Cosgrove AK MC (</w:t>
      </w:r>
      <w:proofErr w:type="spellStart"/>
      <w:r w:rsidRPr="00CE3DE9">
        <w:rPr>
          <w:szCs w:val="22"/>
        </w:rPr>
        <w:t>Ret’d</w:t>
      </w:r>
      <w:proofErr w:type="spellEnd"/>
      <w:r w:rsidRPr="00CE3DE9">
        <w:rPr>
          <w:szCs w:val="22"/>
        </w:rPr>
        <w:t xml:space="preserve">), </w:t>
      </w:r>
      <w:r w:rsidR="00CE3DE9" w:rsidRPr="00CE3DE9">
        <w:rPr>
          <w:szCs w:val="22"/>
        </w:rPr>
        <w:t>Governor</w:t>
      </w:r>
      <w:r w:rsidR="00CE3DE9">
        <w:rPr>
          <w:szCs w:val="22"/>
        </w:rPr>
        <w:noBreakHyphen/>
      </w:r>
      <w:r w:rsidR="00CE3DE9" w:rsidRPr="00CE3DE9">
        <w:rPr>
          <w:szCs w:val="22"/>
        </w:rPr>
        <w:t>General</w:t>
      </w:r>
      <w:r w:rsidRPr="00CE3DE9">
        <w:rPr>
          <w:szCs w:val="22"/>
        </w:rPr>
        <w:t xml:space="preserve"> of the Commonwealth of Australia, acting with the advice of the Federal Executive Council, make the following regulation.</w:t>
      </w:r>
    </w:p>
    <w:p w:rsidR="00A95C46" w:rsidRPr="00CE3DE9" w:rsidRDefault="00A95C4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CE3DE9">
        <w:rPr>
          <w:szCs w:val="22"/>
        </w:rPr>
        <w:t xml:space="preserve">Dated </w:t>
      </w:r>
      <w:bookmarkStart w:id="0" w:name="BKCheck15B_1"/>
      <w:bookmarkEnd w:id="0"/>
      <w:r w:rsidRPr="00CE3DE9">
        <w:rPr>
          <w:szCs w:val="22"/>
        </w:rPr>
        <w:fldChar w:fldCharType="begin"/>
      </w:r>
      <w:r w:rsidRPr="00CE3DE9">
        <w:rPr>
          <w:szCs w:val="22"/>
        </w:rPr>
        <w:instrText xml:space="preserve"> DOCPROPERTY  DateMade </w:instrText>
      </w:r>
      <w:r w:rsidRPr="00CE3DE9">
        <w:rPr>
          <w:szCs w:val="22"/>
        </w:rPr>
        <w:fldChar w:fldCharType="separate"/>
      </w:r>
      <w:r w:rsidR="0039245E">
        <w:rPr>
          <w:szCs w:val="22"/>
        </w:rPr>
        <w:t>01 September 2016</w:t>
      </w:r>
      <w:r w:rsidRPr="00CE3DE9">
        <w:rPr>
          <w:szCs w:val="22"/>
        </w:rPr>
        <w:fldChar w:fldCharType="end"/>
      </w:r>
    </w:p>
    <w:p w:rsidR="00A95C46" w:rsidRPr="00CE3DE9" w:rsidRDefault="00A95C46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CE3DE9">
        <w:rPr>
          <w:szCs w:val="22"/>
        </w:rPr>
        <w:t>Peter Cosgrove</w:t>
      </w:r>
    </w:p>
    <w:p w:rsidR="00A95C46" w:rsidRPr="00CE3DE9" w:rsidRDefault="00CE3DE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CE3DE9">
        <w:rPr>
          <w:szCs w:val="22"/>
        </w:rPr>
        <w:t>Governor</w:t>
      </w:r>
      <w:r>
        <w:rPr>
          <w:szCs w:val="22"/>
        </w:rPr>
        <w:noBreakHyphen/>
      </w:r>
      <w:r w:rsidRPr="00CE3DE9">
        <w:rPr>
          <w:szCs w:val="22"/>
        </w:rPr>
        <w:t>General</w:t>
      </w:r>
    </w:p>
    <w:p w:rsidR="00A95C46" w:rsidRPr="00CE3DE9" w:rsidRDefault="00A95C4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CE3DE9">
        <w:rPr>
          <w:szCs w:val="22"/>
        </w:rPr>
        <w:t>By His Excellency’s Command</w:t>
      </w:r>
    </w:p>
    <w:p w:rsidR="0072733F" w:rsidRPr="00CE3DE9" w:rsidRDefault="0072733F" w:rsidP="0072733F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E3DE9">
        <w:rPr>
          <w:szCs w:val="22"/>
        </w:rPr>
        <w:t>Julie Bishop</w:t>
      </w:r>
    </w:p>
    <w:p w:rsidR="0072733F" w:rsidRPr="00CE3DE9" w:rsidRDefault="0072733F" w:rsidP="0072733F">
      <w:pPr>
        <w:pStyle w:val="SignCoverPageEnd"/>
        <w:rPr>
          <w:szCs w:val="22"/>
        </w:rPr>
      </w:pPr>
      <w:r w:rsidRPr="00CE3DE9">
        <w:rPr>
          <w:szCs w:val="22"/>
        </w:rPr>
        <w:t>Minister for Foreign Affairs</w:t>
      </w:r>
    </w:p>
    <w:p w:rsidR="0072733F" w:rsidRPr="00CE3DE9" w:rsidRDefault="0072733F" w:rsidP="0072733F"/>
    <w:p w:rsidR="0072733F" w:rsidRPr="00CE3DE9" w:rsidRDefault="0072733F" w:rsidP="0072733F"/>
    <w:p w:rsidR="0072733F" w:rsidRPr="00CE3DE9" w:rsidRDefault="0072733F" w:rsidP="0072733F"/>
    <w:p w:rsidR="0072733F" w:rsidRPr="00CE3DE9" w:rsidRDefault="0072733F" w:rsidP="0072733F"/>
    <w:p w:rsidR="0072733F" w:rsidRPr="00CE3DE9" w:rsidRDefault="0072733F" w:rsidP="0072733F">
      <w:pPr>
        <w:pStyle w:val="Header"/>
        <w:tabs>
          <w:tab w:val="clear" w:pos="4150"/>
          <w:tab w:val="clear" w:pos="8307"/>
        </w:tabs>
      </w:pPr>
      <w:r w:rsidRPr="00CE3DE9">
        <w:rPr>
          <w:rStyle w:val="CharAmSchNo"/>
        </w:rPr>
        <w:t xml:space="preserve"> </w:t>
      </w:r>
      <w:r w:rsidRPr="00CE3DE9">
        <w:rPr>
          <w:rStyle w:val="CharAmSchText"/>
        </w:rPr>
        <w:t xml:space="preserve"> </w:t>
      </w:r>
    </w:p>
    <w:p w:rsidR="0072733F" w:rsidRPr="00CE3DE9" w:rsidRDefault="0072733F" w:rsidP="0072733F">
      <w:pPr>
        <w:pStyle w:val="Header"/>
        <w:tabs>
          <w:tab w:val="clear" w:pos="4150"/>
          <w:tab w:val="clear" w:pos="8307"/>
        </w:tabs>
      </w:pPr>
      <w:r w:rsidRPr="00CE3DE9">
        <w:rPr>
          <w:rStyle w:val="CharAmPartNo"/>
        </w:rPr>
        <w:t xml:space="preserve"> </w:t>
      </w:r>
      <w:r w:rsidRPr="00CE3DE9">
        <w:rPr>
          <w:rStyle w:val="CharAmPartText"/>
        </w:rPr>
        <w:t xml:space="preserve"> </w:t>
      </w:r>
    </w:p>
    <w:p w:rsidR="0048364F" w:rsidRPr="00CE3DE9" w:rsidRDefault="0048364F" w:rsidP="0048364F">
      <w:pPr>
        <w:sectPr w:rsidR="0048364F" w:rsidRPr="00CE3DE9" w:rsidSect="0048751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CE3DE9" w:rsidRDefault="0048364F" w:rsidP="000125D3">
      <w:pPr>
        <w:rPr>
          <w:sz w:val="36"/>
        </w:rPr>
      </w:pPr>
      <w:r w:rsidRPr="00CE3DE9">
        <w:rPr>
          <w:sz w:val="36"/>
        </w:rPr>
        <w:lastRenderedPageBreak/>
        <w:t>Contents</w:t>
      </w:r>
    </w:p>
    <w:bookmarkStart w:id="1" w:name="BKCheck15B_2"/>
    <w:bookmarkEnd w:id="1"/>
    <w:p w:rsidR="00CB2650" w:rsidRPr="00CE3DE9" w:rsidRDefault="00CB26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3DE9">
        <w:fldChar w:fldCharType="begin"/>
      </w:r>
      <w:r w:rsidRPr="00CE3DE9">
        <w:instrText xml:space="preserve"> TOC \o "1-9" </w:instrText>
      </w:r>
      <w:r w:rsidRPr="00CE3DE9">
        <w:fldChar w:fldCharType="separate"/>
      </w:r>
      <w:r w:rsidRPr="00CE3DE9">
        <w:rPr>
          <w:noProof/>
        </w:rPr>
        <w:t>1</w:t>
      </w:r>
      <w:r w:rsidRPr="00CE3DE9">
        <w:rPr>
          <w:noProof/>
        </w:rPr>
        <w:tab/>
        <w:t>Name</w:t>
      </w:r>
      <w:r w:rsidRPr="00CE3DE9">
        <w:rPr>
          <w:noProof/>
        </w:rPr>
        <w:tab/>
      </w:r>
      <w:r w:rsidRPr="00CE3DE9">
        <w:rPr>
          <w:noProof/>
        </w:rPr>
        <w:fldChar w:fldCharType="begin"/>
      </w:r>
      <w:r w:rsidRPr="00CE3DE9">
        <w:rPr>
          <w:noProof/>
        </w:rPr>
        <w:instrText xml:space="preserve"> PAGEREF _Toc459635978 \h </w:instrText>
      </w:r>
      <w:r w:rsidRPr="00CE3DE9">
        <w:rPr>
          <w:noProof/>
        </w:rPr>
      </w:r>
      <w:r w:rsidRPr="00CE3DE9">
        <w:rPr>
          <w:noProof/>
        </w:rPr>
        <w:fldChar w:fldCharType="separate"/>
      </w:r>
      <w:r w:rsidR="0039245E">
        <w:rPr>
          <w:noProof/>
        </w:rPr>
        <w:t>1</w:t>
      </w:r>
      <w:r w:rsidRPr="00CE3DE9">
        <w:rPr>
          <w:noProof/>
        </w:rPr>
        <w:fldChar w:fldCharType="end"/>
      </w:r>
    </w:p>
    <w:p w:rsidR="00CB2650" w:rsidRPr="00CE3DE9" w:rsidRDefault="00CB26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3DE9">
        <w:rPr>
          <w:noProof/>
        </w:rPr>
        <w:t>2</w:t>
      </w:r>
      <w:r w:rsidRPr="00CE3DE9">
        <w:rPr>
          <w:noProof/>
        </w:rPr>
        <w:tab/>
        <w:t>Commencement</w:t>
      </w:r>
      <w:r w:rsidRPr="00CE3DE9">
        <w:rPr>
          <w:noProof/>
        </w:rPr>
        <w:tab/>
      </w:r>
      <w:r w:rsidRPr="00CE3DE9">
        <w:rPr>
          <w:noProof/>
        </w:rPr>
        <w:fldChar w:fldCharType="begin"/>
      </w:r>
      <w:r w:rsidRPr="00CE3DE9">
        <w:rPr>
          <w:noProof/>
        </w:rPr>
        <w:instrText xml:space="preserve"> PAGEREF _Toc459635979 \h </w:instrText>
      </w:r>
      <w:r w:rsidRPr="00CE3DE9">
        <w:rPr>
          <w:noProof/>
        </w:rPr>
      </w:r>
      <w:r w:rsidRPr="00CE3DE9">
        <w:rPr>
          <w:noProof/>
        </w:rPr>
        <w:fldChar w:fldCharType="separate"/>
      </w:r>
      <w:r w:rsidR="0039245E">
        <w:rPr>
          <w:noProof/>
        </w:rPr>
        <w:t>1</w:t>
      </w:r>
      <w:r w:rsidRPr="00CE3DE9">
        <w:rPr>
          <w:noProof/>
        </w:rPr>
        <w:fldChar w:fldCharType="end"/>
      </w:r>
    </w:p>
    <w:p w:rsidR="00CB2650" w:rsidRPr="00CE3DE9" w:rsidRDefault="00CB26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3DE9">
        <w:rPr>
          <w:noProof/>
        </w:rPr>
        <w:t>3</w:t>
      </w:r>
      <w:r w:rsidRPr="00CE3DE9">
        <w:rPr>
          <w:noProof/>
        </w:rPr>
        <w:tab/>
        <w:t>Authority</w:t>
      </w:r>
      <w:r w:rsidRPr="00CE3DE9">
        <w:rPr>
          <w:noProof/>
        </w:rPr>
        <w:tab/>
      </w:r>
      <w:r w:rsidRPr="00CE3DE9">
        <w:rPr>
          <w:noProof/>
        </w:rPr>
        <w:fldChar w:fldCharType="begin"/>
      </w:r>
      <w:r w:rsidRPr="00CE3DE9">
        <w:rPr>
          <w:noProof/>
        </w:rPr>
        <w:instrText xml:space="preserve"> PAGEREF _Toc459635980 \h </w:instrText>
      </w:r>
      <w:r w:rsidRPr="00CE3DE9">
        <w:rPr>
          <w:noProof/>
        </w:rPr>
      </w:r>
      <w:r w:rsidRPr="00CE3DE9">
        <w:rPr>
          <w:noProof/>
        </w:rPr>
        <w:fldChar w:fldCharType="separate"/>
      </w:r>
      <w:r w:rsidR="0039245E">
        <w:rPr>
          <w:noProof/>
        </w:rPr>
        <w:t>1</w:t>
      </w:r>
      <w:r w:rsidRPr="00CE3DE9">
        <w:rPr>
          <w:noProof/>
        </w:rPr>
        <w:fldChar w:fldCharType="end"/>
      </w:r>
    </w:p>
    <w:p w:rsidR="00CB2650" w:rsidRPr="00CE3DE9" w:rsidRDefault="00CB265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E3DE9">
        <w:rPr>
          <w:noProof/>
        </w:rPr>
        <w:t>4</w:t>
      </w:r>
      <w:r w:rsidRPr="00CE3DE9">
        <w:rPr>
          <w:noProof/>
        </w:rPr>
        <w:tab/>
        <w:t>Schedules</w:t>
      </w:r>
      <w:r w:rsidRPr="00CE3DE9">
        <w:rPr>
          <w:noProof/>
        </w:rPr>
        <w:tab/>
      </w:r>
      <w:r w:rsidRPr="00CE3DE9">
        <w:rPr>
          <w:noProof/>
        </w:rPr>
        <w:fldChar w:fldCharType="begin"/>
      </w:r>
      <w:r w:rsidRPr="00CE3DE9">
        <w:rPr>
          <w:noProof/>
        </w:rPr>
        <w:instrText xml:space="preserve"> PAGEREF _Toc459635981 \h </w:instrText>
      </w:r>
      <w:r w:rsidRPr="00CE3DE9">
        <w:rPr>
          <w:noProof/>
        </w:rPr>
      </w:r>
      <w:r w:rsidRPr="00CE3DE9">
        <w:rPr>
          <w:noProof/>
        </w:rPr>
        <w:fldChar w:fldCharType="separate"/>
      </w:r>
      <w:r w:rsidR="0039245E">
        <w:rPr>
          <w:noProof/>
        </w:rPr>
        <w:t>1</w:t>
      </w:r>
      <w:r w:rsidRPr="00CE3DE9">
        <w:rPr>
          <w:noProof/>
        </w:rPr>
        <w:fldChar w:fldCharType="end"/>
      </w:r>
    </w:p>
    <w:p w:rsidR="00CB2650" w:rsidRPr="00CE3DE9" w:rsidRDefault="00CB265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E3DE9">
        <w:rPr>
          <w:noProof/>
        </w:rPr>
        <w:t>Schedule</w:t>
      </w:r>
      <w:r w:rsidR="00CE3DE9" w:rsidRPr="00CE3DE9">
        <w:rPr>
          <w:noProof/>
        </w:rPr>
        <w:t> </w:t>
      </w:r>
      <w:r w:rsidRPr="00CE3DE9">
        <w:rPr>
          <w:noProof/>
        </w:rPr>
        <w:t>1—Amendments</w:t>
      </w:r>
      <w:r w:rsidRPr="00CE3DE9">
        <w:rPr>
          <w:b w:val="0"/>
          <w:noProof/>
          <w:sz w:val="18"/>
        </w:rPr>
        <w:tab/>
      </w:r>
      <w:r w:rsidRPr="00CE3DE9">
        <w:rPr>
          <w:b w:val="0"/>
          <w:noProof/>
          <w:sz w:val="18"/>
        </w:rPr>
        <w:fldChar w:fldCharType="begin"/>
      </w:r>
      <w:r w:rsidRPr="00CE3DE9">
        <w:rPr>
          <w:b w:val="0"/>
          <w:noProof/>
          <w:sz w:val="18"/>
        </w:rPr>
        <w:instrText xml:space="preserve"> PAGEREF _Toc459635982 \h </w:instrText>
      </w:r>
      <w:r w:rsidRPr="00CE3DE9">
        <w:rPr>
          <w:b w:val="0"/>
          <w:noProof/>
          <w:sz w:val="18"/>
        </w:rPr>
      </w:r>
      <w:r w:rsidRPr="00CE3DE9">
        <w:rPr>
          <w:b w:val="0"/>
          <w:noProof/>
          <w:sz w:val="18"/>
        </w:rPr>
        <w:fldChar w:fldCharType="separate"/>
      </w:r>
      <w:r w:rsidR="0039245E">
        <w:rPr>
          <w:b w:val="0"/>
          <w:noProof/>
          <w:sz w:val="18"/>
        </w:rPr>
        <w:t>2</w:t>
      </w:r>
      <w:r w:rsidRPr="00CE3DE9">
        <w:rPr>
          <w:b w:val="0"/>
          <w:noProof/>
          <w:sz w:val="18"/>
        </w:rPr>
        <w:fldChar w:fldCharType="end"/>
      </w:r>
    </w:p>
    <w:p w:rsidR="00CB2650" w:rsidRPr="00CE3DE9" w:rsidRDefault="00CB2650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E3DE9">
        <w:rPr>
          <w:noProof/>
        </w:rPr>
        <w:t>Consular Fees Regulations</w:t>
      </w:r>
      <w:r w:rsidR="00CE3DE9" w:rsidRPr="00CE3DE9">
        <w:rPr>
          <w:noProof/>
        </w:rPr>
        <w:t> </w:t>
      </w:r>
      <w:r w:rsidRPr="00CE3DE9">
        <w:rPr>
          <w:noProof/>
        </w:rPr>
        <w:t>1990</w:t>
      </w:r>
      <w:r w:rsidRPr="00CE3DE9">
        <w:rPr>
          <w:i w:val="0"/>
          <w:noProof/>
          <w:sz w:val="18"/>
        </w:rPr>
        <w:tab/>
      </w:r>
      <w:r w:rsidRPr="00CE3DE9">
        <w:rPr>
          <w:i w:val="0"/>
          <w:noProof/>
          <w:sz w:val="18"/>
        </w:rPr>
        <w:fldChar w:fldCharType="begin"/>
      </w:r>
      <w:r w:rsidRPr="00CE3DE9">
        <w:rPr>
          <w:i w:val="0"/>
          <w:noProof/>
          <w:sz w:val="18"/>
        </w:rPr>
        <w:instrText xml:space="preserve"> PAGEREF _Toc459635983 \h </w:instrText>
      </w:r>
      <w:r w:rsidRPr="00CE3DE9">
        <w:rPr>
          <w:i w:val="0"/>
          <w:noProof/>
          <w:sz w:val="18"/>
        </w:rPr>
      </w:r>
      <w:r w:rsidRPr="00CE3DE9">
        <w:rPr>
          <w:i w:val="0"/>
          <w:noProof/>
          <w:sz w:val="18"/>
        </w:rPr>
        <w:fldChar w:fldCharType="separate"/>
      </w:r>
      <w:r w:rsidR="0039245E">
        <w:rPr>
          <w:i w:val="0"/>
          <w:noProof/>
          <w:sz w:val="18"/>
        </w:rPr>
        <w:t>2</w:t>
      </w:r>
      <w:r w:rsidRPr="00CE3DE9">
        <w:rPr>
          <w:i w:val="0"/>
          <w:noProof/>
          <w:sz w:val="18"/>
        </w:rPr>
        <w:fldChar w:fldCharType="end"/>
      </w:r>
    </w:p>
    <w:p w:rsidR="00833416" w:rsidRPr="00CE3DE9" w:rsidRDefault="00CB2650" w:rsidP="0048364F">
      <w:r w:rsidRPr="00CE3DE9">
        <w:fldChar w:fldCharType="end"/>
      </w:r>
    </w:p>
    <w:p w:rsidR="00722023" w:rsidRPr="00CE3DE9" w:rsidRDefault="00722023" w:rsidP="0048364F">
      <w:pPr>
        <w:sectPr w:rsidR="00722023" w:rsidRPr="00CE3DE9" w:rsidSect="0048751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CE3DE9" w:rsidRDefault="0048364F" w:rsidP="0048364F">
      <w:pPr>
        <w:pStyle w:val="ActHead5"/>
      </w:pPr>
      <w:bookmarkStart w:id="2" w:name="_Toc459635978"/>
      <w:r w:rsidRPr="00CE3DE9">
        <w:rPr>
          <w:rStyle w:val="CharSectno"/>
        </w:rPr>
        <w:lastRenderedPageBreak/>
        <w:t>1</w:t>
      </w:r>
      <w:r w:rsidRPr="00CE3DE9">
        <w:t xml:space="preserve">  </w:t>
      </w:r>
      <w:r w:rsidR="004F676E" w:rsidRPr="00CE3DE9">
        <w:t>Name</w:t>
      </w:r>
      <w:bookmarkEnd w:id="2"/>
    </w:p>
    <w:p w:rsidR="0048364F" w:rsidRPr="00CE3DE9" w:rsidRDefault="0048364F" w:rsidP="0048364F">
      <w:pPr>
        <w:pStyle w:val="subsection"/>
      </w:pPr>
      <w:r w:rsidRPr="00CE3DE9">
        <w:tab/>
      </w:r>
      <w:r w:rsidRPr="00CE3DE9">
        <w:tab/>
        <w:t>Th</w:t>
      </w:r>
      <w:r w:rsidR="00F24C35" w:rsidRPr="00CE3DE9">
        <w:t>is</w:t>
      </w:r>
      <w:r w:rsidRPr="00CE3DE9">
        <w:t xml:space="preserve"> </w:t>
      </w:r>
      <w:r w:rsidR="00F24C35" w:rsidRPr="00CE3DE9">
        <w:t>is</w:t>
      </w:r>
      <w:r w:rsidR="003801D0" w:rsidRPr="00CE3DE9">
        <w:t xml:space="preserve"> the</w:t>
      </w:r>
      <w:r w:rsidRPr="00CE3DE9">
        <w:t xml:space="preserve"> </w:t>
      </w:r>
      <w:bookmarkStart w:id="3" w:name="BKCheck15B_3"/>
      <w:bookmarkEnd w:id="3"/>
      <w:r w:rsidR="00CB0180" w:rsidRPr="00CE3DE9">
        <w:rPr>
          <w:i/>
        </w:rPr>
        <w:fldChar w:fldCharType="begin"/>
      </w:r>
      <w:r w:rsidR="00CB0180" w:rsidRPr="00CE3DE9">
        <w:rPr>
          <w:i/>
        </w:rPr>
        <w:instrText xml:space="preserve"> STYLEREF  ShortT </w:instrText>
      </w:r>
      <w:r w:rsidR="00CB0180" w:rsidRPr="00CE3DE9">
        <w:rPr>
          <w:i/>
        </w:rPr>
        <w:fldChar w:fldCharType="separate"/>
      </w:r>
      <w:r w:rsidR="0039245E">
        <w:rPr>
          <w:i/>
          <w:noProof/>
        </w:rPr>
        <w:t>Consular Fees Amendment (Fees and Indexation) Regulation 2016</w:t>
      </w:r>
      <w:r w:rsidR="00CB0180" w:rsidRPr="00CE3DE9">
        <w:rPr>
          <w:i/>
        </w:rPr>
        <w:fldChar w:fldCharType="end"/>
      </w:r>
      <w:r w:rsidRPr="00CE3DE9">
        <w:t>.</w:t>
      </w:r>
    </w:p>
    <w:p w:rsidR="0048364F" w:rsidRPr="00CE3DE9" w:rsidRDefault="0048364F" w:rsidP="0048364F">
      <w:pPr>
        <w:pStyle w:val="ActHead5"/>
      </w:pPr>
      <w:bookmarkStart w:id="4" w:name="_Toc459635979"/>
      <w:r w:rsidRPr="00CE3DE9">
        <w:rPr>
          <w:rStyle w:val="CharSectno"/>
        </w:rPr>
        <w:t>2</w:t>
      </w:r>
      <w:r w:rsidRPr="00CE3DE9">
        <w:t xml:space="preserve">  Commencement</w:t>
      </w:r>
      <w:bookmarkEnd w:id="4"/>
    </w:p>
    <w:p w:rsidR="004C7FCA" w:rsidRPr="00CE3DE9" w:rsidRDefault="004C7FCA" w:rsidP="00593449">
      <w:pPr>
        <w:pStyle w:val="subsection"/>
      </w:pPr>
      <w:r w:rsidRPr="00CE3DE9">
        <w:tab/>
        <w:t>(1)</w:t>
      </w:r>
      <w:r w:rsidRPr="00CE3DE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4C7FCA" w:rsidRPr="00CE3DE9" w:rsidRDefault="004C7FCA" w:rsidP="00593449">
      <w:pPr>
        <w:pStyle w:val="Tabletext"/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4C7FCA" w:rsidRPr="00CE3DE9" w:rsidTr="00CA7CDF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C7FCA" w:rsidRPr="00CE3DE9" w:rsidRDefault="004C7FCA" w:rsidP="00612709">
            <w:pPr>
              <w:pStyle w:val="TableHeading"/>
            </w:pPr>
            <w:r w:rsidRPr="00CE3DE9">
              <w:t>Commencement information</w:t>
            </w:r>
          </w:p>
        </w:tc>
      </w:tr>
      <w:tr w:rsidR="004C7FCA" w:rsidRPr="00CE3DE9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C7FCA" w:rsidRPr="00CE3DE9" w:rsidRDefault="004C7FCA" w:rsidP="00612709">
            <w:pPr>
              <w:pStyle w:val="TableHeading"/>
            </w:pPr>
            <w:r w:rsidRPr="00CE3DE9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C7FCA" w:rsidRPr="00CE3DE9" w:rsidRDefault="004C7FCA" w:rsidP="00612709">
            <w:pPr>
              <w:pStyle w:val="TableHeading"/>
            </w:pPr>
            <w:r w:rsidRPr="00CE3DE9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4C7FCA" w:rsidRPr="00CE3DE9" w:rsidRDefault="004C7FCA" w:rsidP="00612709">
            <w:pPr>
              <w:pStyle w:val="TableHeading"/>
            </w:pPr>
            <w:r w:rsidRPr="00CE3DE9">
              <w:t>Column 3</w:t>
            </w:r>
          </w:p>
        </w:tc>
      </w:tr>
      <w:tr w:rsidR="004C7FCA" w:rsidRPr="00CE3DE9" w:rsidTr="00CA7CDF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4C7FCA" w:rsidRPr="00CE3DE9" w:rsidRDefault="004C7FCA" w:rsidP="00612709">
            <w:pPr>
              <w:pStyle w:val="TableHeading"/>
            </w:pPr>
            <w:r w:rsidRPr="00CE3DE9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4C7FCA" w:rsidRPr="00CE3DE9" w:rsidRDefault="004C7FCA" w:rsidP="00612709">
            <w:pPr>
              <w:pStyle w:val="TableHeading"/>
            </w:pPr>
            <w:r w:rsidRPr="00CE3DE9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4C7FCA" w:rsidRPr="00CE3DE9" w:rsidRDefault="004C7FCA" w:rsidP="00612709">
            <w:pPr>
              <w:pStyle w:val="TableHeading"/>
            </w:pPr>
            <w:r w:rsidRPr="00CE3DE9">
              <w:t>Date/Details</w:t>
            </w:r>
          </w:p>
        </w:tc>
      </w:tr>
      <w:tr w:rsidR="004C7FCA" w:rsidRPr="00CE3DE9" w:rsidTr="00CA7CDF">
        <w:trPr>
          <w:cantSplit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4C7FCA" w:rsidRPr="00CE3DE9" w:rsidRDefault="004C7FCA" w:rsidP="00CA7CDF">
            <w:pPr>
              <w:pStyle w:val="Tabletext"/>
            </w:pPr>
            <w:r w:rsidRPr="00CE3DE9">
              <w:t>1.  Sections</w:t>
            </w:r>
            <w:r w:rsidR="00CE3DE9" w:rsidRPr="00CE3DE9">
              <w:t> </w:t>
            </w:r>
            <w:r w:rsidRPr="00CE3DE9">
              <w:t>1 to 4 and anything in this instrument not elsewhere covered by this table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4C7FCA" w:rsidRPr="00CE3DE9" w:rsidRDefault="004C7FCA" w:rsidP="00CA7CDF">
            <w:pPr>
              <w:pStyle w:val="Tabletext"/>
            </w:pPr>
            <w:r w:rsidRPr="00CE3DE9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:rsidR="004C7FCA" w:rsidRPr="00CE3DE9" w:rsidRDefault="003366CE">
            <w:pPr>
              <w:pStyle w:val="Tabletext"/>
            </w:pPr>
            <w:r>
              <w:t>3 Sept</w:t>
            </w:r>
            <w:r w:rsidR="00F264D3">
              <w:t>ember</w:t>
            </w:r>
            <w:bookmarkStart w:id="5" w:name="_GoBack"/>
            <w:bookmarkEnd w:id="5"/>
            <w:r>
              <w:t xml:space="preserve"> 2016</w:t>
            </w:r>
          </w:p>
        </w:tc>
      </w:tr>
      <w:tr w:rsidR="004C7FCA" w:rsidRPr="00CE3DE9" w:rsidTr="00CA7CDF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4C7FCA" w:rsidRPr="00CE3DE9" w:rsidRDefault="004C7FCA">
            <w:pPr>
              <w:pStyle w:val="Tabletext"/>
            </w:pPr>
            <w:r w:rsidRPr="00CE3DE9">
              <w:t>2.  Schedule</w:t>
            </w:r>
            <w:r w:rsidR="00CE3DE9" w:rsidRPr="00CE3DE9">
              <w:t> </w:t>
            </w:r>
            <w:r w:rsidRPr="00CE3DE9">
              <w:t>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4C7FCA" w:rsidRPr="00CE3DE9" w:rsidRDefault="004C7FCA">
            <w:pPr>
              <w:pStyle w:val="Tabletext"/>
            </w:pPr>
            <w:r w:rsidRPr="00CE3DE9">
              <w:t>1</w:t>
            </w:r>
            <w:r w:rsidR="00CE3DE9" w:rsidRPr="00CE3DE9">
              <w:t> </w:t>
            </w:r>
            <w:r w:rsidRPr="00CE3DE9">
              <w:t>January 2017.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4C7FCA" w:rsidRPr="00CE3DE9" w:rsidRDefault="004C7FCA">
            <w:pPr>
              <w:pStyle w:val="Tabletext"/>
            </w:pPr>
            <w:r w:rsidRPr="00CE3DE9">
              <w:t>1</w:t>
            </w:r>
            <w:r w:rsidR="00CE3DE9" w:rsidRPr="00CE3DE9">
              <w:t> </w:t>
            </w:r>
            <w:r w:rsidRPr="00CE3DE9">
              <w:t>January 2017</w:t>
            </w:r>
          </w:p>
        </w:tc>
      </w:tr>
    </w:tbl>
    <w:p w:rsidR="004C7FCA" w:rsidRPr="00CE3DE9" w:rsidRDefault="004C7FCA" w:rsidP="00D21F74">
      <w:pPr>
        <w:pStyle w:val="notetext"/>
      </w:pPr>
      <w:r w:rsidRPr="00CE3DE9">
        <w:rPr>
          <w:snapToGrid w:val="0"/>
          <w:lang w:eastAsia="en-US"/>
        </w:rPr>
        <w:t>Note:</w:t>
      </w:r>
      <w:r w:rsidRPr="00CE3DE9">
        <w:rPr>
          <w:snapToGrid w:val="0"/>
          <w:lang w:eastAsia="en-US"/>
        </w:rPr>
        <w:tab/>
        <w:t xml:space="preserve">This table relates only to the provisions of this </w:t>
      </w:r>
      <w:r w:rsidRPr="00CE3DE9">
        <w:t xml:space="preserve">instrument </w:t>
      </w:r>
      <w:r w:rsidRPr="00CE3DE9">
        <w:rPr>
          <w:snapToGrid w:val="0"/>
          <w:lang w:eastAsia="en-US"/>
        </w:rPr>
        <w:t xml:space="preserve">as originally made. It will not be amended to deal with any later amendments of this </w:t>
      </w:r>
      <w:r w:rsidRPr="00CE3DE9">
        <w:t>instrument</w:t>
      </w:r>
      <w:r w:rsidRPr="00CE3DE9">
        <w:rPr>
          <w:snapToGrid w:val="0"/>
          <w:lang w:eastAsia="en-US"/>
        </w:rPr>
        <w:t>.</w:t>
      </w:r>
    </w:p>
    <w:p w:rsidR="004C7FCA" w:rsidRPr="00CE3DE9" w:rsidRDefault="004C7FCA" w:rsidP="00D455E3">
      <w:pPr>
        <w:pStyle w:val="subsection"/>
      </w:pPr>
      <w:r w:rsidRPr="00CE3DE9">
        <w:tab/>
        <w:t>(2)</w:t>
      </w:r>
      <w:r w:rsidRPr="00CE3DE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CE3DE9" w:rsidRDefault="007769D4" w:rsidP="007769D4">
      <w:pPr>
        <w:pStyle w:val="ActHead5"/>
      </w:pPr>
      <w:bookmarkStart w:id="6" w:name="_Toc459635980"/>
      <w:r w:rsidRPr="00CE3DE9">
        <w:rPr>
          <w:rStyle w:val="CharSectno"/>
        </w:rPr>
        <w:t>3</w:t>
      </w:r>
      <w:r w:rsidRPr="00CE3DE9">
        <w:t xml:space="preserve">  Authority</w:t>
      </w:r>
      <w:bookmarkEnd w:id="6"/>
    </w:p>
    <w:p w:rsidR="007769D4" w:rsidRPr="00CE3DE9" w:rsidRDefault="007769D4" w:rsidP="007769D4">
      <w:pPr>
        <w:pStyle w:val="subsection"/>
      </w:pPr>
      <w:r w:rsidRPr="00CE3DE9">
        <w:tab/>
      </w:r>
      <w:r w:rsidRPr="00CE3DE9">
        <w:tab/>
      </w:r>
      <w:r w:rsidR="00AF0336" w:rsidRPr="00CE3DE9">
        <w:t xml:space="preserve">This </w:t>
      </w:r>
      <w:r w:rsidR="00A95C46" w:rsidRPr="00CE3DE9">
        <w:t>instrument</w:t>
      </w:r>
      <w:r w:rsidR="00AF0336" w:rsidRPr="00CE3DE9">
        <w:t xml:space="preserve"> is made under the </w:t>
      </w:r>
      <w:r w:rsidR="00A95C46" w:rsidRPr="00CE3DE9">
        <w:rPr>
          <w:i/>
        </w:rPr>
        <w:t>Consular Fees Act 1955</w:t>
      </w:r>
      <w:r w:rsidR="00D83D21" w:rsidRPr="00CE3DE9">
        <w:rPr>
          <w:i/>
        </w:rPr>
        <w:t>.</w:t>
      </w:r>
    </w:p>
    <w:p w:rsidR="00557C7A" w:rsidRPr="00CE3DE9" w:rsidRDefault="007769D4" w:rsidP="00557C7A">
      <w:pPr>
        <w:pStyle w:val="ActHead5"/>
      </w:pPr>
      <w:bookmarkStart w:id="7" w:name="_Toc459635981"/>
      <w:r w:rsidRPr="00CE3DE9">
        <w:rPr>
          <w:rStyle w:val="CharSectno"/>
        </w:rPr>
        <w:t>4</w:t>
      </w:r>
      <w:r w:rsidR="00557C7A" w:rsidRPr="00CE3DE9">
        <w:t xml:space="preserve">  </w:t>
      </w:r>
      <w:r w:rsidR="00B332B8" w:rsidRPr="00CE3DE9">
        <w:t>Schedules</w:t>
      </w:r>
      <w:bookmarkEnd w:id="7"/>
    </w:p>
    <w:p w:rsidR="000F6B02" w:rsidRPr="00CE3DE9" w:rsidRDefault="00557C7A" w:rsidP="000F6B02">
      <w:pPr>
        <w:pStyle w:val="subsection"/>
      </w:pPr>
      <w:r w:rsidRPr="00CE3DE9">
        <w:tab/>
      </w:r>
      <w:r w:rsidRPr="00CE3DE9">
        <w:tab/>
      </w:r>
      <w:r w:rsidR="000F6B02" w:rsidRPr="00CE3DE9">
        <w:t xml:space="preserve">Each instrument that is specified in a Schedule to </w:t>
      </w:r>
      <w:r w:rsidR="00A95C46" w:rsidRPr="00CE3DE9">
        <w:t>this instrument</w:t>
      </w:r>
      <w:r w:rsidR="000F6B02" w:rsidRPr="00CE3DE9">
        <w:t xml:space="preserve"> is amended or repealed as set out in the applicable items in the Schedule concerned, and any other item in a Schedule to </w:t>
      </w:r>
      <w:r w:rsidR="00A95C46" w:rsidRPr="00CE3DE9">
        <w:t>this instrument</w:t>
      </w:r>
      <w:r w:rsidR="000F6B02" w:rsidRPr="00CE3DE9">
        <w:t xml:space="preserve"> has effect according to its terms.</w:t>
      </w:r>
    </w:p>
    <w:p w:rsidR="0048364F" w:rsidRPr="00CE3DE9" w:rsidRDefault="0048364F" w:rsidP="00FF3089">
      <w:pPr>
        <w:pStyle w:val="ActHead6"/>
        <w:pageBreakBefore/>
      </w:pPr>
      <w:bookmarkStart w:id="8" w:name="_Toc459635982"/>
      <w:bookmarkStart w:id="9" w:name="opcAmSched"/>
      <w:bookmarkStart w:id="10" w:name="opcCurrentFind"/>
      <w:r w:rsidRPr="00CE3DE9">
        <w:rPr>
          <w:rStyle w:val="CharAmSchNo"/>
        </w:rPr>
        <w:t>Schedule</w:t>
      </w:r>
      <w:r w:rsidR="00CE3DE9" w:rsidRPr="00CE3DE9">
        <w:rPr>
          <w:rStyle w:val="CharAmSchNo"/>
        </w:rPr>
        <w:t> </w:t>
      </w:r>
      <w:r w:rsidRPr="00CE3DE9">
        <w:rPr>
          <w:rStyle w:val="CharAmSchNo"/>
        </w:rPr>
        <w:t>1</w:t>
      </w:r>
      <w:r w:rsidRPr="00CE3DE9">
        <w:t>—</w:t>
      </w:r>
      <w:r w:rsidR="00460499" w:rsidRPr="00CE3DE9">
        <w:rPr>
          <w:rStyle w:val="CharAmSchText"/>
        </w:rPr>
        <w:t>Amendments</w:t>
      </w:r>
      <w:bookmarkEnd w:id="8"/>
    </w:p>
    <w:bookmarkEnd w:id="9"/>
    <w:bookmarkEnd w:id="10"/>
    <w:p w:rsidR="0004044E" w:rsidRPr="00CE3DE9" w:rsidRDefault="0004044E" w:rsidP="0004044E">
      <w:pPr>
        <w:pStyle w:val="Header"/>
      </w:pPr>
      <w:r w:rsidRPr="00CE3DE9">
        <w:rPr>
          <w:rStyle w:val="CharAmPartNo"/>
        </w:rPr>
        <w:t xml:space="preserve"> </w:t>
      </w:r>
      <w:r w:rsidRPr="00CE3DE9">
        <w:rPr>
          <w:rStyle w:val="CharAmPartText"/>
        </w:rPr>
        <w:t xml:space="preserve"> </w:t>
      </w:r>
    </w:p>
    <w:p w:rsidR="0095479A" w:rsidRPr="00CE3DE9" w:rsidRDefault="0095479A" w:rsidP="0095479A">
      <w:pPr>
        <w:pStyle w:val="ActHead9"/>
      </w:pPr>
      <w:bookmarkStart w:id="11" w:name="_Toc459635983"/>
      <w:r w:rsidRPr="00CE3DE9">
        <w:t>Consular Fees Regulations</w:t>
      </w:r>
      <w:r w:rsidR="00CE3DE9" w:rsidRPr="00CE3DE9">
        <w:t> </w:t>
      </w:r>
      <w:r w:rsidRPr="00CE3DE9">
        <w:t>1990</w:t>
      </w:r>
      <w:bookmarkEnd w:id="11"/>
    </w:p>
    <w:p w:rsidR="004E1DB1" w:rsidRPr="00CE3DE9" w:rsidRDefault="004E1DB1" w:rsidP="006C2C12">
      <w:pPr>
        <w:pStyle w:val="ItemHead"/>
        <w:tabs>
          <w:tab w:val="left" w:pos="6663"/>
        </w:tabs>
      </w:pPr>
      <w:r w:rsidRPr="00CE3DE9">
        <w:t>1  Regulation</w:t>
      </w:r>
      <w:r w:rsidR="00CE3DE9" w:rsidRPr="00CE3DE9">
        <w:t> </w:t>
      </w:r>
      <w:r w:rsidRPr="00CE3DE9">
        <w:t xml:space="preserve">1A (definition of </w:t>
      </w:r>
      <w:r w:rsidRPr="00CE3DE9">
        <w:rPr>
          <w:i/>
        </w:rPr>
        <w:t>consular act</w:t>
      </w:r>
      <w:r w:rsidRPr="00CE3DE9">
        <w:t>)</w:t>
      </w:r>
    </w:p>
    <w:p w:rsidR="004E1DB1" w:rsidRPr="00CE3DE9" w:rsidRDefault="004E1DB1" w:rsidP="004E1DB1">
      <w:pPr>
        <w:pStyle w:val="Item"/>
      </w:pPr>
      <w:r w:rsidRPr="00CE3DE9">
        <w:t>Repeal the definition.</w:t>
      </w:r>
    </w:p>
    <w:p w:rsidR="00C46AD6" w:rsidRPr="00CE3DE9" w:rsidRDefault="004E1DB1" w:rsidP="006C2C12">
      <w:pPr>
        <w:pStyle w:val="ItemHead"/>
        <w:tabs>
          <w:tab w:val="left" w:pos="6663"/>
        </w:tabs>
      </w:pPr>
      <w:r w:rsidRPr="00CE3DE9">
        <w:t>2</w:t>
      </w:r>
      <w:r w:rsidR="00BB6E79" w:rsidRPr="00CE3DE9">
        <w:t xml:space="preserve">  </w:t>
      </w:r>
      <w:r w:rsidRPr="00CE3DE9">
        <w:t>R</w:t>
      </w:r>
      <w:r w:rsidR="00C46AD6" w:rsidRPr="00CE3DE9">
        <w:t>egulation</w:t>
      </w:r>
      <w:r w:rsidR="00CE3DE9" w:rsidRPr="00CE3DE9">
        <w:t> </w:t>
      </w:r>
      <w:r w:rsidRPr="00CE3DE9">
        <w:t>2</w:t>
      </w:r>
    </w:p>
    <w:p w:rsidR="00C46AD6" w:rsidRPr="00CE3DE9" w:rsidRDefault="004E1DB1" w:rsidP="00C46AD6">
      <w:pPr>
        <w:pStyle w:val="Item"/>
      </w:pPr>
      <w:r w:rsidRPr="00CE3DE9">
        <w:t>Repeal the regulation, substitute:</w:t>
      </w:r>
    </w:p>
    <w:p w:rsidR="004E1DB1" w:rsidRPr="00CE3DE9" w:rsidRDefault="004E1DB1" w:rsidP="004E1DB1">
      <w:pPr>
        <w:pStyle w:val="ActHead5"/>
      </w:pPr>
      <w:bookmarkStart w:id="12" w:name="_Toc459635984"/>
      <w:r w:rsidRPr="00CE3DE9">
        <w:rPr>
          <w:rStyle w:val="CharSectno"/>
        </w:rPr>
        <w:t>2</w:t>
      </w:r>
      <w:r w:rsidRPr="00CE3DE9">
        <w:t xml:space="preserve">  Consular act</w:t>
      </w:r>
      <w:bookmarkEnd w:id="12"/>
    </w:p>
    <w:p w:rsidR="004E1DB1" w:rsidRPr="00CE3DE9" w:rsidRDefault="004E1DB1" w:rsidP="004E1DB1">
      <w:pPr>
        <w:pStyle w:val="subsection"/>
      </w:pPr>
      <w:r w:rsidRPr="00CE3DE9">
        <w:tab/>
      </w:r>
      <w:r w:rsidRPr="00CE3DE9">
        <w:tab/>
        <w:t xml:space="preserve">For the purposes of the definition of </w:t>
      </w:r>
      <w:r w:rsidRPr="00CE3DE9">
        <w:rPr>
          <w:b/>
          <w:i/>
        </w:rPr>
        <w:t>consular act</w:t>
      </w:r>
      <w:r w:rsidRPr="00CE3DE9">
        <w:t xml:space="preserve"> in section</w:t>
      </w:r>
      <w:r w:rsidR="00CE3DE9" w:rsidRPr="00CE3DE9">
        <w:t> </w:t>
      </w:r>
      <w:r w:rsidRPr="00CE3DE9">
        <w:t xml:space="preserve">2 of the Act, each act </w:t>
      </w:r>
      <w:r w:rsidR="00275DB2" w:rsidRPr="00CE3DE9">
        <w:t xml:space="preserve">described </w:t>
      </w:r>
      <w:r w:rsidRPr="00CE3DE9">
        <w:t>in column 1 of Schedule</w:t>
      </w:r>
      <w:r w:rsidR="00CE3DE9" w:rsidRPr="00CE3DE9">
        <w:t> </w:t>
      </w:r>
      <w:r w:rsidRPr="00CE3DE9">
        <w:t>1 is a consular act.</w:t>
      </w:r>
    </w:p>
    <w:p w:rsidR="00C46AD6" w:rsidRPr="00CE3DE9" w:rsidRDefault="004E1DB1" w:rsidP="00C46AD6">
      <w:pPr>
        <w:pStyle w:val="ItemHead"/>
      </w:pPr>
      <w:r w:rsidRPr="00CE3DE9">
        <w:t>3</w:t>
      </w:r>
      <w:r w:rsidR="00C46AD6" w:rsidRPr="00CE3DE9">
        <w:t xml:space="preserve">  </w:t>
      </w:r>
      <w:proofErr w:type="spellStart"/>
      <w:r w:rsidR="00C46AD6" w:rsidRPr="00CE3DE9">
        <w:t>Subregulation</w:t>
      </w:r>
      <w:proofErr w:type="spellEnd"/>
      <w:r w:rsidR="00CE3DE9" w:rsidRPr="00CE3DE9">
        <w:t> </w:t>
      </w:r>
      <w:r w:rsidR="00C46AD6" w:rsidRPr="00CE3DE9">
        <w:t>3(2)</w:t>
      </w:r>
    </w:p>
    <w:p w:rsidR="00812C79" w:rsidRPr="00CE3DE9" w:rsidRDefault="00812C79" w:rsidP="00C46AD6">
      <w:pPr>
        <w:pStyle w:val="Item"/>
      </w:pPr>
      <w:r w:rsidRPr="00CE3DE9">
        <w:t xml:space="preserve">Repeal the </w:t>
      </w:r>
      <w:proofErr w:type="spellStart"/>
      <w:r w:rsidRPr="00CE3DE9">
        <w:t>subregulation</w:t>
      </w:r>
      <w:proofErr w:type="spellEnd"/>
      <w:r w:rsidRPr="00CE3DE9">
        <w:t>, substitute:</w:t>
      </w:r>
    </w:p>
    <w:p w:rsidR="00812C79" w:rsidRPr="00CE3DE9" w:rsidRDefault="00812C79" w:rsidP="00812C79">
      <w:pPr>
        <w:pStyle w:val="subsection"/>
      </w:pPr>
      <w:r w:rsidRPr="00CE3DE9">
        <w:tab/>
        <w:t>(2)</w:t>
      </w:r>
      <w:r w:rsidRPr="00CE3DE9">
        <w:tab/>
        <w:t>The fee mentioned in column 2 of an item in Schedule</w:t>
      </w:r>
      <w:r w:rsidR="00CE3DE9" w:rsidRPr="00CE3DE9">
        <w:t> </w:t>
      </w:r>
      <w:r w:rsidR="007961A0" w:rsidRPr="00CE3DE9">
        <w:t>1, as indexed</w:t>
      </w:r>
      <w:r w:rsidRPr="00CE3DE9">
        <w:t xml:space="preserve"> under regulation</w:t>
      </w:r>
      <w:r w:rsidR="00CE3DE9" w:rsidRPr="00CE3DE9">
        <w:t> </w:t>
      </w:r>
      <w:r w:rsidRPr="00CE3DE9">
        <w:t>6, is imposed for performing the consular act mentioned in the item.</w:t>
      </w:r>
    </w:p>
    <w:p w:rsidR="00203ED5" w:rsidRPr="00CE3DE9" w:rsidRDefault="005F1435" w:rsidP="00203ED5">
      <w:pPr>
        <w:pStyle w:val="ItemHead"/>
      </w:pPr>
      <w:r w:rsidRPr="00CE3DE9">
        <w:t>4</w:t>
      </w:r>
      <w:r w:rsidR="00203ED5" w:rsidRPr="00CE3DE9">
        <w:t xml:space="preserve">  </w:t>
      </w:r>
      <w:r w:rsidR="00F20C19" w:rsidRPr="00CE3DE9">
        <w:t>Regulation</w:t>
      </w:r>
      <w:r w:rsidR="00CE3DE9" w:rsidRPr="00CE3DE9">
        <w:t> </w:t>
      </w:r>
      <w:r w:rsidR="00F20C19" w:rsidRPr="00CE3DE9">
        <w:t>6</w:t>
      </w:r>
    </w:p>
    <w:p w:rsidR="00F20C19" w:rsidRPr="00CE3DE9" w:rsidRDefault="00F20C19" w:rsidP="00F20C19">
      <w:pPr>
        <w:pStyle w:val="Item"/>
      </w:pPr>
      <w:r w:rsidRPr="00CE3DE9">
        <w:t>Repeal the regulation, substitute:</w:t>
      </w:r>
    </w:p>
    <w:p w:rsidR="00812C79" w:rsidRPr="00CE3DE9" w:rsidRDefault="00812C79" w:rsidP="00812C79">
      <w:pPr>
        <w:pStyle w:val="ActHead5"/>
      </w:pPr>
      <w:bookmarkStart w:id="13" w:name="_Toc459635985"/>
      <w:r w:rsidRPr="00CE3DE9">
        <w:rPr>
          <w:rStyle w:val="CharSectno"/>
        </w:rPr>
        <w:t>6</w:t>
      </w:r>
      <w:r w:rsidRPr="00CE3DE9">
        <w:t xml:space="preserve">  Indexation of fees</w:t>
      </w:r>
      <w:bookmarkEnd w:id="13"/>
    </w:p>
    <w:p w:rsidR="00951744" w:rsidRPr="00CE3DE9" w:rsidRDefault="006C5CDF" w:rsidP="006C5CDF">
      <w:pPr>
        <w:pStyle w:val="subsection"/>
      </w:pPr>
      <w:r w:rsidRPr="00CE3DE9">
        <w:tab/>
      </w:r>
      <w:r w:rsidR="00812C79" w:rsidRPr="00CE3DE9">
        <w:t>(1)</w:t>
      </w:r>
      <w:r w:rsidR="00812C79" w:rsidRPr="00CE3DE9">
        <w:tab/>
      </w:r>
      <w:r w:rsidR="00951744" w:rsidRPr="00CE3DE9">
        <w:t xml:space="preserve">The amount of a fee </w:t>
      </w:r>
      <w:r w:rsidR="005F1435" w:rsidRPr="00CE3DE9">
        <w:t>mentioned</w:t>
      </w:r>
      <w:r w:rsidR="00951744" w:rsidRPr="00CE3DE9">
        <w:t xml:space="preserve"> in column</w:t>
      </w:r>
      <w:r w:rsidR="00E1465E" w:rsidRPr="00CE3DE9">
        <w:t xml:space="preserve"> </w:t>
      </w:r>
      <w:r w:rsidR="00951744" w:rsidRPr="00CE3DE9">
        <w:t>2 of Schedule</w:t>
      </w:r>
      <w:r w:rsidR="00CE3DE9" w:rsidRPr="00CE3DE9">
        <w:t> </w:t>
      </w:r>
      <w:r w:rsidR="00951744" w:rsidRPr="00CE3DE9">
        <w:t>1 is to be indexed on 1</w:t>
      </w:r>
      <w:r w:rsidR="00CE3DE9" w:rsidRPr="00CE3DE9">
        <w:t> </w:t>
      </w:r>
      <w:r w:rsidR="00951744" w:rsidRPr="00CE3DE9">
        <w:t xml:space="preserve">January each year (the </w:t>
      </w:r>
      <w:r w:rsidR="00951744" w:rsidRPr="00CE3DE9">
        <w:rPr>
          <w:b/>
          <w:i/>
        </w:rPr>
        <w:t>indexation day</w:t>
      </w:r>
      <w:r w:rsidR="00951744" w:rsidRPr="00CE3DE9">
        <w:t>), commencing from 1</w:t>
      </w:r>
      <w:r w:rsidR="00CE3DE9" w:rsidRPr="00CE3DE9">
        <w:t> </w:t>
      </w:r>
      <w:r w:rsidR="00951744" w:rsidRPr="00CE3DE9">
        <w:t xml:space="preserve">January 2018, in accordance with this </w:t>
      </w:r>
      <w:r w:rsidR="00296E6F" w:rsidRPr="00CE3DE9">
        <w:t>regulation</w:t>
      </w:r>
      <w:r w:rsidR="00951744" w:rsidRPr="00CE3DE9">
        <w:t>.</w:t>
      </w:r>
      <w:r w:rsidR="004157F3" w:rsidRPr="00CE3DE9">
        <w:t xml:space="preserve"> This </w:t>
      </w:r>
      <w:r w:rsidR="005F1435" w:rsidRPr="00CE3DE9">
        <w:t>regulation</w:t>
      </w:r>
      <w:r w:rsidR="004157F3" w:rsidRPr="00CE3DE9">
        <w:t xml:space="preserve"> explains how to work out the amount (the </w:t>
      </w:r>
      <w:r w:rsidR="004157F3" w:rsidRPr="00CE3DE9">
        <w:rPr>
          <w:b/>
          <w:i/>
        </w:rPr>
        <w:t>indexed amount</w:t>
      </w:r>
      <w:r w:rsidR="00A20FD2" w:rsidRPr="00CE3DE9">
        <w:t>) of a fee for the calendar year starting on 1</w:t>
      </w:r>
      <w:r w:rsidR="00CE3DE9" w:rsidRPr="00CE3DE9">
        <w:t> </w:t>
      </w:r>
      <w:r w:rsidR="00A20FD2" w:rsidRPr="00CE3DE9">
        <w:t>January 2018 and later calendar years.</w:t>
      </w:r>
    </w:p>
    <w:p w:rsidR="005F1435" w:rsidRPr="00CE3DE9" w:rsidRDefault="004157F3" w:rsidP="005F1435">
      <w:pPr>
        <w:pStyle w:val="SubsectionHead"/>
      </w:pPr>
      <w:r w:rsidRPr="00CE3DE9">
        <w:t>Indexation method</w:t>
      </w:r>
    </w:p>
    <w:p w:rsidR="00951744" w:rsidRPr="00CE3DE9" w:rsidRDefault="005F1435" w:rsidP="005F1435">
      <w:pPr>
        <w:pStyle w:val="subsection"/>
      </w:pPr>
      <w:r w:rsidRPr="00CE3DE9">
        <w:tab/>
      </w:r>
      <w:r w:rsidR="006C5CDF" w:rsidRPr="00CE3DE9">
        <w:t>(2)</w:t>
      </w:r>
      <w:r w:rsidR="006C5CDF" w:rsidRPr="00CE3DE9">
        <w:tab/>
      </w:r>
      <w:r w:rsidR="00951744" w:rsidRPr="00CE3DE9">
        <w:t>The indexed amount of the fee is worked out in accordance with the following formula:</w:t>
      </w:r>
    </w:p>
    <w:bookmarkStart w:id="14" w:name="BKCheck15B_4"/>
    <w:bookmarkEnd w:id="14"/>
    <w:p w:rsidR="00812C79" w:rsidRPr="00CE3DE9" w:rsidRDefault="006C5CDF" w:rsidP="00812C79">
      <w:pPr>
        <w:pStyle w:val="subsection2"/>
      </w:pPr>
      <w:r w:rsidRPr="00CE3DE9">
        <w:rPr>
          <w:position w:val="-20"/>
        </w:rPr>
        <w:object w:dxaOrig="5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pt;height:31.5pt" o:ole="">
            <v:imagedata r:id="rId20" o:title=""/>
          </v:shape>
          <o:OLEObject Type="Embed" ProgID="Equation.DSMT4" ShapeID="_x0000_i1025" DrawAspect="Content" ObjectID="_1535451524" r:id="rId21"/>
        </w:object>
      </w:r>
    </w:p>
    <w:p w:rsidR="00812C79" w:rsidRPr="00CE3DE9" w:rsidRDefault="00812C79" w:rsidP="00812C79">
      <w:pPr>
        <w:pStyle w:val="subsection2"/>
      </w:pPr>
      <w:r w:rsidRPr="00CE3DE9">
        <w:t>where:</w:t>
      </w:r>
    </w:p>
    <w:p w:rsidR="006C5CDF" w:rsidRPr="00CE3DE9" w:rsidRDefault="006C5CDF" w:rsidP="00812C79">
      <w:pPr>
        <w:pStyle w:val="Definition"/>
      </w:pPr>
      <w:r w:rsidRPr="00CE3DE9">
        <w:rPr>
          <w:b/>
          <w:i/>
        </w:rPr>
        <w:t>indexation factor</w:t>
      </w:r>
      <w:r w:rsidRPr="00CE3DE9">
        <w:t>, for an indexation day, means the number worked out by dividing:</w:t>
      </w:r>
    </w:p>
    <w:p w:rsidR="006C5CDF" w:rsidRPr="00CE3DE9" w:rsidRDefault="006C5CDF" w:rsidP="006C5CDF">
      <w:pPr>
        <w:pStyle w:val="paragraph"/>
      </w:pPr>
      <w:r w:rsidRPr="00CE3DE9">
        <w:tab/>
        <w:t>(a)</w:t>
      </w:r>
      <w:r w:rsidRPr="00CE3DE9">
        <w:tab/>
        <w:t>the sum of the index numbers for the quarters of the 12 month period</w:t>
      </w:r>
      <w:r w:rsidR="00E1465E" w:rsidRPr="00CE3DE9">
        <w:t xml:space="preserve"> (the </w:t>
      </w:r>
      <w:r w:rsidR="00E1465E" w:rsidRPr="00CE3DE9">
        <w:rPr>
          <w:b/>
          <w:i/>
        </w:rPr>
        <w:t>reference year</w:t>
      </w:r>
      <w:r w:rsidR="00E1465E" w:rsidRPr="00CE3DE9">
        <w:t>)</w:t>
      </w:r>
      <w:r w:rsidRPr="00CE3DE9">
        <w:t xml:space="preserve"> ending on 30</w:t>
      </w:r>
      <w:r w:rsidR="00CE3DE9" w:rsidRPr="00CE3DE9">
        <w:t> </w:t>
      </w:r>
      <w:r w:rsidRPr="00CE3DE9">
        <w:t>September immedi</w:t>
      </w:r>
      <w:r w:rsidR="00E1465E" w:rsidRPr="00CE3DE9">
        <w:t>ately before the indexation day</w:t>
      </w:r>
      <w:r w:rsidRPr="00CE3DE9">
        <w:t>; by</w:t>
      </w:r>
    </w:p>
    <w:p w:rsidR="006C5CDF" w:rsidRPr="00CE3DE9" w:rsidRDefault="006C5CDF" w:rsidP="006C5CDF">
      <w:pPr>
        <w:pStyle w:val="paragraph"/>
      </w:pPr>
      <w:r w:rsidRPr="00CE3DE9">
        <w:tab/>
        <w:t>(b)</w:t>
      </w:r>
      <w:r w:rsidRPr="00CE3DE9">
        <w:tab/>
        <w:t>the sum of the index numbers for the quarters of the 12 month period ending on 30</w:t>
      </w:r>
      <w:r w:rsidR="00CE3DE9" w:rsidRPr="00CE3DE9">
        <w:t> </w:t>
      </w:r>
      <w:r w:rsidRPr="00CE3DE9">
        <w:t>September in the year immediately before the reference year.</w:t>
      </w:r>
    </w:p>
    <w:p w:rsidR="00E1465E" w:rsidRPr="00CE3DE9" w:rsidRDefault="00E1465E" w:rsidP="00E1465E">
      <w:pPr>
        <w:pStyle w:val="Definition"/>
      </w:pPr>
      <w:r w:rsidRPr="00CE3DE9">
        <w:rPr>
          <w:b/>
          <w:i/>
        </w:rPr>
        <w:t>index number</w:t>
      </w:r>
      <w:r w:rsidRPr="00CE3DE9">
        <w:t>, for a quarter, means the All Groups Consumer Price Index number (being the weighted average of the 8 capital cities) published by the Australian Statistician for that quarter.</w:t>
      </w:r>
    </w:p>
    <w:p w:rsidR="00E1465E" w:rsidRPr="00CE3DE9" w:rsidRDefault="00E1465E" w:rsidP="00E1465E">
      <w:pPr>
        <w:pStyle w:val="Definition"/>
      </w:pPr>
      <w:r w:rsidRPr="00CE3DE9">
        <w:rPr>
          <w:b/>
          <w:i/>
        </w:rPr>
        <w:t>quarter</w:t>
      </w:r>
      <w:r w:rsidRPr="00CE3DE9">
        <w:t xml:space="preserve"> means a period of 3 months ending on 31</w:t>
      </w:r>
      <w:r w:rsidR="00CE3DE9" w:rsidRPr="00CE3DE9">
        <w:t> </w:t>
      </w:r>
      <w:r w:rsidRPr="00CE3DE9">
        <w:t>March, 30</w:t>
      </w:r>
      <w:r w:rsidR="00CE3DE9" w:rsidRPr="00CE3DE9">
        <w:t> </w:t>
      </w:r>
      <w:r w:rsidRPr="00CE3DE9">
        <w:t>June, 30</w:t>
      </w:r>
      <w:r w:rsidR="00CE3DE9" w:rsidRPr="00CE3DE9">
        <w:t> </w:t>
      </w:r>
      <w:r w:rsidRPr="00CE3DE9">
        <w:t>September or 31</w:t>
      </w:r>
      <w:r w:rsidR="00CE3DE9" w:rsidRPr="00CE3DE9">
        <w:t> </w:t>
      </w:r>
      <w:r w:rsidRPr="00CE3DE9">
        <w:t>December.</w:t>
      </w:r>
    </w:p>
    <w:p w:rsidR="006C5CDF" w:rsidRPr="00CE3DE9" w:rsidRDefault="006C5CDF" w:rsidP="000739ED">
      <w:pPr>
        <w:pStyle w:val="subsection"/>
      </w:pPr>
      <w:r w:rsidRPr="00CE3DE9">
        <w:tab/>
        <w:t>(3)</w:t>
      </w:r>
      <w:r w:rsidRPr="00CE3DE9">
        <w:tab/>
        <w:t>The indexation factor is to be calculated to 3 decimal places (rounding up if the fourth decimal place is 5 or more).</w:t>
      </w:r>
    </w:p>
    <w:p w:rsidR="00812C79" w:rsidRPr="00CE3DE9" w:rsidRDefault="00812C79" w:rsidP="00812C79">
      <w:pPr>
        <w:pStyle w:val="subsection"/>
      </w:pPr>
      <w:r w:rsidRPr="00CE3DE9">
        <w:tab/>
        <w:t>(4)</w:t>
      </w:r>
      <w:r w:rsidRPr="00CE3DE9">
        <w:tab/>
      </w:r>
      <w:r w:rsidR="004157F3" w:rsidRPr="00CE3DE9">
        <w:t>The indexed amount is</w:t>
      </w:r>
      <w:r w:rsidRPr="00CE3DE9">
        <w:t xml:space="preserve"> to be rounded to the nearest whole dollar (rounding 50 cents upwards).</w:t>
      </w:r>
    </w:p>
    <w:p w:rsidR="00812C79" w:rsidRPr="00CE3DE9" w:rsidRDefault="00812C79" w:rsidP="00812C79">
      <w:pPr>
        <w:pStyle w:val="subsection"/>
      </w:pPr>
      <w:r w:rsidRPr="00CE3DE9">
        <w:tab/>
        <w:t>(5)</w:t>
      </w:r>
      <w:r w:rsidRPr="00CE3DE9">
        <w:tab/>
      </w:r>
      <w:r w:rsidR="004157F3" w:rsidRPr="00CE3DE9">
        <w:t>The indexed amount is to be worked out</w:t>
      </w:r>
      <w:r w:rsidRPr="00CE3DE9">
        <w:t>:</w:t>
      </w:r>
    </w:p>
    <w:p w:rsidR="00812C79" w:rsidRPr="00CE3DE9" w:rsidRDefault="00812C79" w:rsidP="00812C79">
      <w:pPr>
        <w:pStyle w:val="paragraph"/>
      </w:pPr>
      <w:r w:rsidRPr="00CE3DE9">
        <w:tab/>
        <w:t>(a)</w:t>
      </w:r>
      <w:r w:rsidRPr="00CE3DE9">
        <w:tab/>
        <w:t>using only the index numbers published in terms of the most recently published index reference period</w:t>
      </w:r>
      <w:r w:rsidR="004157F3" w:rsidRPr="00CE3DE9">
        <w:t xml:space="preserve"> for the Consumer Price Index</w:t>
      </w:r>
      <w:r w:rsidRPr="00CE3DE9">
        <w:t>; and</w:t>
      </w:r>
    </w:p>
    <w:p w:rsidR="004157F3" w:rsidRPr="00CE3DE9" w:rsidRDefault="00812C79" w:rsidP="00812C79">
      <w:pPr>
        <w:pStyle w:val="paragraph"/>
      </w:pPr>
      <w:r w:rsidRPr="00CE3DE9">
        <w:tab/>
        <w:t>(b)</w:t>
      </w:r>
      <w:r w:rsidRPr="00CE3DE9">
        <w:tab/>
        <w:t xml:space="preserve">disregarding index numbers that are published </w:t>
      </w:r>
      <w:r w:rsidR="004157F3" w:rsidRPr="00CE3DE9">
        <w:t>more than 2 weeks after the original publication in substitution for previously published index numbers (except where the substituted numbers are published to take account of changes in the index reference period).</w:t>
      </w:r>
    </w:p>
    <w:p w:rsidR="004157F3" w:rsidRPr="00CE3DE9" w:rsidRDefault="004157F3" w:rsidP="004157F3">
      <w:pPr>
        <w:pStyle w:val="SubsectionHead"/>
      </w:pPr>
      <w:r w:rsidRPr="00CE3DE9">
        <w:t xml:space="preserve">Indexation </w:t>
      </w:r>
      <w:r w:rsidR="007961A0" w:rsidRPr="00CE3DE9">
        <w:t xml:space="preserve">method to be used </w:t>
      </w:r>
      <w:r w:rsidRPr="00CE3DE9">
        <w:t>only to increase fees</w:t>
      </w:r>
    </w:p>
    <w:p w:rsidR="00A20FD2" w:rsidRPr="00CE3DE9" w:rsidRDefault="004157F3" w:rsidP="004157F3">
      <w:pPr>
        <w:pStyle w:val="subsection"/>
      </w:pPr>
      <w:r w:rsidRPr="00CE3DE9">
        <w:tab/>
        <w:t>(6)</w:t>
      </w:r>
      <w:r w:rsidRPr="00CE3DE9">
        <w:tab/>
        <w:t xml:space="preserve">However, if the indexed amount </w:t>
      </w:r>
      <w:r w:rsidR="007961A0" w:rsidRPr="00CE3DE9">
        <w:t xml:space="preserve">as </w:t>
      </w:r>
      <w:r w:rsidRPr="00CE3DE9">
        <w:t xml:space="preserve">worked out under </w:t>
      </w:r>
      <w:r w:rsidR="00070278" w:rsidRPr="00CE3DE9">
        <w:t>subregulations</w:t>
      </w:r>
      <w:r w:rsidR="00C16719" w:rsidRPr="00CE3DE9">
        <w:t xml:space="preserve"> </w:t>
      </w:r>
      <w:r w:rsidRPr="00CE3DE9">
        <w:t>(2)</w:t>
      </w:r>
      <w:r w:rsidR="00A20FD2" w:rsidRPr="00CE3DE9">
        <w:t xml:space="preserve"> to (5)</w:t>
      </w:r>
      <w:r w:rsidRPr="00CE3DE9">
        <w:t xml:space="preserve"> for a </w:t>
      </w:r>
      <w:r w:rsidR="00A20FD2" w:rsidRPr="00CE3DE9">
        <w:t xml:space="preserve">calendar </w:t>
      </w:r>
      <w:r w:rsidRPr="00CE3DE9">
        <w:t xml:space="preserve">year (the </w:t>
      </w:r>
      <w:r w:rsidRPr="00CE3DE9">
        <w:rPr>
          <w:b/>
          <w:i/>
        </w:rPr>
        <w:t xml:space="preserve">current </w:t>
      </w:r>
      <w:r w:rsidR="00070278" w:rsidRPr="00CE3DE9">
        <w:rPr>
          <w:b/>
          <w:i/>
        </w:rPr>
        <w:t xml:space="preserve">calendar </w:t>
      </w:r>
      <w:r w:rsidRPr="00CE3DE9">
        <w:rPr>
          <w:b/>
          <w:i/>
        </w:rPr>
        <w:t>year</w:t>
      </w:r>
      <w:r w:rsidRPr="00CE3DE9">
        <w:t xml:space="preserve">) </w:t>
      </w:r>
      <w:r w:rsidR="00A20FD2" w:rsidRPr="00CE3DE9">
        <w:t>would be</w:t>
      </w:r>
      <w:r w:rsidRPr="00CE3DE9">
        <w:t xml:space="preserve"> less than the </w:t>
      </w:r>
      <w:r w:rsidR="00A20FD2" w:rsidRPr="00CE3DE9">
        <w:t>amount of the fee</w:t>
      </w:r>
      <w:r w:rsidRPr="00CE3DE9">
        <w:t xml:space="preserve"> </w:t>
      </w:r>
      <w:r w:rsidR="007961A0" w:rsidRPr="00CE3DE9">
        <w:t>applying immediately before the indexation day</w:t>
      </w:r>
      <w:r w:rsidRPr="00CE3DE9">
        <w:t xml:space="preserve">, the indexed amount for the current </w:t>
      </w:r>
      <w:r w:rsidR="00070278" w:rsidRPr="00CE3DE9">
        <w:t xml:space="preserve">calendar </w:t>
      </w:r>
      <w:r w:rsidRPr="00CE3DE9">
        <w:t xml:space="preserve">year is the </w:t>
      </w:r>
      <w:r w:rsidR="007961A0" w:rsidRPr="00CE3DE9">
        <w:t xml:space="preserve">same as the </w:t>
      </w:r>
      <w:r w:rsidRPr="00CE3DE9">
        <w:t>amount</w:t>
      </w:r>
      <w:r w:rsidR="00A20FD2" w:rsidRPr="00CE3DE9">
        <w:t xml:space="preserve"> of the fee</w:t>
      </w:r>
      <w:r w:rsidRPr="00CE3DE9">
        <w:t xml:space="preserve"> </w:t>
      </w:r>
      <w:r w:rsidR="007961A0" w:rsidRPr="00CE3DE9">
        <w:t>applying immediately before the indexation day.</w:t>
      </w:r>
    </w:p>
    <w:p w:rsidR="00812C79" w:rsidRPr="00CE3DE9" w:rsidRDefault="00812C79" w:rsidP="00070278">
      <w:pPr>
        <w:pStyle w:val="SubsectionHead"/>
      </w:pPr>
      <w:r w:rsidRPr="00CE3DE9">
        <w:t>Application of indexed fee</w:t>
      </w:r>
    </w:p>
    <w:p w:rsidR="00812C79" w:rsidRPr="00CE3DE9" w:rsidRDefault="00812C79" w:rsidP="00812C79">
      <w:pPr>
        <w:pStyle w:val="subsection"/>
      </w:pPr>
      <w:r w:rsidRPr="00CE3DE9">
        <w:tab/>
        <w:t>(</w:t>
      </w:r>
      <w:r w:rsidR="00070278" w:rsidRPr="00CE3DE9">
        <w:t>7</w:t>
      </w:r>
      <w:r w:rsidRPr="00CE3DE9">
        <w:t>)</w:t>
      </w:r>
      <w:r w:rsidRPr="00CE3DE9">
        <w:tab/>
      </w:r>
      <w:r w:rsidR="00070278" w:rsidRPr="00CE3DE9">
        <w:t>The indexed</w:t>
      </w:r>
      <w:r w:rsidRPr="00CE3DE9">
        <w:t xml:space="preserve"> amount </w:t>
      </w:r>
      <w:r w:rsidR="00070278" w:rsidRPr="00CE3DE9">
        <w:t xml:space="preserve">for a calendar year </w:t>
      </w:r>
      <w:r w:rsidRPr="00CE3DE9">
        <w:t>applies to consular acts performed on or after the indexation day</w:t>
      </w:r>
      <w:r w:rsidR="00070278" w:rsidRPr="00CE3DE9">
        <w:t xml:space="preserve"> in that calendar year</w:t>
      </w:r>
      <w:r w:rsidR="007961A0" w:rsidRPr="00CE3DE9">
        <w:t>, even if an application or request relating to the consular act was made before that day.</w:t>
      </w:r>
    </w:p>
    <w:p w:rsidR="00A370DB" w:rsidRPr="00CE3DE9" w:rsidRDefault="00A370DB" w:rsidP="00A370DB">
      <w:pPr>
        <w:pStyle w:val="ActHead5"/>
      </w:pPr>
      <w:bookmarkStart w:id="15" w:name="_Toc459635986"/>
      <w:r w:rsidRPr="00CE3DE9">
        <w:rPr>
          <w:rStyle w:val="CharSectno"/>
        </w:rPr>
        <w:t>7</w:t>
      </w:r>
      <w:r w:rsidRPr="00CE3DE9">
        <w:t xml:space="preserve">  Application of amendments made by the </w:t>
      </w:r>
      <w:r w:rsidRPr="00CE3DE9">
        <w:rPr>
          <w:i/>
        </w:rPr>
        <w:t>Consular Fees Amendment (Fee</w:t>
      </w:r>
      <w:r w:rsidR="00275DB2" w:rsidRPr="00CE3DE9">
        <w:rPr>
          <w:i/>
        </w:rPr>
        <w:t>s</w:t>
      </w:r>
      <w:r w:rsidRPr="00CE3DE9">
        <w:rPr>
          <w:i/>
        </w:rPr>
        <w:t xml:space="preserve"> and Indexation) Regulation</w:t>
      </w:r>
      <w:r w:rsidR="00CE3DE9" w:rsidRPr="00CE3DE9">
        <w:rPr>
          <w:i/>
        </w:rPr>
        <w:t> </w:t>
      </w:r>
      <w:r w:rsidRPr="00CE3DE9">
        <w:rPr>
          <w:i/>
        </w:rPr>
        <w:t>2016</w:t>
      </w:r>
      <w:bookmarkEnd w:id="15"/>
    </w:p>
    <w:p w:rsidR="00A370DB" w:rsidRPr="00CE3DE9" w:rsidRDefault="00A370DB" w:rsidP="00A370DB">
      <w:pPr>
        <w:pStyle w:val="subsection"/>
      </w:pPr>
      <w:r w:rsidRPr="00CE3DE9">
        <w:tab/>
      </w:r>
      <w:r w:rsidRPr="00CE3DE9">
        <w:tab/>
        <w:t xml:space="preserve">The amendments of these Regulations made by </w:t>
      </w:r>
      <w:r w:rsidR="00D257D3" w:rsidRPr="00CE3DE9">
        <w:t>Schedule</w:t>
      </w:r>
      <w:r w:rsidR="00CE3DE9" w:rsidRPr="00CE3DE9">
        <w:t> </w:t>
      </w:r>
      <w:r w:rsidR="00D257D3" w:rsidRPr="00CE3DE9">
        <w:t xml:space="preserve">1 to </w:t>
      </w:r>
      <w:r w:rsidRPr="00CE3DE9">
        <w:t xml:space="preserve">the </w:t>
      </w:r>
      <w:r w:rsidRPr="00CE3DE9">
        <w:rPr>
          <w:i/>
        </w:rPr>
        <w:t>Consular Fees Amendment (Fee</w:t>
      </w:r>
      <w:r w:rsidR="00275DB2" w:rsidRPr="00CE3DE9">
        <w:rPr>
          <w:i/>
        </w:rPr>
        <w:t>s</w:t>
      </w:r>
      <w:r w:rsidRPr="00CE3DE9">
        <w:rPr>
          <w:i/>
        </w:rPr>
        <w:t xml:space="preserve"> and Indexation) Regulation</w:t>
      </w:r>
      <w:r w:rsidR="00CE3DE9" w:rsidRPr="00CE3DE9">
        <w:rPr>
          <w:i/>
        </w:rPr>
        <w:t> </w:t>
      </w:r>
      <w:r w:rsidRPr="00CE3DE9">
        <w:rPr>
          <w:i/>
        </w:rPr>
        <w:t>2016</w:t>
      </w:r>
      <w:r w:rsidRPr="00CE3DE9">
        <w:t xml:space="preserve"> </w:t>
      </w:r>
      <w:r w:rsidR="00D257D3" w:rsidRPr="00CE3DE9">
        <w:t xml:space="preserve">apply to </w:t>
      </w:r>
      <w:r w:rsidR="00275DB2" w:rsidRPr="00CE3DE9">
        <w:t>a consular act</w:t>
      </w:r>
      <w:r w:rsidR="00D257D3" w:rsidRPr="00CE3DE9">
        <w:t xml:space="preserve"> performed on or after </w:t>
      </w:r>
      <w:r w:rsidR="00275DB2" w:rsidRPr="00CE3DE9">
        <w:t>1</w:t>
      </w:r>
      <w:r w:rsidR="00CE3DE9" w:rsidRPr="00CE3DE9">
        <w:t> </w:t>
      </w:r>
      <w:r w:rsidR="00275DB2" w:rsidRPr="00CE3DE9">
        <w:t>January 2017</w:t>
      </w:r>
      <w:r w:rsidR="00D257D3" w:rsidRPr="00CE3DE9">
        <w:t xml:space="preserve">, </w:t>
      </w:r>
      <w:r w:rsidR="00E16638" w:rsidRPr="00CE3DE9">
        <w:t>even if an application or request relating to the consular act was made before that day</w:t>
      </w:r>
      <w:r w:rsidR="00D257D3" w:rsidRPr="00CE3DE9">
        <w:t>.</w:t>
      </w:r>
    </w:p>
    <w:p w:rsidR="006D3667" w:rsidRPr="00CE3DE9" w:rsidRDefault="005F1435" w:rsidP="006C2C12">
      <w:pPr>
        <w:pStyle w:val="ItemHead"/>
        <w:tabs>
          <w:tab w:val="left" w:pos="6663"/>
        </w:tabs>
      </w:pPr>
      <w:r w:rsidRPr="00CE3DE9">
        <w:t>5</w:t>
      </w:r>
      <w:r w:rsidR="00203ED5" w:rsidRPr="00CE3DE9">
        <w:t xml:space="preserve">  </w:t>
      </w:r>
      <w:r w:rsidR="00C46AD6" w:rsidRPr="00CE3DE9">
        <w:t>Schedule</w:t>
      </w:r>
    </w:p>
    <w:p w:rsidR="00C46AD6" w:rsidRPr="00CE3DE9" w:rsidRDefault="00C46AD6" w:rsidP="00C46AD6">
      <w:pPr>
        <w:pStyle w:val="Item"/>
      </w:pPr>
      <w:r w:rsidRPr="00CE3DE9">
        <w:t>Repeal the Schedule, substitute:</w:t>
      </w:r>
    </w:p>
    <w:p w:rsidR="00BC107E" w:rsidRPr="00CE3DE9" w:rsidRDefault="00C46AD6" w:rsidP="00BC107E">
      <w:pPr>
        <w:pStyle w:val="ActHead1"/>
      </w:pPr>
      <w:bookmarkStart w:id="16" w:name="_Toc459635987"/>
      <w:r w:rsidRPr="00CE3DE9">
        <w:rPr>
          <w:rStyle w:val="CharChapNo"/>
        </w:rPr>
        <w:t>Schedule</w:t>
      </w:r>
      <w:r w:rsidR="00CE3DE9" w:rsidRPr="00CE3DE9">
        <w:rPr>
          <w:rStyle w:val="CharChapNo"/>
        </w:rPr>
        <w:t> </w:t>
      </w:r>
      <w:r w:rsidRPr="00CE3DE9">
        <w:rPr>
          <w:rStyle w:val="CharChapNo"/>
        </w:rPr>
        <w:t>1</w:t>
      </w:r>
      <w:r w:rsidRPr="00CE3DE9">
        <w:t>—</w:t>
      </w:r>
      <w:r w:rsidRPr="00CE3DE9">
        <w:rPr>
          <w:rStyle w:val="CharChapText"/>
        </w:rPr>
        <w:t>Fees for consular acts</w:t>
      </w:r>
      <w:bookmarkEnd w:id="16"/>
    </w:p>
    <w:p w:rsidR="00C46AD6" w:rsidRPr="00CE3DE9" w:rsidRDefault="00C46AD6" w:rsidP="00C4634A">
      <w:pPr>
        <w:pStyle w:val="notemargin"/>
      </w:pPr>
      <w:r w:rsidRPr="00CE3DE9">
        <w:t>Note:</w:t>
      </w:r>
      <w:r w:rsidRPr="00CE3DE9">
        <w:tab/>
        <w:t xml:space="preserve">See </w:t>
      </w:r>
      <w:r w:rsidR="008A611D" w:rsidRPr="00CE3DE9">
        <w:t>regulation</w:t>
      </w:r>
      <w:r w:rsidR="00CE3DE9" w:rsidRPr="00CE3DE9">
        <w:t> </w:t>
      </w:r>
      <w:r w:rsidR="008A611D" w:rsidRPr="00CE3DE9">
        <w:t>2</w:t>
      </w:r>
      <w:r w:rsidRPr="00CE3DE9">
        <w:t xml:space="preserve"> and </w:t>
      </w:r>
      <w:r w:rsidR="008A611D" w:rsidRPr="00CE3DE9">
        <w:t>subregulation</w:t>
      </w:r>
      <w:r w:rsidR="00CE3DE9" w:rsidRPr="00CE3DE9">
        <w:t> </w:t>
      </w:r>
      <w:r w:rsidRPr="00CE3DE9">
        <w:t>3(2).</w:t>
      </w:r>
    </w:p>
    <w:p w:rsidR="00C4634A" w:rsidRPr="00CE3DE9" w:rsidRDefault="00C4634A" w:rsidP="00C4634A">
      <w:pPr>
        <w:pStyle w:val="Header"/>
      </w:pPr>
      <w:bookmarkStart w:id="17" w:name="f_Check_Lines_below"/>
      <w:bookmarkEnd w:id="17"/>
      <w:r w:rsidRPr="00CE3DE9">
        <w:rPr>
          <w:rStyle w:val="CharPartNo"/>
        </w:rPr>
        <w:t xml:space="preserve"> </w:t>
      </w:r>
      <w:r w:rsidRPr="00CE3DE9">
        <w:rPr>
          <w:rStyle w:val="CharPartText"/>
        </w:rPr>
        <w:t xml:space="preserve"> </w:t>
      </w:r>
    </w:p>
    <w:p w:rsidR="00AF08D4" w:rsidRPr="00CE3DE9" w:rsidRDefault="00AF08D4" w:rsidP="00C4634A">
      <w:pPr>
        <w:pStyle w:val="Header"/>
        <w:rPr>
          <w:rStyle w:val="CharDivNo"/>
        </w:rPr>
      </w:pPr>
    </w:p>
    <w:p w:rsidR="00C46AD6" w:rsidRPr="00CE3DE9" w:rsidRDefault="00C46AD6" w:rsidP="00C46AD6">
      <w:pPr>
        <w:pStyle w:val="Tabletext"/>
        <w:rPr>
          <w:rStyle w:val="CharDivText"/>
        </w:rPr>
      </w:pPr>
    </w:p>
    <w:tbl>
      <w:tblPr>
        <w:tblW w:w="0" w:type="auto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6237"/>
        <w:gridCol w:w="1371"/>
      </w:tblGrid>
      <w:tr w:rsidR="00C46AD6" w:rsidRPr="00CE3DE9" w:rsidTr="00C46AD6">
        <w:trPr>
          <w:tblHeader/>
        </w:trPr>
        <w:tc>
          <w:tcPr>
            <w:tcW w:w="831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46AD6" w:rsidRPr="00CE3DE9" w:rsidRDefault="00C4634A" w:rsidP="00C46AD6">
            <w:pPr>
              <w:pStyle w:val="TableHeading"/>
            </w:pPr>
            <w:r w:rsidRPr="00CE3DE9">
              <w:t>Fees for consular acts</w:t>
            </w:r>
          </w:p>
        </w:tc>
      </w:tr>
      <w:tr w:rsidR="00C46AD6" w:rsidRPr="00CE3DE9" w:rsidTr="0006455A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46AD6" w:rsidRPr="00CE3DE9" w:rsidRDefault="00C46AD6" w:rsidP="00C46AD6">
            <w:pPr>
              <w:pStyle w:val="TableHeading"/>
            </w:pPr>
          </w:p>
        </w:tc>
        <w:tc>
          <w:tcPr>
            <w:tcW w:w="623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46AD6" w:rsidRPr="00CE3DE9" w:rsidRDefault="00C46AD6" w:rsidP="00C4634A">
            <w:pPr>
              <w:pStyle w:val="TableHeading"/>
            </w:pPr>
            <w:r w:rsidRPr="00CE3DE9">
              <w:t xml:space="preserve">Column </w:t>
            </w:r>
            <w:r w:rsidR="00C4634A" w:rsidRPr="00CE3DE9">
              <w:t>1</w:t>
            </w:r>
          </w:p>
        </w:tc>
        <w:tc>
          <w:tcPr>
            <w:tcW w:w="13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C46AD6" w:rsidRPr="00CE3DE9" w:rsidRDefault="00C46AD6" w:rsidP="0006455A">
            <w:pPr>
              <w:pStyle w:val="TableHeading"/>
            </w:pPr>
            <w:r w:rsidRPr="00CE3DE9">
              <w:t xml:space="preserve">Column </w:t>
            </w:r>
            <w:r w:rsidR="00C4634A" w:rsidRPr="00CE3DE9">
              <w:t>2</w:t>
            </w:r>
          </w:p>
        </w:tc>
      </w:tr>
      <w:tr w:rsidR="00C46AD6" w:rsidRPr="00CE3DE9" w:rsidTr="0006455A">
        <w:trPr>
          <w:tblHeader/>
        </w:trPr>
        <w:tc>
          <w:tcPr>
            <w:tcW w:w="70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46AD6" w:rsidRPr="00CE3DE9" w:rsidRDefault="00C46AD6" w:rsidP="00C46AD6">
            <w:pPr>
              <w:pStyle w:val="TableHeading"/>
            </w:pPr>
            <w:r w:rsidRPr="00CE3DE9">
              <w:t>Item</w:t>
            </w:r>
          </w:p>
        </w:tc>
        <w:tc>
          <w:tcPr>
            <w:tcW w:w="623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46AD6" w:rsidRPr="00CE3DE9" w:rsidRDefault="00C46AD6" w:rsidP="00C46AD6">
            <w:pPr>
              <w:pStyle w:val="TableHeading"/>
            </w:pPr>
            <w:r w:rsidRPr="00CE3DE9">
              <w:t>Consular act</w:t>
            </w:r>
          </w:p>
        </w:tc>
        <w:tc>
          <w:tcPr>
            <w:tcW w:w="137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C46AD6" w:rsidRPr="00CE3DE9" w:rsidRDefault="00C46AD6" w:rsidP="0006455A">
            <w:pPr>
              <w:pStyle w:val="TableHeading"/>
            </w:pPr>
            <w:r w:rsidRPr="00CE3DE9">
              <w:t>Fee</w:t>
            </w:r>
          </w:p>
        </w:tc>
      </w:tr>
      <w:tr w:rsidR="00C46AD6" w:rsidRPr="00CE3DE9" w:rsidTr="0006455A">
        <w:tc>
          <w:tcPr>
            <w:tcW w:w="70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C46AD6" w:rsidRPr="00CE3DE9" w:rsidRDefault="00C46AD6" w:rsidP="00C46AD6">
            <w:pPr>
              <w:pStyle w:val="Tabletext"/>
            </w:pPr>
            <w:r w:rsidRPr="00CE3DE9">
              <w:t>1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C46AD6" w:rsidRPr="00CE3DE9" w:rsidRDefault="000A4603" w:rsidP="00C46AD6">
            <w:pPr>
              <w:pStyle w:val="Tabletext"/>
            </w:pPr>
            <w:r w:rsidRPr="00CE3DE9">
              <w:t>Administering an oath or receiving a declaration or affirmation</w:t>
            </w:r>
          </w:p>
        </w:tc>
        <w:tc>
          <w:tcPr>
            <w:tcW w:w="137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C46AD6" w:rsidRPr="00CE3DE9" w:rsidRDefault="004663B1" w:rsidP="0006455A">
            <w:pPr>
              <w:pStyle w:val="Tabletext"/>
            </w:pPr>
            <w:r w:rsidRPr="00CE3DE9">
              <w:t>$70</w:t>
            </w:r>
          </w:p>
        </w:tc>
      </w:tr>
      <w:tr w:rsidR="00586A7F" w:rsidRPr="00CE3DE9" w:rsidTr="0006455A"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6A7F" w:rsidRPr="00CE3DE9" w:rsidRDefault="00586A7F" w:rsidP="00C46AD6">
            <w:pPr>
              <w:pStyle w:val="Tabletext"/>
            </w:pPr>
            <w:r w:rsidRPr="00CE3DE9">
              <w:t>2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6A7F" w:rsidRPr="00CE3DE9" w:rsidRDefault="00586A7F" w:rsidP="00462D0B">
            <w:pPr>
              <w:pStyle w:val="Tabletext"/>
            </w:pPr>
            <w:r w:rsidRPr="00CE3DE9">
              <w:t>Effecting, or attempting to effect, service of a document</w:t>
            </w:r>
            <w:r w:rsidR="00462D0B" w:rsidRPr="00CE3DE9">
              <w:t xml:space="preserve"> and issuing a certificate or affidavit of service or attempted service of a document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86A7F" w:rsidRPr="00CE3DE9" w:rsidRDefault="00586A7F" w:rsidP="0006455A">
            <w:pPr>
              <w:pStyle w:val="Tabletext"/>
            </w:pPr>
            <w:r w:rsidRPr="00CE3DE9">
              <w:t>$70</w:t>
            </w:r>
          </w:p>
        </w:tc>
      </w:tr>
      <w:tr w:rsidR="004663B1" w:rsidRPr="00CE3DE9" w:rsidTr="0006455A"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663B1" w:rsidRPr="00CE3DE9" w:rsidRDefault="00462D0B" w:rsidP="00C46AD6">
            <w:pPr>
              <w:pStyle w:val="Tabletext"/>
            </w:pPr>
            <w:r w:rsidRPr="00CE3DE9">
              <w:t>3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663B1" w:rsidRPr="00CE3DE9" w:rsidRDefault="004663B1" w:rsidP="00C46AD6">
            <w:pPr>
              <w:pStyle w:val="Tabletext"/>
            </w:pPr>
            <w:r w:rsidRPr="00CE3DE9">
              <w:t>Witnessing a signature or seal on a form or declaration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663B1" w:rsidRPr="00CE3DE9" w:rsidRDefault="004663B1" w:rsidP="0006455A">
            <w:pPr>
              <w:pStyle w:val="Tabletext"/>
            </w:pPr>
            <w:r w:rsidRPr="00CE3DE9">
              <w:t>$70</w:t>
            </w:r>
          </w:p>
        </w:tc>
      </w:tr>
      <w:tr w:rsidR="004663B1" w:rsidRPr="00CE3DE9" w:rsidTr="0006455A"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663B1" w:rsidRPr="00CE3DE9" w:rsidRDefault="00462D0B" w:rsidP="00C46AD6">
            <w:pPr>
              <w:pStyle w:val="Tabletext"/>
            </w:pPr>
            <w:r w:rsidRPr="00CE3DE9">
              <w:t>4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663B1" w:rsidRPr="00CE3DE9" w:rsidRDefault="004663B1" w:rsidP="00C46AD6">
            <w:pPr>
              <w:pStyle w:val="Tabletext"/>
            </w:pPr>
            <w:r w:rsidRPr="00CE3DE9">
              <w:t>Preparing a declaration or other document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663B1" w:rsidRPr="00CE3DE9" w:rsidRDefault="004663B1" w:rsidP="0006455A">
            <w:pPr>
              <w:pStyle w:val="Tabletext"/>
            </w:pPr>
            <w:r w:rsidRPr="00CE3DE9">
              <w:t>$70</w:t>
            </w:r>
          </w:p>
        </w:tc>
      </w:tr>
      <w:tr w:rsidR="004663B1" w:rsidRPr="00CE3DE9" w:rsidTr="0006455A"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663B1" w:rsidRPr="00CE3DE9" w:rsidRDefault="00462D0B" w:rsidP="00C46AD6">
            <w:pPr>
              <w:pStyle w:val="Tabletext"/>
            </w:pPr>
            <w:r w:rsidRPr="00CE3DE9">
              <w:t>5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663B1" w:rsidRPr="00CE3DE9" w:rsidRDefault="004663B1" w:rsidP="00C46AD6">
            <w:pPr>
              <w:pStyle w:val="Tabletext"/>
            </w:pPr>
            <w:r w:rsidRPr="00CE3DE9">
              <w:t>Verifying and certifying a copy of a document or part of a document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663B1" w:rsidRPr="00CE3DE9" w:rsidRDefault="004663B1" w:rsidP="0006455A">
            <w:pPr>
              <w:pStyle w:val="Tabletext"/>
            </w:pPr>
            <w:r w:rsidRPr="00CE3DE9">
              <w:t>$70</w:t>
            </w:r>
          </w:p>
        </w:tc>
      </w:tr>
      <w:tr w:rsidR="004663B1" w:rsidRPr="00CE3DE9" w:rsidTr="0006455A"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663B1" w:rsidRPr="00CE3DE9" w:rsidRDefault="00462D0B" w:rsidP="00C46AD6">
            <w:pPr>
              <w:pStyle w:val="Tabletext"/>
            </w:pPr>
            <w:r w:rsidRPr="00CE3DE9">
              <w:t>6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663B1" w:rsidRPr="00CE3DE9" w:rsidRDefault="004663B1" w:rsidP="00C46AD6">
            <w:pPr>
              <w:pStyle w:val="Tabletext"/>
            </w:pPr>
            <w:r w:rsidRPr="00CE3DE9">
              <w:t>Signing a document, or affixing a seal to a document or other article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663B1" w:rsidRPr="00CE3DE9" w:rsidRDefault="004663B1" w:rsidP="0006455A">
            <w:pPr>
              <w:pStyle w:val="Tabletext"/>
            </w:pPr>
            <w:r w:rsidRPr="00CE3DE9">
              <w:t>$70</w:t>
            </w:r>
          </w:p>
        </w:tc>
      </w:tr>
      <w:tr w:rsidR="004663B1" w:rsidRPr="00CE3DE9" w:rsidTr="0006455A"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663B1" w:rsidRPr="00CE3DE9" w:rsidRDefault="00462D0B" w:rsidP="00C46AD6">
            <w:pPr>
              <w:pStyle w:val="Tabletext"/>
            </w:pPr>
            <w:r w:rsidRPr="00CE3DE9">
              <w:t>7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663B1" w:rsidRPr="00CE3DE9" w:rsidRDefault="004663B1" w:rsidP="00C46AD6">
            <w:pPr>
              <w:pStyle w:val="Tabletext"/>
            </w:pPr>
            <w:r w:rsidRPr="00CE3DE9">
              <w:t>Witnessing the execution of a will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663B1" w:rsidRPr="00CE3DE9" w:rsidRDefault="004663B1" w:rsidP="0006455A">
            <w:pPr>
              <w:pStyle w:val="Tabletext"/>
            </w:pPr>
            <w:r w:rsidRPr="00CE3DE9">
              <w:t>$70</w:t>
            </w:r>
          </w:p>
        </w:tc>
      </w:tr>
      <w:tr w:rsidR="004663B1" w:rsidRPr="00CE3DE9" w:rsidTr="0006455A"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663B1" w:rsidRPr="00CE3DE9" w:rsidRDefault="00462D0B" w:rsidP="00C46AD6">
            <w:pPr>
              <w:pStyle w:val="Tabletext"/>
            </w:pPr>
            <w:r w:rsidRPr="00CE3DE9">
              <w:t>8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663B1" w:rsidRPr="00CE3DE9" w:rsidRDefault="004663B1" w:rsidP="00850857">
            <w:pPr>
              <w:pStyle w:val="Tabletext"/>
            </w:pPr>
            <w:r w:rsidRPr="00CE3DE9">
              <w:t>Transmitting a document or other article</w:t>
            </w:r>
            <w:r w:rsidR="00891C5C" w:rsidRPr="00CE3DE9">
              <w:t xml:space="preserve"> through official channels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663B1" w:rsidRPr="00CE3DE9" w:rsidRDefault="004663B1" w:rsidP="0006455A">
            <w:pPr>
              <w:pStyle w:val="Tabletext"/>
            </w:pPr>
            <w:r w:rsidRPr="00CE3DE9">
              <w:t>$70</w:t>
            </w:r>
          </w:p>
        </w:tc>
      </w:tr>
      <w:tr w:rsidR="004663B1" w:rsidRPr="00CE3DE9" w:rsidTr="0006455A"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663B1" w:rsidRPr="00CE3DE9" w:rsidRDefault="00462D0B" w:rsidP="00C46AD6">
            <w:pPr>
              <w:pStyle w:val="Tabletext"/>
            </w:pPr>
            <w:r w:rsidRPr="00CE3DE9">
              <w:t>9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663B1" w:rsidRPr="00CE3DE9" w:rsidRDefault="004663B1" w:rsidP="00C46AD6">
            <w:pPr>
              <w:pStyle w:val="Tabletext"/>
            </w:pPr>
            <w:r w:rsidRPr="00CE3DE9">
              <w:t>Transferring funds through official accounts, other than for the purposes of the realisation of a deceased estate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663B1" w:rsidRPr="00CE3DE9" w:rsidRDefault="004663B1" w:rsidP="0006455A">
            <w:pPr>
              <w:pStyle w:val="Tabletext"/>
            </w:pPr>
            <w:r w:rsidRPr="00CE3DE9">
              <w:t>$70</w:t>
            </w:r>
          </w:p>
        </w:tc>
      </w:tr>
      <w:tr w:rsidR="000A4603" w:rsidRPr="00CE3DE9" w:rsidTr="0006455A"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603" w:rsidRPr="00CE3DE9" w:rsidRDefault="000A4603" w:rsidP="00462D0B">
            <w:pPr>
              <w:pStyle w:val="Tabletext"/>
            </w:pPr>
            <w:r w:rsidRPr="00CE3DE9">
              <w:t>1</w:t>
            </w:r>
            <w:r w:rsidR="00462D0B" w:rsidRPr="00CE3DE9">
              <w:t>0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603" w:rsidRPr="00CE3DE9" w:rsidRDefault="004663B1" w:rsidP="00C46AD6">
            <w:pPr>
              <w:pStyle w:val="Tabletext"/>
            </w:pPr>
            <w:r w:rsidRPr="00CE3DE9">
              <w:t>Preparation and issue of an Apostille certificate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0A4603" w:rsidRPr="00CE3DE9" w:rsidRDefault="004663B1" w:rsidP="0006455A">
            <w:pPr>
              <w:pStyle w:val="Tabletext"/>
            </w:pPr>
            <w:r w:rsidRPr="00CE3DE9">
              <w:t>$80</w:t>
            </w:r>
          </w:p>
        </w:tc>
      </w:tr>
      <w:tr w:rsidR="004663B1" w:rsidRPr="00CE3DE9" w:rsidTr="0006455A"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663B1" w:rsidRPr="00CE3DE9" w:rsidRDefault="004663B1" w:rsidP="00462D0B">
            <w:pPr>
              <w:pStyle w:val="Tabletext"/>
            </w:pPr>
            <w:r w:rsidRPr="00CE3DE9">
              <w:t>1</w:t>
            </w:r>
            <w:r w:rsidR="00462D0B" w:rsidRPr="00CE3DE9">
              <w:t>1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663B1" w:rsidRPr="00CE3DE9" w:rsidRDefault="004663B1" w:rsidP="00C46AD6">
            <w:pPr>
              <w:pStyle w:val="Tabletext"/>
            </w:pPr>
            <w:r w:rsidRPr="00CE3DE9">
              <w:t>Preparation and issue of an Authentication certificate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4663B1" w:rsidRPr="00CE3DE9" w:rsidRDefault="004663B1" w:rsidP="0006455A">
            <w:pPr>
              <w:pStyle w:val="Tabletext"/>
            </w:pPr>
            <w:r w:rsidRPr="00CE3DE9">
              <w:t>$80</w:t>
            </w:r>
          </w:p>
        </w:tc>
      </w:tr>
      <w:tr w:rsidR="004663B1" w:rsidRPr="00CE3DE9" w:rsidTr="0006455A">
        <w:tc>
          <w:tcPr>
            <w:tcW w:w="70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663B1" w:rsidRPr="00CE3DE9" w:rsidRDefault="004663B1" w:rsidP="00462D0B">
            <w:pPr>
              <w:pStyle w:val="Tabletext"/>
            </w:pPr>
            <w:r w:rsidRPr="00CE3DE9">
              <w:t>1</w:t>
            </w:r>
            <w:r w:rsidR="00462D0B" w:rsidRPr="00CE3DE9">
              <w:t>2</w:t>
            </w:r>
          </w:p>
        </w:tc>
        <w:tc>
          <w:tcPr>
            <w:tcW w:w="623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663B1" w:rsidRPr="00CE3DE9" w:rsidRDefault="00D353BE" w:rsidP="00E41219">
            <w:pPr>
              <w:pStyle w:val="Tabletext"/>
            </w:pPr>
            <w:r w:rsidRPr="00CE3DE9">
              <w:t>Preparation and issue of a</w:t>
            </w:r>
            <w:r w:rsidR="00E41219" w:rsidRPr="00CE3DE9">
              <w:t xml:space="preserve"> C</w:t>
            </w:r>
            <w:r w:rsidRPr="00CE3DE9">
              <w:t>ertificate</w:t>
            </w:r>
            <w:r w:rsidR="00E41219" w:rsidRPr="00CE3DE9">
              <w:t xml:space="preserve"> of No Impediment to Marriage</w:t>
            </w:r>
          </w:p>
        </w:tc>
        <w:tc>
          <w:tcPr>
            <w:tcW w:w="137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:rsidR="004663B1" w:rsidRPr="00CE3DE9" w:rsidRDefault="004663B1" w:rsidP="0006455A">
            <w:pPr>
              <w:pStyle w:val="Tabletext"/>
            </w:pPr>
            <w:r w:rsidRPr="00CE3DE9">
              <w:t>$140</w:t>
            </w:r>
          </w:p>
        </w:tc>
      </w:tr>
    </w:tbl>
    <w:p w:rsidR="00C46AD6" w:rsidRPr="00CE3DE9" w:rsidRDefault="00C46AD6" w:rsidP="00C46AD6">
      <w:pPr>
        <w:pStyle w:val="Tabletext"/>
      </w:pPr>
    </w:p>
    <w:sectPr w:rsidR="00C46AD6" w:rsidRPr="00CE3DE9" w:rsidSect="0048751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 w:rsidP="0048364F">
      <w:pPr>
        <w:spacing w:line="240" w:lineRule="auto"/>
      </w:pPr>
      <w:r>
        <w:separator/>
      </w:r>
    </w:p>
  </w:endnote>
  <w:endnote w:type="continuationSeparator" w:id="0">
    <w:p w:rsidR="00A95C46" w:rsidRDefault="00A95C4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F3" w:rsidRPr="0048751A" w:rsidRDefault="004743F3" w:rsidP="0048751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8751A">
      <w:rPr>
        <w:i/>
        <w:sz w:val="18"/>
      </w:rPr>
      <w:t xml:space="preserve"> </w:t>
    </w:r>
    <w:r w:rsidR="0048751A" w:rsidRPr="0048751A">
      <w:rPr>
        <w:i/>
        <w:sz w:val="18"/>
      </w:rPr>
      <w:t>OPC62117 -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51A" w:rsidRDefault="0048751A" w:rsidP="0048751A">
    <w:pPr>
      <w:pStyle w:val="Footer"/>
    </w:pPr>
    <w:r w:rsidRPr="0048751A">
      <w:rPr>
        <w:i/>
        <w:sz w:val="18"/>
      </w:rPr>
      <w:t>OPC62117 -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F3" w:rsidRPr="0048751A" w:rsidRDefault="004743F3" w:rsidP="004743F3">
    <w:pPr>
      <w:pStyle w:val="Footer"/>
      <w:rPr>
        <w:sz w:val="18"/>
      </w:rPr>
    </w:pPr>
  </w:p>
  <w:p w:rsidR="004743F3" w:rsidRPr="0048751A" w:rsidRDefault="0048751A" w:rsidP="0048751A">
    <w:pPr>
      <w:pStyle w:val="Footer"/>
      <w:rPr>
        <w:sz w:val="18"/>
      </w:rPr>
    </w:pPr>
    <w:r w:rsidRPr="0048751A">
      <w:rPr>
        <w:i/>
        <w:sz w:val="18"/>
      </w:rPr>
      <w:t>OPC62117 -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F3" w:rsidRPr="0048751A" w:rsidRDefault="004743F3" w:rsidP="004743F3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4743F3" w:rsidRPr="0048751A" w:rsidTr="00CB0009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743F3" w:rsidRPr="0048751A" w:rsidRDefault="004743F3" w:rsidP="00CB0009">
          <w:pPr>
            <w:spacing w:line="0" w:lineRule="atLeast"/>
            <w:rPr>
              <w:rFonts w:cs="Times New Roman"/>
              <w:i/>
              <w:sz w:val="18"/>
            </w:rPr>
          </w:pPr>
          <w:r w:rsidRPr="0048751A">
            <w:rPr>
              <w:rFonts w:cs="Times New Roman"/>
              <w:i/>
              <w:sz w:val="18"/>
            </w:rPr>
            <w:fldChar w:fldCharType="begin"/>
          </w:r>
          <w:r w:rsidRPr="0048751A">
            <w:rPr>
              <w:rFonts w:cs="Times New Roman"/>
              <w:i/>
              <w:sz w:val="18"/>
            </w:rPr>
            <w:instrText xml:space="preserve"> PAGE </w:instrText>
          </w:r>
          <w:r w:rsidRPr="0048751A">
            <w:rPr>
              <w:rFonts w:cs="Times New Roman"/>
              <w:i/>
              <w:sz w:val="18"/>
            </w:rPr>
            <w:fldChar w:fldCharType="separate"/>
          </w:r>
          <w:r w:rsidR="00E0396F">
            <w:rPr>
              <w:rFonts w:cs="Times New Roman"/>
              <w:i/>
              <w:noProof/>
              <w:sz w:val="18"/>
            </w:rPr>
            <w:t>ii</w:t>
          </w:r>
          <w:r w:rsidRPr="0048751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743F3" w:rsidRPr="0048751A" w:rsidRDefault="004743F3" w:rsidP="00CB000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8751A">
            <w:rPr>
              <w:rFonts w:cs="Times New Roman"/>
              <w:i/>
              <w:sz w:val="18"/>
            </w:rPr>
            <w:fldChar w:fldCharType="begin"/>
          </w:r>
          <w:r w:rsidRPr="0048751A">
            <w:rPr>
              <w:rFonts w:cs="Times New Roman"/>
              <w:i/>
              <w:sz w:val="18"/>
            </w:rPr>
            <w:instrText xml:space="preserve"> DOCPROPERTY ShortT </w:instrText>
          </w:r>
          <w:r w:rsidRPr="0048751A">
            <w:rPr>
              <w:rFonts w:cs="Times New Roman"/>
              <w:i/>
              <w:sz w:val="18"/>
            </w:rPr>
            <w:fldChar w:fldCharType="separate"/>
          </w:r>
          <w:r w:rsidR="0039245E">
            <w:rPr>
              <w:rFonts w:cs="Times New Roman"/>
              <w:i/>
              <w:sz w:val="18"/>
            </w:rPr>
            <w:t>Consular Fees Amendment (Fees and Indexation) Regulation 2016</w:t>
          </w:r>
          <w:r w:rsidRPr="0048751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743F3" w:rsidRPr="0048751A" w:rsidRDefault="004743F3" w:rsidP="00CB000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8751A">
            <w:rPr>
              <w:rFonts w:cs="Times New Roman"/>
              <w:i/>
              <w:sz w:val="18"/>
            </w:rPr>
            <w:fldChar w:fldCharType="begin"/>
          </w:r>
          <w:r w:rsidRPr="0048751A">
            <w:rPr>
              <w:rFonts w:cs="Times New Roman"/>
              <w:i/>
              <w:sz w:val="18"/>
            </w:rPr>
            <w:instrText xml:space="preserve"> DOCPROPERTY ActNo </w:instrText>
          </w:r>
          <w:r w:rsidRPr="0048751A">
            <w:rPr>
              <w:rFonts w:cs="Times New Roman"/>
              <w:i/>
              <w:sz w:val="18"/>
            </w:rPr>
            <w:fldChar w:fldCharType="separate"/>
          </w:r>
          <w:r w:rsidR="0039245E">
            <w:rPr>
              <w:rFonts w:cs="Times New Roman"/>
              <w:i/>
              <w:sz w:val="18"/>
            </w:rPr>
            <w:t>No. , 2016</w:t>
          </w:r>
          <w:r w:rsidRPr="0048751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4743F3" w:rsidRPr="0048751A" w:rsidRDefault="0048751A" w:rsidP="0048751A">
    <w:pPr>
      <w:rPr>
        <w:rFonts w:cs="Times New Roman"/>
        <w:i/>
        <w:sz w:val="18"/>
      </w:rPr>
    </w:pPr>
    <w:r w:rsidRPr="0048751A">
      <w:rPr>
        <w:rFonts w:cs="Times New Roman"/>
        <w:i/>
        <w:sz w:val="18"/>
      </w:rPr>
      <w:t>OPC62117 -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F3" w:rsidRPr="00E33C1C" w:rsidRDefault="004743F3" w:rsidP="004743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4743F3" w:rsidTr="00CB00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743F3" w:rsidRDefault="004743F3" w:rsidP="00CB0009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9245E">
            <w:rPr>
              <w:i/>
              <w:sz w:val="18"/>
            </w:rPr>
            <w:t>No. 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743F3" w:rsidRDefault="004743F3" w:rsidP="00CB000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245E">
            <w:rPr>
              <w:i/>
              <w:sz w:val="18"/>
            </w:rPr>
            <w:t>Consular Fees Amendment (Fees and Indexation)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743F3" w:rsidRDefault="004743F3" w:rsidP="00CB00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64D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43F3" w:rsidRPr="00ED79B6" w:rsidRDefault="0048751A" w:rsidP="0048751A">
    <w:pPr>
      <w:rPr>
        <w:i/>
        <w:sz w:val="18"/>
      </w:rPr>
    </w:pPr>
    <w:r w:rsidRPr="0048751A">
      <w:rPr>
        <w:rFonts w:cs="Times New Roman"/>
        <w:i/>
        <w:sz w:val="18"/>
      </w:rPr>
      <w:t>OPC62117 -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F3" w:rsidRPr="0048751A" w:rsidRDefault="004743F3" w:rsidP="004743F3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4743F3" w:rsidRPr="0048751A" w:rsidTr="00CB0009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743F3" w:rsidRPr="0048751A" w:rsidRDefault="004743F3" w:rsidP="00CB0009">
          <w:pPr>
            <w:spacing w:line="0" w:lineRule="atLeast"/>
            <w:rPr>
              <w:rFonts w:cs="Times New Roman"/>
              <w:i/>
              <w:sz w:val="18"/>
            </w:rPr>
          </w:pPr>
          <w:r w:rsidRPr="0048751A">
            <w:rPr>
              <w:rFonts w:cs="Times New Roman"/>
              <w:i/>
              <w:sz w:val="18"/>
            </w:rPr>
            <w:fldChar w:fldCharType="begin"/>
          </w:r>
          <w:r w:rsidRPr="0048751A">
            <w:rPr>
              <w:rFonts w:cs="Times New Roman"/>
              <w:i/>
              <w:sz w:val="18"/>
            </w:rPr>
            <w:instrText xml:space="preserve"> PAGE </w:instrText>
          </w:r>
          <w:r w:rsidRPr="0048751A">
            <w:rPr>
              <w:rFonts w:cs="Times New Roman"/>
              <w:i/>
              <w:sz w:val="18"/>
            </w:rPr>
            <w:fldChar w:fldCharType="separate"/>
          </w:r>
          <w:r w:rsidR="00F264D3">
            <w:rPr>
              <w:rFonts w:cs="Times New Roman"/>
              <w:i/>
              <w:noProof/>
              <w:sz w:val="18"/>
            </w:rPr>
            <w:t>4</w:t>
          </w:r>
          <w:r w:rsidRPr="0048751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743F3" w:rsidRPr="0048751A" w:rsidRDefault="004743F3" w:rsidP="00CB0009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48751A">
            <w:rPr>
              <w:rFonts w:cs="Times New Roman"/>
              <w:i/>
              <w:sz w:val="18"/>
            </w:rPr>
            <w:fldChar w:fldCharType="begin"/>
          </w:r>
          <w:r w:rsidRPr="0048751A">
            <w:rPr>
              <w:rFonts w:cs="Times New Roman"/>
              <w:i/>
              <w:sz w:val="18"/>
            </w:rPr>
            <w:instrText xml:space="preserve"> DOCPROPERTY ShortT </w:instrText>
          </w:r>
          <w:r w:rsidRPr="0048751A">
            <w:rPr>
              <w:rFonts w:cs="Times New Roman"/>
              <w:i/>
              <w:sz w:val="18"/>
            </w:rPr>
            <w:fldChar w:fldCharType="separate"/>
          </w:r>
          <w:r w:rsidR="0039245E">
            <w:rPr>
              <w:rFonts w:cs="Times New Roman"/>
              <w:i/>
              <w:sz w:val="18"/>
            </w:rPr>
            <w:t>Consular Fees Amendment (Fees and Indexation) Regulation 2016</w:t>
          </w:r>
          <w:r w:rsidRPr="0048751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743F3" w:rsidRPr="0048751A" w:rsidRDefault="004743F3" w:rsidP="00CB0009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48751A">
            <w:rPr>
              <w:rFonts w:cs="Times New Roman"/>
              <w:i/>
              <w:sz w:val="18"/>
            </w:rPr>
            <w:fldChar w:fldCharType="begin"/>
          </w:r>
          <w:r w:rsidRPr="0048751A">
            <w:rPr>
              <w:rFonts w:cs="Times New Roman"/>
              <w:i/>
              <w:sz w:val="18"/>
            </w:rPr>
            <w:instrText xml:space="preserve"> DOCPROPERTY ActNo </w:instrText>
          </w:r>
          <w:r w:rsidRPr="0048751A">
            <w:rPr>
              <w:rFonts w:cs="Times New Roman"/>
              <w:i/>
              <w:sz w:val="18"/>
            </w:rPr>
            <w:fldChar w:fldCharType="separate"/>
          </w:r>
          <w:r w:rsidR="0039245E">
            <w:rPr>
              <w:rFonts w:cs="Times New Roman"/>
              <w:i/>
              <w:sz w:val="18"/>
            </w:rPr>
            <w:t>No. , 2016</w:t>
          </w:r>
          <w:r w:rsidRPr="0048751A">
            <w:rPr>
              <w:rFonts w:cs="Times New Roman"/>
              <w:i/>
              <w:sz w:val="18"/>
            </w:rPr>
            <w:fldChar w:fldCharType="end"/>
          </w:r>
        </w:p>
      </w:tc>
    </w:tr>
  </w:tbl>
  <w:p w:rsidR="004743F3" w:rsidRPr="0048751A" w:rsidRDefault="0048751A" w:rsidP="0048751A">
    <w:pPr>
      <w:rPr>
        <w:rFonts w:cs="Times New Roman"/>
        <w:i/>
        <w:sz w:val="18"/>
      </w:rPr>
    </w:pPr>
    <w:r w:rsidRPr="0048751A">
      <w:rPr>
        <w:rFonts w:cs="Times New Roman"/>
        <w:i/>
        <w:sz w:val="18"/>
      </w:rPr>
      <w:t>OPC62117 -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F3" w:rsidRPr="00E33C1C" w:rsidRDefault="004743F3" w:rsidP="004743F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4743F3" w:rsidTr="00CB00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4743F3" w:rsidRDefault="004743F3" w:rsidP="00CB0009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39245E">
            <w:rPr>
              <w:i/>
              <w:sz w:val="18"/>
            </w:rPr>
            <w:t>No. ,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4743F3" w:rsidRDefault="004743F3" w:rsidP="00CB000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245E">
            <w:rPr>
              <w:i/>
              <w:sz w:val="18"/>
            </w:rPr>
            <w:t>Consular Fees Amendment (Fees and Indexation) Regulation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4743F3" w:rsidRDefault="004743F3" w:rsidP="00CB000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264D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43F3" w:rsidRPr="00ED79B6" w:rsidRDefault="0048751A" w:rsidP="0048751A">
    <w:pPr>
      <w:rPr>
        <w:i/>
        <w:sz w:val="18"/>
      </w:rPr>
    </w:pPr>
    <w:r w:rsidRPr="0048751A">
      <w:rPr>
        <w:rFonts w:cs="Times New Roman"/>
        <w:i/>
        <w:sz w:val="18"/>
      </w:rPr>
      <w:t>OPC62117 -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3F3" w:rsidRDefault="004743F3" w:rsidP="004743F3">
    <w:pPr>
      <w:pStyle w:val="Footer"/>
    </w:pPr>
  </w:p>
  <w:p w:rsidR="004743F3" w:rsidRPr="00486382" w:rsidRDefault="004743F3" w:rsidP="004743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 w:rsidP="0048364F">
      <w:pPr>
        <w:spacing w:line="240" w:lineRule="auto"/>
      </w:pPr>
      <w:r>
        <w:separator/>
      </w:r>
    </w:p>
  </w:footnote>
  <w:footnote w:type="continuationSeparator" w:id="0">
    <w:p w:rsidR="00A95C46" w:rsidRDefault="00A95C4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264D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264D3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19729D"/>
    <w:multiLevelType w:val="hybridMultilevel"/>
    <w:tmpl w:val="B79EA5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46"/>
    <w:rsid w:val="000041C6"/>
    <w:rsid w:val="000063E4"/>
    <w:rsid w:val="00011222"/>
    <w:rsid w:val="000113BC"/>
    <w:rsid w:val="000125D3"/>
    <w:rsid w:val="000136AF"/>
    <w:rsid w:val="00025060"/>
    <w:rsid w:val="0004044E"/>
    <w:rsid w:val="00042BEB"/>
    <w:rsid w:val="000614BF"/>
    <w:rsid w:val="0006455A"/>
    <w:rsid w:val="00070278"/>
    <w:rsid w:val="000722B3"/>
    <w:rsid w:val="000739ED"/>
    <w:rsid w:val="000A4603"/>
    <w:rsid w:val="000B7894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57C7"/>
    <w:rsid w:val="00166C2F"/>
    <w:rsid w:val="001716C9"/>
    <w:rsid w:val="00171EAE"/>
    <w:rsid w:val="001761B1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014F"/>
    <w:rsid w:val="001F6924"/>
    <w:rsid w:val="00201D27"/>
    <w:rsid w:val="00203ED5"/>
    <w:rsid w:val="00231427"/>
    <w:rsid w:val="00240749"/>
    <w:rsid w:val="00246C6F"/>
    <w:rsid w:val="00265FBC"/>
    <w:rsid w:val="00266D05"/>
    <w:rsid w:val="00275DB2"/>
    <w:rsid w:val="002932B1"/>
    <w:rsid w:val="00295408"/>
    <w:rsid w:val="00296E6F"/>
    <w:rsid w:val="00297ECB"/>
    <w:rsid w:val="002A0FFD"/>
    <w:rsid w:val="002B2731"/>
    <w:rsid w:val="002B5B89"/>
    <w:rsid w:val="002B7D96"/>
    <w:rsid w:val="002D043A"/>
    <w:rsid w:val="002F69E2"/>
    <w:rsid w:val="00304E75"/>
    <w:rsid w:val="003072FA"/>
    <w:rsid w:val="0031713F"/>
    <w:rsid w:val="003366CE"/>
    <w:rsid w:val="003415D3"/>
    <w:rsid w:val="00352B0F"/>
    <w:rsid w:val="00361BD9"/>
    <w:rsid w:val="00363549"/>
    <w:rsid w:val="00376955"/>
    <w:rsid w:val="003801D0"/>
    <w:rsid w:val="00383112"/>
    <w:rsid w:val="0039228E"/>
    <w:rsid w:val="0039245E"/>
    <w:rsid w:val="003926B5"/>
    <w:rsid w:val="003B04EC"/>
    <w:rsid w:val="003C5F2B"/>
    <w:rsid w:val="003D0BFE"/>
    <w:rsid w:val="003D5700"/>
    <w:rsid w:val="003E5C2B"/>
    <w:rsid w:val="003E5FF5"/>
    <w:rsid w:val="003F4A6A"/>
    <w:rsid w:val="003F4CA9"/>
    <w:rsid w:val="003F567B"/>
    <w:rsid w:val="004010E7"/>
    <w:rsid w:val="00401403"/>
    <w:rsid w:val="004116CD"/>
    <w:rsid w:val="00412B83"/>
    <w:rsid w:val="00415671"/>
    <w:rsid w:val="004157F3"/>
    <w:rsid w:val="00424CA9"/>
    <w:rsid w:val="00433910"/>
    <w:rsid w:val="0044291A"/>
    <w:rsid w:val="004541B9"/>
    <w:rsid w:val="00460499"/>
    <w:rsid w:val="00462D0B"/>
    <w:rsid w:val="004663B1"/>
    <w:rsid w:val="00471FFE"/>
    <w:rsid w:val="004743F3"/>
    <w:rsid w:val="00474F09"/>
    <w:rsid w:val="00480FB9"/>
    <w:rsid w:val="0048364F"/>
    <w:rsid w:val="00486382"/>
    <w:rsid w:val="0048751A"/>
    <w:rsid w:val="00496DB7"/>
    <w:rsid w:val="00496F97"/>
    <w:rsid w:val="004A2484"/>
    <w:rsid w:val="004B1CA6"/>
    <w:rsid w:val="004C0255"/>
    <w:rsid w:val="004C5B5A"/>
    <w:rsid w:val="004C6444"/>
    <w:rsid w:val="004C6DE1"/>
    <w:rsid w:val="004C7FCA"/>
    <w:rsid w:val="004E1DB1"/>
    <w:rsid w:val="004F1FAC"/>
    <w:rsid w:val="004F3A90"/>
    <w:rsid w:val="004F4292"/>
    <w:rsid w:val="004F676E"/>
    <w:rsid w:val="00516B8D"/>
    <w:rsid w:val="00520A1E"/>
    <w:rsid w:val="00537FBC"/>
    <w:rsid w:val="00543469"/>
    <w:rsid w:val="005461C3"/>
    <w:rsid w:val="00557C7A"/>
    <w:rsid w:val="00584811"/>
    <w:rsid w:val="005851A5"/>
    <w:rsid w:val="0058646E"/>
    <w:rsid w:val="00586A7F"/>
    <w:rsid w:val="00591E07"/>
    <w:rsid w:val="00593AA6"/>
    <w:rsid w:val="00594161"/>
    <w:rsid w:val="00594749"/>
    <w:rsid w:val="005B4067"/>
    <w:rsid w:val="005C12DE"/>
    <w:rsid w:val="005C3F41"/>
    <w:rsid w:val="005E552A"/>
    <w:rsid w:val="005E6F17"/>
    <w:rsid w:val="005F1435"/>
    <w:rsid w:val="00600219"/>
    <w:rsid w:val="00603FED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5CDF"/>
    <w:rsid w:val="006C7F8C"/>
    <w:rsid w:val="006D3667"/>
    <w:rsid w:val="006D4E91"/>
    <w:rsid w:val="006E004B"/>
    <w:rsid w:val="006E42ED"/>
    <w:rsid w:val="006E7147"/>
    <w:rsid w:val="00700B2C"/>
    <w:rsid w:val="00701E6A"/>
    <w:rsid w:val="0070303B"/>
    <w:rsid w:val="00704E81"/>
    <w:rsid w:val="00710696"/>
    <w:rsid w:val="00713084"/>
    <w:rsid w:val="00722023"/>
    <w:rsid w:val="00723F2C"/>
    <w:rsid w:val="0072733F"/>
    <w:rsid w:val="00731E00"/>
    <w:rsid w:val="00741744"/>
    <w:rsid w:val="007440B7"/>
    <w:rsid w:val="007634AD"/>
    <w:rsid w:val="007715C9"/>
    <w:rsid w:val="00774EDD"/>
    <w:rsid w:val="007757EC"/>
    <w:rsid w:val="007769D4"/>
    <w:rsid w:val="00785AFA"/>
    <w:rsid w:val="00785D58"/>
    <w:rsid w:val="007903AC"/>
    <w:rsid w:val="00790628"/>
    <w:rsid w:val="007961A0"/>
    <w:rsid w:val="007A7F9F"/>
    <w:rsid w:val="007B5F76"/>
    <w:rsid w:val="007E7D4A"/>
    <w:rsid w:val="00812C79"/>
    <w:rsid w:val="00826DA5"/>
    <w:rsid w:val="00833416"/>
    <w:rsid w:val="00850857"/>
    <w:rsid w:val="00856A31"/>
    <w:rsid w:val="008714B2"/>
    <w:rsid w:val="00874B69"/>
    <w:rsid w:val="008754D0"/>
    <w:rsid w:val="00877D48"/>
    <w:rsid w:val="00880795"/>
    <w:rsid w:val="00891C5C"/>
    <w:rsid w:val="0089783B"/>
    <w:rsid w:val="008A611D"/>
    <w:rsid w:val="008D0EE0"/>
    <w:rsid w:val="008D4E1B"/>
    <w:rsid w:val="008F07E3"/>
    <w:rsid w:val="008F1561"/>
    <w:rsid w:val="008F4F1C"/>
    <w:rsid w:val="00907271"/>
    <w:rsid w:val="00932377"/>
    <w:rsid w:val="00932A33"/>
    <w:rsid w:val="00951744"/>
    <w:rsid w:val="0095479A"/>
    <w:rsid w:val="009625C9"/>
    <w:rsid w:val="009848EC"/>
    <w:rsid w:val="00994264"/>
    <w:rsid w:val="009B3629"/>
    <w:rsid w:val="009C49D8"/>
    <w:rsid w:val="009E3601"/>
    <w:rsid w:val="009F727E"/>
    <w:rsid w:val="00A1027A"/>
    <w:rsid w:val="00A15E2B"/>
    <w:rsid w:val="00A2057D"/>
    <w:rsid w:val="00A20FD2"/>
    <w:rsid w:val="00A231E2"/>
    <w:rsid w:val="00A2550D"/>
    <w:rsid w:val="00A26DBE"/>
    <w:rsid w:val="00A26DE6"/>
    <w:rsid w:val="00A326A4"/>
    <w:rsid w:val="00A370DB"/>
    <w:rsid w:val="00A4169B"/>
    <w:rsid w:val="00A4361F"/>
    <w:rsid w:val="00A5197F"/>
    <w:rsid w:val="00A64912"/>
    <w:rsid w:val="00A70A74"/>
    <w:rsid w:val="00A7162E"/>
    <w:rsid w:val="00A71C4E"/>
    <w:rsid w:val="00A87AB9"/>
    <w:rsid w:val="00A95C46"/>
    <w:rsid w:val="00AB3315"/>
    <w:rsid w:val="00AB7B41"/>
    <w:rsid w:val="00AC06B3"/>
    <w:rsid w:val="00AD5641"/>
    <w:rsid w:val="00AE50A2"/>
    <w:rsid w:val="00AF0336"/>
    <w:rsid w:val="00AF08D4"/>
    <w:rsid w:val="00AF6613"/>
    <w:rsid w:val="00B00902"/>
    <w:rsid w:val="00B032D8"/>
    <w:rsid w:val="00B23DBF"/>
    <w:rsid w:val="00B332B8"/>
    <w:rsid w:val="00B33B3C"/>
    <w:rsid w:val="00B44657"/>
    <w:rsid w:val="00B61D2C"/>
    <w:rsid w:val="00B63BDE"/>
    <w:rsid w:val="00B655DE"/>
    <w:rsid w:val="00B9473F"/>
    <w:rsid w:val="00BA5026"/>
    <w:rsid w:val="00BB6E79"/>
    <w:rsid w:val="00BC107E"/>
    <w:rsid w:val="00BC4F91"/>
    <w:rsid w:val="00BC7722"/>
    <w:rsid w:val="00BD60E6"/>
    <w:rsid w:val="00BE253A"/>
    <w:rsid w:val="00BE719A"/>
    <w:rsid w:val="00BE720A"/>
    <w:rsid w:val="00BF4533"/>
    <w:rsid w:val="00BF5BAE"/>
    <w:rsid w:val="00C067E5"/>
    <w:rsid w:val="00C15528"/>
    <w:rsid w:val="00C1580D"/>
    <w:rsid w:val="00C164CA"/>
    <w:rsid w:val="00C16719"/>
    <w:rsid w:val="00C20E2F"/>
    <w:rsid w:val="00C21B63"/>
    <w:rsid w:val="00C25447"/>
    <w:rsid w:val="00C42BF8"/>
    <w:rsid w:val="00C460AE"/>
    <w:rsid w:val="00C4634A"/>
    <w:rsid w:val="00C46AD6"/>
    <w:rsid w:val="00C50043"/>
    <w:rsid w:val="00C63713"/>
    <w:rsid w:val="00C7573B"/>
    <w:rsid w:val="00C76CF3"/>
    <w:rsid w:val="00C77E30"/>
    <w:rsid w:val="00C81374"/>
    <w:rsid w:val="00C814F5"/>
    <w:rsid w:val="00CB0180"/>
    <w:rsid w:val="00CB2650"/>
    <w:rsid w:val="00CB3470"/>
    <w:rsid w:val="00CD606E"/>
    <w:rsid w:val="00CD7ECB"/>
    <w:rsid w:val="00CE3DE9"/>
    <w:rsid w:val="00CF0BB2"/>
    <w:rsid w:val="00D0104A"/>
    <w:rsid w:val="00D13441"/>
    <w:rsid w:val="00D17B17"/>
    <w:rsid w:val="00D243A3"/>
    <w:rsid w:val="00D257D3"/>
    <w:rsid w:val="00D30EED"/>
    <w:rsid w:val="00D333D9"/>
    <w:rsid w:val="00D33440"/>
    <w:rsid w:val="00D353BE"/>
    <w:rsid w:val="00D40403"/>
    <w:rsid w:val="00D52EFE"/>
    <w:rsid w:val="00D63EF6"/>
    <w:rsid w:val="00D70DFB"/>
    <w:rsid w:val="00D766DF"/>
    <w:rsid w:val="00D83D21"/>
    <w:rsid w:val="00D84B58"/>
    <w:rsid w:val="00D925D1"/>
    <w:rsid w:val="00DA5FEC"/>
    <w:rsid w:val="00E00497"/>
    <w:rsid w:val="00E0396F"/>
    <w:rsid w:val="00E05704"/>
    <w:rsid w:val="00E05C46"/>
    <w:rsid w:val="00E1465E"/>
    <w:rsid w:val="00E16638"/>
    <w:rsid w:val="00E30206"/>
    <w:rsid w:val="00E33C1C"/>
    <w:rsid w:val="00E36AE8"/>
    <w:rsid w:val="00E41219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91E49"/>
    <w:rsid w:val="00ED3A7D"/>
    <w:rsid w:val="00EF2A4B"/>
    <w:rsid w:val="00EF2E3A"/>
    <w:rsid w:val="00F047E2"/>
    <w:rsid w:val="00F078DC"/>
    <w:rsid w:val="00F13E86"/>
    <w:rsid w:val="00F20C19"/>
    <w:rsid w:val="00F24C35"/>
    <w:rsid w:val="00F264D3"/>
    <w:rsid w:val="00F56759"/>
    <w:rsid w:val="00F677A9"/>
    <w:rsid w:val="00F84CF5"/>
    <w:rsid w:val="00FA420B"/>
    <w:rsid w:val="00FB03B3"/>
    <w:rsid w:val="00FB192C"/>
    <w:rsid w:val="00FD7CFE"/>
    <w:rsid w:val="00FF245C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3DE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C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C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C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C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C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C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C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C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C4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3DE9"/>
  </w:style>
  <w:style w:type="paragraph" w:customStyle="1" w:styleId="OPCParaBase">
    <w:name w:val="OPCParaBase"/>
    <w:qFormat/>
    <w:rsid w:val="00CE3DE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E3D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3D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3D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3D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3D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E3D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3D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3D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3D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3D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E3DE9"/>
  </w:style>
  <w:style w:type="paragraph" w:customStyle="1" w:styleId="Blocks">
    <w:name w:val="Blocks"/>
    <w:aliases w:val="bb"/>
    <w:basedOn w:val="OPCParaBase"/>
    <w:qFormat/>
    <w:rsid w:val="00CE3D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3D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3D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3DE9"/>
    <w:rPr>
      <w:i/>
    </w:rPr>
  </w:style>
  <w:style w:type="paragraph" w:customStyle="1" w:styleId="BoxList">
    <w:name w:val="BoxList"/>
    <w:aliases w:val="bl"/>
    <w:basedOn w:val="BoxText"/>
    <w:qFormat/>
    <w:rsid w:val="00CE3D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3D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3D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3DE9"/>
    <w:pPr>
      <w:ind w:left="1985" w:hanging="851"/>
    </w:pPr>
  </w:style>
  <w:style w:type="character" w:customStyle="1" w:styleId="CharAmPartNo">
    <w:name w:val="CharAmPartNo"/>
    <w:basedOn w:val="OPCCharBase"/>
    <w:qFormat/>
    <w:rsid w:val="00CE3DE9"/>
  </w:style>
  <w:style w:type="character" w:customStyle="1" w:styleId="CharAmPartText">
    <w:name w:val="CharAmPartText"/>
    <w:basedOn w:val="OPCCharBase"/>
    <w:qFormat/>
    <w:rsid w:val="00CE3DE9"/>
  </w:style>
  <w:style w:type="character" w:customStyle="1" w:styleId="CharAmSchNo">
    <w:name w:val="CharAmSchNo"/>
    <w:basedOn w:val="OPCCharBase"/>
    <w:qFormat/>
    <w:rsid w:val="00CE3DE9"/>
  </w:style>
  <w:style w:type="character" w:customStyle="1" w:styleId="CharAmSchText">
    <w:name w:val="CharAmSchText"/>
    <w:basedOn w:val="OPCCharBase"/>
    <w:qFormat/>
    <w:rsid w:val="00CE3DE9"/>
  </w:style>
  <w:style w:type="character" w:customStyle="1" w:styleId="CharBoldItalic">
    <w:name w:val="CharBoldItalic"/>
    <w:basedOn w:val="OPCCharBase"/>
    <w:uiPriority w:val="1"/>
    <w:qFormat/>
    <w:rsid w:val="00CE3DE9"/>
    <w:rPr>
      <w:b/>
      <w:i/>
    </w:rPr>
  </w:style>
  <w:style w:type="character" w:customStyle="1" w:styleId="CharChapNo">
    <w:name w:val="CharChapNo"/>
    <w:basedOn w:val="OPCCharBase"/>
    <w:uiPriority w:val="1"/>
    <w:qFormat/>
    <w:rsid w:val="00CE3DE9"/>
  </w:style>
  <w:style w:type="character" w:customStyle="1" w:styleId="CharChapText">
    <w:name w:val="CharChapText"/>
    <w:basedOn w:val="OPCCharBase"/>
    <w:uiPriority w:val="1"/>
    <w:qFormat/>
    <w:rsid w:val="00CE3DE9"/>
  </w:style>
  <w:style w:type="character" w:customStyle="1" w:styleId="CharDivNo">
    <w:name w:val="CharDivNo"/>
    <w:basedOn w:val="OPCCharBase"/>
    <w:uiPriority w:val="1"/>
    <w:qFormat/>
    <w:rsid w:val="00CE3DE9"/>
  </w:style>
  <w:style w:type="character" w:customStyle="1" w:styleId="CharDivText">
    <w:name w:val="CharDivText"/>
    <w:basedOn w:val="OPCCharBase"/>
    <w:uiPriority w:val="1"/>
    <w:qFormat/>
    <w:rsid w:val="00CE3DE9"/>
  </w:style>
  <w:style w:type="character" w:customStyle="1" w:styleId="CharItalic">
    <w:name w:val="CharItalic"/>
    <w:basedOn w:val="OPCCharBase"/>
    <w:uiPriority w:val="1"/>
    <w:qFormat/>
    <w:rsid w:val="00CE3DE9"/>
    <w:rPr>
      <w:i/>
    </w:rPr>
  </w:style>
  <w:style w:type="character" w:customStyle="1" w:styleId="CharPartNo">
    <w:name w:val="CharPartNo"/>
    <w:basedOn w:val="OPCCharBase"/>
    <w:uiPriority w:val="1"/>
    <w:qFormat/>
    <w:rsid w:val="00CE3DE9"/>
  </w:style>
  <w:style w:type="character" w:customStyle="1" w:styleId="CharPartText">
    <w:name w:val="CharPartText"/>
    <w:basedOn w:val="OPCCharBase"/>
    <w:uiPriority w:val="1"/>
    <w:qFormat/>
    <w:rsid w:val="00CE3DE9"/>
  </w:style>
  <w:style w:type="character" w:customStyle="1" w:styleId="CharSectno">
    <w:name w:val="CharSectno"/>
    <w:basedOn w:val="OPCCharBase"/>
    <w:qFormat/>
    <w:rsid w:val="00CE3DE9"/>
  </w:style>
  <w:style w:type="character" w:customStyle="1" w:styleId="CharSubdNo">
    <w:name w:val="CharSubdNo"/>
    <w:basedOn w:val="OPCCharBase"/>
    <w:uiPriority w:val="1"/>
    <w:qFormat/>
    <w:rsid w:val="00CE3DE9"/>
  </w:style>
  <w:style w:type="character" w:customStyle="1" w:styleId="CharSubdText">
    <w:name w:val="CharSubdText"/>
    <w:basedOn w:val="OPCCharBase"/>
    <w:uiPriority w:val="1"/>
    <w:qFormat/>
    <w:rsid w:val="00CE3DE9"/>
  </w:style>
  <w:style w:type="paragraph" w:customStyle="1" w:styleId="CTA--">
    <w:name w:val="CTA --"/>
    <w:basedOn w:val="OPCParaBase"/>
    <w:next w:val="Normal"/>
    <w:rsid w:val="00CE3D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3D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3D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3D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3D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3D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3D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3D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3D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3D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3D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3D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3D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3D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E3D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3DE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E3D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E3DE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E3D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E3D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3D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3D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3D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3D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3D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3DE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3D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3D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3D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3D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3D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3D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3D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3D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3D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E3D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3D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3D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3D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3D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3D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3D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3D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3D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3D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3D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3D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3D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3D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3D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3D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3D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3D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3D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3D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E3DE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E3DE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E3DE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E3DE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E3DE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E3DE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E3DE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E3DE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E3DE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E3D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3D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3D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3D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3D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3D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3DE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3D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E3DE9"/>
    <w:rPr>
      <w:sz w:val="16"/>
    </w:rPr>
  </w:style>
  <w:style w:type="table" w:customStyle="1" w:styleId="CFlag">
    <w:name w:val="CFlag"/>
    <w:basedOn w:val="TableNormal"/>
    <w:uiPriority w:val="99"/>
    <w:rsid w:val="00CE3DE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E3D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743F3"/>
    <w:rPr>
      <w:color w:val="0000FF"/>
      <w:u w:val="single"/>
    </w:rPr>
  </w:style>
  <w:style w:type="table" w:styleId="TableGrid">
    <w:name w:val="Table Grid"/>
    <w:basedOn w:val="TableNormal"/>
    <w:uiPriority w:val="59"/>
    <w:rsid w:val="00CE3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E3DE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743F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E3DE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E3DE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E3DE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E3DE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3DE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E3DE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E3DE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E3DE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E3DE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CE3DE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3D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3D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3D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E3DE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E3DE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E3DE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3DE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E3DE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E3DE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E3DE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3DE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E3DE9"/>
  </w:style>
  <w:style w:type="character" w:customStyle="1" w:styleId="CharSubPartNoCASA">
    <w:name w:val="CharSubPartNo(CASA)"/>
    <w:basedOn w:val="OPCCharBase"/>
    <w:uiPriority w:val="1"/>
    <w:rsid w:val="00CE3DE9"/>
  </w:style>
  <w:style w:type="paragraph" w:customStyle="1" w:styleId="ENoteTTIndentHeadingSub">
    <w:name w:val="ENoteTTIndentHeadingSub"/>
    <w:aliases w:val="enTTHis"/>
    <w:basedOn w:val="OPCParaBase"/>
    <w:rsid w:val="00CE3DE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3DE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3DE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3DE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E3DE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95C4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3D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3DE9"/>
    <w:rPr>
      <w:sz w:val="22"/>
    </w:rPr>
  </w:style>
  <w:style w:type="paragraph" w:customStyle="1" w:styleId="SOTextNote">
    <w:name w:val="SO TextNote"/>
    <w:aliases w:val="sont"/>
    <w:basedOn w:val="SOText"/>
    <w:qFormat/>
    <w:rsid w:val="00CE3DE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3DE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E3DE9"/>
    <w:rPr>
      <w:sz w:val="22"/>
    </w:rPr>
  </w:style>
  <w:style w:type="paragraph" w:customStyle="1" w:styleId="FileName">
    <w:name w:val="FileName"/>
    <w:basedOn w:val="Normal"/>
    <w:rsid w:val="00CE3DE9"/>
  </w:style>
  <w:style w:type="paragraph" w:customStyle="1" w:styleId="TableHeading">
    <w:name w:val="TableHeading"/>
    <w:aliases w:val="th"/>
    <w:basedOn w:val="OPCParaBase"/>
    <w:next w:val="Tabletext"/>
    <w:rsid w:val="00CE3DE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3DE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E3DE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3DE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E3DE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E3DE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E3DE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3DE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E3DE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E3D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E3DE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E3DE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95C4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95C4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95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C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C4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C4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C4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C4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C4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C4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C4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E3DE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C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C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C4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C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C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C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C4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C4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C4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3DE9"/>
  </w:style>
  <w:style w:type="paragraph" w:customStyle="1" w:styleId="OPCParaBase">
    <w:name w:val="OPCParaBase"/>
    <w:qFormat/>
    <w:rsid w:val="00CE3DE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E3DE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3DE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3DE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3DE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3DE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E3DE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3DE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3DE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3DE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3DE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E3DE9"/>
  </w:style>
  <w:style w:type="paragraph" w:customStyle="1" w:styleId="Blocks">
    <w:name w:val="Blocks"/>
    <w:aliases w:val="bb"/>
    <w:basedOn w:val="OPCParaBase"/>
    <w:qFormat/>
    <w:rsid w:val="00CE3DE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3D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3DE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3DE9"/>
    <w:rPr>
      <w:i/>
    </w:rPr>
  </w:style>
  <w:style w:type="paragraph" w:customStyle="1" w:styleId="BoxList">
    <w:name w:val="BoxList"/>
    <w:aliases w:val="bl"/>
    <w:basedOn w:val="BoxText"/>
    <w:qFormat/>
    <w:rsid w:val="00CE3DE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3DE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3DE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3DE9"/>
    <w:pPr>
      <w:ind w:left="1985" w:hanging="851"/>
    </w:pPr>
  </w:style>
  <w:style w:type="character" w:customStyle="1" w:styleId="CharAmPartNo">
    <w:name w:val="CharAmPartNo"/>
    <w:basedOn w:val="OPCCharBase"/>
    <w:qFormat/>
    <w:rsid w:val="00CE3DE9"/>
  </w:style>
  <w:style w:type="character" w:customStyle="1" w:styleId="CharAmPartText">
    <w:name w:val="CharAmPartText"/>
    <w:basedOn w:val="OPCCharBase"/>
    <w:qFormat/>
    <w:rsid w:val="00CE3DE9"/>
  </w:style>
  <w:style w:type="character" w:customStyle="1" w:styleId="CharAmSchNo">
    <w:name w:val="CharAmSchNo"/>
    <w:basedOn w:val="OPCCharBase"/>
    <w:qFormat/>
    <w:rsid w:val="00CE3DE9"/>
  </w:style>
  <w:style w:type="character" w:customStyle="1" w:styleId="CharAmSchText">
    <w:name w:val="CharAmSchText"/>
    <w:basedOn w:val="OPCCharBase"/>
    <w:qFormat/>
    <w:rsid w:val="00CE3DE9"/>
  </w:style>
  <w:style w:type="character" w:customStyle="1" w:styleId="CharBoldItalic">
    <w:name w:val="CharBoldItalic"/>
    <w:basedOn w:val="OPCCharBase"/>
    <w:uiPriority w:val="1"/>
    <w:qFormat/>
    <w:rsid w:val="00CE3DE9"/>
    <w:rPr>
      <w:b/>
      <w:i/>
    </w:rPr>
  </w:style>
  <w:style w:type="character" w:customStyle="1" w:styleId="CharChapNo">
    <w:name w:val="CharChapNo"/>
    <w:basedOn w:val="OPCCharBase"/>
    <w:uiPriority w:val="1"/>
    <w:qFormat/>
    <w:rsid w:val="00CE3DE9"/>
  </w:style>
  <w:style w:type="character" w:customStyle="1" w:styleId="CharChapText">
    <w:name w:val="CharChapText"/>
    <w:basedOn w:val="OPCCharBase"/>
    <w:uiPriority w:val="1"/>
    <w:qFormat/>
    <w:rsid w:val="00CE3DE9"/>
  </w:style>
  <w:style w:type="character" w:customStyle="1" w:styleId="CharDivNo">
    <w:name w:val="CharDivNo"/>
    <w:basedOn w:val="OPCCharBase"/>
    <w:uiPriority w:val="1"/>
    <w:qFormat/>
    <w:rsid w:val="00CE3DE9"/>
  </w:style>
  <w:style w:type="character" w:customStyle="1" w:styleId="CharDivText">
    <w:name w:val="CharDivText"/>
    <w:basedOn w:val="OPCCharBase"/>
    <w:uiPriority w:val="1"/>
    <w:qFormat/>
    <w:rsid w:val="00CE3DE9"/>
  </w:style>
  <w:style w:type="character" w:customStyle="1" w:styleId="CharItalic">
    <w:name w:val="CharItalic"/>
    <w:basedOn w:val="OPCCharBase"/>
    <w:uiPriority w:val="1"/>
    <w:qFormat/>
    <w:rsid w:val="00CE3DE9"/>
    <w:rPr>
      <w:i/>
    </w:rPr>
  </w:style>
  <w:style w:type="character" w:customStyle="1" w:styleId="CharPartNo">
    <w:name w:val="CharPartNo"/>
    <w:basedOn w:val="OPCCharBase"/>
    <w:uiPriority w:val="1"/>
    <w:qFormat/>
    <w:rsid w:val="00CE3DE9"/>
  </w:style>
  <w:style w:type="character" w:customStyle="1" w:styleId="CharPartText">
    <w:name w:val="CharPartText"/>
    <w:basedOn w:val="OPCCharBase"/>
    <w:uiPriority w:val="1"/>
    <w:qFormat/>
    <w:rsid w:val="00CE3DE9"/>
  </w:style>
  <w:style w:type="character" w:customStyle="1" w:styleId="CharSectno">
    <w:name w:val="CharSectno"/>
    <w:basedOn w:val="OPCCharBase"/>
    <w:qFormat/>
    <w:rsid w:val="00CE3DE9"/>
  </w:style>
  <w:style w:type="character" w:customStyle="1" w:styleId="CharSubdNo">
    <w:name w:val="CharSubdNo"/>
    <w:basedOn w:val="OPCCharBase"/>
    <w:uiPriority w:val="1"/>
    <w:qFormat/>
    <w:rsid w:val="00CE3DE9"/>
  </w:style>
  <w:style w:type="character" w:customStyle="1" w:styleId="CharSubdText">
    <w:name w:val="CharSubdText"/>
    <w:basedOn w:val="OPCCharBase"/>
    <w:uiPriority w:val="1"/>
    <w:qFormat/>
    <w:rsid w:val="00CE3DE9"/>
  </w:style>
  <w:style w:type="paragraph" w:customStyle="1" w:styleId="CTA--">
    <w:name w:val="CTA --"/>
    <w:basedOn w:val="OPCParaBase"/>
    <w:next w:val="Normal"/>
    <w:rsid w:val="00CE3DE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3DE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3DE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3DE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3DE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3DE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3DE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3DE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3DE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3DE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3DE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3DE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3DE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3DE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E3DE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3DE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CE3D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E3DE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E3D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E3D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3DE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3DE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3DE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3DE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3DE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3DE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3DE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3DE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3DE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3DE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3DE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3DE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3DE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3DE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3DE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E3DE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3DE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3DE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3DE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3DE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3DE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3DE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3DE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3DE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3DE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3DE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3DE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3DE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3DE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3DE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3DE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3D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3DE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3DE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3DE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CE3DE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CE3DE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E3DE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E3DE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E3DE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CE3DE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E3DE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E3DE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CE3DE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E3DE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3DE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3DE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3DE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3DE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3DE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3DE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3DE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E3DE9"/>
    <w:rPr>
      <w:sz w:val="16"/>
    </w:rPr>
  </w:style>
  <w:style w:type="table" w:customStyle="1" w:styleId="CFlag">
    <w:name w:val="CFlag"/>
    <w:basedOn w:val="TableNormal"/>
    <w:uiPriority w:val="99"/>
    <w:rsid w:val="00CE3DE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E3D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E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743F3"/>
    <w:rPr>
      <w:color w:val="0000FF"/>
      <w:u w:val="single"/>
    </w:rPr>
  </w:style>
  <w:style w:type="table" w:styleId="TableGrid">
    <w:name w:val="Table Grid"/>
    <w:basedOn w:val="TableNormal"/>
    <w:uiPriority w:val="59"/>
    <w:rsid w:val="00CE3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E3DE9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4743F3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CE3DE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E3DE9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E3DE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E3DE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3DE9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E3DE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CE3DE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E3DE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CE3DE9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CE3DE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3DE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3DE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3DE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CE3DE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E3DE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E3DE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3DE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E3DE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E3DE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E3DE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3DE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E3DE9"/>
  </w:style>
  <w:style w:type="character" w:customStyle="1" w:styleId="CharSubPartNoCASA">
    <w:name w:val="CharSubPartNo(CASA)"/>
    <w:basedOn w:val="OPCCharBase"/>
    <w:uiPriority w:val="1"/>
    <w:rsid w:val="00CE3DE9"/>
  </w:style>
  <w:style w:type="paragraph" w:customStyle="1" w:styleId="ENoteTTIndentHeadingSub">
    <w:name w:val="ENoteTTIndentHeadingSub"/>
    <w:aliases w:val="enTTHis"/>
    <w:basedOn w:val="OPCParaBase"/>
    <w:rsid w:val="00CE3DE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3DE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3DE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3DE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E3DE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A95C4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3D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3DE9"/>
    <w:rPr>
      <w:sz w:val="22"/>
    </w:rPr>
  </w:style>
  <w:style w:type="paragraph" w:customStyle="1" w:styleId="SOTextNote">
    <w:name w:val="SO TextNote"/>
    <w:aliases w:val="sont"/>
    <w:basedOn w:val="SOText"/>
    <w:qFormat/>
    <w:rsid w:val="00CE3DE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3DE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E3DE9"/>
    <w:rPr>
      <w:sz w:val="22"/>
    </w:rPr>
  </w:style>
  <w:style w:type="paragraph" w:customStyle="1" w:styleId="FileName">
    <w:name w:val="FileName"/>
    <w:basedOn w:val="Normal"/>
    <w:rsid w:val="00CE3DE9"/>
  </w:style>
  <w:style w:type="paragraph" w:customStyle="1" w:styleId="TableHeading">
    <w:name w:val="TableHeading"/>
    <w:aliases w:val="th"/>
    <w:basedOn w:val="OPCParaBase"/>
    <w:next w:val="Tabletext"/>
    <w:rsid w:val="00CE3DE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3DE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E3DE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3DE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E3DE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E3DE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E3DE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3DE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E3DE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E3DE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E3DE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E3DE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95C4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95C4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95C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C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C4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C4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C4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C4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C4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C4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C4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1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2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998</Words>
  <Characters>5695</Characters>
  <Application>Microsoft Office Word</Application>
  <DocSecurity>4</DocSecurity>
  <PresentationFormat/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6680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2016-08-22T02:21:00Z</cp:lastPrinted>
  <dcterms:created xsi:type="dcterms:W3CDTF">2016-09-15T03:32:00Z</dcterms:created>
  <dcterms:modified xsi:type="dcterms:W3CDTF">2016-09-15T03:32:00Z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2016</vt:lpwstr>
  </property>
  <property fmtid="{D5CDD505-2E9C-101B-9397-08002B2CF9AE}" pid="3" name="ShortT">
    <vt:lpwstr>Consular Fees Amendment (Fees and Indexation) Regulation 2016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01 September 2016</vt:lpwstr>
  </property>
  <property fmtid="{D5CDD505-2E9C-101B-9397-08002B2CF9AE}" pid="10" name="Authority">
    <vt:lpwstr/>
  </property>
  <property fmtid="{D5CDD505-2E9C-101B-9397-08002B2CF9AE}" pid="11" name="ID">
    <vt:lpwstr>OPC62117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Consular Fees Act 1955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01 September 2016</vt:lpwstr>
  </property>
</Properties>
</file>