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6" w:rsidRDefault="00D072C4" w:rsidP="00ED0077">
      <w:pPr>
        <w:pStyle w:val="Title"/>
        <w:ind w:right="-518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36" w:rsidRDefault="003442B1" w:rsidP="00ED0077">
      <w:pPr>
        <w:pStyle w:val="Title"/>
        <w:ind w:right="-518"/>
        <w:rPr>
          <w:rFonts w:ascii="Times New Roman" w:hAnsi="Times New Roman"/>
        </w:rPr>
      </w:pPr>
    </w:p>
    <w:p w:rsidR="00395436" w:rsidRDefault="003442B1" w:rsidP="00ED0077">
      <w:pPr>
        <w:pStyle w:val="Title"/>
        <w:ind w:right="-518"/>
        <w:rPr>
          <w:rFonts w:ascii="Times New Roman" w:hAnsi="Times New Roman"/>
        </w:rPr>
      </w:pPr>
    </w:p>
    <w:p w:rsidR="00395436" w:rsidRDefault="00D072C4" w:rsidP="00ED0077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:rsidR="00395436" w:rsidRDefault="003442B1" w:rsidP="00ED0077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:rsidR="00395436" w:rsidRDefault="00D072C4" w:rsidP="00ED0077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Pr="00480B8F">
        <w:rPr>
          <w:b/>
          <w:snapToGrid w:val="0"/>
          <w:lang w:val="en-AU"/>
        </w:rPr>
        <w:t xml:space="preserve">list of threatened species, threatened ecological communities and key threatening processes under sections </w:t>
      </w:r>
      <w:r w:rsidRPr="00480B8F">
        <w:rPr>
          <w:b/>
          <w:snapToGrid w:val="0"/>
        </w:rPr>
        <w:t>178, 181 and 183</w:t>
      </w:r>
      <w:r w:rsidRPr="00480B8F">
        <w:rPr>
          <w:b/>
          <w:snapToGrid w:val="0"/>
          <w:lang w:val="en-AU"/>
        </w:rPr>
        <w:t xml:space="preserve"> of the </w:t>
      </w:r>
      <w:r w:rsidRPr="00480B8F">
        <w:rPr>
          <w:b/>
          <w:i/>
          <w:snapToGrid w:val="0"/>
          <w:lang w:val="en-AU"/>
        </w:rPr>
        <w:t xml:space="preserve">Environment Protection and Biodiversity Conservation Act 1999 </w:t>
      </w:r>
      <w:r w:rsidRPr="00480B8F">
        <w:rPr>
          <w:b/>
          <w:snapToGrid w:val="0"/>
          <w:lang w:val="en-AU"/>
        </w:rPr>
        <w:t>(EC</w:t>
      </w:r>
      <w:r>
        <w:rPr>
          <w:b/>
          <w:snapToGrid w:val="0"/>
          <w:lang w:val="en-AU"/>
        </w:rPr>
        <w:t>131</w:t>
      </w:r>
      <w:r w:rsidRPr="00480B8F">
        <w:rPr>
          <w:b/>
          <w:snapToGrid w:val="0"/>
          <w:lang w:val="en-AU"/>
        </w:rPr>
        <w:t>)</w:t>
      </w: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D072C4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>
        <w:rPr>
          <w:snapToGrid w:val="0"/>
          <w:lang w:val="en-AU"/>
        </w:rPr>
        <w:t>JOSH FRYDENBERG</w:t>
      </w:r>
      <w:r w:rsidRPr="00480B8F">
        <w:rPr>
          <w:snapToGrid w:val="0"/>
          <w:lang w:val="en-AU"/>
        </w:rPr>
        <w:t xml:space="preserve">, Minister for the </w:t>
      </w:r>
      <w:r w:rsidRPr="00480B8F">
        <w:rPr>
          <w:bCs/>
          <w:lang w:val="en-AU"/>
        </w:rPr>
        <w:t>Environment</w:t>
      </w:r>
      <w:r>
        <w:rPr>
          <w:bCs/>
          <w:lang w:val="en-AU"/>
        </w:rPr>
        <w:t xml:space="preserve"> and Energy</w:t>
      </w:r>
      <w:r w:rsidRPr="00480B8F">
        <w:rPr>
          <w:snapToGrid w:val="0"/>
          <w:lang w:val="en-AU"/>
        </w:rPr>
        <w:t>, pursuant</w:t>
      </w:r>
      <w:r>
        <w:rPr>
          <w:snapToGrid w:val="0"/>
          <w:lang w:val="en-AU"/>
        </w:rPr>
        <w:t xml:space="preserve"> to paragraph 184(1</w:t>
      </w:r>
      <w:proofErr w:type="gramStart"/>
      <w:r>
        <w:rPr>
          <w:snapToGrid w:val="0"/>
          <w:lang w:val="en-AU"/>
        </w:rPr>
        <w:t>)(</w:t>
      </w:r>
      <w:proofErr w:type="gramEnd"/>
      <w:r>
        <w:rPr>
          <w:snapToGrid w:val="0"/>
          <w:lang w:val="en-AU"/>
        </w:rPr>
        <w:t xml:space="preserve">a) 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:rsidR="00F7236E" w:rsidRDefault="00D072C4" w:rsidP="00ED0077">
      <w:pPr>
        <w:spacing w:before="120"/>
        <w:ind w:right="-518"/>
        <w:rPr>
          <w:lang w:val="en-AU"/>
        </w:rPr>
      </w:pPr>
      <w:proofErr w:type="gramStart"/>
      <w:r>
        <w:rPr>
          <w:lang w:val="en-AU"/>
        </w:rPr>
        <w:t>including</w:t>
      </w:r>
      <w:proofErr w:type="gramEnd"/>
      <w:r>
        <w:rPr>
          <w:lang w:val="en-AU"/>
        </w:rPr>
        <w:t xml:space="preserve"> in the list in the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</w:p>
    <w:p w:rsidR="00395436" w:rsidRPr="0067763B" w:rsidRDefault="00D072C4" w:rsidP="00ED0077">
      <w:pPr>
        <w:spacing w:before="120"/>
        <w:ind w:right="-518"/>
        <w:jc w:val="center"/>
        <w:rPr>
          <w:b/>
          <w:color w:val="000000"/>
          <w:lang w:val="en-AU"/>
        </w:rPr>
      </w:pPr>
      <w:r>
        <w:rPr>
          <w:b/>
          <w:lang w:val="en-AU"/>
        </w:rPr>
        <w:t xml:space="preserve">Banksia Woodlands of the Swan Coastal Plain </w:t>
      </w:r>
      <w:r w:rsidRPr="00480B8F">
        <w:rPr>
          <w:b/>
          <w:lang w:val="en-AU"/>
        </w:rPr>
        <w:t>ecological community</w:t>
      </w:r>
    </w:p>
    <w:p w:rsidR="00395436" w:rsidRPr="009A6505" w:rsidRDefault="00D072C4" w:rsidP="00ED0077">
      <w:pPr>
        <w:spacing w:before="120" w:after="120"/>
        <w:ind w:right="-518"/>
        <w:rPr>
          <w:lang w:val="en-AU"/>
        </w:rPr>
      </w:pPr>
      <w:proofErr w:type="gramStart"/>
      <w:r w:rsidRPr="00CA76F0">
        <w:rPr>
          <w:lang w:val="en-AU"/>
        </w:rPr>
        <w:t>as</w:t>
      </w:r>
      <w:proofErr w:type="gramEnd"/>
      <w:r w:rsidRPr="00CA76F0">
        <w:rPr>
          <w:lang w:val="en-AU"/>
        </w:rPr>
        <w:t xml:space="preserve"> described in the Schedule to this instrument.</w:t>
      </w:r>
    </w:p>
    <w:p w:rsidR="00395436" w:rsidRDefault="003442B1" w:rsidP="00ED0077">
      <w:pPr>
        <w:spacing w:after="60"/>
        <w:ind w:right="-518"/>
        <w:rPr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D072C4" w:rsidP="00ED0077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this…...........</w:t>
      </w:r>
      <w:r w:rsidR="00C70AE5">
        <w:rPr>
          <w:lang w:val="en-AU"/>
        </w:rPr>
        <w:t>26</w:t>
      </w:r>
      <w:r>
        <w:rPr>
          <w:lang w:val="en-AU"/>
        </w:rPr>
        <w:t>.............................day of….................</w:t>
      </w:r>
      <w:r w:rsidR="00C70AE5">
        <w:rPr>
          <w:lang w:val="en-AU"/>
        </w:rPr>
        <w:t>August..</w:t>
      </w:r>
      <w:r>
        <w:rPr>
          <w:lang w:val="en-AU"/>
        </w:rPr>
        <w:t>.........................2016</w:t>
      </w: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C70AE5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[</w:t>
      </w:r>
      <w:proofErr w:type="gramStart"/>
      <w:r>
        <w:rPr>
          <w:snapToGrid w:val="0"/>
          <w:lang w:val="en-AU"/>
        </w:rPr>
        <w:t>signed</w:t>
      </w:r>
      <w:proofErr w:type="gramEnd"/>
      <w:r>
        <w:rPr>
          <w:snapToGrid w:val="0"/>
          <w:lang w:val="en-AU"/>
        </w:rPr>
        <w:t>]</w:t>
      </w:r>
      <w:bookmarkStart w:id="0" w:name="_GoBack"/>
      <w:bookmarkEnd w:id="0"/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3442B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Pr="00C266C1" w:rsidRDefault="00D072C4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C266C1">
        <w:rPr>
          <w:snapToGrid w:val="0"/>
          <w:lang w:val="en-AU"/>
        </w:rPr>
        <w:t>JOSH FRYDENBERG</w:t>
      </w:r>
    </w:p>
    <w:p w:rsidR="00395436" w:rsidRPr="0024271A" w:rsidRDefault="00D072C4" w:rsidP="00ED0077">
      <w:pPr>
        <w:pStyle w:val="Heading1"/>
        <w:ind w:right="-518"/>
        <w:rPr>
          <w:rFonts w:ascii="Times New Roman" w:hAnsi="Times New Roman"/>
          <w:sz w:val="24"/>
          <w:szCs w:val="24"/>
          <w:lang w:val="en-AU"/>
        </w:rPr>
      </w:pPr>
      <w:r w:rsidRPr="00C266C1">
        <w:rPr>
          <w:rFonts w:ascii="Times New Roman" w:hAnsi="Times New Roman"/>
          <w:sz w:val="24"/>
          <w:szCs w:val="24"/>
          <w:lang w:val="en-AU"/>
        </w:rPr>
        <w:t>Minister for</w:t>
      </w:r>
      <w:r w:rsidRPr="00C266C1">
        <w:rPr>
          <w:rFonts w:ascii="Times New Roman" w:hAnsi="Times New Roman"/>
          <w:bCs/>
          <w:sz w:val="24"/>
          <w:szCs w:val="24"/>
          <w:lang w:val="en-AU"/>
        </w:rPr>
        <w:t xml:space="preserve"> the Environment and Energy</w:t>
      </w:r>
    </w:p>
    <w:p w:rsidR="00395436" w:rsidRDefault="003442B1">
      <w:pPr>
        <w:ind w:right="-342"/>
        <w:rPr>
          <w:lang w:val="en-AU"/>
        </w:rPr>
      </w:pPr>
    </w:p>
    <w:p w:rsidR="00395436" w:rsidRDefault="00D072C4" w:rsidP="00ED0077">
      <w:pPr>
        <w:ind w:right="-518"/>
        <w:jc w:val="center"/>
        <w:rPr>
          <w:lang w:val="en-AU"/>
        </w:rPr>
      </w:pPr>
      <w:r>
        <w:rPr>
          <w:lang w:val="en-AU"/>
        </w:rPr>
        <w:br w:type="page"/>
      </w:r>
      <w:r>
        <w:rPr>
          <w:lang w:val="en-AU"/>
        </w:rPr>
        <w:lastRenderedPageBreak/>
        <w:t>SCHEDULE</w:t>
      </w:r>
    </w:p>
    <w:p w:rsidR="00395436" w:rsidRDefault="003442B1" w:rsidP="00ED0077">
      <w:pPr>
        <w:ind w:right="-518"/>
        <w:jc w:val="center"/>
        <w:rPr>
          <w:lang w:val="en-AU"/>
        </w:rPr>
      </w:pPr>
    </w:p>
    <w:p w:rsidR="000373E7" w:rsidRDefault="00D072C4" w:rsidP="00B63FE7">
      <w:pPr>
        <w:spacing w:after="120"/>
        <w:ind w:right="-518"/>
        <w:rPr>
          <w:b/>
          <w:lang w:val="en-AU"/>
        </w:rPr>
      </w:pPr>
      <w:r>
        <w:rPr>
          <w:b/>
          <w:lang w:val="en-AU"/>
        </w:rPr>
        <w:t xml:space="preserve">Banksia Woodlands of the Swan Coastal Plain </w:t>
      </w:r>
    </w:p>
    <w:p w:rsidR="00B837EB" w:rsidRPr="003A1E1C" w:rsidRDefault="00D072C4" w:rsidP="0075328A">
      <w:pPr>
        <w:pStyle w:val="ListBullet"/>
        <w:numPr>
          <w:ilvl w:val="0"/>
          <w:numId w:val="0"/>
        </w:numPr>
        <w:spacing w:after="120"/>
        <w:ind w:right="-516"/>
        <w:contextualSpacing w:val="0"/>
      </w:pPr>
      <w:r w:rsidRPr="000373E7">
        <w:rPr>
          <w:lang w:val="en-AU"/>
        </w:rPr>
        <w:t xml:space="preserve">The Banksia </w:t>
      </w:r>
      <w:r>
        <w:rPr>
          <w:lang w:val="en-AU"/>
        </w:rPr>
        <w:t>W</w:t>
      </w:r>
      <w:r w:rsidRPr="000373E7">
        <w:rPr>
          <w:lang w:val="en-AU"/>
        </w:rPr>
        <w:t>oodlands of the Swan Coastal Plain</w:t>
      </w:r>
      <w:r>
        <w:rPr>
          <w:b/>
          <w:lang w:val="en-AU"/>
        </w:rPr>
        <w:t xml:space="preserve"> </w:t>
      </w:r>
      <w:r w:rsidRPr="00480B8F">
        <w:rPr>
          <w:lang w:val="en-AU"/>
        </w:rPr>
        <w:t>ecological community</w:t>
      </w:r>
      <w:r>
        <w:rPr>
          <w:b/>
          <w:lang w:val="en-AU"/>
        </w:rPr>
        <w:t xml:space="preserve"> </w:t>
      </w:r>
      <w:r>
        <w:t xml:space="preserve">occurs in southwestern Western Australia. </w:t>
      </w:r>
      <w:r w:rsidRPr="004A2244">
        <w:t xml:space="preserve">It </w:t>
      </w:r>
      <w:r>
        <w:t xml:space="preserve">primarily </w:t>
      </w:r>
      <w:r w:rsidRPr="004A2244">
        <w:t xml:space="preserve">occurs in the </w:t>
      </w:r>
      <w:r>
        <w:rPr>
          <w:lang w:eastAsia="en-AU"/>
        </w:rPr>
        <w:t>Swan Coastal Plain (SWA) bioregion, which</w:t>
      </w:r>
      <w:r>
        <w:t xml:space="preserve"> covers the coastal plain from around </w:t>
      </w:r>
      <w:proofErr w:type="spellStart"/>
      <w:r>
        <w:t>Jurien</w:t>
      </w:r>
      <w:proofErr w:type="spellEnd"/>
      <w:r>
        <w:t xml:space="preserve"> Bay south, through Perth, to around </w:t>
      </w:r>
      <w:proofErr w:type="spellStart"/>
      <w:r>
        <w:t>Dunsborough</w:t>
      </w:r>
      <w:proofErr w:type="spellEnd"/>
      <w:r>
        <w:t xml:space="preserve">, and also the </w:t>
      </w:r>
      <w:proofErr w:type="spellStart"/>
      <w:r>
        <w:t>Dandaragan</w:t>
      </w:r>
      <w:proofErr w:type="spellEnd"/>
      <w:r>
        <w:t xml:space="preserve"> Plateau. S</w:t>
      </w:r>
      <w:r>
        <w:rPr>
          <w:lang w:eastAsia="en-AU"/>
        </w:rPr>
        <w:t xml:space="preserve">ome patches extend onto adjacent areas of the </w:t>
      </w:r>
      <w:proofErr w:type="spellStart"/>
      <w:r>
        <w:rPr>
          <w:lang w:eastAsia="en-AU"/>
        </w:rPr>
        <w:t>neighbouring</w:t>
      </w:r>
      <w:proofErr w:type="spellEnd"/>
      <w:r>
        <w:rPr>
          <w:lang w:eastAsia="en-AU"/>
        </w:rPr>
        <w:t xml:space="preserve"> </w:t>
      </w:r>
      <w:proofErr w:type="spellStart"/>
      <w:r>
        <w:rPr>
          <w:lang w:eastAsia="en-AU"/>
        </w:rPr>
        <w:t>Jarrah</w:t>
      </w:r>
      <w:proofErr w:type="spellEnd"/>
      <w:r>
        <w:rPr>
          <w:lang w:eastAsia="en-AU"/>
        </w:rPr>
        <w:t xml:space="preserve"> Forests (JAF) bioregion</w:t>
      </w:r>
      <w:r>
        <w:rPr>
          <w:bCs/>
        </w:rPr>
        <w:t xml:space="preserve">. (Bioregions at the time of listing are based on </w:t>
      </w:r>
      <w:r w:rsidRPr="004A2244">
        <w:rPr>
          <w:bCs/>
        </w:rPr>
        <w:t xml:space="preserve">Interim </w:t>
      </w:r>
      <w:proofErr w:type="spellStart"/>
      <w:r w:rsidRPr="004A2244">
        <w:rPr>
          <w:bCs/>
        </w:rPr>
        <w:t>Biogeographical</w:t>
      </w:r>
      <w:proofErr w:type="spellEnd"/>
      <w:r w:rsidRPr="004A2244">
        <w:rPr>
          <w:bCs/>
        </w:rPr>
        <w:t xml:space="preserve"> </w:t>
      </w:r>
      <w:proofErr w:type="spellStart"/>
      <w:r w:rsidRPr="004A2244">
        <w:rPr>
          <w:bCs/>
        </w:rPr>
        <w:t>Regionalisation</w:t>
      </w:r>
      <w:proofErr w:type="spellEnd"/>
      <w:r w:rsidRPr="004A2244">
        <w:rPr>
          <w:bCs/>
        </w:rPr>
        <w:t xml:space="preserve"> of Australia (IBRA</w:t>
      </w:r>
      <w:r>
        <w:rPr>
          <w:bCs/>
        </w:rPr>
        <w:t>)</w:t>
      </w:r>
      <w:r w:rsidRPr="004A2244">
        <w:rPr>
          <w:bCs/>
        </w:rPr>
        <w:t xml:space="preserve"> v</w:t>
      </w:r>
      <w:r>
        <w:rPr>
          <w:bCs/>
        </w:rPr>
        <w:t xml:space="preserve">ersion </w:t>
      </w:r>
      <w:r w:rsidRPr="004A2244">
        <w:rPr>
          <w:bCs/>
        </w:rPr>
        <w:t>7)</w:t>
      </w:r>
      <w:r w:rsidRPr="004A2244">
        <w:rPr>
          <w:lang w:eastAsia="en-AU"/>
        </w:rPr>
        <w:t>.</w:t>
      </w:r>
      <w:r w:rsidRPr="004A2244">
        <w:t xml:space="preserve"> </w:t>
      </w:r>
    </w:p>
    <w:p w:rsidR="00557D67" w:rsidRPr="0010559A" w:rsidRDefault="00D072C4" w:rsidP="0050678A">
      <w:pPr>
        <w:spacing w:after="120"/>
        <w:ind w:right="-516"/>
      </w:pPr>
      <w:r>
        <w:t xml:space="preserve">The ecological community typically occurs on well drained, low nutrient soils on </w:t>
      </w:r>
      <w:proofErr w:type="spellStart"/>
      <w:r>
        <w:t>sandplain</w:t>
      </w:r>
      <w:proofErr w:type="spellEnd"/>
      <w:r>
        <w:t xml:space="preserve"> landforms, particularly deep </w:t>
      </w:r>
      <w:proofErr w:type="spellStart"/>
      <w:r>
        <w:t>Bassendean</w:t>
      </w:r>
      <w:proofErr w:type="spellEnd"/>
      <w:r>
        <w:t xml:space="preserve"> and </w:t>
      </w:r>
      <w:proofErr w:type="spellStart"/>
      <w:r>
        <w:t>Spearwood</w:t>
      </w:r>
      <w:proofErr w:type="spellEnd"/>
      <w:r>
        <w:t xml:space="preserve"> sands and occasionally on </w:t>
      </w:r>
      <w:proofErr w:type="spellStart"/>
      <w:r>
        <w:t>Quindalup</w:t>
      </w:r>
      <w:proofErr w:type="spellEnd"/>
      <w:r>
        <w:t xml:space="preserve"> sands; and is also common on sandy </w:t>
      </w:r>
      <w:proofErr w:type="spellStart"/>
      <w:r>
        <w:t>colluvium</w:t>
      </w:r>
      <w:proofErr w:type="spellEnd"/>
      <w:r>
        <w:t xml:space="preserve"> and </w:t>
      </w:r>
      <w:proofErr w:type="spellStart"/>
      <w:r>
        <w:t>aeolian</w:t>
      </w:r>
      <w:proofErr w:type="spellEnd"/>
      <w:r>
        <w:t xml:space="preserve"> sands of the Ridge Hill Shelf, </w:t>
      </w:r>
      <w:proofErr w:type="spellStart"/>
      <w:r>
        <w:t>Whicher</w:t>
      </w:r>
      <w:proofErr w:type="spellEnd"/>
      <w:r>
        <w:t xml:space="preserve"> Scarp and </w:t>
      </w:r>
      <w:proofErr w:type="spellStart"/>
      <w:r>
        <w:t>Dandaragan</w:t>
      </w:r>
      <w:proofErr w:type="spellEnd"/>
      <w:r>
        <w:t xml:space="preserve"> Plateau</w:t>
      </w:r>
      <w:r w:rsidRPr="0021359C">
        <w:t>.</w:t>
      </w:r>
    </w:p>
    <w:p w:rsidR="00D37CDB" w:rsidRDefault="00D072C4" w:rsidP="00D37CDB">
      <w:pPr>
        <w:pStyle w:val="ListBullet"/>
        <w:numPr>
          <w:ilvl w:val="0"/>
          <w:numId w:val="0"/>
        </w:numPr>
        <w:spacing w:after="120"/>
        <w:ind w:right="-516"/>
        <w:contextualSpacing w:val="0"/>
        <w:rPr>
          <w:lang w:eastAsia="en-AU"/>
        </w:rPr>
      </w:pPr>
      <w:r>
        <w:rPr>
          <w:lang w:eastAsia="en-AU"/>
        </w:rPr>
        <w:t xml:space="preserve">The structure of the ecological community is </w:t>
      </w:r>
      <w:proofErr w:type="gramStart"/>
      <w:r>
        <w:rPr>
          <w:lang w:eastAsia="en-AU"/>
        </w:rPr>
        <w:t>a low</w:t>
      </w:r>
      <w:proofErr w:type="gramEnd"/>
      <w:r>
        <w:rPr>
          <w:lang w:eastAsia="en-AU"/>
        </w:rPr>
        <w:t xml:space="preserve"> woodland to forest. </w:t>
      </w:r>
    </w:p>
    <w:p w:rsidR="00557D67" w:rsidRDefault="00D072C4" w:rsidP="00AA6C93">
      <w:pPr>
        <w:pStyle w:val="ListBullet"/>
        <w:numPr>
          <w:ilvl w:val="0"/>
          <w:numId w:val="0"/>
        </w:numPr>
        <w:ind w:right="-516"/>
        <w:contextualSpacing w:val="0"/>
      </w:pPr>
      <w:r>
        <w:t>The canopy</w:t>
      </w:r>
      <w:r w:rsidRPr="00D37CDB">
        <w:t xml:space="preserve"> of low trees</w:t>
      </w:r>
      <w:r>
        <w:t xml:space="preserve"> (</w:t>
      </w:r>
      <w:r w:rsidRPr="00D37CDB">
        <w:t xml:space="preserve">occasionally large shrubs more than 2 </w:t>
      </w:r>
      <w:proofErr w:type="spellStart"/>
      <w:r w:rsidRPr="00D37CDB">
        <w:t>m</w:t>
      </w:r>
      <w:r>
        <w:t>etres</w:t>
      </w:r>
      <w:proofErr w:type="spellEnd"/>
      <w:r>
        <w:t xml:space="preserve"> tall) must include</w:t>
      </w:r>
      <w:r w:rsidRPr="00D37CDB">
        <w:t xml:space="preserve"> one or more of the </w:t>
      </w:r>
      <w:r>
        <w:t xml:space="preserve">following </w:t>
      </w:r>
      <w:r w:rsidRPr="00D37CDB">
        <w:rPr>
          <w:i/>
        </w:rPr>
        <w:t>Banksia</w:t>
      </w:r>
      <w:r>
        <w:t xml:space="preserve"> species: </w:t>
      </w:r>
    </w:p>
    <w:p w:rsidR="00AA6C93" w:rsidRPr="0021359C" w:rsidRDefault="00D072C4" w:rsidP="00AA6C93">
      <w:pPr>
        <w:pStyle w:val="ListParagraph"/>
        <w:numPr>
          <w:ilvl w:val="0"/>
          <w:numId w:val="12"/>
        </w:numPr>
        <w:spacing w:after="0"/>
        <w:ind w:left="714" w:right="-516" w:hanging="357"/>
        <w:rPr>
          <w:i/>
          <w:szCs w:val="24"/>
        </w:rPr>
      </w:pPr>
      <w:r w:rsidRPr="0021359C">
        <w:rPr>
          <w:i/>
          <w:szCs w:val="24"/>
        </w:rPr>
        <w:t xml:space="preserve">Banksia </w:t>
      </w:r>
      <w:proofErr w:type="spellStart"/>
      <w:r w:rsidRPr="0021359C">
        <w:rPr>
          <w:i/>
          <w:szCs w:val="24"/>
        </w:rPr>
        <w:t>attenuata</w:t>
      </w:r>
      <w:proofErr w:type="spellEnd"/>
      <w:r w:rsidRPr="0021359C">
        <w:rPr>
          <w:i/>
          <w:szCs w:val="24"/>
        </w:rPr>
        <w:t xml:space="preserve"> </w:t>
      </w:r>
      <w:r w:rsidRPr="0021359C">
        <w:rPr>
          <w:szCs w:val="24"/>
        </w:rPr>
        <w:t xml:space="preserve">(candlestick </w:t>
      </w:r>
      <w:proofErr w:type="spellStart"/>
      <w:r w:rsidRPr="0021359C">
        <w:rPr>
          <w:szCs w:val="24"/>
        </w:rPr>
        <w:t>banksia</w:t>
      </w:r>
      <w:proofErr w:type="spellEnd"/>
      <w:r w:rsidRPr="0021359C">
        <w:rPr>
          <w:szCs w:val="24"/>
        </w:rPr>
        <w:t>)</w:t>
      </w:r>
      <w:r>
        <w:rPr>
          <w:szCs w:val="24"/>
        </w:rPr>
        <w:t>;</w:t>
      </w:r>
    </w:p>
    <w:p w:rsidR="00AA6C93" w:rsidRPr="0021359C" w:rsidRDefault="00D072C4" w:rsidP="00AA6C93">
      <w:pPr>
        <w:pStyle w:val="ListParagraph"/>
        <w:numPr>
          <w:ilvl w:val="0"/>
          <w:numId w:val="12"/>
        </w:numPr>
        <w:spacing w:after="0"/>
        <w:ind w:left="714" w:right="-516" w:hanging="357"/>
        <w:rPr>
          <w:i/>
          <w:szCs w:val="24"/>
        </w:rPr>
      </w:pPr>
      <w:r w:rsidRPr="0021359C">
        <w:rPr>
          <w:i/>
          <w:szCs w:val="24"/>
        </w:rPr>
        <w:t xml:space="preserve">Banksia </w:t>
      </w:r>
      <w:proofErr w:type="spellStart"/>
      <w:r w:rsidRPr="0021359C">
        <w:rPr>
          <w:i/>
          <w:szCs w:val="24"/>
        </w:rPr>
        <w:t>menziesii</w:t>
      </w:r>
      <w:proofErr w:type="spellEnd"/>
      <w:r w:rsidRPr="0021359C">
        <w:rPr>
          <w:i/>
          <w:szCs w:val="24"/>
        </w:rPr>
        <w:t xml:space="preserve"> </w:t>
      </w:r>
      <w:r w:rsidRPr="0021359C">
        <w:rPr>
          <w:szCs w:val="24"/>
        </w:rPr>
        <w:t xml:space="preserve">(firewood </w:t>
      </w:r>
      <w:proofErr w:type="spellStart"/>
      <w:r w:rsidRPr="0021359C">
        <w:rPr>
          <w:szCs w:val="24"/>
        </w:rPr>
        <w:t>banksia</w:t>
      </w:r>
      <w:proofErr w:type="spellEnd"/>
      <w:r w:rsidRPr="0021359C">
        <w:rPr>
          <w:szCs w:val="24"/>
        </w:rPr>
        <w:t>)</w:t>
      </w:r>
      <w:r>
        <w:rPr>
          <w:szCs w:val="24"/>
        </w:rPr>
        <w:t>;</w:t>
      </w:r>
    </w:p>
    <w:p w:rsidR="00AA6C93" w:rsidRPr="0021359C" w:rsidRDefault="00D072C4" w:rsidP="00AA6C93">
      <w:pPr>
        <w:pStyle w:val="ListParagraph"/>
        <w:numPr>
          <w:ilvl w:val="0"/>
          <w:numId w:val="12"/>
        </w:numPr>
        <w:spacing w:after="0"/>
        <w:ind w:left="714" w:right="-516" w:hanging="357"/>
        <w:rPr>
          <w:i/>
          <w:szCs w:val="24"/>
        </w:rPr>
      </w:pPr>
      <w:r w:rsidRPr="0021359C">
        <w:rPr>
          <w:i/>
          <w:szCs w:val="24"/>
        </w:rPr>
        <w:t xml:space="preserve">Banksia </w:t>
      </w:r>
      <w:proofErr w:type="spellStart"/>
      <w:r w:rsidRPr="0021359C">
        <w:rPr>
          <w:i/>
          <w:szCs w:val="24"/>
        </w:rPr>
        <w:t>prionotes</w:t>
      </w:r>
      <w:proofErr w:type="spellEnd"/>
      <w:r w:rsidRPr="0021359C">
        <w:rPr>
          <w:i/>
          <w:szCs w:val="24"/>
        </w:rPr>
        <w:t xml:space="preserve"> </w:t>
      </w:r>
      <w:r w:rsidRPr="0021359C">
        <w:rPr>
          <w:szCs w:val="24"/>
        </w:rPr>
        <w:t xml:space="preserve">(acorn </w:t>
      </w:r>
      <w:proofErr w:type="spellStart"/>
      <w:r w:rsidRPr="0021359C">
        <w:rPr>
          <w:szCs w:val="24"/>
        </w:rPr>
        <w:t>banksia</w:t>
      </w:r>
      <w:proofErr w:type="spellEnd"/>
      <w:r w:rsidRPr="0021359C">
        <w:rPr>
          <w:szCs w:val="24"/>
        </w:rPr>
        <w:t>)</w:t>
      </w:r>
      <w:r>
        <w:rPr>
          <w:szCs w:val="24"/>
        </w:rPr>
        <w:t>; and/or</w:t>
      </w:r>
    </w:p>
    <w:p w:rsidR="00AA6C93" w:rsidRPr="00AA6C93" w:rsidRDefault="00D072C4" w:rsidP="00DA63F0">
      <w:pPr>
        <w:pStyle w:val="ListParagraph"/>
        <w:numPr>
          <w:ilvl w:val="0"/>
          <w:numId w:val="12"/>
        </w:numPr>
        <w:ind w:left="714" w:right="-516" w:hanging="357"/>
        <w:rPr>
          <w:i/>
          <w:szCs w:val="24"/>
        </w:rPr>
      </w:pPr>
      <w:r w:rsidRPr="0021359C">
        <w:rPr>
          <w:i/>
          <w:szCs w:val="24"/>
        </w:rPr>
        <w:t xml:space="preserve">Banksia </w:t>
      </w:r>
      <w:proofErr w:type="spellStart"/>
      <w:r w:rsidRPr="0021359C">
        <w:rPr>
          <w:i/>
          <w:szCs w:val="24"/>
        </w:rPr>
        <w:t>ilicifolia</w:t>
      </w:r>
      <w:proofErr w:type="spellEnd"/>
      <w:r w:rsidRPr="0021359C">
        <w:rPr>
          <w:i/>
          <w:szCs w:val="24"/>
        </w:rPr>
        <w:t xml:space="preserve"> </w:t>
      </w:r>
      <w:r w:rsidRPr="0021359C">
        <w:rPr>
          <w:szCs w:val="24"/>
        </w:rPr>
        <w:t xml:space="preserve">(holly-leaved </w:t>
      </w:r>
      <w:proofErr w:type="spellStart"/>
      <w:r w:rsidRPr="0021359C">
        <w:rPr>
          <w:szCs w:val="24"/>
        </w:rPr>
        <w:t>banksia</w:t>
      </w:r>
      <w:proofErr w:type="spellEnd"/>
      <w:r w:rsidRPr="0021359C">
        <w:rPr>
          <w:szCs w:val="24"/>
        </w:rPr>
        <w:t>)</w:t>
      </w:r>
      <w:r>
        <w:rPr>
          <w:szCs w:val="24"/>
        </w:rPr>
        <w:t>.</w:t>
      </w:r>
    </w:p>
    <w:p w:rsidR="00AA6C93" w:rsidRPr="00AA6C93" w:rsidRDefault="00D072C4" w:rsidP="00AA6C93">
      <w:pPr>
        <w:spacing w:after="120"/>
        <w:ind w:right="-516"/>
        <w:rPr>
          <w:i/>
        </w:rPr>
      </w:pPr>
      <w:r w:rsidRPr="00AA6C93">
        <w:t xml:space="preserve">The canopy is most commonly dominated or co-dominated by </w:t>
      </w:r>
      <w:r w:rsidRPr="00AA6C93">
        <w:rPr>
          <w:i/>
        </w:rPr>
        <w:t xml:space="preserve">Banksia </w:t>
      </w:r>
      <w:proofErr w:type="spellStart"/>
      <w:r w:rsidRPr="00AA6C93">
        <w:rPr>
          <w:i/>
        </w:rPr>
        <w:t>attenuata</w:t>
      </w:r>
      <w:proofErr w:type="spellEnd"/>
      <w:r w:rsidRPr="00AA6C93">
        <w:t xml:space="preserve"> (candlestick </w:t>
      </w:r>
      <w:proofErr w:type="spellStart"/>
      <w:r w:rsidRPr="00AA6C93">
        <w:t>banksia</w:t>
      </w:r>
      <w:proofErr w:type="spellEnd"/>
      <w:r w:rsidRPr="00AA6C93">
        <w:t xml:space="preserve">, slender </w:t>
      </w:r>
      <w:proofErr w:type="spellStart"/>
      <w:r w:rsidRPr="00AA6C93">
        <w:t>banksia</w:t>
      </w:r>
      <w:proofErr w:type="spellEnd"/>
      <w:r w:rsidRPr="00AA6C93">
        <w:t xml:space="preserve">) and/or </w:t>
      </w:r>
      <w:r w:rsidRPr="00AA6C93">
        <w:rPr>
          <w:i/>
        </w:rPr>
        <w:t xml:space="preserve">B. </w:t>
      </w:r>
      <w:proofErr w:type="spellStart"/>
      <w:r w:rsidRPr="00AA6C93">
        <w:rPr>
          <w:i/>
        </w:rPr>
        <w:t>menziesii</w:t>
      </w:r>
      <w:proofErr w:type="spellEnd"/>
      <w:r w:rsidRPr="00AA6C93">
        <w:rPr>
          <w:i/>
        </w:rPr>
        <w:t xml:space="preserve"> </w:t>
      </w:r>
      <w:r w:rsidRPr="00AA6C93">
        <w:t xml:space="preserve">(firewood </w:t>
      </w:r>
      <w:proofErr w:type="spellStart"/>
      <w:r w:rsidRPr="00AA6C93">
        <w:t>banksia</w:t>
      </w:r>
      <w:proofErr w:type="spellEnd"/>
      <w:r w:rsidRPr="00AA6C93">
        <w:t xml:space="preserve">). Other </w:t>
      </w:r>
      <w:r w:rsidRPr="00AA6C93">
        <w:rPr>
          <w:i/>
        </w:rPr>
        <w:t>Banksia</w:t>
      </w:r>
      <w:r w:rsidRPr="00AA6C93">
        <w:t xml:space="preserve"> species that dominate in some examples of the ecological community are </w:t>
      </w:r>
      <w:r w:rsidRPr="00AA6C93">
        <w:rPr>
          <w:i/>
        </w:rPr>
        <w:t>B. </w:t>
      </w:r>
      <w:proofErr w:type="spellStart"/>
      <w:r w:rsidRPr="00AA6C93">
        <w:rPr>
          <w:i/>
        </w:rPr>
        <w:t>prionotes</w:t>
      </w:r>
      <w:proofErr w:type="spellEnd"/>
      <w:r w:rsidRPr="00AA6C93">
        <w:rPr>
          <w:i/>
        </w:rPr>
        <w:t xml:space="preserve"> </w:t>
      </w:r>
      <w:r w:rsidRPr="00AA6C93">
        <w:t xml:space="preserve">(acorn </w:t>
      </w:r>
      <w:proofErr w:type="spellStart"/>
      <w:r w:rsidRPr="00AA6C93">
        <w:t>banksia</w:t>
      </w:r>
      <w:proofErr w:type="spellEnd"/>
      <w:r w:rsidRPr="00AA6C93">
        <w:t xml:space="preserve">) or </w:t>
      </w:r>
      <w:proofErr w:type="spellStart"/>
      <w:r w:rsidRPr="00AA6C93">
        <w:rPr>
          <w:i/>
        </w:rPr>
        <w:t>B.ilicifolia</w:t>
      </w:r>
      <w:proofErr w:type="spellEnd"/>
      <w:r w:rsidRPr="00AA6C93">
        <w:rPr>
          <w:i/>
        </w:rPr>
        <w:t xml:space="preserve"> </w:t>
      </w:r>
      <w:r w:rsidRPr="00AA6C93">
        <w:t xml:space="preserve">(holly-leaved </w:t>
      </w:r>
      <w:proofErr w:type="spellStart"/>
      <w:r w:rsidRPr="00AA6C93">
        <w:t>banksia</w:t>
      </w:r>
      <w:proofErr w:type="spellEnd"/>
      <w:r w:rsidRPr="00AA6C93">
        <w:t>)</w:t>
      </w:r>
      <w:r>
        <w:t>.</w:t>
      </w:r>
      <w:r w:rsidRPr="00AA6C93">
        <w:t xml:space="preserve"> </w:t>
      </w:r>
    </w:p>
    <w:p w:rsidR="00AA6C93" w:rsidRDefault="00D072C4" w:rsidP="00D37CDB">
      <w:pPr>
        <w:spacing w:after="120"/>
        <w:ind w:right="-516"/>
      </w:pPr>
      <w:r w:rsidRPr="0021359C">
        <w:t xml:space="preserve">Other trees of a medium height </w:t>
      </w:r>
      <w:r>
        <w:t xml:space="preserve">that </w:t>
      </w:r>
      <w:r w:rsidRPr="0021359C">
        <w:t>may be present</w:t>
      </w:r>
      <w:r>
        <w:t xml:space="preserve">, and may be </w:t>
      </w:r>
      <w:proofErr w:type="spellStart"/>
      <w:r>
        <w:t>codominant</w:t>
      </w:r>
      <w:proofErr w:type="spellEnd"/>
      <w:r>
        <w:t xml:space="preserve"> with the </w:t>
      </w:r>
      <w:r w:rsidRPr="00E46BC7">
        <w:rPr>
          <w:i/>
        </w:rPr>
        <w:t>Banksia</w:t>
      </w:r>
      <w:r>
        <w:t xml:space="preserve"> species across a patch,</w:t>
      </w:r>
      <w:r w:rsidRPr="0021359C">
        <w:t xml:space="preserve"> include </w:t>
      </w:r>
      <w:r w:rsidRPr="0021359C">
        <w:rPr>
          <w:i/>
        </w:rPr>
        <w:t xml:space="preserve">Eucalyptus </w:t>
      </w:r>
      <w:proofErr w:type="spellStart"/>
      <w:r w:rsidRPr="0021359C">
        <w:rPr>
          <w:i/>
        </w:rPr>
        <w:t>todtiana</w:t>
      </w:r>
      <w:proofErr w:type="spellEnd"/>
      <w:r w:rsidRPr="0021359C">
        <w:rPr>
          <w:i/>
        </w:rPr>
        <w:t xml:space="preserve"> </w:t>
      </w:r>
      <w:r w:rsidRPr="0021359C">
        <w:t>(</w:t>
      </w:r>
      <w:proofErr w:type="spellStart"/>
      <w:r w:rsidRPr="0021359C">
        <w:t>blackbutt</w:t>
      </w:r>
      <w:proofErr w:type="spellEnd"/>
      <w:r w:rsidRPr="0021359C">
        <w:t xml:space="preserve">, </w:t>
      </w:r>
      <w:proofErr w:type="spellStart"/>
      <w:r w:rsidRPr="0021359C">
        <w:t>pricklybark</w:t>
      </w:r>
      <w:proofErr w:type="spellEnd"/>
      <w:r w:rsidRPr="0021359C">
        <w:t xml:space="preserve">), </w:t>
      </w:r>
      <w:proofErr w:type="spellStart"/>
      <w:r w:rsidRPr="0021359C">
        <w:rPr>
          <w:i/>
        </w:rPr>
        <w:t>Nuytsia</w:t>
      </w:r>
      <w:proofErr w:type="spellEnd"/>
      <w:r w:rsidRPr="0021359C">
        <w:rPr>
          <w:i/>
        </w:rPr>
        <w:t xml:space="preserve"> floribunda </w:t>
      </w:r>
      <w:r w:rsidRPr="0021359C">
        <w:t xml:space="preserve">(Western Australian Christmas tree), </w:t>
      </w:r>
      <w:proofErr w:type="spellStart"/>
      <w:r w:rsidRPr="0021359C">
        <w:rPr>
          <w:i/>
        </w:rPr>
        <w:t>Allocasuarina</w:t>
      </w:r>
      <w:proofErr w:type="spellEnd"/>
      <w:r w:rsidRPr="0021359C">
        <w:rPr>
          <w:i/>
        </w:rPr>
        <w:t xml:space="preserve"> </w:t>
      </w:r>
      <w:proofErr w:type="spellStart"/>
      <w:r w:rsidRPr="0021359C">
        <w:rPr>
          <w:i/>
        </w:rPr>
        <w:t>fraseriana</w:t>
      </w:r>
      <w:proofErr w:type="spellEnd"/>
      <w:r w:rsidRPr="0021359C">
        <w:rPr>
          <w:i/>
        </w:rPr>
        <w:t xml:space="preserve"> </w:t>
      </w:r>
      <w:r w:rsidRPr="0021359C">
        <w:t xml:space="preserve">(western </w:t>
      </w:r>
      <w:proofErr w:type="spellStart"/>
      <w:r w:rsidRPr="0021359C">
        <w:t>sheoak</w:t>
      </w:r>
      <w:proofErr w:type="spellEnd"/>
      <w:r w:rsidRPr="0021359C">
        <w:t xml:space="preserve">), </w:t>
      </w:r>
      <w:proofErr w:type="spellStart"/>
      <w:r w:rsidRPr="0021359C">
        <w:rPr>
          <w:i/>
        </w:rPr>
        <w:t>Callitris</w:t>
      </w:r>
      <w:proofErr w:type="spellEnd"/>
      <w:r w:rsidRPr="0021359C">
        <w:rPr>
          <w:i/>
        </w:rPr>
        <w:t xml:space="preserve"> </w:t>
      </w:r>
      <w:proofErr w:type="spellStart"/>
      <w:r w:rsidRPr="0021359C">
        <w:rPr>
          <w:i/>
        </w:rPr>
        <w:t>arenaria</w:t>
      </w:r>
      <w:proofErr w:type="spellEnd"/>
      <w:r w:rsidRPr="0021359C">
        <w:rPr>
          <w:i/>
        </w:rPr>
        <w:t xml:space="preserve"> </w:t>
      </w:r>
      <w:r w:rsidRPr="0021359C">
        <w:t>(</w:t>
      </w:r>
      <w:proofErr w:type="spellStart"/>
      <w:r w:rsidRPr="0021359C">
        <w:t>sandplain</w:t>
      </w:r>
      <w:proofErr w:type="spellEnd"/>
      <w:r w:rsidRPr="0021359C">
        <w:t xml:space="preserve"> cypress)</w:t>
      </w:r>
      <w:r>
        <w:t xml:space="preserve">, </w:t>
      </w:r>
      <w:proofErr w:type="spellStart"/>
      <w:r w:rsidRPr="0021359C">
        <w:rPr>
          <w:i/>
        </w:rPr>
        <w:t>Callitris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pyramidalis</w:t>
      </w:r>
      <w:proofErr w:type="spellEnd"/>
      <w:r>
        <w:t xml:space="preserve"> (swamp cypress)</w:t>
      </w:r>
      <w:r w:rsidRPr="0021359C">
        <w:rPr>
          <w:i/>
        </w:rPr>
        <w:t xml:space="preserve"> </w:t>
      </w:r>
      <w:r w:rsidRPr="0021359C">
        <w:t xml:space="preserve">and </w:t>
      </w:r>
      <w:proofErr w:type="spellStart"/>
      <w:r w:rsidRPr="0021359C">
        <w:rPr>
          <w:i/>
        </w:rPr>
        <w:t>Xylomelum</w:t>
      </w:r>
      <w:proofErr w:type="spellEnd"/>
      <w:r w:rsidRPr="0021359C">
        <w:rPr>
          <w:i/>
        </w:rPr>
        <w:t xml:space="preserve"> </w:t>
      </w:r>
      <w:proofErr w:type="spellStart"/>
      <w:r w:rsidRPr="0021359C">
        <w:rPr>
          <w:i/>
        </w:rPr>
        <w:t>occidentale</w:t>
      </w:r>
      <w:proofErr w:type="spellEnd"/>
      <w:r>
        <w:t xml:space="preserve"> (woody pear).</w:t>
      </w:r>
    </w:p>
    <w:p w:rsidR="00557D67" w:rsidRPr="002F651D" w:rsidRDefault="00D072C4" w:rsidP="00ED7ED8">
      <w:pPr>
        <w:spacing w:after="120"/>
        <w:ind w:right="-516"/>
      </w:pPr>
      <w:r w:rsidRPr="00D37CDB">
        <w:t xml:space="preserve">Emergent trees of medium or tall (&gt;10 m) height may sometimes be present above the </w:t>
      </w:r>
      <w:r w:rsidRPr="00D37CDB">
        <w:rPr>
          <w:i/>
        </w:rPr>
        <w:t>Banksia</w:t>
      </w:r>
      <w:r>
        <w:t xml:space="preserve"> canopy and often </w:t>
      </w:r>
      <w:r w:rsidRPr="0021359C">
        <w:t>include</w:t>
      </w:r>
      <w:r w:rsidRPr="0021359C">
        <w:rPr>
          <w:i/>
        </w:rPr>
        <w:t xml:space="preserve"> </w:t>
      </w:r>
      <w:proofErr w:type="spellStart"/>
      <w:r w:rsidRPr="0021359C">
        <w:rPr>
          <w:i/>
        </w:rPr>
        <w:t>Corymbia</w:t>
      </w:r>
      <w:proofErr w:type="spellEnd"/>
      <w:r w:rsidRPr="0021359C">
        <w:rPr>
          <w:i/>
        </w:rPr>
        <w:t xml:space="preserve"> </w:t>
      </w:r>
      <w:proofErr w:type="spellStart"/>
      <w:r w:rsidRPr="0021359C">
        <w:rPr>
          <w:i/>
        </w:rPr>
        <w:t>calophylla</w:t>
      </w:r>
      <w:proofErr w:type="spellEnd"/>
      <w:r w:rsidRPr="0021359C">
        <w:t xml:space="preserve"> (</w:t>
      </w:r>
      <w:proofErr w:type="spellStart"/>
      <w:r w:rsidRPr="0021359C">
        <w:t>marri</w:t>
      </w:r>
      <w:proofErr w:type="spellEnd"/>
      <w:r w:rsidRPr="0021359C">
        <w:t>),</w:t>
      </w:r>
      <w:r w:rsidRPr="0021359C">
        <w:rPr>
          <w:i/>
        </w:rPr>
        <w:t xml:space="preserve"> Eucalyptus </w:t>
      </w:r>
      <w:proofErr w:type="spellStart"/>
      <w:r w:rsidRPr="0021359C">
        <w:rPr>
          <w:i/>
        </w:rPr>
        <w:t>gomphocephala</w:t>
      </w:r>
      <w:proofErr w:type="spellEnd"/>
      <w:r w:rsidRPr="0021359C">
        <w:t xml:space="preserve"> (</w:t>
      </w:r>
      <w:proofErr w:type="spellStart"/>
      <w:r w:rsidRPr="0021359C">
        <w:t>tuart</w:t>
      </w:r>
      <w:proofErr w:type="spellEnd"/>
      <w:r w:rsidRPr="0021359C">
        <w:t>) and</w:t>
      </w:r>
      <w:r>
        <w:t>/or</w:t>
      </w:r>
      <w:r w:rsidRPr="0021359C">
        <w:t xml:space="preserve"> </w:t>
      </w:r>
      <w:r w:rsidRPr="0021359C">
        <w:rPr>
          <w:i/>
        </w:rPr>
        <w:t>E</w:t>
      </w:r>
      <w:r w:rsidRPr="0021359C">
        <w:t>.</w:t>
      </w:r>
      <w:r w:rsidRPr="0021359C">
        <w:rPr>
          <w:i/>
        </w:rPr>
        <w:t xml:space="preserve"> </w:t>
      </w:r>
      <w:proofErr w:type="spellStart"/>
      <w:r w:rsidRPr="0021359C">
        <w:rPr>
          <w:i/>
        </w:rPr>
        <w:t>marginata</w:t>
      </w:r>
      <w:proofErr w:type="spellEnd"/>
      <w:r w:rsidRPr="0021359C">
        <w:t xml:space="preserve"> (</w:t>
      </w:r>
      <w:proofErr w:type="spellStart"/>
      <w:r w:rsidRPr="0021359C">
        <w:t>jarrah</w:t>
      </w:r>
      <w:proofErr w:type="spellEnd"/>
      <w:r w:rsidRPr="0021359C">
        <w:t>)</w:t>
      </w:r>
      <w:r>
        <w:rPr>
          <w:color w:val="000000" w:themeColor="text1"/>
        </w:rPr>
        <w:t>.</w:t>
      </w:r>
    </w:p>
    <w:p w:rsidR="008870B4" w:rsidRDefault="00D072C4" w:rsidP="008870B4">
      <w:pPr>
        <w:pStyle w:val="ListBullet"/>
        <w:numPr>
          <w:ilvl w:val="0"/>
          <w:numId w:val="0"/>
        </w:numPr>
        <w:tabs>
          <w:tab w:val="left" w:pos="8273"/>
        </w:tabs>
        <w:spacing w:after="120"/>
        <w:ind w:right="-518"/>
        <w:contextualSpacing w:val="0"/>
        <w:rPr>
          <w:lang w:val="en-AU"/>
        </w:rPr>
      </w:pPr>
      <w:r>
        <w:t xml:space="preserve">The </w:t>
      </w:r>
      <w:proofErr w:type="spellStart"/>
      <w:r>
        <w:t>understorey</w:t>
      </w:r>
      <w:proofErr w:type="spellEnd"/>
      <w:r>
        <w:t xml:space="preserve"> typically contains a high to very high diversity of shrub and herb species that often varies in species composition from patch to patch.  The </w:t>
      </w:r>
      <w:r w:rsidRPr="0021359C">
        <w:rPr>
          <w:lang w:val="en-AU"/>
        </w:rPr>
        <w:t>shrub</w:t>
      </w:r>
      <w:r>
        <w:rPr>
          <w:lang w:val="en-AU"/>
        </w:rPr>
        <w:t>s are typically sclerophyllous species of various heights. The ground layer may comprise various species of cord rushes, sedges,</w:t>
      </w:r>
      <w:r w:rsidRPr="0021359C">
        <w:rPr>
          <w:lang w:val="en-AU"/>
        </w:rPr>
        <w:t xml:space="preserve"> perennial and ephemeral</w:t>
      </w:r>
      <w:r>
        <w:rPr>
          <w:lang w:val="en-AU"/>
        </w:rPr>
        <w:t xml:space="preserve"> forbs</w:t>
      </w:r>
      <w:r w:rsidRPr="0021359C">
        <w:rPr>
          <w:lang w:val="en-AU"/>
        </w:rPr>
        <w:t xml:space="preserve"> </w:t>
      </w:r>
      <w:r>
        <w:rPr>
          <w:lang w:val="en-AU"/>
        </w:rPr>
        <w:t>and, sometimes,</w:t>
      </w:r>
      <w:r w:rsidRPr="0021359C">
        <w:rPr>
          <w:lang w:val="en-AU"/>
        </w:rPr>
        <w:t xml:space="preserve"> grasses</w:t>
      </w:r>
      <w:r>
        <w:rPr>
          <w:lang w:val="en-AU"/>
        </w:rPr>
        <w:t>.</w:t>
      </w:r>
    </w:p>
    <w:p w:rsidR="00165EDA" w:rsidRPr="00797DCB" w:rsidRDefault="00D072C4" w:rsidP="008870B4">
      <w:pPr>
        <w:pStyle w:val="ListBullet"/>
        <w:numPr>
          <w:ilvl w:val="0"/>
          <w:numId w:val="0"/>
        </w:numPr>
        <w:tabs>
          <w:tab w:val="left" w:pos="8273"/>
        </w:tabs>
        <w:spacing w:after="120"/>
        <w:ind w:right="-518"/>
        <w:contextualSpacing w:val="0"/>
        <w:rPr>
          <w:rFonts w:eastAsiaTheme="majorEastAsia"/>
          <w:bCs/>
          <w:i/>
          <w:u w:val="single"/>
        </w:rPr>
      </w:pPr>
      <w:r>
        <w:t>The ecological community</w:t>
      </w:r>
      <w:r w:rsidRPr="004A2244">
        <w:t xml:space="preserve"> provides habitat to a variety of </w:t>
      </w:r>
      <w:r>
        <w:t xml:space="preserve">fauna species, including nationally threatened species such as </w:t>
      </w:r>
      <w:proofErr w:type="spellStart"/>
      <w:r>
        <w:t>Carnaby’s</w:t>
      </w:r>
      <w:proofErr w:type="spellEnd"/>
      <w:r>
        <w:t xml:space="preserve"> black cockatoo </w:t>
      </w:r>
      <w:r w:rsidRPr="00DA63F0">
        <w:t>(</w:t>
      </w:r>
      <w:proofErr w:type="spellStart"/>
      <w:r>
        <w:rPr>
          <w:i/>
        </w:rPr>
        <w:t>Calyptorhynchus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latirostris</w:t>
      </w:r>
      <w:proofErr w:type="spellEnd"/>
      <w:r w:rsidRPr="00DA63F0">
        <w:t>)</w:t>
      </w:r>
      <w:r>
        <w:t>.</w:t>
      </w:r>
    </w:p>
    <w:p w:rsidR="00FE6AAC" w:rsidRPr="00797DCB" w:rsidRDefault="003442B1" w:rsidP="00797DCB">
      <w:pPr>
        <w:rPr>
          <w:rFonts w:eastAsia="Calibri"/>
          <w:lang w:eastAsia="en-AU"/>
        </w:rPr>
      </w:pPr>
    </w:p>
    <w:sectPr w:rsidR="00FE6AAC" w:rsidRPr="00797DCB" w:rsidSect="00395436">
      <w:footerReference w:type="defaul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2E" w:rsidRDefault="00D072C4">
      <w:r>
        <w:separator/>
      </w:r>
    </w:p>
  </w:endnote>
  <w:endnote w:type="continuationSeparator" w:id="0">
    <w:p w:rsidR="00405E2E" w:rsidRDefault="00D0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D0" w:rsidRDefault="003442B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2E" w:rsidRDefault="00D072C4">
      <w:r>
        <w:separator/>
      </w:r>
    </w:p>
  </w:footnote>
  <w:footnote w:type="continuationSeparator" w:id="0">
    <w:p w:rsidR="00405E2E" w:rsidRDefault="00D07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7C5FE25F-24F1-4B86-B824-5D18577A25F2}"/>
    <w:docVar w:name="dgnword-eventsink" w:val="105880168"/>
  </w:docVars>
  <w:rsids>
    <w:rsidRoot w:val="00D072C4"/>
    <w:rsid w:val="003442B1"/>
    <w:rsid w:val="00405E2E"/>
    <w:rsid w:val="009F2044"/>
    <w:rsid w:val="00C70AE5"/>
    <w:rsid w:val="00D0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caption" w:locked="1" w:uiPriority="35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List Number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516F-459C-4772-B54B-A533C0A0CC90}"/>
</file>

<file path=customXml/itemProps2.xml><?xml version="1.0" encoding="utf-8"?>
<ds:datastoreItem xmlns:ds="http://schemas.openxmlformats.org/officeDocument/2006/customXml" ds:itemID="{FDB97B9C-9AA3-4FF8-BC13-6D6E59958A9A}"/>
</file>

<file path=customXml/itemProps3.xml><?xml version="1.0" encoding="utf-8"?>
<ds:datastoreItem xmlns:ds="http://schemas.openxmlformats.org/officeDocument/2006/customXml" ds:itemID="{2FBF9833-B431-46E6-9275-919E23D8808C}"/>
</file>

<file path=customXml/itemProps4.xml><?xml version="1.0" encoding="utf-8"?>
<ds:datastoreItem xmlns:ds="http://schemas.openxmlformats.org/officeDocument/2006/customXml" ds:itemID="{6829DB4C-5B99-4329-9AA2-BBC34F005D15}"/>
</file>

<file path=customXml/itemProps5.xml><?xml version="1.0" encoding="utf-8"?>
<ds:datastoreItem xmlns:ds="http://schemas.openxmlformats.org/officeDocument/2006/customXml" ds:itemID="{DBA2AD4B-E1A0-4487-B36B-FE204F457AA1}"/>
</file>

<file path=customXml/itemProps6.xml><?xml version="1.0" encoding="utf-8"?>
<ds:datastoreItem xmlns:ds="http://schemas.openxmlformats.org/officeDocument/2006/customXml" ds:itemID="{DE5B8960-4FFC-4E20-AF87-00904E651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F - Instrument and Schedule</vt:lpstr>
    </vt:vector>
  </TitlesOfParts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14.9.16 Ecological Communities - amendment to list - banksia woodlands - swan coastal plain - Unsigned instrument</dc:title>
  <dc:subject>Amendment to the EPBC Act to protect Southern Highlands Shale forest and woodland</dc:subject>
  <dc:creator/>
  <cp:lastModifiedBy/>
  <cp:revision>1</cp:revision>
  <cp:lastPrinted>2010-10-19T04:27:00Z</cp:lastPrinted>
  <dcterms:created xsi:type="dcterms:W3CDTF">2016-09-14T02:37:00Z</dcterms:created>
  <dcterms:modified xsi:type="dcterms:W3CDTF">2016-09-14T02:37:00Z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15 August 2016</vt:lpwstr>
  </property>
  <property fmtid="{D5CDD505-2E9C-101B-9397-08002B2CF9AE}" pid="4" name="ClearanceDueDate">
    <vt:lpwstr/>
  </property>
  <property fmtid="{D5CDD505-2E9C-101B-9397-08002B2CF9AE}" pid="5" name="ContentTypeId">
    <vt:lpwstr>0x010100BB2CA5D4910ACE4AADB481B488BD147400FA829B4AF55F244EAE47CDC9BD732406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Geoff Richardson</vt:lpwstr>
  </property>
  <property fmtid="{D5CDD505-2E9C-101B-9397-08002B2CF9AE}" pid="12" name="Ministers">
    <vt:lpwstr>Greg Hunt</vt:lpwstr>
  </property>
  <property fmtid="{D5CDD505-2E9C-101B-9397-08002B2CF9AE}" pid="13" name="PdrId">
    <vt:lpwstr>MS15-001355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{8603bb64-ffce-48ca-be1c-084f01c244e0}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{890acc58-830d-4c0f-8f38-0a6dcc0cb92f}</vt:lpwstr>
  </property>
  <property fmtid="{D5CDD505-2E9C-101B-9397-08002B2CF9AE}" pid="19" name="RecordPoint_ActiveItemUniqueId">
    <vt:lpwstr>{abb9833a-206e-4c19-b045-84846c29e019}</vt:lpwstr>
  </property>
  <property fmtid="{D5CDD505-2E9C-101B-9397-08002B2CF9AE}" pid="20" name="RecordPoint_ActiveItemWebId">
    <vt:lpwstr>{7d1753f3-b6db-484b-93d6-b74f5ca30d2d}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10 June 2015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Greg Hunt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Amendment to the EPBC Act to protect Southern Highlands Shale forest and woodland</vt:lpwstr>
  </property>
  <property fmtid="{D5CDD505-2E9C-101B-9397-08002B2CF9AE}" pid="32" name="TaskSeqNo">
    <vt:lpwstr>2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