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AEF2E" w14:textId="77777777" w:rsidR="003B7524" w:rsidRDefault="003B7524" w:rsidP="003B7524">
      <w:pPr>
        <w:rPr>
          <w:b/>
        </w:rPr>
      </w:pPr>
    </w:p>
    <w:p w14:paraId="17567CDF" w14:textId="77777777" w:rsidR="003B7524" w:rsidRDefault="00442258" w:rsidP="003B7524">
      <w:pPr>
        <w:tabs>
          <w:tab w:val="right" w:pos="8312"/>
        </w:tabs>
        <w:rPr>
          <w:b/>
        </w:rPr>
      </w:pPr>
      <w:r>
        <w:rPr>
          <w:b/>
          <w:noProof/>
        </w:rPr>
        <w:pict w14:anchorId="5920D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10.8pt;width:250.6pt;height:63.95pt;z-index:251657728">
            <v:imagedata r:id="rId9" o:title="AUSTRAC_L2"/>
          </v:shape>
        </w:pict>
      </w:r>
      <w:r w:rsidR="003B7524">
        <w:rPr>
          <w:b/>
        </w:rPr>
        <w:tab/>
      </w:r>
    </w:p>
    <w:p w14:paraId="6C014396" w14:textId="77777777" w:rsidR="003B7524" w:rsidRDefault="003B7524" w:rsidP="003B7524">
      <w:pPr>
        <w:rPr>
          <w:b/>
        </w:rPr>
      </w:pPr>
    </w:p>
    <w:p w14:paraId="078AC3C3" w14:textId="77777777" w:rsidR="003B7524" w:rsidRDefault="003B7524" w:rsidP="003B7524">
      <w:pPr>
        <w:rPr>
          <w:b/>
        </w:rPr>
      </w:pPr>
    </w:p>
    <w:p w14:paraId="7184C376" w14:textId="77777777" w:rsidR="003B7524" w:rsidRPr="00102477" w:rsidRDefault="003B7524" w:rsidP="003B7524">
      <w:pPr>
        <w:rPr>
          <w:b/>
        </w:rPr>
      </w:pPr>
    </w:p>
    <w:p w14:paraId="0D4B8BD8" w14:textId="77777777" w:rsidR="003B7524" w:rsidRDefault="003B7524" w:rsidP="003B7524">
      <w:pPr>
        <w:autoSpaceDE w:val="0"/>
        <w:autoSpaceDN w:val="0"/>
        <w:adjustRightInd w:val="0"/>
        <w:rPr>
          <w:b/>
        </w:rPr>
      </w:pPr>
    </w:p>
    <w:p w14:paraId="702F0990" w14:textId="77777777" w:rsidR="003B7524" w:rsidRDefault="003B7524" w:rsidP="003B7524"/>
    <w:p w14:paraId="578EC8CE" w14:textId="77777777" w:rsidR="003B7524" w:rsidRDefault="003B7524" w:rsidP="003B7524"/>
    <w:p w14:paraId="1BBA6B78" w14:textId="60EEE62D" w:rsidR="003B7524" w:rsidRPr="00BF4F6F" w:rsidRDefault="003B7524" w:rsidP="003B7524">
      <w:pPr>
        <w:tabs>
          <w:tab w:val="left" w:pos="360"/>
          <w:tab w:val="left" w:pos="1080"/>
          <w:tab w:val="left" w:pos="3600"/>
        </w:tabs>
        <w:jc w:val="center"/>
        <w:rPr>
          <w:rFonts w:ascii="Times New Roman" w:hAnsi="Times New Roman"/>
          <w:b/>
          <w:sz w:val="24"/>
        </w:rPr>
      </w:pPr>
      <w:r w:rsidRPr="00BF4F6F">
        <w:rPr>
          <w:rFonts w:ascii="Times New Roman" w:hAnsi="Times New Roman"/>
          <w:b/>
          <w:sz w:val="24"/>
        </w:rPr>
        <w:t xml:space="preserve">Explanatory </w:t>
      </w:r>
      <w:r w:rsidR="003C0500" w:rsidRPr="00BF4F6F">
        <w:rPr>
          <w:rFonts w:ascii="Times New Roman" w:hAnsi="Times New Roman"/>
          <w:b/>
          <w:sz w:val="24"/>
        </w:rPr>
        <w:t xml:space="preserve">Statement </w:t>
      </w:r>
      <w:r w:rsidRPr="00BF4F6F">
        <w:rPr>
          <w:rFonts w:ascii="Times New Roman" w:hAnsi="Times New Roman"/>
          <w:b/>
          <w:sz w:val="24"/>
        </w:rPr>
        <w:t xml:space="preserve">– </w:t>
      </w:r>
      <w:r w:rsidR="00134CA6" w:rsidRPr="00BF4F6F">
        <w:rPr>
          <w:rFonts w:ascii="Times New Roman" w:hAnsi="Times New Roman"/>
          <w:b/>
          <w:i/>
          <w:sz w:val="24"/>
        </w:rPr>
        <w:t xml:space="preserve">Anti-Money </w:t>
      </w:r>
      <w:proofErr w:type="gramStart"/>
      <w:r w:rsidR="00134CA6" w:rsidRPr="00BF4F6F">
        <w:rPr>
          <w:rFonts w:ascii="Times New Roman" w:hAnsi="Times New Roman"/>
          <w:b/>
          <w:i/>
          <w:sz w:val="24"/>
        </w:rPr>
        <w:t>Laundering</w:t>
      </w:r>
      <w:proofErr w:type="gramEnd"/>
      <w:r w:rsidR="00134CA6" w:rsidRPr="00BF4F6F">
        <w:rPr>
          <w:rFonts w:ascii="Times New Roman" w:hAnsi="Times New Roman"/>
          <w:b/>
          <w:i/>
          <w:sz w:val="24"/>
        </w:rPr>
        <w:t xml:space="preserve"> and Counter-Terrorism Financing Rules </w:t>
      </w:r>
      <w:r w:rsidR="00856FD6" w:rsidRPr="00BF4F6F">
        <w:rPr>
          <w:rFonts w:ascii="Times New Roman" w:hAnsi="Times New Roman"/>
          <w:b/>
          <w:i/>
          <w:sz w:val="24"/>
        </w:rPr>
        <w:t>Amendment Instrument 201</w:t>
      </w:r>
      <w:r w:rsidR="002D4E09">
        <w:rPr>
          <w:rFonts w:ascii="Times New Roman" w:hAnsi="Times New Roman"/>
          <w:b/>
          <w:i/>
          <w:sz w:val="24"/>
        </w:rPr>
        <w:t>6</w:t>
      </w:r>
      <w:r w:rsidR="00856FD6" w:rsidRPr="00BF4F6F">
        <w:rPr>
          <w:rFonts w:ascii="Times New Roman" w:hAnsi="Times New Roman"/>
          <w:b/>
          <w:i/>
          <w:sz w:val="24"/>
        </w:rPr>
        <w:t xml:space="preserve"> (No. </w:t>
      </w:r>
      <w:r w:rsidR="002D4E09">
        <w:rPr>
          <w:rFonts w:ascii="Times New Roman" w:hAnsi="Times New Roman"/>
          <w:b/>
          <w:i/>
          <w:sz w:val="24"/>
        </w:rPr>
        <w:t>1</w:t>
      </w:r>
      <w:r w:rsidR="00134CA6" w:rsidRPr="00BF4F6F">
        <w:rPr>
          <w:rFonts w:ascii="Times New Roman" w:hAnsi="Times New Roman"/>
          <w:b/>
          <w:i/>
          <w:sz w:val="24"/>
        </w:rPr>
        <w:t xml:space="preserve">) </w:t>
      </w:r>
      <w:r w:rsidR="00134CA6" w:rsidRPr="00BF4F6F">
        <w:rPr>
          <w:rFonts w:ascii="Times New Roman" w:hAnsi="Times New Roman"/>
          <w:b/>
          <w:sz w:val="24"/>
        </w:rPr>
        <w:t xml:space="preserve">amending the </w:t>
      </w:r>
      <w:r w:rsidRPr="00BF4F6F">
        <w:rPr>
          <w:rFonts w:ascii="Times New Roman" w:hAnsi="Times New Roman"/>
          <w:b/>
          <w:i/>
          <w:sz w:val="24"/>
        </w:rPr>
        <w:t xml:space="preserve">Anti-Money Laundering and Counter-Terrorism Financing Rules Instrument 2007 (No. 1) </w:t>
      </w:r>
    </w:p>
    <w:p w14:paraId="59B98BE5" w14:textId="77777777" w:rsidR="003B7524" w:rsidRDefault="003B7524" w:rsidP="003B7524">
      <w:pPr>
        <w:rPr>
          <w:rFonts w:ascii="Times New Roman" w:hAnsi="Times New Roman"/>
          <w:b/>
          <w:sz w:val="24"/>
        </w:rPr>
      </w:pPr>
    </w:p>
    <w:p w14:paraId="21DC642E" w14:textId="540D0F27" w:rsidR="003B7524" w:rsidRPr="00F0454D" w:rsidRDefault="003B7524" w:rsidP="00D543D8">
      <w:pPr>
        <w:rPr>
          <w:rFonts w:ascii="Times New Roman" w:hAnsi="Times New Roman"/>
          <w:b/>
          <w:sz w:val="24"/>
        </w:rPr>
      </w:pPr>
      <w:r w:rsidRPr="00F0454D">
        <w:rPr>
          <w:rFonts w:ascii="Times New Roman" w:hAnsi="Times New Roman"/>
          <w:b/>
          <w:sz w:val="24"/>
        </w:rPr>
        <w:t>Purpose and operation of An</w:t>
      </w:r>
      <w:r w:rsidR="00F7392E">
        <w:rPr>
          <w:rFonts w:ascii="Times New Roman" w:hAnsi="Times New Roman"/>
          <w:b/>
          <w:sz w:val="24"/>
        </w:rPr>
        <w:t>ti-Money Laundering</w:t>
      </w:r>
      <w:r w:rsidR="009808DB">
        <w:rPr>
          <w:rFonts w:ascii="Times New Roman" w:hAnsi="Times New Roman"/>
          <w:b/>
          <w:sz w:val="24"/>
        </w:rPr>
        <w:t>/</w:t>
      </w:r>
      <w:r w:rsidR="00F7392E">
        <w:rPr>
          <w:rFonts w:ascii="Times New Roman" w:hAnsi="Times New Roman"/>
          <w:b/>
          <w:sz w:val="24"/>
        </w:rPr>
        <w:t>Counter</w:t>
      </w:r>
      <w:r w:rsidR="00F7392E">
        <w:rPr>
          <w:rFonts w:ascii="Times New Roman" w:hAnsi="Times New Roman"/>
          <w:b/>
          <w:sz w:val="24"/>
        </w:rPr>
        <w:noBreakHyphen/>
      </w:r>
      <w:r w:rsidRPr="00F0454D">
        <w:rPr>
          <w:rFonts w:ascii="Times New Roman" w:hAnsi="Times New Roman"/>
          <w:b/>
          <w:sz w:val="24"/>
        </w:rPr>
        <w:t xml:space="preserve">Terrorism Financing Rules (AML/CTF Rules) </w:t>
      </w:r>
      <w:r w:rsidR="00285882">
        <w:rPr>
          <w:rFonts w:ascii="Times New Roman" w:hAnsi="Times New Roman"/>
          <w:b/>
          <w:sz w:val="24"/>
        </w:rPr>
        <w:t xml:space="preserve">amending </w:t>
      </w:r>
      <w:r w:rsidR="004D29B8">
        <w:rPr>
          <w:rFonts w:ascii="Times New Roman" w:hAnsi="Times New Roman"/>
          <w:b/>
          <w:sz w:val="24"/>
        </w:rPr>
        <w:t>Chapter</w:t>
      </w:r>
      <w:r w:rsidR="00FA4882">
        <w:rPr>
          <w:rFonts w:ascii="Times New Roman" w:hAnsi="Times New Roman"/>
          <w:b/>
          <w:sz w:val="24"/>
        </w:rPr>
        <w:t xml:space="preserve">s 4, </w:t>
      </w:r>
      <w:r w:rsidR="002D4E09">
        <w:rPr>
          <w:rFonts w:ascii="Times New Roman" w:hAnsi="Times New Roman"/>
          <w:b/>
          <w:sz w:val="24"/>
        </w:rPr>
        <w:t xml:space="preserve">38, 56 and 60 </w:t>
      </w:r>
    </w:p>
    <w:p w14:paraId="1EFBFC13" w14:textId="77777777" w:rsidR="003B7524" w:rsidRPr="00F0454D" w:rsidRDefault="003B7524" w:rsidP="003B7524">
      <w:pPr>
        <w:rPr>
          <w:rFonts w:ascii="Times New Roman" w:hAnsi="Times New Roman"/>
          <w:b/>
          <w:sz w:val="24"/>
        </w:rPr>
      </w:pPr>
    </w:p>
    <w:p w14:paraId="440223B1" w14:textId="77777777" w:rsidR="003B7524" w:rsidRDefault="003B7524" w:rsidP="006D5F6F">
      <w:pPr>
        <w:numPr>
          <w:ilvl w:val="0"/>
          <w:numId w:val="1"/>
        </w:numPr>
        <w:autoSpaceDE w:val="0"/>
        <w:autoSpaceDN w:val="0"/>
        <w:adjustRightInd w:val="0"/>
        <w:ind w:hanging="720"/>
        <w:rPr>
          <w:rFonts w:ascii="Times New Roman" w:hAnsi="Times New Roman"/>
          <w:sz w:val="24"/>
        </w:rPr>
      </w:pPr>
      <w:r w:rsidRPr="00F0454D">
        <w:rPr>
          <w:rFonts w:ascii="Times New Roman" w:hAnsi="Times New Roman"/>
          <w:sz w:val="24"/>
        </w:rPr>
        <w:t xml:space="preserve">Section 229 of the </w:t>
      </w:r>
      <w:r w:rsidRPr="00F0454D">
        <w:rPr>
          <w:rFonts w:ascii="Times New Roman" w:hAnsi="Times New Roman"/>
          <w:i/>
          <w:sz w:val="24"/>
        </w:rPr>
        <w:t>Anti-Money Laundering and Counter-Terrorism Financing Act 2006</w:t>
      </w:r>
      <w:r w:rsidRPr="00F0454D">
        <w:rPr>
          <w:rFonts w:ascii="Times New Roman" w:hAnsi="Times New Roman"/>
          <w:sz w:val="24"/>
        </w:rPr>
        <w:t xml:space="preserve"> (AML/CTF Act) provides that the AUSTRAC Chief Executive Officer </w:t>
      </w:r>
      <w:r>
        <w:rPr>
          <w:rFonts w:ascii="Times New Roman" w:hAnsi="Times New Roman"/>
          <w:sz w:val="24"/>
        </w:rPr>
        <w:t xml:space="preserve">(AUSTRAC CEO) </w:t>
      </w:r>
      <w:r w:rsidR="009531E4">
        <w:rPr>
          <w:rFonts w:ascii="Times New Roman" w:hAnsi="Times New Roman"/>
          <w:sz w:val="24"/>
        </w:rPr>
        <w:t>may, b</w:t>
      </w:r>
      <w:r w:rsidRPr="00F0454D">
        <w:rPr>
          <w:rFonts w:ascii="Times New Roman" w:hAnsi="Times New Roman"/>
          <w:sz w:val="24"/>
        </w:rPr>
        <w:t>y writing, make AML/CTF Rules prescribing matters required or permitted by any other provision of the AML/CTF Act.</w:t>
      </w:r>
    </w:p>
    <w:p w14:paraId="2C309D22" w14:textId="77777777" w:rsidR="002D4E09" w:rsidRDefault="002D4E09" w:rsidP="008B7035">
      <w:pPr>
        <w:autoSpaceDE w:val="0"/>
        <w:autoSpaceDN w:val="0"/>
        <w:adjustRightInd w:val="0"/>
        <w:ind w:left="720" w:hanging="720"/>
        <w:rPr>
          <w:rFonts w:ascii="Times New Roman" w:hAnsi="Times New Roman"/>
          <w:sz w:val="24"/>
        </w:rPr>
      </w:pPr>
    </w:p>
    <w:p w14:paraId="33180494" w14:textId="631CA401" w:rsidR="00830AF0" w:rsidRPr="00205D34" w:rsidRDefault="00FF59F3" w:rsidP="008B7035">
      <w:pPr>
        <w:autoSpaceDE w:val="0"/>
        <w:autoSpaceDN w:val="0"/>
        <w:adjustRightInd w:val="0"/>
        <w:ind w:left="720" w:hanging="720"/>
        <w:rPr>
          <w:rFonts w:ascii="Times New Roman" w:hAnsi="Times New Roman"/>
          <w:sz w:val="24"/>
        </w:rPr>
      </w:pPr>
      <w:r>
        <w:rPr>
          <w:rFonts w:ascii="Times New Roman" w:hAnsi="Times New Roman"/>
          <w:sz w:val="24"/>
        </w:rPr>
        <w:t>2</w:t>
      </w:r>
      <w:r w:rsidR="008B7035">
        <w:rPr>
          <w:rFonts w:ascii="Times New Roman" w:hAnsi="Times New Roman"/>
          <w:sz w:val="24"/>
        </w:rPr>
        <w:t>.</w:t>
      </w:r>
      <w:r w:rsidR="008B7035">
        <w:rPr>
          <w:rFonts w:ascii="Times New Roman" w:hAnsi="Times New Roman"/>
          <w:sz w:val="24"/>
        </w:rPr>
        <w:tab/>
      </w:r>
      <w:r w:rsidR="00830AF0" w:rsidRPr="00205D34">
        <w:rPr>
          <w:rFonts w:ascii="Times New Roman" w:hAnsi="Times New Roman"/>
          <w:i/>
          <w:sz w:val="24"/>
        </w:rPr>
        <w:t>Anti-Money Laundering and Counter-Terrorism Financing</w:t>
      </w:r>
      <w:r w:rsidR="002D4E09">
        <w:rPr>
          <w:rFonts w:ascii="Times New Roman" w:hAnsi="Times New Roman"/>
          <w:i/>
          <w:sz w:val="24"/>
        </w:rPr>
        <w:t xml:space="preserve"> Rules Amendment Instrument 2016</w:t>
      </w:r>
      <w:r w:rsidR="00830AF0" w:rsidRPr="00205D34">
        <w:rPr>
          <w:rFonts w:ascii="Times New Roman" w:hAnsi="Times New Roman"/>
          <w:i/>
          <w:sz w:val="24"/>
        </w:rPr>
        <w:t xml:space="preserve"> (No. </w:t>
      </w:r>
      <w:r w:rsidR="002D4E09">
        <w:rPr>
          <w:rFonts w:ascii="Times New Roman" w:hAnsi="Times New Roman"/>
          <w:i/>
          <w:sz w:val="24"/>
        </w:rPr>
        <w:t>1</w:t>
      </w:r>
      <w:r w:rsidR="00830AF0" w:rsidRPr="00205D34">
        <w:rPr>
          <w:rFonts w:ascii="Times New Roman" w:hAnsi="Times New Roman"/>
          <w:i/>
          <w:sz w:val="24"/>
        </w:rPr>
        <w:t xml:space="preserve">) </w:t>
      </w:r>
      <w:r w:rsidR="00830AF0" w:rsidRPr="00205D34">
        <w:rPr>
          <w:rFonts w:ascii="Times New Roman" w:hAnsi="Times New Roman"/>
          <w:sz w:val="24"/>
        </w:rPr>
        <w:t>amend</w:t>
      </w:r>
      <w:r w:rsidR="0045689D" w:rsidRPr="00205D34">
        <w:rPr>
          <w:rFonts w:ascii="Times New Roman" w:hAnsi="Times New Roman"/>
          <w:sz w:val="24"/>
        </w:rPr>
        <w:t>s the following chapters</w:t>
      </w:r>
      <w:r w:rsidR="00830AF0" w:rsidRPr="00205D34">
        <w:rPr>
          <w:rFonts w:ascii="Times New Roman" w:hAnsi="Times New Roman"/>
          <w:sz w:val="24"/>
        </w:rPr>
        <w:t>:</w:t>
      </w:r>
    </w:p>
    <w:p w14:paraId="2122824D" w14:textId="7BDFD9BB" w:rsidR="00830AF0" w:rsidRPr="002D4E09" w:rsidRDefault="008B7035" w:rsidP="008B7035">
      <w:pPr>
        <w:numPr>
          <w:ilvl w:val="0"/>
          <w:numId w:val="6"/>
        </w:numPr>
        <w:tabs>
          <w:tab w:val="clear" w:pos="1080"/>
          <w:tab w:val="num" w:pos="1418"/>
        </w:tabs>
        <w:spacing w:before="120"/>
        <w:ind w:left="1077" w:hanging="84"/>
        <w:rPr>
          <w:rFonts w:ascii="Times New Roman" w:hAnsi="Times New Roman"/>
          <w:sz w:val="24"/>
        </w:rPr>
      </w:pPr>
      <w:r w:rsidRPr="002D4E09">
        <w:rPr>
          <w:rFonts w:ascii="Times New Roman" w:hAnsi="Times New Roman"/>
          <w:sz w:val="24"/>
        </w:rPr>
        <w:tab/>
      </w:r>
      <w:r w:rsidR="00830AF0" w:rsidRPr="002D4E09">
        <w:rPr>
          <w:rFonts w:ascii="Times New Roman" w:hAnsi="Times New Roman"/>
          <w:sz w:val="24"/>
        </w:rPr>
        <w:t>Chapter 4 (relating to customer identification)</w:t>
      </w:r>
    </w:p>
    <w:p w14:paraId="43ED8B87" w14:textId="55B0CA20" w:rsidR="00830AF0" w:rsidRPr="00A233E2" w:rsidRDefault="00830AF0" w:rsidP="008B7035">
      <w:pPr>
        <w:numPr>
          <w:ilvl w:val="0"/>
          <w:numId w:val="6"/>
        </w:numPr>
        <w:tabs>
          <w:tab w:val="clear" w:pos="1080"/>
          <w:tab w:val="num" w:pos="1418"/>
        </w:tabs>
        <w:spacing w:before="120"/>
        <w:ind w:left="1077" w:hanging="84"/>
        <w:rPr>
          <w:rFonts w:ascii="Times New Roman" w:hAnsi="Times New Roman"/>
          <w:sz w:val="24"/>
        </w:rPr>
      </w:pPr>
      <w:r w:rsidRPr="00A233E2">
        <w:rPr>
          <w:rFonts w:ascii="Times New Roman" w:hAnsi="Times New Roman"/>
          <w:sz w:val="24"/>
        </w:rPr>
        <w:t xml:space="preserve">Chapter </w:t>
      </w:r>
      <w:r w:rsidR="002D4E09">
        <w:rPr>
          <w:rFonts w:ascii="Times New Roman" w:hAnsi="Times New Roman"/>
          <w:sz w:val="24"/>
        </w:rPr>
        <w:t>38</w:t>
      </w:r>
      <w:r w:rsidRPr="00A233E2">
        <w:rPr>
          <w:rFonts w:ascii="Times New Roman" w:hAnsi="Times New Roman"/>
          <w:sz w:val="24"/>
        </w:rPr>
        <w:t xml:space="preserve"> (relating to </w:t>
      </w:r>
      <w:r w:rsidR="002D4E09">
        <w:rPr>
          <w:rFonts w:ascii="Times New Roman" w:hAnsi="Times New Roman"/>
          <w:sz w:val="24"/>
        </w:rPr>
        <w:t>sale of shares for charitable purposes)</w:t>
      </w:r>
    </w:p>
    <w:p w14:paraId="14286C9C" w14:textId="5CCC9566" w:rsidR="002D4E09" w:rsidRDefault="00830AF0" w:rsidP="008B7035">
      <w:pPr>
        <w:numPr>
          <w:ilvl w:val="0"/>
          <w:numId w:val="6"/>
        </w:numPr>
        <w:tabs>
          <w:tab w:val="clear" w:pos="1080"/>
          <w:tab w:val="num" w:pos="1418"/>
        </w:tabs>
        <w:spacing w:before="120"/>
        <w:ind w:left="1077" w:hanging="84"/>
        <w:rPr>
          <w:rFonts w:ascii="Times New Roman" w:hAnsi="Times New Roman"/>
          <w:sz w:val="24"/>
        </w:rPr>
      </w:pPr>
      <w:r w:rsidRPr="002D4E09">
        <w:rPr>
          <w:rFonts w:ascii="Times New Roman" w:hAnsi="Times New Roman"/>
          <w:sz w:val="24"/>
        </w:rPr>
        <w:t xml:space="preserve">Chapter </w:t>
      </w:r>
      <w:r w:rsidR="002D4E09" w:rsidRPr="002D4E09">
        <w:rPr>
          <w:rFonts w:ascii="Times New Roman" w:hAnsi="Times New Roman"/>
          <w:sz w:val="24"/>
        </w:rPr>
        <w:t>56</w:t>
      </w:r>
      <w:r w:rsidRPr="002D4E09">
        <w:rPr>
          <w:rFonts w:ascii="Times New Roman" w:hAnsi="Times New Roman"/>
          <w:sz w:val="24"/>
        </w:rPr>
        <w:t xml:space="preserve"> (relating </w:t>
      </w:r>
      <w:r w:rsidR="000E4789">
        <w:rPr>
          <w:rFonts w:ascii="Times New Roman" w:hAnsi="Times New Roman"/>
          <w:sz w:val="24"/>
        </w:rPr>
        <w:t xml:space="preserve">to </w:t>
      </w:r>
      <w:r w:rsidR="002D4E09" w:rsidRPr="002D4E09">
        <w:rPr>
          <w:rFonts w:ascii="Times New Roman" w:hAnsi="Times New Roman"/>
          <w:sz w:val="24"/>
        </w:rPr>
        <w:t>applicatio</w:t>
      </w:r>
      <w:r w:rsidR="002D4E09">
        <w:rPr>
          <w:rFonts w:ascii="Times New Roman" w:hAnsi="Times New Roman"/>
          <w:sz w:val="24"/>
        </w:rPr>
        <w:t>n</w:t>
      </w:r>
      <w:r w:rsidR="000E4789">
        <w:rPr>
          <w:rFonts w:ascii="Times New Roman" w:hAnsi="Times New Roman"/>
          <w:sz w:val="24"/>
        </w:rPr>
        <w:t>s</w:t>
      </w:r>
      <w:r w:rsidR="002D4E09">
        <w:rPr>
          <w:rFonts w:ascii="Times New Roman" w:hAnsi="Times New Roman"/>
          <w:sz w:val="24"/>
        </w:rPr>
        <w:t xml:space="preserve"> to </w:t>
      </w:r>
      <w:r w:rsidR="00B0213F">
        <w:rPr>
          <w:rFonts w:ascii="Times New Roman" w:hAnsi="Times New Roman"/>
          <w:sz w:val="24"/>
        </w:rPr>
        <w:t xml:space="preserve">the </w:t>
      </w:r>
      <w:r w:rsidR="002D4E09">
        <w:rPr>
          <w:rFonts w:ascii="Times New Roman" w:hAnsi="Times New Roman"/>
          <w:sz w:val="24"/>
        </w:rPr>
        <w:t>Remittance Sector Register)</w:t>
      </w:r>
    </w:p>
    <w:p w14:paraId="4BFB17DD" w14:textId="15268D2D" w:rsidR="00830AF0" w:rsidRPr="002D4E09" w:rsidRDefault="00830AF0" w:rsidP="000E4789">
      <w:pPr>
        <w:numPr>
          <w:ilvl w:val="0"/>
          <w:numId w:val="6"/>
        </w:numPr>
        <w:tabs>
          <w:tab w:val="clear" w:pos="1080"/>
          <w:tab w:val="num" w:pos="1418"/>
        </w:tabs>
        <w:spacing w:before="120"/>
        <w:ind w:left="1418" w:hanging="425"/>
        <w:rPr>
          <w:rFonts w:ascii="Times New Roman" w:hAnsi="Times New Roman"/>
          <w:sz w:val="24"/>
        </w:rPr>
      </w:pPr>
      <w:r w:rsidRPr="002D4E09">
        <w:rPr>
          <w:rFonts w:ascii="Times New Roman" w:hAnsi="Times New Roman"/>
          <w:sz w:val="24"/>
        </w:rPr>
        <w:t xml:space="preserve">Chapter </w:t>
      </w:r>
      <w:r w:rsidR="002D4E09">
        <w:rPr>
          <w:rFonts w:ascii="Times New Roman" w:hAnsi="Times New Roman"/>
          <w:sz w:val="24"/>
        </w:rPr>
        <w:t>60</w:t>
      </w:r>
      <w:r w:rsidRPr="002D4E09">
        <w:rPr>
          <w:rFonts w:ascii="Times New Roman" w:hAnsi="Times New Roman"/>
          <w:sz w:val="24"/>
        </w:rPr>
        <w:t xml:space="preserve"> (relating to </w:t>
      </w:r>
      <w:r w:rsidR="002D4E09">
        <w:rPr>
          <w:rFonts w:ascii="Times New Roman" w:hAnsi="Times New Roman"/>
          <w:sz w:val="24"/>
        </w:rPr>
        <w:t>change of registration details</w:t>
      </w:r>
      <w:r w:rsidR="000E4789">
        <w:rPr>
          <w:rFonts w:ascii="Times New Roman" w:hAnsi="Times New Roman"/>
          <w:sz w:val="24"/>
        </w:rPr>
        <w:t xml:space="preserve"> on the Remittance Sector Register</w:t>
      </w:r>
      <w:r w:rsidR="000103E5">
        <w:rPr>
          <w:rFonts w:ascii="Times New Roman" w:hAnsi="Times New Roman"/>
          <w:sz w:val="24"/>
        </w:rPr>
        <w:t>).</w:t>
      </w:r>
    </w:p>
    <w:p w14:paraId="21201F62" w14:textId="77777777" w:rsidR="00285882" w:rsidRDefault="00285882" w:rsidP="00A44FB5">
      <w:pPr>
        <w:ind w:left="720" w:hanging="720"/>
        <w:rPr>
          <w:rFonts w:ascii="Times New Roman" w:hAnsi="Times New Roman"/>
          <w:sz w:val="24"/>
        </w:rPr>
      </w:pPr>
    </w:p>
    <w:p w14:paraId="71B6BFEB" w14:textId="5724D899" w:rsidR="006D063B" w:rsidRPr="006D063B" w:rsidRDefault="006D063B" w:rsidP="00A44FB5">
      <w:pPr>
        <w:ind w:left="720" w:hanging="720"/>
        <w:rPr>
          <w:rFonts w:ascii="Times New Roman" w:hAnsi="Times New Roman"/>
          <w:b/>
          <w:i/>
          <w:sz w:val="24"/>
        </w:rPr>
      </w:pPr>
      <w:r w:rsidRPr="006D063B">
        <w:rPr>
          <w:rFonts w:ascii="Times New Roman" w:hAnsi="Times New Roman"/>
          <w:b/>
          <w:i/>
          <w:sz w:val="24"/>
        </w:rPr>
        <w:t>Amendments to Chapter 4</w:t>
      </w:r>
    </w:p>
    <w:p w14:paraId="0AED92C9" w14:textId="77777777" w:rsidR="006D063B" w:rsidRDefault="006D063B" w:rsidP="00A44FB5">
      <w:pPr>
        <w:ind w:left="720" w:hanging="720"/>
        <w:rPr>
          <w:rFonts w:ascii="Times New Roman" w:hAnsi="Times New Roman"/>
          <w:sz w:val="24"/>
        </w:rPr>
      </w:pPr>
    </w:p>
    <w:p w14:paraId="7DED1757" w14:textId="3AAB2934" w:rsidR="002D4E09" w:rsidRDefault="00FF59F3" w:rsidP="002D4E09">
      <w:pPr>
        <w:pStyle w:val="Header"/>
        <w:tabs>
          <w:tab w:val="clear" w:pos="4153"/>
          <w:tab w:val="clear" w:pos="8306"/>
          <w:tab w:val="left" w:pos="-284"/>
        </w:tabs>
        <w:ind w:left="709" w:hanging="709"/>
        <w:rPr>
          <w:rFonts w:ascii="Times New Roman" w:hAnsi="Times New Roman"/>
          <w:sz w:val="24"/>
        </w:rPr>
      </w:pPr>
      <w:r>
        <w:rPr>
          <w:rFonts w:ascii="Times New Roman" w:hAnsi="Times New Roman"/>
          <w:sz w:val="24"/>
        </w:rPr>
        <w:t>3.</w:t>
      </w:r>
      <w:r w:rsidR="002D4E09">
        <w:rPr>
          <w:rFonts w:ascii="Times New Roman" w:hAnsi="Times New Roman"/>
          <w:sz w:val="24"/>
        </w:rPr>
        <w:tab/>
      </w:r>
      <w:r w:rsidR="002D4E09" w:rsidRPr="002D4E09">
        <w:rPr>
          <w:rFonts w:ascii="Times New Roman" w:hAnsi="Times New Roman"/>
          <w:i/>
          <w:sz w:val="24"/>
        </w:rPr>
        <w:t xml:space="preserve">Anti-Money Laundering and Counter-Terrorism Financing Rules Amendment Instrument 2014 (No. 3) </w:t>
      </w:r>
      <w:r w:rsidR="002D4E09" w:rsidRPr="002D4E09">
        <w:rPr>
          <w:rFonts w:ascii="Times New Roman" w:hAnsi="Times New Roman"/>
          <w:sz w:val="24"/>
        </w:rPr>
        <w:t xml:space="preserve">introduced new customer due diligence </w:t>
      </w:r>
      <w:r w:rsidR="006D063B">
        <w:rPr>
          <w:rFonts w:ascii="Times New Roman" w:hAnsi="Times New Roman"/>
          <w:sz w:val="24"/>
        </w:rPr>
        <w:t xml:space="preserve">(CDD) </w:t>
      </w:r>
      <w:r w:rsidR="002D4E09" w:rsidRPr="002D4E09">
        <w:rPr>
          <w:rFonts w:ascii="Times New Roman" w:hAnsi="Times New Roman"/>
          <w:sz w:val="24"/>
        </w:rPr>
        <w:t>requirements which took effect on 1 June 2014.  That Instrument amended Chapter 4 to include procedures for collecting and verifying beneficial owner (Part 4.12) and politically exposed person information (Part 4.13).</w:t>
      </w:r>
    </w:p>
    <w:p w14:paraId="10E706AC" w14:textId="77777777" w:rsidR="002D4E09" w:rsidRPr="002D4E09" w:rsidRDefault="002D4E09" w:rsidP="002D4E09">
      <w:pPr>
        <w:pStyle w:val="Header"/>
        <w:tabs>
          <w:tab w:val="clear" w:pos="4153"/>
          <w:tab w:val="clear" w:pos="8306"/>
          <w:tab w:val="left" w:pos="-284"/>
        </w:tabs>
        <w:ind w:left="709" w:hanging="709"/>
        <w:rPr>
          <w:rFonts w:ascii="Times New Roman" w:hAnsi="Times New Roman"/>
          <w:sz w:val="24"/>
        </w:rPr>
      </w:pPr>
    </w:p>
    <w:p w14:paraId="0BA56F9A" w14:textId="214C56FB" w:rsidR="002D4E09" w:rsidRPr="002D4E09" w:rsidRDefault="00FF59F3" w:rsidP="002D4E09">
      <w:pPr>
        <w:pStyle w:val="Header"/>
        <w:tabs>
          <w:tab w:val="clear" w:pos="4153"/>
          <w:tab w:val="clear" w:pos="8306"/>
          <w:tab w:val="left" w:pos="709"/>
        </w:tabs>
        <w:ind w:left="709" w:hanging="709"/>
        <w:rPr>
          <w:rFonts w:ascii="Times New Roman" w:hAnsi="Times New Roman"/>
          <w:sz w:val="24"/>
        </w:rPr>
      </w:pPr>
      <w:r>
        <w:rPr>
          <w:rFonts w:ascii="Times New Roman" w:hAnsi="Times New Roman"/>
          <w:sz w:val="24"/>
        </w:rPr>
        <w:t>4.</w:t>
      </w:r>
      <w:r w:rsidR="002D4E09" w:rsidRPr="002D4E09">
        <w:rPr>
          <w:rFonts w:ascii="Times New Roman" w:hAnsi="Times New Roman"/>
          <w:sz w:val="24"/>
        </w:rPr>
        <w:tab/>
        <w:t>In undertaking consultation for those amendments, three issues were identified by industry which AUSTRAC agreed to consider with the intention that Chapter 4 would be amended to accommodate th</w:t>
      </w:r>
      <w:r w:rsidR="000E4789">
        <w:rPr>
          <w:rFonts w:ascii="Times New Roman" w:hAnsi="Times New Roman"/>
          <w:sz w:val="24"/>
        </w:rPr>
        <w:t>em</w:t>
      </w:r>
      <w:r w:rsidR="002D4E09" w:rsidRPr="002D4E09">
        <w:rPr>
          <w:rFonts w:ascii="Times New Roman" w:hAnsi="Times New Roman"/>
          <w:sz w:val="24"/>
        </w:rPr>
        <w:t>. They were:</w:t>
      </w:r>
    </w:p>
    <w:p w14:paraId="5F2CF687" w14:textId="3711EBF4" w:rsidR="002D4E09" w:rsidRDefault="002D4E09" w:rsidP="00B0213F">
      <w:pPr>
        <w:pStyle w:val="Header"/>
        <w:numPr>
          <w:ilvl w:val="0"/>
          <w:numId w:val="34"/>
        </w:numPr>
        <w:tabs>
          <w:tab w:val="clear" w:pos="4153"/>
          <w:tab w:val="clear" w:pos="8306"/>
          <w:tab w:val="left" w:pos="709"/>
          <w:tab w:val="left" w:pos="1418"/>
        </w:tabs>
        <w:spacing w:before="120"/>
        <w:ind w:left="1418" w:hanging="425"/>
        <w:rPr>
          <w:rFonts w:ascii="Times New Roman" w:hAnsi="Times New Roman"/>
          <w:sz w:val="24"/>
        </w:rPr>
      </w:pPr>
      <w:r w:rsidRPr="002D4E09">
        <w:rPr>
          <w:rFonts w:ascii="Times New Roman" w:hAnsi="Times New Roman"/>
          <w:sz w:val="24"/>
        </w:rPr>
        <w:t xml:space="preserve">Amend the collection of </w:t>
      </w:r>
      <w:r w:rsidR="00B0213F">
        <w:rPr>
          <w:rFonts w:ascii="Times New Roman" w:hAnsi="Times New Roman"/>
          <w:sz w:val="24"/>
        </w:rPr>
        <w:t xml:space="preserve">customer </w:t>
      </w:r>
      <w:r w:rsidRPr="002D4E09">
        <w:rPr>
          <w:rFonts w:ascii="Times New Roman" w:hAnsi="Times New Roman"/>
          <w:sz w:val="24"/>
        </w:rPr>
        <w:t>identification information to allow information to be collected from sources other than the customer</w:t>
      </w:r>
    </w:p>
    <w:p w14:paraId="4AC4F20E" w14:textId="77777777" w:rsidR="006D063B" w:rsidRPr="002D4E09" w:rsidRDefault="006D063B" w:rsidP="006D063B">
      <w:pPr>
        <w:pStyle w:val="Header"/>
        <w:numPr>
          <w:ilvl w:val="0"/>
          <w:numId w:val="34"/>
        </w:numPr>
        <w:tabs>
          <w:tab w:val="clear" w:pos="4153"/>
          <w:tab w:val="clear" w:pos="8306"/>
          <w:tab w:val="left" w:pos="709"/>
          <w:tab w:val="left" w:pos="993"/>
          <w:tab w:val="left" w:pos="1418"/>
        </w:tabs>
        <w:spacing w:before="120"/>
        <w:ind w:left="993" w:firstLine="0"/>
        <w:rPr>
          <w:rFonts w:ascii="Times New Roman" w:hAnsi="Times New Roman"/>
          <w:sz w:val="24"/>
        </w:rPr>
      </w:pPr>
      <w:r w:rsidRPr="002D4E09">
        <w:rPr>
          <w:rFonts w:ascii="Times New Roman" w:hAnsi="Times New Roman"/>
          <w:sz w:val="24"/>
        </w:rPr>
        <w:t>Amend the electronic safe harbour provisions for customers</w:t>
      </w:r>
    </w:p>
    <w:p w14:paraId="5AFA72BB" w14:textId="6988777B" w:rsidR="002D4E09" w:rsidRDefault="00426C36" w:rsidP="002D4E09">
      <w:pPr>
        <w:pStyle w:val="Header"/>
        <w:numPr>
          <w:ilvl w:val="0"/>
          <w:numId w:val="34"/>
        </w:numPr>
        <w:tabs>
          <w:tab w:val="clear" w:pos="4153"/>
          <w:tab w:val="clear" w:pos="8306"/>
          <w:tab w:val="left" w:pos="709"/>
          <w:tab w:val="left" w:pos="993"/>
          <w:tab w:val="left" w:pos="1418"/>
        </w:tabs>
        <w:spacing w:before="120"/>
        <w:ind w:left="993" w:firstLine="0"/>
        <w:rPr>
          <w:rFonts w:ascii="Times New Roman" w:hAnsi="Times New Roman"/>
          <w:sz w:val="24"/>
        </w:rPr>
      </w:pPr>
      <w:r>
        <w:rPr>
          <w:rFonts w:ascii="Times New Roman" w:hAnsi="Times New Roman"/>
          <w:sz w:val="24"/>
        </w:rPr>
        <w:t>E</w:t>
      </w:r>
      <w:r w:rsidR="002D4E09" w:rsidRPr="002D4E09">
        <w:rPr>
          <w:rFonts w:ascii="Times New Roman" w:hAnsi="Times New Roman"/>
          <w:sz w:val="24"/>
        </w:rPr>
        <w:t xml:space="preserve">xtend current customer identification exemptions to cover beneficial </w:t>
      </w:r>
      <w:r w:rsidR="002D4E09" w:rsidRPr="002D4E09">
        <w:rPr>
          <w:rFonts w:ascii="Times New Roman" w:hAnsi="Times New Roman"/>
          <w:sz w:val="24"/>
        </w:rPr>
        <w:tab/>
        <w:t>owners and politically exposed persons</w:t>
      </w:r>
      <w:r w:rsidR="000103E5">
        <w:rPr>
          <w:rFonts w:ascii="Times New Roman" w:hAnsi="Times New Roman"/>
          <w:sz w:val="24"/>
        </w:rPr>
        <w:t>.</w:t>
      </w:r>
    </w:p>
    <w:p w14:paraId="7B5B2C66" w14:textId="77777777" w:rsidR="002D4E09" w:rsidRDefault="002D4E09" w:rsidP="002D4E09">
      <w:pPr>
        <w:pStyle w:val="Header"/>
        <w:tabs>
          <w:tab w:val="clear" w:pos="4153"/>
          <w:tab w:val="clear" w:pos="8306"/>
          <w:tab w:val="left" w:pos="709"/>
        </w:tabs>
        <w:ind w:left="709" w:hanging="709"/>
        <w:rPr>
          <w:rFonts w:ascii="Times New Roman" w:hAnsi="Times New Roman"/>
          <w:sz w:val="24"/>
        </w:rPr>
      </w:pPr>
    </w:p>
    <w:p w14:paraId="55105A08" w14:textId="047AF86E" w:rsidR="002D4E09" w:rsidRDefault="00FF59F3" w:rsidP="002D4E09">
      <w:pPr>
        <w:pStyle w:val="Header"/>
        <w:tabs>
          <w:tab w:val="clear" w:pos="4153"/>
          <w:tab w:val="clear" w:pos="8306"/>
          <w:tab w:val="left" w:pos="709"/>
        </w:tabs>
        <w:ind w:left="709" w:hanging="709"/>
        <w:rPr>
          <w:rFonts w:ascii="Times New Roman" w:hAnsi="Times New Roman"/>
          <w:sz w:val="24"/>
        </w:rPr>
      </w:pPr>
      <w:r>
        <w:rPr>
          <w:rFonts w:ascii="Times New Roman" w:hAnsi="Times New Roman"/>
          <w:sz w:val="24"/>
        </w:rPr>
        <w:lastRenderedPageBreak/>
        <w:t>5</w:t>
      </w:r>
      <w:r w:rsidR="002D4E09" w:rsidRPr="002D4E09">
        <w:rPr>
          <w:rFonts w:ascii="Times New Roman" w:hAnsi="Times New Roman"/>
          <w:sz w:val="24"/>
        </w:rPr>
        <w:t>.</w:t>
      </w:r>
      <w:r w:rsidR="002D4E09" w:rsidRPr="002D4E09">
        <w:rPr>
          <w:rFonts w:ascii="Times New Roman" w:hAnsi="Times New Roman"/>
          <w:sz w:val="24"/>
        </w:rPr>
        <w:tab/>
        <w:t xml:space="preserve">It is noted that the extension of the customer identification exemptions were implemented by </w:t>
      </w:r>
      <w:r w:rsidR="002D4E09" w:rsidRPr="002D4E09">
        <w:rPr>
          <w:rFonts w:ascii="Times New Roman" w:hAnsi="Times New Roman"/>
          <w:i/>
          <w:sz w:val="24"/>
        </w:rPr>
        <w:t>Anti-Money Laundering and Counter-Terrorism Financing Rules Amendment Instrument 2015 (No. 2)</w:t>
      </w:r>
      <w:r w:rsidR="002D4E09" w:rsidRPr="002D4E09">
        <w:rPr>
          <w:rFonts w:ascii="Times New Roman" w:hAnsi="Times New Roman"/>
          <w:sz w:val="24"/>
        </w:rPr>
        <w:t xml:space="preserve">, which was registered on 11 November 2015. </w:t>
      </w:r>
      <w:r w:rsidR="004928FB" w:rsidRPr="004928FB">
        <w:rPr>
          <w:rFonts w:ascii="Times New Roman" w:hAnsi="Times New Roman"/>
          <w:sz w:val="24"/>
        </w:rPr>
        <w:t>The other two issues raised by industry during consultation are considered below</w:t>
      </w:r>
      <w:r w:rsidR="004928FB">
        <w:rPr>
          <w:rFonts w:ascii="Times New Roman" w:hAnsi="Times New Roman"/>
          <w:sz w:val="24"/>
        </w:rPr>
        <w:t>.</w:t>
      </w:r>
    </w:p>
    <w:p w14:paraId="6357B89D" w14:textId="77777777" w:rsidR="006D063B" w:rsidRDefault="006D063B" w:rsidP="002D4E09">
      <w:pPr>
        <w:pStyle w:val="Header"/>
        <w:tabs>
          <w:tab w:val="clear" w:pos="4153"/>
          <w:tab w:val="clear" w:pos="8306"/>
          <w:tab w:val="left" w:pos="709"/>
        </w:tabs>
        <w:ind w:left="709" w:hanging="709"/>
        <w:rPr>
          <w:rFonts w:ascii="Times New Roman" w:hAnsi="Times New Roman"/>
          <w:sz w:val="24"/>
        </w:rPr>
      </w:pPr>
    </w:p>
    <w:p w14:paraId="6C8CEACE" w14:textId="7B817859" w:rsidR="006D063B" w:rsidRPr="006D063B" w:rsidRDefault="006D063B" w:rsidP="006D063B">
      <w:pPr>
        <w:pStyle w:val="Header"/>
        <w:tabs>
          <w:tab w:val="clear" w:pos="4153"/>
          <w:tab w:val="clear" w:pos="8306"/>
        </w:tabs>
        <w:rPr>
          <w:rFonts w:ascii="Times New Roman" w:hAnsi="Times New Roman"/>
          <w:i/>
          <w:sz w:val="24"/>
        </w:rPr>
      </w:pPr>
      <w:r w:rsidRPr="006D063B">
        <w:rPr>
          <w:rFonts w:ascii="Times New Roman" w:hAnsi="Times New Roman"/>
          <w:i/>
          <w:sz w:val="24"/>
        </w:rPr>
        <w:t>Collection of identification information to allow information to be collected from sources other than the customer</w:t>
      </w:r>
    </w:p>
    <w:p w14:paraId="30F2F9A0" w14:textId="77777777" w:rsidR="006D063B" w:rsidRPr="002D4E09" w:rsidRDefault="006D063B" w:rsidP="002D4E09">
      <w:pPr>
        <w:pStyle w:val="Header"/>
        <w:tabs>
          <w:tab w:val="clear" w:pos="4153"/>
          <w:tab w:val="clear" w:pos="8306"/>
          <w:tab w:val="left" w:pos="709"/>
        </w:tabs>
        <w:ind w:left="709" w:hanging="709"/>
        <w:rPr>
          <w:rFonts w:ascii="Times New Roman" w:hAnsi="Times New Roman"/>
          <w:sz w:val="24"/>
        </w:rPr>
      </w:pPr>
    </w:p>
    <w:p w14:paraId="087F699D" w14:textId="6D1C5B6F" w:rsidR="002D4E09" w:rsidRDefault="00FF59F3" w:rsidP="002D4E09">
      <w:pPr>
        <w:pStyle w:val="Header"/>
        <w:tabs>
          <w:tab w:val="clear" w:pos="4153"/>
          <w:tab w:val="clear" w:pos="8306"/>
          <w:tab w:val="left" w:pos="709"/>
        </w:tabs>
        <w:ind w:left="709" w:hanging="709"/>
        <w:rPr>
          <w:rFonts w:ascii="Times New Roman" w:hAnsi="Times New Roman"/>
          <w:sz w:val="24"/>
        </w:rPr>
      </w:pPr>
      <w:r>
        <w:rPr>
          <w:rFonts w:ascii="Times New Roman" w:hAnsi="Times New Roman"/>
          <w:sz w:val="24"/>
        </w:rPr>
        <w:t>6</w:t>
      </w:r>
      <w:r w:rsidR="002D4E09" w:rsidRPr="002D4E09">
        <w:rPr>
          <w:rFonts w:ascii="Times New Roman" w:hAnsi="Times New Roman"/>
          <w:sz w:val="24"/>
        </w:rPr>
        <w:t>.</w:t>
      </w:r>
      <w:r w:rsidR="002D4E09" w:rsidRPr="002D4E09">
        <w:rPr>
          <w:rFonts w:ascii="Times New Roman" w:hAnsi="Times New Roman"/>
          <w:sz w:val="24"/>
        </w:rPr>
        <w:tab/>
        <w:t>Financial Action Task Force (FATF) Recommendation 10 (Customer Due Diligence) states that financial institutions must undertake measures ‘identifying the customer and verifying that customer’s identity using reliable, independent source documents, data or information’. It is noted that FATF does not require that the ‘reliable, independent source documents, data or information’ be sourced only ‘from’ the customer.</w:t>
      </w:r>
    </w:p>
    <w:p w14:paraId="73C34E8C" w14:textId="77777777" w:rsidR="002D4E09" w:rsidRPr="002D4E09" w:rsidRDefault="002D4E09" w:rsidP="002D4E09">
      <w:pPr>
        <w:pStyle w:val="Header"/>
        <w:tabs>
          <w:tab w:val="clear" w:pos="4153"/>
          <w:tab w:val="clear" w:pos="8306"/>
          <w:tab w:val="left" w:pos="709"/>
        </w:tabs>
        <w:ind w:left="709" w:hanging="709"/>
        <w:rPr>
          <w:rFonts w:ascii="Times New Roman" w:hAnsi="Times New Roman"/>
          <w:sz w:val="24"/>
        </w:rPr>
      </w:pPr>
    </w:p>
    <w:p w14:paraId="1B035878" w14:textId="0302BD43" w:rsidR="002D4E09" w:rsidRDefault="00FF59F3" w:rsidP="002D4E09">
      <w:pPr>
        <w:pStyle w:val="Header"/>
        <w:tabs>
          <w:tab w:val="clear" w:pos="4153"/>
          <w:tab w:val="clear" w:pos="8306"/>
        </w:tabs>
        <w:ind w:left="709" w:hanging="709"/>
        <w:rPr>
          <w:rFonts w:ascii="Times New Roman" w:hAnsi="Times New Roman"/>
          <w:sz w:val="24"/>
        </w:rPr>
      </w:pPr>
      <w:r>
        <w:rPr>
          <w:rFonts w:ascii="Times New Roman" w:hAnsi="Times New Roman"/>
          <w:sz w:val="24"/>
        </w:rPr>
        <w:t>7</w:t>
      </w:r>
      <w:r w:rsidR="002D4E09" w:rsidRPr="002D4E09">
        <w:rPr>
          <w:rFonts w:ascii="Times New Roman" w:hAnsi="Times New Roman"/>
          <w:sz w:val="24"/>
        </w:rPr>
        <w:t>.</w:t>
      </w:r>
      <w:r w:rsidR="002D4E09" w:rsidRPr="002D4E09">
        <w:rPr>
          <w:rFonts w:ascii="Times New Roman" w:hAnsi="Times New Roman"/>
          <w:sz w:val="24"/>
        </w:rPr>
        <w:tab/>
        <w:t xml:space="preserve">During the CDD consultation, industry submitted that there would be regulatory advantages and savings if their ability to collect customer </w:t>
      </w:r>
      <w:r w:rsidR="000E4789">
        <w:rPr>
          <w:rFonts w:ascii="Times New Roman" w:hAnsi="Times New Roman"/>
          <w:sz w:val="24"/>
        </w:rPr>
        <w:t xml:space="preserve">identification </w:t>
      </w:r>
      <w:r w:rsidR="002D4E09" w:rsidRPr="002D4E09">
        <w:rPr>
          <w:rFonts w:ascii="Times New Roman" w:hAnsi="Times New Roman"/>
          <w:sz w:val="24"/>
        </w:rPr>
        <w:t>information was broadened.</w:t>
      </w:r>
    </w:p>
    <w:p w14:paraId="0086D391" w14:textId="77777777" w:rsidR="006D063B" w:rsidRPr="002D4E09" w:rsidRDefault="006D063B" w:rsidP="002D4E09">
      <w:pPr>
        <w:pStyle w:val="Header"/>
        <w:tabs>
          <w:tab w:val="clear" w:pos="4153"/>
          <w:tab w:val="clear" w:pos="8306"/>
        </w:tabs>
        <w:ind w:left="709" w:hanging="709"/>
        <w:rPr>
          <w:rFonts w:ascii="Times New Roman" w:hAnsi="Times New Roman"/>
          <w:sz w:val="24"/>
        </w:rPr>
      </w:pPr>
    </w:p>
    <w:p w14:paraId="6A65C26B" w14:textId="72B3DB59" w:rsidR="002D4E09" w:rsidRDefault="00FF59F3" w:rsidP="002D4E09">
      <w:pPr>
        <w:pStyle w:val="Header"/>
        <w:tabs>
          <w:tab w:val="clear" w:pos="4153"/>
          <w:tab w:val="clear" w:pos="8306"/>
          <w:tab w:val="left" w:pos="709"/>
        </w:tabs>
        <w:ind w:left="709" w:hanging="709"/>
        <w:rPr>
          <w:rFonts w:ascii="Times New Roman" w:hAnsi="Times New Roman"/>
          <w:sz w:val="24"/>
        </w:rPr>
      </w:pPr>
      <w:r>
        <w:rPr>
          <w:rFonts w:ascii="Times New Roman" w:hAnsi="Times New Roman"/>
          <w:sz w:val="24"/>
        </w:rPr>
        <w:t>8</w:t>
      </w:r>
      <w:r w:rsidR="002D4E09" w:rsidRPr="002D4E09">
        <w:rPr>
          <w:rFonts w:ascii="Times New Roman" w:hAnsi="Times New Roman"/>
          <w:sz w:val="24"/>
        </w:rPr>
        <w:t>.</w:t>
      </w:r>
      <w:r w:rsidR="002D4E09" w:rsidRPr="002D4E09">
        <w:rPr>
          <w:rFonts w:ascii="Times New Roman" w:hAnsi="Times New Roman"/>
          <w:sz w:val="24"/>
        </w:rPr>
        <w:tab/>
        <w:t>The Regulation Impact Statement</w:t>
      </w:r>
      <w:r w:rsidR="002D4E09" w:rsidRPr="002D4E09">
        <w:rPr>
          <w:rStyle w:val="FootnoteReference"/>
          <w:rFonts w:ascii="Times New Roman" w:hAnsi="Times New Roman"/>
          <w:sz w:val="24"/>
        </w:rPr>
        <w:footnoteReference w:id="1"/>
      </w:r>
      <w:r w:rsidR="002D4E09" w:rsidRPr="002D4E09">
        <w:rPr>
          <w:rFonts w:ascii="Times New Roman" w:hAnsi="Times New Roman"/>
          <w:sz w:val="24"/>
        </w:rPr>
        <w:t xml:space="preserve"> for the CDD changes describes these advantages and savings:</w:t>
      </w:r>
    </w:p>
    <w:p w14:paraId="3B964C89" w14:textId="77777777" w:rsidR="006D063B" w:rsidRPr="002D4E09" w:rsidRDefault="006D063B" w:rsidP="002D4E09">
      <w:pPr>
        <w:pStyle w:val="Header"/>
        <w:tabs>
          <w:tab w:val="clear" w:pos="4153"/>
          <w:tab w:val="clear" w:pos="8306"/>
          <w:tab w:val="left" w:pos="709"/>
        </w:tabs>
        <w:ind w:left="709" w:hanging="709"/>
        <w:rPr>
          <w:rFonts w:ascii="Times New Roman" w:hAnsi="Times New Roman"/>
          <w:sz w:val="24"/>
        </w:rPr>
      </w:pPr>
    </w:p>
    <w:p w14:paraId="5CE06001" w14:textId="38D1D3C5" w:rsidR="002D4E09" w:rsidRPr="002D4E09" w:rsidRDefault="002D4E09" w:rsidP="002D4E09">
      <w:pPr>
        <w:ind w:left="1418"/>
        <w:rPr>
          <w:rFonts w:ascii="Times New Roman" w:hAnsi="Times New Roman"/>
          <w:sz w:val="24"/>
          <w:lang w:val="en-GB"/>
        </w:rPr>
      </w:pPr>
      <w:r w:rsidRPr="002D4E09">
        <w:rPr>
          <w:rFonts w:ascii="Times New Roman" w:hAnsi="Times New Roman"/>
          <w:sz w:val="24"/>
          <w:lang w:val="en-GB"/>
        </w:rPr>
        <w:t>Under the proposed change, the reporting entity would have flexibility in its approach to collection and verification of customer information including obtaining initial information from an independent source, pre-fill parts of the customer application form and then check the information with the customer for verification purposes. The key cost savings would relate to:</w:t>
      </w:r>
    </w:p>
    <w:p w14:paraId="26CFFE1A" w14:textId="77777777" w:rsidR="002D4E09" w:rsidRPr="002D4E09" w:rsidRDefault="002D4E09" w:rsidP="002D4E09">
      <w:pPr>
        <w:pStyle w:val="ListParagraph"/>
        <w:numPr>
          <w:ilvl w:val="0"/>
          <w:numId w:val="35"/>
        </w:numPr>
        <w:spacing w:before="200" w:after="200" w:line="276" w:lineRule="auto"/>
        <w:ind w:left="2835" w:hanging="425"/>
        <w:rPr>
          <w:rFonts w:ascii="Times New Roman" w:hAnsi="Times New Roman"/>
          <w:sz w:val="24"/>
          <w:lang w:val="en-GB"/>
        </w:rPr>
      </w:pPr>
      <w:r w:rsidRPr="002D4E09">
        <w:rPr>
          <w:rFonts w:ascii="Times New Roman" w:hAnsi="Times New Roman"/>
          <w:sz w:val="24"/>
          <w:lang w:val="en-GB"/>
        </w:rPr>
        <w:t>reducing manual data entry of customer information by reporting entity employees</w:t>
      </w:r>
    </w:p>
    <w:p w14:paraId="1453E8F7" w14:textId="77777777" w:rsidR="002D4E09" w:rsidRPr="002D4E09" w:rsidRDefault="002D4E09" w:rsidP="002D4E09">
      <w:pPr>
        <w:pStyle w:val="ListParagraph"/>
        <w:numPr>
          <w:ilvl w:val="0"/>
          <w:numId w:val="35"/>
        </w:numPr>
        <w:spacing w:before="200" w:after="200" w:line="276" w:lineRule="auto"/>
        <w:ind w:left="2835" w:hanging="425"/>
        <w:rPr>
          <w:rFonts w:ascii="Times New Roman" w:hAnsi="Times New Roman"/>
          <w:sz w:val="24"/>
          <w:lang w:val="en-GB"/>
        </w:rPr>
      </w:pPr>
      <w:proofErr w:type="gramStart"/>
      <w:r w:rsidRPr="002D4E09">
        <w:rPr>
          <w:rFonts w:ascii="Times New Roman" w:hAnsi="Times New Roman"/>
          <w:sz w:val="24"/>
          <w:lang w:val="en-GB"/>
        </w:rPr>
        <w:t>reducing</w:t>
      </w:r>
      <w:proofErr w:type="gramEnd"/>
      <w:r w:rsidRPr="002D4E09">
        <w:rPr>
          <w:rFonts w:ascii="Times New Roman" w:hAnsi="Times New Roman"/>
          <w:sz w:val="24"/>
          <w:lang w:val="en-GB"/>
        </w:rPr>
        <w:t xml:space="preserve"> customer time needed to complete application forms (due to the reporting entity pre-filling information from an independent source).</w:t>
      </w:r>
    </w:p>
    <w:p w14:paraId="721D0413" w14:textId="77777777" w:rsidR="002D4E09" w:rsidRDefault="002D4E09" w:rsidP="002D4E09">
      <w:pPr>
        <w:ind w:left="1418"/>
        <w:rPr>
          <w:rFonts w:ascii="Times New Roman" w:hAnsi="Times New Roman"/>
          <w:sz w:val="24"/>
        </w:rPr>
      </w:pPr>
      <w:r w:rsidRPr="002D4E09">
        <w:rPr>
          <w:rFonts w:ascii="Times New Roman" w:hAnsi="Times New Roman"/>
          <w:sz w:val="24"/>
        </w:rPr>
        <w:t xml:space="preserve">Based on discussions with financial institutions, it is estimated that the proposed change would reduce manual data entry time by around 4 minutes per customer and would reduce the time it takes the average new customer to complete an application form by around 12.5 minutes. Some financial institutions indicated that the proposed change would not provide cost savings to their customer on-boarding process due to technology constraints and practical issues around existing processes. Therefore, it is assumed that around half of the financial institutions would adapt their processes to leverage the flexibility of the proposed requirements over the 10 year period. The estimated annualised savings represent $7.2 million to financial institutions and $7.9 million to </w:t>
      </w:r>
      <w:r w:rsidRPr="002D4E09">
        <w:rPr>
          <w:rFonts w:ascii="Times New Roman" w:hAnsi="Times New Roman"/>
          <w:sz w:val="24"/>
        </w:rPr>
        <w:lastRenderedPageBreak/>
        <w:t>customers (individuals), with a total saving of around $15.1 million per annum from this offset.</w:t>
      </w:r>
    </w:p>
    <w:p w14:paraId="1002ED47" w14:textId="77777777" w:rsidR="006D063B" w:rsidRPr="002D4E09" w:rsidRDefault="006D063B" w:rsidP="002D4E09">
      <w:pPr>
        <w:ind w:left="1418"/>
        <w:rPr>
          <w:rFonts w:ascii="Times New Roman" w:hAnsi="Times New Roman"/>
          <w:sz w:val="24"/>
          <w:lang w:val="en-GB"/>
        </w:rPr>
      </w:pPr>
    </w:p>
    <w:p w14:paraId="5E323D85" w14:textId="1942AB9C" w:rsidR="002D4E09" w:rsidRDefault="00FF59F3" w:rsidP="002D4E09">
      <w:pPr>
        <w:pStyle w:val="Header"/>
        <w:tabs>
          <w:tab w:val="clear" w:pos="4153"/>
          <w:tab w:val="clear" w:pos="8306"/>
          <w:tab w:val="left" w:pos="709"/>
        </w:tabs>
        <w:ind w:left="709" w:hanging="709"/>
        <w:rPr>
          <w:rFonts w:ascii="Times New Roman" w:hAnsi="Times New Roman"/>
          <w:sz w:val="24"/>
        </w:rPr>
      </w:pPr>
      <w:r>
        <w:rPr>
          <w:rFonts w:ascii="Times New Roman" w:hAnsi="Times New Roman"/>
          <w:sz w:val="24"/>
        </w:rPr>
        <w:t>9</w:t>
      </w:r>
      <w:r w:rsidR="002D4E09" w:rsidRPr="002D4E09">
        <w:rPr>
          <w:rFonts w:ascii="Times New Roman" w:hAnsi="Times New Roman"/>
          <w:sz w:val="24"/>
        </w:rPr>
        <w:t>.</w:t>
      </w:r>
      <w:r w:rsidR="002D4E09" w:rsidRPr="002D4E09">
        <w:rPr>
          <w:rFonts w:ascii="Times New Roman" w:hAnsi="Times New Roman"/>
          <w:sz w:val="24"/>
        </w:rPr>
        <w:tab/>
        <w:t xml:space="preserve">The amendments remove the word ‘from’ and replace it with ‘about’ in Chapter 4 with regard to customer identification.  It is noted that as a result reporting entities will have the discretion to collect information from either the customer or from sources other than the customer.  </w:t>
      </w:r>
    </w:p>
    <w:p w14:paraId="7296B42C" w14:textId="77777777" w:rsidR="006D063B" w:rsidRDefault="006D063B" w:rsidP="002D4E09">
      <w:pPr>
        <w:pStyle w:val="Header"/>
        <w:tabs>
          <w:tab w:val="clear" w:pos="4153"/>
          <w:tab w:val="clear" w:pos="8306"/>
          <w:tab w:val="left" w:pos="709"/>
        </w:tabs>
        <w:ind w:left="709" w:hanging="709"/>
        <w:rPr>
          <w:rFonts w:ascii="Times New Roman" w:hAnsi="Times New Roman"/>
          <w:sz w:val="24"/>
        </w:rPr>
      </w:pPr>
    </w:p>
    <w:p w14:paraId="614CEB5B" w14:textId="6B1EBE6A" w:rsidR="006D063B" w:rsidRPr="006D063B" w:rsidRDefault="006D063B" w:rsidP="006D063B">
      <w:pPr>
        <w:pStyle w:val="Header"/>
        <w:tabs>
          <w:tab w:val="clear" w:pos="4153"/>
          <w:tab w:val="clear" w:pos="8306"/>
          <w:tab w:val="left" w:pos="709"/>
          <w:tab w:val="left" w:pos="993"/>
          <w:tab w:val="left" w:pos="1418"/>
        </w:tabs>
        <w:spacing w:before="120"/>
        <w:ind w:left="993" w:hanging="993"/>
        <w:rPr>
          <w:rFonts w:ascii="Times New Roman" w:hAnsi="Times New Roman"/>
          <w:i/>
          <w:sz w:val="24"/>
        </w:rPr>
      </w:pPr>
      <w:r w:rsidRPr="006D063B">
        <w:rPr>
          <w:rFonts w:ascii="Times New Roman" w:hAnsi="Times New Roman"/>
          <w:i/>
          <w:sz w:val="24"/>
        </w:rPr>
        <w:t>Amend</w:t>
      </w:r>
      <w:r>
        <w:rPr>
          <w:rFonts w:ascii="Times New Roman" w:hAnsi="Times New Roman"/>
          <w:i/>
          <w:sz w:val="24"/>
        </w:rPr>
        <w:t>ment of</w:t>
      </w:r>
      <w:r w:rsidRPr="006D063B">
        <w:rPr>
          <w:rFonts w:ascii="Times New Roman" w:hAnsi="Times New Roman"/>
          <w:i/>
          <w:sz w:val="24"/>
        </w:rPr>
        <w:t xml:space="preserve"> the electronic safe harbour provisions for customers</w:t>
      </w:r>
    </w:p>
    <w:p w14:paraId="499BAC4D" w14:textId="2DBE3180" w:rsidR="006D063B" w:rsidRPr="00211DFE" w:rsidRDefault="00FF59F3" w:rsidP="00FF59F3">
      <w:pPr>
        <w:pStyle w:val="NormalWeb"/>
        <w:shd w:val="clear" w:color="auto" w:fill="FFFFFF"/>
        <w:ind w:left="709" w:hanging="709"/>
        <w:rPr>
          <w:lang w:val="en"/>
        </w:rPr>
      </w:pPr>
      <w:r>
        <w:rPr>
          <w:lang w:val="en"/>
        </w:rPr>
        <w:t>10.</w:t>
      </w:r>
      <w:r>
        <w:rPr>
          <w:lang w:val="en"/>
        </w:rPr>
        <w:tab/>
      </w:r>
      <w:r w:rsidR="006D063B" w:rsidRPr="00211DFE">
        <w:rPr>
          <w:lang w:val="en"/>
        </w:rPr>
        <w:t xml:space="preserve">Reporting entities may adopt 'safe </w:t>
      </w:r>
      <w:proofErr w:type="spellStart"/>
      <w:r w:rsidR="006D063B" w:rsidRPr="00211DFE">
        <w:rPr>
          <w:lang w:val="en"/>
        </w:rPr>
        <w:t>harbour</w:t>
      </w:r>
      <w:proofErr w:type="spellEnd"/>
      <w:r w:rsidR="006D063B" w:rsidRPr="00211DFE">
        <w:rPr>
          <w:lang w:val="en"/>
        </w:rPr>
        <w:t xml:space="preserve">' procedures to verify customer information for individuals with a medium or lower </w:t>
      </w:r>
      <w:r w:rsidR="000E4789">
        <w:rPr>
          <w:lang w:val="en"/>
        </w:rPr>
        <w:t xml:space="preserve">money-laundering or terrorism-financing </w:t>
      </w:r>
      <w:r w:rsidR="004C7BAA">
        <w:rPr>
          <w:lang w:val="en"/>
        </w:rPr>
        <w:t>(</w:t>
      </w:r>
      <w:r w:rsidR="006D063B" w:rsidRPr="00211DFE">
        <w:rPr>
          <w:lang w:val="en"/>
        </w:rPr>
        <w:t>ML/TF</w:t>
      </w:r>
      <w:r w:rsidR="004C7BAA">
        <w:rPr>
          <w:lang w:val="en"/>
        </w:rPr>
        <w:t>)</w:t>
      </w:r>
      <w:r w:rsidR="006D063B" w:rsidRPr="00211DFE">
        <w:rPr>
          <w:lang w:val="en"/>
        </w:rPr>
        <w:t xml:space="preserve"> risk in accordance with paragraph 4.2 </w:t>
      </w:r>
      <w:r w:rsidR="00211DFE" w:rsidRPr="00211DFE">
        <w:rPr>
          <w:lang w:val="en"/>
        </w:rPr>
        <w:t>of Chapter 4</w:t>
      </w:r>
      <w:r w:rsidR="006D063B" w:rsidRPr="00211DFE">
        <w:rPr>
          <w:lang w:val="en"/>
        </w:rPr>
        <w:t>.</w:t>
      </w:r>
    </w:p>
    <w:p w14:paraId="73D0E172" w14:textId="747DCD52" w:rsidR="006D063B" w:rsidRPr="00211DFE" w:rsidRDefault="00FF59F3" w:rsidP="00FF59F3">
      <w:pPr>
        <w:pStyle w:val="Header"/>
        <w:tabs>
          <w:tab w:val="clear" w:pos="4153"/>
          <w:tab w:val="clear" w:pos="8306"/>
        </w:tabs>
        <w:ind w:left="709" w:hanging="709"/>
        <w:rPr>
          <w:rFonts w:ascii="Times New Roman" w:hAnsi="Times New Roman"/>
          <w:sz w:val="24"/>
        </w:rPr>
      </w:pPr>
      <w:r>
        <w:rPr>
          <w:rFonts w:ascii="Times New Roman" w:hAnsi="Times New Roman"/>
          <w:sz w:val="24"/>
        </w:rPr>
        <w:t>11.</w:t>
      </w:r>
      <w:r>
        <w:rPr>
          <w:rFonts w:ascii="Times New Roman" w:hAnsi="Times New Roman"/>
          <w:sz w:val="24"/>
        </w:rPr>
        <w:tab/>
      </w:r>
      <w:r w:rsidR="006D063B" w:rsidRPr="00211DFE">
        <w:rPr>
          <w:rFonts w:ascii="Times New Roman" w:hAnsi="Times New Roman"/>
          <w:sz w:val="24"/>
        </w:rPr>
        <w:t xml:space="preserve">The CDD amendments of 2014 inserted provisions relating to the identification of beneficial owners by reporting entities. These provisions included ‘safe harbour procedures’ that may be applied to beneficial owners who are of medium or lower </w:t>
      </w:r>
      <w:r w:rsidR="004C7BAA">
        <w:rPr>
          <w:rFonts w:ascii="Times New Roman" w:hAnsi="Times New Roman"/>
          <w:sz w:val="24"/>
        </w:rPr>
        <w:t xml:space="preserve">ML/TF </w:t>
      </w:r>
      <w:r w:rsidR="006D063B" w:rsidRPr="00211DFE">
        <w:rPr>
          <w:rFonts w:ascii="Times New Roman" w:hAnsi="Times New Roman"/>
          <w:sz w:val="24"/>
        </w:rPr>
        <w:t xml:space="preserve">risk, and were based upon the existing electronic safe harbour provisions for customers in Chapter 4. </w:t>
      </w:r>
    </w:p>
    <w:p w14:paraId="17C7AC5E" w14:textId="77777777" w:rsidR="00211DFE" w:rsidRPr="00211DFE" w:rsidRDefault="00211DFE" w:rsidP="00FF59F3">
      <w:pPr>
        <w:pStyle w:val="Header"/>
        <w:tabs>
          <w:tab w:val="clear" w:pos="4153"/>
          <w:tab w:val="clear" w:pos="8306"/>
        </w:tabs>
        <w:ind w:left="709" w:hanging="709"/>
        <w:rPr>
          <w:rFonts w:ascii="Times New Roman" w:hAnsi="Times New Roman"/>
          <w:sz w:val="24"/>
        </w:rPr>
      </w:pPr>
    </w:p>
    <w:p w14:paraId="2F65C1FC" w14:textId="0C434EB0" w:rsidR="006D063B" w:rsidRPr="00211DFE" w:rsidRDefault="00FF59F3" w:rsidP="00FF59F3">
      <w:pPr>
        <w:pStyle w:val="Header"/>
        <w:tabs>
          <w:tab w:val="clear" w:pos="4153"/>
          <w:tab w:val="clear" w:pos="8306"/>
        </w:tabs>
        <w:ind w:left="709" w:hanging="709"/>
        <w:rPr>
          <w:rFonts w:ascii="Times New Roman" w:hAnsi="Times New Roman"/>
          <w:sz w:val="24"/>
        </w:rPr>
      </w:pPr>
      <w:r>
        <w:rPr>
          <w:rFonts w:ascii="Times New Roman" w:hAnsi="Times New Roman"/>
          <w:sz w:val="24"/>
        </w:rPr>
        <w:t>12.</w:t>
      </w:r>
      <w:r>
        <w:rPr>
          <w:rFonts w:ascii="Times New Roman" w:hAnsi="Times New Roman"/>
          <w:sz w:val="24"/>
        </w:rPr>
        <w:tab/>
      </w:r>
      <w:r w:rsidR="006D063B" w:rsidRPr="00211DFE">
        <w:rPr>
          <w:rFonts w:ascii="Times New Roman" w:hAnsi="Times New Roman"/>
          <w:sz w:val="24"/>
        </w:rPr>
        <w:t>Industry submissions in regard to CDD requested that the</w:t>
      </w:r>
      <w:r w:rsidR="007363B6">
        <w:rPr>
          <w:rFonts w:ascii="Times New Roman" w:hAnsi="Times New Roman"/>
          <w:sz w:val="24"/>
        </w:rPr>
        <w:t xml:space="preserve"> existing</w:t>
      </w:r>
      <w:r w:rsidR="006D063B" w:rsidRPr="00211DFE">
        <w:rPr>
          <w:rFonts w:ascii="Times New Roman" w:hAnsi="Times New Roman"/>
          <w:sz w:val="24"/>
        </w:rPr>
        <w:t xml:space="preserve"> electronic safe harbour procedures for customers should be</w:t>
      </w:r>
      <w:r w:rsidR="007363B6">
        <w:rPr>
          <w:rFonts w:ascii="Times New Roman" w:hAnsi="Times New Roman"/>
          <w:sz w:val="24"/>
        </w:rPr>
        <w:t xml:space="preserve"> made</w:t>
      </w:r>
      <w:r w:rsidR="006D063B" w:rsidRPr="00211DFE">
        <w:rPr>
          <w:rFonts w:ascii="Times New Roman" w:hAnsi="Times New Roman"/>
          <w:sz w:val="24"/>
        </w:rPr>
        <w:t xml:space="preserve"> consistent with the </w:t>
      </w:r>
      <w:r w:rsidR="007363B6">
        <w:rPr>
          <w:rFonts w:ascii="Times New Roman" w:hAnsi="Times New Roman"/>
          <w:sz w:val="24"/>
        </w:rPr>
        <w:t>new</w:t>
      </w:r>
      <w:r w:rsidR="006D063B" w:rsidRPr="00211DFE">
        <w:rPr>
          <w:rFonts w:ascii="Times New Roman" w:hAnsi="Times New Roman"/>
          <w:sz w:val="24"/>
        </w:rPr>
        <w:t xml:space="preserve"> electronic safe harbour procedures for beneficial </w:t>
      </w:r>
      <w:proofErr w:type="gramStart"/>
      <w:r w:rsidR="006D063B" w:rsidRPr="00211DFE">
        <w:rPr>
          <w:rFonts w:ascii="Times New Roman" w:hAnsi="Times New Roman"/>
          <w:sz w:val="24"/>
        </w:rPr>
        <w:t>owners,</w:t>
      </w:r>
      <w:proofErr w:type="gramEnd"/>
      <w:r w:rsidR="006D063B" w:rsidRPr="00211DFE">
        <w:rPr>
          <w:rFonts w:ascii="Times New Roman" w:hAnsi="Times New Roman"/>
          <w:sz w:val="24"/>
        </w:rPr>
        <w:t xml:space="preserve"> as such an alignment would produce regulatory savings. </w:t>
      </w:r>
    </w:p>
    <w:p w14:paraId="536111A1" w14:textId="77777777" w:rsidR="00211DFE" w:rsidRPr="00211DFE" w:rsidRDefault="00211DFE" w:rsidP="00FF59F3">
      <w:pPr>
        <w:pStyle w:val="Header"/>
        <w:tabs>
          <w:tab w:val="clear" w:pos="4153"/>
          <w:tab w:val="clear" w:pos="8306"/>
        </w:tabs>
        <w:ind w:left="709" w:hanging="709"/>
        <w:rPr>
          <w:rFonts w:ascii="Times New Roman" w:hAnsi="Times New Roman"/>
          <w:sz w:val="24"/>
        </w:rPr>
      </w:pPr>
    </w:p>
    <w:p w14:paraId="00C45FFB" w14:textId="7A9D06F4" w:rsidR="006D063B" w:rsidRPr="00211DFE" w:rsidRDefault="00FF59F3" w:rsidP="00FF59F3">
      <w:pPr>
        <w:pStyle w:val="Header"/>
        <w:tabs>
          <w:tab w:val="clear" w:pos="4153"/>
          <w:tab w:val="clear" w:pos="8306"/>
        </w:tabs>
        <w:ind w:left="709" w:hanging="709"/>
        <w:rPr>
          <w:rFonts w:ascii="Times New Roman" w:hAnsi="Times New Roman"/>
          <w:sz w:val="24"/>
        </w:rPr>
      </w:pPr>
      <w:r>
        <w:rPr>
          <w:rFonts w:ascii="Times New Roman" w:hAnsi="Times New Roman"/>
          <w:sz w:val="24"/>
        </w:rPr>
        <w:t>13.</w:t>
      </w:r>
      <w:r>
        <w:rPr>
          <w:rFonts w:ascii="Times New Roman" w:hAnsi="Times New Roman"/>
          <w:sz w:val="24"/>
        </w:rPr>
        <w:tab/>
      </w:r>
      <w:r w:rsidR="006D063B" w:rsidRPr="00211DFE">
        <w:rPr>
          <w:rFonts w:ascii="Times New Roman" w:hAnsi="Times New Roman"/>
          <w:sz w:val="24"/>
        </w:rPr>
        <w:t xml:space="preserve">Currently the electronic safe harbour provisions for </w:t>
      </w:r>
      <w:r w:rsidR="004C7BAA">
        <w:rPr>
          <w:rFonts w:ascii="Times New Roman" w:hAnsi="Times New Roman"/>
          <w:sz w:val="24"/>
        </w:rPr>
        <w:t xml:space="preserve">individual customers </w:t>
      </w:r>
      <w:r w:rsidR="006D063B" w:rsidRPr="00211DFE">
        <w:rPr>
          <w:rFonts w:ascii="Times New Roman" w:hAnsi="Times New Roman"/>
          <w:sz w:val="24"/>
        </w:rPr>
        <w:t xml:space="preserve">state that, in respect to verification, two components are mandatory (customer name and residential address), while two are discretionary (customer date of birth or customer transaction history). </w:t>
      </w:r>
    </w:p>
    <w:p w14:paraId="461E2F6B" w14:textId="77777777" w:rsidR="00211DFE" w:rsidRPr="00211DFE" w:rsidRDefault="00211DFE" w:rsidP="00FF59F3">
      <w:pPr>
        <w:pStyle w:val="Header"/>
        <w:tabs>
          <w:tab w:val="clear" w:pos="4153"/>
          <w:tab w:val="clear" w:pos="8306"/>
        </w:tabs>
        <w:ind w:left="709" w:hanging="709"/>
        <w:rPr>
          <w:rFonts w:ascii="Times New Roman" w:hAnsi="Times New Roman"/>
          <w:sz w:val="24"/>
        </w:rPr>
      </w:pPr>
    </w:p>
    <w:p w14:paraId="68629A4B" w14:textId="7520B879" w:rsidR="006D063B" w:rsidRPr="00211DFE" w:rsidRDefault="00FF59F3" w:rsidP="00FF59F3">
      <w:pPr>
        <w:pStyle w:val="Header"/>
        <w:tabs>
          <w:tab w:val="clear" w:pos="4153"/>
          <w:tab w:val="clear" w:pos="8306"/>
        </w:tabs>
        <w:ind w:left="709" w:hanging="709"/>
        <w:rPr>
          <w:rFonts w:ascii="Times New Roman" w:hAnsi="Times New Roman"/>
          <w:sz w:val="24"/>
        </w:rPr>
      </w:pPr>
      <w:r>
        <w:rPr>
          <w:rFonts w:ascii="Times New Roman" w:hAnsi="Times New Roman"/>
          <w:sz w:val="24"/>
        </w:rPr>
        <w:t>14.</w:t>
      </w:r>
      <w:r>
        <w:rPr>
          <w:rFonts w:ascii="Times New Roman" w:hAnsi="Times New Roman"/>
          <w:sz w:val="24"/>
        </w:rPr>
        <w:tab/>
      </w:r>
      <w:r w:rsidR="006D063B" w:rsidRPr="00211DFE">
        <w:rPr>
          <w:rFonts w:ascii="Times New Roman" w:hAnsi="Times New Roman"/>
          <w:sz w:val="24"/>
        </w:rPr>
        <w:t xml:space="preserve">The amendments require one mandatory component in regard to verification (name) and three discretionary components (residential address, date of birth or customer transaction history). </w:t>
      </w:r>
    </w:p>
    <w:p w14:paraId="7C3920DE" w14:textId="77777777" w:rsidR="00211DFE" w:rsidRDefault="00211DFE" w:rsidP="00FF59F3">
      <w:pPr>
        <w:pStyle w:val="Header"/>
        <w:tabs>
          <w:tab w:val="clear" w:pos="4153"/>
          <w:tab w:val="clear" w:pos="8306"/>
        </w:tabs>
        <w:ind w:left="709" w:hanging="709"/>
        <w:rPr>
          <w:sz w:val="24"/>
        </w:rPr>
      </w:pPr>
    </w:p>
    <w:p w14:paraId="702F8C42" w14:textId="6796A0F8" w:rsidR="00211DFE" w:rsidRPr="00211DFE" w:rsidRDefault="00FF59F3" w:rsidP="00FF59F3">
      <w:pPr>
        <w:pStyle w:val="Header"/>
        <w:tabs>
          <w:tab w:val="clear" w:pos="4153"/>
          <w:tab w:val="clear" w:pos="8306"/>
          <w:tab w:val="left" w:pos="709"/>
        </w:tabs>
        <w:ind w:left="709" w:hanging="709"/>
        <w:rPr>
          <w:rFonts w:ascii="Times New Roman" w:hAnsi="Times New Roman"/>
          <w:sz w:val="24"/>
        </w:rPr>
      </w:pPr>
      <w:r>
        <w:rPr>
          <w:rFonts w:ascii="Times New Roman" w:hAnsi="Times New Roman"/>
          <w:sz w:val="24"/>
        </w:rPr>
        <w:t>15.</w:t>
      </w:r>
      <w:r>
        <w:rPr>
          <w:rFonts w:ascii="Times New Roman" w:hAnsi="Times New Roman"/>
          <w:sz w:val="24"/>
        </w:rPr>
        <w:tab/>
      </w:r>
      <w:r w:rsidR="006D063B" w:rsidRPr="00211DFE">
        <w:rPr>
          <w:rFonts w:ascii="Times New Roman" w:hAnsi="Times New Roman"/>
          <w:sz w:val="24"/>
        </w:rPr>
        <w:t xml:space="preserve">As the amendments are solely deregulatory, </w:t>
      </w:r>
      <w:r w:rsidR="004C7BAA">
        <w:rPr>
          <w:rFonts w:ascii="Times New Roman" w:hAnsi="Times New Roman"/>
          <w:sz w:val="24"/>
        </w:rPr>
        <w:t>the Office of Best Practice Regulation</w:t>
      </w:r>
      <w:r>
        <w:rPr>
          <w:rFonts w:ascii="Times New Roman" w:hAnsi="Times New Roman"/>
          <w:sz w:val="24"/>
        </w:rPr>
        <w:t xml:space="preserve"> (OBPR)</w:t>
      </w:r>
      <w:r w:rsidR="004C7BAA">
        <w:rPr>
          <w:rFonts w:ascii="Times New Roman" w:hAnsi="Times New Roman"/>
          <w:sz w:val="24"/>
        </w:rPr>
        <w:t xml:space="preserve"> stated that </w:t>
      </w:r>
      <w:r w:rsidR="006D063B" w:rsidRPr="00211DFE">
        <w:rPr>
          <w:rFonts w:ascii="Times New Roman" w:hAnsi="Times New Roman"/>
          <w:sz w:val="24"/>
        </w:rPr>
        <w:t xml:space="preserve">there </w:t>
      </w:r>
      <w:r w:rsidR="00211DFE" w:rsidRPr="00211DFE">
        <w:rPr>
          <w:rFonts w:ascii="Times New Roman" w:hAnsi="Times New Roman"/>
          <w:sz w:val="24"/>
        </w:rPr>
        <w:t>was</w:t>
      </w:r>
      <w:r w:rsidR="006D063B" w:rsidRPr="00211DFE">
        <w:rPr>
          <w:rFonts w:ascii="Times New Roman" w:hAnsi="Times New Roman"/>
          <w:sz w:val="24"/>
        </w:rPr>
        <w:t xml:space="preserve"> no requirement to undertake a Regulation Impact Statement, however, the savings </w:t>
      </w:r>
      <w:r w:rsidR="004C7BAA">
        <w:rPr>
          <w:rFonts w:ascii="Times New Roman" w:hAnsi="Times New Roman"/>
          <w:sz w:val="24"/>
        </w:rPr>
        <w:t xml:space="preserve">must </w:t>
      </w:r>
      <w:r w:rsidR="006D063B" w:rsidRPr="00211DFE">
        <w:rPr>
          <w:rFonts w:ascii="Times New Roman" w:hAnsi="Times New Roman"/>
          <w:sz w:val="24"/>
        </w:rPr>
        <w:t xml:space="preserve">be costed </w:t>
      </w:r>
      <w:r w:rsidR="00211DFE" w:rsidRPr="00211DFE">
        <w:rPr>
          <w:rFonts w:ascii="Times New Roman" w:hAnsi="Times New Roman"/>
          <w:sz w:val="24"/>
        </w:rPr>
        <w:t>using the Australian Regulatory Burden Measurement Framework</w:t>
      </w:r>
      <w:r>
        <w:rPr>
          <w:rFonts w:ascii="Times New Roman" w:hAnsi="Times New Roman"/>
          <w:sz w:val="24"/>
        </w:rPr>
        <w:t xml:space="preserve"> (OBPR reference: 16171)</w:t>
      </w:r>
      <w:r w:rsidR="00211DFE" w:rsidRPr="00211DFE">
        <w:rPr>
          <w:rFonts w:ascii="Times New Roman" w:hAnsi="Times New Roman"/>
          <w:sz w:val="24"/>
        </w:rPr>
        <w:t xml:space="preserve">. </w:t>
      </w:r>
    </w:p>
    <w:p w14:paraId="6B24B0E4" w14:textId="77777777" w:rsidR="00211DFE" w:rsidRPr="00211DFE" w:rsidRDefault="00211DFE" w:rsidP="00FF59F3">
      <w:pPr>
        <w:pStyle w:val="Header"/>
        <w:tabs>
          <w:tab w:val="clear" w:pos="4153"/>
          <w:tab w:val="clear" w:pos="8306"/>
          <w:tab w:val="left" w:pos="709"/>
        </w:tabs>
        <w:ind w:left="709" w:hanging="709"/>
        <w:rPr>
          <w:rFonts w:ascii="Times New Roman" w:hAnsi="Times New Roman"/>
          <w:sz w:val="24"/>
        </w:rPr>
      </w:pPr>
    </w:p>
    <w:p w14:paraId="3B38517B" w14:textId="64AECA73" w:rsidR="006D063B" w:rsidRDefault="00FF59F3" w:rsidP="00FF59F3">
      <w:pPr>
        <w:pStyle w:val="Header"/>
        <w:tabs>
          <w:tab w:val="clear" w:pos="4153"/>
          <w:tab w:val="clear" w:pos="8306"/>
          <w:tab w:val="left" w:pos="709"/>
        </w:tabs>
        <w:ind w:left="709" w:hanging="709"/>
        <w:rPr>
          <w:rFonts w:ascii="Times New Roman" w:hAnsi="Times New Roman"/>
          <w:color w:val="000000"/>
          <w:sz w:val="24"/>
        </w:rPr>
      </w:pPr>
      <w:r>
        <w:rPr>
          <w:rFonts w:ascii="Times New Roman" w:hAnsi="Times New Roman"/>
          <w:sz w:val="24"/>
        </w:rPr>
        <w:t>16.</w:t>
      </w:r>
      <w:r>
        <w:rPr>
          <w:rFonts w:ascii="Times New Roman" w:hAnsi="Times New Roman"/>
          <w:sz w:val="24"/>
        </w:rPr>
        <w:tab/>
      </w:r>
      <w:r w:rsidR="007728FF">
        <w:rPr>
          <w:rFonts w:ascii="Times New Roman" w:hAnsi="Times New Roman"/>
          <w:sz w:val="24"/>
        </w:rPr>
        <w:t>Draft c</w:t>
      </w:r>
      <w:r w:rsidR="006D063B" w:rsidRPr="00211DFE">
        <w:rPr>
          <w:rFonts w:ascii="Times New Roman" w:hAnsi="Times New Roman"/>
          <w:sz w:val="24"/>
        </w:rPr>
        <w:t xml:space="preserve">ostings were developed and published on the AUSTRAC website for consultation </w:t>
      </w:r>
      <w:r w:rsidR="00211DFE" w:rsidRPr="00211DFE">
        <w:rPr>
          <w:rFonts w:ascii="Times New Roman" w:hAnsi="Times New Roman"/>
          <w:sz w:val="24"/>
        </w:rPr>
        <w:t xml:space="preserve">from 9 June 2016 to 7 July 2016. </w:t>
      </w:r>
      <w:r w:rsidR="006D063B" w:rsidRPr="00211DFE">
        <w:rPr>
          <w:rFonts w:ascii="Times New Roman" w:hAnsi="Times New Roman"/>
          <w:color w:val="000000"/>
          <w:sz w:val="24"/>
        </w:rPr>
        <w:t xml:space="preserve">No submissions were received on the published costings. </w:t>
      </w:r>
    </w:p>
    <w:p w14:paraId="35CBE66B" w14:textId="77777777" w:rsidR="004C7BAA" w:rsidRDefault="004C7BAA" w:rsidP="00211DFE">
      <w:pPr>
        <w:pStyle w:val="Header"/>
        <w:tabs>
          <w:tab w:val="clear" w:pos="4153"/>
          <w:tab w:val="clear" w:pos="8306"/>
          <w:tab w:val="left" w:pos="709"/>
        </w:tabs>
        <w:ind w:left="709" w:hanging="709"/>
        <w:rPr>
          <w:rFonts w:ascii="Times New Roman" w:hAnsi="Times New Roman"/>
          <w:color w:val="000000"/>
          <w:sz w:val="24"/>
        </w:rPr>
      </w:pPr>
    </w:p>
    <w:p w14:paraId="7C37226D" w14:textId="089DF476" w:rsidR="004C7BAA" w:rsidRDefault="00FF59F3" w:rsidP="00211DFE">
      <w:pPr>
        <w:pStyle w:val="Header"/>
        <w:tabs>
          <w:tab w:val="clear" w:pos="4153"/>
          <w:tab w:val="clear" w:pos="8306"/>
          <w:tab w:val="left" w:pos="709"/>
        </w:tabs>
        <w:ind w:left="709" w:hanging="709"/>
        <w:rPr>
          <w:rFonts w:ascii="Times New Roman" w:hAnsi="Times New Roman"/>
          <w:color w:val="000000"/>
          <w:sz w:val="24"/>
        </w:rPr>
      </w:pPr>
      <w:r>
        <w:rPr>
          <w:rFonts w:ascii="Times New Roman" w:hAnsi="Times New Roman"/>
          <w:color w:val="000000"/>
          <w:sz w:val="24"/>
        </w:rPr>
        <w:t>17.</w:t>
      </w:r>
      <w:r>
        <w:rPr>
          <w:rFonts w:ascii="Times New Roman" w:hAnsi="Times New Roman"/>
          <w:color w:val="000000"/>
          <w:sz w:val="24"/>
        </w:rPr>
        <w:tab/>
      </w:r>
      <w:r w:rsidR="004C7BAA">
        <w:rPr>
          <w:rFonts w:ascii="Times New Roman" w:hAnsi="Times New Roman"/>
          <w:color w:val="000000"/>
          <w:sz w:val="24"/>
        </w:rPr>
        <w:t>The costings are reproduced below:</w:t>
      </w:r>
    </w:p>
    <w:tbl>
      <w:tblPr>
        <w:tblStyle w:val="TableGrid"/>
        <w:tblW w:w="9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76"/>
        <w:gridCol w:w="1418"/>
        <w:gridCol w:w="5386"/>
      </w:tblGrid>
      <w:tr w:rsidR="004C7BAA" w14:paraId="359AC655" w14:textId="77777777" w:rsidTr="004C7BAA">
        <w:trPr>
          <w:cantSplit/>
        </w:trPr>
        <w:tc>
          <w:tcPr>
            <w:tcW w:w="2376" w:type="dxa"/>
            <w:shd w:val="clear" w:color="auto" w:fill="F2F2F2"/>
          </w:tcPr>
          <w:p w14:paraId="1196A3FD" w14:textId="77777777" w:rsidR="004C7BAA" w:rsidRPr="004C7BAA" w:rsidRDefault="004C7BAA" w:rsidP="004E1A1B">
            <w:pPr>
              <w:spacing w:after="120"/>
              <w:rPr>
                <w:sz w:val="20"/>
                <w:szCs w:val="20"/>
              </w:rPr>
            </w:pPr>
            <w:r w:rsidRPr="004C7BAA">
              <w:rPr>
                <w:sz w:val="20"/>
                <w:szCs w:val="20"/>
              </w:rPr>
              <w:lastRenderedPageBreak/>
              <w:t>Current cost to financial institutions performing manual verifications</w:t>
            </w:r>
          </w:p>
        </w:tc>
        <w:tc>
          <w:tcPr>
            <w:tcW w:w="1418" w:type="dxa"/>
            <w:shd w:val="clear" w:color="auto" w:fill="F2F2F2"/>
          </w:tcPr>
          <w:p w14:paraId="5B1DE4CB" w14:textId="77777777" w:rsidR="004C7BAA" w:rsidRPr="004C7BAA" w:rsidRDefault="004C7BAA" w:rsidP="004E1A1B">
            <w:pPr>
              <w:spacing w:after="120"/>
              <w:rPr>
                <w:sz w:val="20"/>
                <w:szCs w:val="20"/>
              </w:rPr>
            </w:pPr>
            <w:r w:rsidRPr="004C7BAA">
              <w:rPr>
                <w:sz w:val="20"/>
                <w:szCs w:val="20"/>
              </w:rPr>
              <w:t>$7,379,136</w:t>
            </w:r>
          </w:p>
        </w:tc>
        <w:tc>
          <w:tcPr>
            <w:tcW w:w="5386" w:type="dxa"/>
            <w:shd w:val="clear" w:color="auto" w:fill="F2F2F2"/>
          </w:tcPr>
          <w:p w14:paraId="24DF2F51" w14:textId="77777777" w:rsidR="004C7BAA" w:rsidRPr="004C7BAA" w:rsidRDefault="004C7BAA" w:rsidP="004E1A1B">
            <w:pPr>
              <w:spacing w:after="120"/>
              <w:rPr>
                <w:sz w:val="20"/>
                <w:szCs w:val="20"/>
              </w:rPr>
            </w:pPr>
            <w:r w:rsidRPr="004C7BAA">
              <w:rPr>
                <w:sz w:val="20"/>
                <w:szCs w:val="20"/>
              </w:rPr>
              <w:t>Based on OBPR purchase costs formula for businesses (Source: OBPR Guidance Note – Regulatory Burden Measurement Framework, page 13).</w:t>
            </w:r>
          </w:p>
          <w:p w14:paraId="2126FBA9" w14:textId="77777777" w:rsidR="004C7BAA" w:rsidRPr="004C7BAA" w:rsidRDefault="004C7BAA" w:rsidP="004E1A1B">
            <w:pPr>
              <w:spacing w:after="120"/>
              <w:rPr>
                <w:sz w:val="20"/>
                <w:szCs w:val="20"/>
              </w:rPr>
            </w:pPr>
            <w:r w:rsidRPr="004C7BAA">
              <w:rPr>
                <w:sz w:val="20"/>
                <w:szCs w:val="20"/>
              </w:rPr>
              <w:t xml:space="preserve">$23 per Australia Post AML identity </w:t>
            </w:r>
            <w:proofErr w:type="gramStart"/>
            <w:r w:rsidRPr="004C7BAA">
              <w:rPr>
                <w:sz w:val="20"/>
                <w:szCs w:val="20"/>
              </w:rPr>
              <w:t>check</w:t>
            </w:r>
            <w:proofErr w:type="gramEnd"/>
            <w:r w:rsidRPr="004C7BAA">
              <w:rPr>
                <w:sz w:val="20"/>
                <w:szCs w:val="20"/>
              </w:rPr>
              <w:t xml:space="preserve"> as specified by industry.  Assume same cost for manual verification for all businesses whether the customer attends a branch of the reporting entity or Australia Post.</w:t>
            </w:r>
          </w:p>
          <w:p w14:paraId="6F9155F0" w14:textId="77777777" w:rsidR="004C7BAA" w:rsidRPr="004C7BAA" w:rsidRDefault="004C7BAA" w:rsidP="004E1A1B">
            <w:pPr>
              <w:spacing w:after="120"/>
              <w:rPr>
                <w:sz w:val="20"/>
                <w:szCs w:val="20"/>
              </w:rPr>
            </w:pPr>
            <w:r w:rsidRPr="004C7BAA">
              <w:rPr>
                <w:sz w:val="20"/>
                <w:szCs w:val="20"/>
              </w:rPr>
              <w:t xml:space="preserve">Assumes there are 4,010,400 new customers per year across affected financial institutions (Source: PwC).  All new customers would be e-verified in the first instance.  Industry has advised that 40% of new customers fail e-verification (1,604,160) and that 20% of customers who fail e-verification will go on to complete manual verification (320,832).  </w:t>
            </w:r>
          </w:p>
        </w:tc>
      </w:tr>
      <w:tr w:rsidR="004C7BAA" w14:paraId="0452BD22" w14:textId="77777777" w:rsidTr="004C7BAA">
        <w:trPr>
          <w:cantSplit/>
        </w:trPr>
        <w:tc>
          <w:tcPr>
            <w:tcW w:w="2376" w:type="dxa"/>
            <w:shd w:val="clear" w:color="auto" w:fill="D9D9D9"/>
          </w:tcPr>
          <w:p w14:paraId="0DB7852C" w14:textId="77777777" w:rsidR="004C7BAA" w:rsidRPr="004C7BAA" w:rsidRDefault="004C7BAA" w:rsidP="004E1A1B">
            <w:pPr>
              <w:spacing w:after="120"/>
              <w:rPr>
                <w:sz w:val="20"/>
                <w:szCs w:val="20"/>
              </w:rPr>
            </w:pPr>
            <w:r w:rsidRPr="004C7BAA">
              <w:rPr>
                <w:sz w:val="20"/>
                <w:szCs w:val="20"/>
              </w:rPr>
              <w:t>New cost to financial institutions performing manual verifications</w:t>
            </w:r>
          </w:p>
        </w:tc>
        <w:tc>
          <w:tcPr>
            <w:tcW w:w="1418" w:type="dxa"/>
            <w:shd w:val="clear" w:color="auto" w:fill="D9D9D9"/>
          </w:tcPr>
          <w:p w14:paraId="547C97BD" w14:textId="77777777" w:rsidR="004C7BAA" w:rsidRPr="004C7BAA" w:rsidRDefault="004C7BAA" w:rsidP="004E1A1B">
            <w:pPr>
              <w:spacing w:after="120"/>
              <w:rPr>
                <w:sz w:val="20"/>
                <w:szCs w:val="20"/>
              </w:rPr>
            </w:pPr>
            <w:r w:rsidRPr="004C7BAA">
              <w:rPr>
                <w:sz w:val="20"/>
                <w:szCs w:val="20"/>
              </w:rPr>
              <w:t>$2,767,176</w:t>
            </w:r>
          </w:p>
        </w:tc>
        <w:tc>
          <w:tcPr>
            <w:tcW w:w="5386" w:type="dxa"/>
            <w:shd w:val="clear" w:color="auto" w:fill="D9D9D9"/>
          </w:tcPr>
          <w:p w14:paraId="4AD614B0" w14:textId="77777777" w:rsidR="004C7BAA" w:rsidRPr="004C7BAA" w:rsidRDefault="004C7BAA" w:rsidP="004E1A1B">
            <w:pPr>
              <w:spacing w:after="120"/>
              <w:rPr>
                <w:sz w:val="20"/>
                <w:szCs w:val="20"/>
              </w:rPr>
            </w:pPr>
            <w:r w:rsidRPr="004C7BAA">
              <w:rPr>
                <w:sz w:val="20"/>
                <w:szCs w:val="20"/>
              </w:rPr>
              <w:t xml:space="preserve">Based on the information from industry that the proposed changes would reduce e-verification fail rates from 40% (1,604,160) to 15% (601,560).  </w:t>
            </w:r>
          </w:p>
          <w:p w14:paraId="11E4746A" w14:textId="77777777" w:rsidR="004C7BAA" w:rsidRPr="004C7BAA" w:rsidRDefault="004C7BAA" w:rsidP="004E1A1B">
            <w:pPr>
              <w:spacing w:after="120"/>
              <w:rPr>
                <w:sz w:val="20"/>
                <w:szCs w:val="20"/>
              </w:rPr>
            </w:pPr>
            <w:r w:rsidRPr="004C7BAA">
              <w:rPr>
                <w:sz w:val="20"/>
                <w:szCs w:val="20"/>
              </w:rPr>
              <w:t>It is assumed that 20% of customers who fail e-verification will continue to be manually verified (120,312).</w:t>
            </w:r>
          </w:p>
        </w:tc>
      </w:tr>
      <w:tr w:rsidR="004C7BAA" w14:paraId="6498BECC" w14:textId="77777777" w:rsidTr="004C7BAA">
        <w:trPr>
          <w:cantSplit/>
        </w:trPr>
        <w:tc>
          <w:tcPr>
            <w:tcW w:w="2376" w:type="dxa"/>
            <w:shd w:val="clear" w:color="auto" w:fill="F2F2F2"/>
          </w:tcPr>
          <w:p w14:paraId="752E84C9" w14:textId="77777777" w:rsidR="004C7BAA" w:rsidRPr="004C7BAA" w:rsidRDefault="004C7BAA" w:rsidP="004E1A1B">
            <w:pPr>
              <w:spacing w:after="120"/>
              <w:rPr>
                <w:sz w:val="20"/>
                <w:szCs w:val="20"/>
              </w:rPr>
            </w:pPr>
            <w:r w:rsidRPr="004C7BAA">
              <w:rPr>
                <w:sz w:val="20"/>
                <w:szCs w:val="20"/>
              </w:rPr>
              <w:t xml:space="preserve">Savings to financial institutions (business) performing manual verifications </w:t>
            </w:r>
          </w:p>
        </w:tc>
        <w:tc>
          <w:tcPr>
            <w:tcW w:w="1418" w:type="dxa"/>
            <w:shd w:val="clear" w:color="auto" w:fill="F2F2F2"/>
          </w:tcPr>
          <w:p w14:paraId="14A8FF25" w14:textId="77777777" w:rsidR="004C7BAA" w:rsidRPr="004C7BAA" w:rsidRDefault="004C7BAA" w:rsidP="004E1A1B">
            <w:pPr>
              <w:spacing w:after="120"/>
              <w:rPr>
                <w:b/>
                <w:sz w:val="20"/>
                <w:szCs w:val="20"/>
              </w:rPr>
            </w:pPr>
            <w:r w:rsidRPr="004C7BAA">
              <w:rPr>
                <w:b/>
                <w:sz w:val="20"/>
                <w:szCs w:val="20"/>
              </w:rPr>
              <w:t>$4,611,960</w:t>
            </w:r>
          </w:p>
        </w:tc>
        <w:tc>
          <w:tcPr>
            <w:tcW w:w="5386" w:type="dxa"/>
            <w:shd w:val="clear" w:color="auto" w:fill="F2F2F2"/>
          </w:tcPr>
          <w:p w14:paraId="3250E61D" w14:textId="77777777" w:rsidR="004C7BAA" w:rsidRPr="004C7BAA" w:rsidRDefault="004C7BAA" w:rsidP="004E1A1B">
            <w:pPr>
              <w:spacing w:after="120"/>
              <w:rPr>
                <w:sz w:val="20"/>
                <w:szCs w:val="20"/>
              </w:rPr>
            </w:pPr>
            <w:r w:rsidRPr="004C7BAA">
              <w:rPr>
                <w:sz w:val="20"/>
                <w:szCs w:val="20"/>
              </w:rPr>
              <w:t>Difference between current cost and new cost.</w:t>
            </w:r>
          </w:p>
        </w:tc>
      </w:tr>
      <w:tr w:rsidR="004C7BAA" w14:paraId="171F1FFE" w14:textId="77777777" w:rsidTr="004C7BAA">
        <w:trPr>
          <w:cantSplit/>
        </w:trPr>
        <w:tc>
          <w:tcPr>
            <w:tcW w:w="2376" w:type="dxa"/>
            <w:shd w:val="clear" w:color="auto" w:fill="D9D9D9"/>
          </w:tcPr>
          <w:p w14:paraId="52DC9743" w14:textId="77777777" w:rsidR="004C7BAA" w:rsidRPr="004C7BAA" w:rsidRDefault="004C7BAA" w:rsidP="004E1A1B">
            <w:pPr>
              <w:spacing w:after="120"/>
              <w:rPr>
                <w:sz w:val="20"/>
                <w:szCs w:val="20"/>
              </w:rPr>
            </w:pPr>
            <w:r w:rsidRPr="004C7BAA">
              <w:rPr>
                <w:sz w:val="20"/>
                <w:szCs w:val="20"/>
              </w:rPr>
              <w:t xml:space="preserve">Current cost to financial institutions performing mismatches   </w:t>
            </w:r>
          </w:p>
        </w:tc>
        <w:tc>
          <w:tcPr>
            <w:tcW w:w="1418" w:type="dxa"/>
            <w:shd w:val="clear" w:color="auto" w:fill="D9D9D9"/>
          </w:tcPr>
          <w:p w14:paraId="73A3C88B" w14:textId="77777777" w:rsidR="004C7BAA" w:rsidRPr="004C7BAA" w:rsidRDefault="004C7BAA" w:rsidP="004E1A1B">
            <w:pPr>
              <w:spacing w:after="120"/>
              <w:rPr>
                <w:sz w:val="20"/>
                <w:szCs w:val="20"/>
              </w:rPr>
            </w:pPr>
            <w:r w:rsidRPr="004C7BAA">
              <w:rPr>
                <w:sz w:val="20"/>
                <w:szCs w:val="20"/>
              </w:rPr>
              <w:t>$4,200,306</w:t>
            </w:r>
          </w:p>
        </w:tc>
        <w:tc>
          <w:tcPr>
            <w:tcW w:w="5386" w:type="dxa"/>
            <w:shd w:val="clear" w:color="auto" w:fill="D9D9D9"/>
          </w:tcPr>
          <w:p w14:paraId="6D516937" w14:textId="77777777" w:rsidR="004C7BAA" w:rsidRPr="004C7BAA" w:rsidRDefault="004C7BAA" w:rsidP="004E1A1B">
            <w:pPr>
              <w:spacing w:after="120"/>
              <w:rPr>
                <w:sz w:val="20"/>
                <w:szCs w:val="20"/>
              </w:rPr>
            </w:pPr>
            <w:r w:rsidRPr="004C7BAA">
              <w:rPr>
                <w:sz w:val="20"/>
                <w:szCs w:val="20"/>
              </w:rPr>
              <w:t>Based on OBPR labour costs formula for businesses (Source: OBPR Guidance Note – Regulatory Burden Measurement Framework, page 12).</w:t>
            </w:r>
          </w:p>
          <w:p w14:paraId="673E5266" w14:textId="77777777" w:rsidR="004C7BAA" w:rsidRPr="004C7BAA" w:rsidRDefault="004C7BAA" w:rsidP="004E1A1B">
            <w:pPr>
              <w:spacing w:after="120"/>
              <w:rPr>
                <w:sz w:val="20"/>
                <w:szCs w:val="20"/>
              </w:rPr>
            </w:pPr>
            <w:r w:rsidRPr="004C7BAA">
              <w:rPr>
                <w:sz w:val="20"/>
                <w:szCs w:val="20"/>
              </w:rPr>
              <w:t>$21.82 per mismatch.  Figure based on default work-related labour cost of $65.45 per hour and information from industry that it takes 0.3 hours to process a mismatch and there is an average of 6 staff in every institution that process mismatches.</w:t>
            </w:r>
          </w:p>
          <w:p w14:paraId="5CEBF0CA" w14:textId="77777777" w:rsidR="004C7BAA" w:rsidRPr="004C7BAA" w:rsidRDefault="004C7BAA" w:rsidP="004E1A1B">
            <w:pPr>
              <w:spacing w:after="120"/>
              <w:rPr>
                <w:sz w:val="20"/>
                <w:szCs w:val="20"/>
              </w:rPr>
            </w:pPr>
          </w:p>
          <w:p w14:paraId="62815823" w14:textId="77777777" w:rsidR="004C7BAA" w:rsidRPr="004C7BAA" w:rsidRDefault="004C7BAA" w:rsidP="004E1A1B">
            <w:pPr>
              <w:spacing w:after="120"/>
              <w:rPr>
                <w:sz w:val="20"/>
                <w:szCs w:val="20"/>
              </w:rPr>
            </w:pPr>
            <w:r w:rsidRPr="004C7BAA">
              <w:rPr>
                <w:sz w:val="20"/>
                <w:szCs w:val="20"/>
              </w:rPr>
              <w:t>Based on the assumption that 10% of manual verifications (320832) will still result in a mismatch (32083).</w:t>
            </w:r>
          </w:p>
        </w:tc>
      </w:tr>
      <w:tr w:rsidR="004C7BAA" w14:paraId="7E8742A3" w14:textId="77777777" w:rsidTr="004C7BAA">
        <w:trPr>
          <w:cantSplit/>
        </w:trPr>
        <w:tc>
          <w:tcPr>
            <w:tcW w:w="2376" w:type="dxa"/>
            <w:shd w:val="clear" w:color="auto" w:fill="F2F2F2"/>
          </w:tcPr>
          <w:p w14:paraId="201B0E9E" w14:textId="77777777" w:rsidR="004C7BAA" w:rsidRPr="004C7BAA" w:rsidRDefault="004C7BAA" w:rsidP="004E1A1B">
            <w:pPr>
              <w:spacing w:after="120"/>
              <w:rPr>
                <w:sz w:val="20"/>
                <w:szCs w:val="20"/>
              </w:rPr>
            </w:pPr>
            <w:r w:rsidRPr="004C7BAA">
              <w:rPr>
                <w:sz w:val="20"/>
                <w:szCs w:val="20"/>
              </w:rPr>
              <w:t>New cost to financial institutions performing mismatches</w:t>
            </w:r>
          </w:p>
        </w:tc>
        <w:tc>
          <w:tcPr>
            <w:tcW w:w="1418" w:type="dxa"/>
            <w:shd w:val="clear" w:color="auto" w:fill="F2F2F2"/>
          </w:tcPr>
          <w:p w14:paraId="490C97D8" w14:textId="77777777" w:rsidR="004C7BAA" w:rsidRPr="004C7BAA" w:rsidRDefault="004C7BAA" w:rsidP="004E1A1B">
            <w:pPr>
              <w:spacing w:after="120"/>
              <w:rPr>
                <w:sz w:val="20"/>
                <w:szCs w:val="20"/>
              </w:rPr>
            </w:pPr>
            <w:r w:rsidRPr="004C7BAA">
              <w:rPr>
                <w:sz w:val="20"/>
                <w:szCs w:val="20"/>
              </w:rPr>
              <w:t>$1,575,099</w:t>
            </w:r>
          </w:p>
        </w:tc>
        <w:tc>
          <w:tcPr>
            <w:tcW w:w="5386" w:type="dxa"/>
            <w:shd w:val="clear" w:color="auto" w:fill="F2F2F2"/>
          </w:tcPr>
          <w:p w14:paraId="032A0826" w14:textId="77777777" w:rsidR="004C7BAA" w:rsidRPr="004C7BAA" w:rsidRDefault="004C7BAA" w:rsidP="004E1A1B">
            <w:pPr>
              <w:spacing w:after="120"/>
              <w:rPr>
                <w:sz w:val="20"/>
                <w:szCs w:val="20"/>
              </w:rPr>
            </w:pPr>
          </w:p>
        </w:tc>
      </w:tr>
      <w:tr w:rsidR="004C7BAA" w14:paraId="0CD57AA1" w14:textId="77777777" w:rsidTr="004C7BAA">
        <w:trPr>
          <w:cantSplit/>
        </w:trPr>
        <w:tc>
          <w:tcPr>
            <w:tcW w:w="2376" w:type="dxa"/>
            <w:shd w:val="clear" w:color="auto" w:fill="D9D9D9"/>
          </w:tcPr>
          <w:p w14:paraId="26146732" w14:textId="77777777" w:rsidR="004C7BAA" w:rsidRPr="004C7BAA" w:rsidRDefault="004C7BAA" w:rsidP="004E1A1B">
            <w:pPr>
              <w:spacing w:after="120"/>
              <w:rPr>
                <w:sz w:val="20"/>
                <w:szCs w:val="20"/>
              </w:rPr>
            </w:pPr>
            <w:r w:rsidRPr="004C7BAA">
              <w:rPr>
                <w:sz w:val="20"/>
                <w:szCs w:val="20"/>
              </w:rPr>
              <w:t>Savings to financial institutions (business) performing mismatches</w:t>
            </w:r>
          </w:p>
        </w:tc>
        <w:tc>
          <w:tcPr>
            <w:tcW w:w="1418" w:type="dxa"/>
            <w:shd w:val="clear" w:color="auto" w:fill="D9D9D9"/>
          </w:tcPr>
          <w:p w14:paraId="77C7BCDB" w14:textId="77777777" w:rsidR="004C7BAA" w:rsidRPr="004C7BAA" w:rsidRDefault="004C7BAA" w:rsidP="004E1A1B">
            <w:pPr>
              <w:spacing w:after="120"/>
              <w:rPr>
                <w:b/>
                <w:sz w:val="20"/>
                <w:szCs w:val="20"/>
              </w:rPr>
            </w:pPr>
            <w:r w:rsidRPr="004C7BAA">
              <w:rPr>
                <w:b/>
                <w:sz w:val="20"/>
                <w:szCs w:val="20"/>
              </w:rPr>
              <w:t xml:space="preserve">$2,625,207 </w:t>
            </w:r>
          </w:p>
        </w:tc>
        <w:tc>
          <w:tcPr>
            <w:tcW w:w="5386" w:type="dxa"/>
            <w:shd w:val="clear" w:color="auto" w:fill="D9D9D9"/>
          </w:tcPr>
          <w:p w14:paraId="44A519A4" w14:textId="77777777" w:rsidR="004C7BAA" w:rsidRPr="004C7BAA" w:rsidRDefault="004C7BAA" w:rsidP="004E1A1B">
            <w:pPr>
              <w:spacing w:after="120"/>
              <w:rPr>
                <w:sz w:val="20"/>
                <w:szCs w:val="20"/>
              </w:rPr>
            </w:pPr>
          </w:p>
        </w:tc>
      </w:tr>
      <w:tr w:rsidR="004C7BAA" w14:paraId="5F4181AF" w14:textId="77777777" w:rsidTr="004C7BAA">
        <w:trPr>
          <w:cantSplit/>
        </w:trPr>
        <w:tc>
          <w:tcPr>
            <w:tcW w:w="2376" w:type="dxa"/>
            <w:shd w:val="clear" w:color="auto" w:fill="BFBFBF"/>
          </w:tcPr>
          <w:p w14:paraId="74CE21FD" w14:textId="77777777" w:rsidR="004C7BAA" w:rsidRPr="004C7BAA" w:rsidRDefault="004C7BAA" w:rsidP="004E1A1B">
            <w:pPr>
              <w:spacing w:after="120"/>
              <w:rPr>
                <w:b/>
                <w:sz w:val="20"/>
                <w:szCs w:val="20"/>
              </w:rPr>
            </w:pPr>
            <w:r w:rsidRPr="004C7BAA">
              <w:rPr>
                <w:b/>
                <w:sz w:val="20"/>
                <w:szCs w:val="20"/>
              </w:rPr>
              <w:t>Total savings to business</w:t>
            </w:r>
          </w:p>
        </w:tc>
        <w:tc>
          <w:tcPr>
            <w:tcW w:w="1418" w:type="dxa"/>
            <w:shd w:val="clear" w:color="auto" w:fill="BFBFBF"/>
          </w:tcPr>
          <w:p w14:paraId="22FAED42" w14:textId="77777777" w:rsidR="004C7BAA" w:rsidRPr="004C7BAA" w:rsidRDefault="004C7BAA" w:rsidP="004E1A1B">
            <w:pPr>
              <w:spacing w:after="120"/>
              <w:rPr>
                <w:b/>
                <w:sz w:val="20"/>
                <w:szCs w:val="20"/>
              </w:rPr>
            </w:pPr>
            <w:r w:rsidRPr="004C7BAA">
              <w:rPr>
                <w:b/>
                <w:sz w:val="20"/>
                <w:szCs w:val="20"/>
              </w:rPr>
              <w:t>$6,730,565</w:t>
            </w:r>
          </w:p>
        </w:tc>
        <w:tc>
          <w:tcPr>
            <w:tcW w:w="5386" w:type="dxa"/>
            <w:vMerge w:val="restart"/>
            <w:shd w:val="clear" w:color="auto" w:fill="BFBFBF"/>
          </w:tcPr>
          <w:p w14:paraId="0F6CCAAE" w14:textId="77777777" w:rsidR="004C7BAA" w:rsidRPr="004C7BAA" w:rsidRDefault="004C7BAA" w:rsidP="004E1A1B">
            <w:pPr>
              <w:spacing w:after="120"/>
              <w:rPr>
                <w:sz w:val="20"/>
                <w:szCs w:val="20"/>
              </w:rPr>
            </w:pPr>
            <w:r w:rsidRPr="004C7BAA">
              <w:rPr>
                <w:sz w:val="20"/>
                <w:szCs w:val="20"/>
              </w:rPr>
              <w:t xml:space="preserve">After one-off administrative cost of 7% (506602) has been deducted from the first year. This is the cost for business to understand the new changes and review and amend their procedures.  </w:t>
            </w:r>
          </w:p>
          <w:p w14:paraId="5BA8368C" w14:textId="77777777" w:rsidR="004C7BAA" w:rsidRPr="004C7BAA" w:rsidRDefault="004C7BAA" w:rsidP="004E1A1B">
            <w:pPr>
              <w:spacing w:after="120"/>
              <w:rPr>
                <w:sz w:val="20"/>
                <w:szCs w:val="20"/>
              </w:rPr>
            </w:pPr>
            <w:r w:rsidRPr="004C7BAA">
              <w:rPr>
                <w:sz w:val="20"/>
                <w:szCs w:val="20"/>
              </w:rPr>
              <w:t>Average figure was calculated by dividing one-off cost over ten years.</w:t>
            </w:r>
          </w:p>
        </w:tc>
      </w:tr>
      <w:tr w:rsidR="004C7BAA" w14:paraId="5F741981" w14:textId="77777777" w:rsidTr="004C7BAA">
        <w:trPr>
          <w:cantSplit/>
        </w:trPr>
        <w:tc>
          <w:tcPr>
            <w:tcW w:w="2376" w:type="dxa"/>
            <w:shd w:val="clear" w:color="auto" w:fill="BFBFBF"/>
          </w:tcPr>
          <w:p w14:paraId="6F18F4D5" w14:textId="77777777" w:rsidR="004C7BAA" w:rsidRPr="004F06DA" w:rsidRDefault="004C7BAA" w:rsidP="004E1A1B">
            <w:pPr>
              <w:spacing w:after="120"/>
              <w:rPr>
                <w:b/>
              </w:rPr>
            </w:pPr>
            <w:r w:rsidRPr="004F06DA">
              <w:rPr>
                <w:b/>
              </w:rPr>
              <w:t xml:space="preserve">Average </w:t>
            </w:r>
            <w:r>
              <w:rPr>
                <w:b/>
              </w:rPr>
              <w:t>savings</w:t>
            </w:r>
            <w:r w:rsidRPr="004F06DA">
              <w:rPr>
                <w:b/>
              </w:rPr>
              <w:t xml:space="preserve"> over 10 years</w:t>
            </w:r>
          </w:p>
        </w:tc>
        <w:tc>
          <w:tcPr>
            <w:tcW w:w="1418" w:type="dxa"/>
            <w:shd w:val="clear" w:color="auto" w:fill="BFBFBF"/>
          </w:tcPr>
          <w:p w14:paraId="2B757C8D" w14:textId="77777777" w:rsidR="004C7BAA" w:rsidRPr="004F06DA" w:rsidRDefault="004C7BAA" w:rsidP="004E1A1B">
            <w:pPr>
              <w:spacing w:after="120"/>
              <w:rPr>
                <w:b/>
              </w:rPr>
            </w:pPr>
            <w:r w:rsidRPr="004F06DA">
              <w:rPr>
                <w:b/>
              </w:rPr>
              <w:t>$7,186,506</w:t>
            </w:r>
          </w:p>
        </w:tc>
        <w:tc>
          <w:tcPr>
            <w:tcW w:w="5386" w:type="dxa"/>
            <w:vMerge/>
            <w:shd w:val="clear" w:color="auto" w:fill="BFBFBF"/>
          </w:tcPr>
          <w:p w14:paraId="5537F9B9" w14:textId="77777777" w:rsidR="004C7BAA" w:rsidRPr="004F06DA" w:rsidRDefault="004C7BAA" w:rsidP="004E1A1B">
            <w:pPr>
              <w:spacing w:after="120"/>
            </w:pPr>
          </w:p>
        </w:tc>
      </w:tr>
    </w:tbl>
    <w:p w14:paraId="040347E7" w14:textId="77777777" w:rsidR="004C7BAA" w:rsidRDefault="004C7BAA" w:rsidP="004C7BAA">
      <w:pPr>
        <w:pStyle w:val="Heading2"/>
      </w:pPr>
      <w:r w:rsidRPr="004F06DA">
        <w:t>Savings to individuals</w:t>
      </w:r>
    </w:p>
    <w:tbl>
      <w:tblPr>
        <w:tblStyle w:val="TableGrid"/>
        <w:tblW w:w="9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76"/>
        <w:gridCol w:w="1418"/>
        <w:gridCol w:w="5386"/>
      </w:tblGrid>
      <w:tr w:rsidR="004C7BAA" w14:paraId="5AEB1D50" w14:textId="77777777" w:rsidTr="004C7BAA">
        <w:trPr>
          <w:cantSplit/>
          <w:tblHeader/>
        </w:trPr>
        <w:tc>
          <w:tcPr>
            <w:tcW w:w="2376" w:type="dxa"/>
            <w:shd w:val="clear" w:color="auto" w:fill="007398"/>
          </w:tcPr>
          <w:p w14:paraId="0CEA1AD3" w14:textId="77777777" w:rsidR="004C7BAA" w:rsidRPr="004C7BAA" w:rsidRDefault="004C7BAA" w:rsidP="004E1A1B">
            <w:pPr>
              <w:spacing w:after="120"/>
              <w:rPr>
                <w:b/>
                <w:color w:val="FFFFFF"/>
              </w:rPr>
            </w:pPr>
            <w:r w:rsidRPr="004C7BAA">
              <w:rPr>
                <w:b/>
                <w:color w:val="FFFFFF"/>
              </w:rPr>
              <w:t>Item</w:t>
            </w:r>
          </w:p>
        </w:tc>
        <w:tc>
          <w:tcPr>
            <w:tcW w:w="1418" w:type="dxa"/>
            <w:shd w:val="clear" w:color="auto" w:fill="007398"/>
          </w:tcPr>
          <w:p w14:paraId="0C13C315" w14:textId="77777777" w:rsidR="004C7BAA" w:rsidRPr="004C7BAA" w:rsidRDefault="004C7BAA" w:rsidP="004E1A1B">
            <w:pPr>
              <w:spacing w:after="120"/>
              <w:rPr>
                <w:b/>
                <w:color w:val="FFFFFF"/>
              </w:rPr>
            </w:pPr>
            <w:r w:rsidRPr="004C7BAA">
              <w:rPr>
                <w:b/>
                <w:color w:val="FFFFFF"/>
              </w:rPr>
              <w:t>Cost</w:t>
            </w:r>
          </w:p>
        </w:tc>
        <w:tc>
          <w:tcPr>
            <w:tcW w:w="5386" w:type="dxa"/>
            <w:shd w:val="clear" w:color="auto" w:fill="007398"/>
          </w:tcPr>
          <w:p w14:paraId="6D2FB978" w14:textId="77777777" w:rsidR="004C7BAA" w:rsidRPr="004C7BAA" w:rsidRDefault="004C7BAA" w:rsidP="004E1A1B">
            <w:pPr>
              <w:spacing w:after="120"/>
              <w:rPr>
                <w:b/>
                <w:color w:val="FFFFFF"/>
              </w:rPr>
            </w:pPr>
            <w:r w:rsidRPr="004C7BAA">
              <w:rPr>
                <w:b/>
                <w:color w:val="FFFFFF"/>
              </w:rPr>
              <w:t>Source and explanation</w:t>
            </w:r>
          </w:p>
        </w:tc>
      </w:tr>
      <w:tr w:rsidR="004C7BAA" w14:paraId="55BFA6EA" w14:textId="77777777" w:rsidTr="004C7BAA">
        <w:trPr>
          <w:cantSplit/>
        </w:trPr>
        <w:tc>
          <w:tcPr>
            <w:tcW w:w="2376" w:type="dxa"/>
            <w:shd w:val="clear" w:color="auto" w:fill="F2F2F2"/>
          </w:tcPr>
          <w:p w14:paraId="08D0757C" w14:textId="77777777" w:rsidR="004C7BAA" w:rsidRPr="007728FF" w:rsidRDefault="004C7BAA" w:rsidP="004E1A1B">
            <w:pPr>
              <w:rPr>
                <w:sz w:val="20"/>
                <w:szCs w:val="20"/>
              </w:rPr>
            </w:pPr>
            <w:r w:rsidRPr="007728FF">
              <w:rPr>
                <w:sz w:val="20"/>
                <w:szCs w:val="20"/>
              </w:rPr>
              <w:lastRenderedPageBreak/>
              <w:t>Current cost to customers performing manual verifications</w:t>
            </w:r>
          </w:p>
        </w:tc>
        <w:tc>
          <w:tcPr>
            <w:tcW w:w="1418" w:type="dxa"/>
            <w:shd w:val="clear" w:color="auto" w:fill="F2F2F2"/>
          </w:tcPr>
          <w:p w14:paraId="4037CD58" w14:textId="77777777" w:rsidR="004C7BAA" w:rsidRPr="007728FF" w:rsidRDefault="004C7BAA" w:rsidP="004E1A1B">
            <w:pPr>
              <w:rPr>
                <w:sz w:val="20"/>
                <w:szCs w:val="20"/>
              </w:rPr>
            </w:pPr>
            <w:r w:rsidRPr="007728FF">
              <w:rPr>
                <w:sz w:val="20"/>
                <w:szCs w:val="20"/>
              </w:rPr>
              <w:t>$9,304,128</w:t>
            </w:r>
          </w:p>
        </w:tc>
        <w:tc>
          <w:tcPr>
            <w:tcW w:w="5386" w:type="dxa"/>
            <w:shd w:val="clear" w:color="auto" w:fill="F2F2F2"/>
          </w:tcPr>
          <w:p w14:paraId="37CD84C2" w14:textId="77777777" w:rsidR="004C7BAA" w:rsidRPr="007728FF" w:rsidRDefault="004C7BAA" w:rsidP="004E1A1B">
            <w:pPr>
              <w:rPr>
                <w:sz w:val="20"/>
                <w:szCs w:val="20"/>
              </w:rPr>
            </w:pPr>
            <w:r w:rsidRPr="007728FF">
              <w:rPr>
                <w:sz w:val="20"/>
                <w:szCs w:val="20"/>
              </w:rPr>
              <w:t>Based on OBPR labour costs formula for individuals (Source: OBPR Guidance Note – Regulatory Burden Measurement Framework, page 13).</w:t>
            </w:r>
          </w:p>
          <w:p w14:paraId="626ACD82" w14:textId="77777777" w:rsidR="004C7BAA" w:rsidRPr="007728FF" w:rsidRDefault="004C7BAA" w:rsidP="004E1A1B">
            <w:pPr>
              <w:rPr>
                <w:sz w:val="20"/>
                <w:szCs w:val="20"/>
              </w:rPr>
            </w:pPr>
            <w:r w:rsidRPr="007728FF">
              <w:rPr>
                <w:sz w:val="20"/>
                <w:szCs w:val="20"/>
              </w:rPr>
              <w:t>$29 per manual verification.  Figure based on default non-work related labour cost of $29 per hour and information from industry that it takes a customer 2 hours to collect relevant documents and attend financial institution’s branch/Australia Post.</w:t>
            </w:r>
          </w:p>
          <w:p w14:paraId="365AD58F" w14:textId="77777777" w:rsidR="004C7BAA" w:rsidRPr="007728FF" w:rsidRDefault="004C7BAA" w:rsidP="004E1A1B">
            <w:pPr>
              <w:spacing w:after="120"/>
              <w:rPr>
                <w:sz w:val="20"/>
                <w:szCs w:val="20"/>
              </w:rPr>
            </w:pPr>
            <w:r w:rsidRPr="007728FF">
              <w:rPr>
                <w:sz w:val="20"/>
                <w:szCs w:val="20"/>
              </w:rPr>
              <w:t xml:space="preserve">Assumes there are 4,010,400 new customers per year across affected financial institutions (Source: PwC).  Industry has advised that 40% of new customers (1,604,160) fail e-verification and that 20% of customers who fail e-verification will go on to complete manual verification (320,832).  </w:t>
            </w:r>
          </w:p>
        </w:tc>
      </w:tr>
      <w:tr w:rsidR="004C7BAA" w14:paraId="710F075A" w14:textId="77777777" w:rsidTr="004C7BAA">
        <w:trPr>
          <w:cantSplit/>
        </w:trPr>
        <w:tc>
          <w:tcPr>
            <w:tcW w:w="2376" w:type="dxa"/>
            <w:shd w:val="clear" w:color="auto" w:fill="D9D9D9"/>
          </w:tcPr>
          <w:p w14:paraId="3473424A" w14:textId="77777777" w:rsidR="004C7BAA" w:rsidRPr="007728FF" w:rsidRDefault="004C7BAA" w:rsidP="004E1A1B">
            <w:pPr>
              <w:rPr>
                <w:sz w:val="20"/>
                <w:szCs w:val="20"/>
              </w:rPr>
            </w:pPr>
            <w:r w:rsidRPr="007728FF">
              <w:rPr>
                <w:sz w:val="20"/>
                <w:szCs w:val="20"/>
              </w:rPr>
              <w:t>New cost to customers performing manual verifications</w:t>
            </w:r>
          </w:p>
        </w:tc>
        <w:tc>
          <w:tcPr>
            <w:tcW w:w="1418" w:type="dxa"/>
            <w:shd w:val="clear" w:color="auto" w:fill="D9D9D9"/>
          </w:tcPr>
          <w:p w14:paraId="44C2DE35" w14:textId="77777777" w:rsidR="004C7BAA" w:rsidRPr="007728FF" w:rsidRDefault="004C7BAA" w:rsidP="004E1A1B">
            <w:pPr>
              <w:rPr>
                <w:sz w:val="20"/>
                <w:szCs w:val="20"/>
              </w:rPr>
            </w:pPr>
            <w:r w:rsidRPr="007728FF">
              <w:rPr>
                <w:sz w:val="20"/>
                <w:szCs w:val="20"/>
              </w:rPr>
              <w:t>$3,489,048</w:t>
            </w:r>
          </w:p>
        </w:tc>
        <w:tc>
          <w:tcPr>
            <w:tcW w:w="5386" w:type="dxa"/>
            <w:shd w:val="clear" w:color="auto" w:fill="D9D9D9"/>
          </w:tcPr>
          <w:p w14:paraId="02D3827B" w14:textId="77777777" w:rsidR="004C7BAA" w:rsidRPr="007728FF" w:rsidRDefault="004C7BAA" w:rsidP="004E1A1B">
            <w:pPr>
              <w:rPr>
                <w:sz w:val="20"/>
                <w:szCs w:val="20"/>
              </w:rPr>
            </w:pPr>
            <w:r w:rsidRPr="007728FF">
              <w:rPr>
                <w:sz w:val="20"/>
                <w:szCs w:val="20"/>
              </w:rPr>
              <w:t>Based on the information provided by industry that the proposed changes would reduce e-verification fail rates from 40% (1,604,160) to 15% (601,560).</w:t>
            </w:r>
          </w:p>
          <w:p w14:paraId="07415964" w14:textId="77777777" w:rsidR="004C7BAA" w:rsidRPr="007728FF" w:rsidRDefault="004C7BAA" w:rsidP="004E1A1B">
            <w:pPr>
              <w:spacing w:after="120"/>
              <w:rPr>
                <w:sz w:val="20"/>
                <w:szCs w:val="20"/>
              </w:rPr>
            </w:pPr>
            <w:r w:rsidRPr="007728FF">
              <w:rPr>
                <w:sz w:val="20"/>
                <w:szCs w:val="20"/>
              </w:rPr>
              <w:t xml:space="preserve">It is estimated that 20% of customers who fail e-verification will continue to be manually verified (120,312).  </w:t>
            </w:r>
          </w:p>
        </w:tc>
      </w:tr>
      <w:tr w:rsidR="004C7BAA" w14:paraId="13A95DD5" w14:textId="77777777" w:rsidTr="004C7BAA">
        <w:trPr>
          <w:cantSplit/>
        </w:trPr>
        <w:tc>
          <w:tcPr>
            <w:tcW w:w="2376" w:type="dxa"/>
            <w:shd w:val="clear" w:color="auto" w:fill="BFBFBF"/>
          </w:tcPr>
          <w:p w14:paraId="6899F71A" w14:textId="77777777" w:rsidR="004C7BAA" w:rsidRPr="007728FF" w:rsidRDefault="004C7BAA" w:rsidP="004E1A1B">
            <w:pPr>
              <w:rPr>
                <w:b/>
                <w:sz w:val="20"/>
                <w:szCs w:val="20"/>
              </w:rPr>
            </w:pPr>
            <w:r w:rsidRPr="007728FF">
              <w:rPr>
                <w:b/>
                <w:sz w:val="20"/>
                <w:szCs w:val="20"/>
              </w:rPr>
              <w:t>Savings to customers (individuals)</w:t>
            </w:r>
          </w:p>
        </w:tc>
        <w:tc>
          <w:tcPr>
            <w:tcW w:w="1418" w:type="dxa"/>
            <w:shd w:val="clear" w:color="auto" w:fill="BFBFBF"/>
          </w:tcPr>
          <w:p w14:paraId="75A99541" w14:textId="77777777" w:rsidR="004C7BAA" w:rsidRPr="007728FF" w:rsidRDefault="004C7BAA" w:rsidP="004E1A1B">
            <w:pPr>
              <w:rPr>
                <w:b/>
                <w:sz w:val="20"/>
                <w:szCs w:val="20"/>
              </w:rPr>
            </w:pPr>
            <w:r w:rsidRPr="007728FF">
              <w:rPr>
                <w:b/>
                <w:sz w:val="20"/>
                <w:szCs w:val="20"/>
              </w:rPr>
              <w:t xml:space="preserve">$5,815,080 </w:t>
            </w:r>
            <w:r w:rsidRPr="007728FF">
              <w:rPr>
                <w:b/>
                <w:sz w:val="20"/>
                <w:szCs w:val="20"/>
              </w:rPr>
              <w:br/>
            </w:r>
            <w:r w:rsidRPr="007728FF">
              <w:rPr>
                <w:b/>
                <w:sz w:val="20"/>
                <w:szCs w:val="20"/>
              </w:rPr>
              <w:br/>
            </w:r>
          </w:p>
        </w:tc>
        <w:tc>
          <w:tcPr>
            <w:tcW w:w="5386" w:type="dxa"/>
            <w:vMerge w:val="restart"/>
            <w:shd w:val="clear" w:color="auto" w:fill="BFBFBF"/>
          </w:tcPr>
          <w:p w14:paraId="05CFE5A3" w14:textId="77777777" w:rsidR="004C7BAA" w:rsidRPr="007728FF" w:rsidRDefault="004C7BAA" w:rsidP="004E1A1B">
            <w:pPr>
              <w:spacing w:after="120"/>
              <w:rPr>
                <w:sz w:val="20"/>
                <w:szCs w:val="20"/>
              </w:rPr>
            </w:pPr>
            <w:r w:rsidRPr="007728FF">
              <w:rPr>
                <w:sz w:val="20"/>
                <w:szCs w:val="20"/>
              </w:rPr>
              <w:t>Difference between current cost and new cost.</w:t>
            </w:r>
          </w:p>
        </w:tc>
      </w:tr>
      <w:tr w:rsidR="004C7BAA" w14:paraId="25D680FB" w14:textId="77777777" w:rsidTr="004C7BAA">
        <w:trPr>
          <w:cantSplit/>
        </w:trPr>
        <w:tc>
          <w:tcPr>
            <w:tcW w:w="2376" w:type="dxa"/>
            <w:shd w:val="clear" w:color="auto" w:fill="BFBFBF"/>
          </w:tcPr>
          <w:p w14:paraId="63817005" w14:textId="77777777" w:rsidR="004C7BAA" w:rsidRPr="007728FF" w:rsidRDefault="004C7BAA" w:rsidP="004E1A1B">
            <w:pPr>
              <w:spacing w:after="120"/>
              <w:rPr>
                <w:b/>
                <w:sz w:val="20"/>
                <w:szCs w:val="20"/>
              </w:rPr>
            </w:pPr>
            <w:r w:rsidRPr="007728FF">
              <w:rPr>
                <w:b/>
                <w:sz w:val="20"/>
                <w:szCs w:val="20"/>
              </w:rPr>
              <w:t>Average savings over 10 years</w:t>
            </w:r>
          </w:p>
        </w:tc>
        <w:tc>
          <w:tcPr>
            <w:tcW w:w="1418" w:type="dxa"/>
            <w:shd w:val="clear" w:color="auto" w:fill="BFBFBF"/>
          </w:tcPr>
          <w:p w14:paraId="77B36021" w14:textId="77777777" w:rsidR="004C7BAA" w:rsidRPr="007728FF" w:rsidRDefault="004C7BAA" w:rsidP="004E1A1B">
            <w:pPr>
              <w:spacing w:after="120"/>
              <w:rPr>
                <w:b/>
                <w:sz w:val="20"/>
                <w:szCs w:val="20"/>
              </w:rPr>
            </w:pPr>
            <w:r w:rsidRPr="007728FF">
              <w:rPr>
                <w:b/>
                <w:sz w:val="20"/>
                <w:szCs w:val="20"/>
              </w:rPr>
              <w:t>$5,815,080</w:t>
            </w:r>
          </w:p>
        </w:tc>
        <w:tc>
          <w:tcPr>
            <w:tcW w:w="5386" w:type="dxa"/>
            <w:vMerge/>
            <w:shd w:val="clear" w:color="auto" w:fill="BFBFBF"/>
          </w:tcPr>
          <w:p w14:paraId="377BDCE8" w14:textId="77777777" w:rsidR="004C7BAA" w:rsidRPr="004F06DA" w:rsidRDefault="004C7BAA" w:rsidP="004E1A1B">
            <w:pPr>
              <w:spacing w:after="120"/>
            </w:pPr>
          </w:p>
        </w:tc>
      </w:tr>
    </w:tbl>
    <w:p w14:paraId="311EE8B6" w14:textId="77777777" w:rsidR="004C7BAA" w:rsidRDefault="004C7BAA" w:rsidP="004C7BAA">
      <w:pPr>
        <w:pStyle w:val="Heading2"/>
      </w:pPr>
      <w:r>
        <w:t>Total o</w:t>
      </w:r>
      <w:r w:rsidRPr="004F06DA">
        <w:t>ffset savings</w:t>
      </w:r>
    </w:p>
    <w:tbl>
      <w:tblPr>
        <w:tblStyle w:val="TableGrid"/>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76"/>
        <w:gridCol w:w="1418"/>
        <w:gridCol w:w="5386"/>
      </w:tblGrid>
      <w:tr w:rsidR="004C7BAA" w14:paraId="31BEB51F" w14:textId="77777777" w:rsidTr="004C7BAA">
        <w:trPr>
          <w:cantSplit/>
          <w:tblHeader/>
        </w:trPr>
        <w:tc>
          <w:tcPr>
            <w:tcW w:w="2376" w:type="dxa"/>
            <w:shd w:val="clear" w:color="auto" w:fill="007398"/>
          </w:tcPr>
          <w:p w14:paraId="09D26B8E" w14:textId="77777777" w:rsidR="004C7BAA" w:rsidRPr="007728FF" w:rsidRDefault="004C7BAA" w:rsidP="004E1A1B">
            <w:pPr>
              <w:spacing w:after="120"/>
              <w:rPr>
                <w:b/>
                <w:color w:val="FFFFFF"/>
                <w:sz w:val="20"/>
                <w:szCs w:val="20"/>
              </w:rPr>
            </w:pPr>
            <w:r w:rsidRPr="007728FF">
              <w:rPr>
                <w:b/>
                <w:color w:val="FFFFFF"/>
                <w:sz w:val="20"/>
                <w:szCs w:val="20"/>
              </w:rPr>
              <w:t xml:space="preserve">Total offset savings </w:t>
            </w:r>
          </w:p>
        </w:tc>
        <w:tc>
          <w:tcPr>
            <w:tcW w:w="1418" w:type="dxa"/>
            <w:shd w:val="clear" w:color="auto" w:fill="007398"/>
          </w:tcPr>
          <w:p w14:paraId="6874ED77" w14:textId="77777777" w:rsidR="004C7BAA" w:rsidRPr="007728FF" w:rsidRDefault="004C7BAA" w:rsidP="004E1A1B">
            <w:pPr>
              <w:jc w:val="right"/>
              <w:rPr>
                <w:b/>
                <w:color w:val="FFFFFF"/>
                <w:sz w:val="20"/>
                <w:szCs w:val="20"/>
              </w:rPr>
            </w:pPr>
            <w:r w:rsidRPr="007728FF">
              <w:rPr>
                <w:b/>
                <w:color w:val="FFFFFF"/>
                <w:sz w:val="20"/>
                <w:szCs w:val="20"/>
              </w:rPr>
              <w:t>$13,001,586</w:t>
            </w:r>
          </w:p>
        </w:tc>
        <w:tc>
          <w:tcPr>
            <w:tcW w:w="5386" w:type="dxa"/>
            <w:shd w:val="clear" w:color="auto" w:fill="007398"/>
          </w:tcPr>
          <w:p w14:paraId="68C6E7FD" w14:textId="77777777" w:rsidR="004C7BAA" w:rsidRPr="007728FF" w:rsidRDefault="004C7BAA" w:rsidP="004E1A1B">
            <w:pPr>
              <w:spacing w:after="120"/>
              <w:rPr>
                <w:b/>
                <w:color w:val="FFFFFF"/>
                <w:sz w:val="20"/>
                <w:szCs w:val="20"/>
              </w:rPr>
            </w:pPr>
            <w:r w:rsidRPr="007728FF">
              <w:rPr>
                <w:b/>
                <w:color w:val="FFFFFF"/>
                <w:sz w:val="20"/>
                <w:szCs w:val="20"/>
              </w:rPr>
              <w:t xml:space="preserve">Average savings over 10 years for business and customers </w:t>
            </w:r>
          </w:p>
        </w:tc>
      </w:tr>
    </w:tbl>
    <w:p w14:paraId="6A5366F8" w14:textId="77777777" w:rsidR="004C7BAA" w:rsidRPr="00211DFE" w:rsidRDefault="004C7BAA" w:rsidP="00211DFE">
      <w:pPr>
        <w:pStyle w:val="Header"/>
        <w:tabs>
          <w:tab w:val="clear" w:pos="4153"/>
          <w:tab w:val="clear" w:pos="8306"/>
          <w:tab w:val="left" w:pos="709"/>
        </w:tabs>
        <w:ind w:left="709" w:hanging="709"/>
        <w:rPr>
          <w:rFonts w:ascii="Times New Roman" w:hAnsi="Times New Roman"/>
          <w:color w:val="000000"/>
          <w:sz w:val="24"/>
        </w:rPr>
      </w:pPr>
    </w:p>
    <w:p w14:paraId="2E560A0A" w14:textId="77777777" w:rsidR="004C7BAA" w:rsidRPr="004C7BAA" w:rsidRDefault="004C7BAA" w:rsidP="006D063B">
      <w:pPr>
        <w:rPr>
          <w:rFonts w:ascii="Calibri" w:hAnsi="Calibri" w:cs="Calibri"/>
          <w:iCs/>
          <w:color w:val="000000"/>
          <w:sz w:val="24"/>
        </w:rPr>
      </w:pPr>
    </w:p>
    <w:p w14:paraId="6008F246" w14:textId="6194C91A" w:rsidR="002D4E09" w:rsidRPr="007728FF" w:rsidRDefault="00211DFE" w:rsidP="00A44FB5">
      <w:pPr>
        <w:ind w:left="720" w:hanging="720"/>
        <w:rPr>
          <w:rFonts w:ascii="Times New Roman" w:hAnsi="Times New Roman"/>
          <w:b/>
          <w:i/>
          <w:sz w:val="24"/>
        </w:rPr>
      </w:pPr>
      <w:r w:rsidRPr="007728FF">
        <w:rPr>
          <w:rFonts w:ascii="Times New Roman" w:hAnsi="Times New Roman"/>
          <w:b/>
          <w:i/>
          <w:sz w:val="24"/>
        </w:rPr>
        <w:t>Amendments to Chapter 38</w:t>
      </w:r>
    </w:p>
    <w:p w14:paraId="743648D3" w14:textId="77777777" w:rsidR="00211DFE" w:rsidRDefault="00211DFE" w:rsidP="00A44FB5">
      <w:pPr>
        <w:ind w:left="720" w:hanging="720"/>
        <w:rPr>
          <w:rFonts w:ascii="Times New Roman" w:hAnsi="Times New Roman"/>
          <w:sz w:val="24"/>
        </w:rPr>
      </w:pPr>
    </w:p>
    <w:p w14:paraId="18B2A7D8" w14:textId="44BDDC1D" w:rsidR="00091B44" w:rsidRDefault="00091B44" w:rsidP="00615A12">
      <w:pPr>
        <w:spacing w:before="180" w:after="360"/>
        <w:ind w:left="720" w:hanging="720"/>
        <w:rPr>
          <w:rFonts w:ascii="Times New Roman" w:hAnsi="Times New Roman"/>
          <w:sz w:val="24"/>
        </w:rPr>
      </w:pPr>
      <w:r>
        <w:rPr>
          <w:rFonts w:ascii="Times New Roman" w:hAnsi="Times New Roman"/>
          <w:sz w:val="24"/>
        </w:rPr>
        <w:t>18.</w:t>
      </w:r>
      <w:r>
        <w:rPr>
          <w:rFonts w:ascii="Times New Roman" w:hAnsi="Times New Roman"/>
          <w:sz w:val="24"/>
        </w:rPr>
        <w:tab/>
      </w:r>
      <w:r w:rsidRPr="00091B44">
        <w:rPr>
          <w:rFonts w:ascii="Times New Roman" w:hAnsi="Times New Roman"/>
          <w:sz w:val="24"/>
        </w:rPr>
        <w:t xml:space="preserve">Chapter 38 </w:t>
      </w:r>
      <w:r>
        <w:rPr>
          <w:rFonts w:ascii="Times New Roman" w:hAnsi="Times New Roman"/>
          <w:sz w:val="24"/>
        </w:rPr>
        <w:t xml:space="preserve">of </w:t>
      </w:r>
      <w:r w:rsidR="00615A12">
        <w:rPr>
          <w:rFonts w:ascii="Times New Roman" w:hAnsi="Times New Roman"/>
          <w:sz w:val="24"/>
        </w:rPr>
        <w:t xml:space="preserve">the AML/CTF Rules </w:t>
      </w:r>
      <w:r w:rsidRPr="00091B44">
        <w:rPr>
          <w:rFonts w:ascii="Times New Roman" w:hAnsi="Times New Roman"/>
          <w:sz w:val="24"/>
        </w:rPr>
        <w:t xml:space="preserve">exempts reporting entities from the customer identification provisions of the AML/CTF Act when they provide an item 33 designated service (as an agent acquiring or disposing of a security or derivative) involving the disposal of low-value parcels of shares, for the purpose of passing the proceeds to charitable organisations who are deductible gift recipients (DGRs) under the </w:t>
      </w:r>
      <w:r w:rsidRPr="006858AB">
        <w:rPr>
          <w:rFonts w:ascii="Times New Roman" w:hAnsi="Times New Roman"/>
          <w:i/>
          <w:sz w:val="24"/>
        </w:rPr>
        <w:t>Income Tax Assessment Act 1997</w:t>
      </w:r>
      <w:r w:rsidRPr="00091B44">
        <w:rPr>
          <w:rFonts w:ascii="Times New Roman" w:hAnsi="Times New Roman"/>
          <w:sz w:val="24"/>
        </w:rPr>
        <w:t xml:space="preserve">. </w:t>
      </w:r>
    </w:p>
    <w:p w14:paraId="78C90A6A" w14:textId="59036280" w:rsidR="00143D7E" w:rsidRDefault="00143D7E" w:rsidP="00143D7E">
      <w:pPr>
        <w:spacing w:before="180" w:after="360"/>
        <w:ind w:left="720" w:hanging="720"/>
        <w:rPr>
          <w:rFonts w:ascii="Times New Roman" w:hAnsi="Times New Roman"/>
          <w:sz w:val="24"/>
        </w:rPr>
      </w:pPr>
      <w:r>
        <w:rPr>
          <w:rFonts w:ascii="Times New Roman" w:hAnsi="Times New Roman"/>
          <w:sz w:val="24"/>
        </w:rPr>
        <w:t>19.</w:t>
      </w:r>
      <w:r>
        <w:rPr>
          <w:rFonts w:ascii="Times New Roman" w:hAnsi="Times New Roman"/>
          <w:sz w:val="24"/>
        </w:rPr>
        <w:tab/>
      </w:r>
      <w:r w:rsidRPr="00615A12">
        <w:rPr>
          <w:rFonts w:ascii="Times New Roman" w:hAnsi="Times New Roman"/>
          <w:color w:val="242424"/>
          <w:sz w:val="24"/>
          <w:lang w:val="en" w:eastAsia="en-AU"/>
        </w:rPr>
        <w:t>The exemption applies when a person who wishes to donate the proceeds of</w:t>
      </w:r>
      <w:r w:rsidRPr="00091B44">
        <w:rPr>
          <w:rFonts w:ascii="Times New Roman" w:hAnsi="Times New Roman"/>
          <w:sz w:val="24"/>
        </w:rPr>
        <w:t xml:space="preserve"> the sale of their shares to charity, provides details to a </w:t>
      </w:r>
      <w:r w:rsidR="00B0213F">
        <w:rPr>
          <w:rFonts w:ascii="Times New Roman" w:hAnsi="Times New Roman"/>
          <w:sz w:val="24"/>
        </w:rPr>
        <w:t>reporting entity (a stock</w:t>
      </w:r>
      <w:r w:rsidRPr="00091B44">
        <w:rPr>
          <w:rFonts w:ascii="Times New Roman" w:hAnsi="Times New Roman"/>
          <w:sz w:val="24"/>
        </w:rPr>
        <w:t xml:space="preserve">broker </w:t>
      </w:r>
      <w:r w:rsidR="00B0213F">
        <w:rPr>
          <w:rFonts w:ascii="Times New Roman" w:hAnsi="Times New Roman"/>
          <w:sz w:val="24"/>
        </w:rPr>
        <w:t xml:space="preserve">in this case) </w:t>
      </w:r>
      <w:r w:rsidR="00D309B9" w:rsidRPr="00091B44">
        <w:rPr>
          <w:rFonts w:ascii="Times New Roman" w:hAnsi="Times New Roman"/>
          <w:sz w:val="24"/>
        </w:rPr>
        <w:t>that</w:t>
      </w:r>
      <w:r w:rsidRPr="00091B44">
        <w:rPr>
          <w:rFonts w:ascii="Times New Roman" w:hAnsi="Times New Roman"/>
          <w:sz w:val="24"/>
        </w:rPr>
        <w:t xml:space="preserve"> sells the shares and provides the proceeds of the share sale to a charitable fund or charitable institution</w:t>
      </w:r>
      <w:r w:rsidR="00B0213F">
        <w:rPr>
          <w:rFonts w:ascii="Times New Roman" w:hAnsi="Times New Roman"/>
          <w:sz w:val="24"/>
        </w:rPr>
        <w:t>, which</w:t>
      </w:r>
      <w:r w:rsidRPr="00091B44">
        <w:rPr>
          <w:rFonts w:ascii="Times New Roman" w:hAnsi="Times New Roman"/>
          <w:sz w:val="24"/>
        </w:rPr>
        <w:t xml:space="preserve"> subsequently distributes the proceeds to DGRs.</w:t>
      </w:r>
    </w:p>
    <w:p w14:paraId="778FCD85" w14:textId="40F0CC37" w:rsidR="00143D7E" w:rsidRPr="00091B44" w:rsidRDefault="00143D7E" w:rsidP="00F9504D">
      <w:pPr>
        <w:spacing w:before="180" w:after="360"/>
        <w:ind w:left="720" w:hanging="720"/>
        <w:rPr>
          <w:rFonts w:ascii="Times New Roman" w:hAnsi="Times New Roman"/>
          <w:sz w:val="24"/>
        </w:rPr>
      </w:pPr>
      <w:r>
        <w:rPr>
          <w:rFonts w:ascii="Times New Roman" w:hAnsi="Times New Roman"/>
          <w:sz w:val="24"/>
        </w:rPr>
        <w:t>20.</w:t>
      </w:r>
      <w:r>
        <w:rPr>
          <w:rFonts w:ascii="Times New Roman" w:hAnsi="Times New Roman"/>
          <w:sz w:val="24"/>
        </w:rPr>
        <w:tab/>
      </w:r>
      <w:r w:rsidR="00F9504D" w:rsidRPr="00F9504D">
        <w:rPr>
          <w:rFonts w:ascii="Times New Roman" w:hAnsi="Times New Roman"/>
          <w:sz w:val="24"/>
        </w:rPr>
        <w:t>The raising of the threshold from $500 to $10,000 will allow larger donations to be made for charitable purposes and will also decrease the regulatory burden for stockbroker</w:t>
      </w:r>
      <w:r w:rsidR="00F9504D">
        <w:rPr>
          <w:rFonts w:ascii="Times New Roman" w:hAnsi="Times New Roman"/>
          <w:sz w:val="24"/>
        </w:rPr>
        <w:t>s by widening the exemption</w:t>
      </w:r>
      <w:r w:rsidRPr="00143D7E">
        <w:rPr>
          <w:rFonts w:ascii="Times New Roman" w:hAnsi="Times New Roman"/>
          <w:sz w:val="24"/>
        </w:rPr>
        <w:t>. In addition, those customers who may wish to make greater do</w:t>
      </w:r>
      <w:r>
        <w:rPr>
          <w:rFonts w:ascii="Times New Roman" w:hAnsi="Times New Roman"/>
          <w:sz w:val="24"/>
        </w:rPr>
        <w:t xml:space="preserve">nations up to the new threshold </w:t>
      </w:r>
      <w:r w:rsidRPr="00143D7E">
        <w:rPr>
          <w:rFonts w:ascii="Times New Roman" w:hAnsi="Times New Roman"/>
          <w:sz w:val="24"/>
        </w:rPr>
        <w:t>will not have the inconvenience of having to undergo customer identification.</w:t>
      </w:r>
    </w:p>
    <w:p w14:paraId="23F3CD6D" w14:textId="71E6BC56" w:rsidR="00211DFE" w:rsidRPr="007728FF" w:rsidRDefault="00211DFE" w:rsidP="00A44FB5">
      <w:pPr>
        <w:ind w:left="720" w:hanging="720"/>
        <w:rPr>
          <w:rFonts w:ascii="Times New Roman" w:hAnsi="Times New Roman"/>
          <w:b/>
          <w:i/>
          <w:sz w:val="24"/>
        </w:rPr>
      </w:pPr>
      <w:r w:rsidRPr="007728FF">
        <w:rPr>
          <w:rFonts w:ascii="Times New Roman" w:hAnsi="Times New Roman"/>
          <w:b/>
          <w:i/>
          <w:sz w:val="24"/>
        </w:rPr>
        <w:lastRenderedPageBreak/>
        <w:t>Amendments to Chapter</w:t>
      </w:r>
      <w:r w:rsidR="00D309B9">
        <w:rPr>
          <w:rFonts w:ascii="Times New Roman" w:hAnsi="Times New Roman"/>
          <w:b/>
          <w:i/>
          <w:sz w:val="24"/>
        </w:rPr>
        <w:t>s</w:t>
      </w:r>
      <w:r w:rsidRPr="007728FF">
        <w:rPr>
          <w:rFonts w:ascii="Times New Roman" w:hAnsi="Times New Roman"/>
          <w:b/>
          <w:i/>
          <w:sz w:val="24"/>
        </w:rPr>
        <w:t xml:space="preserve"> 56 and 60</w:t>
      </w:r>
    </w:p>
    <w:p w14:paraId="200C2095" w14:textId="2467AA81" w:rsidR="00A27993" w:rsidRDefault="00143D7E" w:rsidP="00962A3D">
      <w:pPr>
        <w:shd w:val="clear" w:color="auto" w:fill="FFFFFF"/>
        <w:spacing w:before="180" w:after="360"/>
        <w:ind w:left="709" w:hanging="709"/>
        <w:rPr>
          <w:rFonts w:ascii="Times New Roman" w:hAnsi="Times New Roman"/>
          <w:color w:val="242424"/>
          <w:sz w:val="24"/>
          <w:lang w:val="en" w:eastAsia="en-AU"/>
        </w:rPr>
      </w:pPr>
      <w:r>
        <w:rPr>
          <w:rFonts w:ascii="Times New Roman" w:hAnsi="Times New Roman"/>
          <w:color w:val="242424"/>
          <w:sz w:val="24"/>
          <w:lang w:val="en" w:eastAsia="en-AU"/>
        </w:rPr>
        <w:t>21</w:t>
      </w:r>
      <w:r w:rsidR="00962A3D">
        <w:rPr>
          <w:rFonts w:ascii="Times New Roman" w:hAnsi="Times New Roman"/>
          <w:color w:val="242424"/>
          <w:sz w:val="24"/>
          <w:lang w:val="en" w:eastAsia="en-AU"/>
        </w:rPr>
        <w:t>.</w:t>
      </w:r>
      <w:r w:rsidR="00962A3D">
        <w:rPr>
          <w:rFonts w:ascii="Times New Roman" w:hAnsi="Times New Roman"/>
          <w:color w:val="242424"/>
          <w:sz w:val="24"/>
          <w:lang w:val="en" w:eastAsia="en-AU"/>
        </w:rPr>
        <w:tab/>
      </w:r>
      <w:r w:rsidR="00A27993" w:rsidRPr="00A27993">
        <w:rPr>
          <w:rFonts w:ascii="Times New Roman" w:hAnsi="Times New Roman"/>
          <w:color w:val="242424"/>
          <w:sz w:val="24"/>
          <w:lang w:val="en" w:eastAsia="en-AU"/>
        </w:rPr>
        <w:t xml:space="preserve">On 1 July 2016 the </w:t>
      </w:r>
      <w:r w:rsidR="00A27993" w:rsidRPr="00A27993">
        <w:rPr>
          <w:rFonts w:ascii="Times New Roman" w:hAnsi="Times New Roman"/>
          <w:i/>
          <w:iCs/>
          <w:color w:val="242424"/>
          <w:sz w:val="24"/>
          <w:lang w:val="en" w:eastAsia="en-AU"/>
        </w:rPr>
        <w:t>Australian Crime Commission Amendment (National Policing Information) Act 2016</w:t>
      </w:r>
      <w:r w:rsidR="00A27993" w:rsidRPr="00A27993">
        <w:rPr>
          <w:rFonts w:ascii="Times New Roman" w:hAnsi="Times New Roman"/>
          <w:color w:val="242424"/>
          <w:sz w:val="24"/>
          <w:lang w:val="en" w:eastAsia="en-AU"/>
        </w:rPr>
        <w:t xml:space="preserve"> amended the </w:t>
      </w:r>
      <w:r w:rsidR="00A27993" w:rsidRPr="00A27993">
        <w:rPr>
          <w:rFonts w:ascii="Times New Roman" w:hAnsi="Times New Roman"/>
          <w:i/>
          <w:iCs/>
          <w:color w:val="242424"/>
          <w:sz w:val="24"/>
          <w:lang w:val="en" w:eastAsia="en-AU"/>
        </w:rPr>
        <w:t>Australian Crime Commission Act 2002</w:t>
      </w:r>
      <w:r w:rsidR="004B51D1">
        <w:rPr>
          <w:rFonts w:ascii="Times New Roman" w:hAnsi="Times New Roman"/>
          <w:i/>
          <w:iCs/>
          <w:color w:val="242424"/>
          <w:sz w:val="24"/>
          <w:lang w:val="en" w:eastAsia="en-AU"/>
        </w:rPr>
        <w:t xml:space="preserve"> </w:t>
      </w:r>
      <w:r w:rsidR="004B51D1">
        <w:rPr>
          <w:rFonts w:ascii="Times New Roman" w:hAnsi="Times New Roman"/>
          <w:iCs/>
          <w:color w:val="242424"/>
          <w:sz w:val="24"/>
          <w:lang w:val="en" w:eastAsia="en-AU"/>
        </w:rPr>
        <w:t>and</w:t>
      </w:r>
      <w:r w:rsidR="00A27993" w:rsidRPr="00A27993">
        <w:rPr>
          <w:rFonts w:ascii="Times New Roman" w:hAnsi="Times New Roman"/>
          <w:color w:val="242424"/>
          <w:sz w:val="24"/>
          <w:lang w:val="en" w:eastAsia="en-AU"/>
        </w:rPr>
        <w:t xml:space="preserve"> implement</w:t>
      </w:r>
      <w:r w:rsidR="004B51D1">
        <w:rPr>
          <w:rFonts w:ascii="Times New Roman" w:hAnsi="Times New Roman"/>
          <w:color w:val="242424"/>
          <w:sz w:val="24"/>
          <w:lang w:val="en" w:eastAsia="en-AU"/>
        </w:rPr>
        <w:t>ed</w:t>
      </w:r>
      <w:r w:rsidR="00A27993" w:rsidRPr="00A27993">
        <w:rPr>
          <w:rFonts w:ascii="Times New Roman" w:hAnsi="Times New Roman"/>
          <w:color w:val="242424"/>
          <w:sz w:val="24"/>
          <w:lang w:val="en" w:eastAsia="en-AU"/>
        </w:rPr>
        <w:t xml:space="preserve"> the </w:t>
      </w:r>
      <w:r w:rsidR="004B51D1">
        <w:rPr>
          <w:rFonts w:ascii="Times New Roman" w:hAnsi="Times New Roman"/>
          <w:color w:val="242424"/>
          <w:sz w:val="24"/>
          <w:lang w:val="en" w:eastAsia="en-AU"/>
        </w:rPr>
        <w:t>transfer</w:t>
      </w:r>
      <w:r w:rsidR="00A27993" w:rsidRPr="00A27993">
        <w:rPr>
          <w:rFonts w:ascii="Times New Roman" w:hAnsi="Times New Roman"/>
          <w:color w:val="242424"/>
          <w:sz w:val="24"/>
          <w:lang w:val="en" w:eastAsia="en-AU"/>
        </w:rPr>
        <w:t xml:space="preserve"> of</w:t>
      </w:r>
      <w:r w:rsidR="00A27993">
        <w:rPr>
          <w:rFonts w:ascii="Times New Roman" w:hAnsi="Times New Roman"/>
          <w:color w:val="242424"/>
          <w:sz w:val="24"/>
          <w:lang w:val="en" w:eastAsia="en-AU"/>
        </w:rPr>
        <w:t xml:space="preserve"> the</w:t>
      </w:r>
      <w:r w:rsidR="00A27993" w:rsidRPr="00A27993">
        <w:rPr>
          <w:rFonts w:ascii="Times New Roman" w:hAnsi="Times New Roman"/>
          <w:color w:val="242424"/>
          <w:sz w:val="24"/>
          <w:lang w:val="en" w:eastAsia="en-AU"/>
        </w:rPr>
        <w:t xml:space="preserve"> functions</w:t>
      </w:r>
      <w:r w:rsidR="00A27993">
        <w:rPr>
          <w:rFonts w:ascii="Times New Roman" w:hAnsi="Times New Roman"/>
          <w:color w:val="242424"/>
          <w:sz w:val="24"/>
          <w:lang w:val="en" w:eastAsia="en-AU"/>
        </w:rPr>
        <w:t xml:space="preserve"> formerly undertaken by the </w:t>
      </w:r>
      <w:proofErr w:type="spellStart"/>
      <w:r w:rsidR="00A27993">
        <w:rPr>
          <w:rFonts w:ascii="Times New Roman" w:hAnsi="Times New Roman"/>
          <w:color w:val="242424"/>
          <w:sz w:val="24"/>
          <w:lang w:val="en" w:eastAsia="en-AU"/>
        </w:rPr>
        <w:t>CrimTrac</w:t>
      </w:r>
      <w:proofErr w:type="spellEnd"/>
      <w:r w:rsidR="004B51D1">
        <w:rPr>
          <w:rFonts w:ascii="Times New Roman" w:hAnsi="Times New Roman"/>
          <w:color w:val="242424"/>
          <w:sz w:val="24"/>
          <w:lang w:val="en" w:eastAsia="en-AU"/>
        </w:rPr>
        <w:t xml:space="preserve"> agency,</w:t>
      </w:r>
      <w:r w:rsidR="00A27993" w:rsidRPr="00A27993">
        <w:rPr>
          <w:rFonts w:ascii="Times New Roman" w:hAnsi="Times New Roman"/>
          <w:color w:val="242424"/>
          <w:sz w:val="24"/>
          <w:lang w:val="en" w:eastAsia="en-AU"/>
        </w:rPr>
        <w:t xml:space="preserve"> to the </w:t>
      </w:r>
      <w:r w:rsidR="00A27993">
        <w:rPr>
          <w:rFonts w:ascii="Times New Roman" w:hAnsi="Times New Roman"/>
          <w:color w:val="242424"/>
          <w:sz w:val="24"/>
          <w:lang w:val="en" w:eastAsia="en-AU"/>
        </w:rPr>
        <w:t>Australian Crime Commission (</w:t>
      </w:r>
      <w:r w:rsidR="00A27993" w:rsidRPr="00A27993">
        <w:rPr>
          <w:rFonts w:ascii="Times New Roman" w:hAnsi="Times New Roman"/>
          <w:color w:val="242424"/>
          <w:sz w:val="24"/>
          <w:lang w:val="en" w:eastAsia="en-AU"/>
        </w:rPr>
        <w:t>ACC</w:t>
      </w:r>
      <w:r w:rsidR="00A27993">
        <w:rPr>
          <w:rFonts w:ascii="Times New Roman" w:hAnsi="Times New Roman"/>
          <w:color w:val="242424"/>
          <w:sz w:val="24"/>
          <w:lang w:val="en" w:eastAsia="en-AU"/>
        </w:rPr>
        <w:t>)</w:t>
      </w:r>
      <w:r w:rsidR="004B51D1">
        <w:rPr>
          <w:rFonts w:ascii="Times New Roman" w:hAnsi="Times New Roman"/>
          <w:color w:val="242424"/>
          <w:sz w:val="24"/>
          <w:lang w:val="en" w:eastAsia="en-AU"/>
        </w:rPr>
        <w:t>.  These functions</w:t>
      </w:r>
      <w:r w:rsidR="00A27993" w:rsidRPr="00A27993">
        <w:rPr>
          <w:rFonts w:ascii="Times New Roman" w:hAnsi="Times New Roman"/>
          <w:color w:val="242424"/>
          <w:sz w:val="24"/>
          <w:lang w:val="en" w:eastAsia="en-AU"/>
        </w:rPr>
        <w:t xml:space="preserve"> includ</w:t>
      </w:r>
      <w:r w:rsidR="004B51D1">
        <w:rPr>
          <w:rFonts w:ascii="Times New Roman" w:hAnsi="Times New Roman"/>
          <w:color w:val="242424"/>
          <w:sz w:val="24"/>
          <w:lang w:val="en" w:eastAsia="en-AU"/>
        </w:rPr>
        <w:t>e</w:t>
      </w:r>
      <w:r w:rsidR="00A27993" w:rsidRPr="00A27993">
        <w:rPr>
          <w:rFonts w:ascii="Times New Roman" w:hAnsi="Times New Roman"/>
          <w:color w:val="242424"/>
          <w:sz w:val="24"/>
          <w:lang w:val="en" w:eastAsia="en-AU"/>
        </w:rPr>
        <w:t xml:space="preserve"> the provision of systems and services relating to national policing information and nationally coordinated criminal history checks. </w:t>
      </w:r>
    </w:p>
    <w:p w14:paraId="25377840" w14:textId="74B29CD0" w:rsidR="00A27993" w:rsidRPr="00A27993" w:rsidRDefault="00143D7E" w:rsidP="00962A3D">
      <w:pPr>
        <w:shd w:val="clear" w:color="auto" w:fill="FFFFFF"/>
        <w:spacing w:after="360"/>
        <w:ind w:left="709" w:hanging="709"/>
        <w:rPr>
          <w:rFonts w:ascii="Times New Roman" w:hAnsi="Times New Roman"/>
          <w:color w:val="242424"/>
          <w:sz w:val="24"/>
          <w:lang w:val="en" w:eastAsia="en-AU"/>
        </w:rPr>
      </w:pPr>
      <w:r>
        <w:rPr>
          <w:rFonts w:ascii="Times New Roman" w:hAnsi="Times New Roman"/>
          <w:color w:val="242424"/>
          <w:sz w:val="24"/>
          <w:lang w:val="en" w:eastAsia="en-AU"/>
        </w:rPr>
        <w:t>22</w:t>
      </w:r>
      <w:r w:rsidR="00962A3D">
        <w:rPr>
          <w:rFonts w:ascii="Times New Roman" w:hAnsi="Times New Roman"/>
          <w:color w:val="242424"/>
          <w:sz w:val="24"/>
          <w:lang w:val="en" w:eastAsia="en-AU"/>
        </w:rPr>
        <w:t>.</w:t>
      </w:r>
      <w:r w:rsidR="00962A3D">
        <w:rPr>
          <w:rFonts w:ascii="Times New Roman" w:hAnsi="Times New Roman"/>
          <w:color w:val="242424"/>
          <w:sz w:val="24"/>
          <w:lang w:val="en" w:eastAsia="en-AU"/>
        </w:rPr>
        <w:tab/>
      </w:r>
      <w:r w:rsidR="004B51D1">
        <w:rPr>
          <w:rFonts w:ascii="Times New Roman" w:hAnsi="Times New Roman"/>
          <w:color w:val="242424"/>
          <w:sz w:val="24"/>
          <w:lang w:val="en" w:eastAsia="en-AU"/>
        </w:rPr>
        <w:t>It is noted that although the ACC is now known as t</w:t>
      </w:r>
      <w:r w:rsidR="00A27993" w:rsidRPr="00A27993">
        <w:rPr>
          <w:rFonts w:ascii="Times New Roman" w:hAnsi="Times New Roman"/>
          <w:color w:val="242424"/>
          <w:sz w:val="24"/>
          <w:lang w:val="en" w:eastAsia="en-AU"/>
        </w:rPr>
        <w:t xml:space="preserve">he Australian Criminal Intelligence Commission </w:t>
      </w:r>
      <w:r w:rsidR="004B51D1">
        <w:rPr>
          <w:rFonts w:ascii="Times New Roman" w:hAnsi="Times New Roman"/>
          <w:color w:val="242424"/>
          <w:sz w:val="24"/>
          <w:lang w:val="en" w:eastAsia="en-AU"/>
        </w:rPr>
        <w:t xml:space="preserve">(ACIC), </w:t>
      </w:r>
      <w:r w:rsidR="004B51D1">
        <w:rPr>
          <w:rFonts w:ascii="Times New Roman" w:hAnsi="Times New Roman"/>
          <w:iCs/>
          <w:color w:val="242424"/>
          <w:sz w:val="24"/>
          <w:lang w:val="en" w:eastAsia="en-AU"/>
        </w:rPr>
        <w:t xml:space="preserve">it is still </w:t>
      </w:r>
      <w:r w:rsidR="00A27993" w:rsidRPr="00A27993">
        <w:rPr>
          <w:rFonts w:ascii="Times New Roman" w:hAnsi="Times New Roman"/>
          <w:color w:val="242424"/>
          <w:sz w:val="24"/>
          <w:lang w:val="en" w:eastAsia="en-AU"/>
        </w:rPr>
        <w:t>t</w:t>
      </w:r>
      <w:r w:rsidR="004B51D1">
        <w:rPr>
          <w:rFonts w:ascii="Times New Roman" w:hAnsi="Times New Roman"/>
          <w:color w:val="242424"/>
          <w:sz w:val="24"/>
          <w:lang w:val="en" w:eastAsia="en-AU"/>
        </w:rPr>
        <w:t xml:space="preserve">he Australian Crime Commission </w:t>
      </w:r>
      <w:r w:rsidR="00A27993" w:rsidRPr="00A27993">
        <w:rPr>
          <w:rFonts w:ascii="Times New Roman" w:hAnsi="Times New Roman"/>
          <w:color w:val="242424"/>
          <w:sz w:val="24"/>
          <w:lang w:val="en" w:eastAsia="en-AU"/>
        </w:rPr>
        <w:t>for legal purposes.</w:t>
      </w:r>
    </w:p>
    <w:p w14:paraId="64E52845" w14:textId="69C9AE54" w:rsidR="00256B3A" w:rsidRPr="00A27993" w:rsidRDefault="00962A3D" w:rsidP="00143D7E">
      <w:pPr>
        <w:shd w:val="clear" w:color="auto" w:fill="FFFFFF"/>
        <w:spacing w:before="180" w:after="360"/>
        <w:ind w:left="709" w:hanging="709"/>
        <w:rPr>
          <w:rFonts w:ascii="Times New Roman" w:hAnsi="Times New Roman"/>
          <w:color w:val="242424"/>
          <w:sz w:val="24"/>
          <w:lang w:val="en" w:eastAsia="en-AU"/>
        </w:rPr>
      </w:pPr>
      <w:r>
        <w:rPr>
          <w:rFonts w:ascii="Times New Roman" w:hAnsi="Times New Roman"/>
          <w:color w:val="242424"/>
          <w:sz w:val="24"/>
          <w:lang w:val="en" w:eastAsia="en-AU"/>
        </w:rPr>
        <w:t>2</w:t>
      </w:r>
      <w:r w:rsidR="00143D7E">
        <w:rPr>
          <w:rFonts w:ascii="Times New Roman" w:hAnsi="Times New Roman"/>
          <w:color w:val="242424"/>
          <w:sz w:val="24"/>
          <w:lang w:val="en" w:eastAsia="en-AU"/>
        </w:rPr>
        <w:t>3</w:t>
      </w:r>
      <w:r>
        <w:rPr>
          <w:rFonts w:ascii="Times New Roman" w:hAnsi="Times New Roman"/>
          <w:color w:val="242424"/>
          <w:sz w:val="24"/>
          <w:lang w:val="en" w:eastAsia="en-AU"/>
        </w:rPr>
        <w:t>.</w:t>
      </w:r>
      <w:r>
        <w:rPr>
          <w:rFonts w:ascii="Times New Roman" w:hAnsi="Times New Roman"/>
          <w:color w:val="242424"/>
          <w:sz w:val="24"/>
          <w:lang w:val="en" w:eastAsia="en-AU"/>
        </w:rPr>
        <w:tab/>
      </w:r>
      <w:r w:rsidR="00256B3A">
        <w:rPr>
          <w:rFonts w:ascii="Times New Roman" w:hAnsi="Times New Roman"/>
          <w:color w:val="242424"/>
          <w:sz w:val="24"/>
          <w:lang w:val="en" w:eastAsia="en-AU"/>
        </w:rPr>
        <w:t xml:space="preserve">As a result of the merger of </w:t>
      </w:r>
      <w:proofErr w:type="spellStart"/>
      <w:r w:rsidR="00256B3A">
        <w:rPr>
          <w:rFonts w:ascii="Times New Roman" w:hAnsi="Times New Roman"/>
          <w:color w:val="242424"/>
          <w:sz w:val="24"/>
          <w:lang w:val="en" w:eastAsia="en-AU"/>
        </w:rPr>
        <w:t>CrimTrac</w:t>
      </w:r>
      <w:proofErr w:type="spellEnd"/>
      <w:r w:rsidR="00256B3A">
        <w:rPr>
          <w:rFonts w:ascii="Times New Roman" w:hAnsi="Times New Roman"/>
          <w:color w:val="242424"/>
          <w:sz w:val="24"/>
          <w:lang w:val="en" w:eastAsia="en-AU"/>
        </w:rPr>
        <w:t xml:space="preserve"> with ACIC, machinery changes have been made to amend references to </w:t>
      </w:r>
      <w:r>
        <w:rPr>
          <w:rFonts w:ascii="Times New Roman" w:hAnsi="Times New Roman"/>
          <w:color w:val="242424"/>
          <w:sz w:val="24"/>
          <w:lang w:val="en" w:eastAsia="en-AU"/>
        </w:rPr>
        <w:t>‘</w:t>
      </w:r>
      <w:proofErr w:type="spellStart"/>
      <w:r w:rsidR="00256B3A">
        <w:rPr>
          <w:rFonts w:ascii="Times New Roman" w:hAnsi="Times New Roman"/>
          <w:color w:val="242424"/>
          <w:sz w:val="24"/>
          <w:lang w:val="en" w:eastAsia="en-AU"/>
        </w:rPr>
        <w:t>CrimTrac</w:t>
      </w:r>
      <w:proofErr w:type="spellEnd"/>
      <w:r>
        <w:rPr>
          <w:rFonts w:ascii="Times New Roman" w:hAnsi="Times New Roman"/>
          <w:color w:val="242424"/>
          <w:sz w:val="24"/>
          <w:lang w:val="en" w:eastAsia="en-AU"/>
        </w:rPr>
        <w:t>’</w:t>
      </w:r>
      <w:r w:rsidR="00256B3A">
        <w:rPr>
          <w:rFonts w:ascii="Times New Roman" w:hAnsi="Times New Roman"/>
          <w:color w:val="242424"/>
          <w:sz w:val="24"/>
          <w:lang w:val="en" w:eastAsia="en-AU"/>
        </w:rPr>
        <w:t xml:space="preserve"> in Chapter 56 (Application for registration on the Remittance Sector Register) and Chapter 60 (Change in registration details)</w:t>
      </w:r>
      <w:r w:rsidR="00256B3A">
        <w:rPr>
          <w:color w:val="242424"/>
          <w:sz w:val="24"/>
          <w:lang w:val="en"/>
        </w:rPr>
        <w:t xml:space="preserve"> </w:t>
      </w:r>
      <w:r w:rsidR="00256B3A" w:rsidRPr="00256B3A">
        <w:rPr>
          <w:rFonts w:ascii="Times New Roman" w:hAnsi="Times New Roman"/>
          <w:color w:val="242424"/>
          <w:sz w:val="24"/>
          <w:lang w:val="en"/>
        </w:rPr>
        <w:t>to read ‘Australian Crime Commission</w:t>
      </w:r>
      <w:r w:rsidR="00256B3A">
        <w:rPr>
          <w:color w:val="242424"/>
          <w:sz w:val="24"/>
          <w:lang w:val="en"/>
        </w:rPr>
        <w:t>’</w:t>
      </w:r>
      <w:r w:rsidR="00256B3A">
        <w:rPr>
          <w:rFonts w:ascii="Times New Roman" w:hAnsi="Times New Roman"/>
          <w:color w:val="242424"/>
          <w:sz w:val="24"/>
          <w:lang w:val="en" w:eastAsia="en-AU"/>
        </w:rPr>
        <w:t xml:space="preserve">. </w:t>
      </w:r>
    </w:p>
    <w:p w14:paraId="127F2BA1" w14:textId="3E9B5077" w:rsidR="00E10C9F" w:rsidRDefault="00962A3D" w:rsidP="00143D7E">
      <w:pPr>
        <w:autoSpaceDE w:val="0"/>
        <w:autoSpaceDN w:val="0"/>
        <w:adjustRightInd w:val="0"/>
        <w:spacing w:before="180" w:after="360"/>
        <w:ind w:left="709" w:hanging="709"/>
        <w:rPr>
          <w:rFonts w:ascii="Times New Roman" w:hAnsi="Times New Roman"/>
          <w:sz w:val="24"/>
        </w:rPr>
      </w:pPr>
      <w:r>
        <w:rPr>
          <w:rFonts w:ascii="Times New Roman" w:hAnsi="Times New Roman"/>
          <w:sz w:val="24"/>
        </w:rPr>
        <w:t>2</w:t>
      </w:r>
      <w:r w:rsidR="00143D7E">
        <w:rPr>
          <w:rFonts w:ascii="Times New Roman" w:hAnsi="Times New Roman"/>
          <w:sz w:val="24"/>
        </w:rPr>
        <w:t>4</w:t>
      </w:r>
      <w:r>
        <w:rPr>
          <w:rFonts w:ascii="Times New Roman" w:hAnsi="Times New Roman"/>
          <w:sz w:val="24"/>
        </w:rPr>
        <w:t>.</w:t>
      </w:r>
      <w:r>
        <w:rPr>
          <w:rFonts w:ascii="Times New Roman" w:hAnsi="Times New Roman"/>
          <w:sz w:val="24"/>
        </w:rPr>
        <w:tab/>
      </w:r>
      <w:r w:rsidR="00E10C9F">
        <w:rPr>
          <w:rFonts w:ascii="Times New Roman" w:hAnsi="Times New Roman"/>
          <w:sz w:val="24"/>
        </w:rPr>
        <w:t xml:space="preserve">Detailed summaries of the amendments </w:t>
      </w:r>
      <w:r w:rsidR="00B0213F">
        <w:rPr>
          <w:rFonts w:ascii="Times New Roman" w:hAnsi="Times New Roman"/>
          <w:sz w:val="24"/>
        </w:rPr>
        <w:t xml:space="preserve">to Chapters 4, 38, 56 and 60 </w:t>
      </w:r>
      <w:r w:rsidR="00E10C9F">
        <w:rPr>
          <w:rFonts w:ascii="Times New Roman" w:hAnsi="Times New Roman"/>
          <w:sz w:val="24"/>
        </w:rPr>
        <w:t xml:space="preserve">are contained in the Notes on Items commencing on </w:t>
      </w:r>
      <w:r w:rsidR="00E10C9F" w:rsidRPr="00E0093A">
        <w:rPr>
          <w:rFonts w:ascii="Times New Roman" w:hAnsi="Times New Roman"/>
          <w:sz w:val="24"/>
        </w:rPr>
        <w:t xml:space="preserve">page </w:t>
      </w:r>
      <w:r w:rsidR="006858AB">
        <w:rPr>
          <w:rFonts w:ascii="Times New Roman" w:hAnsi="Times New Roman"/>
          <w:sz w:val="24"/>
        </w:rPr>
        <w:t>7</w:t>
      </w:r>
      <w:r w:rsidR="00E10C9F">
        <w:rPr>
          <w:rFonts w:ascii="Times New Roman" w:hAnsi="Times New Roman"/>
          <w:sz w:val="24"/>
        </w:rPr>
        <w:t>.</w:t>
      </w:r>
    </w:p>
    <w:p w14:paraId="0F729865" w14:textId="77777777" w:rsidR="00F7392E" w:rsidRPr="00FE6E66" w:rsidRDefault="009C7626" w:rsidP="00F7392E">
      <w:pPr>
        <w:rPr>
          <w:rFonts w:ascii="Times New Roman" w:hAnsi="Times New Roman"/>
          <w:b/>
          <w:i/>
          <w:sz w:val="24"/>
          <w:lang w:eastAsia="en-AU"/>
        </w:rPr>
      </w:pPr>
      <w:r w:rsidRPr="00FE6E66">
        <w:rPr>
          <w:rFonts w:ascii="Times New Roman" w:hAnsi="Times New Roman"/>
          <w:b/>
          <w:sz w:val="24"/>
          <w:lang w:eastAsia="en-AU"/>
        </w:rPr>
        <w:t>Statement</w:t>
      </w:r>
      <w:r w:rsidR="00F7392E" w:rsidRPr="00FE6E66">
        <w:rPr>
          <w:rFonts w:ascii="Times New Roman" w:hAnsi="Times New Roman"/>
          <w:b/>
          <w:sz w:val="24"/>
          <w:lang w:eastAsia="en-AU"/>
        </w:rPr>
        <w:t xml:space="preserve"> of Compatibility with the </w:t>
      </w:r>
      <w:r w:rsidR="00F7392E" w:rsidRPr="00FE6E66">
        <w:rPr>
          <w:rFonts w:ascii="Times New Roman" w:hAnsi="Times New Roman"/>
          <w:b/>
          <w:i/>
          <w:sz w:val="24"/>
          <w:lang w:eastAsia="en-AU"/>
        </w:rPr>
        <w:t>Human Rights (Parliamentary Scrutiny) Act 2011</w:t>
      </w:r>
    </w:p>
    <w:p w14:paraId="3A4D246C" w14:textId="77777777" w:rsidR="003340DB" w:rsidRPr="00FE6E66" w:rsidRDefault="003340DB" w:rsidP="00F7392E">
      <w:pPr>
        <w:rPr>
          <w:rFonts w:ascii="Times New Roman" w:hAnsi="Times New Roman"/>
          <w:b/>
          <w:sz w:val="24"/>
          <w:lang w:eastAsia="en-AU"/>
        </w:rPr>
      </w:pPr>
    </w:p>
    <w:p w14:paraId="3C7B12E2" w14:textId="22D93C7B" w:rsidR="00F7392E" w:rsidRPr="00FE6E66" w:rsidRDefault="00962A3D" w:rsidP="00962A3D">
      <w:pPr>
        <w:autoSpaceDE w:val="0"/>
        <w:autoSpaceDN w:val="0"/>
        <w:adjustRightInd w:val="0"/>
        <w:ind w:left="709" w:hanging="709"/>
        <w:rPr>
          <w:rFonts w:ascii="Times New Roman" w:hAnsi="Times New Roman"/>
          <w:sz w:val="24"/>
        </w:rPr>
      </w:pPr>
      <w:r>
        <w:rPr>
          <w:rFonts w:ascii="Times New Roman" w:hAnsi="Times New Roman"/>
          <w:sz w:val="24"/>
        </w:rPr>
        <w:t>2</w:t>
      </w:r>
      <w:r w:rsidR="00143D7E">
        <w:rPr>
          <w:rFonts w:ascii="Times New Roman" w:hAnsi="Times New Roman"/>
          <w:sz w:val="24"/>
        </w:rPr>
        <w:t>5</w:t>
      </w:r>
      <w:r>
        <w:rPr>
          <w:rFonts w:ascii="Times New Roman" w:hAnsi="Times New Roman"/>
          <w:sz w:val="24"/>
        </w:rPr>
        <w:t>.</w:t>
      </w:r>
      <w:r>
        <w:rPr>
          <w:rFonts w:ascii="Times New Roman" w:hAnsi="Times New Roman"/>
          <w:sz w:val="24"/>
        </w:rPr>
        <w:tab/>
      </w:r>
      <w:r w:rsidR="00F7392E" w:rsidRPr="00FE6E66">
        <w:rPr>
          <w:rFonts w:ascii="Times New Roman" w:hAnsi="Times New Roman"/>
          <w:sz w:val="24"/>
        </w:rPr>
        <w:t xml:space="preserve">The </w:t>
      </w:r>
      <w:r w:rsidR="00F7392E" w:rsidRPr="00FE6E66">
        <w:rPr>
          <w:rFonts w:ascii="Times New Roman" w:hAnsi="Times New Roman"/>
          <w:i/>
          <w:sz w:val="24"/>
        </w:rPr>
        <w:t>Human Rights (Parliamentary Scrutiny) Act 2011</w:t>
      </w:r>
      <w:r w:rsidR="00193377" w:rsidRPr="00FE6E66">
        <w:rPr>
          <w:rFonts w:ascii="Times New Roman" w:hAnsi="Times New Roman"/>
          <w:sz w:val="24"/>
        </w:rPr>
        <w:t xml:space="preserve"> </w:t>
      </w:r>
      <w:r w:rsidR="006B2808" w:rsidRPr="00FE6E66">
        <w:rPr>
          <w:rFonts w:ascii="Times New Roman" w:hAnsi="Times New Roman"/>
          <w:sz w:val="24"/>
        </w:rPr>
        <w:t>introduced</w:t>
      </w:r>
      <w:r w:rsidR="00F7392E" w:rsidRPr="00FE6E66">
        <w:rPr>
          <w:rFonts w:ascii="Times New Roman" w:hAnsi="Times New Roman"/>
          <w:sz w:val="24"/>
        </w:rPr>
        <w:t xml:space="preserve"> a requirement for </w:t>
      </w:r>
      <w:r w:rsidR="000D143A" w:rsidRPr="00FE6E66">
        <w:rPr>
          <w:rFonts w:ascii="Times New Roman" w:hAnsi="Times New Roman"/>
          <w:sz w:val="24"/>
        </w:rPr>
        <w:t>a Statement</w:t>
      </w:r>
      <w:r w:rsidR="00F7392E" w:rsidRPr="00FE6E66">
        <w:rPr>
          <w:rFonts w:ascii="Times New Roman" w:hAnsi="Times New Roman"/>
          <w:sz w:val="24"/>
        </w:rPr>
        <w:t xml:space="preserve"> of Compatibility to accompany all new Bills and disallowable legislative instruments.</w:t>
      </w:r>
    </w:p>
    <w:p w14:paraId="58904529" w14:textId="77777777" w:rsidR="00F7392E" w:rsidRPr="00FE6E66" w:rsidRDefault="00F7392E" w:rsidP="00962A3D">
      <w:pPr>
        <w:tabs>
          <w:tab w:val="left" w:pos="709"/>
        </w:tabs>
        <w:autoSpaceDE w:val="0"/>
        <w:autoSpaceDN w:val="0"/>
        <w:adjustRightInd w:val="0"/>
        <w:ind w:left="709" w:hanging="709"/>
        <w:rPr>
          <w:rFonts w:ascii="Times New Roman" w:hAnsi="Times New Roman"/>
          <w:sz w:val="24"/>
        </w:rPr>
      </w:pPr>
    </w:p>
    <w:p w14:paraId="31BA26AA" w14:textId="444CF8B7" w:rsidR="00F7392E" w:rsidRPr="00FE6E66" w:rsidRDefault="00962A3D" w:rsidP="00962A3D">
      <w:pPr>
        <w:autoSpaceDE w:val="0"/>
        <w:autoSpaceDN w:val="0"/>
        <w:adjustRightInd w:val="0"/>
        <w:ind w:left="709" w:hanging="709"/>
        <w:rPr>
          <w:rFonts w:ascii="Times New Roman" w:hAnsi="Times New Roman"/>
          <w:sz w:val="24"/>
        </w:rPr>
      </w:pPr>
      <w:r>
        <w:rPr>
          <w:rFonts w:ascii="Times New Roman" w:hAnsi="Times New Roman"/>
          <w:sz w:val="24"/>
        </w:rPr>
        <w:t>2</w:t>
      </w:r>
      <w:r w:rsidR="00143D7E">
        <w:rPr>
          <w:rFonts w:ascii="Times New Roman" w:hAnsi="Times New Roman"/>
          <w:sz w:val="24"/>
        </w:rPr>
        <w:t>6</w:t>
      </w:r>
      <w:r>
        <w:rPr>
          <w:rFonts w:ascii="Times New Roman" w:hAnsi="Times New Roman"/>
          <w:sz w:val="24"/>
        </w:rPr>
        <w:t>.</w:t>
      </w:r>
      <w:r>
        <w:rPr>
          <w:rFonts w:ascii="Times New Roman" w:hAnsi="Times New Roman"/>
          <w:sz w:val="24"/>
        </w:rPr>
        <w:tab/>
      </w:r>
      <w:r w:rsidR="00F7392E" w:rsidRPr="00FE6E66">
        <w:rPr>
          <w:rFonts w:ascii="Times New Roman" w:hAnsi="Times New Roman"/>
          <w:sz w:val="24"/>
        </w:rPr>
        <w:t xml:space="preserve">The </w:t>
      </w:r>
      <w:r w:rsidR="000D143A" w:rsidRPr="00FE6E66">
        <w:rPr>
          <w:rFonts w:ascii="Times New Roman" w:hAnsi="Times New Roman"/>
          <w:sz w:val="24"/>
        </w:rPr>
        <w:t>Statement</w:t>
      </w:r>
      <w:r w:rsidR="00F7392E" w:rsidRPr="00FE6E66">
        <w:rPr>
          <w:rFonts w:ascii="Times New Roman" w:hAnsi="Times New Roman"/>
          <w:sz w:val="24"/>
        </w:rPr>
        <w:t xml:space="preserve"> of Compatibility for</w:t>
      </w:r>
      <w:r w:rsidR="0030571B" w:rsidRPr="00FE6E66">
        <w:rPr>
          <w:rFonts w:ascii="Times New Roman" w:hAnsi="Times New Roman"/>
          <w:sz w:val="24"/>
        </w:rPr>
        <w:t xml:space="preserve"> the</w:t>
      </w:r>
      <w:r w:rsidR="00F7392E" w:rsidRPr="00FE6E66">
        <w:rPr>
          <w:rFonts w:ascii="Times New Roman" w:hAnsi="Times New Roman"/>
          <w:sz w:val="24"/>
        </w:rPr>
        <w:t xml:space="preserve"> </w:t>
      </w:r>
      <w:r w:rsidR="00F7392E" w:rsidRPr="00FE6E66">
        <w:rPr>
          <w:rFonts w:ascii="Times New Roman" w:hAnsi="Times New Roman"/>
          <w:i/>
          <w:sz w:val="24"/>
        </w:rPr>
        <w:t>Anti-Money Laundering and Counter-Terrorism Financing Rules Amendment Instrument 201</w:t>
      </w:r>
      <w:r w:rsidR="006D063B">
        <w:rPr>
          <w:rFonts w:ascii="Times New Roman" w:hAnsi="Times New Roman"/>
          <w:i/>
          <w:sz w:val="24"/>
        </w:rPr>
        <w:t>6</w:t>
      </w:r>
      <w:r w:rsidR="00F7392E" w:rsidRPr="00FE6E66">
        <w:rPr>
          <w:rFonts w:ascii="Times New Roman" w:hAnsi="Times New Roman"/>
          <w:i/>
          <w:sz w:val="24"/>
        </w:rPr>
        <w:t xml:space="preserve"> (N</w:t>
      </w:r>
      <w:r w:rsidR="00A35354" w:rsidRPr="00FE6E66">
        <w:rPr>
          <w:rFonts w:ascii="Times New Roman" w:hAnsi="Times New Roman"/>
          <w:i/>
          <w:sz w:val="24"/>
        </w:rPr>
        <w:t>o.</w:t>
      </w:r>
      <w:r w:rsidR="0030571B" w:rsidRPr="00FE6E66">
        <w:rPr>
          <w:rFonts w:ascii="Times New Roman" w:hAnsi="Times New Roman"/>
          <w:i/>
          <w:sz w:val="24"/>
        </w:rPr>
        <w:t xml:space="preserve"> </w:t>
      </w:r>
      <w:r w:rsidR="006D063B">
        <w:rPr>
          <w:rFonts w:ascii="Times New Roman" w:hAnsi="Times New Roman"/>
          <w:i/>
          <w:sz w:val="24"/>
        </w:rPr>
        <w:t>1</w:t>
      </w:r>
      <w:r w:rsidR="00F7392E" w:rsidRPr="00FE6E66">
        <w:rPr>
          <w:rFonts w:ascii="Times New Roman" w:hAnsi="Times New Roman"/>
          <w:i/>
          <w:sz w:val="24"/>
        </w:rPr>
        <w:t>)</w:t>
      </w:r>
      <w:r w:rsidR="00F7392E" w:rsidRPr="00FE6E66">
        <w:rPr>
          <w:rFonts w:ascii="Times New Roman" w:hAnsi="Times New Roman"/>
          <w:sz w:val="24"/>
        </w:rPr>
        <w:t xml:space="preserve"> is included in this Explanatory </w:t>
      </w:r>
      <w:r w:rsidR="009C7626" w:rsidRPr="00FE6E66">
        <w:rPr>
          <w:rFonts w:ascii="Times New Roman" w:hAnsi="Times New Roman"/>
          <w:sz w:val="24"/>
        </w:rPr>
        <w:t>Statement</w:t>
      </w:r>
      <w:r w:rsidR="00F7392E" w:rsidRPr="00FE6E66">
        <w:rPr>
          <w:rFonts w:ascii="Times New Roman" w:hAnsi="Times New Roman"/>
          <w:sz w:val="24"/>
        </w:rPr>
        <w:t xml:space="preserve"> at </w:t>
      </w:r>
      <w:r w:rsidR="00F7392E" w:rsidRPr="00714323">
        <w:rPr>
          <w:rFonts w:ascii="Times New Roman" w:hAnsi="Times New Roman"/>
          <w:sz w:val="24"/>
        </w:rPr>
        <w:t xml:space="preserve">page </w:t>
      </w:r>
      <w:r w:rsidR="001D0FAE">
        <w:rPr>
          <w:rFonts w:ascii="Times New Roman" w:hAnsi="Times New Roman"/>
          <w:sz w:val="24"/>
        </w:rPr>
        <w:t>11.</w:t>
      </w:r>
      <w:r w:rsidR="00F7392E" w:rsidRPr="00FE6E66">
        <w:rPr>
          <w:rFonts w:ascii="Times New Roman" w:hAnsi="Times New Roman"/>
          <w:sz w:val="24"/>
        </w:rPr>
        <w:t xml:space="preserve"> The AUSTRAC CEO</w:t>
      </w:r>
      <w:r w:rsidR="0030571B" w:rsidRPr="00FE6E66">
        <w:rPr>
          <w:rFonts w:ascii="Times New Roman" w:hAnsi="Times New Roman"/>
          <w:sz w:val="24"/>
        </w:rPr>
        <w:t>,</w:t>
      </w:r>
      <w:r w:rsidR="00F7392E" w:rsidRPr="00FE6E66">
        <w:rPr>
          <w:rFonts w:ascii="Times New Roman" w:hAnsi="Times New Roman"/>
          <w:sz w:val="24"/>
        </w:rPr>
        <w:t xml:space="preserve"> as the rule-maker of this legislative instrument</w:t>
      </w:r>
      <w:r w:rsidR="0030571B" w:rsidRPr="00FE6E66">
        <w:rPr>
          <w:rFonts w:ascii="Times New Roman" w:hAnsi="Times New Roman"/>
          <w:sz w:val="24"/>
        </w:rPr>
        <w:t>,</w:t>
      </w:r>
      <w:r w:rsidR="00F7392E" w:rsidRPr="00FE6E66">
        <w:rPr>
          <w:rFonts w:ascii="Times New Roman" w:hAnsi="Times New Roman"/>
          <w:sz w:val="24"/>
        </w:rPr>
        <w:t xml:space="preserve"> has stated that it is compatible with the human rights and freedoms recognised or declared in the international instruments list</w:t>
      </w:r>
      <w:r w:rsidR="005B5D9A" w:rsidRPr="00FE6E66">
        <w:rPr>
          <w:rFonts w:ascii="Times New Roman" w:hAnsi="Times New Roman"/>
          <w:sz w:val="24"/>
        </w:rPr>
        <w:t>ed</w:t>
      </w:r>
      <w:r w:rsidR="00F7392E" w:rsidRPr="00FE6E66">
        <w:rPr>
          <w:rFonts w:ascii="Times New Roman" w:hAnsi="Times New Roman"/>
          <w:sz w:val="24"/>
        </w:rPr>
        <w:t xml:space="preserve"> in section 3 of the </w:t>
      </w:r>
      <w:r w:rsidR="00F7392E" w:rsidRPr="00FE6E66">
        <w:rPr>
          <w:rFonts w:ascii="Times New Roman" w:hAnsi="Times New Roman"/>
          <w:i/>
          <w:sz w:val="24"/>
        </w:rPr>
        <w:t>Human Rights (Parliamentary Scrutiny) Act 2011</w:t>
      </w:r>
      <w:r w:rsidR="00F7392E" w:rsidRPr="00FE6E66">
        <w:rPr>
          <w:rFonts w:ascii="Times New Roman" w:hAnsi="Times New Roman"/>
          <w:sz w:val="24"/>
        </w:rPr>
        <w:t>.</w:t>
      </w:r>
    </w:p>
    <w:p w14:paraId="77F74606" w14:textId="140B289B" w:rsidR="003B7524" w:rsidRPr="00D543D8" w:rsidRDefault="003B7524" w:rsidP="00A33736">
      <w:pPr>
        <w:autoSpaceDE w:val="0"/>
        <w:autoSpaceDN w:val="0"/>
        <w:adjustRightInd w:val="0"/>
        <w:spacing w:before="240"/>
        <w:rPr>
          <w:rFonts w:ascii="Times New Roman" w:hAnsi="Times New Roman"/>
          <w:b/>
          <w:sz w:val="26"/>
          <w:szCs w:val="26"/>
        </w:rPr>
      </w:pPr>
      <w:r w:rsidRPr="00D543D8">
        <w:rPr>
          <w:rFonts w:ascii="Times New Roman" w:hAnsi="Times New Roman"/>
          <w:b/>
          <w:sz w:val="26"/>
          <w:szCs w:val="26"/>
        </w:rPr>
        <w:t>Notes on sections</w:t>
      </w:r>
    </w:p>
    <w:p w14:paraId="64464851" w14:textId="77777777" w:rsidR="003B7524" w:rsidRPr="00137E8F" w:rsidRDefault="003B7524" w:rsidP="00326047">
      <w:pPr>
        <w:rPr>
          <w:rFonts w:ascii="Times New Roman" w:hAnsi="Times New Roman"/>
          <w:b/>
          <w:sz w:val="24"/>
        </w:rPr>
      </w:pPr>
    </w:p>
    <w:p w14:paraId="77513A18" w14:textId="77777777" w:rsidR="003B7524" w:rsidRPr="00137E8F" w:rsidRDefault="003B7524" w:rsidP="003B7524">
      <w:pPr>
        <w:rPr>
          <w:rFonts w:ascii="Times New Roman" w:hAnsi="Times New Roman"/>
          <w:b/>
          <w:sz w:val="24"/>
        </w:rPr>
      </w:pPr>
      <w:r w:rsidRPr="00137E8F">
        <w:rPr>
          <w:rFonts w:ascii="Times New Roman" w:hAnsi="Times New Roman"/>
          <w:b/>
          <w:sz w:val="24"/>
        </w:rPr>
        <w:t>Section 1</w:t>
      </w:r>
    </w:p>
    <w:p w14:paraId="022E8F6D" w14:textId="77777777" w:rsidR="003B7524" w:rsidRPr="00137E8F" w:rsidRDefault="003B7524" w:rsidP="003B7524">
      <w:pPr>
        <w:rPr>
          <w:rFonts w:ascii="Times New Roman" w:hAnsi="Times New Roman"/>
          <w:b/>
          <w:sz w:val="24"/>
        </w:rPr>
      </w:pPr>
    </w:p>
    <w:p w14:paraId="4F4100DE" w14:textId="689D51AB" w:rsidR="003B7524" w:rsidRPr="00137E8F" w:rsidRDefault="003B7524" w:rsidP="003B7524">
      <w:pPr>
        <w:rPr>
          <w:rFonts w:ascii="Times New Roman" w:hAnsi="Times New Roman"/>
          <w:i/>
          <w:sz w:val="24"/>
        </w:rPr>
      </w:pPr>
      <w:r w:rsidRPr="00137E8F">
        <w:rPr>
          <w:rFonts w:ascii="Times New Roman" w:hAnsi="Times New Roman"/>
          <w:sz w:val="24"/>
        </w:rPr>
        <w:t xml:space="preserve">This section sets out the name of the instrument, i.e. the </w:t>
      </w:r>
      <w:r w:rsidRPr="00137E8F">
        <w:rPr>
          <w:rFonts w:ascii="Times New Roman" w:hAnsi="Times New Roman"/>
          <w:i/>
          <w:sz w:val="24"/>
        </w:rPr>
        <w:t xml:space="preserve">Anti-Money Laundering and Counter-Terrorism Financing Rules Amendment Instrument </w:t>
      </w:r>
      <w:r w:rsidR="00A434EF" w:rsidRPr="00137E8F">
        <w:rPr>
          <w:rFonts w:ascii="Times New Roman" w:hAnsi="Times New Roman"/>
          <w:i/>
          <w:sz w:val="24"/>
        </w:rPr>
        <w:t>201</w:t>
      </w:r>
      <w:r w:rsidR="00211DFE">
        <w:rPr>
          <w:rFonts w:ascii="Times New Roman" w:hAnsi="Times New Roman"/>
          <w:i/>
          <w:sz w:val="24"/>
        </w:rPr>
        <w:t>6</w:t>
      </w:r>
      <w:r w:rsidR="00A434EF" w:rsidRPr="00137E8F">
        <w:rPr>
          <w:rFonts w:ascii="Times New Roman" w:hAnsi="Times New Roman"/>
          <w:i/>
          <w:sz w:val="24"/>
        </w:rPr>
        <w:t xml:space="preserve"> </w:t>
      </w:r>
      <w:r w:rsidRPr="00137E8F">
        <w:rPr>
          <w:rFonts w:ascii="Times New Roman" w:hAnsi="Times New Roman"/>
          <w:i/>
          <w:sz w:val="24"/>
        </w:rPr>
        <w:t>(No.</w:t>
      </w:r>
      <w:r w:rsidR="0030571B" w:rsidRPr="00137E8F">
        <w:rPr>
          <w:rFonts w:ascii="Times New Roman" w:hAnsi="Times New Roman"/>
          <w:i/>
          <w:sz w:val="24"/>
        </w:rPr>
        <w:t xml:space="preserve"> </w:t>
      </w:r>
      <w:r w:rsidR="00211DFE">
        <w:rPr>
          <w:rFonts w:ascii="Times New Roman" w:hAnsi="Times New Roman"/>
          <w:i/>
          <w:sz w:val="24"/>
        </w:rPr>
        <w:t>1</w:t>
      </w:r>
      <w:r w:rsidRPr="00137E8F">
        <w:rPr>
          <w:rFonts w:ascii="Times New Roman" w:hAnsi="Times New Roman"/>
          <w:i/>
          <w:sz w:val="24"/>
        </w:rPr>
        <w:t>).</w:t>
      </w:r>
    </w:p>
    <w:p w14:paraId="0CBC0ECD" w14:textId="740C96B2" w:rsidR="003B7524" w:rsidRPr="00137E8F" w:rsidRDefault="00B0213F" w:rsidP="003B7524">
      <w:pPr>
        <w:rPr>
          <w:rFonts w:ascii="Times New Roman" w:hAnsi="Times New Roman"/>
          <w:b/>
          <w:sz w:val="24"/>
        </w:rPr>
      </w:pPr>
      <w:r>
        <w:rPr>
          <w:rFonts w:ascii="Times New Roman" w:hAnsi="Times New Roman"/>
          <w:b/>
          <w:sz w:val="24"/>
        </w:rPr>
        <w:br w:type="page"/>
      </w:r>
      <w:r w:rsidR="003B7524" w:rsidRPr="00137E8F">
        <w:rPr>
          <w:rFonts w:ascii="Times New Roman" w:hAnsi="Times New Roman"/>
          <w:b/>
          <w:sz w:val="24"/>
        </w:rPr>
        <w:lastRenderedPageBreak/>
        <w:t>Section 2</w:t>
      </w:r>
    </w:p>
    <w:p w14:paraId="2590853F" w14:textId="77777777" w:rsidR="003B7524" w:rsidRPr="00137E8F" w:rsidRDefault="003B7524" w:rsidP="003B7524">
      <w:pPr>
        <w:rPr>
          <w:rFonts w:ascii="Times New Roman" w:hAnsi="Times New Roman"/>
          <w:b/>
          <w:sz w:val="24"/>
        </w:rPr>
      </w:pPr>
    </w:p>
    <w:p w14:paraId="34549343" w14:textId="7652F651" w:rsidR="003B7524" w:rsidRPr="00137E8F" w:rsidRDefault="003B7524" w:rsidP="003B7524">
      <w:pPr>
        <w:rPr>
          <w:rFonts w:ascii="Times New Roman" w:hAnsi="Times New Roman"/>
          <w:sz w:val="24"/>
        </w:rPr>
      </w:pPr>
      <w:r w:rsidRPr="00137E8F">
        <w:rPr>
          <w:rFonts w:ascii="Times New Roman" w:hAnsi="Times New Roman"/>
          <w:sz w:val="24"/>
        </w:rPr>
        <w:t>This section specifies that Schedule 1</w:t>
      </w:r>
      <w:r w:rsidR="004878CA" w:rsidRPr="00137E8F">
        <w:rPr>
          <w:rFonts w:ascii="Times New Roman" w:hAnsi="Times New Roman"/>
          <w:sz w:val="24"/>
        </w:rPr>
        <w:t xml:space="preserve"> </w:t>
      </w:r>
      <w:r w:rsidRPr="00137E8F">
        <w:rPr>
          <w:rFonts w:ascii="Times New Roman" w:hAnsi="Times New Roman"/>
          <w:sz w:val="24"/>
        </w:rPr>
        <w:t>commence</w:t>
      </w:r>
      <w:r w:rsidR="008B14C4" w:rsidRPr="00137E8F">
        <w:rPr>
          <w:rFonts w:ascii="Times New Roman" w:hAnsi="Times New Roman"/>
          <w:sz w:val="24"/>
        </w:rPr>
        <w:t>s</w:t>
      </w:r>
      <w:r w:rsidRPr="00137E8F">
        <w:rPr>
          <w:rFonts w:ascii="Times New Roman" w:hAnsi="Times New Roman"/>
          <w:sz w:val="24"/>
        </w:rPr>
        <w:t xml:space="preserve"> on the day after </w:t>
      </w:r>
      <w:r w:rsidR="00B85A4C" w:rsidRPr="00137E8F">
        <w:rPr>
          <w:rFonts w:ascii="Times New Roman" w:hAnsi="Times New Roman"/>
          <w:sz w:val="24"/>
        </w:rPr>
        <w:t>the instrument is</w:t>
      </w:r>
      <w:r w:rsidR="00137E8F" w:rsidRPr="00137E8F">
        <w:rPr>
          <w:rFonts w:ascii="Times New Roman" w:hAnsi="Times New Roman"/>
          <w:sz w:val="24"/>
        </w:rPr>
        <w:t xml:space="preserve"> registered.</w:t>
      </w:r>
    </w:p>
    <w:p w14:paraId="2D899CAE" w14:textId="77777777" w:rsidR="00EF1910" w:rsidRPr="00137E8F" w:rsidRDefault="00EF1910" w:rsidP="003B7524">
      <w:pPr>
        <w:rPr>
          <w:rFonts w:ascii="Times New Roman" w:hAnsi="Times New Roman"/>
          <w:b/>
          <w:sz w:val="24"/>
        </w:rPr>
      </w:pPr>
    </w:p>
    <w:p w14:paraId="07EC6646" w14:textId="2321FE9D" w:rsidR="003B7524" w:rsidRPr="00137E8F" w:rsidRDefault="003B7524" w:rsidP="003B7524">
      <w:pPr>
        <w:rPr>
          <w:rFonts w:ascii="Times New Roman" w:hAnsi="Times New Roman"/>
          <w:b/>
          <w:sz w:val="24"/>
        </w:rPr>
      </w:pPr>
      <w:r w:rsidRPr="00137E8F">
        <w:rPr>
          <w:rFonts w:ascii="Times New Roman" w:hAnsi="Times New Roman"/>
          <w:b/>
          <w:sz w:val="24"/>
        </w:rPr>
        <w:t>Section 3</w:t>
      </w:r>
    </w:p>
    <w:p w14:paraId="131C2F53" w14:textId="77777777" w:rsidR="00F7392E" w:rsidRPr="00137E8F" w:rsidRDefault="00F7392E" w:rsidP="003B7524">
      <w:pPr>
        <w:rPr>
          <w:rFonts w:ascii="Times New Roman" w:hAnsi="Times New Roman"/>
          <w:b/>
          <w:sz w:val="24"/>
        </w:rPr>
      </w:pPr>
    </w:p>
    <w:p w14:paraId="3B5036DA" w14:textId="77777777" w:rsidR="00F7392E" w:rsidRPr="00137E8F" w:rsidRDefault="00F7392E" w:rsidP="00F7392E">
      <w:pPr>
        <w:rPr>
          <w:rFonts w:ascii="Times New Roman" w:hAnsi="Times New Roman"/>
          <w:sz w:val="24"/>
        </w:rPr>
      </w:pPr>
      <w:r w:rsidRPr="00137E8F">
        <w:rPr>
          <w:rFonts w:ascii="Times New Roman" w:hAnsi="Times New Roman"/>
          <w:sz w:val="24"/>
        </w:rPr>
        <w:t>This section contains the details of the amendment:</w:t>
      </w:r>
    </w:p>
    <w:p w14:paraId="0F552FC7" w14:textId="77777777" w:rsidR="00F7392E" w:rsidRPr="00137E8F" w:rsidRDefault="00F7392E" w:rsidP="00F7392E">
      <w:pPr>
        <w:rPr>
          <w:rFonts w:ascii="Times New Roman" w:hAnsi="Times New Roman"/>
          <w:b/>
          <w:sz w:val="24"/>
        </w:rPr>
      </w:pPr>
    </w:p>
    <w:p w14:paraId="249F4EE1" w14:textId="731D07D7" w:rsidR="00137E8F" w:rsidRPr="007728FF" w:rsidRDefault="00F7392E" w:rsidP="00137E8F">
      <w:pPr>
        <w:rPr>
          <w:rFonts w:ascii="Times New Roman" w:hAnsi="Times New Roman"/>
          <w:sz w:val="24"/>
        </w:rPr>
      </w:pPr>
      <w:r w:rsidRPr="007728FF">
        <w:rPr>
          <w:rFonts w:ascii="Times New Roman" w:hAnsi="Times New Roman"/>
          <w:sz w:val="24"/>
        </w:rPr>
        <w:t>Schedule 1</w:t>
      </w:r>
      <w:r w:rsidR="00B85A4C" w:rsidRPr="007728FF">
        <w:rPr>
          <w:rFonts w:ascii="Times New Roman" w:hAnsi="Times New Roman"/>
          <w:sz w:val="24"/>
        </w:rPr>
        <w:t xml:space="preserve"> </w:t>
      </w:r>
      <w:r w:rsidR="00A733DD" w:rsidRPr="007728FF">
        <w:rPr>
          <w:rFonts w:ascii="Times New Roman" w:hAnsi="Times New Roman"/>
          <w:sz w:val="24"/>
        </w:rPr>
        <w:t>amend</w:t>
      </w:r>
      <w:r w:rsidR="00211DFE" w:rsidRPr="007728FF">
        <w:rPr>
          <w:rFonts w:ascii="Times New Roman" w:hAnsi="Times New Roman"/>
          <w:sz w:val="24"/>
        </w:rPr>
        <w:t>s</w:t>
      </w:r>
      <w:r w:rsidR="00137E8F" w:rsidRPr="007728FF">
        <w:rPr>
          <w:rFonts w:ascii="Times New Roman" w:hAnsi="Times New Roman"/>
          <w:sz w:val="24"/>
        </w:rPr>
        <w:t xml:space="preserve"> </w:t>
      </w:r>
      <w:r w:rsidR="00137E8F" w:rsidRPr="007728FF">
        <w:rPr>
          <w:rFonts w:ascii="Times New Roman" w:hAnsi="Times New Roman"/>
          <w:i/>
          <w:sz w:val="24"/>
        </w:rPr>
        <w:t>Anti-Money Laundering and Counter-Terrorism Financing Rules</w:t>
      </w:r>
      <w:r w:rsidR="004A54BA" w:rsidRPr="007728FF">
        <w:rPr>
          <w:rFonts w:ascii="Times New Roman" w:hAnsi="Times New Roman"/>
          <w:i/>
          <w:sz w:val="24"/>
        </w:rPr>
        <w:t xml:space="preserve"> </w:t>
      </w:r>
      <w:r w:rsidR="00137E8F" w:rsidRPr="007728FF">
        <w:rPr>
          <w:rFonts w:ascii="Times New Roman" w:hAnsi="Times New Roman"/>
          <w:i/>
          <w:sz w:val="24"/>
        </w:rPr>
        <w:t>Instrument 2007 (No. 1)</w:t>
      </w:r>
      <w:r w:rsidR="004A54BA" w:rsidRPr="007728FF">
        <w:rPr>
          <w:rFonts w:ascii="Times New Roman" w:hAnsi="Times New Roman"/>
          <w:sz w:val="24"/>
        </w:rPr>
        <w:t>.</w:t>
      </w:r>
    </w:p>
    <w:p w14:paraId="1EB689F7" w14:textId="77777777" w:rsidR="00A733DD" w:rsidRPr="00AA2A93" w:rsidRDefault="00A733DD" w:rsidP="00F7392E">
      <w:pPr>
        <w:rPr>
          <w:rFonts w:ascii="Times New Roman" w:hAnsi="Times New Roman"/>
          <w:b/>
          <w:sz w:val="24"/>
        </w:rPr>
      </w:pPr>
    </w:p>
    <w:p w14:paraId="234E3540" w14:textId="77777777" w:rsidR="00F7392E" w:rsidRPr="00AA2A93" w:rsidRDefault="00F7392E" w:rsidP="00F7392E">
      <w:pPr>
        <w:rPr>
          <w:rFonts w:ascii="Times New Roman" w:hAnsi="Times New Roman"/>
          <w:b/>
          <w:sz w:val="24"/>
        </w:rPr>
      </w:pPr>
      <w:r w:rsidRPr="00AA2A93">
        <w:rPr>
          <w:rFonts w:ascii="Times New Roman" w:hAnsi="Times New Roman"/>
          <w:b/>
          <w:sz w:val="24"/>
        </w:rPr>
        <w:t>Schedule 1</w:t>
      </w:r>
    </w:p>
    <w:p w14:paraId="0A5D8CC7" w14:textId="77777777" w:rsidR="003340DB" w:rsidRDefault="003340DB" w:rsidP="00F7392E">
      <w:pPr>
        <w:rPr>
          <w:rFonts w:ascii="Times New Roman" w:hAnsi="Times New Roman"/>
          <w:b/>
          <w:sz w:val="24"/>
        </w:rPr>
      </w:pPr>
    </w:p>
    <w:p w14:paraId="3BC2B812" w14:textId="6D246A3B" w:rsidR="00211DFE" w:rsidRPr="00211DFE" w:rsidRDefault="00211DFE" w:rsidP="00F7392E">
      <w:pPr>
        <w:rPr>
          <w:rFonts w:ascii="Times New Roman" w:hAnsi="Times New Roman"/>
          <w:sz w:val="24"/>
        </w:rPr>
      </w:pPr>
      <w:r w:rsidRPr="00211DFE">
        <w:rPr>
          <w:rFonts w:ascii="Times New Roman" w:hAnsi="Times New Roman"/>
          <w:sz w:val="24"/>
        </w:rPr>
        <w:t xml:space="preserve">This </w:t>
      </w:r>
      <w:r w:rsidR="007728FF">
        <w:rPr>
          <w:rFonts w:ascii="Times New Roman" w:hAnsi="Times New Roman"/>
          <w:sz w:val="24"/>
        </w:rPr>
        <w:t xml:space="preserve">Schedule </w:t>
      </w:r>
      <w:r>
        <w:rPr>
          <w:rFonts w:ascii="Times New Roman" w:hAnsi="Times New Roman"/>
          <w:sz w:val="24"/>
        </w:rPr>
        <w:t xml:space="preserve">amends Chapter 4, Chapter 38, Chapter 56 and Chapter 60. </w:t>
      </w:r>
    </w:p>
    <w:p w14:paraId="53967E96" w14:textId="553640E1" w:rsidR="003B7524" w:rsidRPr="00D543D8" w:rsidRDefault="003B7524" w:rsidP="003B7524">
      <w:pPr>
        <w:spacing w:before="240"/>
        <w:rPr>
          <w:rFonts w:ascii="Times New Roman" w:hAnsi="Times New Roman"/>
          <w:b/>
          <w:sz w:val="26"/>
          <w:szCs w:val="26"/>
        </w:rPr>
      </w:pPr>
      <w:r w:rsidRPr="00D543D8">
        <w:rPr>
          <w:rFonts w:ascii="Times New Roman" w:hAnsi="Times New Roman"/>
          <w:b/>
          <w:sz w:val="26"/>
          <w:szCs w:val="26"/>
        </w:rPr>
        <w:t xml:space="preserve">Notes on </w:t>
      </w:r>
      <w:r w:rsidR="00F7392E" w:rsidRPr="00D543D8">
        <w:rPr>
          <w:rFonts w:ascii="Times New Roman" w:hAnsi="Times New Roman"/>
          <w:b/>
          <w:sz w:val="26"/>
          <w:szCs w:val="26"/>
        </w:rPr>
        <w:t>I</w:t>
      </w:r>
      <w:r w:rsidR="00430DA3" w:rsidRPr="00D543D8">
        <w:rPr>
          <w:rFonts w:ascii="Times New Roman" w:hAnsi="Times New Roman"/>
          <w:b/>
          <w:sz w:val="26"/>
          <w:szCs w:val="26"/>
        </w:rPr>
        <w:t>tems</w:t>
      </w:r>
    </w:p>
    <w:p w14:paraId="4F832592" w14:textId="77777777" w:rsidR="007B0B01" w:rsidRPr="00B64ADA" w:rsidRDefault="007B0B01" w:rsidP="007B0B01">
      <w:pPr>
        <w:spacing w:before="240"/>
        <w:rPr>
          <w:rFonts w:ascii="Times New Roman" w:hAnsi="Times New Roman"/>
          <w:b/>
          <w:sz w:val="24"/>
        </w:rPr>
      </w:pPr>
      <w:r w:rsidRPr="00B64ADA">
        <w:rPr>
          <w:rFonts w:ascii="Times New Roman" w:hAnsi="Times New Roman"/>
          <w:b/>
          <w:sz w:val="24"/>
        </w:rPr>
        <w:t>Schedule 1</w:t>
      </w:r>
    </w:p>
    <w:p w14:paraId="16ABBDF4" w14:textId="6158AA0C" w:rsidR="0049116B" w:rsidRPr="00B64ADA" w:rsidRDefault="0049116B" w:rsidP="006D5F6F">
      <w:pPr>
        <w:numPr>
          <w:ilvl w:val="0"/>
          <w:numId w:val="8"/>
        </w:numPr>
        <w:tabs>
          <w:tab w:val="left" w:pos="567"/>
        </w:tabs>
        <w:spacing w:before="240"/>
        <w:ind w:left="567" w:hanging="567"/>
        <w:rPr>
          <w:rFonts w:ascii="Times New Roman" w:hAnsi="Times New Roman"/>
          <w:b/>
          <w:sz w:val="24"/>
        </w:rPr>
      </w:pPr>
      <w:r w:rsidRPr="00B64ADA">
        <w:rPr>
          <w:rFonts w:ascii="Times New Roman" w:hAnsi="Times New Roman"/>
          <w:b/>
          <w:sz w:val="24"/>
        </w:rPr>
        <w:t xml:space="preserve">Chapter </w:t>
      </w:r>
      <w:r w:rsidR="00211DFE">
        <w:rPr>
          <w:rFonts w:ascii="Times New Roman" w:hAnsi="Times New Roman"/>
          <w:b/>
          <w:sz w:val="24"/>
        </w:rPr>
        <w:t>4</w:t>
      </w:r>
    </w:p>
    <w:p w14:paraId="79E20635" w14:textId="77777777" w:rsidR="007B0B01" w:rsidRDefault="007B0B01" w:rsidP="007B0B01">
      <w:pPr>
        <w:spacing w:before="240"/>
        <w:rPr>
          <w:rFonts w:ascii="Times New Roman" w:hAnsi="Times New Roman"/>
          <w:b/>
          <w:sz w:val="24"/>
        </w:rPr>
      </w:pPr>
      <w:r w:rsidRPr="00B64ADA">
        <w:rPr>
          <w:rFonts w:ascii="Times New Roman" w:hAnsi="Times New Roman"/>
          <w:b/>
          <w:sz w:val="24"/>
        </w:rPr>
        <w:t>Item 1</w:t>
      </w:r>
    </w:p>
    <w:p w14:paraId="3F86B91D" w14:textId="77777777" w:rsidR="00EA15FF" w:rsidRDefault="00EA15FF" w:rsidP="00EA15FF">
      <w:pPr>
        <w:pStyle w:val="Header"/>
        <w:tabs>
          <w:tab w:val="clear" w:pos="4153"/>
          <w:tab w:val="clear" w:pos="8306"/>
          <w:tab w:val="left" w:pos="709"/>
        </w:tabs>
        <w:ind w:left="709" w:hanging="709"/>
        <w:rPr>
          <w:rFonts w:ascii="Times New Roman" w:hAnsi="Times New Roman"/>
          <w:sz w:val="24"/>
        </w:rPr>
      </w:pPr>
    </w:p>
    <w:p w14:paraId="4361D495" w14:textId="42C78902" w:rsidR="00EA15FF" w:rsidRPr="00EA15FF" w:rsidRDefault="00EA15FF" w:rsidP="00EA15FF">
      <w:pPr>
        <w:pStyle w:val="Header"/>
        <w:tabs>
          <w:tab w:val="clear" w:pos="4153"/>
          <w:tab w:val="clear" w:pos="8306"/>
          <w:tab w:val="left" w:pos="0"/>
        </w:tabs>
        <w:rPr>
          <w:rFonts w:ascii="Times New Roman" w:hAnsi="Times New Roman"/>
          <w:sz w:val="24"/>
        </w:rPr>
      </w:pPr>
      <w:r>
        <w:rPr>
          <w:rFonts w:ascii="Times New Roman" w:hAnsi="Times New Roman"/>
          <w:sz w:val="24"/>
        </w:rPr>
        <w:t xml:space="preserve">This item repeals the existing Chapter 4 and substitutes it with an amended version. The amendments relating to </w:t>
      </w:r>
      <w:r w:rsidRPr="002D4E09">
        <w:rPr>
          <w:rFonts w:ascii="Times New Roman" w:hAnsi="Times New Roman"/>
          <w:sz w:val="24"/>
        </w:rPr>
        <w:t>the collection of identification information to allow information to be collected from sources other than the customer</w:t>
      </w:r>
      <w:r>
        <w:rPr>
          <w:rFonts w:ascii="Times New Roman" w:hAnsi="Times New Roman"/>
          <w:sz w:val="24"/>
        </w:rPr>
        <w:t xml:space="preserve"> are specified in paragraphs and subparagraphs: </w:t>
      </w:r>
      <w:r w:rsidRPr="00EA15FF">
        <w:rPr>
          <w:rFonts w:ascii="Times New Roman" w:hAnsi="Times New Roman"/>
          <w:sz w:val="24"/>
        </w:rPr>
        <w:t xml:space="preserve">4.2.3, 4.2.4, </w:t>
      </w:r>
      <w:r w:rsidR="00B0213F">
        <w:rPr>
          <w:rFonts w:ascii="Times New Roman" w:hAnsi="Times New Roman"/>
          <w:sz w:val="24"/>
        </w:rPr>
        <w:t xml:space="preserve">4.2.13, </w:t>
      </w:r>
      <w:r w:rsidRPr="00EA15FF">
        <w:rPr>
          <w:rFonts w:ascii="Times New Roman" w:hAnsi="Times New Roman"/>
          <w:sz w:val="24"/>
        </w:rPr>
        <w:t xml:space="preserve">4.2.5, 4.2.8, 4.2.9, 4.2.11(1), 4.2.11(3), 4.2.13(1), 4.3.3, 4.4.3, 4.4.3(6), 4.4.3(7), 4.4.3(8), 4.4.9, 4.5.3, 4.5.3(4), 4.6.3, 4.6.3(2)(d), 4.7.3, 4.8.3, 4.9.3(1), 4.9.3(4), 4.9.5(4), 4.10.1, 4.10.2(4), 4.11.2, </w:t>
      </w:r>
      <w:r w:rsidR="00D309B9">
        <w:rPr>
          <w:rFonts w:ascii="Times New Roman" w:hAnsi="Times New Roman"/>
          <w:sz w:val="24"/>
        </w:rPr>
        <w:t xml:space="preserve">4.11.6, </w:t>
      </w:r>
      <w:r w:rsidRPr="00EA15FF">
        <w:rPr>
          <w:rFonts w:ascii="Times New Roman" w:hAnsi="Times New Roman"/>
          <w:sz w:val="24"/>
        </w:rPr>
        <w:t>4.12.1(1), 4.12.3, 4.12.7(1) and 4.12.8.</w:t>
      </w:r>
    </w:p>
    <w:p w14:paraId="0F74279E" w14:textId="767C1CC2" w:rsidR="00EA15FF" w:rsidRDefault="00EA15FF" w:rsidP="00EA15FF">
      <w:pPr>
        <w:pStyle w:val="Header"/>
        <w:tabs>
          <w:tab w:val="clear" w:pos="4153"/>
          <w:tab w:val="clear" w:pos="8306"/>
          <w:tab w:val="left" w:pos="709"/>
        </w:tabs>
        <w:ind w:left="709" w:hanging="709"/>
        <w:rPr>
          <w:rFonts w:ascii="Times New Roman" w:hAnsi="Times New Roman"/>
          <w:sz w:val="24"/>
        </w:rPr>
      </w:pPr>
    </w:p>
    <w:p w14:paraId="155A59B5" w14:textId="43232449" w:rsidR="00EA15FF" w:rsidRDefault="00B0213F" w:rsidP="00B0213F">
      <w:pPr>
        <w:pStyle w:val="Header"/>
        <w:tabs>
          <w:tab w:val="clear" w:pos="4153"/>
          <w:tab w:val="clear" w:pos="8306"/>
          <w:tab w:val="left" w:pos="0"/>
        </w:tabs>
        <w:rPr>
          <w:rFonts w:ascii="Times New Roman" w:hAnsi="Times New Roman"/>
          <w:sz w:val="24"/>
        </w:rPr>
      </w:pPr>
      <w:r>
        <w:rPr>
          <w:rFonts w:ascii="Times New Roman" w:hAnsi="Times New Roman"/>
          <w:sz w:val="24"/>
        </w:rPr>
        <w:t xml:space="preserve">The amendment at 4.1.1 insets a note relating to privacy which was a recommendation made by the Privacy Impact Assessment </w:t>
      </w:r>
      <w:r w:rsidR="00097958">
        <w:rPr>
          <w:rFonts w:ascii="Times New Roman" w:hAnsi="Times New Roman"/>
          <w:sz w:val="24"/>
        </w:rPr>
        <w:t xml:space="preserve">in respect </w:t>
      </w:r>
      <w:r>
        <w:rPr>
          <w:rFonts w:ascii="Times New Roman" w:hAnsi="Times New Roman"/>
          <w:sz w:val="24"/>
        </w:rPr>
        <w:t>to obtaining information from sources other than the customer</w:t>
      </w:r>
      <w:r w:rsidR="00D309B9">
        <w:rPr>
          <w:rFonts w:ascii="Times New Roman" w:hAnsi="Times New Roman"/>
          <w:sz w:val="24"/>
        </w:rPr>
        <w:t>, and also deletes an obsolete reference to the commencement date of Chapter 4</w:t>
      </w:r>
      <w:r>
        <w:rPr>
          <w:rFonts w:ascii="Times New Roman" w:hAnsi="Times New Roman"/>
          <w:sz w:val="24"/>
        </w:rPr>
        <w:t xml:space="preserve">. </w:t>
      </w:r>
      <w:r w:rsidR="00EA15FF">
        <w:rPr>
          <w:rFonts w:ascii="Times New Roman" w:hAnsi="Times New Roman"/>
          <w:sz w:val="24"/>
        </w:rPr>
        <w:t xml:space="preserve">The amendment at paragraph 4.9.1 deletes an erroneous reference. </w:t>
      </w:r>
    </w:p>
    <w:p w14:paraId="3D9D9570" w14:textId="03012F1E" w:rsidR="00EA15FF" w:rsidRPr="00EA15FF" w:rsidRDefault="00EA15FF" w:rsidP="00B0213F">
      <w:pPr>
        <w:pStyle w:val="Header"/>
        <w:tabs>
          <w:tab w:val="clear" w:pos="4153"/>
          <w:tab w:val="clear" w:pos="8306"/>
          <w:tab w:val="left" w:pos="0"/>
          <w:tab w:val="left" w:pos="709"/>
          <w:tab w:val="left" w:pos="1418"/>
        </w:tabs>
        <w:spacing w:before="120"/>
        <w:rPr>
          <w:rFonts w:ascii="Times New Roman" w:hAnsi="Times New Roman"/>
          <w:sz w:val="24"/>
        </w:rPr>
      </w:pPr>
      <w:r>
        <w:rPr>
          <w:rFonts w:ascii="Times New Roman" w:hAnsi="Times New Roman"/>
          <w:sz w:val="24"/>
        </w:rPr>
        <w:t xml:space="preserve">The amendments relating to </w:t>
      </w:r>
      <w:r w:rsidRPr="002D4E09">
        <w:rPr>
          <w:rFonts w:ascii="Times New Roman" w:hAnsi="Times New Roman"/>
          <w:sz w:val="24"/>
        </w:rPr>
        <w:t>the electronic safe harbour provisions for customers</w:t>
      </w:r>
      <w:r>
        <w:rPr>
          <w:rFonts w:ascii="Times New Roman" w:hAnsi="Times New Roman"/>
          <w:sz w:val="24"/>
        </w:rPr>
        <w:t xml:space="preserve"> are specified in paragraphs 4.2.13 to 4.2.14. </w:t>
      </w:r>
      <w:r w:rsidR="00C55C2C">
        <w:rPr>
          <w:rFonts w:ascii="Times New Roman" w:hAnsi="Times New Roman"/>
          <w:sz w:val="24"/>
        </w:rPr>
        <w:t xml:space="preserve">Prior to these amendments, </w:t>
      </w:r>
      <w:r w:rsidRPr="00EA15FF">
        <w:rPr>
          <w:rFonts w:ascii="Times New Roman" w:hAnsi="Times New Roman"/>
          <w:sz w:val="24"/>
        </w:rPr>
        <w:t xml:space="preserve">the electronic safe harbour provisions for the identification of </w:t>
      </w:r>
      <w:r w:rsidRPr="00C55C2C">
        <w:rPr>
          <w:rFonts w:ascii="Times New Roman" w:hAnsi="Times New Roman"/>
          <w:sz w:val="24"/>
        </w:rPr>
        <w:t>customers</w:t>
      </w:r>
      <w:r w:rsidRPr="00EA15FF">
        <w:rPr>
          <w:rFonts w:ascii="Times New Roman" w:hAnsi="Times New Roman"/>
          <w:sz w:val="24"/>
        </w:rPr>
        <w:t xml:space="preserve"> state that, in respect to verification, two components are mandatory (customer name and residential address), while two are discretionary (customer date of birth or customer transaction history). </w:t>
      </w:r>
    </w:p>
    <w:p w14:paraId="617AB523" w14:textId="3D244801" w:rsidR="00EA15FF" w:rsidRPr="00EA15FF" w:rsidRDefault="00EA15FF" w:rsidP="00C55C2C">
      <w:pPr>
        <w:pStyle w:val="Header"/>
        <w:tabs>
          <w:tab w:val="clear" w:pos="4153"/>
          <w:tab w:val="clear" w:pos="8306"/>
        </w:tabs>
        <w:rPr>
          <w:rFonts w:ascii="Times New Roman" w:hAnsi="Times New Roman"/>
          <w:sz w:val="24"/>
        </w:rPr>
      </w:pPr>
    </w:p>
    <w:p w14:paraId="3B83FC8C" w14:textId="4917E9C5" w:rsidR="00EA15FF" w:rsidRDefault="00EA15FF" w:rsidP="00C55C2C">
      <w:pPr>
        <w:pStyle w:val="Header"/>
        <w:tabs>
          <w:tab w:val="clear" w:pos="4153"/>
          <w:tab w:val="clear" w:pos="8306"/>
        </w:tabs>
        <w:rPr>
          <w:rFonts w:ascii="Times New Roman" w:hAnsi="Times New Roman"/>
          <w:sz w:val="24"/>
        </w:rPr>
      </w:pPr>
      <w:r w:rsidRPr="00EA15FF">
        <w:rPr>
          <w:rFonts w:ascii="Times New Roman" w:hAnsi="Times New Roman"/>
          <w:sz w:val="24"/>
        </w:rPr>
        <w:t xml:space="preserve">The amendments </w:t>
      </w:r>
      <w:r w:rsidR="00C55C2C">
        <w:rPr>
          <w:rFonts w:ascii="Times New Roman" w:hAnsi="Times New Roman"/>
          <w:sz w:val="24"/>
        </w:rPr>
        <w:t xml:space="preserve">specify that there is now only </w:t>
      </w:r>
      <w:r w:rsidRPr="00EA15FF">
        <w:rPr>
          <w:rFonts w:ascii="Times New Roman" w:hAnsi="Times New Roman"/>
          <w:sz w:val="24"/>
        </w:rPr>
        <w:t xml:space="preserve">one mandatory component in regard to verification (name) and </w:t>
      </w:r>
      <w:r w:rsidR="00B0213F">
        <w:rPr>
          <w:rFonts w:ascii="Times New Roman" w:hAnsi="Times New Roman"/>
          <w:sz w:val="24"/>
        </w:rPr>
        <w:t xml:space="preserve">four </w:t>
      </w:r>
      <w:r w:rsidRPr="00EA15FF">
        <w:rPr>
          <w:rFonts w:ascii="Times New Roman" w:hAnsi="Times New Roman"/>
          <w:sz w:val="24"/>
        </w:rPr>
        <w:t xml:space="preserve">discretionary components </w:t>
      </w:r>
      <w:r w:rsidR="00C55C2C">
        <w:rPr>
          <w:rFonts w:ascii="Times New Roman" w:hAnsi="Times New Roman"/>
          <w:sz w:val="24"/>
        </w:rPr>
        <w:t xml:space="preserve">in regard to </w:t>
      </w:r>
      <w:r w:rsidRPr="00EA15FF">
        <w:rPr>
          <w:rFonts w:ascii="Times New Roman" w:hAnsi="Times New Roman"/>
          <w:sz w:val="24"/>
        </w:rPr>
        <w:t>residential address</w:t>
      </w:r>
      <w:r w:rsidR="00B0213F">
        <w:rPr>
          <w:rFonts w:ascii="Times New Roman" w:hAnsi="Times New Roman"/>
          <w:sz w:val="24"/>
        </w:rPr>
        <w:t xml:space="preserve"> or </w:t>
      </w:r>
      <w:r w:rsidRPr="00EA15FF">
        <w:rPr>
          <w:rFonts w:ascii="Times New Roman" w:hAnsi="Times New Roman"/>
          <w:sz w:val="24"/>
        </w:rPr>
        <w:t>date of birth</w:t>
      </w:r>
      <w:r w:rsidR="00B0213F">
        <w:rPr>
          <w:rFonts w:ascii="Times New Roman" w:hAnsi="Times New Roman"/>
          <w:sz w:val="24"/>
        </w:rPr>
        <w:t xml:space="preserve"> or both</w:t>
      </w:r>
      <w:r w:rsidRPr="00EA15FF">
        <w:rPr>
          <w:rFonts w:ascii="Times New Roman" w:hAnsi="Times New Roman"/>
          <w:sz w:val="24"/>
        </w:rPr>
        <w:t xml:space="preserve"> or customer transaction history. </w:t>
      </w:r>
    </w:p>
    <w:p w14:paraId="70348A2B" w14:textId="3B14D4D0" w:rsidR="00C55C2C" w:rsidRPr="00C55C2C" w:rsidRDefault="00B0213F" w:rsidP="00C55C2C">
      <w:pPr>
        <w:pStyle w:val="Header"/>
        <w:tabs>
          <w:tab w:val="clear" w:pos="4153"/>
          <w:tab w:val="clear" w:pos="8306"/>
        </w:tabs>
        <w:rPr>
          <w:rFonts w:ascii="Times New Roman" w:hAnsi="Times New Roman"/>
          <w:b/>
          <w:sz w:val="24"/>
        </w:rPr>
      </w:pPr>
      <w:r>
        <w:rPr>
          <w:rFonts w:ascii="Times New Roman" w:hAnsi="Times New Roman"/>
          <w:sz w:val="24"/>
        </w:rPr>
        <w:br w:type="page"/>
      </w:r>
      <w:r w:rsidR="00C55C2C" w:rsidRPr="00C55C2C">
        <w:rPr>
          <w:rFonts w:ascii="Times New Roman" w:hAnsi="Times New Roman"/>
          <w:b/>
          <w:sz w:val="24"/>
        </w:rPr>
        <w:lastRenderedPageBreak/>
        <w:t>2.</w:t>
      </w:r>
      <w:r w:rsidR="00C55C2C" w:rsidRPr="00C55C2C">
        <w:rPr>
          <w:rFonts w:ascii="Times New Roman" w:hAnsi="Times New Roman"/>
          <w:b/>
          <w:sz w:val="24"/>
        </w:rPr>
        <w:tab/>
        <w:t>Chapter 38</w:t>
      </w:r>
    </w:p>
    <w:p w14:paraId="2946194C" w14:textId="2B40D32C" w:rsidR="009B18E1" w:rsidRDefault="009B18E1" w:rsidP="003B7524">
      <w:pPr>
        <w:spacing w:before="240"/>
        <w:rPr>
          <w:rFonts w:ascii="Times New Roman" w:hAnsi="Times New Roman"/>
          <w:b/>
          <w:sz w:val="24"/>
        </w:rPr>
      </w:pPr>
      <w:r w:rsidRPr="00A92AF1">
        <w:rPr>
          <w:rFonts w:ascii="Times New Roman" w:hAnsi="Times New Roman"/>
          <w:b/>
          <w:sz w:val="24"/>
        </w:rPr>
        <w:t xml:space="preserve">Item </w:t>
      </w:r>
      <w:r w:rsidR="00C55C2C">
        <w:rPr>
          <w:rFonts w:ascii="Times New Roman" w:hAnsi="Times New Roman"/>
          <w:b/>
          <w:sz w:val="24"/>
        </w:rPr>
        <w:t>1</w:t>
      </w:r>
    </w:p>
    <w:p w14:paraId="3570168A" w14:textId="0E30E413" w:rsidR="00B0213F" w:rsidRPr="00B0213F" w:rsidRDefault="00B0213F" w:rsidP="003B7524">
      <w:pPr>
        <w:spacing w:before="240"/>
        <w:rPr>
          <w:rFonts w:ascii="Times New Roman" w:hAnsi="Times New Roman"/>
          <w:sz w:val="24"/>
        </w:rPr>
      </w:pPr>
      <w:r>
        <w:rPr>
          <w:rFonts w:ascii="Times New Roman" w:hAnsi="Times New Roman"/>
          <w:sz w:val="24"/>
        </w:rPr>
        <w:t xml:space="preserve">This item amends the threshold from $500 to $10,000. </w:t>
      </w:r>
    </w:p>
    <w:p w14:paraId="13615BD3" w14:textId="48AAF88B" w:rsidR="00FA531E" w:rsidRDefault="00C55C2C" w:rsidP="00FA531E">
      <w:pPr>
        <w:spacing w:before="240"/>
        <w:rPr>
          <w:rFonts w:ascii="Times New Roman" w:hAnsi="Times New Roman"/>
          <w:b/>
          <w:sz w:val="24"/>
        </w:rPr>
      </w:pPr>
      <w:r w:rsidRPr="00C55C2C">
        <w:rPr>
          <w:rFonts w:ascii="Times New Roman" w:hAnsi="Times New Roman"/>
          <w:b/>
          <w:sz w:val="24"/>
        </w:rPr>
        <w:t>3.</w:t>
      </w:r>
      <w:r w:rsidRPr="00C55C2C">
        <w:rPr>
          <w:rFonts w:ascii="Times New Roman" w:hAnsi="Times New Roman"/>
          <w:b/>
          <w:sz w:val="24"/>
        </w:rPr>
        <w:tab/>
        <w:t>Chapter 56</w:t>
      </w:r>
    </w:p>
    <w:p w14:paraId="68E5884E" w14:textId="46CC13EA" w:rsidR="00C55C2C" w:rsidRDefault="00C55C2C" w:rsidP="00FA531E">
      <w:pPr>
        <w:spacing w:before="240"/>
        <w:rPr>
          <w:rFonts w:ascii="Times New Roman" w:hAnsi="Times New Roman"/>
          <w:b/>
          <w:sz w:val="24"/>
        </w:rPr>
      </w:pPr>
      <w:r w:rsidRPr="00C55C2C">
        <w:rPr>
          <w:rFonts w:ascii="Times New Roman" w:hAnsi="Times New Roman"/>
          <w:b/>
          <w:sz w:val="24"/>
        </w:rPr>
        <w:t>Item 1</w:t>
      </w:r>
    </w:p>
    <w:p w14:paraId="09EEF717" w14:textId="423311BB" w:rsidR="00196348" w:rsidRDefault="00196348" w:rsidP="00FA531E">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548E4DCD" w14:textId="5AE6A2CC" w:rsidR="00196348" w:rsidRPr="00196348" w:rsidRDefault="00196348" w:rsidP="00FA531E">
      <w:pPr>
        <w:spacing w:before="240"/>
        <w:rPr>
          <w:rFonts w:ascii="Times New Roman" w:hAnsi="Times New Roman"/>
          <w:b/>
          <w:sz w:val="24"/>
        </w:rPr>
      </w:pPr>
      <w:r w:rsidRPr="00196348">
        <w:rPr>
          <w:rFonts w:ascii="Times New Roman" w:hAnsi="Times New Roman"/>
          <w:b/>
          <w:sz w:val="24"/>
        </w:rPr>
        <w:t>Item 2</w:t>
      </w:r>
    </w:p>
    <w:p w14:paraId="724BA42F" w14:textId="0A69F696" w:rsidR="00196348" w:rsidRDefault="00196348" w:rsidP="00FA531E">
      <w:pPr>
        <w:spacing w:before="240"/>
        <w:rPr>
          <w:rFonts w:ascii="Times New Roman" w:hAnsi="Times New Roman"/>
          <w:sz w:val="24"/>
        </w:rPr>
      </w:pPr>
      <w:r>
        <w:rPr>
          <w:rFonts w:ascii="Times New Roman" w:hAnsi="Times New Roman"/>
          <w:sz w:val="24"/>
        </w:rPr>
        <w:t xml:space="preserve">This item deletes the definition of ‘CrimTrac’ and substitutes a definition of ‘Australian Crime Commission’. </w:t>
      </w:r>
    </w:p>
    <w:p w14:paraId="3132F190" w14:textId="21818A51" w:rsidR="00196348" w:rsidRPr="00196348" w:rsidRDefault="00196348" w:rsidP="00FA531E">
      <w:pPr>
        <w:spacing w:before="240"/>
        <w:rPr>
          <w:rFonts w:ascii="Times New Roman" w:hAnsi="Times New Roman"/>
          <w:b/>
          <w:sz w:val="24"/>
        </w:rPr>
      </w:pPr>
      <w:r w:rsidRPr="00196348">
        <w:rPr>
          <w:rFonts w:ascii="Times New Roman" w:hAnsi="Times New Roman"/>
          <w:b/>
          <w:sz w:val="24"/>
        </w:rPr>
        <w:t>Item 3</w:t>
      </w:r>
    </w:p>
    <w:p w14:paraId="01A3FD37" w14:textId="664A1F08"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1E258C3C" w14:textId="2A7F4DF6" w:rsidR="00196348" w:rsidRPr="00196348" w:rsidRDefault="00196348" w:rsidP="00FA531E">
      <w:pPr>
        <w:spacing w:before="240"/>
        <w:rPr>
          <w:rFonts w:ascii="Times New Roman" w:hAnsi="Times New Roman"/>
          <w:b/>
          <w:sz w:val="24"/>
        </w:rPr>
      </w:pPr>
      <w:r w:rsidRPr="00196348">
        <w:rPr>
          <w:rFonts w:ascii="Times New Roman" w:hAnsi="Times New Roman"/>
          <w:b/>
          <w:sz w:val="24"/>
        </w:rPr>
        <w:t>Item 4</w:t>
      </w:r>
    </w:p>
    <w:p w14:paraId="70DE9F45" w14:textId="320102F4"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0B35D028" w14:textId="1E295B94" w:rsidR="00196348" w:rsidRPr="00196348" w:rsidRDefault="00196348" w:rsidP="00FA531E">
      <w:pPr>
        <w:spacing w:before="240"/>
        <w:rPr>
          <w:rFonts w:ascii="Times New Roman" w:hAnsi="Times New Roman"/>
          <w:b/>
          <w:sz w:val="24"/>
        </w:rPr>
      </w:pPr>
      <w:r w:rsidRPr="00196348">
        <w:rPr>
          <w:rFonts w:ascii="Times New Roman" w:hAnsi="Times New Roman"/>
          <w:b/>
          <w:sz w:val="24"/>
        </w:rPr>
        <w:t>Item 5</w:t>
      </w:r>
    </w:p>
    <w:p w14:paraId="33AB0838" w14:textId="4E22363D"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528046CF" w14:textId="66AF5090" w:rsidR="00196348" w:rsidRPr="00196348" w:rsidRDefault="00196348" w:rsidP="00FA531E">
      <w:pPr>
        <w:spacing w:before="240"/>
        <w:rPr>
          <w:rFonts w:ascii="Times New Roman" w:hAnsi="Times New Roman"/>
          <w:b/>
          <w:sz w:val="24"/>
        </w:rPr>
      </w:pPr>
      <w:r w:rsidRPr="00196348">
        <w:rPr>
          <w:rFonts w:ascii="Times New Roman" w:hAnsi="Times New Roman"/>
          <w:b/>
          <w:sz w:val="24"/>
        </w:rPr>
        <w:t>Item 6</w:t>
      </w:r>
    </w:p>
    <w:p w14:paraId="6EB29DB2" w14:textId="1B3BF4E1"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436722D0" w14:textId="4301888A" w:rsidR="00196348" w:rsidRPr="00196348" w:rsidRDefault="00196348" w:rsidP="00FA531E">
      <w:pPr>
        <w:spacing w:before="240"/>
        <w:rPr>
          <w:rFonts w:ascii="Times New Roman" w:hAnsi="Times New Roman"/>
          <w:b/>
          <w:sz w:val="24"/>
        </w:rPr>
      </w:pPr>
      <w:r w:rsidRPr="00196348">
        <w:rPr>
          <w:rFonts w:ascii="Times New Roman" w:hAnsi="Times New Roman"/>
          <w:b/>
          <w:sz w:val="24"/>
        </w:rPr>
        <w:t>Item 7</w:t>
      </w:r>
    </w:p>
    <w:p w14:paraId="2CDFEF99" w14:textId="13F89564"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55589965" w14:textId="2639BAED" w:rsidR="00196348" w:rsidRPr="00196348" w:rsidRDefault="00196348" w:rsidP="00FA531E">
      <w:pPr>
        <w:spacing w:before="240"/>
        <w:rPr>
          <w:rFonts w:ascii="Times New Roman" w:hAnsi="Times New Roman"/>
          <w:b/>
          <w:sz w:val="24"/>
        </w:rPr>
      </w:pPr>
      <w:r w:rsidRPr="00196348">
        <w:rPr>
          <w:rFonts w:ascii="Times New Roman" w:hAnsi="Times New Roman"/>
          <w:b/>
          <w:sz w:val="24"/>
        </w:rPr>
        <w:t>Item 8</w:t>
      </w:r>
    </w:p>
    <w:p w14:paraId="0FC4E274" w14:textId="71A126A4"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5330FE3D" w14:textId="360336EE" w:rsidR="00C55C2C" w:rsidRDefault="00C55C2C" w:rsidP="003B7524">
      <w:pPr>
        <w:autoSpaceDE w:val="0"/>
        <w:autoSpaceDN w:val="0"/>
        <w:adjustRightInd w:val="0"/>
        <w:spacing w:before="240"/>
        <w:rPr>
          <w:rFonts w:ascii="Times New Roman" w:hAnsi="Times New Roman"/>
          <w:b/>
          <w:sz w:val="24"/>
        </w:rPr>
      </w:pPr>
      <w:r>
        <w:rPr>
          <w:rFonts w:ascii="Times New Roman" w:hAnsi="Times New Roman"/>
          <w:b/>
          <w:sz w:val="24"/>
        </w:rPr>
        <w:t>4.</w:t>
      </w:r>
      <w:r>
        <w:rPr>
          <w:rFonts w:ascii="Times New Roman" w:hAnsi="Times New Roman"/>
          <w:b/>
          <w:sz w:val="24"/>
        </w:rPr>
        <w:tab/>
        <w:t>Chapter 60</w:t>
      </w:r>
    </w:p>
    <w:p w14:paraId="19964C8B" w14:textId="345F1869" w:rsidR="00C55C2C" w:rsidRDefault="00C55C2C" w:rsidP="003B7524">
      <w:pPr>
        <w:autoSpaceDE w:val="0"/>
        <w:autoSpaceDN w:val="0"/>
        <w:adjustRightInd w:val="0"/>
        <w:spacing w:before="240"/>
        <w:rPr>
          <w:rFonts w:ascii="Times New Roman" w:hAnsi="Times New Roman"/>
          <w:b/>
          <w:sz w:val="24"/>
        </w:rPr>
      </w:pPr>
      <w:r>
        <w:rPr>
          <w:rFonts w:ascii="Times New Roman" w:hAnsi="Times New Roman"/>
          <w:b/>
          <w:sz w:val="24"/>
        </w:rPr>
        <w:t>Item 1</w:t>
      </w:r>
    </w:p>
    <w:p w14:paraId="3A8FEF2B" w14:textId="77777777"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amends ‘CrimTrac’ references to ‘Australian Crime Commission’.  </w:t>
      </w:r>
    </w:p>
    <w:p w14:paraId="4C82374A" w14:textId="5E8A3D19" w:rsidR="00196348" w:rsidRPr="00196348" w:rsidRDefault="00196348" w:rsidP="003B7524">
      <w:pPr>
        <w:autoSpaceDE w:val="0"/>
        <w:autoSpaceDN w:val="0"/>
        <w:adjustRightInd w:val="0"/>
        <w:spacing w:before="240"/>
        <w:rPr>
          <w:rFonts w:ascii="Times New Roman" w:hAnsi="Times New Roman"/>
          <w:b/>
          <w:sz w:val="24"/>
        </w:rPr>
      </w:pPr>
      <w:r w:rsidRPr="00196348">
        <w:rPr>
          <w:rFonts w:ascii="Times New Roman" w:hAnsi="Times New Roman"/>
          <w:b/>
          <w:sz w:val="24"/>
        </w:rPr>
        <w:t>Item 2</w:t>
      </w:r>
    </w:p>
    <w:p w14:paraId="3431E2B5" w14:textId="77777777" w:rsidR="00196348" w:rsidRDefault="00196348" w:rsidP="00196348">
      <w:pPr>
        <w:spacing w:before="240"/>
        <w:rPr>
          <w:rFonts w:ascii="Times New Roman" w:hAnsi="Times New Roman"/>
          <w:sz w:val="24"/>
        </w:rPr>
      </w:pPr>
      <w:r>
        <w:rPr>
          <w:rFonts w:ascii="Times New Roman" w:hAnsi="Times New Roman"/>
          <w:sz w:val="24"/>
        </w:rPr>
        <w:t xml:space="preserve">This item deletes the definition of ‘CrimTrac’ and substitutes a definition of ‘Australian Crime Commission’. </w:t>
      </w:r>
    </w:p>
    <w:p w14:paraId="1E4E1968" w14:textId="77777777" w:rsidR="00B0213F" w:rsidRDefault="00B0213F" w:rsidP="00196348">
      <w:pPr>
        <w:spacing w:before="240"/>
        <w:rPr>
          <w:rFonts w:ascii="Times New Roman" w:hAnsi="Times New Roman"/>
          <w:sz w:val="24"/>
        </w:rPr>
      </w:pPr>
    </w:p>
    <w:p w14:paraId="3ED723EE" w14:textId="5441C449" w:rsidR="00196348" w:rsidRPr="00196348" w:rsidRDefault="00196348" w:rsidP="003B7524">
      <w:pPr>
        <w:autoSpaceDE w:val="0"/>
        <w:autoSpaceDN w:val="0"/>
        <w:adjustRightInd w:val="0"/>
        <w:spacing w:before="240"/>
        <w:rPr>
          <w:rFonts w:ascii="Times New Roman" w:hAnsi="Times New Roman"/>
          <w:b/>
          <w:sz w:val="24"/>
        </w:rPr>
      </w:pPr>
      <w:r w:rsidRPr="00196348">
        <w:rPr>
          <w:rFonts w:ascii="Times New Roman" w:hAnsi="Times New Roman"/>
          <w:b/>
          <w:sz w:val="24"/>
        </w:rPr>
        <w:lastRenderedPageBreak/>
        <w:t>Item 3</w:t>
      </w:r>
    </w:p>
    <w:p w14:paraId="4F2CDB3F" w14:textId="135DE841" w:rsid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06E3D5FC" w14:textId="007E2362" w:rsidR="00196348" w:rsidRPr="00196348" w:rsidRDefault="00196348" w:rsidP="00196348">
      <w:pPr>
        <w:spacing w:before="240"/>
        <w:rPr>
          <w:rFonts w:ascii="Times New Roman" w:hAnsi="Times New Roman"/>
          <w:b/>
          <w:sz w:val="24"/>
        </w:rPr>
      </w:pPr>
      <w:r w:rsidRPr="00196348">
        <w:rPr>
          <w:rFonts w:ascii="Times New Roman" w:hAnsi="Times New Roman"/>
          <w:b/>
          <w:sz w:val="24"/>
        </w:rPr>
        <w:t>Item 4</w:t>
      </w:r>
    </w:p>
    <w:p w14:paraId="0220222C" w14:textId="6A9E3AE4"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6D94CCB5" w14:textId="12EA8245" w:rsidR="00196348" w:rsidRPr="00196348" w:rsidRDefault="00196348" w:rsidP="00196348">
      <w:pPr>
        <w:spacing w:before="240"/>
        <w:rPr>
          <w:rFonts w:ascii="Times New Roman" w:hAnsi="Times New Roman"/>
          <w:b/>
          <w:sz w:val="24"/>
        </w:rPr>
      </w:pPr>
      <w:r w:rsidRPr="00196348">
        <w:rPr>
          <w:rFonts w:ascii="Times New Roman" w:hAnsi="Times New Roman"/>
          <w:b/>
          <w:sz w:val="24"/>
        </w:rPr>
        <w:t>Item 5</w:t>
      </w:r>
    </w:p>
    <w:p w14:paraId="49945909" w14:textId="4863D04B"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25CBB4F9" w14:textId="3CC81E25" w:rsidR="00196348" w:rsidRPr="00196348" w:rsidRDefault="00196348" w:rsidP="00196348">
      <w:pPr>
        <w:spacing w:before="240"/>
        <w:rPr>
          <w:rFonts w:ascii="Times New Roman" w:hAnsi="Times New Roman"/>
          <w:b/>
          <w:sz w:val="24"/>
        </w:rPr>
      </w:pPr>
      <w:r w:rsidRPr="00196348">
        <w:rPr>
          <w:rFonts w:ascii="Times New Roman" w:hAnsi="Times New Roman"/>
          <w:b/>
          <w:sz w:val="24"/>
        </w:rPr>
        <w:t>Item 6</w:t>
      </w:r>
    </w:p>
    <w:p w14:paraId="643949B4" w14:textId="3E901880" w:rsidR="00196348" w:rsidRPr="00196348" w:rsidRDefault="00196348" w:rsidP="00196348">
      <w:pPr>
        <w:spacing w:before="240"/>
        <w:rPr>
          <w:rFonts w:ascii="Times New Roman" w:hAnsi="Times New Roman"/>
          <w:sz w:val="24"/>
        </w:rPr>
      </w:pPr>
      <w:r w:rsidRPr="00196348">
        <w:rPr>
          <w:rFonts w:ascii="Times New Roman" w:hAnsi="Times New Roman"/>
          <w:sz w:val="24"/>
        </w:rPr>
        <w:t>This</w:t>
      </w:r>
      <w:r>
        <w:rPr>
          <w:rFonts w:ascii="Times New Roman" w:hAnsi="Times New Roman"/>
          <w:sz w:val="24"/>
        </w:rPr>
        <w:t xml:space="preserve"> item changes ‘CrimTrac’ references to ‘Australian Crime Commission’.  </w:t>
      </w:r>
    </w:p>
    <w:p w14:paraId="0C64A2C1" w14:textId="5CF2B456" w:rsidR="003B7524" w:rsidRPr="00066948" w:rsidRDefault="003B7524" w:rsidP="003B7524">
      <w:pPr>
        <w:autoSpaceDE w:val="0"/>
        <w:autoSpaceDN w:val="0"/>
        <w:adjustRightInd w:val="0"/>
        <w:spacing w:before="240"/>
        <w:rPr>
          <w:rFonts w:ascii="Times New Roman" w:hAnsi="Times New Roman"/>
          <w:b/>
          <w:sz w:val="24"/>
        </w:rPr>
      </w:pPr>
      <w:r w:rsidRPr="00066948">
        <w:rPr>
          <w:rFonts w:ascii="Times New Roman" w:hAnsi="Times New Roman"/>
          <w:b/>
          <w:sz w:val="24"/>
        </w:rPr>
        <w:t>Legislative instruments</w:t>
      </w:r>
    </w:p>
    <w:p w14:paraId="0BC47B17" w14:textId="6F1F03D0" w:rsidR="003B7524" w:rsidRPr="00066948" w:rsidRDefault="003B7524" w:rsidP="003B7524">
      <w:pPr>
        <w:spacing w:before="240"/>
        <w:rPr>
          <w:rFonts w:ascii="Times New Roman" w:hAnsi="Times New Roman"/>
          <w:sz w:val="24"/>
        </w:rPr>
      </w:pPr>
      <w:r w:rsidRPr="00066948">
        <w:rPr>
          <w:rFonts w:ascii="Times New Roman" w:hAnsi="Times New Roman"/>
          <w:sz w:val="24"/>
        </w:rPr>
        <w:t xml:space="preserve">These AML/CTF Rules are legislative instruments as defined in section </w:t>
      </w:r>
      <w:r w:rsidR="007643DF">
        <w:rPr>
          <w:rFonts w:ascii="Times New Roman" w:hAnsi="Times New Roman"/>
          <w:sz w:val="24"/>
        </w:rPr>
        <w:t>8</w:t>
      </w:r>
      <w:r w:rsidRPr="00066948">
        <w:rPr>
          <w:rFonts w:ascii="Times New Roman" w:hAnsi="Times New Roman"/>
          <w:sz w:val="24"/>
        </w:rPr>
        <w:t xml:space="preserve"> of the </w:t>
      </w:r>
      <w:r w:rsidR="00D543D8">
        <w:rPr>
          <w:rFonts w:ascii="Times New Roman" w:hAnsi="Times New Roman"/>
          <w:i/>
          <w:sz w:val="24"/>
        </w:rPr>
        <w:t>Legislation</w:t>
      </w:r>
      <w:r w:rsidRPr="00066948">
        <w:rPr>
          <w:rFonts w:ascii="Times New Roman" w:hAnsi="Times New Roman"/>
          <w:i/>
          <w:sz w:val="24"/>
        </w:rPr>
        <w:t xml:space="preserve"> Act 2003</w:t>
      </w:r>
      <w:r w:rsidRPr="00066948">
        <w:rPr>
          <w:rFonts w:ascii="Times New Roman" w:hAnsi="Times New Roman"/>
          <w:sz w:val="24"/>
        </w:rPr>
        <w:t>.</w:t>
      </w:r>
    </w:p>
    <w:p w14:paraId="0BB2E4F2" w14:textId="4C49DD60" w:rsidR="003B7524" w:rsidRPr="002E0390" w:rsidRDefault="003B7524" w:rsidP="003B7524">
      <w:pPr>
        <w:spacing w:before="240"/>
        <w:rPr>
          <w:rFonts w:ascii="Times New Roman" w:hAnsi="Times New Roman"/>
          <w:b/>
          <w:sz w:val="24"/>
        </w:rPr>
      </w:pPr>
      <w:r w:rsidRPr="002E0390">
        <w:rPr>
          <w:rFonts w:ascii="Times New Roman" w:hAnsi="Times New Roman"/>
          <w:b/>
          <w:sz w:val="24"/>
        </w:rPr>
        <w:t>Likely impact</w:t>
      </w:r>
    </w:p>
    <w:p w14:paraId="6905C53E" w14:textId="0DC84D4F" w:rsidR="004379C6" w:rsidRPr="00D40F06" w:rsidRDefault="003568F8" w:rsidP="00D40F06">
      <w:pPr>
        <w:tabs>
          <w:tab w:val="left" w:pos="567"/>
        </w:tabs>
        <w:spacing w:before="240"/>
        <w:rPr>
          <w:rFonts w:ascii="Times New Roman" w:hAnsi="Times New Roman"/>
          <w:sz w:val="24"/>
        </w:rPr>
      </w:pPr>
      <w:r w:rsidRPr="002E0390">
        <w:rPr>
          <w:rFonts w:ascii="Times New Roman" w:hAnsi="Times New Roman"/>
          <w:sz w:val="24"/>
        </w:rPr>
        <w:t>The amendment</w:t>
      </w:r>
      <w:r w:rsidR="002E0390" w:rsidRPr="002E0390">
        <w:rPr>
          <w:rFonts w:ascii="Times New Roman" w:hAnsi="Times New Roman"/>
          <w:sz w:val="24"/>
        </w:rPr>
        <w:t>s</w:t>
      </w:r>
      <w:r w:rsidRPr="002E0390">
        <w:rPr>
          <w:rFonts w:ascii="Times New Roman" w:hAnsi="Times New Roman"/>
          <w:sz w:val="24"/>
        </w:rPr>
        <w:t xml:space="preserve"> </w:t>
      </w:r>
      <w:r w:rsidR="00C55C2C">
        <w:rPr>
          <w:rFonts w:ascii="Times New Roman" w:hAnsi="Times New Roman"/>
          <w:sz w:val="24"/>
        </w:rPr>
        <w:t xml:space="preserve">(other than those specified in Chapters 56 and 60) </w:t>
      </w:r>
      <w:r w:rsidR="002E0390">
        <w:rPr>
          <w:rFonts w:ascii="Times New Roman" w:hAnsi="Times New Roman"/>
          <w:sz w:val="24"/>
        </w:rPr>
        <w:t>will have an impact on reporting entities</w:t>
      </w:r>
      <w:r w:rsidR="00C55C2C">
        <w:rPr>
          <w:rFonts w:ascii="Times New Roman" w:hAnsi="Times New Roman"/>
          <w:sz w:val="24"/>
        </w:rPr>
        <w:t xml:space="preserve"> in respect to customer identification. </w:t>
      </w:r>
    </w:p>
    <w:p w14:paraId="46D8535F" w14:textId="77777777" w:rsidR="00C12A6B" w:rsidRDefault="003B7524" w:rsidP="00C12A6B">
      <w:pPr>
        <w:spacing w:before="240"/>
        <w:rPr>
          <w:rFonts w:ascii="Times New Roman" w:hAnsi="Times New Roman"/>
          <w:b/>
          <w:sz w:val="24"/>
        </w:rPr>
      </w:pPr>
      <w:r w:rsidRPr="00205D34">
        <w:rPr>
          <w:rFonts w:ascii="Times New Roman" w:hAnsi="Times New Roman"/>
          <w:b/>
          <w:sz w:val="24"/>
        </w:rPr>
        <w:t>Assessment of benefits</w:t>
      </w:r>
    </w:p>
    <w:p w14:paraId="0F5764D4" w14:textId="77777777" w:rsidR="00C12A6B" w:rsidRDefault="00C12A6B" w:rsidP="00C12A6B">
      <w:pPr>
        <w:ind w:left="1418"/>
        <w:rPr>
          <w:rFonts w:ascii="Times New Roman" w:hAnsi="Times New Roman"/>
          <w:sz w:val="24"/>
        </w:rPr>
      </w:pPr>
    </w:p>
    <w:p w14:paraId="2F1CF49B" w14:textId="6BFD35B6" w:rsidR="00C12A6B" w:rsidRDefault="00526E30" w:rsidP="00C12A6B">
      <w:pPr>
        <w:rPr>
          <w:rFonts w:ascii="Times New Roman" w:hAnsi="Times New Roman"/>
          <w:sz w:val="24"/>
        </w:rPr>
      </w:pPr>
      <w:r>
        <w:rPr>
          <w:rFonts w:ascii="Times New Roman" w:hAnsi="Times New Roman"/>
          <w:sz w:val="24"/>
        </w:rPr>
        <w:t>T</w:t>
      </w:r>
      <w:r w:rsidR="00C12A6B" w:rsidRPr="00C12A6B">
        <w:rPr>
          <w:rFonts w:ascii="Times New Roman" w:hAnsi="Times New Roman"/>
          <w:sz w:val="24"/>
        </w:rPr>
        <w:t xml:space="preserve">he amendments </w:t>
      </w:r>
      <w:r>
        <w:rPr>
          <w:rFonts w:ascii="Times New Roman" w:hAnsi="Times New Roman"/>
          <w:sz w:val="24"/>
        </w:rPr>
        <w:t xml:space="preserve">to Chapter 4 </w:t>
      </w:r>
      <w:r w:rsidR="00C12A6B">
        <w:rPr>
          <w:rFonts w:ascii="Times New Roman" w:hAnsi="Times New Roman"/>
          <w:sz w:val="24"/>
        </w:rPr>
        <w:t>will provide significant deregulatory benefits to both individuals and industry</w:t>
      </w:r>
      <w:r>
        <w:rPr>
          <w:rFonts w:ascii="Times New Roman" w:hAnsi="Times New Roman"/>
          <w:sz w:val="24"/>
        </w:rPr>
        <w:t>:</w:t>
      </w:r>
      <w:r w:rsidR="00C12A6B">
        <w:rPr>
          <w:rFonts w:ascii="Times New Roman" w:hAnsi="Times New Roman"/>
          <w:sz w:val="24"/>
        </w:rPr>
        <w:t xml:space="preserve"> </w:t>
      </w:r>
    </w:p>
    <w:p w14:paraId="3B3664CA" w14:textId="77777777" w:rsidR="00C12A6B" w:rsidRDefault="00C12A6B" w:rsidP="00C12A6B">
      <w:pPr>
        <w:rPr>
          <w:rFonts w:ascii="Times New Roman" w:hAnsi="Times New Roman"/>
          <w:sz w:val="24"/>
        </w:rPr>
      </w:pPr>
    </w:p>
    <w:p w14:paraId="41B5EB00" w14:textId="353164DA" w:rsidR="00C12A6B" w:rsidRDefault="00C12A6B" w:rsidP="00526E30">
      <w:pPr>
        <w:numPr>
          <w:ilvl w:val="0"/>
          <w:numId w:val="37"/>
        </w:numPr>
        <w:rPr>
          <w:rFonts w:ascii="Times New Roman" w:hAnsi="Times New Roman"/>
          <w:sz w:val="24"/>
        </w:rPr>
      </w:pPr>
      <w:r>
        <w:rPr>
          <w:rFonts w:ascii="Times New Roman" w:hAnsi="Times New Roman"/>
          <w:sz w:val="24"/>
        </w:rPr>
        <w:t>The Regulation Impact Statement</w:t>
      </w:r>
      <w:r>
        <w:rPr>
          <w:rStyle w:val="FootnoteReference"/>
          <w:rFonts w:ascii="Times New Roman" w:hAnsi="Times New Roman"/>
          <w:sz w:val="24"/>
        </w:rPr>
        <w:footnoteReference w:id="2"/>
      </w:r>
      <w:r>
        <w:rPr>
          <w:rFonts w:ascii="Times New Roman" w:hAnsi="Times New Roman"/>
          <w:sz w:val="24"/>
        </w:rPr>
        <w:t xml:space="preserve"> which examined the amendments allowing </w:t>
      </w:r>
      <w:r w:rsidRPr="002D4E09">
        <w:rPr>
          <w:rFonts w:ascii="Times New Roman" w:hAnsi="Times New Roman"/>
          <w:sz w:val="24"/>
        </w:rPr>
        <w:t xml:space="preserve">information to be collected from sources other than the </w:t>
      </w:r>
      <w:proofErr w:type="gramStart"/>
      <w:r w:rsidRPr="002D4E09">
        <w:rPr>
          <w:rFonts w:ascii="Times New Roman" w:hAnsi="Times New Roman"/>
          <w:sz w:val="24"/>
        </w:rPr>
        <w:t>customer</w:t>
      </w:r>
      <w:r w:rsidR="00B0213F">
        <w:rPr>
          <w:rFonts w:ascii="Times New Roman" w:hAnsi="Times New Roman"/>
          <w:sz w:val="24"/>
        </w:rPr>
        <w:t>,</w:t>
      </w:r>
      <w:proofErr w:type="gramEnd"/>
      <w:r>
        <w:rPr>
          <w:rFonts w:ascii="Times New Roman" w:hAnsi="Times New Roman"/>
          <w:sz w:val="24"/>
        </w:rPr>
        <w:t xml:space="preserve"> </w:t>
      </w:r>
      <w:r w:rsidRPr="00C12A6B">
        <w:rPr>
          <w:rFonts w:ascii="Times New Roman" w:hAnsi="Times New Roman"/>
          <w:sz w:val="24"/>
        </w:rPr>
        <w:t xml:space="preserve">estimated annualised savings </w:t>
      </w:r>
      <w:r>
        <w:rPr>
          <w:rFonts w:ascii="Times New Roman" w:hAnsi="Times New Roman"/>
          <w:sz w:val="24"/>
        </w:rPr>
        <w:t xml:space="preserve">of </w:t>
      </w:r>
      <w:r w:rsidRPr="00C12A6B">
        <w:rPr>
          <w:rFonts w:ascii="Times New Roman" w:hAnsi="Times New Roman"/>
          <w:sz w:val="24"/>
        </w:rPr>
        <w:t xml:space="preserve">$7.2 million to </w:t>
      </w:r>
      <w:r>
        <w:rPr>
          <w:rFonts w:ascii="Times New Roman" w:hAnsi="Times New Roman"/>
          <w:sz w:val="24"/>
        </w:rPr>
        <w:t>reporting entities</w:t>
      </w:r>
      <w:r w:rsidRPr="00C12A6B">
        <w:rPr>
          <w:rFonts w:ascii="Times New Roman" w:hAnsi="Times New Roman"/>
          <w:sz w:val="24"/>
        </w:rPr>
        <w:t xml:space="preserve"> and $7.9 million to customers (individuals), with a total saving of around $15.1 million per annum.</w:t>
      </w:r>
    </w:p>
    <w:p w14:paraId="4740C6A2" w14:textId="77777777" w:rsidR="00C12A6B" w:rsidRPr="00C12A6B" w:rsidRDefault="00C12A6B" w:rsidP="00C12A6B">
      <w:pPr>
        <w:rPr>
          <w:rFonts w:ascii="Times New Roman" w:hAnsi="Times New Roman"/>
          <w:sz w:val="24"/>
          <w:lang w:val="en-GB"/>
        </w:rPr>
      </w:pPr>
    </w:p>
    <w:p w14:paraId="39FCDE04" w14:textId="40EA6DCC" w:rsidR="00C12A6B" w:rsidRDefault="00C12A6B" w:rsidP="00526E30">
      <w:pPr>
        <w:numPr>
          <w:ilvl w:val="0"/>
          <w:numId w:val="37"/>
        </w:numPr>
        <w:rPr>
          <w:rFonts w:ascii="Times New Roman" w:hAnsi="Times New Roman"/>
          <w:sz w:val="24"/>
        </w:rPr>
      </w:pPr>
      <w:r>
        <w:rPr>
          <w:rFonts w:ascii="Times New Roman" w:hAnsi="Times New Roman"/>
          <w:sz w:val="24"/>
        </w:rPr>
        <w:t>The consultation paper</w:t>
      </w:r>
      <w:r>
        <w:rPr>
          <w:rStyle w:val="FootnoteReference"/>
          <w:rFonts w:ascii="Times New Roman" w:hAnsi="Times New Roman"/>
          <w:sz w:val="24"/>
        </w:rPr>
        <w:footnoteReference w:id="3"/>
      </w:r>
      <w:r>
        <w:rPr>
          <w:rFonts w:ascii="Times New Roman" w:hAnsi="Times New Roman"/>
          <w:sz w:val="24"/>
        </w:rPr>
        <w:t xml:space="preserve"> which examined the amendments </w:t>
      </w:r>
      <w:r w:rsidR="00526E30">
        <w:rPr>
          <w:rFonts w:ascii="Times New Roman" w:hAnsi="Times New Roman"/>
          <w:sz w:val="24"/>
        </w:rPr>
        <w:t xml:space="preserve">to the safe harbour procedures, </w:t>
      </w:r>
      <w:r w:rsidRPr="00C12A6B">
        <w:rPr>
          <w:rFonts w:ascii="Times New Roman" w:hAnsi="Times New Roman"/>
          <w:sz w:val="24"/>
        </w:rPr>
        <w:t xml:space="preserve">estimated annualised savings </w:t>
      </w:r>
      <w:r>
        <w:rPr>
          <w:rFonts w:ascii="Times New Roman" w:hAnsi="Times New Roman"/>
          <w:sz w:val="24"/>
        </w:rPr>
        <w:t xml:space="preserve">of </w:t>
      </w:r>
      <w:r w:rsidRPr="00C12A6B">
        <w:rPr>
          <w:rFonts w:ascii="Times New Roman" w:hAnsi="Times New Roman"/>
          <w:sz w:val="24"/>
        </w:rPr>
        <w:t xml:space="preserve">$7.2 million to </w:t>
      </w:r>
      <w:r>
        <w:rPr>
          <w:rFonts w:ascii="Times New Roman" w:hAnsi="Times New Roman"/>
          <w:sz w:val="24"/>
        </w:rPr>
        <w:t>reporting entities</w:t>
      </w:r>
      <w:r w:rsidRPr="00C12A6B">
        <w:rPr>
          <w:rFonts w:ascii="Times New Roman" w:hAnsi="Times New Roman"/>
          <w:sz w:val="24"/>
        </w:rPr>
        <w:t xml:space="preserve"> and $</w:t>
      </w:r>
      <w:r w:rsidR="00526E30">
        <w:rPr>
          <w:rFonts w:ascii="Times New Roman" w:hAnsi="Times New Roman"/>
          <w:sz w:val="24"/>
        </w:rPr>
        <w:t>5.8</w:t>
      </w:r>
      <w:r w:rsidRPr="00C12A6B">
        <w:rPr>
          <w:rFonts w:ascii="Times New Roman" w:hAnsi="Times New Roman"/>
          <w:sz w:val="24"/>
        </w:rPr>
        <w:t xml:space="preserve"> million to customers (individuals), with a total saving of around $1</w:t>
      </w:r>
      <w:r w:rsidR="00526E30">
        <w:rPr>
          <w:rFonts w:ascii="Times New Roman" w:hAnsi="Times New Roman"/>
          <w:sz w:val="24"/>
        </w:rPr>
        <w:t>3</w:t>
      </w:r>
      <w:r w:rsidRPr="00C12A6B">
        <w:rPr>
          <w:rFonts w:ascii="Times New Roman" w:hAnsi="Times New Roman"/>
          <w:sz w:val="24"/>
        </w:rPr>
        <w:t xml:space="preserve"> million per annum.</w:t>
      </w:r>
      <w:r w:rsidR="000966D5">
        <w:rPr>
          <w:rFonts w:ascii="Times New Roman" w:hAnsi="Times New Roman"/>
          <w:sz w:val="24"/>
        </w:rPr>
        <w:t xml:space="preserve"> These costings were reviewed by the Office of Best Practice Regulation to ensure that they conformed </w:t>
      </w:r>
      <w:r w:rsidR="006E7C9A">
        <w:rPr>
          <w:rFonts w:ascii="Times New Roman" w:hAnsi="Times New Roman"/>
          <w:sz w:val="24"/>
        </w:rPr>
        <w:t>to</w:t>
      </w:r>
      <w:r w:rsidR="000966D5">
        <w:rPr>
          <w:rFonts w:ascii="Times New Roman" w:hAnsi="Times New Roman"/>
          <w:sz w:val="24"/>
        </w:rPr>
        <w:t xml:space="preserve"> the Australian Regulatory Burden Measurement Framework. </w:t>
      </w:r>
    </w:p>
    <w:p w14:paraId="36B4AC92" w14:textId="77777777" w:rsidR="00526E30" w:rsidRDefault="00526E30" w:rsidP="00C12A6B">
      <w:pPr>
        <w:rPr>
          <w:rFonts w:ascii="Times New Roman" w:hAnsi="Times New Roman"/>
          <w:sz w:val="24"/>
        </w:rPr>
      </w:pPr>
    </w:p>
    <w:p w14:paraId="4C4D2665" w14:textId="42F6D045" w:rsidR="00526E30" w:rsidRDefault="00526E30" w:rsidP="00C12A6B">
      <w:pPr>
        <w:rPr>
          <w:rFonts w:ascii="Times New Roman" w:hAnsi="Times New Roman"/>
          <w:sz w:val="24"/>
          <w:lang w:val="en-GB"/>
        </w:rPr>
      </w:pPr>
      <w:r>
        <w:rPr>
          <w:rFonts w:ascii="Times New Roman" w:hAnsi="Times New Roman"/>
          <w:sz w:val="24"/>
          <w:lang w:val="en-GB"/>
        </w:rPr>
        <w:t>The amendment of the threshold in Chapter 38 from $500 to $10,000 will allow larger gifts of shares that will aid the charity sector</w:t>
      </w:r>
      <w:r w:rsidR="00FF59F3">
        <w:rPr>
          <w:rFonts w:ascii="Times New Roman" w:hAnsi="Times New Roman"/>
          <w:sz w:val="24"/>
          <w:lang w:val="en-GB"/>
        </w:rPr>
        <w:t xml:space="preserve"> before customer identification needs to be undertaken</w:t>
      </w:r>
      <w:r>
        <w:rPr>
          <w:rFonts w:ascii="Times New Roman" w:hAnsi="Times New Roman"/>
          <w:sz w:val="24"/>
          <w:lang w:val="en-GB"/>
        </w:rPr>
        <w:t>, while maintaining the exemption from customer identification currently in place for reporting entities in regard to these transactions</w:t>
      </w:r>
      <w:r w:rsidR="00B0213F">
        <w:rPr>
          <w:rFonts w:ascii="Times New Roman" w:hAnsi="Times New Roman"/>
          <w:sz w:val="24"/>
          <w:lang w:val="en-GB"/>
        </w:rPr>
        <w:t xml:space="preserve"> up to the threshold</w:t>
      </w:r>
      <w:r>
        <w:rPr>
          <w:rFonts w:ascii="Times New Roman" w:hAnsi="Times New Roman"/>
          <w:sz w:val="24"/>
          <w:lang w:val="en-GB"/>
        </w:rPr>
        <w:t xml:space="preserve">. </w:t>
      </w:r>
    </w:p>
    <w:p w14:paraId="21A30AE7" w14:textId="77777777" w:rsidR="00526E30" w:rsidRDefault="00526E30" w:rsidP="00C12A6B">
      <w:pPr>
        <w:rPr>
          <w:rFonts w:ascii="Times New Roman" w:hAnsi="Times New Roman"/>
          <w:sz w:val="24"/>
          <w:lang w:val="en-GB"/>
        </w:rPr>
      </w:pPr>
    </w:p>
    <w:p w14:paraId="40638818" w14:textId="4568D9E2" w:rsidR="00526E30" w:rsidRPr="00C12A6B" w:rsidRDefault="00526E30" w:rsidP="00C12A6B">
      <w:pPr>
        <w:rPr>
          <w:rFonts w:ascii="Times New Roman" w:hAnsi="Times New Roman"/>
          <w:sz w:val="24"/>
          <w:lang w:val="en-GB"/>
        </w:rPr>
      </w:pPr>
      <w:r>
        <w:rPr>
          <w:rFonts w:ascii="Times New Roman" w:hAnsi="Times New Roman"/>
          <w:sz w:val="24"/>
          <w:lang w:val="en-GB"/>
        </w:rPr>
        <w:t xml:space="preserve">The amendments to Chapter 56 and Chapter 60 will provide clarity for reporting entities in accurately identifying the relevant entity. </w:t>
      </w:r>
    </w:p>
    <w:p w14:paraId="10F39859" w14:textId="3CCBFD00" w:rsidR="003B7524" w:rsidRPr="00783E0A" w:rsidRDefault="003B7524" w:rsidP="00DC20F4">
      <w:pPr>
        <w:pStyle w:val="Paragraph"/>
        <w:numPr>
          <w:ilvl w:val="0"/>
          <w:numId w:val="0"/>
        </w:numPr>
        <w:tabs>
          <w:tab w:val="left" w:pos="709"/>
        </w:tabs>
        <w:rPr>
          <w:b/>
          <w:szCs w:val="24"/>
        </w:rPr>
      </w:pPr>
      <w:r w:rsidRPr="00783E0A">
        <w:rPr>
          <w:b/>
        </w:rPr>
        <w:t>Consultation</w:t>
      </w:r>
    </w:p>
    <w:p w14:paraId="3C82284F" w14:textId="58018C03" w:rsidR="00066948" w:rsidRDefault="00526E30">
      <w:pPr>
        <w:spacing w:before="240"/>
        <w:rPr>
          <w:rFonts w:ascii="Times New Roman" w:hAnsi="Times New Roman"/>
          <w:sz w:val="24"/>
        </w:rPr>
      </w:pPr>
      <w:r>
        <w:rPr>
          <w:rFonts w:ascii="Times New Roman" w:hAnsi="Times New Roman"/>
          <w:sz w:val="24"/>
        </w:rPr>
        <w:t xml:space="preserve">The amendments to Chapter </w:t>
      </w:r>
      <w:r w:rsidR="000966D5">
        <w:rPr>
          <w:rFonts w:ascii="Times New Roman" w:hAnsi="Times New Roman"/>
          <w:sz w:val="24"/>
        </w:rPr>
        <w:t xml:space="preserve">4 relating to the electronic safe harbour procedures for customers </w:t>
      </w:r>
      <w:r>
        <w:rPr>
          <w:rFonts w:ascii="Times New Roman" w:hAnsi="Times New Roman"/>
          <w:sz w:val="24"/>
        </w:rPr>
        <w:t xml:space="preserve">were published on the AUSTRAC website from </w:t>
      </w:r>
      <w:r w:rsidR="000966D5">
        <w:rPr>
          <w:rFonts w:ascii="Times New Roman" w:hAnsi="Times New Roman"/>
          <w:sz w:val="24"/>
        </w:rPr>
        <w:t xml:space="preserve">29 May 2014 until 26 June 2014. </w:t>
      </w:r>
    </w:p>
    <w:p w14:paraId="11E1F9CC" w14:textId="77777777" w:rsidR="00066948" w:rsidRDefault="00066948" w:rsidP="00066948">
      <w:pPr>
        <w:autoSpaceDE w:val="0"/>
        <w:autoSpaceDN w:val="0"/>
        <w:adjustRightInd w:val="0"/>
        <w:rPr>
          <w:rFonts w:ascii="Times New Roman" w:hAnsi="Times New Roman"/>
          <w:sz w:val="24"/>
        </w:rPr>
      </w:pPr>
    </w:p>
    <w:p w14:paraId="753B0C56" w14:textId="1C9B36AC" w:rsidR="000966D5" w:rsidRDefault="00066948" w:rsidP="00066948">
      <w:pPr>
        <w:autoSpaceDE w:val="0"/>
        <w:autoSpaceDN w:val="0"/>
        <w:adjustRightInd w:val="0"/>
        <w:rPr>
          <w:rFonts w:ascii="Times New Roman" w:hAnsi="Times New Roman"/>
          <w:sz w:val="24"/>
        </w:rPr>
      </w:pPr>
      <w:r>
        <w:rPr>
          <w:rFonts w:ascii="Times New Roman" w:hAnsi="Times New Roman"/>
          <w:sz w:val="24"/>
        </w:rPr>
        <w:t>Following consideration of stakeholder submissions</w:t>
      </w:r>
      <w:r w:rsidR="00526E30">
        <w:rPr>
          <w:rFonts w:ascii="Times New Roman" w:hAnsi="Times New Roman"/>
          <w:sz w:val="24"/>
        </w:rPr>
        <w:t>, the</w:t>
      </w:r>
      <w:r w:rsidR="000966D5">
        <w:rPr>
          <w:rFonts w:ascii="Times New Roman" w:hAnsi="Times New Roman"/>
          <w:sz w:val="24"/>
        </w:rPr>
        <w:t xml:space="preserve">y </w:t>
      </w:r>
      <w:r w:rsidR="00526E30">
        <w:rPr>
          <w:rFonts w:ascii="Times New Roman" w:hAnsi="Times New Roman"/>
          <w:sz w:val="24"/>
        </w:rPr>
        <w:t>were republished on the AUSTRAC website</w:t>
      </w:r>
      <w:r w:rsidR="000966D5">
        <w:rPr>
          <w:rFonts w:ascii="Times New Roman" w:hAnsi="Times New Roman"/>
          <w:sz w:val="24"/>
        </w:rPr>
        <w:t xml:space="preserve"> from 10 June 2015 to 8 July 2015, in </w:t>
      </w:r>
      <w:r w:rsidR="00FF59F3">
        <w:rPr>
          <w:rFonts w:ascii="Times New Roman" w:hAnsi="Times New Roman"/>
          <w:sz w:val="24"/>
        </w:rPr>
        <w:t xml:space="preserve">conjunction with </w:t>
      </w:r>
      <w:r w:rsidR="000966D5">
        <w:rPr>
          <w:rFonts w:ascii="Times New Roman" w:hAnsi="Times New Roman"/>
          <w:sz w:val="24"/>
        </w:rPr>
        <w:t xml:space="preserve">the amendments allowing </w:t>
      </w:r>
      <w:r w:rsidR="000966D5" w:rsidRPr="002D4E09">
        <w:rPr>
          <w:rFonts w:ascii="Times New Roman" w:hAnsi="Times New Roman"/>
          <w:sz w:val="24"/>
        </w:rPr>
        <w:t>information to be collected from sources other than the customer</w:t>
      </w:r>
      <w:r w:rsidR="000966D5">
        <w:rPr>
          <w:rFonts w:ascii="Times New Roman" w:hAnsi="Times New Roman"/>
          <w:sz w:val="24"/>
        </w:rPr>
        <w:t>.</w:t>
      </w:r>
    </w:p>
    <w:p w14:paraId="140095DB" w14:textId="77777777" w:rsidR="00401789" w:rsidRDefault="00401789" w:rsidP="00066948">
      <w:pPr>
        <w:autoSpaceDE w:val="0"/>
        <w:autoSpaceDN w:val="0"/>
        <w:adjustRightInd w:val="0"/>
        <w:rPr>
          <w:rFonts w:ascii="Times New Roman" w:hAnsi="Times New Roman"/>
          <w:sz w:val="24"/>
        </w:rPr>
      </w:pPr>
    </w:p>
    <w:p w14:paraId="23FBAADE" w14:textId="3BBE107E" w:rsidR="00066948" w:rsidRDefault="000966D5" w:rsidP="00066948">
      <w:pPr>
        <w:autoSpaceDE w:val="0"/>
        <w:autoSpaceDN w:val="0"/>
        <w:adjustRightInd w:val="0"/>
        <w:rPr>
          <w:rFonts w:ascii="Times New Roman" w:hAnsi="Times New Roman"/>
          <w:sz w:val="24"/>
        </w:rPr>
      </w:pPr>
      <w:r>
        <w:rPr>
          <w:rFonts w:ascii="Times New Roman" w:hAnsi="Times New Roman"/>
          <w:sz w:val="24"/>
        </w:rPr>
        <w:t xml:space="preserve">As a result of </w:t>
      </w:r>
      <w:r w:rsidR="00743D54">
        <w:rPr>
          <w:rFonts w:ascii="Times New Roman" w:hAnsi="Times New Roman"/>
          <w:sz w:val="24"/>
        </w:rPr>
        <w:t xml:space="preserve">a </w:t>
      </w:r>
      <w:r>
        <w:rPr>
          <w:rFonts w:ascii="Times New Roman" w:hAnsi="Times New Roman"/>
          <w:sz w:val="24"/>
        </w:rPr>
        <w:t>submission</w:t>
      </w:r>
      <w:r w:rsidR="00743D54">
        <w:rPr>
          <w:rFonts w:ascii="Times New Roman" w:hAnsi="Times New Roman"/>
          <w:sz w:val="24"/>
        </w:rPr>
        <w:t xml:space="preserve"> from the Australian Privacy Commissioner</w:t>
      </w:r>
      <w:r>
        <w:rPr>
          <w:rFonts w:ascii="Times New Roman" w:hAnsi="Times New Roman"/>
          <w:sz w:val="24"/>
        </w:rPr>
        <w:t xml:space="preserve"> received</w:t>
      </w:r>
      <w:r w:rsidR="00743D54">
        <w:rPr>
          <w:rFonts w:ascii="Times New Roman" w:hAnsi="Times New Roman"/>
          <w:sz w:val="24"/>
        </w:rPr>
        <w:t xml:space="preserve"> in the 2015 consultation</w:t>
      </w:r>
      <w:r>
        <w:rPr>
          <w:rFonts w:ascii="Times New Roman" w:hAnsi="Times New Roman"/>
          <w:sz w:val="24"/>
        </w:rPr>
        <w:t>, a Privacy Impact Assessment</w:t>
      </w:r>
      <w:r>
        <w:rPr>
          <w:rStyle w:val="FootnoteReference"/>
          <w:rFonts w:ascii="Times New Roman" w:hAnsi="Times New Roman"/>
          <w:sz w:val="24"/>
        </w:rPr>
        <w:footnoteReference w:id="4"/>
      </w:r>
      <w:r>
        <w:rPr>
          <w:rFonts w:ascii="Times New Roman" w:hAnsi="Times New Roman"/>
          <w:sz w:val="24"/>
        </w:rPr>
        <w:t xml:space="preserve"> </w:t>
      </w:r>
      <w:r w:rsidR="00743D54">
        <w:rPr>
          <w:rFonts w:ascii="Times New Roman" w:hAnsi="Times New Roman"/>
          <w:sz w:val="24"/>
        </w:rPr>
        <w:t xml:space="preserve">on the amendments allowing information to be collected from sources other than the customer </w:t>
      </w:r>
      <w:r>
        <w:rPr>
          <w:rFonts w:ascii="Times New Roman" w:hAnsi="Times New Roman"/>
          <w:sz w:val="24"/>
        </w:rPr>
        <w:t>was undertaken by AUSTRAC</w:t>
      </w:r>
      <w:r w:rsidR="00743D54">
        <w:rPr>
          <w:rFonts w:ascii="Times New Roman" w:hAnsi="Times New Roman"/>
          <w:sz w:val="24"/>
        </w:rPr>
        <w:t xml:space="preserve">. </w:t>
      </w:r>
      <w:r w:rsidR="00FF59F3">
        <w:rPr>
          <w:rFonts w:ascii="Times New Roman" w:hAnsi="Times New Roman"/>
          <w:sz w:val="24"/>
        </w:rPr>
        <w:t xml:space="preserve"> </w:t>
      </w:r>
      <w:r w:rsidR="00743D54">
        <w:rPr>
          <w:rFonts w:ascii="Times New Roman" w:hAnsi="Times New Roman"/>
          <w:sz w:val="24"/>
        </w:rPr>
        <w:t>A draft was</w:t>
      </w:r>
      <w:r>
        <w:rPr>
          <w:rFonts w:ascii="Times New Roman" w:hAnsi="Times New Roman"/>
          <w:sz w:val="24"/>
        </w:rPr>
        <w:t xml:space="preserve"> published on the AUSTRAC website from 25 November 2015 to 9 December 2015.</w:t>
      </w:r>
      <w:r w:rsidR="00783E0A">
        <w:rPr>
          <w:rFonts w:ascii="Times New Roman" w:hAnsi="Times New Roman"/>
          <w:sz w:val="24"/>
        </w:rPr>
        <w:t xml:space="preserve"> </w:t>
      </w:r>
    </w:p>
    <w:p w14:paraId="04B97CCF" w14:textId="481424C5" w:rsidR="00E9115C" w:rsidRPr="00034C1B" w:rsidRDefault="00E9115C" w:rsidP="00E9115C">
      <w:pPr>
        <w:spacing w:before="240"/>
        <w:rPr>
          <w:rFonts w:ascii="Times New Roman" w:hAnsi="Times New Roman"/>
          <w:sz w:val="24"/>
        </w:rPr>
      </w:pPr>
      <w:r w:rsidRPr="00034C1B">
        <w:rPr>
          <w:rFonts w:ascii="Times New Roman" w:hAnsi="Times New Roman"/>
          <w:sz w:val="24"/>
        </w:rPr>
        <w:t xml:space="preserve">AUSTRAC has </w:t>
      </w:r>
      <w:r w:rsidR="00783E0A">
        <w:rPr>
          <w:rFonts w:ascii="Times New Roman" w:hAnsi="Times New Roman"/>
          <w:sz w:val="24"/>
        </w:rPr>
        <w:t xml:space="preserve">also </w:t>
      </w:r>
      <w:r w:rsidRPr="00034C1B">
        <w:rPr>
          <w:rFonts w:ascii="Times New Roman" w:hAnsi="Times New Roman"/>
          <w:sz w:val="24"/>
        </w:rPr>
        <w:t xml:space="preserve">consulted with the </w:t>
      </w:r>
      <w:r w:rsidR="00832FD7" w:rsidRPr="00034C1B">
        <w:rPr>
          <w:rFonts w:ascii="Times New Roman" w:hAnsi="Times New Roman"/>
          <w:sz w:val="24"/>
        </w:rPr>
        <w:t>Australian Taxation Office, the Australia</w:t>
      </w:r>
      <w:r w:rsidR="008D25B6" w:rsidRPr="00034C1B">
        <w:rPr>
          <w:rFonts w:ascii="Times New Roman" w:hAnsi="Times New Roman"/>
          <w:sz w:val="24"/>
        </w:rPr>
        <w:t>n</w:t>
      </w:r>
      <w:r w:rsidR="00832FD7" w:rsidRPr="00034C1B">
        <w:rPr>
          <w:rFonts w:ascii="Times New Roman" w:hAnsi="Times New Roman"/>
          <w:sz w:val="24"/>
        </w:rPr>
        <w:t xml:space="preserve"> Customs and Border Protection Service</w:t>
      </w:r>
      <w:r w:rsidR="00FF59F3">
        <w:rPr>
          <w:rFonts w:ascii="Times New Roman" w:hAnsi="Times New Roman"/>
          <w:sz w:val="24"/>
        </w:rPr>
        <w:t xml:space="preserve"> (as it then was)</w:t>
      </w:r>
      <w:r w:rsidR="00832FD7" w:rsidRPr="00034C1B">
        <w:rPr>
          <w:rFonts w:ascii="Times New Roman" w:hAnsi="Times New Roman"/>
          <w:sz w:val="24"/>
        </w:rPr>
        <w:t>, the Australian Federal Police, the Australian Crime Commission and the Office of the Australian Information Commissioner in relation to these AML/CTF Rules.</w:t>
      </w:r>
    </w:p>
    <w:p w14:paraId="21040039" w14:textId="5F67D44A" w:rsidR="003B7524" w:rsidRPr="00F0454D" w:rsidRDefault="003B7524" w:rsidP="003B7524">
      <w:pPr>
        <w:spacing w:before="240"/>
        <w:rPr>
          <w:rFonts w:ascii="Times New Roman" w:hAnsi="Times New Roman"/>
          <w:b/>
          <w:sz w:val="24"/>
        </w:rPr>
      </w:pPr>
      <w:r w:rsidRPr="00F0454D">
        <w:rPr>
          <w:rFonts w:ascii="Times New Roman" w:hAnsi="Times New Roman"/>
          <w:b/>
          <w:sz w:val="24"/>
        </w:rPr>
        <w:t>Ongoing consultation</w:t>
      </w:r>
    </w:p>
    <w:p w14:paraId="318942AE" w14:textId="128B1295" w:rsidR="00D852BA" w:rsidRDefault="007929FC" w:rsidP="003B7524">
      <w:pPr>
        <w:spacing w:before="240"/>
        <w:rPr>
          <w:rFonts w:ascii="Times New Roman" w:hAnsi="Times New Roman"/>
          <w:sz w:val="24"/>
        </w:rPr>
      </w:pPr>
      <w:r>
        <w:rPr>
          <w:rFonts w:ascii="Times New Roman" w:hAnsi="Times New Roman"/>
          <w:sz w:val="24"/>
        </w:rPr>
        <w:t>AUSTRAC will conduct ongoing consultation with stakeholders on the operation of the</w:t>
      </w:r>
      <w:r w:rsidR="007D2DBB">
        <w:rPr>
          <w:rFonts w:ascii="Times New Roman" w:hAnsi="Times New Roman"/>
          <w:sz w:val="24"/>
        </w:rPr>
        <w:t>se</w:t>
      </w:r>
      <w:r>
        <w:rPr>
          <w:rFonts w:ascii="Times New Roman" w:hAnsi="Times New Roman"/>
          <w:sz w:val="24"/>
        </w:rPr>
        <w:t xml:space="preserve"> AML/CTF Rules</w:t>
      </w:r>
      <w:r w:rsidR="003B7524" w:rsidRPr="00EE3DCD">
        <w:rPr>
          <w:rFonts w:ascii="Times New Roman" w:hAnsi="Times New Roman"/>
          <w:sz w:val="24"/>
        </w:rPr>
        <w:t>.</w:t>
      </w:r>
    </w:p>
    <w:p w14:paraId="79CFDAFC" w14:textId="77777777" w:rsidR="00D852BA" w:rsidRPr="007600EF" w:rsidRDefault="00D852BA" w:rsidP="00E46142">
      <w:pPr>
        <w:jc w:val="center"/>
        <w:rPr>
          <w:rFonts w:ascii="Times New Roman" w:hAnsi="Times New Roman"/>
          <w:b/>
          <w:sz w:val="28"/>
          <w:szCs w:val="28"/>
        </w:rPr>
      </w:pPr>
      <w:r>
        <w:br w:type="page"/>
      </w:r>
      <w:r w:rsidRPr="007600EF">
        <w:rPr>
          <w:rFonts w:ascii="Times New Roman" w:hAnsi="Times New Roman"/>
          <w:b/>
          <w:sz w:val="28"/>
          <w:szCs w:val="28"/>
        </w:rPr>
        <w:lastRenderedPageBreak/>
        <w:t>Statement of Compa</w:t>
      </w:r>
      <w:r>
        <w:rPr>
          <w:rFonts w:ascii="Times New Roman" w:hAnsi="Times New Roman"/>
          <w:b/>
          <w:sz w:val="28"/>
          <w:szCs w:val="28"/>
        </w:rPr>
        <w:t>ti</w:t>
      </w:r>
      <w:r w:rsidRPr="007600EF">
        <w:rPr>
          <w:rFonts w:ascii="Times New Roman" w:hAnsi="Times New Roman"/>
          <w:b/>
          <w:sz w:val="28"/>
          <w:szCs w:val="28"/>
        </w:rPr>
        <w:t>bility with Human Rights</w:t>
      </w:r>
    </w:p>
    <w:p w14:paraId="3610E438" w14:textId="77777777" w:rsidR="00D852BA" w:rsidRDefault="00D852BA" w:rsidP="00E46142">
      <w:pPr>
        <w:rPr>
          <w:rFonts w:ascii="Times New Roman" w:hAnsi="Times New Roman"/>
          <w:sz w:val="24"/>
        </w:rPr>
      </w:pPr>
    </w:p>
    <w:p w14:paraId="410FF6C2" w14:textId="77777777" w:rsidR="00D852BA" w:rsidRPr="007600EF" w:rsidRDefault="00D852BA" w:rsidP="00E46142">
      <w:pPr>
        <w:rPr>
          <w:rFonts w:ascii="Times New Roman" w:hAnsi="Times New Roman"/>
          <w:i/>
          <w:szCs w:val="22"/>
        </w:rPr>
      </w:pPr>
      <w:r w:rsidRPr="007600EF">
        <w:rPr>
          <w:rFonts w:ascii="Times New Roman" w:hAnsi="Times New Roman"/>
          <w:i/>
          <w:szCs w:val="22"/>
        </w:rPr>
        <w:t>Prepared in accordance with Part 3 of the Human Rights (Parliamentary Scrutiny</w:t>
      </w:r>
      <w:r>
        <w:rPr>
          <w:rFonts w:ascii="Times New Roman" w:hAnsi="Times New Roman"/>
          <w:i/>
          <w:szCs w:val="22"/>
        </w:rPr>
        <w:t>)</w:t>
      </w:r>
      <w:r w:rsidRPr="007600EF">
        <w:rPr>
          <w:rFonts w:ascii="Times New Roman" w:hAnsi="Times New Roman"/>
          <w:i/>
          <w:szCs w:val="22"/>
        </w:rPr>
        <w:t xml:space="preserve"> Act 2011</w:t>
      </w:r>
    </w:p>
    <w:p w14:paraId="1C7A5615" w14:textId="77777777" w:rsidR="00D852BA" w:rsidRDefault="00D852BA" w:rsidP="00E46142">
      <w:pPr>
        <w:rPr>
          <w:rFonts w:ascii="Times New Roman" w:hAnsi="Times New Roman"/>
          <w:sz w:val="24"/>
        </w:rPr>
      </w:pPr>
    </w:p>
    <w:p w14:paraId="1C4522CC" w14:textId="0E53F1B3" w:rsidR="00D852BA" w:rsidRPr="007600EF" w:rsidRDefault="00D852BA" w:rsidP="00E46142">
      <w:pPr>
        <w:jc w:val="center"/>
        <w:rPr>
          <w:rFonts w:ascii="Times New Roman" w:hAnsi="Times New Roman"/>
          <w:b/>
          <w:i/>
          <w:sz w:val="24"/>
        </w:rPr>
      </w:pPr>
      <w:r w:rsidRPr="007600EF">
        <w:rPr>
          <w:rFonts w:ascii="Times New Roman" w:hAnsi="Times New Roman"/>
          <w:b/>
          <w:i/>
          <w:sz w:val="24"/>
        </w:rPr>
        <w:t>Anti-Money Laundering and Counter-Terrorism Financing Rules Amendment Instrument 201</w:t>
      </w:r>
      <w:r w:rsidR="00401789">
        <w:rPr>
          <w:rFonts w:ascii="Times New Roman" w:hAnsi="Times New Roman"/>
          <w:b/>
          <w:i/>
          <w:sz w:val="24"/>
        </w:rPr>
        <w:t>6</w:t>
      </w:r>
      <w:r w:rsidRPr="007600EF">
        <w:rPr>
          <w:rFonts w:ascii="Times New Roman" w:hAnsi="Times New Roman"/>
          <w:b/>
          <w:i/>
          <w:sz w:val="24"/>
        </w:rPr>
        <w:t xml:space="preserve"> (No.</w:t>
      </w:r>
      <w:r w:rsidR="00745E6D">
        <w:rPr>
          <w:rFonts w:ascii="Times New Roman" w:hAnsi="Times New Roman"/>
          <w:b/>
          <w:i/>
          <w:sz w:val="24"/>
        </w:rPr>
        <w:t xml:space="preserve"> </w:t>
      </w:r>
      <w:r w:rsidR="00401789">
        <w:rPr>
          <w:rFonts w:ascii="Times New Roman" w:hAnsi="Times New Roman"/>
          <w:b/>
          <w:i/>
          <w:sz w:val="24"/>
        </w:rPr>
        <w:t>1</w:t>
      </w:r>
      <w:r w:rsidRPr="007600EF">
        <w:rPr>
          <w:rFonts w:ascii="Times New Roman" w:hAnsi="Times New Roman"/>
          <w:b/>
          <w:i/>
          <w:sz w:val="24"/>
        </w:rPr>
        <w:t>)</w:t>
      </w:r>
    </w:p>
    <w:p w14:paraId="2354A44F" w14:textId="77777777" w:rsidR="00D852BA" w:rsidRPr="007600EF" w:rsidRDefault="00D852BA" w:rsidP="00E46142">
      <w:pPr>
        <w:jc w:val="center"/>
        <w:rPr>
          <w:rFonts w:ascii="Times New Roman" w:hAnsi="Times New Roman"/>
          <w:b/>
          <w:i/>
        </w:rPr>
      </w:pPr>
    </w:p>
    <w:p w14:paraId="01302705" w14:textId="77777777" w:rsidR="00D852BA" w:rsidRPr="007600EF" w:rsidRDefault="00D852BA" w:rsidP="00E46142">
      <w:pPr>
        <w:rPr>
          <w:rFonts w:ascii="Times New Roman" w:hAnsi="Times New Roman"/>
          <w:sz w:val="24"/>
        </w:rPr>
      </w:pPr>
      <w:r w:rsidRPr="007600EF">
        <w:rPr>
          <w:rFonts w:ascii="Times New Roman" w:hAnsi="Times New Roman"/>
          <w:sz w:val="24"/>
        </w:rPr>
        <w:t xml:space="preserve">This Instrument is compatible with the human rights and freedoms recognised or declared in the international instruments listed in section 3 of the </w:t>
      </w:r>
      <w:r w:rsidRPr="007600EF">
        <w:rPr>
          <w:rFonts w:ascii="Times New Roman" w:hAnsi="Times New Roman"/>
          <w:i/>
          <w:sz w:val="24"/>
        </w:rPr>
        <w:t>Human Rights (Parliamentary Scrutiny</w:t>
      </w:r>
      <w:r>
        <w:rPr>
          <w:rFonts w:ascii="Times New Roman" w:hAnsi="Times New Roman"/>
          <w:i/>
          <w:sz w:val="24"/>
        </w:rPr>
        <w:t>)</w:t>
      </w:r>
      <w:r w:rsidRPr="007600EF">
        <w:rPr>
          <w:rFonts w:ascii="Times New Roman" w:hAnsi="Times New Roman"/>
          <w:i/>
          <w:sz w:val="24"/>
        </w:rPr>
        <w:t xml:space="preserve"> Act 2011</w:t>
      </w:r>
      <w:r w:rsidRPr="007600EF">
        <w:rPr>
          <w:rFonts w:ascii="Times New Roman" w:hAnsi="Times New Roman"/>
          <w:sz w:val="24"/>
        </w:rPr>
        <w:t>.</w:t>
      </w:r>
    </w:p>
    <w:p w14:paraId="4F023C75" w14:textId="77777777" w:rsidR="00E07FA9" w:rsidRDefault="00E07FA9" w:rsidP="00E46142">
      <w:pPr>
        <w:rPr>
          <w:rFonts w:ascii="Times New Roman" w:hAnsi="Times New Roman"/>
          <w:sz w:val="24"/>
        </w:rPr>
      </w:pPr>
    </w:p>
    <w:p w14:paraId="03EB464F" w14:textId="77777777" w:rsidR="00D852BA" w:rsidRDefault="00D852BA" w:rsidP="00E46142">
      <w:pPr>
        <w:rPr>
          <w:rFonts w:ascii="Times New Roman" w:hAnsi="Times New Roman"/>
          <w:b/>
          <w:sz w:val="24"/>
        </w:rPr>
      </w:pPr>
      <w:r w:rsidRPr="007600EF">
        <w:rPr>
          <w:rFonts w:ascii="Times New Roman" w:hAnsi="Times New Roman"/>
          <w:b/>
          <w:sz w:val="24"/>
        </w:rPr>
        <w:t>Overview of the legislative instrument</w:t>
      </w:r>
    </w:p>
    <w:p w14:paraId="17D3D072" w14:textId="77777777" w:rsidR="00E07FA9" w:rsidRDefault="00E07FA9" w:rsidP="00E46142">
      <w:pPr>
        <w:rPr>
          <w:rFonts w:ascii="Times New Roman" w:hAnsi="Times New Roman"/>
          <w:b/>
          <w:sz w:val="24"/>
        </w:rPr>
      </w:pPr>
    </w:p>
    <w:p w14:paraId="733A2D37" w14:textId="236D344B" w:rsidR="00F15258" w:rsidRDefault="00E07FA9" w:rsidP="00E46142">
      <w:pPr>
        <w:rPr>
          <w:rFonts w:ascii="Times New Roman" w:hAnsi="Times New Roman"/>
          <w:sz w:val="24"/>
        </w:rPr>
      </w:pPr>
      <w:r w:rsidRPr="00F560C5">
        <w:rPr>
          <w:rFonts w:ascii="Times New Roman" w:hAnsi="Times New Roman"/>
          <w:sz w:val="24"/>
        </w:rPr>
        <w:t xml:space="preserve">The Instrument </w:t>
      </w:r>
      <w:r w:rsidR="00196348">
        <w:rPr>
          <w:rFonts w:ascii="Times New Roman" w:hAnsi="Times New Roman"/>
          <w:sz w:val="24"/>
        </w:rPr>
        <w:t>changes</w:t>
      </w:r>
      <w:r w:rsidRPr="00F560C5">
        <w:rPr>
          <w:rFonts w:ascii="Times New Roman" w:hAnsi="Times New Roman"/>
          <w:sz w:val="24"/>
        </w:rPr>
        <w:t xml:space="preserve"> Chapter</w:t>
      </w:r>
      <w:r w:rsidR="00F560C5" w:rsidRPr="00F560C5">
        <w:rPr>
          <w:rFonts w:ascii="Times New Roman" w:hAnsi="Times New Roman"/>
          <w:sz w:val="24"/>
        </w:rPr>
        <w:t>s</w:t>
      </w:r>
      <w:r w:rsidRPr="00F560C5">
        <w:rPr>
          <w:rFonts w:ascii="Times New Roman" w:hAnsi="Times New Roman"/>
          <w:sz w:val="24"/>
        </w:rPr>
        <w:t xml:space="preserve"> </w:t>
      </w:r>
      <w:r w:rsidR="00F560C5" w:rsidRPr="00F560C5">
        <w:rPr>
          <w:rFonts w:ascii="Times New Roman" w:hAnsi="Times New Roman"/>
          <w:sz w:val="24"/>
        </w:rPr>
        <w:t xml:space="preserve">4, </w:t>
      </w:r>
      <w:r w:rsidR="00401789">
        <w:rPr>
          <w:rFonts w:ascii="Times New Roman" w:hAnsi="Times New Roman"/>
          <w:sz w:val="24"/>
        </w:rPr>
        <w:t xml:space="preserve">38, 56 and 60 </w:t>
      </w:r>
      <w:r w:rsidRPr="00F560C5">
        <w:rPr>
          <w:rFonts w:ascii="Times New Roman" w:hAnsi="Times New Roman"/>
          <w:sz w:val="24"/>
        </w:rPr>
        <w:t xml:space="preserve">of the Anti-Money Laundering/Counter-Terrorism Financing Rules (AML/CTF Rules) </w:t>
      </w:r>
      <w:r w:rsidR="00AC6AA2">
        <w:rPr>
          <w:rFonts w:ascii="Times New Roman" w:hAnsi="Times New Roman"/>
          <w:sz w:val="24"/>
        </w:rPr>
        <w:t xml:space="preserve">to </w:t>
      </w:r>
      <w:r w:rsidR="00401789">
        <w:rPr>
          <w:rFonts w:ascii="Times New Roman" w:hAnsi="Times New Roman"/>
          <w:sz w:val="24"/>
        </w:rPr>
        <w:t>amend procedures relating to customer identification (Chapter 4 amendments), increase a threshold from $500 to $10,000 (Chapter 38) and make minor amendments to nomenclature (Chapter 56 and Chapter 60).</w:t>
      </w:r>
    </w:p>
    <w:p w14:paraId="746C919E" w14:textId="77777777" w:rsidR="00E10C9F" w:rsidRPr="008D0F88" w:rsidRDefault="00E10C9F" w:rsidP="00E46142">
      <w:pPr>
        <w:rPr>
          <w:rFonts w:ascii="Times New Roman" w:hAnsi="Times New Roman"/>
          <w:color w:val="000000"/>
          <w:sz w:val="24"/>
        </w:rPr>
      </w:pPr>
    </w:p>
    <w:p w14:paraId="19E598E9" w14:textId="77777777" w:rsidR="00D852BA" w:rsidRPr="007600EF" w:rsidRDefault="00D852BA" w:rsidP="00E46142">
      <w:pPr>
        <w:rPr>
          <w:rFonts w:ascii="Times New Roman" w:hAnsi="Times New Roman"/>
          <w:b/>
          <w:sz w:val="24"/>
        </w:rPr>
      </w:pPr>
      <w:r w:rsidRPr="007600EF">
        <w:rPr>
          <w:rFonts w:ascii="Times New Roman" w:hAnsi="Times New Roman"/>
          <w:b/>
          <w:sz w:val="24"/>
        </w:rPr>
        <w:t>Human rights implications</w:t>
      </w:r>
    </w:p>
    <w:p w14:paraId="1827D4C6" w14:textId="77777777" w:rsidR="00D852BA" w:rsidRDefault="00D852BA" w:rsidP="00E46142">
      <w:pPr>
        <w:rPr>
          <w:rFonts w:ascii="Times New Roman" w:hAnsi="Times New Roman"/>
          <w:sz w:val="24"/>
        </w:rPr>
      </w:pPr>
    </w:p>
    <w:p w14:paraId="6C3AD775" w14:textId="5C6934BB" w:rsidR="00072AE4" w:rsidRDefault="00330393" w:rsidP="00E46142">
      <w:pPr>
        <w:rPr>
          <w:rFonts w:ascii="Times New Roman" w:hAnsi="Times New Roman"/>
          <w:sz w:val="24"/>
        </w:rPr>
      </w:pPr>
      <w:r>
        <w:rPr>
          <w:rFonts w:ascii="Times New Roman" w:hAnsi="Times New Roman"/>
          <w:sz w:val="24"/>
        </w:rPr>
        <w:t xml:space="preserve">It is considered that </w:t>
      </w:r>
      <w:r w:rsidR="00401789">
        <w:rPr>
          <w:rFonts w:ascii="Times New Roman" w:hAnsi="Times New Roman"/>
          <w:sz w:val="24"/>
        </w:rPr>
        <w:t xml:space="preserve">in relation to the amendments to Chapter 4, </w:t>
      </w:r>
      <w:r>
        <w:rPr>
          <w:rFonts w:ascii="Times New Roman" w:hAnsi="Times New Roman"/>
          <w:sz w:val="24"/>
        </w:rPr>
        <w:t>this Instrument engage</w:t>
      </w:r>
      <w:r w:rsidR="004577D5">
        <w:rPr>
          <w:rFonts w:ascii="Times New Roman" w:hAnsi="Times New Roman"/>
          <w:sz w:val="24"/>
        </w:rPr>
        <w:t>s</w:t>
      </w:r>
      <w:r>
        <w:rPr>
          <w:rFonts w:ascii="Times New Roman" w:hAnsi="Times New Roman"/>
          <w:sz w:val="24"/>
        </w:rPr>
        <w:t xml:space="preserve"> </w:t>
      </w:r>
      <w:r w:rsidR="004577D5">
        <w:rPr>
          <w:rFonts w:ascii="Times New Roman" w:hAnsi="Times New Roman"/>
          <w:sz w:val="24"/>
        </w:rPr>
        <w:t>and is compatible with the right to privacy and reputation.</w:t>
      </w:r>
      <w:r w:rsidR="00783E0A">
        <w:rPr>
          <w:rFonts w:ascii="Times New Roman" w:hAnsi="Times New Roman"/>
          <w:sz w:val="24"/>
        </w:rPr>
        <w:t xml:space="preserve"> </w:t>
      </w:r>
      <w:r w:rsidR="00E46142">
        <w:rPr>
          <w:rFonts w:ascii="Times New Roman" w:hAnsi="Times New Roman"/>
          <w:sz w:val="24"/>
        </w:rPr>
        <w:t xml:space="preserve">As a result of consultation on the Chapter 4 amendments, </w:t>
      </w:r>
      <w:r w:rsidR="00783E0A">
        <w:rPr>
          <w:rFonts w:ascii="Times New Roman" w:hAnsi="Times New Roman"/>
          <w:sz w:val="24"/>
        </w:rPr>
        <w:t xml:space="preserve">AUSTRAC noted the submission of the </w:t>
      </w:r>
      <w:r w:rsidR="00FC473B">
        <w:rPr>
          <w:rFonts w:ascii="Times New Roman" w:hAnsi="Times New Roman"/>
          <w:sz w:val="24"/>
        </w:rPr>
        <w:t xml:space="preserve">Australian </w:t>
      </w:r>
      <w:r w:rsidR="00783E0A">
        <w:rPr>
          <w:rFonts w:ascii="Times New Roman" w:hAnsi="Times New Roman"/>
          <w:sz w:val="24"/>
        </w:rPr>
        <w:t xml:space="preserve">Privacy Commissioner </w:t>
      </w:r>
      <w:r w:rsidR="00401789">
        <w:rPr>
          <w:rFonts w:ascii="Times New Roman" w:hAnsi="Times New Roman"/>
          <w:sz w:val="24"/>
        </w:rPr>
        <w:t>which requested that a Privacy Impact Assessment be undertaken.  This was developed</w:t>
      </w:r>
      <w:r w:rsidR="000E4789">
        <w:rPr>
          <w:rFonts w:ascii="Times New Roman" w:hAnsi="Times New Roman"/>
          <w:sz w:val="24"/>
        </w:rPr>
        <w:t xml:space="preserve"> by AUSTRAC</w:t>
      </w:r>
      <w:r w:rsidR="00401789">
        <w:rPr>
          <w:rFonts w:ascii="Times New Roman" w:hAnsi="Times New Roman"/>
          <w:sz w:val="24"/>
        </w:rPr>
        <w:t xml:space="preserve"> and a draft </w:t>
      </w:r>
      <w:r w:rsidR="00B0213F">
        <w:rPr>
          <w:rFonts w:ascii="Times New Roman" w:hAnsi="Times New Roman"/>
          <w:sz w:val="24"/>
        </w:rPr>
        <w:t xml:space="preserve">was </w:t>
      </w:r>
      <w:r w:rsidR="00401789">
        <w:rPr>
          <w:rFonts w:ascii="Times New Roman" w:hAnsi="Times New Roman"/>
          <w:sz w:val="24"/>
        </w:rPr>
        <w:t xml:space="preserve">published for consultation on the AUSTRAC website. </w:t>
      </w:r>
      <w:r w:rsidR="00072AE4">
        <w:rPr>
          <w:rFonts w:ascii="Times New Roman" w:hAnsi="Times New Roman"/>
          <w:sz w:val="24"/>
        </w:rPr>
        <w:t xml:space="preserve">Stakeholders, including the Commissioner, are in agreement with the </w:t>
      </w:r>
      <w:r w:rsidR="00E46142">
        <w:rPr>
          <w:rFonts w:ascii="Times New Roman" w:hAnsi="Times New Roman"/>
          <w:sz w:val="24"/>
        </w:rPr>
        <w:t xml:space="preserve">final </w:t>
      </w:r>
      <w:r w:rsidR="00072AE4">
        <w:rPr>
          <w:rFonts w:ascii="Times New Roman" w:hAnsi="Times New Roman"/>
          <w:sz w:val="24"/>
        </w:rPr>
        <w:t>recommendations of the Assessment:</w:t>
      </w:r>
    </w:p>
    <w:p w14:paraId="4F4F2017" w14:textId="77777777" w:rsidR="00072AE4" w:rsidRDefault="00072AE4" w:rsidP="00E46142">
      <w:pPr>
        <w:rPr>
          <w:rFonts w:ascii="Times New Roman" w:hAnsi="Times New Roman"/>
          <w:sz w:val="24"/>
        </w:rPr>
      </w:pPr>
    </w:p>
    <w:p w14:paraId="7BBADB1C" w14:textId="18E9D2D6" w:rsidR="00072AE4" w:rsidRDefault="00072AE4" w:rsidP="00E46142">
      <w:pPr>
        <w:ind w:left="709"/>
        <w:rPr>
          <w:rFonts w:ascii="Times New Roman" w:hAnsi="Times New Roman"/>
          <w:sz w:val="24"/>
        </w:rPr>
      </w:pPr>
      <w:r>
        <w:rPr>
          <w:rFonts w:ascii="Times New Roman" w:hAnsi="Times New Roman"/>
          <w:sz w:val="24"/>
        </w:rPr>
        <w:t>While the proposed amendments will have privacy impacts, these can be managed appropriately by:</w:t>
      </w:r>
    </w:p>
    <w:p w14:paraId="79FDAAB5" w14:textId="77777777" w:rsidR="00072AE4" w:rsidRDefault="00072AE4" w:rsidP="00E46142">
      <w:pPr>
        <w:rPr>
          <w:rFonts w:ascii="Times New Roman" w:hAnsi="Times New Roman"/>
          <w:sz w:val="24"/>
        </w:rPr>
      </w:pPr>
    </w:p>
    <w:p w14:paraId="298F04FF" w14:textId="62CACB65" w:rsidR="00072AE4" w:rsidRDefault="00072AE4" w:rsidP="00E46142">
      <w:pPr>
        <w:ind w:left="2127" w:hanging="709"/>
        <w:rPr>
          <w:rFonts w:ascii="Times New Roman" w:hAnsi="Times New Roman"/>
          <w:sz w:val="24"/>
        </w:rPr>
      </w:pPr>
      <w:r>
        <w:rPr>
          <w:rFonts w:ascii="Times New Roman" w:hAnsi="Times New Roman"/>
          <w:sz w:val="24"/>
        </w:rPr>
        <w:t>(a)</w:t>
      </w:r>
      <w:r>
        <w:rPr>
          <w:rFonts w:ascii="Times New Roman" w:hAnsi="Times New Roman"/>
          <w:sz w:val="24"/>
        </w:rPr>
        <w:tab/>
        <w:t xml:space="preserve">Reporting entities implementing any necessary adjustments to their privacy practices, procedures or systems to ensure continued compliance with the APPs. This </w:t>
      </w:r>
      <w:proofErr w:type="gramStart"/>
      <w:r>
        <w:rPr>
          <w:rFonts w:ascii="Times New Roman" w:hAnsi="Times New Roman"/>
          <w:sz w:val="24"/>
        </w:rPr>
        <w:t>is important</w:t>
      </w:r>
      <w:proofErr w:type="gramEnd"/>
      <w:r>
        <w:rPr>
          <w:rFonts w:ascii="Times New Roman" w:hAnsi="Times New Roman"/>
          <w:sz w:val="24"/>
        </w:rPr>
        <w:t xml:space="preserve"> in relation to non-individual customers who have associated individuals who may not normally be notified about collection of their personal information by the reporting entity, nor have the opportunity to consent to such collection;</w:t>
      </w:r>
    </w:p>
    <w:p w14:paraId="0D6C9B87" w14:textId="77777777" w:rsidR="00072AE4" w:rsidRDefault="00072AE4" w:rsidP="00E46142">
      <w:pPr>
        <w:rPr>
          <w:rFonts w:ascii="Times New Roman" w:hAnsi="Times New Roman"/>
          <w:sz w:val="24"/>
        </w:rPr>
      </w:pPr>
    </w:p>
    <w:p w14:paraId="37EEDFAD" w14:textId="59AA0013" w:rsidR="00072AE4" w:rsidRDefault="00072AE4" w:rsidP="00E46142">
      <w:pPr>
        <w:ind w:left="2127" w:hanging="709"/>
        <w:rPr>
          <w:rFonts w:ascii="Times New Roman" w:hAnsi="Times New Roman"/>
          <w:sz w:val="24"/>
        </w:rPr>
      </w:pPr>
      <w:r>
        <w:rPr>
          <w:rFonts w:ascii="Times New Roman" w:hAnsi="Times New Roman"/>
          <w:sz w:val="24"/>
        </w:rPr>
        <w:t>(b)</w:t>
      </w:r>
      <w:r>
        <w:rPr>
          <w:rFonts w:ascii="Times New Roman" w:hAnsi="Times New Roman"/>
          <w:sz w:val="24"/>
        </w:rPr>
        <w:tab/>
      </w:r>
      <w:r w:rsidR="000E4789">
        <w:rPr>
          <w:rFonts w:ascii="Times New Roman" w:hAnsi="Times New Roman"/>
          <w:sz w:val="24"/>
        </w:rPr>
        <w:t>T</w:t>
      </w:r>
      <w:r>
        <w:rPr>
          <w:rFonts w:ascii="Times New Roman" w:hAnsi="Times New Roman"/>
          <w:sz w:val="24"/>
        </w:rPr>
        <w:t>he inclusion of the following note in Chapter 4 which highlights the relevant privacy obligations:</w:t>
      </w:r>
    </w:p>
    <w:p w14:paraId="7B647BCE" w14:textId="77777777" w:rsidR="00072AE4" w:rsidRDefault="00072AE4" w:rsidP="00E46142">
      <w:pPr>
        <w:rPr>
          <w:rFonts w:ascii="Times New Roman" w:hAnsi="Times New Roman"/>
          <w:sz w:val="24"/>
        </w:rPr>
      </w:pPr>
    </w:p>
    <w:p w14:paraId="53F9D0A7" w14:textId="4528B274" w:rsidR="00072AE4" w:rsidRPr="005257D7" w:rsidRDefault="00072AE4" w:rsidP="00E46142">
      <w:pPr>
        <w:ind w:left="2127"/>
        <w:rPr>
          <w:rFonts w:ascii="Times New Roman" w:hAnsi="Times New Roman"/>
          <w:i/>
          <w:sz w:val="24"/>
        </w:rPr>
      </w:pPr>
      <w:r w:rsidRPr="005257D7">
        <w:rPr>
          <w:rFonts w:ascii="Times New Roman" w:hAnsi="Times New Roman"/>
          <w:i/>
          <w:sz w:val="24"/>
        </w:rPr>
        <w:t xml:space="preserve">Note: </w:t>
      </w:r>
      <w:r w:rsidR="005257D7" w:rsidRPr="005257D7">
        <w:rPr>
          <w:rFonts w:ascii="Times New Roman" w:hAnsi="Times New Roman"/>
          <w:i/>
          <w:sz w:val="24"/>
        </w:rPr>
        <w:t>Reporting entities that collect information about a customer from a third party will need to consider their obligation under subclause 3.6 of the Australian Privacy Principles, which requires that personal information about an individual must be collected only from the individual unless it is unreasonable or impractical to do so and where it is reasonably necessary for the reporting entity’s functions or activities;</w:t>
      </w:r>
    </w:p>
    <w:p w14:paraId="6BBCFDFD" w14:textId="77777777" w:rsidR="005257D7" w:rsidRDefault="005257D7" w:rsidP="00E46142">
      <w:pPr>
        <w:rPr>
          <w:rFonts w:ascii="Times New Roman" w:hAnsi="Times New Roman"/>
          <w:sz w:val="24"/>
        </w:rPr>
      </w:pPr>
    </w:p>
    <w:p w14:paraId="4974920B" w14:textId="74DB50D7" w:rsidR="00B66BFC" w:rsidRDefault="005257D7" w:rsidP="00E46142">
      <w:pPr>
        <w:ind w:left="2127" w:hanging="709"/>
        <w:rPr>
          <w:rFonts w:ascii="Times New Roman" w:hAnsi="Times New Roman"/>
          <w:sz w:val="24"/>
        </w:rPr>
      </w:pPr>
      <w:r>
        <w:rPr>
          <w:rFonts w:ascii="Times New Roman" w:hAnsi="Times New Roman"/>
          <w:sz w:val="24"/>
        </w:rPr>
        <w:t>(c)</w:t>
      </w:r>
      <w:r>
        <w:rPr>
          <w:rFonts w:ascii="Times New Roman" w:hAnsi="Times New Roman"/>
          <w:sz w:val="24"/>
        </w:rPr>
        <w:tab/>
        <w:t>AUSTRAC issuing guidance to industry which discusses the amendments to Chapter 4, explains the interaction with APP3 (and other APPs generally) and highlights the importance of complying with APP 3.6 when collecting information from sources other than the individual concerned;</w:t>
      </w:r>
    </w:p>
    <w:p w14:paraId="46FAA265" w14:textId="77777777" w:rsidR="005257D7" w:rsidRDefault="005257D7" w:rsidP="00E46142">
      <w:pPr>
        <w:rPr>
          <w:rFonts w:ascii="Times New Roman" w:hAnsi="Times New Roman"/>
          <w:sz w:val="24"/>
        </w:rPr>
      </w:pPr>
    </w:p>
    <w:p w14:paraId="3B65101E" w14:textId="57EE69DB" w:rsidR="005257D7" w:rsidRDefault="005257D7" w:rsidP="00E46142">
      <w:pPr>
        <w:ind w:left="2127" w:hanging="709"/>
        <w:rPr>
          <w:rFonts w:ascii="Times New Roman" w:hAnsi="Times New Roman"/>
          <w:sz w:val="24"/>
        </w:rPr>
      </w:pPr>
      <w:r>
        <w:rPr>
          <w:rFonts w:ascii="Times New Roman" w:hAnsi="Times New Roman"/>
          <w:sz w:val="24"/>
        </w:rPr>
        <w:t>(d)</w:t>
      </w:r>
      <w:r>
        <w:rPr>
          <w:rFonts w:ascii="Times New Roman" w:hAnsi="Times New Roman"/>
          <w:sz w:val="24"/>
        </w:rPr>
        <w:tab/>
      </w:r>
      <w:r w:rsidR="000E4789">
        <w:rPr>
          <w:rFonts w:ascii="Times New Roman" w:hAnsi="Times New Roman"/>
          <w:sz w:val="24"/>
        </w:rPr>
        <w:t>N</w:t>
      </w:r>
      <w:r>
        <w:rPr>
          <w:rFonts w:ascii="Times New Roman" w:hAnsi="Times New Roman"/>
          <w:sz w:val="24"/>
        </w:rPr>
        <w:t xml:space="preserve">oting the above </w:t>
      </w:r>
      <w:r w:rsidR="00E46142">
        <w:rPr>
          <w:rFonts w:ascii="Times New Roman" w:hAnsi="Times New Roman"/>
          <w:sz w:val="24"/>
        </w:rPr>
        <w:t>recommendations</w:t>
      </w:r>
      <w:r>
        <w:rPr>
          <w:rFonts w:ascii="Times New Roman" w:hAnsi="Times New Roman"/>
          <w:sz w:val="24"/>
        </w:rPr>
        <w:t xml:space="preserve"> in the ‘Statement of Compatibility with Human Rights’ as required by Part 3 of the </w:t>
      </w:r>
      <w:r w:rsidRPr="00E46142">
        <w:rPr>
          <w:rFonts w:ascii="Times New Roman" w:hAnsi="Times New Roman"/>
          <w:i/>
          <w:sz w:val="24"/>
        </w:rPr>
        <w:t xml:space="preserve">Human Rights (Parliamentary </w:t>
      </w:r>
      <w:r w:rsidR="00E46142" w:rsidRPr="00E46142">
        <w:rPr>
          <w:rFonts w:ascii="Times New Roman" w:hAnsi="Times New Roman"/>
          <w:i/>
          <w:sz w:val="24"/>
        </w:rPr>
        <w:t>Scrutiny</w:t>
      </w:r>
      <w:r w:rsidRPr="00E46142">
        <w:rPr>
          <w:rFonts w:ascii="Times New Roman" w:hAnsi="Times New Roman"/>
          <w:i/>
          <w:sz w:val="24"/>
        </w:rPr>
        <w:t>) Act 2011</w:t>
      </w:r>
      <w:r>
        <w:rPr>
          <w:rFonts w:ascii="Times New Roman" w:hAnsi="Times New Roman"/>
          <w:sz w:val="24"/>
        </w:rPr>
        <w:t>, when the proposed amendments are finalised.</w:t>
      </w:r>
    </w:p>
    <w:p w14:paraId="0C5460A3" w14:textId="77777777" w:rsidR="005257D7" w:rsidRDefault="005257D7" w:rsidP="00E46142">
      <w:pPr>
        <w:rPr>
          <w:rFonts w:ascii="Times New Roman" w:hAnsi="Times New Roman"/>
          <w:sz w:val="24"/>
        </w:rPr>
      </w:pPr>
    </w:p>
    <w:p w14:paraId="1470D951" w14:textId="484DB052" w:rsidR="00E46142" w:rsidRPr="00E46142" w:rsidRDefault="00E46142" w:rsidP="00E46142">
      <w:pPr>
        <w:rPr>
          <w:rFonts w:ascii="Times New Roman" w:hAnsi="Times New Roman"/>
          <w:sz w:val="24"/>
        </w:rPr>
      </w:pPr>
      <w:r>
        <w:rPr>
          <w:rFonts w:ascii="Times New Roman" w:hAnsi="Times New Roman"/>
          <w:sz w:val="24"/>
        </w:rPr>
        <w:t xml:space="preserve">Recommendation (b) has been included in </w:t>
      </w:r>
      <w:r w:rsidRPr="00E46142">
        <w:rPr>
          <w:rFonts w:ascii="Times New Roman" w:hAnsi="Times New Roman"/>
          <w:i/>
          <w:sz w:val="24"/>
        </w:rPr>
        <w:t>Anti-Money Laundering and Counter-Terrorism Financing Rules Amendment Instrument 2016 (No. 1)</w:t>
      </w:r>
      <w:proofErr w:type="gramStart"/>
      <w:r>
        <w:rPr>
          <w:rFonts w:ascii="Times New Roman" w:hAnsi="Times New Roman"/>
          <w:sz w:val="24"/>
        </w:rPr>
        <w:t>,</w:t>
      </w:r>
      <w:proofErr w:type="gramEnd"/>
      <w:r>
        <w:rPr>
          <w:rFonts w:ascii="Times New Roman" w:hAnsi="Times New Roman"/>
          <w:sz w:val="24"/>
        </w:rPr>
        <w:t xml:space="preserve"> Recommendation (c) will be developed and subseq</w:t>
      </w:r>
      <w:bookmarkStart w:id="0" w:name="_GoBack"/>
      <w:bookmarkEnd w:id="0"/>
      <w:r>
        <w:rPr>
          <w:rFonts w:ascii="Times New Roman" w:hAnsi="Times New Roman"/>
          <w:sz w:val="24"/>
        </w:rPr>
        <w:t xml:space="preserve">uently published for public consultation after the making and registration of </w:t>
      </w:r>
      <w:r w:rsidRPr="00E46142">
        <w:rPr>
          <w:rFonts w:ascii="Times New Roman" w:hAnsi="Times New Roman"/>
          <w:i/>
          <w:sz w:val="24"/>
        </w:rPr>
        <w:t>Anti-Money Laundering and Counter-Terrorism Financing Rules Amendment Instrument 2016 (No. 1)</w:t>
      </w:r>
      <w:r>
        <w:rPr>
          <w:rFonts w:ascii="Times New Roman" w:hAnsi="Times New Roman"/>
          <w:sz w:val="24"/>
        </w:rPr>
        <w:t xml:space="preserve">, while Recommendation (d) has been included in the Explanatory Statement. </w:t>
      </w:r>
    </w:p>
    <w:p w14:paraId="7E24BC0E" w14:textId="68A4C9BE" w:rsidR="00E46142" w:rsidRDefault="00E46142" w:rsidP="00E46142">
      <w:pPr>
        <w:rPr>
          <w:rFonts w:ascii="Times New Roman" w:hAnsi="Times New Roman"/>
          <w:sz w:val="24"/>
        </w:rPr>
      </w:pPr>
    </w:p>
    <w:p w14:paraId="2411725E" w14:textId="200948F0" w:rsidR="00D852BA" w:rsidRDefault="003E53C8" w:rsidP="00E46142">
      <w:pPr>
        <w:rPr>
          <w:rFonts w:ascii="Times New Roman" w:hAnsi="Times New Roman"/>
          <w:b/>
          <w:sz w:val="24"/>
        </w:rPr>
      </w:pPr>
      <w:r w:rsidRPr="003E53C8">
        <w:rPr>
          <w:rFonts w:ascii="Times New Roman" w:hAnsi="Times New Roman"/>
          <w:b/>
          <w:sz w:val="24"/>
        </w:rPr>
        <w:t>Conclusion</w:t>
      </w:r>
    </w:p>
    <w:p w14:paraId="17F9BF91" w14:textId="77777777" w:rsidR="00E10C9F" w:rsidRPr="003E53C8" w:rsidRDefault="00E10C9F" w:rsidP="00E46142">
      <w:pPr>
        <w:rPr>
          <w:rFonts w:ascii="Times New Roman" w:hAnsi="Times New Roman"/>
          <w:b/>
          <w:sz w:val="24"/>
        </w:rPr>
      </w:pPr>
    </w:p>
    <w:p w14:paraId="4C5D3F63" w14:textId="7D546AB5" w:rsidR="00D852BA" w:rsidRDefault="00D852BA" w:rsidP="00E46142">
      <w:pPr>
        <w:rPr>
          <w:rFonts w:ascii="Times New Roman" w:hAnsi="Times New Roman"/>
          <w:sz w:val="24"/>
        </w:rPr>
      </w:pPr>
      <w:r>
        <w:rPr>
          <w:rFonts w:ascii="Times New Roman" w:hAnsi="Times New Roman"/>
          <w:sz w:val="24"/>
        </w:rPr>
        <w:t xml:space="preserve">This Instrument is </w:t>
      </w:r>
      <w:r w:rsidR="00237735">
        <w:rPr>
          <w:rFonts w:ascii="Times New Roman" w:hAnsi="Times New Roman"/>
          <w:sz w:val="24"/>
        </w:rPr>
        <w:t xml:space="preserve">therefore </w:t>
      </w:r>
      <w:r>
        <w:rPr>
          <w:rFonts w:ascii="Times New Roman" w:hAnsi="Times New Roman"/>
          <w:sz w:val="24"/>
        </w:rPr>
        <w:t>compatible with human rights as it does not raise any human rights issues.</w:t>
      </w:r>
    </w:p>
    <w:p w14:paraId="30559E7E" w14:textId="77777777" w:rsidR="00D852BA" w:rsidRDefault="00D852BA" w:rsidP="00E46142">
      <w:pPr>
        <w:rPr>
          <w:rFonts w:ascii="Times New Roman" w:hAnsi="Times New Roman"/>
          <w:sz w:val="24"/>
        </w:rPr>
      </w:pPr>
    </w:p>
    <w:p w14:paraId="5FAE2655" w14:textId="77777777" w:rsidR="003340DB" w:rsidRDefault="003340DB" w:rsidP="00E46142">
      <w:pPr>
        <w:rPr>
          <w:rFonts w:ascii="Times New Roman" w:hAnsi="Times New Roman"/>
          <w:sz w:val="24"/>
        </w:rPr>
      </w:pPr>
    </w:p>
    <w:p w14:paraId="47D3780D" w14:textId="77777777" w:rsidR="00FF59F3" w:rsidRDefault="00FF59F3" w:rsidP="00E46142">
      <w:pPr>
        <w:rPr>
          <w:rFonts w:ascii="Times New Roman" w:hAnsi="Times New Roman"/>
          <w:sz w:val="24"/>
        </w:rPr>
      </w:pPr>
    </w:p>
    <w:p w14:paraId="37016D8F" w14:textId="5A817E7B" w:rsidR="003340DB" w:rsidRDefault="00442258" w:rsidP="00E46142">
      <w:pPr>
        <w:rPr>
          <w:rFonts w:ascii="Times New Roman" w:hAnsi="Times New Roman"/>
          <w:sz w:val="24"/>
        </w:rPr>
      </w:pPr>
      <w:r>
        <w:rPr>
          <w:rFonts w:ascii="Times New Roman" w:hAnsi="Times New Roman"/>
          <w:sz w:val="24"/>
        </w:rPr>
        <w:t>[Signed]</w:t>
      </w:r>
    </w:p>
    <w:p w14:paraId="4CD4E941" w14:textId="34F88AC6" w:rsidR="00D65393" w:rsidRPr="009D783F" w:rsidRDefault="009D783F" w:rsidP="00E46142">
      <w:pPr>
        <w:rPr>
          <w:rFonts w:ascii="Times New Roman" w:hAnsi="Times New Roman"/>
          <w:sz w:val="24"/>
        </w:rPr>
      </w:pPr>
      <w:r w:rsidRPr="009D783F">
        <w:rPr>
          <w:rFonts w:ascii="Times New Roman" w:hAnsi="Times New Roman"/>
          <w:sz w:val="24"/>
        </w:rPr>
        <w:t xml:space="preserve">Paul Jevtovic </w:t>
      </w:r>
      <w:r w:rsidRPr="009D783F">
        <w:rPr>
          <w:rFonts w:ascii="Times New Roman" w:hAnsi="Times New Roman"/>
          <w:sz w:val="20"/>
          <w:szCs w:val="20"/>
        </w:rPr>
        <w:t>APM</w:t>
      </w:r>
    </w:p>
    <w:p w14:paraId="1F054871" w14:textId="71E107EA" w:rsidR="009531E4" w:rsidRDefault="00640C28" w:rsidP="00E46142">
      <w:pPr>
        <w:rPr>
          <w:rFonts w:ascii="Times New Roman" w:hAnsi="Times New Roman"/>
          <w:sz w:val="24"/>
        </w:rPr>
      </w:pPr>
      <w:r>
        <w:rPr>
          <w:rFonts w:ascii="Times New Roman" w:hAnsi="Times New Roman"/>
          <w:sz w:val="24"/>
        </w:rPr>
        <w:t>Chief Executive Officer</w:t>
      </w:r>
    </w:p>
    <w:p w14:paraId="28B8EB1F" w14:textId="77777777" w:rsidR="00D65393" w:rsidRDefault="00640C28" w:rsidP="00E46142">
      <w:pPr>
        <w:rPr>
          <w:rFonts w:ascii="Times New Roman" w:hAnsi="Times New Roman"/>
          <w:sz w:val="24"/>
        </w:rPr>
      </w:pPr>
      <w:r>
        <w:rPr>
          <w:rFonts w:ascii="Times New Roman" w:hAnsi="Times New Roman"/>
          <w:sz w:val="24"/>
        </w:rPr>
        <w:t>Australian Transaction Reports and Analysis Centre</w:t>
      </w:r>
    </w:p>
    <w:sectPr w:rsidR="00D65393" w:rsidSect="000E4789">
      <w:footerReference w:type="even" r:id="rId10"/>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3691" w14:textId="77777777" w:rsidR="008D0F88" w:rsidRDefault="008D0F88">
      <w:r>
        <w:separator/>
      </w:r>
    </w:p>
  </w:endnote>
  <w:endnote w:type="continuationSeparator" w:id="0">
    <w:p w14:paraId="2BE0A39C" w14:textId="77777777" w:rsidR="008D0F88" w:rsidRDefault="008D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BEE1" w14:textId="77777777" w:rsidR="00DD4400" w:rsidRDefault="00DD4400"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B9ADF" w14:textId="77777777" w:rsidR="00DD4400" w:rsidRDefault="00DD4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0745" w14:textId="77777777" w:rsidR="00DD4400" w:rsidRDefault="00DD4400"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258">
      <w:rPr>
        <w:rStyle w:val="PageNumber"/>
        <w:noProof/>
      </w:rPr>
      <w:t>12</w:t>
    </w:r>
    <w:r>
      <w:rPr>
        <w:rStyle w:val="PageNumber"/>
      </w:rPr>
      <w:fldChar w:fldCharType="end"/>
    </w:r>
  </w:p>
  <w:p w14:paraId="1D4C9A6A" w14:textId="77777777" w:rsidR="00DD4400" w:rsidRDefault="00DD4400" w:rsidP="003B75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00752" w14:textId="77777777" w:rsidR="008D0F88" w:rsidRDefault="008D0F88">
      <w:r>
        <w:separator/>
      </w:r>
    </w:p>
  </w:footnote>
  <w:footnote w:type="continuationSeparator" w:id="0">
    <w:p w14:paraId="29A28EDF" w14:textId="77777777" w:rsidR="008D0F88" w:rsidRDefault="008D0F88">
      <w:r>
        <w:continuationSeparator/>
      </w:r>
    </w:p>
  </w:footnote>
  <w:footnote w:id="1">
    <w:p w14:paraId="486EF174" w14:textId="77777777" w:rsidR="002D4E09" w:rsidRDefault="002D4E09" w:rsidP="002D4E09">
      <w:pPr>
        <w:pStyle w:val="FootnoteText"/>
      </w:pPr>
      <w:r>
        <w:rPr>
          <w:rStyle w:val="FootnoteReference"/>
        </w:rPr>
        <w:footnoteRef/>
      </w:r>
      <w:r>
        <w:t xml:space="preserve"> </w:t>
      </w:r>
      <w:proofErr w:type="gramStart"/>
      <w:r w:rsidRPr="003A6391">
        <w:rPr>
          <w:i/>
        </w:rPr>
        <w:t>Proposed Reform to Strengthen Customer Due Diligence</w:t>
      </w:r>
      <w:r>
        <w:t>, AUSTRAC, May 2014, p ix.</w:t>
      </w:r>
      <w:proofErr w:type="gramEnd"/>
      <w:r>
        <w:t xml:space="preserve"> </w:t>
      </w:r>
    </w:p>
  </w:footnote>
  <w:footnote w:id="2">
    <w:p w14:paraId="5348AF0E" w14:textId="74DEB919" w:rsidR="00C12A6B" w:rsidRDefault="00C12A6B">
      <w:pPr>
        <w:pStyle w:val="FootnoteText"/>
      </w:pPr>
      <w:r>
        <w:rPr>
          <w:rStyle w:val="FootnoteReference"/>
        </w:rPr>
        <w:footnoteRef/>
      </w:r>
      <w:r>
        <w:t xml:space="preserve"> </w:t>
      </w:r>
      <w:proofErr w:type="gramStart"/>
      <w:r w:rsidRPr="003A6391">
        <w:rPr>
          <w:i/>
        </w:rPr>
        <w:t>Proposed Reform to Strengthen Customer Due Diligence</w:t>
      </w:r>
      <w:r>
        <w:t>, AUSTRAC, May 2014, p ix.</w:t>
      </w:r>
      <w:proofErr w:type="gramEnd"/>
    </w:p>
  </w:footnote>
  <w:footnote w:id="3">
    <w:p w14:paraId="33592797" w14:textId="6868BA94" w:rsidR="00526E30" w:rsidRPr="00FF59F3" w:rsidRDefault="00C12A6B" w:rsidP="00C12A6B">
      <w:pPr>
        <w:pStyle w:val="FootnoteText"/>
      </w:pPr>
      <w:r>
        <w:rPr>
          <w:rStyle w:val="FootnoteReference"/>
        </w:rPr>
        <w:footnoteRef/>
      </w:r>
      <w:r>
        <w:t xml:space="preserve"> </w:t>
      </w:r>
      <w:r w:rsidR="000966D5" w:rsidRPr="000966D5">
        <w:rPr>
          <w:i/>
        </w:rPr>
        <w:t>Costings: electronic safe harbour procedures</w:t>
      </w:r>
      <w:r w:rsidR="00FF59F3" w:rsidRPr="00FF59F3">
        <w:t>,</w:t>
      </w:r>
      <w:r w:rsidR="00FF59F3">
        <w:t xml:space="preserve"> AUSTRAC, June 2016.</w:t>
      </w:r>
    </w:p>
  </w:footnote>
  <w:footnote w:id="4">
    <w:p w14:paraId="4073C988" w14:textId="65DC1B67" w:rsidR="000966D5" w:rsidRPr="000966D5" w:rsidRDefault="000966D5">
      <w:pPr>
        <w:pStyle w:val="FootnoteText"/>
        <w:rPr>
          <w:i/>
        </w:rPr>
      </w:pPr>
      <w:r>
        <w:rPr>
          <w:rStyle w:val="FootnoteReference"/>
        </w:rPr>
        <w:footnoteRef/>
      </w:r>
      <w:r>
        <w:t xml:space="preserve"> </w:t>
      </w:r>
      <w:r w:rsidRPr="000966D5">
        <w:rPr>
          <w:i/>
        </w:rPr>
        <w:t>Privacy Impact Assessment – Amendments to Chapter 4 of the AML/CTF Rules</w:t>
      </w:r>
      <w:r w:rsidR="00FF59F3">
        <w:t>, AUSTRAC, November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376"/>
    <w:multiLevelType w:val="hybridMultilevel"/>
    <w:tmpl w:val="7186B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E6128E"/>
    <w:multiLevelType w:val="hybridMultilevel"/>
    <w:tmpl w:val="1206C4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ECC6574"/>
    <w:multiLevelType w:val="hybridMultilevel"/>
    <w:tmpl w:val="D7DE0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E624E74"/>
    <w:multiLevelType w:val="hybridMultilevel"/>
    <w:tmpl w:val="4210F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1D645B1"/>
    <w:multiLevelType w:val="hybridMultilevel"/>
    <w:tmpl w:val="AB08C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24D1A9C"/>
    <w:multiLevelType w:val="hybridMultilevel"/>
    <w:tmpl w:val="EF94A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B57D83"/>
    <w:multiLevelType w:val="hybridMultilevel"/>
    <w:tmpl w:val="732E47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C420F2D"/>
    <w:multiLevelType w:val="hybridMultilevel"/>
    <w:tmpl w:val="CF4423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C666E3C"/>
    <w:multiLevelType w:val="hybridMultilevel"/>
    <w:tmpl w:val="A7B2DD9E"/>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2D0B2EBB"/>
    <w:multiLevelType w:val="hybridMultilevel"/>
    <w:tmpl w:val="B7F24F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E2C7AC5"/>
    <w:multiLevelType w:val="hybridMultilevel"/>
    <w:tmpl w:val="4D5ADB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E3A2D8E"/>
    <w:multiLevelType w:val="hybridMultilevel"/>
    <w:tmpl w:val="AFE809CE"/>
    <w:lvl w:ilvl="0" w:tplc="3F841FA6">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EF63D87"/>
    <w:multiLevelType w:val="hybridMultilevel"/>
    <w:tmpl w:val="126CF65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C46DD2"/>
    <w:multiLevelType w:val="hybridMultilevel"/>
    <w:tmpl w:val="BB3CA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6D8479D"/>
    <w:multiLevelType w:val="hybridMultilevel"/>
    <w:tmpl w:val="30742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847B57"/>
    <w:multiLevelType w:val="hybridMultilevel"/>
    <w:tmpl w:val="FEB4C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5A3D73"/>
    <w:multiLevelType w:val="hybridMultilevel"/>
    <w:tmpl w:val="1C3A1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3EF15669"/>
    <w:multiLevelType w:val="multilevel"/>
    <w:tmpl w:val="A2B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94D72"/>
    <w:multiLevelType w:val="hybridMultilevel"/>
    <w:tmpl w:val="BC488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AD34857"/>
    <w:multiLevelType w:val="hybridMultilevel"/>
    <w:tmpl w:val="D5EC7566"/>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21">
    <w:nsid w:val="4B553169"/>
    <w:multiLevelType w:val="hybridMultilevel"/>
    <w:tmpl w:val="98BCD870"/>
    <w:lvl w:ilvl="0" w:tplc="AB5A39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1D2DBF"/>
    <w:multiLevelType w:val="hybridMultilevel"/>
    <w:tmpl w:val="6EFC4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F5B2156"/>
    <w:multiLevelType w:val="hybridMultilevel"/>
    <w:tmpl w:val="3DFE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0104C75"/>
    <w:multiLevelType w:val="hybridMultilevel"/>
    <w:tmpl w:val="B4BE85F2"/>
    <w:lvl w:ilvl="0" w:tplc="0C090001">
      <w:start w:val="1"/>
      <w:numFmt w:val="bullet"/>
      <w:lvlText w:val=""/>
      <w:lvlJc w:val="left"/>
      <w:pPr>
        <w:tabs>
          <w:tab w:val="num" w:pos="1080"/>
        </w:tabs>
        <w:ind w:left="1080" w:hanging="360"/>
      </w:pPr>
      <w:rPr>
        <w:rFonts w:ascii="Symbol" w:hAnsi="Symbol" w:hint="default"/>
        <w:b w:val="0"/>
        <w:i w:val="0"/>
        <w:sz w:val="24"/>
        <w:szCs w:val="24"/>
      </w:rPr>
    </w:lvl>
    <w:lvl w:ilvl="1" w:tplc="F6606D1A">
      <w:start w:val="1"/>
      <w:numFmt w:val="bullet"/>
      <w:lvlText w:val=""/>
      <w:lvlJc w:val="left"/>
      <w:pPr>
        <w:tabs>
          <w:tab w:val="num" w:pos="1440"/>
        </w:tabs>
        <w:ind w:left="1610" w:hanging="170"/>
      </w:pPr>
      <w:rPr>
        <w:rFonts w:ascii="Symbol" w:hAnsi="Symbol" w:hint="default"/>
        <w:sz w:val="24"/>
        <w:szCs w:val="24"/>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5650730D"/>
    <w:multiLevelType w:val="hybridMultilevel"/>
    <w:tmpl w:val="22D00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F0709D"/>
    <w:multiLevelType w:val="hybridMultilevel"/>
    <w:tmpl w:val="298AF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7730E36"/>
    <w:multiLevelType w:val="hybridMultilevel"/>
    <w:tmpl w:val="9A925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A122DBD"/>
    <w:multiLevelType w:val="hybridMultilevel"/>
    <w:tmpl w:val="C66A4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E80D0D"/>
    <w:multiLevelType w:val="hybridMultilevel"/>
    <w:tmpl w:val="C68ECB1A"/>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03">
      <w:start w:val="1"/>
      <w:numFmt w:val="bullet"/>
      <w:lvlText w:val="o"/>
      <w:lvlJc w:val="left"/>
      <w:pPr>
        <w:tabs>
          <w:tab w:val="num" w:pos="2160"/>
        </w:tabs>
        <w:ind w:left="2160" w:hanging="18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8BC4CD1"/>
    <w:multiLevelType w:val="hybridMultilevel"/>
    <w:tmpl w:val="6BA86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C01339E"/>
    <w:multiLevelType w:val="hybridMultilevel"/>
    <w:tmpl w:val="D6806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A831A7"/>
    <w:multiLevelType w:val="hybridMultilevel"/>
    <w:tmpl w:val="466CE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EC26AD8"/>
    <w:multiLevelType w:val="hybridMultilevel"/>
    <w:tmpl w:val="802E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A704A6"/>
    <w:multiLevelType w:val="hybridMultilevel"/>
    <w:tmpl w:val="F3E655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nsid w:val="7D2124EF"/>
    <w:multiLevelType w:val="hybridMultilevel"/>
    <w:tmpl w:val="5FF0F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DA61558"/>
    <w:multiLevelType w:val="hybridMultilevel"/>
    <w:tmpl w:val="26EC75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9"/>
  </w:num>
  <w:num w:numId="2">
    <w:abstractNumId w:val="7"/>
  </w:num>
  <w:num w:numId="3">
    <w:abstractNumId w:val="20"/>
  </w:num>
  <w:num w:numId="4">
    <w:abstractNumId w:val="24"/>
  </w:num>
  <w:num w:numId="5">
    <w:abstractNumId w:val="36"/>
  </w:num>
  <w:num w:numId="6">
    <w:abstractNumId w:val="12"/>
  </w:num>
  <w:num w:numId="7">
    <w:abstractNumId w:val="28"/>
  </w:num>
  <w:num w:numId="8">
    <w:abstractNumId w:val="10"/>
  </w:num>
  <w:num w:numId="9">
    <w:abstractNumId w:val="16"/>
  </w:num>
  <w:num w:numId="10">
    <w:abstractNumId w:val="14"/>
  </w:num>
  <w:num w:numId="11">
    <w:abstractNumId w:val="15"/>
  </w:num>
  <w:num w:numId="12">
    <w:abstractNumId w:val="32"/>
  </w:num>
  <w:num w:numId="13">
    <w:abstractNumId w:val="21"/>
  </w:num>
  <w:num w:numId="14">
    <w:abstractNumId w:val="26"/>
  </w:num>
  <w:num w:numId="15">
    <w:abstractNumId w:val="3"/>
  </w:num>
  <w:num w:numId="16">
    <w:abstractNumId w:val="19"/>
  </w:num>
  <w:num w:numId="17">
    <w:abstractNumId w:val="27"/>
  </w:num>
  <w:num w:numId="18">
    <w:abstractNumId w:val="22"/>
  </w:num>
  <w:num w:numId="19">
    <w:abstractNumId w:val="4"/>
  </w:num>
  <w:num w:numId="20">
    <w:abstractNumId w:val="8"/>
  </w:num>
  <w:num w:numId="21">
    <w:abstractNumId w:val="13"/>
  </w:num>
  <w:num w:numId="22">
    <w:abstractNumId w:val="1"/>
  </w:num>
  <w:num w:numId="23">
    <w:abstractNumId w:val="6"/>
  </w:num>
  <w:num w:numId="24">
    <w:abstractNumId w:val="35"/>
  </w:num>
  <w:num w:numId="25">
    <w:abstractNumId w:val="23"/>
  </w:num>
  <w:num w:numId="26">
    <w:abstractNumId w:val="5"/>
  </w:num>
  <w:num w:numId="27">
    <w:abstractNumId w:val="25"/>
  </w:num>
  <w:num w:numId="28">
    <w:abstractNumId w:val="30"/>
  </w:num>
  <w:num w:numId="29">
    <w:abstractNumId w:val="34"/>
  </w:num>
  <w:num w:numId="30">
    <w:abstractNumId w:val="2"/>
  </w:num>
  <w:num w:numId="31">
    <w:abstractNumId w:val="0"/>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3"/>
  </w:num>
  <w:num w:numId="36">
    <w:abstractNumId w:val="18"/>
  </w:num>
  <w:num w:numId="3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103E5"/>
    <w:rsid w:val="00013686"/>
    <w:rsid w:val="00014714"/>
    <w:rsid w:val="000207FF"/>
    <w:rsid w:val="00023456"/>
    <w:rsid w:val="00024C66"/>
    <w:rsid w:val="00027747"/>
    <w:rsid w:val="00034C1B"/>
    <w:rsid w:val="00034E33"/>
    <w:rsid w:val="00034FE8"/>
    <w:rsid w:val="00035795"/>
    <w:rsid w:val="000430D4"/>
    <w:rsid w:val="00046452"/>
    <w:rsid w:val="00050CE5"/>
    <w:rsid w:val="00057141"/>
    <w:rsid w:val="000572EA"/>
    <w:rsid w:val="00057C98"/>
    <w:rsid w:val="0006328D"/>
    <w:rsid w:val="00066948"/>
    <w:rsid w:val="000724F4"/>
    <w:rsid w:val="00072AE4"/>
    <w:rsid w:val="00075472"/>
    <w:rsid w:val="00076ECE"/>
    <w:rsid w:val="0008191B"/>
    <w:rsid w:val="00083982"/>
    <w:rsid w:val="000843BC"/>
    <w:rsid w:val="00084885"/>
    <w:rsid w:val="00084DF8"/>
    <w:rsid w:val="00091B44"/>
    <w:rsid w:val="0009363E"/>
    <w:rsid w:val="00095D3F"/>
    <w:rsid w:val="000966D5"/>
    <w:rsid w:val="00097958"/>
    <w:rsid w:val="000A0EC8"/>
    <w:rsid w:val="000A2974"/>
    <w:rsid w:val="000A448C"/>
    <w:rsid w:val="000A71FF"/>
    <w:rsid w:val="000B07C2"/>
    <w:rsid w:val="000B21B1"/>
    <w:rsid w:val="000B3215"/>
    <w:rsid w:val="000B3D22"/>
    <w:rsid w:val="000B68EB"/>
    <w:rsid w:val="000C4CBB"/>
    <w:rsid w:val="000C4DEC"/>
    <w:rsid w:val="000C5E2A"/>
    <w:rsid w:val="000D143A"/>
    <w:rsid w:val="000D1DA2"/>
    <w:rsid w:val="000D261E"/>
    <w:rsid w:val="000D3258"/>
    <w:rsid w:val="000D6499"/>
    <w:rsid w:val="000E2E6E"/>
    <w:rsid w:val="000E3128"/>
    <w:rsid w:val="000E3E58"/>
    <w:rsid w:val="000E43A6"/>
    <w:rsid w:val="000E4789"/>
    <w:rsid w:val="000E63EE"/>
    <w:rsid w:val="000F0B95"/>
    <w:rsid w:val="000F2C9C"/>
    <w:rsid w:val="00100A29"/>
    <w:rsid w:val="00100E9D"/>
    <w:rsid w:val="00101CDF"/>
    <w:rsid w:val="00103CA0"/>
    <w:rsid w:val="0010649D"/>
    <w:rsid w:val="001138C2"/>
    <w:rsid w:val="001149C4"/>
    <w:rsid w:val="00115CA1"/>
    <w:rsid w:val="001161BA"/>
    <w:rsid w:val="0011654D"/>
    <w:rsid w:val="001212F6"/>
    <w:rsid w:val="00121FC3"/>
    <w:rsid w:val="00122D9B"/>
    <w:rsid w:val="00125F85"/>
    <w:rsid w:val="0013429C"/>
    <w:rsid w:val="00134CA6"/>
    <w:rsid w:val="00137E8F"/>
    <w:rsid w:val="00140CE6"/>
    <w:rsid w:val="00143D7E"/>
    <w:rsid w:val="00146C29"/>
    <w:rsid w:val="00151CE0"/>
    <w:rsid w:val="00155B1C"/>
    <w:rsid w:val="0015621A"/>
    <w:rsid w:val="001663D5"/>
    <w:rsid w:val="00167ACB"/>
    <w:rsid w:val="00174FE9"/>
    <w:rsid w:val="001750A4"/>
    <w:rsid w:val="00193377"/>
    <w:rsid w:val="001941DA"/>
    <w:rsid w:val="00196348"/>
    <w:rsid w:val="00196F7F"/>
    <w:rsid w:val="00197E8A"/>
    <w:rsid w:val="001A0570"/>
    <w:rsid w:val="001A5028"/>
    <w:rsid w:val="001A52E4"/>
    <w:rsid w:val="001A58BA"/>
    <w:rsid w:val="001A63E8"/>
    <w:rsid w:val="001B005E"/>
    <w:rsid w:val="001B1FED"/>
    <w:rsid w:val="001B3A61"/>
    <w:rsid w:val="001B679A"/>
    <w:rsid w:val="001B7DCC"/>
    <w:rsid w:val="001C1794"/>
    <w:rsid w:val="001C2371"/>
    <w:rsid w:val="001C37C9"/>
    <w:rsid w:val="001C57DA"/>
    <w:rsid w:val="001C5B36"/>
    <w:rsid w:val="001C6C6F"/>
    <w:rsid w:val="001D05F3"/>
    <w:rsid w:val="001D0FAE"/>
    <w:rsid w:val="001D3034"/>
    <w:rsid w:val="001D3559"/>
    <w:rsid w:val="001D3968"/>
    <w:rsid w:val="001D58ED"/>
    <w:rsid w:val="001D5E25"/>
    <w:rsid w:val="001D6003"/>
    <w:rsid w:val="001E005B"/>
    <w:rsid w:val="001E23BF"/>
    <w:rsid w:val="001E2728"/>
    <w:rsid w:val="001E4D8A"/>
    <w:rsid w:val="001E4F31"/>
    <w:rsid w:val="001F1963"/>
    <w:rsid w:val="001F492E"/>
    <w:rsid w:val="00205D34"/>
    <w:rsid w:val="0020702F"/>
    <w:rsid w:val="00211DFE"/>
    <w:rsid w:val="00212AA8"/>
    <w:rsid w:val="00216275"/>
    <w:rsid w:val="00217C11"/>
    <w:rsid w:val="002222BA"/>
    <w:rsid w:val="0022773A"/>
    <w:rsid w:val="00234EE9"/>
    <w:rsid w:val="002358FE"/>
    <w:rsid w:val="00237735"/>
    <w:rsid w:val="002403C1"/>
    <w:rsid w:val="00243298"/>
    <w:rsid w:val="00243C97"/>
    <w:rsid w:val="00244D95"/>
    <w:rsid w:val="00246666"/>
    <w:rsid w:val="00247043"/>
    <w:rsid w:val="002475AC"/>
    <w:rsid w:val="0025007C"/>
    <w:rsid w:val="00250880"/>
    <w:rsid w:val="002526C4"/>
    <w:rsid w:val="00252A86"/>
    <w:rsid w:val="0025603C"/>
    <w:rsid w:val="00256B3A"/>
    <w:rsid w:val="002570AB"/>
    <w:rsid w:val="002700FC"/>
    <w:rsid w:val="002720B4"/>
    <w:rsid w:val="00272368"/>
    <w:rsid w:val="00272C14"/>
    <w:rsid w:val="002752E3"/>
    <w:rsid w:val="002818A3"/>
    <w:rsid w:val="00283ABF"/>
    <w:rsid w:val="00285882"/>
    <w:rsid w:val="00287535"/>
    <w:rsid w:val="00287A4D"/>
    <w:rsid w:val="00292CEE"/>
    <w:rsid w:val="002938D2"/>
    <w:rsid w:val="0029686B"/>
    <w:rsid w:val="002A0A5F"/>
    <w:rsid w:val="002A34AB"/>
    <w:rsid w:val="002A3B8D"/>
    <w:rsid w:val="002A5004"/>
    <w:rsid w:val="002A5713"/>
    <w:rsid w:val="002A6852"/>
    <w:rsid w:val="002A6B5F"/>
    <w:rsid w:val="002B0655"/>
    <w:rsid w:val="002B0D2D"/>
    <w:rsid w:val="002B4FD1"/>
    <w:rsid w:val="002B60E0"/>
    <w:rsid w:val="002C10AE"/>
    <w:rsid w:val="002C2936"/>
    <w:rsid w:val="002C75DD"/>
    <w:rsid w:val="002C76AE"/>
    <w:rsid w:val="002D081B"/>
    <w:rsid w:val="002D1231"/>
    <w:rsid w:val="002D18EA"/>
    <w:rsid w:val="002D4E09"/>
    <w:rsid w:val="002D67A4"/>
    <w:rsid w:val="002E0390"/>
    <w:rsid w:val="002E0560"/>
    <w:rsid w:val="002E74AC"/>
    <w:rsid w:val="002F05D4"/>
    <w:rsid w:val="002F7616"/>
    <w:rsid w:val="003017CC"/>
    <w:rsid w:val="0030571B"/>
    <w:rsid w:val="00306189"/>
    <w:rsid w:val="00307B3E"/>
    <w:rsid w:val="0031372B"/>
    <w:rsid w:val="00316D3B"/>
    <w:rsid w:val="00324211"/>
    <w:rsid w:val="00325102"/>
    <w:rsid w:val="00326047"/>
    <w:rsid w:val="0032718F"/>
    <w:rsid w:val="00330393"/>
    <w:rsid w:val="003325B8"/>
    <w:rsid w:val="00332F68"/>
    <w:rsid w:val="003340DB"/>
    <w:rsid w:val="00344E15"/>
    <w:rsid w:val="00345CA1"/>
    <w:rsid w:val="00347049"/>
    <w:rsid w:val="003568F8"/>
    <w:rsid w:val="003572CF"/>
    <w:rsid w:val="003613B4"/>
    <w:rsid w:val="00363F21"/>
    <w:rsid w:val="00365FD7"/>
    <w:rsid w:val="003676D9"/>
    <w:rsid w:val="003747EE"/>
    <w:rsid w:val="003911F4"/>
    <w:rsid w:val="003912AD"/>
    <w:rsid w:val="003932F4"/>
    <w:rsid w:val="00393D2A"/>
    <w:rsid w:val="003953C7"/>
    <w:rsid w:val="003A1795"/>
    <w:rsid w:val="003A3B0B"/>
    <w:rsid w:val="003A73B8"/>
    <w:rsid w:val="003B2DDD"/>
    <w:rsid w:val="003B2FA9"/>
    <w:rsid w:val="003B5FB7"/>
    <w:rsid w:val="003B7524"/>
    <w:rsid w:val="003C0500"/>
    <w:rsid w:val="003C7623"/>
    <w:rsid w:val="003D2975"/>
    <w:rsid w:val="003D7056"/>
    <w:rsid w:val="003D7390"/>
    <w:rsid w:val="003E13D0"/>
    <w:rsid w:val="003E21CB"/>
    <w:rsid w:val="003E53C8"/>
    <w:rsid w:val="003E6AA6"/>
    <w:rsid w:val="003F1A50"/>
    <w:rsid w:val="003F250A"/>
    <w:rsid w:val="00401789"/>
    <w:rsid w:val="00402D9E"/>
    <w:rsid w:val="0040415D"/>
    <w:rsid w:val="0040525D"/>
    <w:rsid w:val="004065F6"/>
    <w:rsid w:val="00411324"/>
    <w:rsid w:val="004132BB"/>
    <w:rsid w:val="0041386C"/>
    <w:rsid w:val="0041387C"/>
    <w:rsid w:val="0042132D"/>
    <w:rsid w:val="00421AE7"/>
    <w:rsid w:val="00426C36"/>
    <w:rsid w:val="00430DA3"/>
    <w:rsid w:val="004321FD"/>
    <w:rsid w:val="00433B24"/>
    <w:rsid w:val="00433C9D"/>
    <w:rsid w:val="00434368"/>
    <w:rsid w:val="0043626D"/>
    <w:rsid w:val="004379C6"/>
    <w:rsid w:val="00442258"/>
    <w:rsid w:val="00445B35"/>
    <w:rsid w:val="004521B8"/>
    <w:rsid w:val="0045689D"/>
    <w:rsid w:val="004571E2"/>
    <w:rsid w:val="004577D5"/>
    <w:rsid w:val="0045798A"/>
    <w:rsid w:val="00460BA8"/>
    <w:rsid w:val="00460E86"/>
    <w:rsid w:val="004619BB"/>
    <w:rsid w:val="00461F92"/>
    <w:rsid w:val="004661D5"/>
    <w:rsid w:val="00472D9D"/>
    <w:rsid w:val="004760F8"/>
    <w:rsid w:val="00482B80"/>
    <w:rsid w:val="0048597E"/>
    <w:rsid w:val="00486430"/>
    <w:rsid w:val="00486E49"/>
    <w:rsid w:val="004878CA"/>
    <w:rsid w:val="0049116B"/>
    <w:rsid w:val="004928FB"/>
    <w:rsid w:val="0049443F"/>
    <w:rsid w:val="004A3E59"/>
    <w:rsid w:val="004A49A4"/>
    <w:rsid w:val="004A54BA"/>
    <w:rsid w:val="004B17CA"/>
    <w:rsid w:val="004B51D1"/>
    <w:rsid w:val="004B7AEB"/>
    <w:rsid w:val="004C1454"/>
    <w:rsid w:val="004C7BAA"/>
    <w:rsid w:val="004D1497"/>
    <w:rsid w:val="004D1BEF"/>
    <w:rsid w:val="004D29B8"/>
    <w:rsid w:val="004D3937"/>
    <w:rsid w:val="004D6131"/>
    <w:rsid w:val="004F3CDE"/>
    <w:rsid w:val="004F430B"/>
    <w:rsid w:val="004F566E"/>
    <w:rsid w:val="00507EC4"/>
    <w:rsid w:val="005114F2"/>
    <w:rsid w:val="00512DE8"/>
    <w:rsid w:val="00514F91"/>
    <w:rsid w:val="00515AE5"/>
    <w:rsid w:val="00521F8E"/>
    <w:rsid w:val="0052299B"/>
    <w:rsid w:val="005257D7"/>
    <w:rsid w:val="0052667D"/>
    <w:rsid w:val="00526E30"/>
    <w:rsid w:val="00527C66"/>
    <w:rsid w:val="005300D6"/>
    <w:rsid w:val="005352F5"/>
    <w:rsid w:val="005359F2"/>
    <w:rsid w:val="0054012A"/>
    <w:rsid w:val="00543C45"/>
    <w:rsid w:val="00546AC2"/>
    <w:rsid w:val="005472C1"/>
    <w:rsid w:val="005516F3"/>
    <w:rsid w:val="005536BD"/>
    <w:rsid w:val="00555071"/>
    <w:rsid w:val="00555248"/>
    <w:rsid w:val="0055701C"/>
    <w:rsid w:val="00560220"/>
    <w:rsid w:val="0056172E"/>
    <w:rsid w:val="00563E65"/>
    <w:rsid w:val="00565748"/>
    <w:rsid w:val="00570274"/>
    <w:rsid w:val="005723CF"/>
    <w:rsid w:val="0057293F"/>
    <w:rsid w:val="00573310"/>
    <w:rsid w:val="00580009"/>
    <w:rsid w:val="005824A2"/>
    <w:rsid w:val="005922C9"/>
    <w:rsid w:val="0059487B"/>
    <w:rsid w:val="00596868"/>
    <w:rsid w:val="005A36DC"/>
    <w:rsid w:val="005A691C"/>
    <w:rsid w:val="005B548D"/>
    <w:rsid w:val="005B5AD3"/>
    <w:rsid w:val="005B5D9A"/>
    <w:rsid w:val="005B69DB"/>
    <w:rsid w:val="005B6FCB"/>
    <w:rsid w:val="005C0E87"/>
    <w:rsid w:val="005C51C8"/>
    <w:rsid w:val="005D51C8"/>
    <w:rsid w:val="005D58B2"/>
    <w:rsid w:val="005D650F"/>
    <w:rsid w:val="005D67E7"/>
    <w:rsid w:val="005E5E7F"/>
    <w:rsid w:val="005E600A"/>
    <w:rsid w:val="005F2A71"/>
    <w:rsid w:val="005F2F3D"/>
    <w:rsid w:val="005F4B5A"/>
    <w:rsid w:val="005F5E52"/>
    <w:rsid w:val="00603BC5"/>
    <w:rsid w:val="006065BA"/>
    <w:rsid w:val="006071D5"/>
    <w:rsid w:val="00611827"/>
    <w:rsid w:val="00613E6B"/>
    <w:rsid w:val="00615A12"/>
    <w:rsid w:val="00624DF2"/>
    <w:rsid w:val="00625479"/>
    <w:rsid w:val="006262A1"/>
    <w:rsid w:val="00626556"/>
    <w:rsid w:val="00626E80"/>
    <w:rsid w:val="00631897"/>
    <w:rsid w:val="006351C0"/>
    <w:rsid w:val="006361B8"/>
    <w:rsid w:val="00637851"/>
    <w:rsid w:val="00640C28"/>
    <w:rsid w:val="006474D5"/>
    <w:rsid w:val="00650E63"/>
    <w:rsid w:val="006537D2"/>
    <w:rsid w:val="00656B01"/>
    <w:rsid w:val="00657A4D"/>
    <w:rsid w:val="006757A9"/>
    <w:rsid w:val="006760CB"/>
    <w:rsid w:val="0068170D"/>
    <w:rsid w:val="006858AB"/>
    <w:rsid w:val="00685FBE"/>
    <w:rsid w:val="00686BF3"/>
    <w:rsid w:val="0069422D"/>
    <w:rsid w:val="006957C4"/>
    <w:rsid w:val="006A0527"/>
    <w:rsid w:val="006A05F6"/>
    <w:rsid w:val="006A24F0"/>
    <w:rsid w:val="006A372B"/>
    <w:rsid w:val="006A3DB0"/>
    <w:rsid w:val="006A44F1"/>
    <w:rsid w:val="006A7BCC"/>
    <w:rsid w:val="006B1285"/>
    <w:rsid w:val="006B27FC"/>
    <w:rsid w:val="006B2808"/>
    <w:rsid w:val="006B520D"/>
    <w:rsid w:val="006B5401"/>
    <w:rsid w:val="006C1ED7"/>
    <w:rsid w:val="006D0503"/>
    <w:rsid w:val="006D063B"/>
    <w:rsid w:val="006D1560"/>
    <w:rsid w:val="006D5F6F"/>
    <w:rsid w:val="006D669A"/>
    <w:rsid w:val="006E0119"/>
    <w:rsid w:val="006E438F"/>
    <w:rsid w:val="006E51E2"/>
    <w:rsid w:val="006E5F4D"/>
    <w:rsid w:val="006E7C9A"/>
    <w:rsid w:val="006F4E28"/>
    <w:rsid w:val="0070277B"/>
    <w:rsid w:val="007030C7"/>
    <w:rsid w:val="00703DE2"/>
    <w:rsid w:val="00704289"/>
    <w:rsid w:val="00706BE4"/>
    <w:rsid w:val="00707600"/>
    <w:rsid w:val="007103FF"/>
    <w:rsid w:val="007123FE"/>
    <w:rsid w:val="0071256D"/>
    <w:rsid w:val="00714323"/>
    <w:rsid w:val="007148B2"/>
    <w:rsid w:val="00715DED"/>
    <w:rsid w:val="007179C6"/>
    <w:rsid w:val="007202F1"/>
    <w:rsid w:val="007219DD"/>
    <w:rsid w:val="00722B4C"/>
    <w:rsid w:val="00722E42"/>
    <w:rsid w:val="00722FA7"/>
    <w:rsid w:val="0073087D"/>
    <w:rsid w:val="00731178"/>
    <w:rsid w:val="00731CAB"/>
    <w:rsid w:val="007350B4"/>
    <w:rsid w:val="007363B6"/>
    <w:rsid w:val="00736E51"/>
    <w:rsid w:val="007402D2"/>
    <w:rsid w:val="0074111E"/>
    <w:rsid w:val="00743D54"/>
    <w:rsid w:val="00743DDD"/>
    <w:rsid w:val="00745E6D"/>
    <w:rsid w:val="00746587"/>
    <w:rsid w:val="00746C4A"/>
    <w:rsid w:val="00747409"/>
    <w:rsid w:val="007535D9"/>
    <w:rsid w:val="007643DF"/>
    <w:rsid w:val="00766E95"/>
    <w:rsid w:val="007728FF"/>
    <w:rsid w:val="00783E0A"/>
    <w:rsid w:val="00784906"/>
    <w:rsid w:val="007904A0"/>
    <w:rsid w:val="00791450"/>
    <w:rsid w:val="007929FC"/>
    <w:rsid w:val="00795D91"/>
    <w:rsid w:val="007B0B01"/>
    <w:rsid w:val="007B1B95"/>
    <w:rsid w:val="007B2659"/>
    <w:rsid w:val="007B404C"/>
    <w:rsid w:val="007B73E9"/>
    <w:rsid w:val="007B7686"/>
    <w:rsid w:val="007C52B3"/>
    <w:rsid w:val="007C6B20"/>
    <w:rsid w:val="007C6E3D"/>
    <w:rsid w:val="007D2DBB"/>
    <w:rsid w:val="007D400B"/>
    <w:rsid w:val="007D52F8"/>
    <w:rsid w:val="007D6E64"/>
    <w:rsid w:val="007E08A2"/>
    <w:rsid w:val="007E2861"/>
    <w:rsid w:val="007E32CD"/>
    <w:rsid w:val="007E35D8"/>
    <w:rsid w:val="007E6720"/>
    <w:rsid w:val="007F6303"/>
    <w:rsid w:val="008019B5"/>
    <w:rsid w:val="00801D69"/>
    <w:rsid w:val="00803999"/>
    <w:rsid w:val="008156AC"/>
    <w:rsid w:val="008158AC"/>
    <w:rsid w:val="008169EF"/>
    <w:rsid w:val="00817067"/>
    <w:rsid w:val="0082090C"/>
    <w:rsid w:val="00821DE1"/>
    <w:rsid w:val="00822D3C"/>
    <w:rsid w:val="00826ACC"/>
    <w:rsid w:val="00826D75"/>
    <w:rsid w:val="008275EE"/>
    <w:rsid w:val="00830AF0"/>
    <w:rsid w:val="00832FD7"/>
    <w:rsid w:val="00834E6A"/>
    <w:rsid w:val="00842441"/>
    <w:rsid w:val="00854FDF"/>
    <w:rsid w:val="00856FD6"/>
    <w:rsid w:val="00857EF6"/>
    <w:rsid w:val="008634E5"/>
    <w:rsid w:val="008759D0"/>
    <w:rsid w:val="0087710F"/>
    <w:rsid w:val="00883620"/>
    <w:rsid w:val="00884210"/>
    <w:rsid w:val="008929D0"/>
    <w:rsid w:val="00893479"/>
    <w:rsid w:val="00893E97"/>
    <w:rsid w:val="008944A3"/>
    <w:rsid w:val="008A5AE5"/>
    <w:rsid w:val="008A602F"/>
    <w:rsid w:val="008A6DBB"/>
    <w:rsid w:val="008B14C4"/>
    <w:rsid w:val="008B26CB"/>
    <w:rsid w:val="008B5AA2"/>
    <w:rsid w:val="008B7035"/>
    <w:rsid w:val="008D0E3B"/>
    <w:rsid w:val="008D0F88"/>
    <w:rsid w:val="008D128E"/>
    <w:rsid w:val="008D1D16"/>
    <w:rsid w:val="008D25B6"/>
    <w:rsid w:val="008E09CA"/>
    <w:rsid w:val="008E5E45"/>
    <w:rsid w:val="008E72F4"/>
    <w:rsid w:val="008E7F86"/>
    <w:rsid w:val="008F4FA5"/>
    <w:rsid w:val="008F5EA5"/>
    <w:rsid w:val="008F67E0"/>
    <w:rsid w:val="008F6EB6"/>
    <w:rsid w:val="00901510"/>
    <w:rsid w:val="009103AC"/>
    <w:rsid w:val="0091306A"/>
    <w:rsid w:val="00915C8B"/>
    <w:rsid w:val="00920455"/>
    <w:rsid w:val="00922EA2"/>
    <w:rsid w:val="009234F9"/>
    <w:rsid w:val="009413B8"/>
    <w:rsid w:val="009430AC"/>
    <w:rsid w:val="009451CB"/>
    <w:rsid w:val="00951A7D"/>
    <w:rsid w:val="009527CF"/>
    <w:rsid w:val="009531D7"/>
    <w:rsid w:val="009531E4"/>
    <w:rsid w:val="00962A3D"/>
    <w:rsid w:val="00966D75"/>
    <w:rsid w:val="009671EF"/>
    <w:rsid w:val="00972091"/>
    <w:rsid w:val="0097268A"/>
    <w:rsid w:val="0097373B"/>
    <w:rsid w:val="00976AF8"/>
    <w:rsid w:val="009808DB"/>
    <w:rsid w:val="00980BB2"/>
    <w:rsid w:val="00980D03"/>
    <w:rsid w:val="009818B1"/>
    <w:rsid w:val="00983976"/>
    <w:rsid w:val="00986F88"/>
    <w:rsid w:val="00987642"/>
    <w:rsid w:val="00992FA8"/>
    <w:rsid w:val="00995FE6"/>
    <w:rsid w:val="00996116"/>
    <w:rsid w:val="009A04BF"/>
    <w:rsid w:val="009A1ACA"/>
    <w:rsid w:val="009A277F"/>
    <w:rsid w:val="009A70D8"/>
    <w:rsid w:val="009B18E1"/>
    <w:rsid w:val="009C2AEA"/>
    <w:rsid w:val="009C7626"/>
    <w:rsid w:val="009D0071"/>
    <w:rsid w:val="009D20F2"/>
    <w:rsid w:val="009D44E5"/>
    <w:rsid w:val="009D7365"/>
    <w:rsid w:val="009D783F"/>
    <w:rsid w:val="009E3ABB"/>
    <w:rsid w:val="009F1526"/>
    <w:rsid w:val="009F2713"/>
    <w:rsid w:val="009F55D4"/>
    <w:rsid w:val="009F7B8D"/>
    <w:rsid w:val="00A10F8E"/>
    <w:rsid w:val="00A15D25"/>
    <w:rsid w:val="00A17712"/>
    <w:rsid w:val="00A220EF"/>
    <w:rsid w:val="00A235C1"/>
    <w:rsid w:val="00A2745B"/>
    <w:rsid w:val="00A27993"/>
    <w:rsid w:val="00A3220B"/>
    <w:rsid w:val="00A33486"/>
    <w:rsid w:val="00A33736"/>
    <w:rsid w:val="00A35354"/>
    <w:rsid w:val="00A364BC"/>
    <w:rsid w:val="00A374C1"/>
    <w:rsid w:val="00A40D24"/>
    <w:rsid w:val="00A40E84"/>
    <w:rsid w:val="00A434EF"/>
    <w:rsid w:val="00A44FB5"/>
    <w:rsid w:val="00A5270A"/>
    <w:rsid w:val="00A52F00"/>
    <w:rsid w:val="00A55140"/>
    <w:rsid w:val="00A57F33"/>
    <w:rsid w:val="00A629AC"/>
    <w:rsid w:val="00A63266"/>
    <w:rsid w:val="00A66647"/>
    <w:rsid w:val="00A673EB"/>
    <w:rsid w:val="00A67B86"/>
    <w:rsid w:val="00A733DD"/>
    <w:rsid w:val="00A73A2F"/>
    <w:rsid w:val="00A76C79"/>
    <w:rsid w:val="00A82F52"/>
    <w:rsid w:val="00A91296"/>
    <w:rsid w:val="00A920E5"/>
    <w:rsid w:val="00A92AF1"/>
    <w:rsid w:val="00AA0025"/>
    <w:rsid w:val="00AA28B4"/>
    <w:rsid w:val="00AA2A93"/>
    <w:rsid w:val="00AA7F20"/>
    <w:rsid w:val="00AB3147"/>
    <w:rsid w:val="00AB4BF7"/>
    <w:rsid w:val="00AC13DF"/>
    <w:rsid w:val="00AC6AA2"/>
    <w:rsid w:val="00AC7D2E"/>
    <w:rsid w:val="00AD005A"/>
    <w:rsid w:val="00AD12F4"/>
    <w:rsid w:val="00AD1A28"/>
    <w:rsid w:val="00AD74F9"/>
    <w:rsid w:val="00AE1004"/>
    <w:rsid w:val="00AE1237"/>
    <w:rsid w:val="00AE23BF"/>
    <w:rsid w:val="00AE5AB2"/>
    <w:rsid w:val="00AF361F"/>
    <w:rsid w:val="00AF4D4E"/>
    <w:rsid w:val="00AF543F"/>
    <w:rsid w:val="00AF5A8F"/>
    <w:rsid w:val="00B01278"/>
    <w:rsid w:val="00B0213F"/>
    <w:rsid w:val="00B02FC4"/>
    <w:rsid w:val="00B05B5F"/>
    <w:rsid w:val="00B06115"/>
    <w:rsid w:val="00B10986"/>
    <w:rsid w:val="00B13F73"/>
    <w:rsid w:val="00B142A8"/>
    <w:rsid w:val="00B14DFD"/>
    <w:rsid w:val="00B2067D"/>
    <w:rsid w:val="00B20C44"/>
    <w:rsid w:val="00B20CD2"/>
    <w:rsid w:val="00B23690"/>
    <w:rsid w:val="00B246C9"/>
    <w:rsid w:val="00B3042A"/>
    <w:rsid w:val="00B42ABF"/>
    <w:rsid w:val="00B44C33"/>
    <w:rsid w:val="00B555DE"/>
    <w:rsid w:val="00B57205"/>
    <w:rsid w:val="00B647FD"/>
    <w:rsid w:val="00B64ADA"/>
    <w:rsid w:val="00B66021"/>
    <w:rsid w:val="00B66083"/>
    <w:rsid w:val="00B66BFC"/>
    <w:rsid w:val="00B7008F"/>
    <w:rsid w:val="00B70663"/>
    <w:rsid w:val="00B75483"/>
    <w:rsid w:val="00B75588"/>
    <w:rsid w:val="00B76175"/>
    <w:rsid w:val="00B76269"/>
    <w:rsid w:val="00B77480"/>
    <w:rsid w:val="00B804DA"/>
    <w:rsid w:val="00B817E5"/>
    <w:rsid w:val="00B83285"/>
    <w:rsid w:val="00B85A4C"/>
    <w:rsid w:val="00B9032E"/>
    <w:rsid w:val="00B907A6"/>
    <w:rsid w:val="00B936F6"/>
    <w:rsid w:val="00BA0C4A"/>
    <w:rsid w:val="00BA2CFE"/>
    <w:rsid w:val="00BA7E86"/>
    <w:rsid w:val="00BB186F"/>
    <w:rsid w:val="00BB454B"/>
    <w:rsid w:val="00BB59CE"/>
    <w:rsid w:val="00BC221B"/>
    <w:rsid w:val="00BC5556"/>
    <w:rsid w:val="00BD06AD"/>
    <w:rsid w:val="00BD07E8"/>
    <w:rsid w:val="00BD14DB"/>
    <w:rsid w:val="00BD2469"/>
    <w:rsid w:val="00BD3813"/>
    <w:rsid w:val="00BE3D82"/>
    <w:rsid w:val="00BE509D"/>
    <w:rsid w:val="00BE59B3"/>
    <w:rsid w:val="00BF0E87"/>
    <w:rsid w:val="00BF4F6F"/>
    <w:rsid w:val="00BF7EAB"/>
    <w:rsid w:val="00C039F5"/>
    <w:rsid w:val="00C0742A"/>
    <w:rsid w:val="00C1199E"/>
    <w:rsid w:val="00C12A6B"/>
    <w:rsid w:val="00C13686"/>
    <w:rsid w:val="00C15AD7"/>
    <w:rsid w:val="00C261DD"/>
    <w:rsid w:val="00C30C8D"/>
    <w:rsid w:val="00C3257C"/>
    <w:rsid w:val="00C3541F"/>
    <w:rsid w:val="00C35547"/>
    <w:rsid w:val="00C361E5"/>
    <w:rsid w:val="00C37ACD"/>
    <w:rsid w:val="00C40447"/>
    <w:rsid w:val="00C476F5"/>
    <w:rsid w:val="00C55C2C"/>
    <w:rsid w:val="00C6004C"/>
    <w:rsid w:val="00C64858"/>
    <w:rsid w:val="00C657CF"/>
    <w:rsid w:val="00C813A6"/>
    <w:rsid w:val="00C83B9B"/>
    <w:rsid w:val="00C87509"/>
    <w:rsid w:val="00C94650"/>
    <w:rsid w:val="00CA27E1"/>
    <w:rsid w:val="00CA497D"/>
    <w:rsid w:val="00CA4ABD"/>
    <w:rsid w:val="00CB5002"/>
    <w:rsid w:val="00CB63D5"/>
    <w:rsid w:val="00CB6711"/>
    <w:rsid w:val="00CB6D2C"/>
    <w:rsid w:val="00CD5822"/>
    <w:rsid w:val="00CE05AD"/>
    <w:rsid w:val="00CE3A3D"/>
    <w:rsid w:val="00CE3E37"/>
    <w:rsid w:val="00CF081A"/>
    <w:rsid w:val="00CF1CB4"/>
    <w:rsid w:val="00CF3A4F"/>
    <w:rsid w:val="00CF4264"/>
    <w:rsid w:val="00CF684B"/>
    <w:rsid w:val="00CF79E4"/>
    <w:rsid w:val="00D071F3"/>
    <w:rsid w:val="00D13D1F"/>
    <w:rsid w:val="00D13DE2"/>
    <w:rsid w:val="00D13F7F"/>
    <w:rsid w:val="00D14853"/>
    <w:rsid w:val="00D1531D"/>
    <w:rsid w:val="00D17CB5"/>
    <w:rsid w:val="00D25D42"/>
    <w:rsid w:val="00D26799"/>
    <w:rsid w:val="00D309B9"/>
    <w:rsid w:val="00D3334F"/>
    <w:rsid w:val="00D335F0"/>
    <w:rsid w:val="00D34049"/>
    <w:rsid w:val="00D36795"/>
    <w:rsid w:val="00D37860"/>
    <w:rsid w:val="00D40F06"/>
    <w:rsid w:val="00D41B1C"/>
    <w:rsid w:val="00D4200B"/>
    <w:rsid w:val="00D427E7"/>
    <w:rsid w:val="00D44977"/>
    <w:rsid w:val="00D44DEA"/>
    <w:rsid w:val="00D456F1"/>
    <w:rsid w:val="00D5069D"/>
    <w:rsid w:val="00D53B59"/>
    <w:rsid w:val="00D543D8"/>
    <w:rsid w:val="00D57B54"/>
    <w:rsid w:val="00D62BC3"/>
    <w:rsid w:val="00D62E6C"/>
    <w:rsid w:val="00D64037"/>
    <w:rsid w:val="00D65393"/>
    <w:rsid w:val="00D656CC"/>
    <w:rsid w:val="00D704C6"/>
    <w:rsid w:val="00D70C84"/>
    <w:rsid w:val="00D7340C"/>
    <w:rsid w:val="00D763EF"/>
    <w:rsid w:val="00D7653D"/>
    <w:rsid w:val="00D80770"/>
    <w:rsid w:val="00D8087D"/>
    <w:rsid w:val="00D808DA"/>
    <w:rsid w:val="00D80A79"/>
    <w:rsid w:val="00D81D12"/>
    <w:rsid w:val="00D852BA"/>
    <w:rsid w:val="00D932DB"/>
    <w:rsid w:val="00DA141C"/>
    <w:rsid w:val="00DA3007"/>
    <w:rsid w:val="00DA7965"/>
    <w:rsid w:val="00DB317D"/>
    <w:rsid w:val="00DB46BA"/>
    <w:rsid w:val="00DB59B1"/>
    <w:rsid w:val="00DB6EF1"/>
    <w:rsid w:val="00DC20F4"/>
    <w:rsid w:val="00DC3F5A"/>
    <w:rsid w:val="00DC5399"/>
    <w:rsid w:val="00DD17DD"/>
    <w:rsid w:val="00DD1983"/>
    <w:rsid w:val="00DD259B"/>
    <w:rsid w:val="00DD4400"/>
    <w:rsid w:val="00DE4563"/>
    <w:rsid w:val="00DE6A9B"/>
    <w:rsid w:val="00DE7AA1"/>
    <w:rsid w:val="00E00882"/>
    <w:rsid w:val="00E0093A"/>
    <w:rsid w:val="00E02FB8"/>
    <w:rsid w:val="00E06A12"/>
    <w:rsid w:val="00E07FA9"/>
    <w:rsid w:val="00E10C9F"/>
    <w:rsid w:val="00E10F6A"/>
    <w:rsid w:val="00E1132B"/>
    <w:rsid w:val="00E1156F"/>
    <w:rsid w:val="00E1250A"/>
    <w:rsid w:val="00E1765C"/>
    <w:rsid w:val="00E30E68"/>
    <w:rsid w:val="00E31280"/>
    <w:rsid w:val="00E31287"/>
    <w:rsid w:val="00E32833"/>
    <w:rsid w:val="00E34950"/>
    <w:rsid w:val="00E430D4"/>
    <w:rsid w:val="00E46142"/>
    <w:rsid w:val="00E5390C"/>
    <w:rsid w:val="00E5533D"/>
    <w:rsid w:val="00E55A12"/>
    <w:rsid w:val="00E600DC"/>
    <w:rsid w:val="00E64C90"/>
    <w:rsid w:val="00E64F1D"/>
    <w:rsid w:val="00E71E22"/>
    <w:rsid w:val="00E72232"/>
    <w:rsid w:val="00E84135"/>
    <w:rsid w:val="00E905C1"/>
    <w:rsid w:val="00E90EF9"/>
    <w:rsid w:val="00E9115C"/>
    <w:rsid w:val="00E943AE"/>
    <w:rsid w:val="00E953F4"/>
    <w:rsid w:val="00E961FB"/>
    <w:rsid w:val="00E978CE"/>
    <w:rsid w:val="00EA1048"/>
    <w:rsid w:val="00EA15FF"/>
    <w:rsid w:val="00EB1A9F"/>
    <w:rsid w:val="00EB4DC2"/>
    <w:rsid w:val="00EB5C57"/>
    <w:rsid w:val="00EC0D65"/>
    <w:rsid w:val="00EC1710"/>
    <w:rsid w:val="00EC22AC"/>
    <w:rsid w:val="00EC51D6"/>
    <w:rsid w:val="00ED02B3"/>
    <w:rsid w:val="00ED6C78"/>
    <w:rsid w:val="00EE3472"/>
    <w:rsid w:val="00EF1910"/>
    <w:rsid w:val="00EF1BAE"/>
    <w:rsid w:val="00F021D4"/>
    <w:rsid w:val="00F03C63"/>
    <w:rsid w:val="00F0522E"/>
    <w:rsid w:val="00F06A0F"/>
    <w:rsid w:val="00F100EE"/>
    <w:rsid w:val="00F10923"/>
    <w:rsid w:val="00F15258"/>
    <w:rsid w:val="00F167A8"/>
    <w:rsid w:val="00F17295"/>
    <w:rsid w:val="00F202B2"/>
    <w:rsid w:val="00F21CB2"/>
    <w:rsid w:val="00F2465A"/>
    <w:rsid w:val="00F32449"/>
    <w:rsid w:val="00F33BF5"/>
    <w:rsid w:val="00F3748B"/>
    <w:rsid w:val="00F41668"/>
    <w:rsid w:val="00F53284"/>
    <w:rsid w:val="00F560C5"/>
    <w:rsid w:val="00F67A65"/>
    <w:rsid w:val="00F73863"/>
    <w:rsid w:val="00F7392E"/>
    <w:rsid w:val="00F74E13"/>
    <w:rsid w:val="00F76DE0"/>
    <w:rsid w:val="00F8087A"/>
    <w:rsid w:val="00F835D2"/>
    <w:rsid w:val="00F8508D"/>
    <w:rsid w:val="00F85165"/>
    <w:rsid w:val="00F905A2"/>
    <w:rsid w:val="00F910C0"/>
    <w:rsid w:val="00F9439F"/>
    <w:rsid w:val="00F9504D"/>
    <w:rsid w:val="00FA17AB"/>
    <w:rsid w:val="00FA2E0D"/>
    <w:rsid w:val="00FA45DE"/>
    <w:rsid w:val="00FA4882"/>
    <w:rsid w:val="00FA4A39"/>
    <w:rsid w:val="00FA531E"/>
    <w:rsid w:val="00FB6DBB"/>
    <w:rsid w:val="00FC0563"/>
    <w:rsid w:val="00FC3DE0"/>
    <w:rsid w:val="00FC42B9"/>
    <w:rsid w:val="00FC473B"/>
    <w:rsid w:val="00FC6110"/>
    <w:rsid w:val="00FC72F0"/>
    <w:rsid w:val="00FD25AD"/>
    <w:rsid w:val="00FD5727"/>
    <w:rsid w:val="00FD5819"/>
    <w:rsid w:val="00FE4050"/>
    <w:rsid w:val="00FE415A"/>
    <w:rsid w:val="00FE46FE"/>
    <w:rsid w:val="00FE5A97"/>
    <w:rsid w:val="00FE5E89"/>
    <w:rsid w:val="00FE6E66"/>
    <w:rsid w:val="00FE78D3"/>
    <w:rsid w:val="00FF2E02"/>
    <w:rsid w:val="00FF5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4C7BAA"/>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link w:val="ListParagraphChar"/>
    <w:uiPriority w:val="34"/>
    <w:qFormat/>
    <w:rsid w:val="00433B24"/>
    <w:pPr>
      <w:ind w:left="720"/>
    </w:pPr>
  </w:style>
  <w:style w:type="character" w:customStyle="1" w:styleId="HeaderChar">
    <w:name w:val="Header Char"/>
    <w:aliases w:val="h Char"/>
    <w:link w:val="Header"/>
    <w:rsid w:val="002D4E09"/>
    <w:rPr>
      <w:rFonts w:ascii="CG Omega" w:hAnsi="CG Omega"/>
      <w:sz w:val="22"/>
      <w:szCs w:val="24"/>
      <w:lang w:eastAsia="en-US"/>
    </w:rPr>
  </w:style>
  <w:style w:type="paragraph" w:styleId="FootnoteText">
    <w:name w:val="footnote text"/>
    <w:aliases w:val="ft"/>
    <w:basedOn w:val="Normal"/>
    <w:link w:val="FootnoteTextChar"/>
    <w:uiPriority w:val="99"/>
    <w:unhideWhenUsed/>
    <w:rsid w:val="002D4E09"/>
    <w:rPr>
      <w:rFonts w:ascii="Times New Roman" w:hAnsi="Times New Roman"/>
      <w:sz w:val="20"/>
      <w:szCs w:val="20"/>
      <w:lang w:eastAsia="en-AU"/>
    </w:rPr>
  </w:style>
  <w:style w:type="character" w:customStyle="1" w:styleId="FootnoteTextChar">
    <w:name w:val="Footnote Text Char"/>
    <w:aliases w:val="ft Char"/>
    <w:basedOn w:val="DefaultParagraphFont"/>
    <w:link w:val="FootnoteText"/>
    <w:uiPriority w:val="99"/>
    <w:rsid w:val="002D4E09"/>
  </w:style>
  <w:style w:type="character" w:styleId="FootnoteReference">
    <w:name w:val="footnote reference"/>
    <w:aliases w:val="fr"/>
    <w:uiPriority w:val="99"/>
    <w:unhideWhenUsed/>
    <w:rsid w:val="002D4E09"/>
    <w:rPr>
      <w:vertAlign w:val="superscript"/>
    </w:rPr>
  </w:style>
  <w:style w:type="character" w:customStyle="1" w:styleId="ListParagraphChar">
    <w:name w:val="List Paragraph Char"/>
    <w:link w:val="ListParagraph"/>
    <w:uiPriority w:val="34"/>
    <w:locked/>
    <w:rsid w:val="002D4E09"/>
    <w:rPr>
      <w:rFonts w:ascii="CG Omega" w:hAnsi="CG Omega"/>
      <w:sz w:val="22"/>
      <w:szCs w:val="24"/>
      <w:lang w:eastAsia="en-US"/>
    </w:rPr>
  </w:style>
  <w:style w:type="paragraph" w:styleId="NormalWeb">
    <w:name w:val="Normal (Web)"/>
    <w:basedOn w:val="Normal"/>
    <w:uiPriority w:val="99"/>
    <w:unhideWhenUsed/>
    <w:rsid w:val="006D063B"/>
    <w:pPr>
      <w:spacing w:before="100" w:beforeAutospacing="1" w:after="100" w:afterAutospacing="1"/>
    </w:pPr>
    <w:rPr>
      <w:rFonts w:ascii="Times New Roman" w:hAnsi="Times New Roman"/>
      <w:sz w:val="24"/>
      <w:lang w:eastAsia="en-AU"/>
    </w:rPr>
  </w:style>
  <w:style w:type="character" w:styleId="Strong">
    <w:name w:val="Strong"/>
    <w:uiPriority w:val="22"/>
    <w:qFormat/>
    <w:rsid w:val="006D063B"/>
    <w:rPr>
      <w:b/>
      <w:bCs/>
    </w:rPr>
  </w:style>
  <w:style w:type="character" w:customStyle="1" w:styleId="Heading2Char">
    <w:name w:val="Heading 2 Char"/>
    <w:basedOn w:val="DefaultParagraphFont"/>
    <w:link w:val="Heading2"/>
    <w:uiPriority w:val="9"/>
    <w:rsid w:val="004C7BAA"/>
    <w:rPr>
      <w:b/>
      <w:bCs/>
      <w:color w:val="4F81BD"/>
      <w:sz w:val="26"/>
      <w:szCs w:val="26"/>
    </w:rPr>
  </w:style>
  <w:style w:type="table" w:styleId="TableGrid">
    <w:name w:val="Table Grid"/>
    <w:basedOn w:val="TableNormal"/>
    <w:rsid w:val="004C7B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79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114">
      <w:bodyDiv w:val="1"/>
      <w:marLeft w:val="0"/>
      <w:marRight w:val="0"/>
      <w:marTop w:val="0"/>
      <w:marBottom w:val="0"/>
      <w:divBdr>
        <w:top w:val="none" w:sz="0" w:space="0" w:color="auto"/>
        <w:left w:val="none" w:sz="0" w:space="0" w:color="auto"/>
        <w:bottom w:val="none" w:sz="0" w:space="0" w:color="auto"/>
        <w:right w:val="none" w:sz="0" w:space="0" w:color="auto"/>
      </w:divBdr>
    </w:div>
    <w:div w:id="434906868">
      <w:bodyDiv w:val="1"/>
      <w:marLeft w:val="0"/>
      <w:marRight w:val="0"/>
      <w:marTop w:val="0"/>
      <w:marBottom w:val="0"/>
      <w:divBdr>
        <w:top w:val="none" w:sz="0" w:space="0" w:color="auto"/>
        <w:left w:val="none" w:sz="0" w:space="0" w:color="auto"/>
        <w:bottom w:val="none" w:sz="0" w:space="0" w:color="auto"/>
        <w:right w:val="none" w:sz="0" w:space="0" w:color="auto"/>
      </w:divBdr>
      <w:divsChild>
        <w:div w:id="1586181268">
          <w:marLeft w:val="0"/>
          <w:marRight w:val="0"/>
          <w:marTop w:val="1200"/>
          <w:marBottom w:val="100"/>
          <w:divBdr>
            <w:top w:val="none" w:sz="0" w:space="0" w:color="auto"/>
            <w:left w:val="none" w:sz="0" w:space="0" w:color="auto"/>
            <w:bottom w:val="none" w:sz="0" w:space="0" w:color="auto"/>
            <w:right w:val="none" w:sz="0" w:space="0" w:color="auto"/>
          </w:divBdr>
          <w:divsChild>
            <w:div w:id="1276981908">
              <w:marLeft w:val="0"/>
              <w:marRight w:val="0"/>
              <w:marTop w:val="0"/>
              <w:marBottom w:val="0"/>
              <w:divBdr>
                <w:top w:val="none" w:sz="0" w:space="0" w:color="auto"/>
                <w:left w:val="none" w:sz="0" w:space="0" w:color="auto"/>
                <w:bottom w:val="none" w:sz="0" w:space="0" w:color="auto"/>
                <w:right w:val="none" w:sz="0" w:space="0" w:color="auto"/>
              </w:divBdr>
              <w:divsChild>
                <w:div w:id="899172923">
                  <w:marLeft w:val="0"/>
                  <w:marRight w:val="0"/>
                  <w:marTop w:val="0"/>
                  <w:marBottom w:val="0"/>
                  <w:divBdr>
                    <w:top w:val="none" w:sz="0" w:space="0" w:color="auto"/>
                    <w:left w:val="none" w:sz="0" w:space="0" w:color="auto"/>
                    <w:bottom w:val="none" w:sz="0" w:space="0" w:color="auto"/>
                    <w:right w:val="none" w:sz="0" w:space="0" w:color="auto"/>
                  </w:divBdr>
                  <w:divsChild>
                    <w:div w:id="695348775">
                      <w:marLeft w:val="0"/>
                      <w:marRight w:val="0"/>
                      <w:marTop w:val="0"/>
                      <w:marBottom w:val="0"/>
                      <w:divBdr>
                        <w:top w:val="none" w:sz="0" w:space="0" w:color="auto"/>
                        <w:left w:val="none" w:sz="0" w:space="0" w:color="auto"/>
                        <w:bottom w:val="none" w:sz="0" w:space="0" w:color="auto"/>
                        <w:right w:val="none" w:sz="0" w:space="0" w:color="auto"/>
                      </w:divBdr>
                      <w:divsChild>
                        <w:div w:id="96559118">
                          <w:marLeft w:val="0"/>
                          <w:marRight w:val="0"/>
                          <w:marTop w:val="0"/>
                          <w:marBottom w:val="0"/>
                          <w:divBdr>
                            <w:top w:val="none" w:sz="0" w:space="0" w:color="auto"/>
                            <w:left w:val="none" w:sz="0" w:space="0" w:color="auto"/>
                            <w:bottom w:val="none" w:sz="0" w:space="0" w:color="auto"/>
                            <w:right w:val="none" w:sz="0" w:space="0" w:color="auto"/>
                          </w:divBdr>
                          <w:divsChild>
                            <w:div w:id="1205751734">
                              <w:marLeft w:val="0"/>
                              <w:marRight w:val="0"/>
                              <w:marTop w:val="0"/>
                              <w:marBottom w:val="0"/>
                              <w:divBdr>
                                <w:top w:val="none" w:sz="0" w:space="0" w:color="auto"/>
                                <w:left w:val="none" w:sz="0" w:space="0" w:color="auto"/>
                                <w:bottom w:val="none" w:sz="0" w:space="0" w:color="auto"/>
                                <w:right w:val="none" w:sz="0" w:space="0" w:color="auto"/>
                              </w:divBdr>
                              <w:divsChild>
                                <w:div w:id="1688601452">
                                  <w:marLeft w:val="0"/>
                                  <w:marRight w:val="0"/>
                                  <w:marTop w:val="0"/>
                                  <w:marBottom w:val="0"/>
                                  <w:divBdr>
                                    <w:top w:val="none" w:sz="0" w:space="0" w:color="auto"/>
                                    <w:left w:val="none" w:sz="0" w:space="0" w:color="auto"/>
                                    <w:bottom w:val="none" w:sz="0" w:space="0" w:color="auto"/>
                                    <w:right w:val="none" w:sz="0" w:space="0" w:color="auto"/>
                                  </w:divBdr>
                                  <w:divsChild>
                                    <w:div w:id="773211867">
                                      <w:marLeft w:val="0"/>
                                      <w:marRight w:val="0"/>
                                      <w:marTop w:val="0"/>
                                      <w:marBottom w:val="0"/>
                                      <w:divBdr>
                                        <w:top w:val="none" w:sz="0" w:space="0" w:color="auto"/>
                                        <w:left w:val="none" w:sz="0" w:space="0" w:color="auto"/>
                                        <w:bottom w:val="none" w:sz="0" w:space="0" w:color="auto"/>
                                        <w:right w:val="none" w:sz="0" w:space="0" w:color="auto"/>
                                      </w:divBdr>
                                      <w:divsChild>
                                        <w:div w:id="1150903621">
                                          <w:marLeft w:val="0"/>
                                          <w:marRight w:val="0"/>
                                          <w:marTop w:val="0"/>
                                          <w:marBottom w:val="0"/>
                                          <w:divBdr>
                                            <w:top w:val="none" w:sz="0" w:space="0" w:color="auto"/>
                                            <w:left w:val="none" w:sz="0" w:space="0" w:color="auto"/>
                                            <w:bottom w:val="none" w:sz="0" w:space="0" w:color="auto"/>
                                            <w:right w:val="none" w:sz="0" w:space="0" w:color="auto"/>
                                          </w:divBdr>
                                          <w:divsChild>
                                            <w:div w:id="11303693">
                                              <w:marLeft w:val="0"/>
                                              <w:marRight w:val="0"/>
                                              <w:marTop w:val="0"/>
                                              <w:marBottom w:val="0"/>
                                              <w:divBdr>
                                                <w:top w:val="none" w:sz="0" w:space="0" w:color="auto"/>
                                                <w:left w:val="none" w:sz="0" w:space="0" w:color="auto"/>
                                                <w:bottom w:val="none" w:sz="0" w:space="0" w:color="auto"/>
                                                <w:right w:val="none" w:sz="0" w:space="0" w:color="auto"/>
                                              </w:divBdr>
                                              <w:divsChild>
                                                <w:div w:id="1373655880">
                                                  <w:marLeft w:val="0"/>
                                                  <w:marRight w:val="0"/>
                                                  <w:marTop w:val="168"/>
                                                  <w:marBottom w:val="168"/>
                                                  <w:divBdr>
                                                    <w:top w:val="none" w:sz="0" w:space="0" w:color="auto"/>
                                                    <w:left w:val="none" w:sz="0" w:space="0" w:color="auto"/>
                                                    <w:bottom w:val="none" w:sz="0" w:space="0" w:color="auto"/>
                                                    <w:right w:val="none" w:sz="0" w:space="0" w:color="auto"/>
                                                  </w:divBdr>
                                                  <w:divsChild>
                                                    <w:div w:id="1892380935">
                                                      <w:marLeft w:val="0"/>
                                                      <w:marRight w:val="0"/>
                                                      <w:marTop w:val="0"/>
                                                      <w:marBottom w:val="0"/>
                                                      <w:divBdr>
                                                        <w:top w:val="none" w:sz="0" w:space="0" w:color="auto"/>
                                                        <w:left w:val="none" w:sz="0" w:space="0" w:color="auto"/>
                                                        <w:bottom w:val="none" w:sz="0" w:space="0" w:color="auto"/>
                                                        <w:right w:val="none" w:sz="0" w:space="0" w:color="auto"/>
                                                      </w:divBdr>
                                                      <w:divsChild>
                                                        <w:div w:id="11617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072169">
      <w:bodyDiv w:val="1"/>
      <w:marLeft w:val="0"/>
      <w:marRight w:val="0"/>
      <w:marTop w:val="0"/>
      <w:marBottom w:val="0"/>
      <w:divBdr>
        <w:top w:val="none" w:sz="0" w:space="0" w:color="auto"/>
        <w:left w:val="none" w:sz="0" w:space="0" w:color="auto"/>
        <w:bottom w:val="none" w:sz="0" w:space="0" w:color="auto"/>
        <w:right w:val="none" w:sz="0" w:space="0" w:color="auto"/>
      </w:divBdr>
      <w:divsChild>
        <w:div w:id="1025911536">
          <w:marLeft w:val="0"/>
          <w:marRight w:val="0"/>
          <w:marTop w:val="0"/>
          <w:marBottom w:val="0"/>
          <w:divBdr>
            <w:top w:val="none" w:sz="0" w:space="0" w:color="auto"/>
            <w:left w:val="none" w:sz="0" w:space="0" w:color="auto"/>
            <w:bottom w:val="none" w:sz="0" w:space="0" w:color="auto"/>
            <w:right w:val="none" w:sz="0" w:space="0" w:color="auto"/>
          </w:divBdr>
          <w:divsChild>
            <w:div w:id="1539396228">
              <w:marLeft w:val="0"/>
              <w:marRight w:val="0"/>
              <w:marTop w:val="0"/>
              <w:marBottom w:val="0"/>
              <w:divBdr>
                <w:top w:val="none" w:sz="0" w:space="0" w:color="auto"/>
                <w:left w:val="none" w:sz="0" w:space="0" w:color="auto"/>
                <w:bottom w:val="none" w:sz="0" w:space="0" w:color="auto"/>
                <w:right w:val="none" w:sz="0" w:space="0" w:color="auto"/>
              </w:divBdr>
              <w:divsChild>
                <w:div w:id="2079589639">
                  <w:marLeft w:val="0"/>
                  <w:marRight w:val="0"/>
                  <w:marTop w:val="0"/>
                  <w:marBottom w:val="0"/>
                  <w:divBdr>
                    <w:top w:val="none" w:sz="0" w:space="0" w:color="auto"/>
                    <w:left w:val="none" w:sz="0" w:space="0" w:color="auto"/>
                    <w:bottom w:val="none" w:sz="0" w:space="0" w:color="auto"/>
                    <w:right w:val="none" w:sz="0" w:space="0" w:color="auto"/>
                  </w:divBdr>
                  <w:divsChild>
                    <w:div w:id="1570186763">
                      <w:marLeft w:val="0"/>
                      <w:marRight w:val="0"/>
                      <w:marTop w:val="0"/>
                      <w:marBottom w:val="0"/>
                      <w:divBdr>
                        <w:top w:val="none" w:sz="0" w:space="0" w:color="auto"/>
                        <w:left w:val="none" w:sz="0" w:space="0" w:color="auto"/>
                        <w:bottom w:val="none" w:sz="0" w:space="0" w:color="auto"/>
                        <w:right w:val="none" w:sz="0" w:space="0" w:color="auto"/>
                      </w:divBdr>
                      <w:divsChild>
                        <w:div w:id="904485303">
                          <w:marLeft w:val="0"/>
                          <w:marRight w:val="0"/>
                          <w:marTop w:val="0"/>
                          <w:marBottom w:val="0"/>
                          <w:divBdr>
                            <w:top w:val="none" w:sz="0" w:space="0" w:color="auto"/>
                            <w:left w:val="none" w:sz="0" w:space="0" w:color="auto"/>
                            <w:bottom w:val="none" w:sz="0" w:space="0" w:color="auto"/>
                            <w:right w:val="none" w:sz="0" w:space="0" w:color="auto"/>
                          </w:divBdr>
                          <w:divsChild>
                            <w:div w:id="2146042061">
                              <w:marLeft w:val="0"/>
                              <w:marRight w:val="0"/>
                              <w:marTop w:val="0"/>
                              <w:marBottom w:val="0"/>
                              <w:divBdr>
                                <w:top w:val="none" w:sz="0" w:space="0" w:color="auto"/>
                                <w:left w:val="none" w:sz="0" w:space="0" w:color="auto"/>
                                <w:bottom w:val="none" w:sz="0" w:space="0" w:color="auto"/>
                                <w:right w:val="none" w:sz="0" w:space="0" w:color="auto"/>
                              </w:divBdr>
                              <w:divsChild>
                                <w:div w:id="1545097505">
                                  <w:marLeft w:val="0"/>
                                  <w:marRight w:val="0"/>
                                  <w:marTop w:val="0"/>
                                  <w:marBottom w:val="0"/>
                                  <w:divBdr>
                                    <w:top w:val="none" w:sz="0" w:space="0" w:color="auto"/>
                                    <w:left w:val="none" w:sz="0" w:space="0" w:color="auto"/>
                                    <w:bottom w:val="none" w:sz="0" w:space="0" w:color="auto"/>
                                    <w:right w:val="none" w:sz="0" w:space="0" w:color="auto"/>
                                  </w:divBdr>
                                  <w:divsChild>
                                    <w:div w:id="1417021299">
                                      <w:marLeft w:val="0"/>
                                      <w:marRight w:val="0"/>
                                      <w:marTop w:val="0"/>
                                      <w:marBottom w:val="0"/>
                                      <w:divBdr>
                                        <w:top w:val="none" w:sz="0" w:space="0" w:color="auto"/>
                                        <w:left w:val="none" w:sz="0" w:space="0" w:color="auto"/>
                                        <w:bottom w:val="none" w:sz="0" w:space="0" w:color="auto"/>
                                        <w:right w:val="none" w:sz="0" w:space="0" w:color="auto"/>
                                      </w:divBdr>
                                      <w:divsChild>
                                        <w:div w:id="1928078881">
                                          <w:marLeft w:val="0"/>
                                          <w:marRight w:val="0"/>
                                          <w:marTop w:val="0"/>
                                          <w:marBottom w:val="0"/>
                                          <w:divBdr>
                                            <w:top w:val="none" w:sz="0" w:space="0" w:color="auto"/>
                                            <w:left w:val="none" w:sz="0" w:space="0" w:color="auto"/>
                                            <w:bottom w:val="none" w:sz="0" w:space="0" w:color="auto"/>
                                            <w:right w:val="none" w:sz="0" w:space="0" w:color="auto"/>
                                          </w:divBdr>
                                          <w:divsChild>
                                            <w:div w:id="1107433240">
                                              <w:marLeft w:val="0"/>
                                              <w:marRight w:val="0"/>
                                              <w:marTop w:val="0"/>
                                              <w:marBottom w:val="0"/>
                                              <w:divBdr>
                                                <w:top w:val="none" w:sz="0" w:space="0" w:color="auto"/>
                                                <w:left w:val="none" w:sz="0" w:space="0" w:color="auto"/>
                                                <w:bottom w:val="none" w:sz="0" w:space="0" w:color="auto"/>
                                                <w:right w:val="none" w:sz="0" w:space="0" w:color="auto"/>
                                              </w:divBdr>
                                              <w:divsChild>
                                                <w:div w:id="1455902891">
                                                  <w:marLeft w:val="0"/>
                                                  <w:marRight w:val="0"/>
                                                  <w:marTop w:val="0"/>
                                                  <w:marBottom w:val="0"/>
                                                  <w:divBdr>
                                                    <w:top w:val="none" w:sz="0" w:space="0" w:color="auto"/>
                                                    <w:left w:val="none" w:sz="0" w:space="0" w:color="auto"/>
                                                    <w:bottom w:val="none" w:sz="0" w:space="0" w:color="auto"/>
                                                    <w:right w:val="none" w:sz="0" w:space="0" w:color="auto"/>
                                                  </w:divBdr>
                                                  <w:divsChild>
                                                    <w:div w:id="977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CBB9-9996-41F3-8B9B-EA86477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3354</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23216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Andrew Fernbach</cp:lastModifiedBy>
  <cp:revision>3</cp:revision>
  <cp:lastPrinted>2016-08-02T05:17:00Z</cp:lastPrinted>
  <dcterms:created xsi:type="dcterms:W3CDTF">2016-09-13T23:59:00Z</dcterms:created>
  <dcterms:modified xsi:type="dcterms:W3CDTF">2016-09-14T01:06:00Z</dcterms:modified>
</cp:coreProperties>
</file>