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90632" w14:textId="40461EF8" w:rsidR="000F43D4" w:rsidRPr="00F61B09" w:rsidRDefault="007D3B7A" w:rsidP="000F43D4">
      <w:pPr>
        <w:spacing w:after="600"/>
        <w:rPr>
          <w:sz w:val="28"/>
        </w:rPr>
      </w:pPr>
      <w:r>
        <w:rPr>
          <w:noProof/>
          <w:sz w:val="28"/>
          <w:lang w:eastAsia="en-AU"/>
        </w:rPr>
        <w:drawing>
          <wp:inline distT="0" distB="0" distL="0" distR="0" wp14:anchorId="32A55C34" wp14:editId="5DE525AF">
            <wp:extent cx="1661057" cy="1085850"/>
            <wp:effectExtent l="0" t="0" r="0" b="0"/>
            <wp:docPr id="2" name="Picture 2" title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057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90633" w14:textId="46AAF81B" w:rsidR="000F43D4" w:rsidRPr="00243EC0" w:rsidRDefault="000F43D4" w:rsidP="000F43D4">
      <w:pPr>
        <w:pStyle w:val="LI-Title"/>
        <w:pBdr>
          <w:bottom w:val="single" w:sz="4" w:space="1" w:color="auto"/>
        </w:pBdr>
      </w:pPr>
      <w:r w:rsidRPr="005D3D41">
        <w:t xml:space="preserve">Corporations </w:t>
      </w:r>
      <w:r w:rsidR="00AB7870">
        <w:t>(Low Volume Financial Markets</w:t>
      </w:r>
      <w:r>
        <w:t xml:space="preserve">) Instrument </w:t>
      </w:r>
      <w:r w:rsidR="00AB7870">
        <w:t>2016</w:t>
      </w:r>
      <w:r>
        <w:t>/</w:t>
      </w:r>
      <w:r w:rsidR="00970C8D">
        <w:t>888</w:t>
      </w:r>
    </w:p>
    <w:p w14:paraId="0B190634" w14:textId="4585BADE" w:rsidR="000F43D4" w:rsidRDefault="000F43D4" w:rsidP="000F43D4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970C8D">
        <w:rPr>
          <w:sz w:val="24"/>
          <w:szCs w:val="24"/>
        </w:rPr>
        <w:t>Grant Moodie</w:t>
      </w:r>
      <w:r w:rsidRPr="00BB5C17">
        <w:rPr>
          <w:sz w:val="24"/>
          <w:szCs w:val="24"/>
        </w:rPr>
        <w:t xml:space="preserve">, </w:t>
      </w:r>
      <w:r w:rsidR="009E5909" w:rsidRPr="005E75AC">
        <w:rPr>
          <w:sz w:val="24"/>
          <w:szCs w:val="24"/>
        </w:rPr>
        <w:t xml:space="preserve">delegate of the Minister for </w:t>
      </w:r>
      <w:r w:rsidR="00C41E9F">
        <w:rPr>
          <w:sz w:val="24"/>
          <w:szCs w:val="24"/>
        </w:rPr>
        <w:t>Revenue and Financial Services</w:t>
      </w:r>
      <w:r w:rsidRPr="00BB5C17">
        <w:rPr>
          <w:sz w:val="24"/>
          <w:szCs w:val="24"/>
        </w:rPr>
        <w:t>, make the following legislative instrument.</w:t>
      </w:r>
    </w:p>
    <w:p w14:paraId="0B190635" w14:textId="77777777" w:rsidR="000F43D4" w:rsidRDefault="000F43D4" w:rsidP="000F43D4">
      <w:pPr>
        <w:pStyle w:val="LI-Fronttext"/>
      </w:pPr>
    </w:p>
    <w:p w14:paraId="0B190636" w14:textId="69E0B1CC" w:rsidR="000F43D4" w:rsidRDefault="000F43D4" w:rsidP="000F43D4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>Date</w:t>
      </w:r>
      <w:r w:rsidRPr="00BB5C17">
        <w:rPr>
          <w:sz w:val="24"/>
          <w:szCs w:val="24"/>
        </w:rPr>
        <w:tab/>
      </w:r>
      <w:r w:rsidRPr="00BB5C17">
        <w:rPr>
          <w:sz w:val="24"/>
          <w:szCs w:val="24"/>
        </w:rPr>
        <w:tab/>
      </w:r>
      <w:r w:rsidR="007249FA">
        <w:rPr>
          <w:sz w:val="24"/>
          <w:szCs w:val="24"/>
        </w:rPr>
        <w:t>2</w:t>
      </w:r>
      <w:r w:rsidR="00FF11BE">
        <w:rPr>
          <w:sz w:val="24"/>
          <w:szCs w:val="24"/>
        </w:rPr>
        <w:t>2</w:t>
      </w:r>
      <w:r w:rsidR="00970C8D">
        <w:rPr>
          <w:sz w:val="24"/>
          <w:szCs w:val="24"/>
        </w:rPr>
        <w:t xml:space="preserve"> September </w:t>
      </w:r>
      <w:bookmarkStart w:id="0" w:name="BKCheck15B_1"/>
      <w:bookmarkEnd w:id="0"/>
      <w:r>
        <w:rPr>
          <w:sz w:val="24"/>
          <w:szCs w:val="24"/>
        </w:rPr>
        <w:t>2016</w:t>
      </w:r>
    </w:p>
    <w:p w14:paraId="0B190638" w14:textId="0B04EE7C" w:rsidR="000F43D4" w:rsidRDefault="000F43D4" w:rsidP="000F43D4">
      <w:pPr>
        <w:pStyle w:val="LI-Fronttext"/>
        <w:rPr>
          <w:sz w:val="24"/>
          <w:szCs w:val="24"/>
        </w:rPr>
      </w:pPr>
    </w:p>
    <w:p w14:paraId="5A39F992" w14:textId="77777777" w:rsidR="00077A71" w:rsidRPr="00077A71" w:rsidRDefault="00077A71" w:rsidP="00077A71">
      <w:pPr>
        <w:rPr>
          <w:lang w:eastAsia="en-AU"/>
        </w:rPr>
      </w:pPr>
    </w:p>
    <w:p w14:paraId="0B190639" w14:textId="7AE0540A" w:rsidR="000F43D4" w:rsidRPr="00BB5C17" w:rsidRDefault="00970C8D" w:rsidP="000F43D4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Grant Moodie</w:t>
      </w:r>
    </w:p>
    <w:p w14:paraId="0B19063A" w14:textId="77777777" w:rsidR="000F43D4" w:rsidRPr="00F61B09" w:rsidRDefault="000F43D4" w:rsidP="000F43D4">
      <w:pPr>
        <w:pStyle w:val="Header"/>
        <w:tabs>
          <w:tab w:val="clear" w:pos="4150"/>
          <w:tab w:val="clear" w:pos="8307"/>
        </w:tabs>
      </w:pPr>
    </w:p>
    <w:p w14:paraId="0B19063B" w14:textId="77777777" w:rsidR="000F43D4" w:rsidRPr="00F61B09" w:rsidRDefault="000F43D4" w:rsidP="000F43D4">
      <w:pPr>
        <w:sectPr w:rsidR="000F43D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B19063C" w14:textId="77777777" w:rsidR="000F43D4" w:rsidRPr="00F61B09" w:rsidRDefault="000F43D4" w:rsidP="000F43D4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71798EB6" w14:textId="77777777" w:rsidR="00FF11BE" w:rsidRDefault="000F43D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462294929" w:history="1">
        <w:r w:rsidR="00FF11BE" w:rsidRPr="00456325">
          <w:rPr>
            <w:rStyle w:val="Hyperlink"/>
            <w:noProof/>
          </w:rPr>
          <w:t>Part 1—Preliminary</w:t>
        </w:r>
        <w:r w:rsidR="00FF11BE">
          <w:rPr>
            <w:noProof/>
            <w:webHidden/>
          </w:rPr>
          <w:tab/>
        </w:r>
        <w:r w:rsidR="00FF11BE">
          <w:rPr>
            <w:noProof/>
            <w:webHidden/>
          </w:rPr>
          <w:fldChar w:fldCharType="begin"/>
        </w:r>
        <w:r w:rsidR="00FF11BE">
          <w:rPr>
            <w:noProof/>
            <w:webHidden/>
          </w:rPr>
          <w:instrText xml:space="preserve"> PAGEREF _Toc462294929 \h </w:instrText>
        </w:r>
        <w:r w:rsidR="00FF11BE">
          <w:rPr>
            <w:noProof/>
            <w:webHidden/>
          </w:rPr>
        </w:r>
        <w:r w:rsidR="00FF11BE">
          <w:rPr>
            <w:noProof/>
            <w:webHidden/>
          </w:rPr>
          <w:fldChar w:fldCharType="separate"/>
        </w:r>
        <w:r w:rsidR="00026DBA">
          <w:rPr>
            <w:noProof/>
            <w:webHidden/>
          </w:rPr>
          <w:t>3</w:t>
        </w:r>
        <w:r w:rsidR="00FF11BE">
          <w:rPr>
            <w:noProof/>
            <w:webHidden/>
          </w:rPr>
          <w:fldChar w:fldCharType="end"/>
        </w:r>
      </w:hyperlink>
    </w:p>
    <w:p w14:paraId="5F64D054" w14:textId="77777777" w:rsidR="00FF11BE" w:rsidRDefault="00026DB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2294930" w:history="1">
        <w:r w:rsidR="00FF11BE" w:rsidRPr="00456325">
          <w:rPr>
            <w:rStyle w:val="Hyperlink"/>
            <w:noProof/>
          </w:rPr>
          <w:t>1</w:t>
        </w:r>
        <w:r w:rsidR="00FF11B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FF11BE" w:rsidRPr="00456325">
          <w:rPr>
            <w:rStyle w:val="Hyperlink"/>
            <w:noProof/>
          </w:rPr>
          <w:t>Name of legislative instrument</w:t>
        </w:r>
        <w:r w:rsidR="00FF11BE">
          <w:rPr>
            <w:noProof/>
            <w:webHidden/>
          </w:rPr>
          <w:tab/>
        </w:r>
        <w:r w:rsidR="00FF11BE">
          <w:rPr>
            <w:noProof/>
            <w:webHidden/>
          </w:rPr>
          <w:fldChar w:fldCharType="begin"/>
        </w:r>
        <w:r w:rsidR="00FF11BE">
          <w:rPr>
            <w:noProof/>
            <w:webHidden/>
          </w:rPr>
          <w:instrText xml:space="preserve"> PAGEREF _Toc462294930 \h </w:instrText>
        </w:r>
        <w:r w:rsidR="00FF11BE">
          <w:rPr>
            <w:noProof/>
            <w:webHidden/>
          </w:rPr>
        </w:r>
        <w:r w:rsidR="00FF11B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F11BE">
          <w:rPr>
            <w:noProof/>
            <w:webHidden/>
          </w:rPr>
          <w:fldChar w:fldCharType="end"/>
        </w:r>
      </w:hyperlink>
    </w:p>
    <w:p w14:paraId="39991C3B" w14:textId="77777777" w:rsidR="00FF11BE" w:rsidRDefault="00026DB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2294931" w:history="1">
        <w:r w:rsidR="00FF11BE" w:rsidRPr="00456325">
          <w:rPr>
            <w:rStyle w:val="Hyperlink"/>
            <w:noProof/>
          </w:rPr>
          <w:t>2</w:t>
        </w:r>
        <w:r w:rsidR="00FF11B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FF11BE" w:rsidRPr="00456325">
          <w:rPr>
            <w:rStyle w:val="Hyperlink"/>
            <w:noProof/>
          </w:rPr>
          <w:t>Commencement</w:t>
        </w:r>
        <w:r w:rsidR="00FF11BE">
          <w:rPr>
            <w:noProof/>
            <w:webHidden/>
          </w:rPr>
          <w:tab/>
        </w:r>
        <w:r w:rsidR="00FF11BE">
          <w:rPr>
            <w:noProof/>
            <w:webHidden/>
          </w:rPr>
          <w:fldChar w:fldCharType="begin"/>
        </w:r>
        <w:r w:rsidR="00FF11BE">
          <w:rPr>
            <w:noProof/>
            <w:webHidden/>
          </w:rPr>
          <w:instrText xml:space="preserve"> PAGEREF _Toc462294931 \h </w:instrText>
        </w:r>
        <w:r w:rsidR="00FF11BE">
          <w:rPr>
            <w:noProof/>
            <w:webHidden/>
          </w:rPr>
        </w:r>
        <w:r w:rsidR="00FF11B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F11BE">
          <w:rPr>
            <w:noProof/>
            <w:webHidden/>
          </w:rPr>
          <w:fldChar w:fldCharType="end"/>
        </w:r>
      </w:hyperlink>
    </w:p>
    <w:p w14:paraId="41DCC49F" w14:textId="77777777" w:rsidR="00FF11BE" w:rsidRDefault="00026DB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2294932" w:history="1">
        <w:r w:rsidR="00FF11BE" w:rsidRPr="00456325">
          <w:rPr>
            <w:rStyle w:val="Hyperlink"/>
            <w:noProof/>
          </w:rPr>
          <w:t>3</w:t>
        </w:r>
        <w:r w:rsidR="00FF11B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FF11BE" w:rsidRPr="00456325">
          <w:rPr>
            <w:rStyle w:val="Hyperlink"/>
            <w:noProof/>
          </w:rPr>
          <w:t>Authority</w:t>
        </w:r>
        <w:r w:rsidR="00FF11BE">
          <w:rPr>
            <w:noProof/>
            <w:webHidden/>
          </w:rPr>
          <w:tab/>
        </w:r>
        <w:r w:rsidR="00FF11BE">
          <w:rPr>
            <w:noProof/>
            <w:webHidden/>
          </w:rPr>
          <w:fldChar w:fldCharType="begin"/>
        </w:r>
        <w:r w:rsidR="00FF11BE">
          <w:rPr>
            <w:noProof/>
            <w:webHidden/>
          </w:rPr>
          <w:instrText xml:space="preserve"> PAGEREF _Toc462294932 \h </w:instrText>
        </w:r>
        <w:r w:rsidR="00FF11BE">
          <w:rPr>
            <w:noProof/>
            <w:webHidden/>
          </w:rPr>
        </w:r>
        <w:r w:rsidR="00FF11B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F11BE">
          <w:rPr>
            <w:noProof/>
            <w:webHidden/>
          </w:rPr>
          <w:fldChar w:fldCharType="end"/>
        </w:r>
      </w:hyperlink>
    </w:p>
    <w:p w14:paraId="4D6FE2A6" w14:textId="77777777" w:rsidR="00FF11BE" w:rsidRDefault="00026DB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2294933" w:history="1">
        <w:r w:rsidR="00FF11BE" w:rsidRPr="00456325">
          <w:rPr>
            <w:rStyle w:val="Hyperlink"/>
            <w:noProof/>
          </w:rPr>
          <w:t>4</w:t>
        </w:r>
        <w:r w:rsidR="00FF11B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FF11BE" w:rsidRPr="00456325">
          <w:rPr>
            <w:rStyle w:val="Hyperlink"/>
            <w:noProof/>
          </w:rPr>
          <w:t>Definitions</w:t>
        </w:r>
        <w:r w:rsidR="00FF11BE">
          <w:rPr>
            <w:noProof/>
            <w:webHidden/>
          </w:rPr>
          <w:tab/>
        </w:r>
        <w:r w:rsidR="00FF11BE">
          <w:rPr>
            <w:noProof/>
            <w:webHidden/>
          </w:rPr>
          <w:fldChar w:fldCharType="begin"/>
        </w:r>
        <w:r w:rsidR="00FF11BE">
          <w:rPr>
            <w:noProof/>
            <w:webHidden/>
          </w:rPr>
          <w:instrText xml:space="preserve"> PAGEREF _Toc462294933 \h </w:instrText>
        </w:r>
        <w:r w:rsidR="00FF11BE">
          <w:rPr>
            <w:noProof/>
            <w:webHidden/>
          </w:rPr>
        </w:r>
        <w:r w:rsidR="00FF11B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FF11BE">
          <w:rPr>
            <w:noProof/>
            <w:webHidden/>
          </w:rPr>
          <w:fldChar w:fldCharType="end"/>
        </w:r>
      </w:hyperlink>
    </w:p>
    <w:p w14:paraId="5856E0CE" w14:textId="77777777" w:rsidR="00FF11BE" w:rsidRDefault="00026DB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462294934" w:history="1">
        <w:r w:rsidR="00FF11BE" w:rsidRPr="00456325">
          <w:rPr>
            <w:rStyle w:val="Hyperlink"/>
            <w:noProof/>
          </w:rPr>
          <w:t>Part 2—Exemption</w:t>
        </w:r>
        <w:r w:rsidR="00FF11BE">
          <w:rPr>
            <w:noProof/>
            <w:webHidden/>
          </w:rPr>
          <w:tab/>
        </w:r>
        <w:r w:rsidR="00FF11BE">
          <w:rPr>
            <w:noProof/>
            <w:webHidden/>
          </w:rPr>
          <w:fldChar w:fldCharType="begin"/>
        </w:r>
        <w:r w:rsidR="00FF11BE">
          <w:rPr>
            <w:noProof/>
            <w:webHidden/>
          </w:rPr>
          <w:instrText xml:space="preserve"> PAGEREF _Toc462294934 \h </w:instrText>
        </w:r>
        <w:r w:rsidR="00FF11BE">
          <w:rPr>
            <w:noProof/>
            <w:webHidden/>
          </w:rPr>
        </w:r>
        <w:r w:rsidR="00FF11BE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F11BE">
          <w:rPr>
            <w:noProof/>
            <w:webHidden/>
          </w:rPr>
          <w:fldChar w:fldCharType="end"/>
        </w:r>
      </w:hyperlink>
    </w:p>
    <w:p w14:paraId="17FB2B43" w14:textId="77777777" w:rsidR="00FF11BE" w:rsidRDefault="00026DB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2294935" w:history="1">
        <w:r w:rsidR="00FF11BE" w:rsidRPr="00456325">
          <w:rPr>
            <w:rStyle w:val="Hyperlink"/>
            <w:noProof/>
          </w:rPr>
          <w:t>5</w:t>
        </w:r>
        <w:r w:rsidR="00FF11B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FF11BE" w:rsidRPr="00456325">
          <w:rPr>
            <w:rStyle w:val="Hyperlink"/>
            <w:noProof/>
          </w:rPr>
          <w:t>Exemption from the requirement to hold an Australian market licence</w:t>
        </w:r>
        <w:r w:rsidR="00FF11BE">
          <w:rPr>
            <w:noProof/>
            <w:webHidden/>
          </w:rPr>
          <w:tab/>
        </w:r>
        <w:r w:rsidR="00FF11BE">
          <w:rPr>
            <w:noProof/>
            <w:webHidden/>
          </w:rPr>
          <w:fldChar w:fldCharType="begin"/>
        </w:r>
        <w:r w:rsidR="00FF11BE">
          <w:rPr>
            <w:noProof/>
            <w:webHidden/>
          </w:rPr>
          <w:instrText xml:space="preserve"> PAGEREF _Toc462294935 \h </w:instrText>
        </w:r>
        <w:r w:rsidR="00FF11BE">
          <w:rPr>
            <w:noProof/>
            <w:webHidden/>
          </w:rPr>
        </w:r>
        <w:r w:rsidR="00FF11BE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F11BE">
          <w:rPr>
            <w:noProof/>
            <w:webHidden/>
          </w:rPr>
          <w:fldChar w:fldCharType="end"/>
        </w:r>
      </w:hyperlink>
    </w:p>
    <w:p w14:paraId="19B75673" w14:textId="77777777" w:rsidR="00FF11BE" w:rsidRDefault="00026DB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2294936" w:history="1">
        <w:r w:rsidR="00FF11BE" w:rsidRPr="00456325">
          <w:rPr>
            <w:rStyle w:val="Hyperlink"/>
            <w:noProof/>
          </w:rPr>
          <w:t>6</w:t>
        </w:r>
        <w:r w:rsidR="00FF11B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FF11BE" w:rsidRPr="00456325">
          <w:rPr>
            <w:rStyle w:val="Hyperlink"/>
            <w:noProof/>
          </w:rPr>
          <w:t>Conditions</w:t>
        </w:r>
        <w:r w:rsidR="00FF11BE">
          <w:rPr>
            <w:noProof/>
            <w:webHidden/>
          </w:rPr>
          <w:tab/>
        </w:r>
        <w:r w:rsidR="00FF11BE">
          <w:rPr>
            <w:noProof/>
            <w:webHidden/>
          </w:rPr>
          <w:fldChar w:fldCharType="begin"/>
        </w:r>
        <w:r w:rsidR="00FF11BE">
          <w:rPr>
            <w:noProof/>
            <w:webHidden/>
          </w:rPr>
          <w:instrText xml:space="preserve"> PAGEREF _Toc462294936 \h </w:instrText>
        </w:r>
        <w:r w:rsidR="00FF11BE">
          <w:rPr>
            <w:noProof/>
            <w:webHidden/>
          </w:rPr>
        </w:r>
        <w:r w:rsidR="00FF11BE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FF11BE">
          <w:rPr>
            <w:noProof/>
            <w:webHidden/>
          </w:rPr>
          <w:fldChar w:fldCharType="end"/>
        </w:r>
      </w:hyperlink>
    </w:p>
    <w:p w14:paraId="0B190646" w14:textId="77777777" w:rsidR="000F43D4" w:rsidRPr="00F61B09" w:rsidRDefault="000F43D4" w:rsidP="000F43D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0B190647" w14:textId="77777777" w:rsidR="000F43D4" w:rsidRPr="00F61B09" w:rsidRDefault="000F43D4" w:rsidP="000F43D4">
      <w:pPr>
        <w:sectPr w:rsidR="000F43D4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B190648" w14:textId="77777777" w:rsidR="000F43D4" w:rsidRPr="00F61B09" w:rsidRDefault="000F43D4" w:rsidP="000F43D4">
      <w:pPr>
        <w:pStyle w:val="LI-Heading1"/>
      </w:pPr>
      <w:bookmarkStart w:id="2" w:name="BK_S3P1L1C1"/>
      <w:bookmarkStart w:id="3" w:name="_Toc462294929"/>
      <w:bookmarkEnd w:id="2"/>
      <w:r w:rsidRPr="006554FF">
        <w:lastRenderedPageBreak/>
        <w:t>Part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0B190649" w14:textId="77777777" w:rsidR="000F43D4" w:rsidRDefault="000F43D4" w:rsidP="000F43D4">
      <w:pPr>
        <w:pStyle w:val="LI-Heading2"/>
        <w:rPr>
          <w:szCs w:val="24"/>
        </w:rPr>
      </w:pPr>
      <w:bookmarkStart w:id="4" w:name="_Toc462294930"/>
      <w:r w:rsidRPr="008C0F29">
        <w:rPr>
          <w:szCs w:val="24"/>
        </w:rPr>
        <w:t>1</w:t>
      </w:r>
      <w:r>
        <w:rPr>
          <w:szCs w:val="24"/>
        </w:rPr>
        <w:tab/>
      </w:r>
      <w:r w:rsidRPr="008C0F29">
        <w:rPr>
          <w:szCs w:val="24"/>
        </w:rPr>
        <w:t>Name of legislative instrument</w:t>
      </w:r>
      <w:bookmarkEnd w:id="4"/>
    </w:p>
    <w:p w14:paraId="0B19064A" w14:textId="57B24964" w:rsidR="000F43D4" w:rsidRDefault="000F43D4" w:rsidP="000F43D4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970C8D">
        <w:rPr>
          <w:szCs w:val="24"/>
        </w:rPr>
        <w:t xml:space="preserve">is the </w:t>
      </w:r>
      <w:r w:rsidR="00AB7870">
        <w:rPr>
          <w:i/>
          <w:szCs w:val="24"/>
        </w:rPr>
        <w:t xml:space="preserve">Corporations </w:t>
      </w:r>
      <w:r w:rsidR="00AA5F9B">
        <w:rPr>
          <w:i/>
          <w:szCs w:val="24"/>
        </w:rPr>
        <w:t>(Low Volume Financial Markets</w:t>
      </w:r>
      <w:r w:rsidR="00AB7870">
        <w:rPr>
          <w:i/>
          <w:szCs w:val="24"/>
        </w:rPr>
        <w:t>) Instrument</w:t>
      </w:r>
      <w:r w:rsidR="007D3B7A">
        <w:rPr>
          <w:i/>
          <w:szCs w:val="24"/>
        </w:rPr>
        <w:t> </w:t>
      </w:r>
      <w:r w:rsidR="00AB7870">
        <w:rPr>
          <w:i/>
          <w:szCs w:val="24"/>
        </w:rPr>
        <w:t>2016</w:t>
      </w:r>
      <w:r>
        <w:rPr>
          <w:i/>
          <w:szCs w:val="24"/>
        </w:rPr>
        <w:t>/</w:t>
      </w:r>
      <w:r w:rsidR="00970C8D">
        <w:rPr>
          <w:i/>
          <w:szCs w:val="24"/>
        </w:rPr>
        <w:t>888</w:t>
      </w:r>
      <w:r w:rsidRPr="005D3D41">
        <w:rPr>
          <w:szCs w:val="24"/>
        </w:rPr>
        <w:t>.</w:t>
      </w:r>
    </w:p>
    <w:p w14:paraId="0B19064B" w14:textId="77777777" w:rsidR="000F43D4" w:rsidRPr="008C0F29" w:rsidRDefault="000F43D4" w:rsidP="000F43D4">
      <w:pPr>
        <w:pStyle w:val="LI-Heading2"/>
        <w:rPr>
          <w:szCs w:val="24"/>
        </w:rPr>
      </w:pPr>
      <w:bookmarkStart w:id="5" w:name="_Toc462294931"/>
      <w:r w:rsidRPr="008C0F29">
        <w:rPr>
          <w:szCs w:val="24"/>
        </w:rPr>
        <w:t>2</w:t>
      </w:r>
      <w:r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19A7D05E" w14:textId="573D1426" w:rsidR="00795F83" w:rsidRDefault="000F43D4" w:rsidP="000F43D4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>
        <w:rPr>
          <w:szCs w:val="24"/>
        </w:rPr>
        <w:t>instrument</w:t>
      </w:r>
      <w:r w:rsidRPr="008C0F29">
        <w:rPr>
          <w:szCs w:val="24"/>
        </w:rPr>
        <w:t xml:space="preserve"> commences on the </w:t>
      </w:r>
      <w:r w:rsidR="00795F83">
        <w:rPr>
          <w:szCs w:val="24"/>
        </w:rPr>
        <w:t>later of:</w:t>
      </w:r>
    </w:p>
    <w:p w14:paraId="5A8CA587" w14:textId="3CDF51C9" w:rsidR="00386B44" w:rsidRDefault="00386B44" w:rsidP="00795F83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(a)</w:t>
      </w:r>
      <w:r>
        <w:rPr>
          <w:szCs w:val="24"/>
        </w:rPr>
        <w:tab/>
      </w:r>
      <w:r w:rsidR="00100183">
        <w:rPr>
          <w:szCs w:val="24"/>
        </w:rPr>
        <w:t xml:space="preserve">30 September </w:t>
      </w:r>
      <w:r>
        <w:rPr>
          <w:szCs w:val="24"/>
        </w:rPr>
        <w:t>2016;</w:t>
      </w:r>
      <w:r>
        <w:rPr>
          <w:szCs w:val="24"/>
        </w:rPr>
        <w:tab/>
      </w:r>
    </w:p>
    <w:p w14:paraId="172D1D82" w14:textId="55CEA42D" w:rsidR="00795F83" w:rsidRDefault="00795F83" w:rsidP="00795F83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</w:t>
      </w:r>
      <w:r w:rsidR="00386B44">
        <w:rPr>
          <w:szCs w:val="24"/>
        </w:rPr>
        <w:t>b</w:t>
      </w:r>
      <w:r>
        <w:rPr>
          <w:szCs w:val="24"/>
        </w:rPr>
        <w:t>)</w:t>
      </w:r>
      <w:r>
        <w:rPr>
          <w:szCs w:val="24"/>
        </w:rPr>
        <w:tab/>
        <w:t xml:space="preserve">the date of </w:t>
      </w:r>
      <w:r w:rsidR="00F47079">
        <w:rPr>
          <w:szCs w:val="24"/>
        </w:rPr>
        <w:t xml:space="preserve">its </w:t>
      </w:r>
      <w:r>
        <w:rPr>
          <w:szCs w:val="24"/>
        </w:rPr>
        <w:t>gazettal;</w:t>
      </w:r>
    </w:p>
    <w:p w14:paraId="0B19064C" w14:textId="11457284" w:rsidR="000F43D4" w:rsidRPr="008C0F29" w:rsidRDefault="00795F83" w:rsidP="00795F83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</w:t>
      </w:r>
      <w:r w:rsidR="00386B44">
        <w:rPr>
          <w:szCs w:val="24"/>
        </w:rPr>
        <w:t>c</w:t>
      </w:r>
      <w:r>
        <w:rPr>
          <w:szCs w:val="24"/>
        </w:rPr>
        <w:t>)</w:t>
      </w:r>
      <w:r>
        <w:rPr>
          <w:szCs w:val="24"/>
        </w:rPr>
        <w:tab/>
        <w:t xml:space="preserve">the </w:t>
      </w:r>
      <w:r w:rsidR="000F43D4" w:rsidRPr="008C0F29">
        <w:rPr>
          <w:szCs w:val="24"/>
        </w:rPr>
        <w:t xml:space="preserve">day </w:t>
      </w:r>
      <w:r w:rsidR="000F43D4">
        <w:rPr>
          <w:szCs w:val="24"/>
        </w:rPr>
        <w:t>after it is registered on the Federal Register of Legislation</w:t>
      </w:r>
      <w:r w:rsidR="000F43D4" w:rsidRPr="008C0F29">
        <w:rPr>
          <w:szCs w:val="24"/>
        </w:rPr>
        <w:t>.</w:t>
      </w:r>
    </w:p>
    <w:p w14:paraId="0B19064D" w14:textId="77777777" w:rsidR="000F43D4" w:rsidRDefault="000F43D4" w:rsidP="000F43D4">
      <w:pPr>
        <w:pStyle w:val="LI-BodyTextNote"/>
      </w:pPr>
      <w:r w:rsidRPr="00F61B09">
        <w:t>Note:</w:t>
      </w:r>
      <w:r w:rsidRPr="00F61B09">
        <w:tab/>
      </w:r>
      <w:r>
        <w:t xml:space="preserve">The register </w:t>
      </w:r>
      <w:r w:rsidRPr="00572BB1">
        <w:t xml:space="preserve">may </w:t>
      </w:r>
      <w:r>
        <w:t xml:space="preserve">be accessed at </w:t>
      </w:r>
      <w:hyperlink r:id="rId24" w:history="1">
        <w:r w:rsidRPr="008B4C0E">
          <w:rPr>
            <w:rStyle w:val="Hyperlink"/>
          </w:rPr>
          <w:t>www.legislation.gov.au</w:t>
        </w:r>
      </w:hyperlink>
      <w:r>
        <w:t>.</w:t>
      </w:r>
    </w:p>
    <w:p w14:paraId="0B19064E" w14:textId="77777777" w:rsidR="000F43D4" w:rsidRPr="008C0F29" w:rsidRDefault="000F43D4" w:rsidP="000F43D4">
      <w:pPr>
        <w:pStyle w:val="LI-Heading2"/>
        <w:spacing w:before="240"/>
        <w:rPr>
          <w:szCs w:val="24"/>
        </w:rPr>
      </w:pPr>
      <w:bookmarkStart w:id="6" w:name="_Toc462294932"/>
      <w:r w:rsidRPr="008C0F29">
        <w:rPr>
          <w:szCs w:val="24"/>
        </w:rPr>
        <w:t>3</w:t>
      </w:r>
      <w:r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0B19064F" w14:textId="3A8D3BD4" w:rsidR="000F43D4" w:rsidRPr="008C0F29" w:rsidRDefault="000F43D4" w:rsidP="000F43D4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instrument is made under </w:t>
      </w:r>
      <w:r w:rsidR="00795F83">
        <w:rPr>
          <w:szCs w:val="24"/>
        </w:rPr>
        <w:t>sub</w:t>
      </w:r>
      <w:r w:rsidR="00AB7870">
        <w:rPr>
          <w:szCs w:val="24"/>
        </w:rPr>
        <w:t>section 791C</w:t>
      </w:r>
      <w:r w:rsidR="00795F83">
        <w:rPr>
          <w:szCs w:val="24"/>
        </w:rPr>
        <w:t>(1)</w:t>
      </w:r>
      <w:r w:rsidRPr="005D3D41">
        <w:rPr>
          <w:szCs w:val="24"/>
        </w:rPr>
        <w:t xml:space="preserve"> of </w:t>
      </w:r>
      <w:r w:rsidR="00AB7870">
        <w:rPr>
          <w:szCs w:val="24"/>
        </w:rPr>
        <w:t xml:space="preserve">the </w:t>
      </w:r>
      <w:r w:rsidR="00AB7870">
        <w:rPr>
          <w:i/>
          <w:szCs w:val="24"/>
        </w:rPr>
        <w:t>Corporations</w:t>
      </w:r>
      <w:r w:rsidR="00795F83">
        <w:rPr>
          <w:i/>
          <w:szCs w:val="24"/>
        </w:rPr>
        <w:t> </w:t>
      </w:r>
      <w:r w:rsidR="00AB7870">
        <w:rPr>
          <w:i/>
          <w:szCs w:val="24"/>
        </w:rPr>
        <w:t>Act 2001</w:t>
      </w:r>
      <w:r w:rsidRPr="008C0F29">
        <w:rPr>
          <w:szCs w:val="24"/>
        </w:rPr>
        <w:t>.</w:t>
      </w:r>
    </w:p>
    <w:p w14:paraId="0B190650" w14:textId="77777777" w:rsidR="000F43D4" w:rsidRPr="00BB5C17" w:rsidRDefault="000F43D4" w:rsidP="000F43D4">
      <w:pPr>
        <w:pStyle w:val="LI-Heading2"/>
        <w:spacing w:before="240"/>
        <w:rPr>
          <w:szCs w:val="24"/>
        </w:rPr>
      </w:pPr>
      <w:bookmarkStart w:id="7" w:name="_Toc462294933"/>
      <w:r w:rsidRPr="00BB5C17">
        <w:rPr>
          <w:szCs w:val="24"/>
        </w:rPr>
        <w:t>4</w:t>
      </w:r>
      <w:r>
        <w:rPr>
          <w:szCs w:val="24"/>
        </w:rPr>
        <w:tab/>
      </w:r>
      <w:r w:rsidRPr="00BB5C17">
        <w:rPr>
          <w:szCs w:val="24"/>
        </w:rPr>
        <w:t>Definitions</w:t>
      </w:r>
      <w:bookmarkEnd w:id="7"/>
    </w:p>
    <w:p w14:paraId="0B190651" w14:textId="77777777" w:rsidR="000F43D4" w:rsidRPr="00005446" w:rsidRDefault="000F43D4" w:rsidP="000F43D4">
      <w:pPr>
        <w:pStyle w:val="LI-BodyTextUnnumbered"/>
      </w:pPr>
      <w:r w:rsidRPr="00005446">
        <w:t>In this instrument:</w:t>
      </w:r>
    </w:p>
    <w:p w14:paraId="0B190652" w14:textId="347EDBA4" w:rsidR="000F43D4" w:rsidRDefault="000F43D4" w:rsidP="000F43D4">
      <w:pPr>
        <w:pStyle w:val="LI-BodyTextUnnumbered"/>
        <w:rPr>
          <w:b/>
          <w:i/>
        </w:rPr>
      </w:pPr>
      <w:r>
        <w:rPr>
          <w:b/>
          <w:i/>
        </w:rPr>
        <w:t>Act</w:t>
      </w:r>
      <w:r w:rsidRPr="00E85A91">
        <w:t xml:space="preserve"> means</w:t>
      </w:r>
      <w:r w:rsidR="00AB7870">
        <w:t xml:space="preserve"> the </w:t>
      </w:r>
      <w:r w:rsidR="00AB7870">
        <w:rPr>
          <w:i/>
        </w:rPr>
        <w:t>Corporations Act 2001</w:t>
      </w:r>
      <w:r>
        <w:t>.</w:t>
      </w:r>
    </w:p>
    <w:p w14:paraId="0B190655" w14:textId="77777777" w:rsidR="0012599E" w:rsidRDefault="00AB7870" w:rsidP="0012599E">
      <w:pPr>
        <w:pStyle w:val="LI-BodyTextUnnumbered"/>
      </w:pPr>
      <w:r>
        <w:rPr>
          <w:b/>
          <w:i/>
        </w:rPr>
        <w:t>low volume financial market</w:t>
      </w:r>
      <w:r w:rsidR="003816B3">
        <w:t xml:space="preserve"> means a financial market</w:t>
      </w:r>
      <w:r w:rsidR="00FF0E64">
        <w:t xml:space="preserve"> </w:t>
      </w:r>
      <w:r w:rsidR="0012599E">
        <w:t xml:space="preserve">on </w:t>
      </w:r>
      <w:r w:rsidR="00FF0E64">
        <w:t>which:</w:t>
      </w:r>
    </w:p>
    <w:p w14:paraId="0B190656" w14:textId="77777777" w:rsidR="0012599E" w:rsidRDefault="0012599E" w:rsidP="0012599E">
      <w:pPr>
        <w:pStyle w:val="LI-BodyTextParaa"/>
      </w:pPr>
      <w:r>
        <w:t>(a)</w:t>
      </w:r>
      <w:r>
        <w:tab/>
        <w:t>no more than 100 completed transactions are entered into; and</w:t>
      </w:r>
    </w:p>
    <w:p w14:paraId="0B190657" w14:textId="497A9E6B" w:rsidR="0012599E" w:rsidRDefault="0012599E" w:rsidP="0012599E">
      <w:pPr>
        <w:pStyle w:val="LI-BodyTextParaa"/>
      </w:pPr>
      <w:r>
        <w:t>(b)</w:t>
      </w:r>
      <w:r>
        <w:tab/>
        <w:t>the value of the transactions entered into does not exceed $1</w:t>
      </w:r>
      <w:r w:rsidR="00623D92">
        <w:t>.</w:t>
      </w:r>
      <w:r>
        <w:t>5</w:t>
      </w:r>
      <w:r w:rsidR="00623D92">
        <w:t> million</w:t>
      </w:r>
      <w:r w:rsidR="000A661C">
        <w:t>;</w:t>
      </w:r>
    </w:p>
    <w:p w14:paraId="0B19065A" w14:textId="6FD2A530" w:rsidR="00E95681" w:rsidRDefault="00395476" w:rsidP="00395476">
      <w:pPr>
        <w:pStyle w:val="LI-BodyTextParaa"/>
        <w:ind w:left="1134" w:firstLine="0"/>
      </w:pPr>
      <w:r>
        <w:t xml:space="preserve">in </w:t>
      </w:r>
      <w:r w:rsidR="00FF0E64">
        <w:t xml:space="preserve">the 12 month period commencing on the date the </w:t>
      </w:r>
      <w:r w:rsidR="000A661C">
        <w:t>financial market was named in the register</w:t>
      </w:r>
      <w:r w:rsidR="00FF0E64">
        <w:t xml:space="preserve"> or</w:t>
      </w:r>
      <w:r>
        <w:t xml:space="preserve"> </w:t>
      </w:r>
      <w:r w:rsidR="00FF0E64">
        <w:t xml:space="preserve">any </w:t>
      </w:r>
      <w:r w:rsidR="00623D92">
        <w:t xml:space="preserve">subsequent </w:t>
      </w:r>
      <w:r w:rsidR="00FF0E64">
        <w:t>12 month period</w:t>
      </w:r>
      <w:r w:rsidR="000A661C">
        <w:t>.</w:t>
      </w:r>
    </w:p>
    <w:p w14:paraId="0B19065C" w14:textId="5E0EE02B" w:rsidR="00E95681" w:rsidRPr="003450FD" w:rsidRDefault="00E95681" w:rsidP="003450FD">
      <w:pPr>
        <w:pStyle w:val="LI-BodyTextUnnumbered"/>
        <w:rPr>
          <w:color w:val="FF0000"/>
        </w:rPr>
        <w:sectPr w:rsidR="00E95681" w:rsidRPr="003450FD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>
        <w:rPr>
          <w:b/>
          <w:i/>
        </w:rPr>
        <w:t xml:space="preserve">register </w:t>
      </w:r>
      <w:r>
        <w:t>means the register of entities that is established and kept by ASIC</w:t>
      </w:r>
      <w:r w:rsidR="00395476">
        <w:t xml:space="preserve"> for the purposes of </w:t>
      </w:r>
      <w:r w:rsidR="00807073">
        <w:t>section 791C of the Act in relation to low volume financial markets</w:t>
      </w:r>
      <w:r>
        <w:t>.</w:t>
      </w:r>
    </w:p>
    <w:p w14:paraId="0B19065D" w14:textId="77777777" w:rsidR="000F43D4" w:rsidRPr="00F61B09" w:rsidRDefault="000F43D4" w:rsidP="000F43D4">
      <w:pPr>
        <w:pStyle w:val="LI-Heading1"/>
        <w:ind w:left="1138" w:hanging="1138"/>
      </w:pPr>
      <w:bookmarkStart w:id="8" w:name="_Toc462294934"/>
      <w:r w:rsidRPr="006554FF">
        <w:lastRenderedPageBreak/>
        <w:t xml:space="preserve">Part </w:t>
      </w:r>
      <w:r w:rsidRPr="006E5320">
        <w:t>2</w:t>
      </w:r>
      <w:r w:rsidRPr="00F61B09">
        <w:t>—Exemption</w:t>
      </w:r>
      <w:bookmarkEnd w:id="8"/>
    </w:p>
    <w:p w14:paraId="0B19065E" w14:textId="46064D67" w:rsidR="003F2601" w:rsidRDefault="000F43D4" w:rsidP="003F2601">
      <w:pPr>
        <w:pStyle w:val="LI-Heading2"/>
      </w:pPr>
      <w:bookmarkStart w:id="9" w:name="_Toc462294935"/>
      <w:r>
        <w:t>5</w:t>
      </w:r>
      <w:r>
        <w:tab/>
      </w:r>
      <w:r w:rsidR="003F2601">
        <w:t>Exemption</w:t>
      </w:r>
      <w:r w:rsidR="00395476">
        <w:t xml:space="preserve"> from the requirement to hold an </w:t>
      </w:r>
      <w:r w:rsidR="003F2601">
        <w:t>Australian market licence</w:t>
      </w:r>
      <w:bookmarkEnd w:id="9"/>
    </w:p>
    <w:p w14:paraId="0B19065F" w14:textId="17B9C209" w:rsidR="000F43D4" w:rsidRDefault="00F47079" w:rsidP="00395476">
      <w:pPr>
        <w:pStyle w:val="LI-BodyTextNumbered"/>
        <w:rPr>
          <w:b/>
        </w:rPr>
      </w:pPr>
      <w:bookmarkStart w:id="10" w:name="_Toc453254777"/>
      <w:r>
        <w:t>(1)</w:t>
      </w:r>
      <w:r>
        <w:tab/>
      </w:r>
      <w:r w:rsidR="00795F83">
        <w:t>A</w:t>
      </w:r>
      <w:r w:rsidR="003F2601">
        <w:t xml:space="preserve"> low volume financial </w:t>
      </w:r>
      <w:r w:rsidR="003F2601" w:rsidRPr="00395476">
        <w:t xml:space="preserve">market </w:t>
      </w:r>
      <w:r w:rsidR="008036C7">
        <w:t xml:space="preserve">whose operator </w:t>
      </w:r>
      <w:r w:rsidR="00CC5F04" w:rsidRPr="00395476">
        <w:t xml:space="preserve">is </w:t>
      </w:r>
      <w:r w:rsidR="00C76274" w:rsidRPr="00395476">
        <w:t xml:space="preserve">named </w:t>
      </w:r>
      <w:r w:rsidR="00CC5F04" w:rsidRPr="00395476">
        <w:t>on the register</w:t>
      </w:r>
      <w:r w:rsidR="00CC5F04">
        <w:rPr>
          <w:b/>
        </w:rPr>
        <w:t xml:space="preserve"> </w:t>
      </w:r>
      <w:r w:rsidR="008036C7" w:rsidRPr="00DF6132">
        <w:t>in re</w:t>
      </w:r>
      <w:r w:rsidR="008036C7">
        <w:t>l</w:t>
      </w:r>
      <w:r w:rsidR="008036C7" w:rsidRPr="00DF6132">
        <w:t>ation to the market</w:t>
      </w:r>
      <w:r w:rsidR="008036C7">
        <w:rPr>
          <w:b/>
        </w:rPr>
        <w:t xml:space="preserve"> </w:t>
      </w:r>
      <w:r w:rsidR="00795F83">
        <w:t xml:space="preserve">is exempt from </w:t>
      </w:r>
      <w:r w:rsidR="00D75E28">
        <w:t xml:space="preserve">the operation of </w:t>
      </w:r>
      <w:r w:rsidR="003F2601">
        <w:t>Part</w:t>
      </w:r>
      <w:r w:rsidR="00D75E28">
        <w:t> </w:t>
      </w:r>
      <w:r w:rsidR="003F2601">
        <w:t>7.2</w:t>
      </w:r>
      <w:r w:rsidR="00D75E28">
        <w:t> </w:t>
      </w:r>
      <w:r w:rsidR="003F2601">
        <w:t>of</w:t>
      </w:r>
      <w:r w:rsidR="00D75E28">
        <w:t> </w:t>
      </w:r>
      <w:r w:rsidR="003F2601">
        <w:t>the Act.</w:t>
      </w:r>
      <w:bookmarkEnd w:id="10"/>
    </w:p>
    <w:p w14:paraId="19FD3798" w14:textId="26A0E16B" w:rsidR="00F47079" w:rsidRDefault="00F47079" w:rsidP="00F47079">
      <w:pPr>
        <w:pStyle w:val="LI-BodyTextUnnumbered"/>
        <w:ind w:hanging="567"/>
      </w:pPr>
      <w:r>
        <w:t>(2)</w:t>
      </w:r>
      <w:r>
        <w:tab/>
        <w:t>An operator of a low volume financial market must comply with the conditions in relation to the market.</w:t>
      </w:r>
    </w:p>
    <w:p w14:paraId="22329F9B" w14:textId="6EDDF0EA" w:rsidR="00565A5B" w:rsidRDefault="00565A5B" w:rsidP="00F47079">
      <w:pPr>
        <w:pStyle w:val="LI-BodyTextUnnumbered"/>
        <w:ind w:hanging="567"/>
      </w:pPr>
      <w:r>
        <w:t>(3)</w:t>
      </w:r>
      <w:r>
        <w:tab/>
        <w:t>A failure to comply with a condition does not have the effect that the market is no</w:t>
      </w:r>
      <w:r w:rsidR="00C76274">
        <w:t>t</w:t>
      </w:r>
      <w:r>
        <w:t xml:space="preserve"> exempt from the operation of Part 7.2 of the Act.</w:t>
      </w:r>
    </w:p>
    <w:p w14:paraId="483FF79D" w14:textId="5C15FA3E" w:rsidR="00C76274" w:rsidRPr="00C76274" w:rsidRDefault="00C76274" w:rsidP="00C76274">
      <w:pPr>
        <w:pStyle w:val="LI-BodyTextUnnumbered"/>
        <w:ind w:left="1701" w:hanging="567"/>
        <w:rPr>
          <w:sz w:val="20"/>
        </w:rPr>
      </w:pPr>
      <w:r w:rsidRPr="00C76274">
        <w:rPr>
          <w:sz w:val="20"/>
        </w:rPr>
        <w:t>Note:</w:t>
      </w:r>
      <w:r w:rsidRPr="00C76274">
        <w:rPr>
          <w:sz w:val="20"/>
        </w:rPr>
        <w:tab/>
        <w:t xml:space="preserve">ASIC may remove </w:t>
      </w:r>
      <w:r w:rsidR="00160D15">
        <w:rPr>
          <w:sz w:val="20"/>
        </w:rPr>
        <w:t xml:space="preserve">from the register </w:t>
      </w:r>
      <w:r>
        <w:rPr>
          <w:sz w:val="20"/>
        </w:rPr>
        <w:t xml:space="preserve">the name of </w:t>
      </w:r>
      <w:r w:rsidR="00160D15">
        <w:rPr>
          <w:sz w:val="20"/>
        </w:rPr>
        <w:t xml:space="preserve">an operator of </w:t>
      </w:r>
      <w:r w:rsidRPr="00C76274">
        <w:rPr>
          <w:sz w:val="20"/>
        </w:rPr>
        <w:t>a financial market</w:t>
      </w:r>
      <w:r w:rsidR="00160D15">
        <w:rPr>
          <w:sz w:val="20"/>
        </w:rPr>
        <w:t xml:space="preserve"> and of the details in relation to the market</w:t>
      </w:r>
      <w:r>
        <w:rPr>
          <w:sz w:val="20"/>
        </w:rPr>
        <w:t>. If ASIC takes such action, the financial</w:t>
      </w:r>
      <w:r w:rsidR="00026DBA">
        <w:rPr>
          <w:sz w:val="20"/>
        </w:rPr>
        <w:t> </w:t>
      </w:r>
      <w:r w:rsidR="00B50120">
        <w:rPr>
          <w:sz w:val="20"/>
        </w:rPr>
        <w:t>m</w:t>
      </w:r>
      <w:r>
        <w:rPr>
          <w:sz w:val="20"/>
        </w:rPr>
        <w:t xml:space="preserve">arket </w:t>
      </w:r>
      <w:bookmarkStart w:id="11" w:name="_GoBack"/>
      <w:bookmarkEnd w:id="11"/>
      <w:r>
        <w:rPr>
          <w:sz w:val="20"/>
        </w:rPr>
        <w:t xml:space="preserve">is no longer exempt from the operation of Part 7.2 of the Act from the day </w:t>
      </w:r>
      <w:r w:rsidR="00160D15">
        <w:rPr>
          <w:sz w:val="20"/>
        </w:rPr>
        <w:t xml:space="preserve">the </w:t>
      </w:r>
      <w:r>
        <w:rPr>
          <w:sz w:val="20"/>
        </w:rPr>
        <w:t xml:space="preserve">name </w:t>
      </w:r>
      <w:r w:rsidR="00160D15">
        <w:rPr>
          <w:sz w:val="20"/>
        </w:rPr>
        <w:t>and details are</w:t>
      </w:r>
      <w:r>
        <w:rPr>
          <w:sz w:val="20"/>
        </w:rPr>
        <w:t xml:space="preserve"> removed</w:t>
      </w:r>
      <w:r w:rsidR="00D5356D">
        <w:rPr>
          <w:sz w:val="20"/>
        </w:rPr>
        <w:t>.</w:t>
      </w:r>
    </w:p>
    <w:p w14:paraId="0B190660" w14:textId="77777777" w:rsidR="000F43D4" w:rsidRPr="00F61B09" w:rsidRDefault="000F43D4" w:rsidP="000F43D4">
      <w:pPr>
        <w:pStyle w:val="LI-Heading2"/>
      </w:pPr>
      <w:bookmarkStart w:id="12" w:name="_Toc462294936"/>
      <w:r w:rsidRPr="005D3D41">
        <w:t>6</w:t>
      </w:r>
      <w:r w:rsidRPr="005D3D41">
        <w:tab/>
        <w:t>Conditions</w:t>
      </w:r>
      <w:bookmarkEnd w:id="12"/>
    </w:p>
    <w:p w14:paraId="318A6792" w14:textId="2C3EC7D3" w:rsidR="00BB1156" w:rsidRDefault="00BB1156" w:rsidP="00BB1156">
      <w:pPr>
        <w:pStyle w:val="LI-BodyTextNumbered"/>
        <w:rPr>
          <w:i/>
        </w:rPr>
      </w:pPr>
      <w:r>
        <w:rPr>
          <w:i/>
        </w:rPr>
        <w:t>Operating a financial market</w:t>
      </w:r>
    </w:p>
    <w:p w14:paraId="15B5AE22" w14:textId="379C6600" w:rsidR="00BB1156" w:rsidRDefault="00BB1156" w:rsidP="00BB1156">
      <w:pPr>
        <w:pStyle w:val="LI-BodyTextNumbered"/>
      </w:pPr>
      <w:r>
        <w:t>(1)</w:t>
      </w:r>
      <w:r>
        <w:tab/>
        <w:t>The operator must ensure that it and its associates:</w:t>
      </w:r>
    </w:p>
    <w:p w14:paraId="46C928A8" w14:textId="0C8AD05A" w:rsidR="00BB1156" w:rsidRDefault="00BB1156" w:rsidP="00BB1156">
      <w:pPr>
        <w:pStyle w:val="LI-BodyTextNumbered"/>
        <w:ind w:left="1701"/>
      </w:pPr>
      <w:r>
        <w:t>(a)</w:t>
      </w:r>
      <w:r>
        <w:tab/>
        <w:t xml:space="preserve">do not operate more than </w:t>
      </w:r>
      <w:r w:rsidR="006C391C">
        <w:t>2</w:t>
      </w:r>
      <w:r>
        <w:t> financial markets to which this instrument applies; and</w:t>
      </w:r>
    </w:p>
    <w:p w14:paraId="2C1A3908" w14:textId="1A56CD33" w:rsidR="00BB1156" w:rsidRDefault="00BB1156" w:rsidP="00BB1156">
      <w:pPr>
        <w:pStyle w:val="LI-BodyTextNumbered"/>
        <w:ind w:left="1701"/>
      </w:pPr>
      <w:r>
        <w:t>(b)</w:t>
      </w:r>
      <w:r>
        <w:tab/>
        <w:t>do not operate a licensed market.</w:t>
      </w:r>
    </w:p>
    <w:p w14:paraId="7EA4D504" w14:textId="2F7DC5F0" w:rsidR="007A737D" w:rsidRDefault="00B92CC7" w:rsidP="007A737D">
      <w:pPr>
        <w:pStyle w:val="LI-BodyTextNumbered"/>
        <w:rPr>
          <w:i/>
        </w:rPr>
      </w:pPr>
      <w:r>
        <w:rPr>
          <w:i/>
        </w:rPr>
        <w:t>F</w:t>
      </w:r>
      <w:r w:rsidR="007A737D">
        <w:rPr>
          <w:i/>
        </w:rPr>
        <w:t>inancial products</w:t>
      </w:r>
    </w:p>
    <w:p w14:paraId="0A09155D" w14:textId="2714ECA8" w:rsidR="00946222" w:rsidRDefault="00D75E28" w:rsidP="00946222">
      <w:pPr>
        <w:pStyle w:val="LI-BodyTextNumbered"/>
      </w:pPr>
      <w:r>
        <w:t>(</w:t>
      </w:r>
      <w:r w:rsidR="00BB1156">
        <w:t>2</w:t>
      </w:r>
      <w:r>
        <w:t>)</w:t>
      </w:r>
      <w:r>
        <w:tab/>
        <w:t xml:space="preserve">The </w:t>
      </w:r>
      <w:r w:rsidR="007A737D">
        <w:t>operator must ensure that</w:t>
      </w:r>
      <w:r w:rsidR="00946222">
        <w:t xml:space="preserve"> the financial products able to be traded on the </w:t>
      </w:r>
      <w:r w:rsidR="002B2A89">
        <w:t xml:space="preserve">financial </w:t>
      </w:r>
      <w:r w:rsidR="00946222">
        <w:t>market satisfy the following:</w:t>
      </w:r>
    </w:p>
    <w:p w14:paraId="72EADA71" w14:textId="6B867ADA" w:rsidR="00946222" w:rsidRDefault="00721C08" w:rsidP="00721C08">
      <w:pPr>
        <w:pStyle w:val="LI-BodyTextNumbered"/>
        <w:ind w:left="1701"/>
      </w:pPr>
      <w:r>
        <w:t>(a)</w:t>
      </w:r>
      <w:r>
        <w:tab/>
        <w:t xml:space="preserve">the financial products must be issued by the same person who must  be either </w:t>
      </w:r>
      <w:r w:rsidR="00946222">
        <w:t>the operator or</w:t>
      </w:r>
      <w:r>
        <w:t xml:space="preserve"> </w:t>
      </w:r>
      <w:r w:rsidR="00946222">
        <w:t xml:space="preserve">an issuer who has appointed the operator to operate the </w:t>
      </w:r>
      <w:r w:rsidR="002B2A89">
        <w:t xml:space="preserve">financial </w:t>
      </w:r>
      <w:r w:rsidR="00946222">
        <w:t>market;</w:t>
      </w:r>
    </w:p>
    <w:p w14:paraId="47079319" w14:textId="2BC18559" w:rsidR="00721C08" w:rsidRPr="002B2A89" w:rsidRDefault="002B2A89" w:rsidP="00721C08">
      <w:pPr>
        <w:pStyle w:val="LI-BodyTextNumbered"/>
        <w:ind w:left="2268"/>
        <w:rPr>
          <w:sz w:val="20"/>
          <w:szCs w:val="20"/>
        </w:rPr>
      </w:pPr>
      <w:r w:rsidRPr="002B2A89">
        <w:rPr>
          <w:sz w:val="20"/>
          <w:szCs w:val="20"/>
        </w:rPr>
        <w:t>Note:</w:t>
      </w:r>
      <w:r>
        <w:rPr>
          <w:sz w:val="20"/>
          <w:szCs w:val="20"/>
        </w:rPr>
        <w:tab/>
        <w:t xml:space="preserve">This paragraph applies to each financial market. If the operator operates 2 financial markets to which this instrument applies, the issuer of the financial products that are able to be traded on </w:t>
      </w:r>
      <w:r w:rsidR="00821101">
        <w:rPr>
          <w:sz w:val="20"/>
          <w:szCs w:val="20"/>
        </w:rPr>
        <w:t xml:space="preserve">one </w:t>
      </w:r>
      <w:r>
        <w:rPr>
          <w:sz w:val="20"/>
          <w:szCs w:val="20"/>
        </w:rPr>
        <w:t xml:space="preserve">market need not be the same as the issuer of the financial products that are able to be traded on the </w:t>
      </w:r>
      <w:r w:rsidR="00821101">
        <w:rPr>
          <w:sz w:val="20"/>
          <w:szCs w:val="20"/>
        </w:rPr>
        <w:t xml:space="preserve">other </w:t>
      </w:r>
      <w:r>
        <w:rPr>
          <w:sz w:val="20"/>
          <w:szCs w:val="20"/>
        </w:rPr>
        <w:t xml:space="preserve">market, provided those issuers are </w:t>
      </w:r>
      <w:r w:rsidR="00821101">
        <w:rPr>
          <w:sz w:val="20"/>
          <w:szCs w:val="20"/>
        </w:rPr>
        <w:t xml:space="preserve">either </w:t>
      </w:r>
      <w:r>
        <w:rPr>
          <w:sz w:val="20"/>
          <w:szCs w:val="20"/>
        </w:rPr>
        <w:t>the operator of the markets or an issuer who has the appointed the operator.</w:t>
      </w:r>
    </w:p>
    <w:p w14:paraId="1EFA5E5E" w14:textId="0E458154" w:rsidR="00946222" w:rsidRDefault="00946222" w:rsidP="00946222">
      <w:pPr>
        <w:pStyle w:val="LI-BodyTextNumbered"/>
        <w:ind w:left="1701"/>
      </w:pPr>
      <w:r>
        <w:t>(b)</w:t>
      </w:r>
      <w:r>
        <w:tab/>
        <w:t xml:space="preserve">the financial products are of a kind </w:t>
      </w:r>
      <w:r w:rsidR="00D75E28">
        <w:t>mentioned in paragraphs</w:t>
      </w:r>
      <w:r w:rsidR="007A737D">
        <w:t> </w:t>
      </w:r>
      <w:r w:rsidR="00D75E28">
        <w:t xml:space="preserve">764A(1)(a), (b) </w:t>
      </w:r>
      <w:r w:rsidR="00B73078">
        <w:t xml:space="preserve">or </w:t>
      </w:r>
      <w:r w:rsidR="00D75E28">
        <w:t>(ba) of the Act</w:t>
      </w:r>
      <w:r>
        <w:t>;</w:t>
      </w:r>
    </w:p>
    <w:p w14:paraId="14420EBF" w14:textId="347931BB" w:rsidR="00D75E28" w:rsidRDefault="00946222" w:rsidP="00946222">
      <w:pPr>
        <w:pStyle w:val="LI-BodyTextNumbered"/>
        <w:ind w:left="1701"/>
      </w:pPr>
      <w:r>
        <w:t>(c)</w:t>
      </w:r>
      <w:r>
        <w:tab/>
        <w:t xml:space="preserve">the financial </w:t>
      </w:r>
      <w:r w:rsidR="00B92CC7">
        <w:t>products a</w:t>
      </w:r>
      <w:r w:rsidR="007A737D">
        <w:t xml:space="preserve">re not able to be </w:t>
      </w:r>
      <w:r w:rsidR="00D75E28">
        <w:t>traded on a licensed market.</w:t>
      </w:r>
    </w:p>
    <w:p w14:paraId="590976F7" w14:textId="77777777" w:rsidR="00DF6132" w:rsidRDefault="00DF6132" w:rsidP="00946222">
      <w:pPr>
        <w:pStyle w:val="LI-BodyTextNumbered"/>
        <w:ind w:left="1701"/>
      </w:pPr>
    </w:p>
    <w:p w14:paraId="11BD962F" w14:textId="7EEB3D6E" w:rsidR="00D75E28" w:rsidRDefault="00C67E0F" w:rsidP="00D75E28">
      <w:pPr>
        <w:pStyle w:val="LI-BodyTextNumbered"/>
        <w:rPr>
          <w:i/>
        </w:rPr>
      </w:pPr>
      <w:r>
        <w:rPr>
          <w:i/>
        </w:rPr>
        <w:lastRenderedPageBreak/>
        <w:t>F</w:t>
      </w:r>
      <w:r w:rsidR="00D75E28">
        <w:rPr>
          <w:i/>
        </w:rPr>
        <w:t>acilities</w:t>
      </w:r>
      <w:r>
        <w:rPr>
          <w:i/>
        </w:rPr>
        <w:t xml:space="preserve"> for execution of orders</w:t>
      </w:r>
    </w:p>
    <w:p w14:paraId="31374804" w14:textId="41BDBBAF" w:rsidR="00D75E28" w:rsidRDefault="00D75E28" w:rsidP="00D75E28">
      <w:pPr>
        <w:pStyle w:val="LI-BodyTextNumbered"/>
      </w:pPr>
      <w:r>
        <w:t>(</w:t>
      </w:r>
      <w:r w:rsidR="00821101">
        <w:t>3</w:t>
      </w:r>
      <w:r>
        <w:t>)</w:t>
      </w:r>
      <w:r>
        <w:tab/>
        <w:t xml:space="preserve">The </w:t>
      </w:r>
      <w:r w:rsidR="00C67E0F">
        <w:t xml:space="preserve">operator must ensure that the </w:t>
      </w:r>
      <w:r w:rsidR="00941FDB">
        <w:t xml:space="preserve">financial </w:t>
      </w:r>
      <w:r>
        <w:t xml:space="preserve">market </w:t>
      </w:r>
      <w:r w:rsidR="00C67E0F">
        <w:t xml:space="preserve">does </w:t>
      </w:r>
      <w:r>
        <w:t>not have a mechanism for</w:t>
      </w:r>
      <w:r w:rsidR="00821101">
        <w:t>:</w:t>
      </w:r>
    </w:p>
    <w:p w14:paraId="30D28B1C" w14:textId="24883833" w:rsidR="00D75E28" w:rsidRDefault="00D75E28" w:rsidP="00D75E28">
      <w:pPr>
        <w:pStyle w:val="LI-BodyTextParaa"/>
      </w:pPr>
      <w:r>
        <w:t>(a)</w:t>
      </w:r>
      <w:r>
        <w:tab/>
      </w:r>
      <w:r w:rsidR="00821101">
        <w:t xml:space="preserve">the automatic </w:t>
      </w:r>
      <w:r>
        <w:t>execution of orders; or</w:t>
      </w:r>
    </w:p>
    <w:p w14:paraId="182F79DB" w14:textId="015DBBC1" w:rsidR="00D75E28" w:rsidRDefault="00D75E28" w:rsidP="00D75E28">
      <w:pPr>
        <w:pStyle w:val="LI-BodyTextParaa"/>
      </w:pPr>
      <w:r>
        <w:t>(b)</w:t>
      </w:r>
      <w:r>
        <w:tab/>
      </w:r>
      <w:r w:rsidR="00821101">
        <w:t xml:space="preserve">the automatic </w:t>
      </w:r>
      <w:r>
        <w:t>formation of contracts between market users that enter into a transaction through the market.</w:t>
      </w:r>
    </w:p>
    <w:p w14:paraId="70628160" w14:textId="77777777" w:rsidR="00D75E28" w:rsidRPr="009B4175" w:rsidRDefault="00D75E28" w:rsidP="00D75E28">
      <w:pPr>
        <w:pStyle w:val="LI-BodyTextNumbered"/>
        <w:rPr>
          <w:i/>
        </w:rPr>
      </w:pPr>
      <w:r>
        <w:rPr>
          <w:i/>
        </w:rPr>
        <w:t>Settlement service</w:t>
      </w:r>
    </w:p>
    <w:p w14:paraId="0E0A3045" w14:textId="42EA8BFE" w:rsidR="00D75E28" w:rsidRDefault="00D75E28" w:rsidP="00D75E28">
      <w:pPr>
        <w:pStyle w:val="LI-BodyTextNumbered"/>
      </w:pPr>
      <w:r>
        <w:t>(</w:t>
      </w:r>
      <w:r w:rsidR="00821101">
        <w:t>4</w:t>
      </w:r>
      <w:r>
        <w:t>)</w:t>
      </w:r>
      <w:r>
        <w:tab/>
        <w:t xml:space="preserve">The operator of the </w:t>
      </w:r>
      <w:r w:rsidR="00941FDB">
        <w:t xml:space="preserve">financial </w:t>
      </w:r>
      <w:r>
        <w:t>market must not handle the purchase money for the settlement of a transaction entered into through the market unless the operator holds an Australian financial services licence that authorises it to deal in the financial product to which the transaction relates.</w:t>
      </w:r>
    </w:p>
    <w:p w14:paraId="37EA8C3A" w14:textId="77777777" w:rsidR="00D75E28" w:rsidRDefault="00D75E28" w:rsidP="00D75E28">
      <w:pPr>
        <w:pStyle w:val="LI-BodyTextNumbered"/>
        <w:rPr>
          <w:i/>
        </w:rPr>
      </w:pPr>
      <w:r>
        <w:rPr>
          <w:i/>
        </w:rPr>
        <w:t>Information to be given to new users</w:t>
      </w:r>
    </w:p>
    <w:p w14:paraId="3C1259A6" w14:textId="7345527E" w:rsidR="00D75E28" w:rsidRDefault="00D75E28" w:rsidP="00D75E28">
      <w:pPr>
        <w:pStyle w:val="LI-BodyTextNumbered"/>
      </w:pPr>
      <w:r>
        <w:t>(</w:t>
      </w:r>
      <w:r w:rsidR="00821101">
        <w:t>5</w:t>
      </w:r>
      <w:r>
        <w:t>)</w:t>
      </w:r>
      <w:r>
        <w:tab/>
        <w:t xml:space="preserve">Before a </w:t>
      </w:r>
      <w:r w:rsidR="00834A2F">
        <w:t xml:space="preserve">person </w:t>
      </w:r>
      <w:r>
        <w:t xml:space="preserve">uses the </w:t>
      </w:r>
      <w:r w:rsidR="00941FDB">
        <w:t xml:space="preserve">financial </w:t>
      </w:r>
      <w:r>
        <w:t xml:space="preserve">market for the first time, the operator of the market must give </w:t>
      </w:r>
      <w:r w:rsidR="00834A2F">
        <w:t>a written notice to the person containing statements to the following effect</w:t>
      </w:r>
      <w:r>
        <w:t>:</w:t>
      </w:r>
    </w:p>
    <w:p w14:paraId="27060135" w14:textId="77777777" w:rsidR="00D75E28" w:rsidRDefault="00D75E28" w:rsidP="00D75E28">
      <w:pPr>
        <w:pStyle w:val="LI-BodyTextParaa"/>
      </w:pPr>
      <w:r>
        <w:t>(a)</w:t>
      </w:r>
      <w:r>
        <w:tab/>
        <w:t>the market is covered by an exemption under section 791C of the Act;</w:t>
      </w:r>
    </w:p>
    <w:p w14:paraId="2C69282B" w14:textId="7DB39DAB" w:rsidR="00D75E28" w:rsidRDefault="00D75E28" w:rsidP="00D75E28">
      <w:pPr>
        <w:pStyle w:val="LI-BodyTextParaa"/>
      </w:pPr>
      <w:r>
        <w:t>(b)</w:t>
      </w:r>
      <w:r>
        <w:tab/>
        <w:t xml:space="preserve">the operator </w:t>
      </w:r>
      <w:r w:rsidR="00834A2F">
        <w:t xml:space="preserve">of the market </w:t>
      </w:r>
      <w:r>
        <w:t>is not licensed under Part 7.2 of the Act;</w:t>
      </w:r>
    </w:p>
    <w:p w14:paraId="5936D243" w14:textId="4CB4702D" w:rsidR="00D75E28" w:rsidRDefault="00D75E28" w:rsidP="00D75E28">
      <w:pPr>
        <w:pStyle w:val="LI-BodyTextParaa"/>
      </w:pPr>
      <w:r>
        <w:t>(c)</w:t>
      </w:r>
      <w:r>
        <w:tab/>
        <w:t>the operator is not subject to the legal obligations that apply to the operator of a licensed market, including the requirement, to the extent that it is reasonably practicable to do so, to do all things necessary to ensure that the market is a fair, orderly and transparent</w:t>
      </w:r>
      <w:r w:rsidR="00834A2F">
        <w:t> </w:t>
      </w:r>
      <w:r>
        <w:t>market.</w:t>
      </w:r>
    </w:p>
    <w:p w14:paraId="0B190692" w14:textId="77777777" w:rsidR="009B4175" w:rsidRDefault="009B4175" w:rsidP="007C19AE">
      <w:pPr>
        <w:pStyle w:val="LI-BodyTextParaa"/>
        <w:ind w:left="0" w:firstLine="567"/>
        <w:rPr>
          <w:i/>
        </w:rPr>
      </w:pPr>
      <w:r>
        <w:rPr>
          <w:i/>
        </w:rPr>
        <w:t>ASIC to be informed of changes to market</w:t>
      </w:r>
    </w:p>
    <w:p w14:paraId="0B190693" w14:textId="5B029DF5" w:rsidR="009B4175" w:rsidRDefault="009B4175" w:rsidP="009B4175">
      <w:pPr>
        <w:pStyle w:val="LI-BodyTextNumbered"/>
      </w:pPr>
      <w:r>
        <w:t>(</w:t>
      </w:r>
      <w:r w:rsidR="00821101">
        <w:t>6</w:t>
      </w:r>
      <w:r>
        <w:t>)</w:t>
      </w:r>
      <w:r>
        <w:tab/>
        <w:t xml:space="preserve">The operator of the </w:t>
      </w:r>
      <w:r w:rsidR="00941FDB">
        <w:t xml:space="preserve">financial </w:t>
      </w:r>
      <w:r>
        <w:t>market must inform ASIC, in writing, o</w:t>
      </w:r>
      <w:r w:rsidR="00135841">
        <w:t>f</w:t>
      </w:r>
      <w:r>
        <w:t xml:space="preserve"> any significant change </w:t>
      </w:r>
      <w:r w:rsidR="0015339D">
        <w:t>to the operation of the market</w:t>
      </w:r>
      <w:r>
        <w:t xml:space="preserve"> as soon as practicable after the change occurs.</w:t>
      </w:r>
    </w:p>
    <w:p w14:paraId="0B190699" w14:textId="77777777" w:rsidR="00C36D12" w:rsidRPr="006255F2" w:rsidRDefault="006255F2" w:rsidP="006255F2">
      <w:pPr>
        <w:pStyle w:val="LI-BodyTextNumbered"/>
        <w:rPr>
          <w:i/>
        </w:rPr>
      </w:pPr>
      <w:r>
        <w:rPr>
          <w:i/>
        </w:rPr>
        <w:t>Notifying ASIC about non-compliance with conditions</w:t>
      </w:r>
    </w:p>
    <w:p w14:paraId="0B9E3258" w14:textId="340DE70A" w:rsidR="00160D15" w:rsidRDefault="006255F2" w:rsidP="006255F2">
      <w:pPr>
        <w:pStyle w:val="LI-BodyTextNumbered"/>
      </w:pPr>
      <w:r>
        <w:t>(</w:t>
      </w:r>
      <w:r w:rsidR="00821101">
        <w:t>7</w:t>
      </w:r>
      <w:r>
        <w:t>)</w:t>
      </w:r>
      <w:r>
        <w:tab/>
        <w:t xml:space="preserve">The operator of the </w:t>
      </w:r>
      <w:r w:rsidR="00941FDB">
        <w:t xml:space="preserve">financial </w:t>
      </w:r>
      <w:r>
        <w:t>market must</w:t>
      </w:r>
      <w:r w:rsidR="00941FDB">
        <w:t xml:space="preserve"> notify </w:t>
      </w:r>
      <w:r>
        <w:t xml:space="preserve">ASIC </w:t>
      </w:r>
      <w:r w:rsidR="00941FDB">
        <w:t xml:space="preserve">in writing </w:t>
      </w:r>
      <w:r>
        <w:t>if the operator fails to comply with an</w:t>
      </w:r>
      <w:r w:rsidR="0015339D">
        <w:t>y of the conditions in this instrument</w:t>
      </w:r>
      <w:r w:rsidR="00807073">
        <w:t xml:space="preserve">. The operator must notify ASIC </w:t>
      </w:r>
      <w:r>
        <w:t>as soon as practicable after the operator becomes aware of the failure.</w:t>
      </w:r>
    </w:p>
    <w:p w14:paraId="0B19069D" w14:textId="77777777" w:rsidR="00EF74BA" w:rsidRDefault="00EF74BA" w:rsidP="006255F2">
      <w:pPr>
        <w:pStyle w:val="LI-BodyTextNumbered"/>
        <w:rPr>
          <w:i/>
        </w:rPr>
      </w:pPr>
      <w:r>
        <w:rPr>
          <w:i/>
        </w:rPr>
        <w:t>Assistance to ASIC</w:t>
      </w:r>
    </w:p>
    <w:p w14:paraId="0B19069E" w14:textId="1F1CF32E" w:rsidR="00EF74BA" w:rsidRDefault="00EF74BA" w:rsidP="006255F2">
      <w:pPr>
        <w:pStyle w:val="LI-BodyTextNumbered"/>
      </w:pPr>
      <w:r>
        <w:t>(</w:t>
      </w:r>
      <w:r w:rsidR="00821101">
        <w:t>8</w:t>
      </w:r>
      <w:r>
        <w:t>)</w:t>
      </w:r>
      <w:r>
        <w:tab/>
        <w:t xml:space="preserve">The operator of the </w:t>
      </w:r>
      <w:r w:rsidR="00941FDB">
        <w:t xml:space="preserve">financial </w:t>
      </w:r>
      <w:r>
        <w:t>market must comply with a request from ASIC to assist in monitoring and supervising compliance with the c</w:t>
      </w:r>
      <w:r w:rsidR="004F4EE0">
        <w:t>onditions</w:t>
      </w:r>
      <w:r>
        <w:t xml:space="preserve">, including giving ASIC a copy of any records about the </w:t>
      </w:r>
      <w:r>
        <w:lastRenderedPageBreak/>
        <w:t>operation of the market and allowing ASIC access to any premises of a facility by means of which the market is conducted.</w:t>
      </w:r>
    </w:p>
    <w:p w14:paraId="0B19069F" w14:textId="77777777" w:rsidR="00EF74BA" w:rsidRDefault="00EF74BA" w:rsidP="006255F2">
      <w:pPr>
        <w:pStyle w:val="LI-BodyTextNumbered"/>
        <w:rPr>
          <w:i/>
        </w:rPr>
      </w:pPr>
      <w:r>
        <w:rPr>
          <w:i/>
        </w:rPr>
        <w:t>Annual report</w:t>
      </w:r>
    </w:p>
    <w:p w14:paraId="0B1906A0" w14:textId="70526436" w:rsidR="00EF74BA" w:rsidRDefault="00EF74BA" w:rsidP="006255F2">
      <w:pPr>
        <w:pStyle w:val="LI-BodyTextNumbered"/>
      </w:pPr>
      <w:r>
        <w:t>(</w:t>
      </w:r>
      <w:r w:rsidR="00821101">
        <w:t>9</w:t>
      </w:r>
      <w:r>
        <w:t>)</w:t>
      </w:r>
      <w:r>
        <w:tab/>
        <w:t xml:space="preserve">The operator of the </w:t>
      </w:r>
      <w:r w:rsidR="00941FDB">
        <w:t xml:space="preserve">financial </w:t>
      </w:r>
      <w:r>
        <w:t>market must give a written report to ASIC within 45</w:t>
      </w:r>
      <w:r w:rsidR="003D7E6B">
        <w:t> </w:t>
      </w:r>
      <w:r>
        <w:t xml:space="preserve">days after each anniversary of the date it was named in the register which </w:t>
      </w:r>
      <w:r w:rsidR="00807073">
        <w:t>includes the following information</w:t>
      </w:r>
      <w:r>
        <w:t>:</w:t>
      </w:r>
    </w:p>
    <w:p w14:paraId="0B1906A1" w14:textId="79988DC0" w:rsidR="00EF74BA" w:rsidRDefault="00EF74BA" w:rsidP="00AA5F9B">
      <w:pPr>
        <w:pStyle w:val="LI-BodyTextParaa"/>
      </w:pPr>
      <w:r>
        <w:t>(a)</w:t>
      </w:r>
      <w:r>
        <w:tab/>
        <w:t>the total number and total value (</w:t>
      </w:r>
      <w:r w:rsidR="00395476">
        <w:t xml:space="preserve">calculated by reference to </w:t>
      </w:r>
      <w:r>
        <w:t>sale</w:t>
      </w:r>
      <w:r w:rsidR="00594247">
        <w:t> </w:t>
      </w:r>
      <w:r>
        <w:t xml:space="preserve">price) of transactions carried out on the market in each month during the </w:t>
      </w:r>
      <w:r w:rsidR="003D7E6B">
        <w:t>12 months</w:t>
      </w:r>
      <w:r>
        <w:t xml:space="preserve"> immediately before the date of the anniversary; and</w:t>
      </w:r>
    </w:p>
    <w:p w14:paraId="628527C1" w14:textId="225C5ED7" w:rsidR="00D75E28" w:rsidRPr="003D7E6B" w:rsidRDefault="00EF74BA" w:rsidP="003D7E6B">
      <w:pPr>
        <w:pStyle w:val="LI-BodyTextParaa"/>
      </w:pPr>
      <w:r>
        <w:t>(b)</w:t>
      </w:r>
      <w:r>
        <w:tab/>
        <w:t xml:space="preserve">the number of users of the market in the </w:t>
      </w:r>
      <w:r w:rsidR="003D7E6B">
        <w:t xml:space="preserve">12 months </w:t>
      </w:r>
      <w:r>
        <w:t>immediately before the anniversary.</w:t>
      </w:r>
    </w:p>
    <w:sectPr w:rsidR="00D75E28" w:rsidRPr="003D7E6B" w:rsidSect="0040053F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906B7" w14:textId="77777777" w:rsidR="001A1057" w:rsidRDefault="007D185D">
      <w:pPr>
        <w:spacing w:line="240" w:lineRule="auto"/>
      </w:pPr>
      <w:r>
        <w:separator/>
      </w:r>
    </w:p>
  </w:endnote>
  <w:endnote w:type="continuationSeparator" w:id="0">
    <w:p w14:paraId="0B1906B8" w14:textId="77777777" w:rsidR="001A1057" w:rsidRDefault="007D1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0B1906BC" w14:textId="77777777" w:rsidTr="00081794">
      <w:tc>
        <w:tcPr>
          <w:tcW w:w="8472" w:type="dxa"/>
          <w:shd w:val="clear" w:color="auto" w:fill="auto"/>
        </w:tcPr>
        <w:p w14:paraId="0B1906BB" w14:textId="77777777" w:rsidR="00102CA6" w:rsidRPr="00081794" w:rsidRDefault="000F43D4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0B1906E4" wp14:editId="0B1906E5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1906EA" w14:textId="77777777" w:rsidR="00102CA6" w:rsidRPr="00284719" w:rsidRDefault="000F43D4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026DBA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0B1906EA" w14:textId="77777777" w:rsidR="00102CA6" w:rsidRPr="00284719" w:rsidRDefault="000F43D4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6DB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0B1906BD" w14:textId="77777777" w:rsidR="00102CA6" w:rsidRPr="007500C8" w:rsidRDefault="00026DBA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BE" w14:textId="77777777" w:rsidR="00102CA6" w:rsidRDefault="000F43D4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1906E6" wp14:editId="0B1906E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1906EB" w14:textId="77777777" w:rsidR="00102CA6" w:rsidRPr="00284719" w:rsidRDefault="00026DB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0B1906EB" w14:textId="77777777" w:rsidR="00102CA6" w:rsidRPr="00284719" w:rsidRDefault="00CA272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0B1906C0" w14:textId="77777777" w:rsidTr="00081794">
      <w:tc>
        <w:tcPr>
          <w:tcW w:w="8472" w:type="dxa"/>
          <w:shd w:val="clear" w:color="auto" w:fill="auto"/>
        </w:tcPr>
        <w:p w14:paraId="0B1906BF" w14:textId="77777777" w:rsidR="00102CA6" w:rsidRPr="00081794" w:rsidRDefault="00026DBA" w:rsidP="00102CA6">
          <w:pPr>
            <w:rPr>
              <w:sz w:val="18"/>
            </w:rPr>
          </w:pPr>
        </w:p>
      </w:tc>
    </w:tr>
  </w:tbl>
  <w:p w14:paraId="0B1906C1" w14:textId="77777777" w:rsidR="00102CA6" w:rsidRPr="007500C8" w:rsidRDefault="00026DBA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C3" w14:textId="77777777" w:rsidR="00102CA6" w:rsidRPr="00ED79B6" w:rsidRDefault="00026DB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C9" w14:textId="77777777" w:rsidR="00102CA6" w:rsidRPr="00E2168B" w:rsidRDefault="000F43D4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CA" w14:textId="77777777" w:rsidR="00102CA6" w:rsidRPr="00E33C1C" w:rsidRDefault="000F43D4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026DBA"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D1" w14:textId="77777777" w:rsidR="0012599E" w:rsidRPr="00243EC0" w:rsidRDefault="0012599E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D3" w14:textId="77777777" w:rsidR="0012599E" w:rsidRPr="00E33C1C" w:rsidRDefault="0012599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2599E" w:rsidRPr="00081794" w14:paraId="0B1906D7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B1906D4" w14:textId="77777777" w:rsidR="0012599E" w:rsidRPr="00081794" w:rsidRDefault="0012599E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B1906D5" w14:textId="77777777" w:rsidR="0012599E" w:rsidRPr="00081794" w:rsidRDefault="0012599E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026DB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B1906D6" w14:textId="77777777" w:rsidR="0012599E" w:rsidRPr="00081794" w:rsidRDefault="0012599E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2599E" w:rsidRPr="00081794" w14:paraId="0B1906D9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0B1906D8" w14:textId="77777777" w:rsidR="0012599E" w:rsidRPr="00081794" w:rsidRDefault="0012599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0B1906DA" w14:textId="77777777" w:rsidR="0012599E" w:rsidRPr="00ED79B6" w:rsidRDefault="0012599E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906B5" w14:textId="77777777" w:rsidR="001A1057" w:rsidRDefault="007D185D">
      <w:pPr>
        <w:spacing w:line="240" w:lineRule="auto"/>
      </w:pPr>
      <w:r>
        <w:separator/>
      </w:r>
    </w:p>
  </w:footnote>
  <w:footnote w:type="continuationSeparator" w:id="0">
    <w:p w14:paraId="0B1906B6" w14:textId="77777777" w:rsidR="001A1057" w:rsidRDefault="007D18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B9" w14:textId="77777777" w:rsidR="00102CA6" w:rsidRPr="005F1388" w:rsidRDefault="000F43D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1906E0" wp14:editId="0B1906E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1906E8" w14:textId="77777777" w:rsidR="00102CA6" w:rsidRPr="00284719" w:rsidRDefault="000F43D4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6DBA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0B1906E8" w14:textId="77777777" w:rsidR="00102CA6" w:rsidRPr="00284719" w:rsidRDefault="000F43D4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6DBA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DB" w14:textId="77777777" w:rsidR="00E2168B" w:rsidRPr="00243EC0" w:rsidRDefault="000F43D4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0B1906DE" w14:textId="77777777" w:rsidTr="00BF75C9">
      <w:tc>
        <w:tcPr>
          <w:tcW w:w="6804" w:type="dxa"/>
          <w:shd w:val="clear" w:color="auto" w:fill="auto"/>
        </w:tcPr>
        <w:p w14:paraId="0B1906DC" w14:textId="77777777" w:rsidR="00F4215A" w:rsidRDefault="00B50120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026DBA">
              <w:rPr>
                <w:noProof/>
              </w:rPr>
              <w:t>Corporations (Low Volume Financial Markets) Instrument 2016/888</w:t>
            </w:r>
          </w:fldSimple>
        </w:p>
      </w:tc>
      <w:tc>
        <w:tcPr>
          <w:tcW w:w="1509" w:type="dxa"/>
          <w:shd w:val="clear" w:color="auto" w:fill="auto"/>
        </w:tcPr>
        <w:p w14:paraId="0B1906DD" w14:textId="77777777" w:rsidR="00F4215A" w:rsidRDefault="00B50120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026DBA">
              <w:rPr>
                <w:noProof/>
              </w:rPr>
              <w:t>Part 2—Exemption</w:t>
            </w:r>
          </w:fldSimple>
        </w:p>
      </w:tc>
    </w:tr>
  </w:tbl>
  <w:p w14:paraId="0B1906DF" w14:textId="77777777" w:rsidR="0040053F" w:rsidRPr="00F4215A" w:rsidRDefault="00026DBA" w:rsidP="00F42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BA" w14:textId="77777777" w:rsidR="00102CA6" w:rsidRPr="005F1388" w:rsidRDefault="000F43D4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1906E2" wp14:editId="0B1906E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1906E9" w14:textId="77777777" w:rsidR="00102CA6" w:rsidRPr="00284719" w:rsidRDefault="00026DB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0B1906E9" w14:textId="77777777" w:rsidR="00102CA6" w:rsidRPr="00284719" w:rsidRDefault="00CA272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C2" w14:textId="77777777" w:rsidR="00102CA6" w:rsidRPr="005F1388" w:rsidRDefault="00026DB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C4" w14:textId="77777777" w:rsidR="00102CA6" w:rsidRDefault="000F43D4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0B1906C7" w14:textId="77777777" w:rsidTr="00BF75C9">
      <w:tc>
        <w:tcPr>
          <w:tcW w:w="6804" w:type="dxa"/>
          <w:shd w:val="clear" w:color="auto" w:fill="auto"/>
        </w:tcPr>
        <w:p w14:paraId="0B1906C5" w14:textId="77777777" w:rsidR="00F4215A" w:rsidRDefault="00B50120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026DBA">
              <w:rPr>
                <w:noProof/>
              </w:rPr>
              <w:t>Corporations (Low Volume Financial Markets) Instrument 2016/888</w:t>
            </w:r>
          </w:fldSimple>
        </w:p>
      </w:tc>
      <w:tc>
        <w:tcPr>
          <w:tcW w:w="1509" w:type="dxa"/>
          <w:shd w:val="clear" w:color="auto" w:fill="auto"/>
        </w:tcPr>
        <w:p w14:paraId="0B1906C6" w14:textId="77777777" w:rsidR="00F4215A" w:rsidRDefault="00026DB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B1906C8" w14:textId="77777777" w:rsidR="00102CA6" w:rsidRPr="008945E0" w:rsidRDefault="00026DBA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CB" w14:textId="77777777" w:rsidR="00102CA6" w:rsidRPr="00ED79B6" w:rsidRDefault="00026DB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CC" w14:textId="77777777" w:rsidR="0012599E" w:rsidRPr="00243EC0" w:rsidRDefault="0012599E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12599E" w14:paraId="0B1906CF" w14:textId="77777777" w:rsidTr="00BF75C9">
      <w:tc>
        <w:tcPr>
          <w:tcW w:w="6804" w:type="dxa"/>
          <w:shd w:val="clear" w:color="auto" w:fill="auto"/>
        </w:tcPr>
        <w:p w14:paraId="0B1906CD" w14:textId="77777777" w:rsidR="0012599E" w:rsidRDefault="00B50120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026DBA">
              <w:rPr>
                <w:noProof/>
              </w:rPr>
              <w:t>Corporations (Low Volume Financial Markets) Instrument 2016/888</w:t>
            </w:r>
          </w:fldSimple>
        </w:p>
      </w:tc>
      <w:tc>
        <w:tcPr>
          <w:tcW w:w="1509" w:type="dxa"/>
          <w:shd w:val="clear" w:color="auto" w:fill="auto"/>
        </w:tcPr>
        <w:p w14:paraId="0B1906CE" w14:textId="77777777" w:rsidR="0012599E" w:rsidRDefault="00B50120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026DBA">
              <w:rPr>
                <w:noProof/>
              </w:rPr>
              <w:t>Part 1—Preliminary</w:t>
            </w:r>
          </w:fldSimple>
        </w:p>
      </w:tc>
    </w:tr>
  </w:tbl>
  <w:p w14:paraId="0B1906D0" w14:textId="77777777" w:rsidR="0012599E" w:rsidRPr="00F4215A" w:rsidRDefault="0012599E" w:rsidP="00F4215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06D2" w14:textId="77777777" w:rsidR="0012599E" w:rsidRPr="007A1328" w:rsidRDefault="0012599E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2032F"/>
    <w:multiLevelType w:val="hybridMultilevel"/>
    <w:tmpl w:val="CFA6964C"/>
    <w:lvl w:ilvl="0" w:tplc="A8D0E5A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D4"/>
    <w:rsid w:val="00023079"/>
    <w:rsid w:val="00026DBA"/>
    <w:rsid w:val="00077A71"/>
    <w:rsid w:val="000A661C"/>
    <w:rsid w:val="000F43D4"/>
    <w:rsid w:val="00100183"/>
    <w:rsid w:val="00105629"/>
    <w:rsid w:val="00121A9E"/>
    <w:rsid w:val="0012599E"/>
    <w:rsid w:val="00135841"/>
    <w:rsid w:val="0015339D"/>
    <w:rsid w:val="00160D15"/>
    <w:rsid w:val="00197EB0"/>
    <w:rsid w:val="001A1057"/>
    <w:rsid w:val="001A677E"/>
    <w:rsid w:val="001D37D4"/>
    <w:rsid w:val="0021135C"/>
    <w:rsid w:val="002435A5"/>
    <w:rsid w:val="002B2A89"/>
    <w:rsid w:val="002C405E"/>
    <w:rsid w:val="003450FD"/>
    <w:rsid w:val="00351B79"/>
    <w:rsid w:val="003816B3"/>
    <w:rsid w:val="00386B44"/>
    <w:rsid w:val="00395476"/>
    <w:rsid w:val="003D7E6B"/>
    <w:rsid w:val="003F2601"/>
    <w:rsid w:val="00450CA7"/>
    <w:rsid w:val="004D017A"/>
    <w:rsid w:val="004F4EE0"/>
    <w:rsid w:val="00565A5B"/>
    <w:rsid w:val="00566476"/>
    <w:rsid w:val="005726CE"/>
    <w:rsid w:val="00594247"/>
    <w:rsid w:val="005C71FC"/>
    <w:rsid w:val="005E75AC"/>
    <w:rsid w:val="00623D92"/>
    <w:rsid w:val="006255F2"/>
    <w:rsid w:val="006576FF"/>
    <w:rsid w:val="006A2815"/>
    <w:rsid w:val="006A3EE2"/>
    <w:rsid w:val="006C391C"/>
    <w:rsid w:val="00721C08"/>
    <w:rsid w:val="007249FA"/>
    <w:rsid w:val="00795F83"/>
    <w:rsid w:val="007A737D"/>
    <w:rsid w:val="007C19AE"/>
    <w:rsid w:val="007D185D"/>
    <w:rsid w:val="007D3B7A"/>
    <w:rsid w:val="008036C7"/>
    <w:rsid w:val="00807073"/>
    <w:rsid w:val="00820205"/>
    <w:rsid w:val="00821101"/>
    <w:rsid w:val="00834A2F"/>
    <w:rsid w:val="008A59D8"/>
    <w:rsid w:val="009119BB"/>
    <w:rsid w:val="00941FDB"/>
    <w:rsid w:val="00946222"/>
    <w:rsid w:val="00970C8D"/>
    <w:rsid w:val="009B4175"/>
    <w:rsid w:val="009D5601"/>
    <w:rsid w:val="009E5909"/>
    <w:rsid w:val="00A911F6"/>
    <w:rsid w:val="00AA5F9B"/>
    <w:rsid w:val="00AB5C12"/>
    <w:rsid w:val="00AB7870"/>
    <w:rsid w:val="00AD4E2A"/>
    <w:rsid w:val="00B50120"/>
    <w:rsid w:val="00B73078"/>
    <w:rsid w:val="00B92CC7"/>
    <w:rsid w:val="00BB1156"/>
    <w:rsid w:val="00BE0068"/>
    <w:rsid w:val="00C36D12"/>
    <w:rsid w:val="00C41E9F"/>
    <w:rsid w:val="00C45A3F"/>
    <w:rsid w:val="00C65782"/>
    <w:rsid w:val="00C67E0F"/>
    <w:rsid w:val="00C76274"/>
    <w:rsid w:val="00C90289"/>
    <w:rsid w:val="00CA272E"/>
    <w:rsid w:val="00CC5F04"/>
    <w:rsid w:val="00CD57C0"/>
    <w:rsid w:val="00D34FBC"/>
    <w:rsid w:val="00D4446B"/>
    <w:rsid w:val="00D5356D"/>
    <w:rsid w:val="00D65DE6"/>
    <w:rsid w:val="00D75E28"/>
    <w:rsid w:val="00D95D00"/>
    <w:rsid w:val="00DA3A18"/>
    <w:rsid w:val="00DB70C0"/>
    <w:rsid w:val="00DC55BB"/>
    <w:rsid w:val="00DF6132"/>
    <w:rsid w:val="00E247A1"/>
    <w:rsid w:val="00E24C9A"/>
    <w:rsid w:val="00E95681"/>
    <w:rsid w:val="00ED61ED"/>
    <w:rsid w:val="00EF74BA"/>
    <w:rsid w:val="00F3492D"/>
    <w:rsid w:val="00F47079"/>
    <w:rsid w:val="00FE2E74"/>
    <w:rsid w:val="00FF0E64"/>
    <w:rsid w:val="00F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0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43D4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0F43D4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0F43D4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0F43D4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0F43D4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0F43D4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0F43D4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0F43D4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customStyle="1" w:styleId="LI-Heading3">
    <w:name w:val="LI - Heading 3"/>
    <w:basedOn w:val="Normal"/>
    <w:next w:val="LI-BodyTextUnnumbered"/>
    <w:rsid w:val="000F43D4"/>
    <w:pPr>
      <w:keepNext/>
      <w:keepLines/>
      <w:spacing w:before="240" w:line="240" w:lineRule="auto"/>
      <w:ind w:left="567"/>
      <w:outlineLvl w:val="2"/>
    </w:pPr>
    <w:rPr>
      <w:rFonts w:eastAsia="Times New Roman"/>
      <w:i/>
      <w:lang w:eastAsia="en-AU"/>
    </w:rPr>
  </w:style>
  <w:style w:type="paragraph" w:styleId="TOC1">
    <w:name w:val="toc 1"/>
    <w:basedOn w:val="Normal"/>
    <w:next w:val="Normal"/>
    <w:uiPriority w:val="39"/>
    <w:unhideWhenUsed/>
    <w:rsid w:val="000F43D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0F43D4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0F43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43D4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0F43D4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0F43D4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0F43D4"/>
    <w:rPr>
      <w:color w:val="0000FF"/>
      <w:u w:val="single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0F43D4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0F43D4"/>
    <w:pPr>
      <w:ind w:left="2835"/>
    </w:pPr>
  </w:style>
  <w:style w:type="character" w:customStyle="1" w:styleId="LI-BodyTextParaaChar">
    <w:name w:val="LI - Body Text Para (a) Char"/>
    <w:link w:val="LI-BodyTextParaa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BodyTextSubparaiChar">
    <w:name w:val="LI - Body Text Subpara (i) Char"/>
    <w:basedOn w:val="LI-BodyTextParaaChar"/>
    <w:link w:val="LI-BodyTextSubparai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F43D4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Footer">
    <w:name w:val="LI - Footer"/>
    <w:basedOn w:val="Normal"/>
    <w:link w:val="LI-FooterChar"/>
    <w:qFormat/>
    <w:rsid w:val="000F43D4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0F43D4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0F43D4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0F43D4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0F43D4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0F43D4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LI-SectionNote">
    <w:name w:val="LI - Section Note"/>
    <w:basedOn w:val="LI-BodyTextNote"/>
    <w:link w:val="LI-SectionNoteChar"/>
    <w:qFormat/>
    <w:rsid w:val="000F43D4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paraa">
    <w:name w:val="LI - Section para (a)"/>
    <w:basedOn w:val="LI-BodyTextUnnumbered"/>
    <w:link w:val="LI-SectionparaaChar"/>
    <w:qFormat/>
    <w:rsid w:val="000F43D4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0F43D4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LI-SectionNoteChar">
    <w:name w:val="LI - Section Note Char"/>
    <w:basedOn w:val="LI-BodyTextNoteChar"/>
    <w:link w:val="LI-SectionNote"/>
    <w:rsid w:val="000F43D4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0F43D4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0F43D4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Header">
    <w:name w:val="LI - Header"/>
    <w:basedOn w:val="LI-Footer"/>
    <w:link w:val="LI-HeaderChar"/>
    <w:qFormat/>
    <w:rsid w:val="000F43D4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0F43D4"/>
    <w:rPr>
      <w:rFonts w:ascii="Times New Roman" w:eastAsia="Calibri" w:hAnsi="Times New Roman" w:cs="Times New Roman"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43D4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0F43D4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0F43D4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0F43D4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0F43D4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0F43D4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0F43D4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0F43D4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customStyle="1" w:styleId="LI-Heading3">
    <w:name w:val="LI - Heading 3"/>
    <w:basedOn w:val="Normal"/>
    <w:next w:val="LI-BodyTextUnnumbered"/>
    <w:rsid w:val="000F43D4"/>
    <w:pPr>
      <w:keepNext/>
      <w:keepLines/>
      <w:spacing w:before="240" w:line="240" w:lineRule="auto"/>
      <w:ind w:left="567"/>
      <w:outlineLvl w:val="2"/>
    </w:pPr>
    <w:rPr>
      <w:rFonts w:eastAsia="Times New Roman"/>
      <w:i/>
      <w:lang w:eastAsia="en-AU"/>
    </w:rPr>
  </w:style>
  <w:style w:type="paragraph" w:styleId="TOC1">
    <w:name w:val="toc 1"/>
    <w:basedOn w:val="Normal"/>
    <w:next w:val="Normal"/>
    <w:uiPriority w:val="39"/>
    <w:unhideWhenUsed/>
    <w:rsid w:val="000F43D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0F43D4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0F43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43D4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0F43D4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0F43D4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0F43D4"/>
    <w:rPr>
      <w:color w:val="0000FF"/>
      <w:u w:val="single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0F43D4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0F43D4"/>
    <w:pPr>
      <w:ind w:left="2835"/>
    </w:pPr>
  </w:style>
  <w:style w:type="character" w:customStyle="1" w:styleId="LI-BodyTextParaaChar">
    <w:name w:val="LI - Body Text Para (a) Char"/>
    <w:link w:val="LI-BodyTextParaa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BodyTextSubparaiChar">
    <w:name w:val="LI - Body Text Subpara (i) Char"/>
    <w:basedOn w:val="LI-BodyTextParaaChar"/>
    <w:link w:val="LI-BodyTextSubparai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F43D4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Footer">
    <w:name w:val="LI - Footer"/>
    <w:basedOn w:val="Normal"/>
    <w:link w:val="LI-FooterChar"/>
    <w:qFormat/>
    <w:rsid w:val="000F43D4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0F43D4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0F43D4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0F43D4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0F43D4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0F43D4"/>
    <w:rPr>
      <w:rFonts w:ascii="Times New Roman" w:eastAsia="Times New Roman" w:hAnsi="Times New Roman" w:cs="Times New Roman"/>
      <w:b/>
      <w:sz w:val="24"/>
      <w:szCs w:val="24"/>
      <w:lang w:eastAsia="en-AU"/>
    </w:rPr>
  </w:style>
  <w:style w:type="paragraph" w:customStyle="1" w:styleId="LI-SectionNote">
    <w:name w:val="LI - Section Note"/>
    <w:basedOn w:val="LI-BodyTextNote"/>
    <w:link w:val="LI-SectionNoteChar"/>
    <w:qFormat/>
    <w:rsid w:val="000F43D4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paraa">
    <w:name w:val="LI - Section para (a)"/>
    <w:basedOn w:val="LI-BodyTextUnnumbered"/>
    <w:link w:val="LI-SectionparaaChar"/>
    <w:qFormat/>
    <w:rsid w:val="000F43D4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0F43D4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LI-SectionNoteChar">
    <w:name w:val="LI - Section Note Char"/>
    <w:basedOn w:val="LI-BodyTextNoteChar"/>
    <w:link w:val="LI-SectionNote"/>
    <w:rsid w:val="000F43D4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0F43D4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0F43D4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0F43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Header">
    <w:name w:val="LI - Header"/>
    <w:basedOn w:val="LI-Footer"/>
    <w:link w:val="LI-HeaderChar"/>
    <w:qFormat/>
    <w:rsid w:val="000F43D4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0F43D4"/>
    <w:rPr>
      <w:rFonts w:ascii="Times New Roman" w:eastAsia="Calibri" w:hAnsi="Times New Roman" w:cs="Times New Roman"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3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R20160000416418</RecordNumber>
    <ObjectiveID xmlns="da7a9ac0-bc47-4684-84e6-3a8e9ac80c12" xsi:nil="true"/>
    <IconOverlay xmlns="http://schemas.microsoft.com/sharepoint/v4" xsi:nil="true"/>
    <TaxCatchAll xmlns="6fdf923d-1605-456d-9034-49e4c2a6593d">
      <Value>7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k274875fb6994245bc6e4e8c07243a23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2c50bc0ba5eb1e7d71b30fac59e76dca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5d6006625e76890dfd6513a67b10bc85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7;#Sensitive|19fd2cb8-3e97-4464-ae71-8c2c2095d028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3462-4E9B-4EE0-BA6C-3C1F18A9553F}"/>
</file>

<file path=customXml/itemProps2.xml><?xml version="1.0" encoding="utf-8"?>
<ds:datastoreItem xmlns:ds="http://schemas.openxmlformats.org/officeDocument/2006/customXml" ds:itemID="{4595CEAD-0F13-4DA3-B516-C6040ABFB720}"/>
</file>

<file path=customXml/itemProps3.xml><?xml version="1.0" encoding="utf-8"?>
<ds:datastoreItem xmlns:ds="http://schemas.openxmlformats.org/officeDocument/2006/customXml" ds:itemID="{87E4AF65-B2F2-475C-A835-FAE996D51D54}"/>
</file>

<file path=customXml/itemProps4.xml><?xml version="1.0" encoding="utf-8"?>
<ds:datastoreItem xmlns:ds="http://schemas.openxmlformats.org/officeDocument/2006/customXml" ds:itemID="{5B9E4B66-E7B3-4057-9AA8-F018DDEE35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6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(Low Volume Financial Markets) Exemption Notice - DRAFT remake</vt:lpstr>
    </vt:vector>
  </TitlesOfParts>
  <Company>ASIC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 (Low Volume Financial Markets) Exemption Notice - DRAFT remake</dc:title>
  <dc:creator>andrew.fois</dc:creator>
  <cp:lastModifiedBy>grant.moodie</cp:lastModifiedBy>
  <cp:revision>45</cp:revision>
  <cp:lastPrinted>2016-09-21T23:23:00Z</cp:lastPrinted>
  <dcterms:created xsi:type="dcterms:W3CDTF">2016-06-09T05:46:00Z</dcterms:created>
  <dcterms:modified xsi:type="dcterms:W3CDTF">2016-09-21T23:27:00Z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0x010100B5F685A1365F544391EF8C813B164F3A003FC3A1FB886AA841B1151906BEDCBCDF</vt:lpwstr>
  </property>
  <property fmtid="{D5CDD505-2E9C-101B-9397-08002B2CF9AE}" pid="3" name="Order">
    <vt:r8>21500</vt:r8>
  </property>
  <property fmtid="{D5CDD505-2E9C-101B-9397-08002B2CF9AE}" pid="4" name="SecurityClassification">
    <vt:lpwstr>7;#Sensitive|19fd2cb8-3e97-4464-ae71-8c2c2095d028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ListId">
    <vt:lpwstr>{e8634c1b-1868-4a02-8de8-ef4b1316a551}</vt:lpwstr>
  </property>
  <property fmtid="{D5CDD505-2E9C-101B-9397-08002B2CF9AE}" pid="7" name="RecordPoint_ActiveItemUniqueId">
    <vt:lpwstr>{11067a4e-ee22-4b80-ab9e-5740924c66af}</vt:lpwstr>
  </property>
  <property fmtid="{D5CDD505-2E9C-101B-9397-08002B2CF9AE}" pid="8" name="RecordPoint_ActiveItemWebId">
    <vt:lpwstr>{6fdf923d-1605-456d-9034-49e4c2a6593d}</vt:lpwstr>
  </property>
  <property fmtid="{D5CDD505-2E9C-101B-9397-08002B2CF9AE}" pid="9" name="RecordPoint_ActiveItemSiteId">
    <vt:lpwstr>{fa96e6fb-4129-44b7-b105-10ec3844cb78}</vt:lpwstr>
  </property>
  <property fmtid="{D5CDD505-2E9C-101B-9397-08002B2CF9AE}" pid="10" name="RecordPoint_SubmissionCompleted">
    <vt:lpwstr>2016-09-20T21:16:39.0169462+10:00</vt:lpwstr>
  </property>
  <property fmtid="{D5CDD505-2E9C-101B-9397-08002B2CF9AE}" pid="11" name="RecordPoint_RecordNumberSubmitted">
    <vt:lpwstr>R20160000416418</vt:lpwstr>
  </property>
</Properties>
</file>