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24EB719" w14:textId="77777777" w:rsidR="00F74A0A" w:rsidRDefault="00E12826">
      <w:pPr>
        <w:spacing w:after="554" w:line="259" w:lineRule="auto"/>
        <w:ind w:left="0" w:right="0" w:firstLine="0"/>
        <w:jc w:val="left"/>
      </w:pPr>
      <w:r>
        <w:rPr>
          <w:rFonts w:ascii="Calibri" w:eastAsia="Calibri" w:hAnsi="Calibri" w:cs="Calibri"/>
          <w:noProof/>
          <w:sz w:val="22"/>
        </w:rPr>
        <mc:AlternateContent>
          <mc:Choice Requires="wpg">
            <w:drawing>
              <wp:inline distT="0" distB="0" distL="0" distR="0" wp14:anchorId="70CDD0E0" wp14:editId="22D31F69">
                <wp:extent cx="1422654" cy="1104899"/>
                <wp:effectExtent l="0" t="0" r="0" b="0"/>
                <wp:docPr id="8838" name="Group 8838"/>
                <wp:cNvGraphicFramePr/>
                <a:graphic xmlns:a="http://schemas.openxmlformats.org/drawingml/2006/main">
                  <a:graphicData uri="http://schemas.microsoft.com/office/word/2010/wordprocessingGroup">
                    <wpg:wgp>
                      <wpg:cNvGrpSpPr/>
                      <wpg:grpSpPr>
                        <a:xfrm>
                          <a:off x="0" y="0"/>
                          <a:ext cx="1422654" cy="1104899"/>
                          <a:chOff x="0" y="0"/>
                          <a:chExt cx="1422654" cy="1104899"/>
                        </a:xfrm>
                      </wpg:grpSpPr>
                      <pic:pic xmlns:pic="http://schemas.openxmlformats.org/drawingml/2006/picture">
                        <pic:nvPicPr>
                          <pic:cNvPr id="7" name="Picture 7"/>
                          <pic:cNvPicPr/>
                        </pic:nvPicPr>
                        <pic:blipFill>
                          <a:blip r:embed="rId7"/>
                          <a:stretch>
                            <a:fillRect/>
                          </a:stretch>
                        </pic:blipFill>
                        <pic:spPr>
                          <a:xfrm>
                            <a:off x="0" y="0"/>
                            <a:ext cx="1422654" cy="973836"/>
                          </a:xfrm>
                          <a:prstGeom prst="rect">
                            <a:avLst/>
                          </a:prstGeom>
                        </pic:spPr>
                      </pic:pic>
                      <pic:pic xmlns:pic="http://schemas.openxmlformats.org/drawingml/2006/picture">
                        <pic:nvPicPr>
                          <pic:cNvPr id="8" name="Picture 8"/>
                          <pic:cNvPicPr/>
                        </pic:nvPicPr>
                        <pic:blipFill>
                          <a:blip r:embed="rId8"/>
                          <a:stretch>
                            <a:fillRect/>
                          </a:stretch>
                        </pic:blipFill>
                        <pic:spPr>
                          <a:xfrm>
                            <a:off x="0" y="973835"/>
                            <a:ext cx="1422654" cy="131064"/>
                          </a:xfrm>
                          <a:prstGeom prst="rect">
                            <a:avLst/>
                          </a:prstGeom>
                        </pic:spPr>
                      </pic:pic>
                    </wpg:wgp>
                  </a:graphicData>
                </a:graphic>
              </wp:inline>
            </w:drawing>
          </mc:Choice>
          <mc:Fallback>
            <w:pict>
              <v:group w14:anchorId="6D1BC799" id="Group 8838" o:spid="_x0000_s1026" style="width:112pt;height:87pt;mso-position-horizontal-relative:char;mso-position-vertical-relative:line" coordsize="14226,1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4226;height:9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ehCzCAAAA2gAAAA8AAABkcnMvZG93bnJldi54bWxEj0FrwkAUhO+C/2F5gjfdRLDV6CpSFAo9&#10;GRWvj+wzCWbfptk1Sfvru0LB4zAz3zDrbW8q0VLjSssK4mkEgjizuuRcwfl0mCxAOI+ssbJMCn7I&#10;wXYzHKwx0bbjI7Wpz0WAsEtQQeF9nUjpsoIMuqmtiYN3s41BH2STS91gF+CmkrMoepMGSw4LBdb0&#10;UVB2Tx9GQZr/tud0383wtCwf1684nl++K6XGo363AuGp96/wf/tTK3iH55VwA+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noQswgAAANoAAAAPAAAAAAAAAAAAAAAAAJ8C&#10;AABkcnMvZG93bnJldi54bWxQSwUGAAAAAAQABAD3AAAAjgMAAAAA&#10;">
                  <v:imagedata r:id="rId9" o:title=""/>
                </v:shape>
                <v:shape id="Picture 8" o:spid="_x0000_s1028" type="#_x0000_t75" style="position:absolute;top:9738;width:14226;height:1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lEAO+AAAA2gAAAA8AAABkcnMvZG93bnJldi54bWxET8uKwjAU3Q/MP4Q74G56qwuRahTxxWwE&#10;Xx9wae60ZZqbkkTt+PVmIbg8nPds0dtW3diHxomGYZaDYimdaaTScDlvvyegQiQx1DphDf8cYDH/&#10;/JhRYdxdjnw7xUqlEAkFaahj7ArEUNZsKWSuY0ncr/OWYoK+QuPpnsJti6M8H6OlRlJDTR2vai7/&#10;Tler4fFAXF/3q8lhHfMR4mZ3PPid1oOvfjkFFbmPb/HL/WM0pK3pSroBOH8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VlEAO+AAAA2gAAAA8AAAAAAAAAAAAAAAAAnwIAAGRy&#10;cy9kb3ducmV2LnhtbFBLBQYAAAAABAAEAPcAAACKAwAAAAA=&#10;">
                  <v:imagedata r:id="rId10" o:title=""/>
                </v:shape>
                <w10:anchorlock/>
              </v:group>
            </w:pict>
          </mc:Fallback>
        </mc:AlternateContent>
      </w:r>
      <w:r>
        <w:t xml:space="preserve"> </w:t>
      </w:r>
    </w:p>
    <w:p w14:paraId="50D33989" w14:textId="33091975" w:rsidR="00F74A0A" w:rsidRDefault="00E12826">
      <w:pPr>
        <w:spacing w:after="388" w:line="250" w:lineRule="auto"/>
        <w:ind w:left="-5" w:right="0"/>
        <w:jc w:val="left"/>
      </w:pPr>
      <w:r>
        <w:rPr>
          <w:rFonts w:ascii="Arial" w:eastAsia="Arial" w:hAnsi="Arial" w:cs="Arial"/>
          <w:b/>
          <w:sz w:val="40"/>
        </w:rPr>
        <w:t xml:space="preserve">Financial Sector (Collection of Data) (reporting standard) determination No. </w:t>
      </w:r>
      <w:r w:rsidR="005C25F4">
        <w:rPr>
          <w:rFonts w:ascii="Arial" w:eastAsia="Arial" w:hAnsi="Arial" w:cs="Arial"/>
          <w:b/>
          <w:sz w:val="40"/>
        </w:rPr>
        <w:t>30</w:t>
      </w:r>
      <w:r>
        <w:rPr>
          <w:rFonts w:ascii="Arial" w:eastAsia="Arial" w:hAnsi="Arial" w:cs="Arial"/>
          <w:b/>
          <w:sz w:val="40"/>
        </w:rPr>
        <w:t xml:space="preserve"> of </w:t>
      </w:r>
      <w:r w:rsidR="005C25F4">
        <w:rPr>
          <w:rFonts w:ascii="Arial" w:eastAsia="Arial" w:hAnsi="Arial" w:cs="Arial"/>
          <w:b/>
          <w:sz w:val="40"/>
        </w:rPr>
        <w:t>2016</w:t>
      </w:r>
    </w:p>
    <w:p w14:paraId="5253158F" w14:textId="7F225F36" w:rsidR="00F74A0A" w:rsidRPr="00F3183C" w:rsidRDefault="00E12826">
      <w:pPr>
        <w:pStyle w:val="Heading1"/>
        <w:spacing w:after="431"/>
        <w:ind w:left="-5"/>
        <w:rPr>
          <w:sz w:val="28"/>
          <w:szCs w:val="28"/>
        </w:rPr>
      </w:pPr>
      <w:r w:rsidRPr="00F3183C">
        <w:rPr>
          <w:sz w:val="28"/>
          <w:szCs w:val="28"/>
        </w:rPr>
        <w:t xml:space="preserve">Reporting </w:t>
      </w:r>
      <w:r w:rsidR="00C80059" w:rsidRPr="00F3183C">
        <w:rPr>
          <w:sz w:val="28"/>
          <w:szCs w:val="28"/>
        </w:rPr>
        <w:t>S</w:t>
      </w:r>
      <w:r w:rsidRPr="00F3183C">
        <w:rPr>
          <w:sz w:val="28"/>
          <w:szCs w:val="28"/>
        </w:rPr>
        <w:t xml:space="preserve">tandard RRS 332.0 Statement of Economic Activity </w:t>
      </w:r>
    </w:p>
    <w:p w14:paraId="7502E8D9" w14:textId="77777777" w:rsidR="00C80059" w:rsidRPr="00E80020" w:rsidRDefault="00C80059" w:rsidP="00C80059">
      <w:pPr>
        <w:pStyle w:val="ActTitle"/>
        <w:rPr>
          <w:color w:val="000000"/>
        </w:rPr>
      </w:pPr>
      <w:r>
        <w:rPr>
          <w:color w:val="000000"/>
        </w:rPr>
        <w:t>Financial Sector (Collection of Data) Act 2001</w:t>
      </w:r>
    </w:p>
    <w:p w14:paraId="1FDE29D0" w14:textId="64ABA648" w:rsidR="00F74A0A" w:rsidRDefault="00E12826" w:rsidP="00C80059">
      <w:pPr>
        <w:spacing w:after="0"/>
        <w:ind w:left="0" w:right="0" w:firstLine="0"/>
      </w:pPr>
      <w:r>
        <w:t xml:space="preserve">I, </w:t>
      </w:r>
      <w:r w:rsidR="00505653">
        <w:t>Steve</w:t>
      </w:r>
      <w:r w:rsidR="00C80059">
        <w:t xml:space="preserve"> Davies</w:t>
      </w:r>
      <w:r>
        <w:t>, a delegate of APRA, under paragraph 13(1</w:t>
      </w:r>
      <w:proofErr w:type="gramStart"/>
      <w:r>
        <w:t>)(</w:t>
      </w:r>
      <w:proofErr w:type="gramEnd"/>
      <w:r>
        <w:t xml:space="preserve">a) of the </w:t>
      </w:r>
      <w:r>
        <w:rPr>
          <w:i/>
        </w:rPr>
        <w:t>Financial Sector (Collection of Data) Act 2001</w:t>
      </w:r>
      <w:r>
        <w:t xml:space="preserve"> (the Act) and subsection 33(3) of the </w:t>
      </w:r>
      <w:r>
        <w:rPr>
          <w:i/>
        </w:rPr>
        <w:t>Acts Interpretation Act 1901</w:t>
      </w:r>
      <w:r>
        <w:t xml:space="preserve">: </w:t>
      </w:r>
    </w:p>
    <w:p w14:paraId="28F6C0E5" w14:textId="77777777" w:rsidR="00F74A0A" w:rsidRDefault="00E12826">
      <w:pPr>
        <w:spacing w:after="22" w:line="259" w:lineRule="auto"/>
        <w:ind w:left="0" w:right="0" w:firstLine="0"/>
        <w:jc w:val="left"/>
      </w:pPr>
      <w:r>
        <w:t xml:space="preserve"> </w:t>
      </w:r>
    </w:p>
    <w:p w14:paraId="1D52CABD" w14:textId="4518E999" w:rsidR="00F74A0A" w:rsidRDefault="00E12826">
      <w:pPr>
        <w:numPr>
          <w:ilvl w:val="0"/>
          <w:numId w:val="1"/>
        </w:numPr>
        <w:spacing w:after="4"/>
        <w:ind w:right="0" w:hanging="426"/>
      </w:pPr>
      <w:r>
        <w:t xml:space="preserve">REVOKE </w:t>
      </w:r>
      <w:r w:rsidR="00C80059">
        <w:t xml:space="preserve">Financial Sector (Collection of Data) (reporting standard) determination No. 56 of 2006, including </w:t>
      </w:r>
      <w:r w:rsidRPr="00F3183C">
        <w:rPr>
          <w:i/>
        </w:rPr>
        <w:t>Reporting Standard RRS 332.0 Statement of Economic Activity</w:t>
      </w:r>
      <w:r>
        <w:t xml:space="preserve"> </w:t>
      </w:r>
      <w:r w:rsidR="00C80059">
        <w:t>made under that D</w:t>
      </w:r>
      <w:r>
        <w:t xml:space="preserve">etermination; </w:t>
      </w:r>
      <w:r w:rsidR="00C80059">
        <w:t>and</w:t>
      </w:r>
    </w:p>
    <w:p w14:paraId="0C387B52" w14:textId="77777777" w:rsidR="00F74A0A" w:rsidRDefault="00E12826">
      <w:pPr>
        <w:spacing w:after="22" w:line="259" w:lineRule="auto"/>
        <w:ind w:left="0" w:right="0" w:firstLine="0"/>
        <w:jc w:val="left"/>
      </w:pPr>
      <w:r>
        <w:t xml:space="preserve"> </w:t>
      </w:r>
    </w:p>
    <w:p w14:paraId="6DDFB747" w14:textId="035B52EA" w:rsidR="00F74A0A" w:rsidRDefault="00E12826">
      <w:pPr>
        <w:numPr>
          <w:ilvl w:val="0"/>
          <w:numId w:val="1"/>
        </w:numPr>
        <w:spacing w:after="0"/>
        <w:ind w:right="0" w:hanging="426"/>
      </w:pPr>
      <w:r>
        <w:t xml:space="preserve">DETERMINE </w:t>
      </w:r>
      <w:r w:rsidRPr="00F3183C">
        <w:rPr>
          <w:i/>
        </w:rPr>
        <w:t xml:space="preserve">Reporting </w:t>
      </w:r>
      <w:r w:rsidR="00845E29" w:rsidRPr="00F3183C">
        <w:rPr>
          <w:i/>
        </w:rPr>
        <w:t>S</w:t>
      </w:r>
      <w:r w:rsidRPr="00F3183C">
        <w:rPr>
          <w:i/>
        </w:rPr>
        <w:t>tandard RRS 332.0 Statement of Economic Activity</w:t>
      </w:r>
      <w:r w:rsidR="00845E29">
        <w:rPr>
          <w:i/>
        </w:rPr>
        <w:t>,</w:t>
      </w:r>
      <w:r>
        <w:t xml:space="preserve"> in the form set out in the Schedule, which applies to </w:t>
      </w:r>
      <w:r w:rsidR="00845E29">
        <w:t xml:space="preserve">the </w:t>
      </w:r>
      <w:r>
        <w:t xml:space="preserve">financial sector entities </w:t>
      </w:r>
      <w:r w:rsidR="00845E29">
        <w:t xml:space="preserve">to the extent provided </w:t>
      </w:r>
      <w:r>
        <w:t xml:space="preserve">in paragraph </w:t>
      </w:r>
      <w:r w:rsidR="00505653">
        <w:t>3</w:t>
      </w:r>
      <w:r>
        <w:t xml:space="preserve"> of the </w:t>
      </w:r>
      <w:r w:rsidR="00845E29">
        <w:t>reporting</w:t>
      </w:r>
      <w:r>
        <w:t xml:space="preserve"> standard. </w:t>
      </w:r>
    </w:p>
    <w:p w14:paraId="3A870B5D" w14:textId="77777777" w:rsidR="00F74A0A" w:rsidRDefault="00E12826">
      <w:pPr>
        <w:spacing w:after="0" w:line="259" w:lineRule="auto"/>
        <w:ind w:left="0" w:right="0" w:firstLine="0"/>
        <w:jc w:val="left"/>
      </w:pPr>
      <w:r>
        <w:t xml:space="preserve"> </w:t>
      </w:r>
    </w:p>
    <w:p w14:paraId="4E4C36BA" w14:textId="5E311B2F" w:rsidR="00505653" w:rsidRDefault="00E12826" w:rsidP="00F3183C">
      <w:pPr>
        <w:spacing w:after="22" w:line="259" w:lineRule="auto"/>
        <w:ind w:left="0" w:right="0" w:firstLine="0"/>
        <w:jc w:val="left"/>
      </w:pPr>
      <w:r>
        <w:t>Under section 15 of the Act, I DECLARE that</w:t>
      </w:r>
      <w:r w:rsidR="00482171">
        <w:t xml:space="preserve"> </w:t>
      </w:r>
      <w:r>
        <w:t xml:space="preserve">the </w:t>
      </w:r>
      <w:r w:rsidR="00482171">
        <w:t>reporting</w:t>
      </w:r>
      <w:r>
        <w:t xml:space="preserve"> standard shall begin to apply </w:t>
      </w:r>
      <w:r w:rsidR="00482171">
        <w:t>to those financial sector entities, and the revoked reporting standard shall cease to apply, up</w:t>
      </w:r>
      <w:r>
        <w:t xml:space="preserve">on registration of this </w:t>
      </w:r>
      <w:r w:rsidR="00BF79CF">
        <w:t>instrument</w:t>
      </w:r>
      <w:r>
        <w:t xml:space="preserve"> on the Federal Register of Legislati</w:t>
      </w:r>
      <w:r w:rsidR="00CC094F">
        <w:t>on.</w:t>
      </w:r>
    </w:p>
    <w:p w14:paraId="0EE0C87D" w14:textId="77777777" w:rsidR="00505653" w:rsidRDefault="00505653" w:rsidP="00F3183C">
      <w:pPr>
        <w:spacing w:after="22" w:line="259" w:lineRule="auto"/>
        <w:ind w:left="0" w:right="0" w:firstLine="0"/>
        <w:jc w:val="left"/>
      </w:pPr>
    </w:p>
    <w:p w14:paraId="19616359" w14:textId="43D25ABC" w:rsidR="00F74A0A" w:rsidRDefault="00505653" w:rsidP="00F3183C">
      <w:pPr>
        <w:spacing w:after="0"/>
        <w:ind w:left="-5" w:right="0"/>
      </w:pPr>
      <w:r>
        <w:rPr>
          <w:szCs w:val="24"/>
        </w:rPr>
        <w:t>This instrument commences upon registration on the Federal Regist</w:t>
      </w:r>
      <w:r w:rsidR="0081415C">
        <w:rPr>
          <w:szCs w:val="24"/>
        </w:rPr>
        <w:t>e</w:t>
      </w:r>
      <w:r>
        <w:rPr>
          <w:szCs w:val="24"/>
        </w:rPr>
        <w:t>r of Legislation.</w:t>
      </w:r>
    </w:p>
    <w:p w14:paraId="4BD8D996" w14:textId="54AE1B8C" w:rsidR="00F74A0A" w:rsidRDefault="00E12826" w:rsidP="00F3183C">
      <w:pPr>
        <w:spacing w:after="22" w:line="259" w:lineRule="auto"/>
        <w:ind w:left="0" w:right="0" w:firstLine="0"/>
        <w:jc w:val="left"/>
      </w:pPr>
      <w:r>
        <w:t xml:space="preserve"> </w:t>
      </w:r>
    </w:p>
    <w:p w14:paraId="59202FA0" w14:textId="4A723877" w:rsidR="00F74A0A" w:rsidRDefault="00E12826">
      <w:pPr>
        <w:spacing w:after="11"/>
        <w:ind w:left="-5" w:right="0"/>
      </w:pPr>
      <w:r>
        <w:t>Dated</w:t>
      </w:r>
      <w:r w:rsidR="00C80059">
        <w:t>:</w:t>
      </w:r>
      <w:r>
        <w:t xml:space="preserve"> </w:t>
      </w:r>
      <w:r w:rsidR="00CC094F">
        <w:tab/>
      </w:r>
      <w:r w:rsidR="00F3183C">
        <w:t>2</w:t>
      </w:r>
      <w:r w:rsidR="00A7472E">
        <w:t>3</w:t>
      </w:r>
      <w:r w:rsidR="00F3183C">
        <w:t xml:space="preserve"> September </w:t>
      </w:r>
      <w:r w:rsidR="00505653">
        <w:tab/>
      </w:r>
      <w:r w:rsidR="00CC094F">
        <w:t>2016</w:t>
      </w:r>
    </w:p>
    <w:p w14:paraId="5631C34B" w14:textId="14432FFC" w:rsidR="00F74A0A" w:rsidRDefault="00E12826">
      <w:pPr>
        <w:spacing w:after="0" w:line="259" w:lineRule="auto"/>
        <w:ind w:left="0" w:right="0" w:firstLine="0"/>
        <w:jc w:val="left"/>
      </w:pPr>
      <w:r>
        <w:t xml:space="preserve"> </w:t>
      </w:r>
    </w:p>
    <w:p w14:paraId="4E1DEB16" w14:textId="01EAB85D" w:rsidR="00F74A0A" w:rsidRDefault="005E2768">
      <w:pPr>
        <w:spacing w:after="0" w:line="259" w:lineRule="auto"/>
        <w:ind w:left="0" w:right="0" w:firstLine="0"/>
        <w:jc w:val="left"/>
        <w:rPr>
          <w:i/>
        </w:rPr>
      </w:pPr>
      <w:r>
        <w:t>[Signed]</w:t>
      </w:r>
      <w:r w:rsidR="00E12826">
        <w:rPr>
          <w:i/>
        </w:rPr>
        <w:t xml:space="preserve"> </w:t>
      </w:r>
    </w:p>
    <w:p w14:paraId="0CC70C18" w14:textId="77777777" w:rsidR="00505653" w:rsidRDefault="00505653">
      <w:pPr>
        <w:spacing w:after="0" w:line="259" w:lineRule="auto"/>
        <w:ind w:left="0" w:right="0" w:firstLine="0"/>
        <w:jc w:val="left"/>
      </w:pPr>
    </w:p>
    <w:p w14:paraId="6CD098D6" w14:textId="2666A8E4" w:rsidR="00F74A0A" w:rsidRDefault="00CC094F">
      <w:pPr>
        <w:spacing w:after="11"/>
        <w:ind w:left="-5" w:right="0"/>
      </w:pPr>
      <w:r>
        <w:t xml:space="preserve">Steve Davies </w:t>
      </w:r>
    </w:p>
    <w:p w14:paraId="19842E86" w14:textId="4B6A0A92" w:rsidR="00F74A0A" w:rsidRDefault="00E12826">
      <w:pPr>
        <w:spacing w:after="11"/>
        <w:ind w:left="-5" w:right="0"/>
      </w:pPr>
      <w:r>
        <w:t xml:space="preserve">General Manager </w:t>
      </w:r>
    </w:p>
    <w:p w14:paraId="7EF989FE" w14:textId="12542933" w:rsidR="00F74A0A" w:rsidRDefault="00E12826">
      <w:pPr>
        <w:spacing w:after="11"/>
        <w:ind w:left="-5" w:right="0"/>
      </w:pPr>
      <w:r>
        <w:t>S</w:t>
      </w:r>
      <w:r w:rsidR="00B967FB">
        <w:t>upervisory Support</w:t>
      </w:r>
      <w:r>
        <w:t xml:space="preserve"> Division </w:t>
      </w:r>
    </w:p>
    <w:p w14:paraId="75076927" w14:textId="77777777" w:rsidR="00CC094F" w:rsidRDefault="00CC094F">
      <w:pPr>
        <w:spacing w:after="80" w:line="259" w:lineRule="auto"/>
        <w:ind w:left="0" w:right="0" w:firstLine="0"/>
        <w:jc w:val="left"/>
      </w:pPr>
    </w:p>
    <w:p w14:paraId="385A02C4" w14:textId="77777777" w:rsidR="00CC094F" w:rsidRDefault="00CC094F">
      <w:pPr>
        <w:spacing w:after="80" w:line="259" w:lineRule="auto"/>
        <w:ind w:left="0" w:right="0" w:firstLine="0"/>
        <w:jc w:val="left"/>
      </w:pPr>
    </w:p>
    <w:p w14:paraId="31297D02" w14:textId="77777777" w:rsidR="00F74A0A" w:rsidRDefault="00E12826" w:rsidP="00F3183C">
      <w:pPr>
        <w:spacing w:after="0" w:line="276" w:lineRule="auto"/>
        <w:ind w:left="0" w:right="0" w:firstLine="0"/>
        <w:jc w:val="left"/>
      </w:pPr>
      <w:r>
        <w:rPr>
          <w:b/>
        </w:rPr>
        <w:t xml:space="preserve">Interpretation </w:t>
      </w:r>
    </w:p>
    <w:p w14:paraId="5C0B51A7" w14:textId="160B309F" w:rsidR="00F74A0A" w:rsidRDefault="00E12826" w:rsidP="00F3183C">
      <w:pPr>
        <w:spacing w:before="240" w:after="0" w:line="276" w:lineRule="auto"/>
        <w:ind w:left="-6" w:right="0" w:hanging="11"/>
      </w:pPr>
      <w:r>
        <w:t xml:space="preserve">In this </w:t>
      </w:r>
      <w:r w:rsidR="00CC094F">
        <w:t xml:space="preserve">Determination: </w:t>
      </w:r>
    </w:p>
    <w:p w14:paraId="6CD7A2F0" w14:textId="77777777" w:rsidR="00CC094F" w:rsidRDefault="00E12826" w:rsidP="00F3183C">
      <w:pPr>
        <w:spacing w:before="120" w:after="0" w:line="276" w:lineRule="auto"/>
        <w:ind w:left="-6" w:right="0" w:hanging="11"/>
      </w:pPr>
      <w:r>
        <w:rPr>
          <w:b/>
          <w:i/>
        </w:rPr>
        <w:t xml:space="preserve">APRA </w:t>
      </w:r>
      <w:r>
        <w:t xml:space="preserve">means the Australian Prudential Regulation Authority. </w:t>
      </w:r>
    </w:p>
    <w:p w14:paraId="7133B9C3" w14:textId="2792D48A" w:rsidR="00CC094F" w:rsidRPr="00CC094F" w:rsidRDefault="00CC094F" w:rsidP="00F3183C">
      <w:pPr>
        <w:spacing w:before="120" w:after="0" w:line="276" w:lineRule="auto"/>
        <w:ind w:left="-6" w:right="0" w:hanging="11"/>
      </w:pPr>
      <w:proofErr w:type="gramStart"/>
      <w:r w:rsidRPr="000B3B1D">
        <w:rPr>
          <w:b/>
          <w:i/>
          <w:szCs w:val="24"/>
        </w:rPr>
        <w:t>financial</w:t>
      </w:r>
      <w:proofErr w:type="gramEnd"/>
      <w:r w:rsidRPr="000B3B1D">
        <w:rPr>
          <w:b/>
          <w:i/>
          <w:szCs w:val="24"/>
        </w:rPr>
        <w:t xml:space="preserve"> sector entity</w:t>
      </w:r>
      <w:r w:rsidRPr="000B3B1D">
        <w:rPr>
          <w:szCs w:val="24"/>
        </w:rPr>
        <w:t xml:space="preserve"> has the meaning given by section 5 of the Act. </w:t>
      </w:r>
    </w:p>
    <w:p w14:paraId="5CE25069" w14:textId="77777777" w:rsidR="00CC094F" w:rsidRDefault="00CC094F" w:rsidP="00F3183C">
      <w:pPr>
        <w:spacing w:after="541" w:line="276" w:lineRule="auto"/>
        <w:ind w:left="-5" w:right="0"/>
        <w:contextualSpacing/>
      </w:pPr>
    </w:p>
    <w:p w14:paraId="2A47728F" w14:textId="77777777" w:rsidR="00F74A0A" w:rsidRDefault="00E12826" w:rsidP="00F3183C">
      <w:pPr>
        <w:spacing w:after="453" w:line="276" w:lineRule="auto"/>
        <w:ind w:left="0" w:right="0" w:firstLine="0"/>
        <w:jc w:val="left"/>
        <w:rPr>
          <w:rFonts w:ascii="Arial" w:eastAsia="Arial" w:hAnsi="Arial" w:cs="Arial"/>
          <w:b/>
          <w:sz w:val="32"/>
        </w:rPr>
      </w:pPr>
      <w:r>
        <w:rPr>
          <w:rFonts w:ascii="Arial" w:eastAsia="Arial" w:hAnsi="Arial" w:cs="Arial"/>
          <w:b/>
          <w:sz w:val="32"/>
        </w:rPr>
        <w:t xml:space="preserve"> </w:t>
      </w:r>
    </w:p>
    <w:p w14:paraId="19B93542" w14:textId="77777777" w:rsidR="000468C5" w:rsidRDefault="000468C5" w:rsidP="00F3183C">
      <w:pPr>
        <w:spacing w:after="453" w:line="276" w:lineRule="auto"/>
        <w:ind w:left="0" w:right="0" w:firstLine="0"/>
        <w:jc w:val="left"/>
      </w:pPr>
    </w:p>
    <w:p w14:paraId="1202988A" w14:textId="77777777" w:rsidR="00F74A0A" w:rsidRDefault="00E12826">
      <w:pPr>
        <w:pStyle w:val="Heading1"/>
        <w:tabs>
          <w:tab w:val="center" w:pos="2410"/>
        </w:tabs>
        <w:spacing w:after="13"/>
        <w:ind w:left="-15" w:firstLine="0"/>
      </w:pPr>
      <w:r>
        <w:t xml:space="preserve">Schedule  </w:t>
      </w:r>
      <w:r>
        <w:tab/>
      </w:r>
      <w:r>
        <w:rPr>
          <w:sz w:val="24"/>
        </w:rPr>
        <w:t xml:space="preserve"> </w:t>
      </w:r>
    </w:p>
    <w:p w14:paraId="6438E152" w14:textId="1376AF32" w:rsidR="00F74A0A" w:rsidRDefault="00E12826" w:rsidP="00F3183C">
      <w:pPr>
        <w:spacing w:before="240" w:after="0" w:line="259" w:lineRule="auto"/>
        <w:ind w:left="0" w:right="0" w:firstLine="0"/>
        <w:jc w:val="left"/>
      </w:pPr>
      <w:r w:rsidRPr="00F3183C">
        <w:rPr>
          <w:i/>
        </w:rPr>
        <w:t xml:space="preserve">Reporting </w:t>
      </w:r>
      <w:r w:rsidR="00CC094F" w:rsidRPr="00F3183C">
        <w:rPr>
          <w:i/>
        </w:rPr>
        <w:t>S</w:t>
      </w:r>
      <w:r w:rsidRPr="00F3183C">
        <w:rPr>
          <w:i/>
        </w:rPr>
        <w:t>tandard RRS 332.0 Statement of Economic Activity</w:t>
      </w:r>
      <w:r>
        <w:t xml:space="preserve"> comprises </w:t>
      </w:r>
      <w:r w:rsidR="000468C5">
        <w:t xml:space="preserve">the </w:t>
      </w:r>
      <w:r w:rsidRPr="0034406D">
        <w:t>1</w:t>
      </w:r>
      <w:r w:rsidR="00BA0455">
        <w:t>7</w:t>
      </w:r>
      <w:r>
        <w:t xml:space="preserve"> pages commencing on the following page. </w:t>
      </w:r>
    </w:p>
    <w:p w14:paraId="7528F036" w14:textId="77777777" w:rsidR="00F74A0A" w:rsidRDefault="00E12826">
      <w:pPr>
        <w:spacing w:after="0" w:line="259" w:lineRule="auto"/>
        <w:ind w:left="0" w:right="0" w:firstLine="0"/>
        <w:jc w:val="left"/>
      </w:pPr>
      <w:r>
        <w:t xml:space="preserve"> </w:t>
      </w:r>
    </w:p>
    <w:p w14:paraId="3E943743" w14:textId="77777777" w:rsidR="00F74A0A" w:rsidRDefault="00F74A0A">
      <w:pPr>
        <w:sectPr w:rsidR="00F74A0A">
          <w:headerReference w:type="even" r:id="rId11"/>
          <w:headerReference w:type="default" r:id="rId12"/>
          <w:footerReference w:type="even" r:id="rId13"/>
          <w:footerReference w:type="default" r:id="rId14"/>
          <w:headerReference w:type="first" r:id="rId15"/>
          <w:footerReference w:type="first" r:id="rId16"/>
          <w:pgSz w:w="11900" w:h="16840"/>
          <w:pgMar w:top="1440" w:right="1788" w:bottom="1679" w:left="1798" w:header="720" w:footer="365" w:gutter="0"/>
          <w:cols w:space="720"/>
        </w:sectPr>
      </w:pPr>
    </w:p>
    <w:p w14:paraId="5718D1B1" w14:textId="77777777" w:rsidR="00F74A0A" w:rsidRDefault="00E12826">
      <w:pPr>
        <w:spacing w:after="96"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14:anchorId="6096D3EF" wp14:editId="154D5D48">
                <wp:extent cx="1422654" cy="1104899"/>
                <wp:effectExtent l="0" t="0" r="0" b="0"/>
                <wp:docPr id="9182" name="Group 9182"/>
                <wp:cNvGraphicFramePr/>
                <a:graphic xmlns:a="http://schemas.openxmlformats.org/drawingml/2006/main">
                  <a:graphicData uri="http://schemas.microsoft.com/office/word/2010/wordprocessingGroup">
                    <wpg:wgp>
                      <wpg:cNvGrpSpPr/>
                      <wpg:grpSpPr>
                        <a:xfrm>
                          <a:off x="0" y="0"/>
                          <a:ext cx="1422654" cy="1104899"/>
                          <a:chOff x="0" y="0"/>
                          <a:chExt cx="1422654" cy="1104899"/>
                        </a:xfrm>
                      </wpg:grpSpPr>
                      <pic:pic xmlns:pic="http://schemas.openxmlformats.org/drawingml/2006/picture">
                        <pic:nvPicPr>
                          <pic:cNvPr id="83" name="Picture 83"/>
                          <pic:cNvPicPr/>
                        </pic:nvPicPr>
                        <pic:blipFill>
                          <a:blip r:embed="rId7"/>
                          <a:stretch>
                            <a:fillRect/>
                          </a:stretch>
                        </pic:blipFill>
                        <pic:spPr>
                          <a:xfrm>
                            <a:off x="0" y="0"/>
                            <a:ext cx="1422654" cy="973836"/>
                          </a:xfrm>
                          <a:prstGeom prst="rect">
                            <a:avLst/>
                          </a:prstGeom>
                        </pic:spPr>
                      </pic:pic>
                      <pic:pic xmlns:pic="http://schemas.openxmlformats.org/drawingml/2006/picture">
                        <pic:nvPicPr>
                          <pic:cNvPr id="84" name="Picture 84"/>
                          <pic:cNvPicPr/>
                        </pic:nvPicPr>
                        <pic:blipFill>
                          <a:blip r:embed="rId8"/>
                          <a:stretch>
                            <a:fillRect/>
                          </a:stretch>
                        </pic:blipFill>
                        <pic:spPr>
                          <a:xfrm>
                            <a:off x="0" y="973835"/>
                            <a:ext cx="1422654" cy="131064"/>
                          </a:xfrm>
                          <a:prstGeom prst="rect">
                            <a:avLst/>
                          </a:prstGeom>
                        </pic:spPr>
                      </pic:pic>
                    </wpg:wgp>
                  </a:graphicData>
                </a:graphic>
              </wp:inline>
            </w:drawing>
          </mc:Choice>
          <mc:Fallback>
            <w:pict>
              <v:group w14:anchorId="1081E449" id="Group 9182" o:spid="_x0000_s1026" style="width:112pt;height:87pt;mso-position-horizontal-relative:char;mso-position-vertical-relative:line" coordsize="14226,1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">
                <v:shape id="Picture 83" o:spid="_x0000_s1027" type="#_x0000_t75" style="position:absolute;width:14226;height:9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S/qrDAAAA2wAAAA8AAABkcnMvZG93bnJldi54bWxEj0FrwkAUhO+C/2F5Qm+6iaWi0VWkKBQ8&#10;GS1eH9lnEsy+TbNrkvrru4LQ4zAz3zCrTW8q0VLjSssK4kkEgjizuuRcwfm0H89BOI+ssbJMCn7J&#10;wWY9HKww0bbjI7Wpz0WAsEtQQeF9nUjpsoIMuomtiYN3tY1BH2STS91gF+CmktMomkmDJYeFAmv6&#10;LCi7pXejIM0f7TnddVM8Lcr75RDHH98/lVJvo367BOGp9//hV/tLK5i/w/NL+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tL+qsMAAADbAAAADwAAAAAAAAAAAAAAAACf&#10;AgAAZHJzL2Rvd25yZXYueG1sUEsFBgAAAAAEAAQA9wAAAI8DAAAAAA==&#10;">
                  <v:imagedata r:id="rId9" o:title=""/>
                </v:shape>
                <v:shape id="Picture 84" o:spid="_x0000_s1028" type="#_x0000_t75" style="position:absolute;top:9738;width:14226;height:1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0NTrDAAAA2wAAAA8AAABkcnMvZG93bnJldi54bWxEj91qwkAUhO8LfYflFHpXT5QiIbqKaCu9&#10;Kfj3AIfsMQlmz4bdVVOfvisIXg4z8w0znfe2VRf2oXGiYTjIQLGUzjRSaTjsvz9yUCGSGGqdsIY/&#10;DjCfvb5MqTDuKlu+7GKlEkRCQRrqGLsCMZQ1WwoD17Ek7+i8pZikr9B4uia4bXGUZWO01EhaqKnj&#10;Zc3laXe2Gm43xNX5d5lvVjEbIX6ttxu/1vr9rV9MQEXu4zP8aP8YDfkn3L+kH4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vQ1OsMAAADbAAAADwAAAAAAAAAAAAAAAACf&#10;AgAAZHJzL2Rvd25yZXYueG1sUEsFBgAAAAAEAAQA9wAAAI8DAAAAAA==&#10;">
                  <v:imagedata r:id="rId10" o:title=""/>
                </v:shape>
                <w10:anchorlock/>
              </v:group>
            </w:pict>
          </mc:Fallback>
        </mc:AlternateContent>
      </w:r>
      <w:r>
        <w:rPr>
          <w:rFonts w:ascii="Arial" w:eastAsia="Arial" w:hAnsi="Arial" w:cs="Arial"/>
          <w:b/>
          <w:sz w:val="32"/>
        </w:rPr>
        <w:t xml:space="preserve"> </w:t>
      </w:r>
    </w:p>
    <w:p w14:paraId="6E3150A9" w14:textId="77777777" w:rsidR="00F74A0A" w:rsidRDefault="00E12826">
      <w:pPr>
        <w:spacing w:after="339" w:line="250" w:lineRule="auto"/>
        <w:ind w:left="-5" w:right="0"/>
        <w:jc w:val="left"/>
      </w:pPr>
      <w:r>
        <w:rPr>
          <w:rFonts w:ascii="Arial" w:eastAsia="Arial" w:hAnsi="Arial" w:cs="Arial"/>
          <w:b/>
          <w:sz w:val="40"/>
        </w:rPr>
        <w:t xml:space="preserve">Reporting Standard RRS 332.0  </w:t>
      </w:r>
    </w:p>
    <w:p w14:paraId="74F049AB" w14:textId="77777777" w:rsidR="00F74A0A" w:rsidRDefault="00E12826">
      <w:pPr>
        <w:spacing w:after="175" w:line="250" w:lineRule="auto"/>
        <w:ind w:left="-5" w:right="0"/>
        <w:jc w:val="left"/>
      </w:pPr>
      <w:r>
        <w:rPr>
          <w:rFonts w:ascii="Arial" w:eastAsia="Arial" w:hAnsi="Arial" w:cs="Arial"/>
          <w:b/>
          <w:sz w:val="40"/>
        </w:rPr>
        <w:t xml:space="preserve">Statement of Economic Activity </w:t>
      </w:r>
    </w:p>
    <w:p w14:paraId="41472313" w14:textId="77777777" w:rsidR="00F74A0A" w:rsidRDefault="00E12826">
      <w:pPr>
        <w:pBdr>
          <w:top w:val="single" w:sz="4" w:space="0" w:color="000000"/>
          <w:left w:val="single" w:sz="4" w:space="0" w:color="000000"/>
          <w:bottom w:val="single" w:sz="4" w:space="0" w:color="000000"/>
          <w:right w:val="single" w:sz="4" w:space="0" w:color="000000"/>
        </w:pBdr>
        <w:shd w:val="clear" w:color="auto" w:fill="E6E6E6"/>
        <w:spacing w:after="131" w:line="259" w:lineRule="auto"/>
        <w:ind w:left="-15" w:right="-11" w:firstLine="0"/>
        <w:jc w:val="left"/>
      </w:pPr>
      <w:r>
        <w:rPr>
          <w:rFonts w:ascii="Arial" w:eastAsia="Arial" w:hAnsi="Arial" w:cs="Arial"/>
          <w:b/>
          <w:sz w:val="32"/>
        </w:rPr>
        <w:t xml:space="preserve">Objective of this reporting standard </w:t>
      </w:r>
    </w:p>
    <w:p w14:paraId="611976C7" w14:textId="77777777" w:rsidR="00F74A0A" w:rsidRDefault="00E12826">
      <w:pPr>
        <w:pBdr>
          <w:top w:val="single" w:sz="4" w:space="0" w:color="000000"/>
          <w:left w:val="single" w:sz="4" w:space="0" w:color="000000"/>
          <w:bottom w:val="single" w:sz="4" w:space="0" w:color="000000"/>
          <w:right w:val="single" w:sz="4" w:space="0" w:color="000000"/>
        </w:pBdr>
        <w:shd w:val="clear" w:color="auto" w:fill="E6E6E6"/>
        <w:spacing w:after="234" w:line="244" w:lineRule="auto"/>
        <w:ind w:left="-5" w:right="-11"/>
      </w:pPr>
      <w:r>
        <w:t xml:space="preserve">This reporting standard is made under section 13 of the </w:t>
      </w:r>
      <w:r>
        <w:rPr>
          <w:i/>
        </w:rPr>
        <w:t>Financial Sector (Collection of Data) Act 2001</w:t>
      </w:r>
      <w:r>
        <w:t xml:space="preserve">.   </w:t>
      </w:r>
    </w:p>
    <w:p w14:paraId="28EE9932" w14:textId="77777777" w:rsidR="00F74A0A" w:rsidRDefault="00E12826">
      <w:pPr>
        <w:pBdr>
          <w:top w:val="single" w:sz="4" w:space="0" w:color="000000"/>
          <w:left w:val="single" w:sz="4" w:space="0" w:color="000000"/>
          <w:bottom w:val="single" w:sz="4" w:space="0" w:color="000000"/>
          <w:right w:val="single" w:sz="4" w:space="0" w:color="000000"/>
        </w:pBdr>
        <w:shd w:val="clear" w:color="auto" w:fill="E6E6E6"/>
        <w:spacing w:after="234" w:line="244" w:lineRule="auto"/>
        <w:ind w:left="-5" w:right="-11"/>
      </w:pPr>
      <w:r>
        <w:t xml:space="preserve">Subject to what follows, it requires a registered entity that had total assets of $500 million or more at the end of the most recent complete financial year at the time of reporting, to give APRA annual statements of economic activity.   </w:t>
      </w:r>
    </w:p>
    <w:p w14:paraId="6477D207" w14:textId="77777777" w:rsidR="00F74A0A" w:rsidRDefault="00E12826">
      <w:pPr>
        <w:pBdr>
          <w:top w:val="single" w:sz="4" w:space="0" w:color="000000"/>
          <w:left w:val="single" w:sz="4" w:space="0" w:color="000000"/>
          <w:bottom w:val="single" w:sz="4" w:space="0" w:color="000000"/>
          <w:right w:val="single" w:sz="4" w:space="0" w:color="000000"/>
        </w:pBdr>
        <w:shd w:val="clear" w:color="auto" w:fill="E6E6E6"/>
        <w:spacing w:after="234" w:line="244" w:lineRule="auto"/>
        <w:ind w:left="-5" w:right="-11"/>
      </w:pPr>
      <w:r>
        <w:t>It also provides that if there are two or more registered entities of the same category</w:t>
      </w:r>
      <w:r>
        <w:rPr>
          <w:vertAlign w:val="superscript"/>
        </w:rPr>
        <w:footnoteReference w:id="1"/>
      </w:r>
      <w:r>
        <w:t xml:space="preserve"> in a group of related bodies corporate (e.g. two or more money market corporations in the group), and the combined value of their total assets was $500 million or more at the end of the most recent complete financial year, one of them must give APRA annual statements of economic activity. </w:t>
      </w:r>
    </w:p>
    <w:p w14:paraId="63C13F97" w14:textId="77777777" w:rsidR="00F74A0A" w:rsidRDefault="00E12826">
      <w:pPr>
        <w:pBdr>
          <w:top w:val="single" w:sz="4" w:space="0" w:color="000000"/>
          <w:left w:val="single" w:sz="4" w:space="0" w:color="000000"/>
          <w:bottom w:val="single" w:sz="4" w:space="0" w:color="000000"/>
          <w:right w:val="single" w:sz="4" w:space="0" w:color="000000"/>
        </w:pBdr>
        <w:shd w:val="clear" w:color="auto" w:fill="E6E6E6"/>
        <w:spacing w:after="234" w:line="244" w:lineRule="auto"/>
        <w:ind w:left="-5" w:right="-11"/>
      </w:pPr>
      <w:r>
        <w:t>If there is more than one registered entity of the same category in a group of related bodies corporate, only one of them will have to report to APRA under this reporting standard.</w:t>
      </w:r>
      <w:r>
        <w:rPr>
          <w:vertAlign w:val="superscript"/>
        </w:rPr>
        <w:footnoteReference w:id="2"/>
      </w:r>
      <w:r>
        <w:t xml:space="preserve"> That report must cover all registered entities of the same category in the group. </w:t>
      </w:r>
    </w:p>
    <w:p w14:paraId="07B17706" w14:textId="77777777" w:rsidR="00F74A0A" w:rsidRDefault="00E12826">
      <w:pPr>
        <w:pBdr>
          <w:top w:val="single" w:sz="4" w:space="0" w:color="000000"/>
          <w:left w:val="single" w:sz="4" w:space="0" w:color="000000"/>
          <w:bottom w:val="single" w:sz="4" w:space="0" w:color="000000"/>
          <w:right w:val="single" w:sz="4" w:space="0" w:color="000000"/>
        </w:pBdr>
        <w:shd w:val="clear" w:color="auto" w:fill="E6E6E6"/>
        <w:spacing w:after="0" w:line="244" w:lineRule="auto"/>
        <w:ind w:left="-5" w:right="-11"/>
      </w:pPr>
      <w:r>
        <w:t xml:space="preserve">This reporting standard outlines the overall requirements for the provision of the required information to APRA. It should be read in conjunction with </w:t>
      </w:r>
      <w:r>
        <w:rPr>
          <w:i/>
        </w:rPr>
        <w:t>Form RRF 332.0 Statement of Economic Activity</w:t>
      </w:r>
      <w:r>
        <w:t xml:space="preserve"> and the associated instructions (all of which are attached and form part of this reporting standard).  </w:t>
      </w:r>
    </w:p>
    <w:p w14:paraId="3E2FDBA0" w14:textId="77777777" w:rsidR="00F74A0A" w:rsidRDefault="00E12826">
      <w:pPr>
        <w:pBdr>
          <w:top w:val="single" w:sz="4" w:space="0" w:color="000000"/>
          <w:left w:val="single" w:sz="4" w:space="0" w:color="000000"/>
          <w:bottom w:val="single" w:sz="4" w:space="0" w:color="000000"/>
          <w:right w:val="single" w:sz="4" w:space="0" w:color="000000"/>
        </w:pBdr>
        <w:shd w:val="clear" w:color="auto" w:fill="E6E6E6"/>
        <w:spacing w:after="367" w:line="259" w:lineRule="auto"/>
        <w:ind w:left="-15" w:right="-11" w:firstLine="0"/>
        <w:jc w:val="left"/>
      </w:pPr>
      <w:r>
        <w:t xml:space="preserve"> </w:t>
      </w:r>
    </w:p>
    <w:p w14:paraId="4D0956AD" w14:textId="77777777" w:rsidR="00F74A0A" w:rsidRDefault="00E12826">
      <w:pPr>
        <w:pStyle w:val="Heading2"/>
        <w:ind w:left="-5"/>
      </w:pPr>
      <w:r>
        <w:t xml:space="preserve">Purpose </w:t>
      </w:r>
    </w:p>
    <w:p w14:paraId="40770097" w14:textId="77777777" w:rsidR="003B30B3" w:rsidRPr="003B30B3" w:rsidRDefault="003B30B3" w:rsidP="003B30B3">
      <w:pPr>
        <w:spacing w:before="120" w:after="240" w:line="240" w:lineRule="auto"/>
        <w:ind w:left="0" w:right="0" w:firstLine="0"/>
        <w:rPr>
          <w:rFonts w:ascii="Arial" w:hAnsi="Arial" w:cs="Arial"/>
          <w:b/>
          <w:color w:val="auto"/>
          <w:szCs w:val="20"/>
          <w:lang w:val="en-GB"/>
        </w:rPr>
      </w:pPr>
    </w:p>
    <w:p w14:paraId="305E7CF2" w14:textId="77777777" w:rsidR="003B30B3" w:rsidRPr="003B30B3" w:rsidRDefault="003B30B3" w:rsidP="003B30B3">
      <w:pPr>
        <w:numPr>
          <w:ilvl w:val="0"/>
          <w:numId w:val="26"/>
        </w:numPr>
        <w:spacing w:after="240" w:line="240" w:lineRule="auto"/>
        <w:ind w:right="0"/>
        <w:jc w:val="left"/>
        <w:rPr>
          <w:color w:val="auto"/>
          <w:szCs w:val="20"/>
          <w:lang w:val="en-US"/>
        </w:rPr>
      </w:pPr>
      <w:r w:rsidRPr="003B30B3">
        <w:rPr>
          <w:color w:val="auto"/>
          <w:szCs w:val="20"/>
          <w:lang w:val="en-US"/>
        </w:rPr>
        <w:t xml:space="preserve">Data collected in </w:t>
      </w:r>
      <w:r w:rsidRPr="003B30B3">
        <w:rPr>
          <w:i/>
          <w:color w:val="auto"/>
          <w:szCs w:val="20"/>
          <w:lang w:val="en-US"/>
        </w:rPr>
        <w:t>Form RRF 332.0 Statement of Economic Activity</w:t>
      </w:r>
      <w:r w:rsidRPr="003B30B3">
        <w:rPr>
          <w:color w:val="auto"/>
          <w:szCs w:val="20"/>
          <w:lang w:val="en-US"/>
        </w:rPr>
        <w:t xml:space="preserve"> (</w:t>
      </w:r>
      <w:r w:rsidRPr="003B30B3">
        <w:rPr>
          <w:b/>
          <w:color w:val="auto"/>
          <w:szCs w:val="20"/>
          <w:lang w:val="en-US"/>
        </w:rPr>
        <w:t>Form RRF 332.0</w:t>
      </w:r>
      <w:r w:rsidRPr="003B30B3">
        <w:rPr>
          <w:color w:val="auto"/>
          <w:szCs w:val="20"/>
          <w:lang w:val="en-US"/>
        </w:rPr>
        <w:t xml:space="preserve">) is used for the purposes of the Reserve Bank of </w:t>
      </w:r>
      <w:smartTag w:uri="urn:schemas-microsoft-com:office:smarttags" w:element="country-region">
        <w:smartTag w:uri="urn:schemas-microsoft-com:office:smarttags" w:element="place">
          <w:r w:rsidRPr="003B30B3">
            <w:rPr>
              <w:color w:val="auto"/>
              <w:szCs w:val="20"/>
              <w:lang w:val="en-US"/>
            </w:rPr>
            <w:t>Australia</w:t>
          </w:r>
        </w:smartTag>
      </w:smartTag>
      <w:r w:rsidRPr="003B30B3">
        <w:rPr>
          <w:color w:val="auto"/>
          <w:szCs w:val="20"/>
          <w:lang w:val="en-US"/>
        </w:rPr>
        <w:t xml:space="preserve">. It may also be </w:t>
      </w:r>
      <w:r w:rsidRPr="003B30B3">
        <w:rPr>
          <w:color w:val="auto"/>
          <w:szCs w:val="20"/>
          <w:lang w:val="en-US"/>
        </w:rPr>
        <w:lastRenderedPageBreak/>
        <w:t>used by APRA, for the purpose of prudential supervision, and the Australian Bureau of Statistics.</w:t>
      </w:r>
    </w:p>
    <w:p w14:paraId="33EC0C75" w14:textId="77777777" w:rsidR="003B30B3" w:rsidRPr="003B30B3" w:rsidRDefault="003B30B3" w:rsidP="003B30B3">
      <w:pPr>
        <w:keepNext/>
        <w:spacing w:before="120" w:after="240" w:line="240" w:lineRule="auto"/>
        <w:ind w:left="0" w:right="0" w:firstLine="0"/>
        <w:rPr>
          <w:rFonts w:ascii="Arial" w:hAnsi="Arial" w:cs="Arial"/>
          <w:b/>
          <w:color w:val="auto"/>
          <w:szCs w:val="20"/>
          <w:lang w:val="en-GB"/>
        </w:rPr>
      </w:pPr>
      <w:r w:rsidRPr="003B30B3">
        <w:rPr>
          <w:rFonts w:ascii="Arial" w:hAnsi="Arial" w:cs="Arial"/>
          <w:b/>
          <w:color w:val="auto"/>
          <w:szCs w:val="20"/>
          <w:lang w:val="en-GB"/>
        </w:rPr>
        <w:t xml:space="preserve">Application </w:t>
      </w:r>
    </w:p>
    <w:p w14:paraId="01A6B55B" w14:textId="77777777" w:rsidR="003B30B3" w:rsidRPr="003B30B3" w:rsidRDefault="003B30B3" w:rsidP="003B30B3">
      <w:pPr>
        <w:keepNext/>
        <w:numPr>
          <w:ilvl w:val="0"/>
          <w:numId w:val="26"/>
        </w:numPr>
        <w:spacing w:after="240" w:line="240" w:lineRule="auto"/>
        <w:ind w:right="0"/>
        <w:jc w:val="left"/>
        <w:rPr>
          <w:color w:val="auto"/>
          <w:szCs w:val="20"/>
          <w:lang w:val="en-GB"/>
        </w:rPr>
      </w:pPr>
      <w:r w:rsidRPr="003B30B3">
        <w:rPr>
          <w:color w:val="auto"/>
          <w:szCs w:val="20"/>
          <w:lang w:val="en-GB"/>
        </w:rPr>
        <w:t>This reporting standard applies to those registered entities outlined in paragraph 3.</w:t>
      </w:r>
    </w:p>
    <w:p w14:paraId="73881728" w14:textId="77777777" w:rsidR="003B30B3" w:rsidRPr="003B30B3" w:rsidRDefault="003B30B3" w:rsidP="003B30B3">
      <w:pPr>
        <w:spacing w:before="120" w:after="240" w:line="240" w:lineRule="auto"/>
        <w:ind w:left="0" w:right="0" w:firstLine="0"/>
        <w:rPr>
          <w:rFonts w:ascii="Arial" w:hAnsi="Arial" w:cs="Arial"/>
          <w:b/>
          <w:color w:val="auto"/>
          <w:szCs w:val="20"/>
          <w:lang w:val="en-GB"/>
        </w:rPr>
      </w:pPr>
      <w:r w:rsidRPr="003B30B3">
        <w:rPr>
          <w:rFonts w:ascii="Arial" w:hAnsi="Arial" w:cs="Arial"/>
          <w:b/>
          <w:color w:val="auto"/>
          <w:szCs w:val="20"/>
          <w:lang w:val="en-GB"/>
        </w:rPr>
        <w:t>Information required</w:t>
      </w:r>
    </w:p>
    <w:p w14:paraId="46ED5517" w14:textId="77777777" w:rsidR="003B30B3" w:rsidRPr="003B30B3" w:rsidRDefault="003B30B3" w:rsidP="003B30B3">
      <w:pPr>
        <w:numPr>
          <w:ilvl w:val="0"/>
          <w:numId w:val="26"/>
        </w:numPr>
        <w:spacing w:after="240" w:line="240" w:lineRule="auto"/>
        <w:ind w:right="0"/>
        <w:jc w:val="left"/>
        <w:rPr>
          <w:color w:val="auto"/>
          <w:szCs w:val="20"/>
          <w:lang w:val="en-GB"/>
        </w:rPr>
      </w:pPr>
      <w:r w:rsidRPr="003B30B3">
        <w:rPr>
          <w:color w:val="auto"/>
          <w:szCs w:val="20"/>
          <w:lang w:val="en-GB"/>
        </w:rPr>
        <w:t xml:space="preserve">Subject to paragraph 4, a registered entity must provide APRA with the information required by Form RRF 332.0 in respect of a reporting period if, at the end of the most recent complete financial year for the registered entity, it: </w:t>
      </w:r>
    </w:p>
    <w:p w14:paraId="19E6269A" w14:textId="77777777" w:rsidR="003B30B3" w:rsidRPr="003B30B3" w:rsidRDefault="003B30B3" w:rsidP="003B30B3">
      <w:pPr>
        <w:numPr>
          <w:ilvl w:val="0"/>
          <w:numId w:val="27"/>
        </w:numPr>
        <w:spacing w:after="240" w:line="240" w:lineRule="auto"/>
        <w:ind w:right="0"/>
        <w:jc w:val="left"/>
        <w:rPr>
          <w:color w:val="auto"/>
          <w:szCs w:val="20"/>
          <w:lang w:val="en-GB"/>
        </w:rPr>
      </w:pPr>
      <w:r w:rsidRPr="003B30B3">
        <w:rPr>
          <w:color w:val="auto"/>
          <w:szCs w:val="20"/>
          <w:lang w:val="en-GB"/>
        </w:rPr>
        <w:t>had total assets of $500 million or more;</w:t>
      </w:r>
      <w:r w:rsidRPr="003B30B3">
        <w:rPr>
          <w:color w:val="auto"/>
          <w:szCs w:val="20"/>
          <w:vertAlign w:val="superscript"/>
          <w:lang w:val="en-GB"/>
        </w:rPr>
        <w:footnoteReference w:id="3"/>
      </w:r>
      <w:r w:rsidRPr="003B30B3">
        <w:rPr>
          <w:color w:val="auto"/>
          <w:szCs w:val="20"/>
          <w:lang w:val="en-GB"/>
        </w:rPr>
        <w:t xml:space="preserve"> or</w:t>
      </w:r>
    </w:p>
    <w:p w14:paraId="2D63B438" w14:textId="77777777" w:rsidR="003B30B3" w:rsidRPr="003B30B3" w:rsidRDefault="003B30B3" w:rsidP="003B30B3">
      <w:pPr>
        <w:numPr>
          <w:ilvl w:val="0"/>
          <w:numId w:val="27"/>
        </w:numPr>
        <w:spacing w:after="240" w:line="240" w:lineRule="auto"/>
        <w:ind w:right="0"/>
        <w:jc w:val="left"/>
        <w:rPr>
          <w:color w:val="auto"/>
          <w:szCs w:val="20"/>
          <w:lang w:val="en-GB"/>
        </w:rPr>
      </w:pPr>
      <w:r w:rsidRPr="003B30B3">
        <w:rPr>
          <w:color w:val="auto"/>
          <w:szCs w:val="20"/>
          <w:lang w:val="en-GB"/>
        </w:rPr>
        <w:t xml:space="preserve">was one of a number of registered entities that, during the reporting period, were: </w:t>
      </w:r>
    </w:p>
    <w:p w14:paraId="65058CC0" w14:textId="77777777" w:rsidR="003B30B3" w:rsidRPr="003B30B3" w:rsidRDefault="003B30B3" w:rsidP="003B30B3">
      <w:pPr>
        <w:numPr>
          <w:ilvl w:val="0"/>
          <w:numId w:val="28"/>
        </w:numPr>
        <w:spacing w:after="240" w:line="240" w:lineRule="auto"/>
        <w:ind w:right="0"/>
        <w:jc w:val="left"/>
        <w:rPr>
          <w:color w:val="auto"/>
          <w:szCs w:val="20"/>
          <w:lang w:val="en-GB"/>
        </w:rPr>
      </w:pPr>
      <w:r w:rsidRPr="003B30B3">
        <w:rPr>
          <w:color w:val="auto"/>
          <w:szCs w:val="20"/>
          <w:lang w:val="en-GB"/>
        </w:rPr>
        <w:t>of the same category as the first-mentioned registered entity; and</w:t>
      </w:r>
    </w:p>
    <w:p w14:paraId="20F59BBC" w14:textId="77777777" w:rsidR="003B30B3" w:rsidRPr="003B30B3" w:rsidRDefault="003B30B3" w:rsidP="003B30B3">
      <w:pPr>
        <w:numPr>
          <w:ilvl w:val="0"/>
          <w:numId w:val="28"/>
        </w:numPr>
        <w:spacing w:after="240" w:line="240" w:lineRule="auto"/>
        <w:ind w:right="0"/>
        <w:jc w:val="left"/>
        <w:rPr>
          <w:color w:val="auto"/>
          <w:szCs w:val="20"/>
          <w:lang w:val="en-GB"/>
        </w:rPr>
      </w:pPr>
      <w:r w:rsidRPr="003B30B3">
        <w:rPr>
          <w:color w:val="auto"/>
          <w:szCs w:val="20"/>
          <w:lang w:val="en-GB"/>
        </w:rPr>
        <w:t>related bodies corporate of each other</w:t>
      </w:r>
    </w:p>
    <w:p w14:paraId="09644A0D" w14:textId="77777777" w:rsidR="003B30B3" w:rsidRPr="003B30B3" w:rsidRDefault="003B30B3" w:rsidP="003B30B3">
      <w:pPr>
        <w:tabs>
          <w:tab w:val="left" w:pos="567"/>
          <w:tab w:val="left" w:pos="1134"/>
        </w:tabs>
        <w:spacing w:after="240" w:line="240" w:lineRule="auto"/>
        <w:ind w:left="1134" w:right="0" w:firstLine="0"/>
        <w:rPr>
          <w:color w:val="auto"/>
          <w:szCs w:val="20"/>
          <w:lang w:val="en-GB"/>
        </w:rPr>
      </w:pPr>
      <w:r w:rsidRPr="003B30B3">
        <w:rPr>
          <w:color w:val="auto"/>
          <w:szCs w:val="20"/>
          <w:lang w:val="en-GB"/>
        </w:rPr>
        <w:t xml:space="preserve">and, at the end of the most recent complete financial year for the first-mentioned registered entity, had combined total assets of $500 million or more. </w:t>
      </w:r>
    </w:p>
    <w:p w14:paraId="67798486" w14:textId="77777777" w:rsidR="003B30B3" w:rsidRPr="003B30B3" w:rsidRDefault="003B30B3" w:rsidP="003B30B3">
      <w:pPr>
        <w:numPr>
          <w:ilvl w:val="0"/>
          <w:numId w:val="26"/>
        </w:numPr>
        <w:spacing w:after="240" w:line="240" w:lineRule="auto"/>
        <w:ind w:right="0"/>
        <w:jc w:val="left"/>
        <w:rPr>
          <w:color w:val="auto"/>
          <w:szCs w:val="20"/>
          <w:lang w:val="en-GB"/>
        </w:rPr>
      </w:pPr>
      <w:r w:rsidRPr="003B30B3">
        <w:rPr>
          <w:color w:val="auto"/>
          <w:szCs w:val="20"/>
          <w:lang w:val="en-GB"/>
        </w:rPr>
        <w:t xml:space="preserve">However, a registered entity is not required to report in respect of a particular reporting period if another registered entity has reported under this reporting standard in respect of that reporting period, and that other entity is both: </w:t>
      </w:r>
    </w:p>
    <w:p w14:paraId="3BDE0489" w14:textId="77777777" w:rsidR="003B30B3" w:rsidRPr="003B30B3" w:rsidRDefault="003B30B3" w:rsidP="003B30B3">
      <w:pPr>
        <w:numPr>
          <w:ilvl w:val="0"/>
          <w:numId w:val="29"/>
        </w:numPr>
        <w:spacing w:after="240" w:line="240" w:lineRule="auto"/>
        <w:ind w:right="0"/>
        <w:jc w:val="left"/>
        <w:rPr>
          <w:color w:val="auto"/>
          <w:szCs w:val="20"/>
          <w:lang w:val="en-GB"/>
        </w:rPr>
      </w:pPr>
      <w:r w:rsidRPr="003B30B3">
        <w:rPr>
          <w:color w:val="auto"/>
          <w:szCs w:val="20"/>
          <w:lang w:val="en-GB"/>
        </w:rPr>
        <w:t>a related body corporate of the first-mentioned registered entity; and</w:t>
      </w:r>
    </w:p>
    <w:p w14:paraId="4F60DF46" w14:textId="77777777" w:rsidR="003B30B3" w:rsidRPr="003B30B3" w:rsidRDefault="003B30B3" w:rsidP="003B30B3">
      <w:pPr>
        <w:numPr>
          <w:ilvl w:val="0"/>
          <w:numId w:val="29"/>
        </w:numPr>
        <w:spacing w:after="240" w:line="240" w:lineRule="auto"/>
        <w:ind w:right="0"/>
        <w:jc w:val="left"/>
        <w:rPr>
          <w:color w:val="auto"/>
          <w:szCs w:val="20"/>
          <w:lang w:val="en-GB"/>
        </w:rPr>
      </w:pPr>
      <w:r w:rsidRPr="003B30B3">
        <w:rPr>
          <w:color w:val="auto"/>
          <w:szCs w:val="20"/>
          <w:lang w:val="en-GB"/>
        </w:rPr>
        <w:t>of the same category as the first-mentioned registered entity.</w:t>
      </w:r>
    </w:p>
    <w:p w14:paraId="526262A9" w14:textId="77777777" w:rsidR="003B30B3" w:rsidRPr="003B30B3" w:rsidRDefault="003B30B3" w:rsidP="003B30B3">
      <w:pPr>
        <w:tabs>
          <w:tab w:val="left" w:pos="567"/>
        </w:tabs>
        <w:spacing w:after="240" w:line="240" w:lineRule="auto"/>
        <w:ind w:left="567" w:right="0" w:firstLine="0"/>
        <w:rPr>
          <w:color w:val="auto"/>
          <w:sz w:val="20"/>
          <w:szCs w:val="20"/>
          <w:lang w:val="en-GB"/>
        </w:rPr>
      </w:pPr>
      <w:r w:rsidRPr="003B30B3">
        <w:rPr>
          <w:i/>
          <w:color w:val="auto"/>
          <w:sz w:val="20"/>
          <w:szCs w:val="20"/>
          <w:lang w:val="en-GB"/>
        </w:rPr>
        <w:t>Example of the application of paragraphs 3 and 4</w:t>
      </w:r>
      <w:r w:rsidRPr="003B30B3">
        <w:rPr>
          <w:color w:val="auto"/>
          <w:sz w:val="20"/>
          <w:szCs w:val="20"/>
          <w:lang w:val="en-GB"/>
        </w:rPr>
        <w:t>: RE1 Ltd is a registered entity.  Under section 11 of the Collection of Data Act it has been allocated to the category of ‘money market corporation’.  At the end of the most recent complete financial year it had assets of $40 million.  RE2 Pty Ltd is a subsidiary, and therefore a related body corporate, of RE1.  It is also a money market corporation.  At the end of the most recent complete financial year it had assets of $20 million.  For the purposes of the test in paragraph 3(b) their respective total assets are added together, producing a total of $60 million.  This exceeds the $50 million test in paragraph 3(b).  Having regard to paragraph 4, one of the two companies is required to report to APRA under this reporting standard in respect of the reporting period (assuming there are no other money market corporations in the group that have reported to APRA in respect of that reporting period).</w:t>
      </w:r>
    </w:p>
    <w:p w14:paraId="236FCC41" w14:textId="77777777" w:rsidR="003B30B3" w:rsidRPr="003B30B3" w:rsidRDefault="003B30B3" w:rsidP="003B30B3">
      <w:pPr>
        <w:spacing w:before="120" w:after="240" w:line="240" w:lineRule="auto"/>
        <w:ind w:left="0" w:right="0" w:firstLine="0"/>
        <w:rPr>
          <w:rFonts w:ascii="Arial" w:hAnsi="Arial" w:cs="Arial"/>
          <w:b/>
          <w:color w:val="auto"/>
          <w:szCs w:val="20"/>
          <w:lang w:val="en-GB"/>
        </w:rPr>
      </w:pPr>
      <w:r w:rsidRPr="003B30B3">
        <w:rPr>
          <w:rFonts w:ascii="Arial" w:hAnsi="Arial" w:cs="Arial"/>
          <w:b/>
          <w:color w:val="auto"/>
          <w:szCs w:val="20"/>
          <w:lang w:val="en-GB"/>
        </w:rPr>
        <w:t>Reporting periods and due dates</w:t>
      </w:r>
    </w:p>
    <w:p w14:paraId="12FBB1CF" w14:textId="77777777" w:rsidR="003B30B3" w:rsidRPr="003B30B3" w:rsidRDefault="003B30B3" w:rsidP="003B30B3">
      <w:pPr>
        <w:numPr>
          <w:ilvl w:val="0"/>
          <w:numId w:val="26"/>
        </w:numPr>
        <w:spacing w:after="240" w:line="240" w:lineRule="auto"/>
        <w:ind w:right="0"/>
        <w:jc w:val="left"/>
        <w:rPr>
          <w:color w:val="auto"/>
          <w:szCs w:val="20"/>
          <w:lang w:val="en-GB"/>
        </w:rPr>
      </w:pPr>
      <w:r w:rsidRPr="003B30B3">
        <w:rPr>
          <w:color w:val="auto"/>
          <w:szCs w:val="20"/>
          <w:lang w:val="en-GB"/>
        </w:rPr>
        <w:t>Subject to paragraph 6, a registered entity must provide the information required by this reporting standard for each financial year.</w:t>
      </w:r>
    </w:p>
    <w:p w14:paraId="5CE0FDA8" w14:textId="77777777" w:rsidR="003B30B3" w:rsidRPr="003B30B3" w:rsidRDefault="003B30B3" w:rsidP="003B30B3">
      <w:pPr>
        <w:numPr>
          <w:ilvl w:val="0"/>
          <w:numId w:val="26"/>
        </w:numPr>
        <w:spacing w:after="240" w:line="240" w:lineRule="auto"/>
        <w:ind w:right="0"/>
        <w:jc w:val="left"/>
        <w:rPr>
          <w:color w:val="auto"/>
          <w:szCs w:val="20"/>
          <w:lang w:val="en-GB"/>
        </w:rPr>
      </w:pPr>
      <w:r w:rsidRPr="003B30B3">
        <w:rPr>
          <w:color w:val="auto"/>
          <w:szCs w:val="20"/>
          <w:lang w:val="en-GB"/>
        </w:rPr>
        <w:lastRenderedPageBreak/>
        <w:t>APRA may, by notice in writing to a particular registered entity, vary the timing of a reporting period for the registered entity or vary the duration of a reporting period for the registered entity.</w:t>
      </w:r>
    </w:p>
    <w:p w14:paraId="3E6FFD5C" w14:textId="77777777" w:rsidR="003B30B3" w:rsidRPr="003B30B3" w:rsidRDefault="003B30B3" w:rsidP="003B30B3">
      <w:pPr>
        <w:numPr>
          <w:ilvl w:val="0"/>
          <w:numId w:val="26"/>
        </w:numPr>
        <w:spacing w:after="240" w:line="240" w:lineRule="auto"/>
        <w:ind w:right="0"/>
        <w:jc w:val="left"/>
        <w:rPr>
          <w:color w:val="auto"/>
          <w:szCs w:val="20"/>
          <w:lang w:val="en-GB"/>
        </w:rPr>
      </w:pPr>
      <w:r w:rsidRPr="003B30B3">
        <w:rPr>
          <w:color w:val="auto"/>
          <w:szCs w:val="20"/>
          <w:lang w:val="en-GB"/>
        </w:rPr>
        <w:t>The information required by this reporting standard must be provided to APRA within 40 business days after the end of the reporting period to which it relates.</w:t>
      </w:r>
    </w:p>
    <w:p w14:paraId="69577867" w14:textId="77777777" w:rsidR="003B30B3" w:rsidRPr="003B30B3" w:rsidRDefault="003B30B3" w:rsidP="003B30B3">
      <w:pPr>
        <w:numPr>
          <w:ilvl w:val="0"/>
          <w:numId w:val="26"/>
        </w:numPr>
        <w:spacing w:after="240" w:line="240" w:lineRule="auto"/>
        <w:ind w:right="0"/>
        <w:jc w:val="left"/>
        <w:rPr>
          <w:color w:val="auto"/>
          <w:szCs w:val="20"/>
          <w:lang w:val="en-GB"/>
        </w:rPr>
      </w:pPr>
      <w:r w:rsidRPr="003B30B3">
        <w:rPr>
          <w:color w:val="auto"/>
          <w:szCs w:val="20"/>
          <w:lang w:val="en-GB"/>
        </w:rPr>
        <w:t>APRA may grant a registered entity an extension of a due date in writing, in which case the new due date for the provision of the information will be the date on the notice of extension.</w:t>
      </w:r>
    </w:p>
    <w:p w14:paraId="5BB2FA48" w14:textId="77777777" w:rsidR="003B30B3" w:rsidRPr="003B30B3" w:rsidRDefault="003B30B3" w:rsidP="003B30B3">
      <w:pPr>
        <w:spacing w:before="120" w:after="240" w:line="240" w:lineRule="auto"/>
        <w:ind w:left="0" w:right="0" w:firstLine="0"/>
        <w:rPr>
          <w:rFonts w:ascii="Arial" w:hAnsi="Arial" w:cs="Arial"/>
          <w:b/>
          <w:color w:val="auto"/>
          <w:szCs w:val="20"/>
          <w:lang w:val="en-GB"/>
        </w:rPr>
      </w:pPr>
      <w:r w:rsidRPr="003B30B3">
        <w:rPr>
          <w:rFonts w:ascii="Arial" w:hAnsi="Arial" w:cs="Arial"/>
          <w:b/>
          <w:color w:val="auto"/>
          <w:szCs w:val="20"/>
          <w:lang w:val="en-GB"/>
        </w:rPr>
        <w:t>Forms and method of submission</w:t>
      </w:r>
    </w:p>
    <w:p w14:paraId="7C388773" w14:textId="77777777" w:rsidR="003B30B3" w:rsidRPr="003B30B3" w:rsidRDefault="003B30B3" w:rsidP="003B30B3">
      <w:pPr>
        <w:numPr>
          <w:ilvl w:val="0"/>
          <w:numId w:val="26"/>
        </w:numPr>
        <w:spacing w:after="240" w:line="240" w:lineRule="auto"/>
        <w:ind w:right="0"/>
        <w:jc w:val="left"/>
        <w:rPr>
          <w:color w:val="auto"/>
          <w:szCs w:val="24"/>
        </w:rPr>
      </w:pPr>
      <w:r w:rsidRPr="003B30B3">
        <w:rPr>
          <w:color w:val="auto"/>
          <w:szCs w:val="20"/>
          <w:lang w:val="en-GB"/>
        </w:rPr>
        <w:t>The information required by this reporting standard must be given to APRA either:</w:t>
      </w:r>
      <w:r w:rsidRPr="003B30B3">
        <w:rPr>
          <w:color w:val="auto"/>
          <w:szCs w:val="24"/>
        </w:rPr>
        <w:t xml:space="preserve"> </w:t>
      </w:r>
    </w:p>
    <w:p w14:paraId="1FB14B2E" w14:textId="77777777" w:rsidR="003B30B3" w:rsidRPr="003B30B3" w:rsidRDefault="003B30B3" w:rsidP="003B30B3">
      <w:pPr>
        <w:numPr>
          <w:ilvl w:val="0"/>
          <w:numId w:val="31"/>
        </w:numPr>
        <w:spacing w:after="240" w:line="240" w:lineRule="auto"/>
        <w:ind w:right="0"/>
        <w:jc w:val="left"/>
        <w:rPr>
          <w:color w:val="auto"/>
          <w:szCs w:val="20"/>
          <w:lang w:val="en-GB"/>
        </w:rPr>
      </w:pPr>
      <w:r w:rsidRPr="003B30B3">
        <w:rPr>
          <w:color w:val="auto"/>
          <w:szCs w:val="20"/>
          <w:lang w:val="en-GB"/>
        </w:rPr>
        <w:t xml:space="preserve">in electronic form, using one of the electronic submission mechanisms provided by the 'Direct to APRA' (also known as 'D2A') application; or </w:t>
      </w:r>
    </w:p>
    <w:p w14:paraId="6F9DD5AF" w14:textId="77777777" w:rsidR="003B30B3" w:rsidRPr="003B30B3" w:rsidRDefault="003B30B3" w:rsidP="003B30B3">
      <w:pPr>
        <w:numPr>
          <w:ilvl w:val="0"/>
          <w:numId w:val="31"/>
        </w:numPr>
        <w:spacing w:after="240" w:line="240" w:lineRule="auto"/>
        <w:ind w:right="0"/>
        <w:jc w:val="left"/>
        <w:rPr>
          <w:color w:val="auto"/>
          <w:szCs w:val="20"/>
          <w:lang w:val="en-GB"/>
        </w:rPr>
      </w:pPr>
      <w:r w:rsidRPr="003B30B3">
        <w:rPr>
          <w:color w:val="auto"/>
          <w:szCs w:val="20"/>
          <w:lang w:val="en-GB"/>
        </w:rPr>
        <w:t>manually completed on paper, which must be faxed or mailed to APRA's head office.</w:t>
      </w:r>
    </w:p>
    <w:p w14:paraId="151BA0B3" w14:textId="77777777" w:rsidR="003B30B3" w:rsidRPr="003B30B3" w:rsidRDefault="003B30B3" w:rsidP="003B30B3">
      <w:pPr>
        <w:spacing w:after="240" w:line="240" w:lineRule="auto"/>
        <w:ind w:left="567" w:right="0" w:firstLine="0"/>
        <w:rPr>
          <w:color w:val="auto"/>
          <w:sz w:val="20"/>
          <w:szCs w:val="20"/>
          <w:lang w:val="en-GB"/>
        </w:rPr>
      </w:pPr>
      <w:r w:rsidRPr="003B30B3">
        <w:rPr>
          <w:i/>
          <w:color w:val="auto"/>
          <w:sz w:val="20"/>
          <w:szCs w:val="20"/>
          <w:lang w:val="en-GB"/>
        </w:rPr>
        <w:t>Note</w:t>
      </w:r>
      <w:r w:rsidRPr="003B30B3">
        <w:rPr>
          <w:color w:val="auto"/>
          <w:sz w:val="20"/>
          <w:szCs w:val="20"/>
          <w:lang w:val="en-GB"/>
        </w:rPr>
        <w:t>: the Direct to APRA application software and paper forms may be obtained from APRA.</w:t>
      </w:r>
    </w:p>
    <w:p w14:paraId="5FF0ABE5" w14:textId="77777777" w:rsidR="003B30B3" w:rsidRPr="003B30B3" w:rsidRDefault="003B30B3" w:rsidP="003B30B3">
      <w:pPr>
        <w:spacing w:before="120" w:after="240" w:line="240" w:lineRule="auto"/>
        <w:ind w:left="0" w:right="0" w:firstLine="0"/>
        <w:rPr>
          <w:rFonts w:ascii="Arial" w:hAnsi="Arial" w:cs="Arial"/>
          <w:b/>
          <w:color w:val="auto"/>
          <w:szCs w:val="20"/>
          <w:lang w:val="en-GB"/>
        </w:rPr>
      </w:pPr>
      <w:r w:rsidRPr="003B30B3">
        <w:rPr>
          <w:rFonts w:ascii="Arial" w:hAnsi="Arial" w:cs="Arial"/>
          <w:b/>
          <w:color w:val="auto"/>
          <w:szCs w:val="20"/>
          <w:lang w:val="en-GB"/>
        </w:rPr>
        <w:t>Authorisation</w:t>
      </w:r>
    </w:p>
    <w:p w14:paraId="2EFF6B3A" w14:textId="77777777" w:rsidR="003B30B3" w:rsidRPr="003B30B3" w:rsidRDefault="003B30B3" w:rsidP="003B30B3">
      <w:pPr>
        <w:numPr>
          <w:ilvl w:val="0"/>
          <w:numId w:val="26"/>
        </w:numPr>
        <w:spacing w:after="240" w:line="240" w:lineRule="auto"/>
        <w:ind w:right="0"/>
        <w:jc w:val="left"/>
        <w:rPr>
          <w:color w:val="auto"/>
          <w:szCs w:val="20"/>
          <w:lang w:val="en-GB"/>
        </w:rPr>
      </w:pPr>
      <w:r w:rsidRPr="003B30B3">
        <w:rPr>
          <w:color w:val="auto"/>
          <w:szCs w:val="20"/>
          <w:lang w:val="en-GB"/>
        </w:rPr>
        <w:t xml:space="preserve">All information provided by a registered entity under this reporting standard must be subject to processes and controls developed by the registered entity for the internal review and authorisation of that information. It is the responsibility of the board and senior management of the registered entity to ensure that an appropriate set of policies and procedures for the authorisation of data submitted to APRA is in place. </w:t>
      </w:r>
    </w:p>
    <w:p w14:paraId="17C14D4A" w14:textId="77777777" w:rsidR="003B30B3" w:rsidRPr="003B30B3" w:rsidRDefault="003B30B3" w:rsidP="003B30B3">
      <w:pPr>
        <w:numPr>
          <w:ilvl w:val="0"/>
          <w:numId w:val="26"/>
        </w:numPr>
        <w:spacing w:after="240" w:line="240" w:lineRule="auto"/>
        <w:ind w:right="0"/>
        <w:jc w:val="left"/>
        <w:rPr>
          <w:color w:val="auto"/>
          <w:szCs w:val="20"/>
          <w:lang w:val="en-GB"/>
        </w:rPr>
      </w:pPr>
      <w:r w:rsidRPr="003B30B3">
        <w:rPr>
          <w:color w:val="auto"/>
          <w:szCs w:val="20"/>
          <w:lang w:val="en-GB"/>
        </w:rPr>
        <w:t xml:space="preserve">If a registered entity submits information under this reporting standard using the ‘Direct to APRA’ software, it will be necessary for an officer of the registered entity to digitally sign, authorise and encrypt the relevant data. For this purpose APRA’s certificate authority will issue 'digital certificates', for use with the software, to officers of the registered entity who have authority from the registered entity to transmit the data to APRA.  </w:t>
      </w:r>
    </w:p>
    <w:p w14:paraId="6DBED2B7" w14:textId="77777777" w:rsidR="003B30B3" w:rsidRPr="003B30B3" w:rsidRDefault="003B30B3" w:rsidP="003B30B3">
      <w:pPr>
        <w:numPr>
          <w:ilvl w:val="0"/>
          <w:numId w:val="26"/>
        </w:numPr>
        <w:spacing w:after="240" w:line="240" w:lineRule="auto"/>
        <w:ind w:right="0"/>
        <w:jc w:val="left"/>
        <w:rPr>
          <w:color w:val="auto"/>
          <w:szCs w:val="20"/>
          <w:lang w:val="en-GB"/>
        </w:rPr>
      </w:pPr>
      <w:r w:rsidRPr="003B30B3">
        <w:rPr>
          <w:color w:val="auto"/>
          <w:szCs w:val="20"/>
          <w:lang w:val="en-GB"/>
        </w:rPr>
        <w:t>If information under this reporting standard is provided in paper form, it must be signed on the front page of the relevant completed form by either:</w:t>
      </w:r>
    </w:p>
    <w:p w14:paraId="4CA6B795" w14:textId="77777777" w:rsidR="003B30B3" w:rsidRPr="003B30B3" w:rsidRDefault="003B30B3" w:rsidP="003B30B3">
      <w:pPr>
        <w:numPr>
          <w:ilvl w:val="0"/>
          <w:numId w:val="30"/>
        </w:numPr>
        <w:spacing w:after="240" w:line="240" w:lineRule="auto"/>
        <w:ind w:right="0"/>
        <w:jc w:val="left"/>
        <w:rPr>
          <w:color w:val="auto"/>
          <w:szCs w:val="20"/>
          <w:lang w:val="en-GB"/>
        </w:rPr>
      </w:pPr>
      <w:r w:rsidRPr="003B30B3">
        <w:rPr>
          <w:color w:val="auto"/>
          <w:szCs w:val="20"/>
          <w:lang w:val="en-GB"/>
        </w:rPr>
        <w:t xml:space="preserve">the Principal Executive Officer of the registered entity; or </w:t>
      </w:r>
    </w:p>
    <w:p w14:paraId="32DDA7C5" w14:textId="77777777" w:rsidR="003B30B3" w:rsidRPr="003B30B3" w:rsidRDefault="003B30B3" w:rsidP="003B30B3">
      <w:pPr>
        <w:numPr>
          <w:ilvl w:val="0"/>
          <w:numId w:val="30"/>
        </w:numPr>
        <w:spacing w:after="240" w:line="240" w:lineRule="auto"/>
        <w:ind w:right="0"/>
        <w:jc w:val="left"/>
        <w:rPr>
          <w:color w:val="auto"/>
          <w:szCs w:val="20"/>
          <w:lang w:val="en-GB"/>
        </w:rPr>
      </w:pPr>
      <w:r w:rsidRPr="003B30B3">
        <w:rPr>
          <w:color w:val="auto"/>
          <w:szCs w:val="20"/>
          <w:lang w:val="en-GB"/>
        </w:rPr>
        <w:t>the Chief Financial Officer of the registered entity (whatever his or her official title may be).</w:t>
      </w:r>
    </w:p>
    <w:p w14:paraId="7C7A05D5" w14:textId="77777777" w:rsidR="003B30B3" w:rsidRPr="003B30B3" w:rsidRDefault="003B30B3" w:rsidP="003B30B3">
      <w:pPr>
        <w:spacing w:before="120" w:after="240" w:line="240" w:lineRule="auto"/>
        <w:ind w:left="0" w:right="0" w:firstLine="0"/>
        <w:rPr>
          <w:rFonts w:ascii="Arial" w:hAnsi="Arial" w:cs="Arial"/>
          <w:b/>
          <w:color w:val="auto"/>
          <w:szCs w:val="20"/>
          <w:lang w:val="en-GB"/>
        </w:rPr>
      </w:pPr>
      <w:r w:rsidRPr="003B30B3">
        <w:rPr>
          <w:rFonts w:ascii="Arial" w:hAnsi="Arial" w:cs="Arial"/>
          <w:b/>
          <w:color w:val="auto"/>
          <w:szCs w:val="20"/>
          <w:lang w:val="en-GB"/>
        </w:rPr>
        <w:t>Minor alterations to forms and instructions</w:t>
      </w:r>
    </w:p>
    <w:p w14:paraId="703EB157" w14:textId="77777777" w:rsidR="003B30B3" w:rsidRPr="003B30B3" w:rsidRDefault="003B30B3" w:rsidP="003B30B3">
      <w:pPr>
        <w:numPr>
          <w:ilvl w:val="0"/>
          <w:numId w:val="26"/>
        </w:numPr>
        <w:spacing w:after="240" w:line="240" w:lineRule="auto"/>
        <w:ind w:right="0"/>
        <w:jc w:val="left"/>
        <w:rPr>
          <w:color w:val="auto"/>
          <w:szCs w:val="20"/>
          <w:lang w:val="en-GB"/>
        </w:rPr>
      </w:pPr>
      <w:r w:rsidRPr="003B30B3">
        <w:rPr>
          <w:color w:val="auto"/>
          <w:szCs w:val="20"/>
          <w:lang w:val="en-GB"/>
        </w:rPr>
        <w:t xml:space="preserve">APRA may make minor variations to: </w:t>
      </w:r>
    </w:p>
    <w:p w14:paraId="30264547" w14:textId="77777777" w:rsidR="003B30B3" w:rsidRPr="003B30B3" w:rsidRDefault="003B30B3" w:rsidP="003B30B3">
      <w:pPr>
        <w:numPr>
          <w:ilvl w:val="0"/>
          <w:numId w:val="32"/>
        </w:numPr>
        <w:spacing w:after="240" w:line="240" w:lineRule="auto"/>
        <w:ind w:right="0"/>
        <w:jc w:val="left"/>
        <w:rPr>
          <w:color w:val="auto"/>
          <w:szCs w:val="20"/>
          <w:lang w:val="en-GB"/>
        </w:rPr>
      </w:pPr>
      <w:r w:rsidRPr="003B30B3">
        <w:rPr>
          <w:color w:val="auto"/>
          <w:szCs w:val="20"/>
          <w:lang w:val="en-GB"/>
        </w:rPr>
        <w:lastRenderedPageBreak/>
        <w:t>a form that is part of this reporting standard, and the instructions to such a form, to correct technical, programming or logical errors, inconsistencies or anomalies; or</w:t>
      </w:r>
    </w:p>
    <w:p w14:paraId="473C7335" w14:textId="77777777" w:rsidR="003B30B3" w:rsidRPr="003B30B3" w:rsidRDefault="003B30B3" w:rsidP="003B30B3">
      <w:pPr>
        <w:numPr>
          <w:ilvl w:val="0"/>
          <w:numId w:val="32"/>
        </w:numPr>
        <w:spacing w:after="240" w:line="240" w:lineRule="auto"/>
        <w:ind w:right="0"/>
        <w:jc w:val="left"/>
        <w:rPr>
          <w:color w:val="auto"/>
          <w:szCs w:val="20"/>
          <w:lang w:val="en-GB"/>
        </w:rPr>
      </w:pPr>
      <w:r w:rsidRPr="003B30B3">
        <w:rPr>
          <w:color w:val="auto"/>
          <w:szCs w:val="20"/>
          <w:lang w:val="en-GB"/>
        </w:rPr>
        <w:t>the instructions, to clarify their application to the form</w:t>
      </w:r>
    </w:p>
    <w:p w14:paraId="751C9DDB" w14:textId="77777777" w:rsidR="003B30B3" w:rsidRPr="003B30B3" w:rsidRDefault="003B30B3" w:rsidP="003B30B3">
      <w:pPr>
        <w:tabs>
          <w:tab w:val="left" w:pos="567"/>
        </w:tabs>
        <w:spacing w:after="240" w:line="240" w:lineRule="auto"/>
        <w:ind w:left="567" w:right="0" w:firstLine="0"/>
        <w:jc w:val="left"/>
        <w:rPr>
          <w:color w:val="auto"/>
          <w:szCs w:val="20"/>
          <w:lang w:val="en-US" w:eastAsia="en-US"/>
        </w:rPr>
      </w:pPr>
      <w:r w:rsidRPr="003B30B3">
        <w:rPr>
          <w:color w:val="auto"/>
          <w:szCs w:val="20"/>
          <w:lang w:val="en-US" w:eastAsia="en-US"/>
        </w:rPr>
        <w:t>without changing any substantive requirement in the form or instructions.</w:t>
      </w:r>
    </w:p>
    <w:p w14:paraId="65E0C016" w14:textId="77777777" w:rsidR="003B30B3" w:rsidRPr="003B30B3" w:rsidRDefault="003B30B3" w:rsidP="003B30B3">
      <w:pPr>
        <w:numPr>
          <w:ilvl w:val="0"/>
          <w:numId w:val="26"/>
        </w:numPr>
        <w:spacing w:after="240" w:line="240" w:lineRule="auto"/>
        <w:ind w:right="0"/>
        <w:jc w:val="left"/>
        <w:rPr>
          <w:color w:val="auto"/>
          <w:szCs w:val="20"/>
          <w:lang w:val="en-GB"/>
        </w:rPr>
      </w:pPr>
      <w:r w:rsidRPr="003B30B3">
        <w:rPr>
          <w:color w:val="auto"/>
          <w:szCs w:val="20"/>
          <w:lang w:val="en-GB"/>
        </w:rPr>
        <w:t xml:space="preserve">If APRA makes such a variation it must notify in writing each registered entity that is required to report under this reporting standard. </w:t>
      </w:r>
    </w:p>
    <w:p w14:paraId="7A35EAA0" w14:textId="77777777" w:rsidR="003B30B3" w:rsidRPr="003B30B3" w:rsidRDefault="003B30B3" w:rsidP="003B30B3">
      <w:pPr>
        <w:spacing w:before="120" w:after="240" w:line="240" w:lineRule="auto"/>
        <w:ind w:left="0" w:right="0" w:firstLine="0"/>
        <w:rPr>
          <w:rFonts w:ascii="Arial" w:hAnsi="Arial" w:cs="Arial"/>
          <w:b/>
          <w:color w:val="auto"/>
          <w:szCs w:val="20"/>
          <w:lang w:val="en-GB"/>
        </w:rPr>
      </w:pPr>
      <w:r w:rsidRPr="003B30B3">
        <w:rPr>
          <w:rFonts w:ascii="Arial" w:hAnsi="Arial" w:cs="Arial"/>
          <w:b/>
          <w:color w:val="auto"/>
          <w:szCs w:val="20"/>
          <w:lang w:val="en-GB"/>
        </w:rPr>
        <w:t>Transitional</w:t>
      </w:r>
    </w:p>
    <w:p w14:paraId="0176E5C7" w14:textId="77777777" w:rsidR="003B30B3" w:rsidRPr="003B30B3" w:rsidRDefault="003B30B3" w:rsidP="003B30B3">
      <w:pPr>
        <w:numPr>
          <w:ilvl w:val="0"/>
          <w:numId w:val="26"/>
        </w:numPr>
        <w:spacing w:after="240" w:line="240" w:lineRule="auto"/>
        <w:ind w:right="0"/>
        <w:jc w:val="left"/>
        <w:rPr>
          <w:color w:val="auto"/>
          <w:szCs w:val="20"/>
          <w:lang w:val="en-GB"/>
        </w:rPr>
      </w:pPr>
      <w:r w:rsidRPr="003B30B3">
        <w:rPr>
          <w:color w:val="auto"/>
          <w:szCs w:val="20"/>
          <w:lang w:val="en-GB"/>
        </w:rPr>
        <w:t>A registered entity must report under the old reporting standard in respect of a transitional reporting period. For these purposes:</w:t>
      </w:r>
    </w:p>
    <w:p w14:paraId="4959BB44" w14:textId="77777777" w:rsidR="003B30B3" w:rsidRPr="003B30B3" w:rsidRDefault="003B30B3" w:rsidP="003B30B3">
      <w:pPr>
        <w:tabs>
          <w:tab w:val="left" w:pos="567"/>
        </w:tabs>
        <w:spacing w:after="240" w:line="240" w:lineRule="auto"/>
        <w:ind w:left="567" w:right="0" w:firstLine="0"/>
        <w:rPr>
          <w:color w:val="auto"/>
          <w:sz w:val="22"/>
          <w:lang w:val="en-GB"/>
        </w:rPr>
      </w:pPr>
      <w:r w:rsidRPr="003B30B3">
        <w:rPr>
          <w:b/>
          <w:i/>
          <w:color w:val="auto"/>
          <w:sz w:val="22"/>
          <w:lang w:val="en-GB"/>
        </w:rPr>
        <w:t xml:space="preserve">old reporting standard </w:t>
      </w:r>
      <w:r w:rsidRPr="003B30B3">
        <w:rPr>
          <w:color w:val="auto"/>
          <w:sz w:val="22"/>
          <w:lang w:val="en-GB"/>
        </w:rPr>
        <w:t>means the reporting standard revoked in the determination making this reporting standard (being the reporting standard which this reporting standard replaces).</w:t>
      </w:r>
    </w:p>
    <w:p w14:paraId="1271ED7C" w14:textId="77777777" w:rsidR="003B30B3" w:rsidRPr="003B30B3" w:rsidRDefault="003B30B3" w:rsidP="003B30B3">
      <w:pPr>
        <w:tabs>
          <w:tab w:val="left" w:pos="567"/>
        </w:tabs>
        <w:spacing w:after="240" w:line="240" w:lineRule="auto"/>
        <w:ind w:left="567" w:right="0" w:firstLine="0"/>
        <w:rPr>
          <w:color w:val="auto"/>
          <w:sz w:val="22"/>
          <w:lang w:val="en-GB"/>
        </w:rPr>
      </w:pPr>
      <w:r w:rsidRPr="003B30B3">
        <w:rPr>
          <w:b/>
          <w:i/>
          <w:color w:val="auto"/>
          <w:sz w:val="22"/>
          <w:lang w:val="en-GB"/>
        </w:rPr>
        <w:t>transitional reporting period</w:t>
      </w:r>
      <w:r w:rsidRPr="003B30B3">
        <w:rPr>
          <w:color w:val="auto"/>
          <w:sz w:val="22"/>
          <w:lang w:val="en-GB"/>
        </w:rPr>
        <w:t xml:space="preserve"> means a reporting period under the old reporting standard: </w:t>
      </w:r>
    </w:p>
    <w:p w14:paraId="37B05B74" w14:textId="77777777" w:rsidR="003B30B3" w:rsidRPr="003B30B3" w:rsidRDefault="003B30B3" w:rsidP="003B30B3">
      <w:pPr>
        <w:numPr>
          <w:ilvl w:val="0"/>
          <w:numId w:val="33"/>
        </w:numPr>
        <w:tabs>
          <w:tab w:val="left" w:pos="567"/>
        </w:tabs>
        <w:spacing w:after="240" w:line="240" w:lineRule="auto"/>
        <w:ind w:right="0"/>
        <w:jc w:val="left"/>
        <w:rPr>
          <w:color w:val="auto"/>
          <w:sz w:val="22"/>
          <w:lang w:val="en-GB"/>
        </w:rPr>
      </w:pPr>
      <w:r w:rsidRPr="003B30B3">
        <w:rPr>
          <w:color w:val="auto"/>
          <w:sz w:val="22"/>
          <w:lang w:val="en-GB"/>
        </w:rPr>
        <w:t>which ended before the date of revocation of the old reporting standard; and</w:t>
      </w:r>
    </w:p>
    <w:p w14:paraId="03B14DD5" w14:textId="77777777" w:rsidR="003B30B3" w:rsidRPr="003B30B3" w:rsidRDefault="003B30B3" w:rsidP="003B30B3">
      <w:pPr>
        <w:numPr>
          <w:ilvl w:val="0"/>
          <w:numId w:val="33"/>
        </w:numPr>
        <w:tabs>
          <w:tab w:val="left" w:pos="567"/>
        </w:tabs>
        <w:spacing w:after="240" w:line="240" w:lineRule="auto"/>
        <w:ind w:right="0"/>
        <w:jc w:val="left"/>
        <w:rPr>
          <w:color w:val="auto"/>
          <w:sz w:val="22"/>
          <w:lang w:val="en-GB"/>
        </w:rPr>
      </w:pPr>
      <w:r w:rsidRPr="003B30B3">
        <w:rPr>
          <w:color w:val="auto"/>
          <w:sz w:val="22"/>
          <w:lang w:val="en-GB"/>
        </w:rPr>
        <w:t>in relation to which the registered entity was required, under the old reporting standard, to report by a date on or after the date of revocation of the old reporting standard.</w:t>
      </w:r>
    </w:p>
    <w:p w14:paraId="4C7A9659" w14:textId="77777777" w:rsidR="00F74A0A" w:rsidRDefault="00E12826">
      <w:pPr>
        <w:pStyle w:val="Heading2"/>
        <w:ind w:left="-5"/>
      </w:pPr>
      <w:r>
        <w:t xml:space="preserve">Interpretation  </w:t>
      </w:r>
    </w:p>
    <w:p w14:paraId="15E6ACD3" w14:textId="77777777" w:rsidR="00F74A0A" w:rsidRDefault="00E12826">
      <w:pPr>
        <w:tabs>
          <w:tab w:val="center" w:pos="1811"/>
        </w:tabs>
        <w:spacing w:after="215"/>
        <w:ind w:left="-15" w:right="0" w:firstLine="0"/>
        <w:jc w:val="left"/>
      </w:pPr>
      <w:r>
        <w:t>16.</w:t>
      </w:r>
      <w:r>
        <w:rPr>
          <w:rFonts w:ascii="Arial" w:eastAsia="Arial" w:hAnsi="Arial" w:cs="Arial"/>
        </w:rPr>
        <w:t xml:space="preserve"> </w:t>
      </w:r>
      <w:r>
        <w:rPr>
          <w:rFonts w:ascii="Arial" w:eastAsia="Arial" w:hAnsi="Arial" w:cs="Arial"/>
        </w:rPr>
        <w:tab/>
      </w:r>
      <w:r>
        <w:t xml:space="preserve">In this reporting standard: </w:t>
      </w:r>
    </w:p>
    <w:p w14:paraId="4D80E1FC" w14:textId="77777777" w:rsidR="00F74A0A" w:rsidRDefault="00E12826">
      <w:pPr>
        <w:spacing w:after="233"/>
        <w:ind w:left="563" w:right="0"/>
      </w:pPr>
      <w:r>
        <w:rPr>
          <w:b/>
          <w:i/>
          <w:sz w:val="22"/>
        </w:rPr>
        <w:t>business days</w:t>
      </w:r>
      <w:r>
        <w:rPr>
          <w:sz w:val="22"/>
        </w:rPr>
        <w:t xml:space="preserve"> means ordinary business days, exclusive of Saturdays, Sundays and public holidays. </w:t>
      </w:r>
    </w:p>
    <w:p w14:paraId="646A5763" w14:textId="77777777" w:rsidR="00F74A0A" w:rsidRDefault="00E12826">
      <w:pPr>
        <w:spacing w:after="233"/>
        <w:ind w:left="563" w:right="0"/>
      </w:pPr>
      <w:r>
        <w:rPr>
          <w:b/>
          <w:i/>
          <w:sz w:val="22"/>
        </w:rPr>
        <w:t>category</w:t>
      </w:r>
      <w:r>
        <w:rPr>
          <w:sz w:val="22"/>
        </w:rPr>
        <w:t xml:space="preserve"> means a category to which a registered entity has been allocated under section 11 of the </w:t>
      </w:r>
      <w:r>
        <w:rPr>
          <w:i/>
          <w:sz w:val="22"/>
        </w:rPr>
        <w:t>Financial Sector (Collection of Data) Act 2001</w:t>
      </w:r>
      <w:r>
        <w:rPr>
          <w:sz w:val="22"/>
        </w:rPr>
        <w:t xml:space="preserve">. </w:t>
      </w:r>
    </w:p>
    <w:p w14:paraId="5EA75ECF" w14:textId="77777777" w:rsidR="00F74A0A" w:rsidRDefault="00E12826">
      <w:pPr>
        <w:spacing w:after="233"/>
        <w:ind w:left="563" w:right="0"/>
      </w:pPr>
      <w:r>
        <w:rPr>
          <w:b/>
          <w:i/>
          <w:sz w:val="22"/>
        </w:rPr>
        <w:t>Principal Executive Officer</w:t>
      </w:r>
      <w:r>
        <w:rPr>
          <w:sz w:val="22"/>
        </w:rPr>
        <w:t xml:space="preserve"> means the principal executive officer of the registered entity for the time being, by whatever name called, and whether or not he or she is a member of the governing board of the entity. </w:t>
      </w:r>
    </w:p>
    <w:p w14:paraId="55ED0FFA" w14:textId="77777777" w:rsidR="00F74A0A" w:rsidRDefault="00E12826">
      <w:pPr>
        <w:spacing w:after="212"/>
        <w:ind w:left="563" w:right="0"/>
      </w:pPr>
      <w:r>
        <w:rPr>
          <w:b/>
          <w:i/>
          <w:sz w:val="22"/>
        </w:rPr>
        <w:t>registered entity</w:t>
      </w:r>
      <w:r>
        <w:rPr>
          <w:sz w:val="22"/>
        </w:rPr>
        <w:t xml:space="preserve"> has the meaning given in the </w:t>
      </w:r>
      <w:r>
        <w:rPr>
          <w:i/>
          <w:sz w:val="22"/>
        </w:rPr>
        <w:t>Financial Sector (Collection of Data) Act 2001</w:t>
      </w:r>
      <w:r>
        <w:rPr>
          <w:sz w:val="22"/>
        </w:rPr>
        <w:t xml:space="preserve"> (that is, a corporation whose name is entered in the Register of Entities kept by APRA under section 8 of that Act)</w:t>
      </w:r>
      <w:r>
        <w:rPr>
          <w:i/>
          <w:sz w:val="22"/>
        </w:rPr>
        <w:t xml:space="preserve">. </w:t>
      </w:r>
    </w:p>
    <w:p w14:paraId="028ACF6D" w14:textId="77777777" w:rsidR="00F74A0A" w:rsidRDefault="00E12826">
      <w:pPr>
        <w:spacing w:after="259" w:line="238" w:lineRule="auto"/>
        <w:ind w:left="563" w:right="0"/>
      </w:pPr>
      <w:r>
        <w:rPr>
          <w:i/>
          <w:sz w:val="20"/>
        </w:rPr>
        <w:t>Note</w:t>
      </w:r>
      <w:r>
        <w:rPr>
          <w:sz w:val="20"/>
        </w:rPr>
        <w:t xml:space="preserve">: references to registered financial corporations in the forms and instructions that form part of this reporting standard are taken to have the same meaning as registered entity. </w:t>
      </w:r>
    </w:p>
    <w:p w14:paraId="224447C4" w14:textId="77777777" w:rsidR="00F74A0A" w:rsidRDefault="00E12826">
      <w:pPr>
        <w:spacing w:after="233" w:line="351" w:lineRule="auto"/>
        <w:ind w:left="563" w:right="0"/>
      </w:pPr>
      <w:r>
        <w:rPr>
          <w:b/>
          <w:i/>
          <w:sz w:val="22"/>
        </w:rPr>
        <w:t>related body corporate</w:t>
      </w:r>
      <w:r>
        <w:rPr>
          <w:sz w:val="22"/>
        </w:rPr>
        <w:t xml:space="preserve"> has the meaning given in section 50 of the </w:t>
      </w:r>
      <w:r>
        <w:rPr>
          <w:i/>
          <w:sz w:val="22"/>
        </w:rPr>
        <w:t xml:space="preserve">Corporations Act 2001. </w:t>
      </w:r>
      <w:r>
        <w:rPr>
          <w:b/>
          <w:i/>
          <w:sz w:val="22"/>
        </w:rPr>
        <w:t>reporting period</w:t>
      </w:r>
      <w:r>
        <w:rPr>
          <w:sz w:val="22"/>
        </w:rPr>
        <w:t xml:space="preserve"> means a period defined in paragraph 5 or, if applicable, paragraph 6. </w:t>
      </w:r>
    </w:p>
    <w:p w14:paraId="3081E267" w14:textId="77777777" w:rsidR="00F74A0A" w:rsidRDefault="00F74A0A">
      <w:pPr>
        <w:sectPr w:rsidR="00F74A0A">
          <w:headerReference w:type="even" r:id="rId17"/>
          <w:headerReference w:type="default" r:id="rId18"/>
          <w:footerReference w:type="even" r:id="rId19"/>
          <w:footerReference w:type="default" r:id="rId20"/>
          <w:headerReference w:type="first" r:id="rId21"/>
          <w:footerReference w:type="first" r:id="rId22"/>
          <w:pgSz w:w="11900" w:h="16840"/>
          <w:pgMar w:top="1440" w:right="1785" w:bottom="1443" w:left="1798" w:header="727" w:footer="365" w:gutter="0"/>
          <w:pgNumType w:start="1"/>
          <w:cols w:space="720"/>
        </w:sectPr>
      </w:pPr>
    </w:p>
    <w:p w14:paraId="6C689CF1" w14:textId="77777777" w:rsidR="0034406D" w:rsidRDefault="0034406D">
      <w:pPr>
        <w:spacing w:after="0" w:line="576" w:lineRule="auto"/>
        <w:ind w:left="1002" w:right="0"/>
        <w:jc w:val="left"/>
      </w:pPr>
    </w:p>
    <w:p w14:paraId="097E64F1" w14:textId="144B04DD" w:rsidR="0034406D" w:rsidRDefault="0034406D">
      <w:pPr>
        <w:spacing w:after="0" w:line="576" w:lineRule="auto"/>
        <w:ind w:left="1002" w:right="0"/>
        <w:jc w:val="left"/>
      </w:pPr>
      <w:r w:rsidRPr="00A05A8A">
        <w:rPr>
          <w:noProof/>
        </w:rPr>
        <w:drawing>
          <wp:inline distT="0" distB="0" distL="0" distR="0" wp14:anchorId="50F31CB5" wp14:editId="6454AF99">
            <wp:extent cx="8863330" cy="4020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63330" cy="4020480"/>
                    </a:xfrm>
                    <a:prstGeom prst="rect">
                      <a:avLst/>
                    </a:prstGeom>
                    <a:noFill/>
                    <a:ln>
                      <a:noFill/>
                    </a:ln>
                  </pic:spPr>
                </pic:pic>
              </a:graphicData>
            </a:graphic>
          </wp:inline>
        </w:drawing>
      </w:r>
    </w:p>
    <w:p w14:paraId="1B3390C2" w14:textId="487E2146" w:rsidR="00F74A0A" w:rsidRDefault="00E12826">
      <w:pPr>
        <w:spacing w:after="0" w:line="259" w:lineRule="auto"/>
        <w:ind w:left="0" w:right="0" w:firstLine="0"/>
        <w:jc w:val="right"/>
      </w:pPr>
      <w:r>
        <w:t xml:space="preserve"> </w:t>
      </w:r>
    </w:p>
    <w:p w14:paraId="5319FB8E" w14:textId="13E99165" w:rsidR="0034406D" w:rsidRDefault="0034406D">
      <w:pPr>
        <w:pStyle w:val="Heading2"/>
        <w:spacing w:after="0"/>
        <w:ind w:left="0" w:firstLine="0"/>
        <w:rPr>
          <w:sz w:val="27"/>
        </w:rPr>
      </w:pPr>
      <w:r w:rsidRPr="00365633">
        <w:rPr>
          <w:noProof/>
        </w:rPr>
        <w:lastRenderedPageBreak/>
        <w:drawing>
          <wp:inline distT="0" distB="0" distL="0" distR="0" wp14:anchorId="66F7E8D3" wp14:editId="74F27118">
            <wp:extent cx="6677025" cy="5276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77025" cy="5276850"/>
                    </a:xfrm>
                    <a:prstGeom prst="rect">
                      <a:avLst/>
                    </a:prstGeom>
                    <a:noFill/>
                    <a:ln>
                      <a:noFill/>
                    </a:ln>
                  </pic:spPr>
                </pic:pic>
              </a:graphicData>
            </a:graphic>
          </wp:inline>
        </w:drawing>
      </w:r>
    </w:p>
    <w:p w14:paraId="26D467CE" w14:textId="08BAEBC9" w:rsidR="0034406D" w:rsidRDefault="0034406D">
      <w:pPr>
        <w:pStyle w:val="Heading2"/>
        <w:spacing w:after="0"/>
        <w:ind w:left="0" w:firstLine="0"/>
        <w:rPr>
          <w:sz w:val="27"/>
        </w:rPr>
      </w:pPr>
      <w:r w:rsidRPr="00365633">
        <w:rPr>
          <w:noProof/>
        </w:rPr>
        <w:lastRenderedPageBreak/>
        <w:drawing>
          <wp:inline distT="0" distB="0" distL="0" distR="0" wp14:anchorId="5F66E121" wp14:editId="3B6765D8">
            <wp:extent cx="6924675" cy="4924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24675" cy="4924425"/>
                    </a:xfrm>
                    <a:prstGeom prst="rect">
                      <a:avLst/>
                    </a:prstGeom>
                    <a:noFill/>
                    <a:ln>
                      <a:noFill/>
                    </a:ln>
                  </pic:spPr>
                </pic:pic>
              </a:graphicData>
            </a:graphic>
          </wp:inline>
        </w:drawing>
      </w:r>
    </w:p>
    <w:p w14:paraId="02D62DA5" w14:textId="6AAF6018" w:rsidR="00F74A0A" w:rsidRDefault="00F74A0A">
      <w:pPr>
        <w:sectPr w:rsidR="00F74A0A" w:rsidSect="00F3183C">
          <w:headerReference w:type="even" r:id="rId26"/>
          <w:headerReference w:type="default" r:id="rId27"/>
          <w:footerReference w:type="even" r:id="rId28"/>
          <w:footerReference w:type="default" r:id="rId29"/>
          <w:headerReference w:type="first" r:id="rId30"/>
          <w:footerReference w:type="first" r:id="rId31"/>
          <w:pgSz w:w="16840" w:h="11900" w:orient="landscape"/>
          <w:pgMar w:top="1827" w:right="1385" w:bottom="1742" w:left="1497" w:header="716" w:footer="657" w:gutter="0"/>
          <w:cols w:space="720"/>
        </w:sectPr>
      </w:pPr>
    </w:p>
    <w:p w14:paraId="6DA1CAD6" w14:textId="78FE82CC" w:rsidR="00F74A0A" w:rsidRDefault="00E12826">
      <w:pPr>
        <w:spacing w:after="220" w:line="250" w:lineRule="auto"/>
        <w:ind w:left="-5" w:right="0"/>
        <w:jc w:val="left"/>
      </w:pPr>
      <w:r>
        <w:rPr>
          <w:rFonts w:ascii="Arial" w:eastAsia="Arial" w:hAnsi="Arial" w:cs="Arial"/>
          <w:b/>
          <w:sz w:val="40"/>
        </w:rPr>
        <w:lastRenderedPageBreak/>
        <w:t xml:space="preserve">Reporting Form RRF 332.0 </w:t>
      </w:r>
    </w:p>
    <w:p w14:paraId="72EF60EA" w14:textId="77777777" w:rsidR="00F74A0A" w:rsidRDefault="00E12826">
      <w:pPr>
        <w:spacing w:after="220" w:line="250" w:lineRule="auto"/>
        <w:ind w:left="-5" w:right="0"/>
        <w:jc w:val="left"/>
      </w:pPr>
      <w:r>
        <w:rPr>
          <w:rFonts w:ascii="Arial" w:eastAsia="Arial" w:hAnsi="Arial" w:cs="Arial"/>
          <w:b/>
          <w:sz w:val="40"/>
        </w:rPr>
        <w:t xml:space="preserve">Statement of Economic Activity </w:t>
      </w:r>
    </w:p>
    <w:p w14:paraId="6465D470" w14:textId="3A9FA5B7" w:rsidR="00F74A0A" w:rsidRDefault="00E12826">
      <w:pPr>
        <w:spacing w:after="263" w:line="250" w:lineRule="auto"/>
        <w:ind w:left="-5" w:right="0"/>
        <w:jc w:val="left"/>
      </w:pPr>
      <w:r>
        <w:rPr>
          <w:rFonts w:ascii="Arial" w:eastAsia="Arial" w:hAnsi="Arial" w:cs="Arial"/>
          <w:b/>
          <w:sz w:val="40"/>
        </w:rPr>
        <w:t xml:space="preserve">Instruction Guide </w:t>
      </w:r>
    </w:p>
    <w:p w14:paraId="3193A807" w14:textId="77777777" w:rsidR="00F74A0A" w:rsidRDefault="00E12826">
      <w:pPr>
        <w:pStyle w:val="Heading1"/>
        <w:ind w:left="-5"/>
      </w:pPr>
      <w:r>
        <w:t xml:space="preserve">General directions and notes </w:t>
      </w:r>
    </w:p>
    <w:p w14:paraId="08A1D822" w14:textId="77777777" w:rsidR="00F74A0A" w:rsidRDefault="00E12826">
      <w:pPr>
        <w:pStyle w:val="Heading2"/>
        <w:ind w:left="-5"/>
      </w:pPr>
      <w:r>
        <w:t xml:space="preserve">Reporting entity </w:t>
      </w:r>
    </w:p>
    <w:p w14:paraId="1D0B4584" w14:textId="77777777" w:rsidR="003B30B3" w:rsidRPr="003B30B3" w:rsidRDefault="003B30B3" w:rsidP="003B30B3">
      <w:pPr>
        <w:tabs>
          <w:tab w:val="left" w:pos="0"/>
        </w:tabs>
        <w:spacing w:after="240" w:line="240" w:lineRule="auto"/>
        <w:ind w:left="0" w:right="0" w:firstLine="0"/>
        <w:outlineLvl w:val="0"/>
        <w:rPr>
          <w:color w:val="auto"/>
          <w:szCs w:val="20"/>
          <w:lang w:val="en-GB"/>
        </w:rPr>
      </w:pPr>
      <w:r w:rsidRPr="003B30B3">
        <w:rPr>
          <w:color w:val="auto"/>
          <w:szCs w:val="20"/>
          <w:lang w:val="en-GB"/>
        </w:rPr>
        <w:t>This form is to be completed by all Registered Financial Corporations (</w:t>
      </w:r>
      <w:r w:rsidRPr="003B30B3">
        <w:rPr>
          <w:b/>
          <w:color w:val="auto"/>
          <w:szCs w:val="20"/>
          <w:lang w:val="en-GB"/>
        </w:rPr>
        <w:t>RFCs</w:t>
      </w:r>
      <w:r w:rsidRPr="003B30B3">
        <w:rPr>
          <w:color w:val="auto"/>
          <w:szCs w:val="20"/>
          <w:lang w:val="en-GB"/>
        </w:rPr>
        <w:t xml:space="preserve">) that have total assets equal to or greater than $500 million, after consolidating all </w:t>
      </w:r>
      <w:r w:rsidRPr="003B30B3">
        <w:rPr>
          <w:color w:val="auto"/>
          <w:szCs w:val="24"/>
          <w:lang w:val="en-GB"/>
        </w:rPr>
        <w:t xml:space="preserve">RFCs of the same category in a group of related bodies corporate (e.g. two or more money market corporations in the same group) </w:t>
      </w:r>
      <w:r w:rsidRPr="003B30B3">
        <w:rPr>
          <w:color w:val="auto"/>
          <w:szCs w:val="20"/>
          <w:lang w:val="en-GB"/>
        </w:rPr>
        <w:t>on a Domestic books basis.</w:t>
      </w:r>
    </w:p>
    <w:p w14:paraId="5476A275" w14:textId="77777777" w:rsidR="003B30B3" w:rsidRPr="003B30B3" w:rsidRDefault="003B30B3" w:rsidP="003B30B3">
      <w:pPr>
        <w:spacing w:after="240" w:line="240" w:lineRule="auto"/>
        <w:ind w:left="0" w:right="0" w:firstLine="0"/>
        <w:rPr>
          <w:szCs w:val="20"/>
          <w:lang w:val="en-GB"/>
        </w:rPr>
      </w:pPr>
      <w:r w:rsidRPr="003B30B3">
        <w:rPr>
          <w:color w:val="auto"/>
          <w:szCs w:val="20"/>
          <w:lang w:val="en-US"/>
        </w:rPr>
        <w:t xml:space="preserve">The Domestic books of the registered entity relates to the Australian books of the </w:t>
      </w:r>
      <w:r w:rsidRPr="003B30B3">
        <w:rPr>
          <w:color w:val="auto"/>
          <w:szCs w:val="20"/>
          <w:lang w:val="en-GB"/>
        </w:rPr>
        <w:t>Australian entity and has the following scope:</w:t>
      </w:r>
    </w:p>
    <w:p w14:paraId="6643439C" w14:textId="77777777" w:rsidR="003B30B3" w:rsidRPr="003B30B3" w:rsidRDefault="003B30B3" w:rsidP="003B30B3">
      <w:pPr>
        <w:numPr>
          <w:ilvl w:val="0"/>
          <w:numId w:val="34"/>
        </w:numPr>
        <w:autoSpaceDE w:val="0"/>
        <w:autoSpaceDN w:val="0"/>
        <w:adjustRightInd w:val="0"/>
        <w:spacing w:after="240" w:line="240" w:lineRule="auto"/>
        <w:ind w:right="0"/>
        <w:jc w:val="left"/>
        <w:rPr>
          <w:color w:val="auto"/>
          <w:szCs w:val="20"/>
          <w:lang w:val="en-US"/>
        </w:rPr>
      </w:pPr>
      <w:r w:rsidRPr="003B30B3">
        <w:rPr>
          <w:color w:val="auto"/>
          <w:szCs w:val="20"/>
          <w:lang w:val="en-US"/>
        </w:rPr>
        <w:t>this form should be completed on a consolidated basis for all legal entities in your Australian enterprise group that are required to file this return;</w:t>
      </w:r>
    </w:p>
    <w:p w14:paraId="3D85A119" w14:textId="77777777" w:rsidR="003B30B3" w:rsidRPr="003B30B3" w:rsidRDefault="003B30B3" w:rsidP="003B30B3">
      <w:pPr>
        <w:numPr>
          <w:ilvl w:val="0"/>
          <w:numId w:val="34"/>
        </w:numPr>
        <w:autoSpaceDE w:val="0"/>
        <w:autoSpaceDN w:val="0"/>
        <w:adjustRightInd w:val="0"/>
        <w:spacing w:after="240" w:line="240" w:lineRule="auto"/>
        <w:ind w:right="0"/>
        <w:jc w:val="left"/>
        <w:rPr>
          <w:color w:val="auto"/>
          <w:szCs w:val="20"/>
          <w:lang w:val="en-US"/>
        </w:rPr>
      </w:pPr>
      <w:r w:rsidRPr="003B30B3">
        <w:rPr>
          <w:color w:val="auto"/>
          <w:szCs w:val="20"/>
          <w:lang w:val="en-US"/>
        </w:rPr>
        <w:t>do not consolidate Australian and offshore controlled entities or associated entities that are not required to complete this form;</w:t>
      </w:r>
    </w:p>
    <w:p w14:paraId="4A82055D" w14:textId="77777777" w:rsidR="003B30B3" w:rsidRPr="003B30B3" w:rsidRDefault="003B30B3" w:rsidP="003B30B3">
      <w:pPr>
        <w:numPr>
          <w:ilvl w:val="0"/>
          <w:numId w:val="34"/>
        </w:numPr>
        <w:autoSpaceDE w:val="0"/>
        <w:autoSpaceDN w:val="0"/>
        <w:adjustRightInd w:val="0"/>
        <w:spacing w:after="240" w:line="240" w:lineRule="auto"/>
        <w:ind w:right="0"/>
        <w:jc w:val="left"/>
        <w:rPr>
          <w:color w:val="auto"/>
          <w:szCs w:val="20"/>
          <w:lang w:val="en-US"/>
        </w:rPr>
      </w:pPr>
      <w:r w:rsidRPr="003B30B3">
        <w:rPr>
          <w:color w:val="auto"/>
          <w:szCs w:val="20"/>
          <w:lang w:val="en-US"/>
        </w:rPr>
        <w:t>exclude offshore branches of the Australian registered entity from this reporting unit;</w:t>
      </w:r>
    </w:p>
    <w:p w14:paraId="79148CFC" w14:textId="77777777" w:rsidR="003B30B3" w:rsidRPr="003B30B3" w:rsidRDefault="003B30B3" w:rsidP="003B30B3">
      <w:pPr>
        <w:numPr>
          <w:ilvl w:val="0"/>
          <w:numId w:val="34"/>
        </w:numPr>
        <w:autoSpaceDE w:val="0"/>
        <w:autoSpaceDN w:val="0"/>
        <w:adjustRightInd w:val="0"/>
        <w:spacing w:after="240" w:line="240" w:lineRule="auto"/>
        <w:ind w:right="0"/>
        <w:jc w:val="left"/>
        <w:rPr>
          <w:color w:val="auto"/>
          <w:szCs w:val="20"/>
          <w:lang w:val="en-US"/>
        </w:rPr>
      </w:pPr>
      <w:r w:rsidRPr="003B30B3">
        <w:rPr>
          <w:color w:val="auto"/>
          <w:szCs w:val="20"/>
          <w:lang w:val="en-US"/>
        </w:rPr>
        <w:t xml:space="preserve">report your Australian consolidated entity’s operations/transactions that are booked inside </w:t>
      </w:r>
      <w:smartTag w:uri="urn:schemas-microsoft-com:office:smarttags" w:element="country-region">
        <w:smartTag w:uri="urn:schemas-microsoft-com:office:smarttags" w:element="place">
          <w:r w:rsidRPr="003B30B3">
            <w:rPr>
              <w:color w:val="auto"/>
              <w:szCs w:val="20"/>
              <w:lang w:val="en-US"/>
            </w:rPr>
            <w:t>Australia</w:t>
          </w:r>
        </w:smartTag>
      </w:smartTag>
      <w:r w:rsidRPr="003B30B3">
        <w:rPr>
          <w:color w:val="auto"/>
          <w:szCs w:val="20"/>
          <w:lang w:val="en-US"/>
        </w:rPr>
        <w:t>; and</w:t>
      </w:r>
    </w:p>
    <w:p w14:paraId="24719556" w14:textId="77777777" w:rsidR="003B30B3" w:rsidRPr="003B30B3" w:rsidRDefault="003B30B3" w:rsidP="003B30B3">
      <w:pPr>
        <w:numPr>
          <w:ilvl w:val="0"/>
          <w:numId w:val="34"/>
        </w:numPr>
        <w:autoSpaceDE w:val="0"/>
        <w:autoSpaceDN w:val="0"/>
        <w:adjustRightInd w:val="0"/>
        <w:spacing w:after="240" w:line="240" w:lineRule="auto"/>
        <w:ind w:right="0"/>
        <w:jc w:val="left"/>
        <w:rPr>
          <w:color w:val="auto"/>
          <w:szCs w:val="20"/>
          <w:lang w:val="en-US"/>
        </w:rPr>
      </w:pPr>
      <w:r w:rsidRPr="003B30B3">
        <w:rPr>
          <w:color w:val="auto"/>
          <w:szCs w:val="20"/>
          <w:lang w:val="en-US"/>
        </w:rPr>
        <w:t>include transactions with non-residents recorded on Australian books.</w:t>
      </w:r>
    </w:p>
    <w:p w14:paraId="347ACC66" w14:textId="77777777" w:rsidR="003B30B3" w:rsidRPr="003B30B3" w:rsidRDefault="003B30B3" w:rsidP="003B30B3">
      <w:pPr>
        <w:keepNext/>
        <w:spacing w:after="240" w:line="240" w:lineRule="auto"/>
        <w:ind w:left="0" w:right="0" w:firstLine="0"/>
        <w:outlineLvl w:val="1"/>
        <w:rPr>
          <w:rFonts w:ascii="Arial" w:hAnsi="Arial"/>
          <w:b/>
          <w:color w:val="auto"/>
          <w:szCs w:val="24"/>
          <w:lang w:val="en-US"/>
        </w:rPr>
      </w:pPr>
      <w:r w:rsidRPr="003B30B3">
        <w:rPr>
          <w:rFonts w:ascii="Arial" w:hAnsi="Arial"/>
          <w:b/>
          <w:color w:val="auto"/>
          <w:szCs w:val="24"/>
          <w:lang w:val="en-US"/>
        </w:rPr>
        <w:t>Reporting period</w:t>
      </w:r>
    </w:p>
    <w:p w14:paraId="66003BD2" w14:textId="77777777" w:rsidR="003B30B3" w:rsidRPr="003B30B3" w:rsidRDefault="003B30B3" w:rsidP="003B30B3">
      <w:pPr>
        <w:autoSpaceDE w:val="0"/>
        <w:autoSpaceDN w:val="0"/>
        <w:adjustRightInd w:val="0"/>
        <w:spacing w:after="240" w:line="240" w:lineRule="auto"/>
        <w:ind w:left="0" w:right="0" w:firstLine="0"/>
        <w:rPr>
          <w:color w:val="auto"/>
          <w:szCs w:val="20"/>
          <w:lang w:val="en-US"/>
        </w:rPr>
      </w:pPr>
      <w:r w:rsidRPr="003B30B3">
        <w:rPr>
          <w:szCs w:val="20"/>
          <w:lang w:val="en-US"/>
        </w:rPr>
        <w:t xml:space="preserve">This form is for the financial year ended 30 June.  If this business has a different financial year, please report for a twelve month period that ends between 1 October in the previous calendar year and 30 September in the current calendar year.  All </w:t>
      </w:r>
      <w:r w:rsidRPr="003B30B3">
        <w:rPr>
          <w:color w:val="auto"/>
          <w:szCs w:val="20"/>
          <w:lang w:val="en-GB"/>
        </w:rPr>
        <w:t>RFCs that have total assets equal to or greater than $500 million</w:t>
      </w:r>
      <w:r w:rsidRPr="003B30B3">
        <w:rPr>
          <w:snapToGrid w:val="0"/>
          <w:color w:val="auto"/>
          <w:szCs w:val="20"/>
          <w:lang w:val="en-GB"/>
        </w:rPr>
        <w:t xml:space="preserve"> should submit the </w:t>
      </w:r>
      <w:r w:rsidRPr="003B30B3">
        <w:rPr>
          <w:szCs w:val="20"/>
          <w:lang w:val="en-US"/>
        </w:rPr>
        <w:t>completed form to APRA within 40 business days of the end of the 30 June financial year.  If this business has a financial year ending between 1 July and 30 September, please submit this form within 40 business days of the end of the relevant financial year.</w:t>
      </w:r>
    </w:p>
    <w:p w14:paraId="3203CE2B" w14:textId="77777777" w:rsidR="003B30B3" w:rsidRPr="003B30B3" w:rsidRDefault="003B30B3" w:rsidP="003B30B3">
      <w:pPr>
        <w:keepNext/>
        <w:spacing w:after="240" w:line="240" w:lineRule="auto"/>
        <w:ind w:left="0" w:right="0" w:firstLine="0"/>
        <w:outlineLvl w:val="1"/>
        <w:rPr>
          <w:rFonts w:ascii="Arial" w:hAnsi="Arial"/>
          <w:b/>
          <w:color w:val="auto"/>
          <w:szCs w:val="24"/>
        </w:rPr>
      </w:pPr>
      <w:r w:rsidRPr="003B30B3">
        <w:rPr>
          <w:rFonts w:ascii="Arial" w:hAnsi="Arial"/>
          <w:b/>
          <w:color w:val="auto"/>
          <w:szCs w:val="24"/>
        </w:rPr>
        <w:t xml:space="preserve">Unit of measurement </w:t>
      </w:r>
    </w:p>
    <w:p w14:paraId="57090A28" w14:textId="77777777" w:rsidR="003B30B3" w:rsidRPr="003B30B3" w:rsidRDefault="003B30B3" w:rsidP="003B30B3">
      <w:pPr>
        <w:spacing w:after="240" w:line="240" w:lineRule="auto"/>
        <w:ind w:left="0" w:right="0" w:firstLine="0"/>
        <w:rPr>
          <w:color w:val="auto"/>
          <w:szCs w:val="20"/>
          <w:lang w:val="en-GB"/>
        </w:rPr>
      </w:pPr>
      <w:r w:rsidRPr="003B30B3">
        <w:rPr>
          <w:color w:val="auto"/>
          <w:szCs w:val="20"/>
          <w:lang w:val="en-GB"/>
        </w:rPr>
        <w:t xml:space="preserve">All RFCs that have total assets equal to or greater than $500 million are asked to complete the form in thousands of Australian dollars rounded to the nearest whole number (no decimal place). </w:t>
      </w:r>
    </w:p>
    <w:p w14:paraId="10D785C3" w14:textId="77777777" w:rsidR="003B30B3" w:rsidRPr="003B30B3" w:rsidRDefault="003B30B3" w:rsidP="003B30B3">
      <w:pPr>
        <w:spacing w:after="240" w:line="240" w:lineRule="auto"/>
        <w:ind w:left="0" w:right="0" w:firstLine="0"/>
        <w:rPr>
          <w:color w:val="auto"/>
          <w:szCs w:val="20"/>
          <w:lang w:val="en-GB"/>
        </w:rPr>
      </w:pPr>
      <w:r w:rsidRPr="003B30B3">
        <w:rPr>
          <w:color w:val="auto"/>
          <w:szCs w:val="20"/>
          <w:lang w:val="en-GB"/>
        </w:rPr>
        <w:lastRenderedPageBreak/>
        <w:t>Amounts denominated in foreign currency are to be converted to AUD using the spot exchange rate effective as at the reporting date.</w:t>
      </w:r>
    </w:p>
    <w:p w14:paraId="37334C87" w14:textId="77777777" w:rsidR="003B30B3" w:rsidRPr="003B30B3" w:rsidRDefault="003B30B3" w:rsidP="003B30B3">
      <w:pPr>
        <w:autoSpaceDE w:val="0"/>
        <w:autoSpaceDN w:val="0"/>
        <w:adjustRightInd w:val="0"/>
        <w:spacing w:before="120" w:after="360" w:line="240" w:lineRule="auto"/>
        <w:ind w:left="0" w:right="0" w:firstLine="0"/>
        <w:rPr>
          <w:rFonts w:ascii="Arial" w:hAnsi="Arial"/>
          <w:b/>
          <w:color w:val="auto"/>
          <w:sz w:val="32"/>
          <w:szCs w:val="32"/>
          <w:lang w:val="en-US"/>
        </w:rPr>
      </w:pPr>
      <w:r w:rsidRPr="003B30B3">
        <w:rPr>
          <w:rFonts w:ascii="Arial" w:hAnsi="Arial"/>
          <w:b/>
          <w:color w:val="auto"/>
          <w:sz w:val="32"/>
          <w:szCs w:val="32"/>
          <w:lang w:val="en-US"/>
        </w:rPr>
        <w:t>Specific instructions</w:t>
      </w:r>
    </w:p>
    <w:p w14:paraId="460BA3D8"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The items listed under ‘Include’ and ‘Exclude’ are examples and should not be taken as a complete list of items to be included or excluded.</w:t>
      </w:r>
    </w:p>
    <w:p w14:paraId="47997647" w14:textId="77777777" w:rsidR="003B30B3" w:rsidRPr="003B30B3" w:rsidRDefault="003B30B3" w:rsidP="003B30B3">
      <w:pPr>
        <w:keepNext/>
        <w:spacing w:after="240" w:line="240" w:lineRule="auto"/>
        <w:ind w:left="0" w:right="-96" w:firstLine="0"/>
        <w:outlineLvl w:val="0"/>
        <w:rPr>
          <w:rFonts w:ascii="Arial" w:hAnsi="Arial"/>
          <w:b/>
          <w:color w:val="auto"/>
          <w:szCs w:val="24"/>
          <w:lang w:val="en-US"/>
        </w:rPr>
      </w:pPr>
      <w:r w:rsidRPr="003B30B3">
        <w:rPr>
          <w:rFonts w:ascii="Arial" w:hAnsi="Arial"/>
          <w:b/>
          <w:color w:val="auto"/>
          <w:szCs w:val="24"/>
          <w:lang w:val="en-US"/>
        </w:rPr>
        <w:t>Part A: Selected expenses</w:t>
      </w:r>
    </w:p>
    <w:p w14:paraId="655B4F58"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t>Postage, mailing and courier expenses</w:t>
      </w:r>
    </w:p>
    <w:p w14:paraId="7AFFBCBB"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Expenses incurred for the picking up, transport, and delivery (domestic or international) of addressed or unaddressed mail, packages and parcels.</w:t>
      </w:r>
    </w:p>
    <w:p w14:paraId="3FF84300" w14:textId="77777777" w:rsidR="003B30B3" w:rsidRPr="003B30B3" w:rsidRDefault="003B30B3" w:rsidP="003B30B3">
      <w:pPr>
        <w:autoSpaceDE w:val="0"/>
        <w:autoSpaceDN w:val="0"/>
        <w:adjustRightInd w:val="0"/>
        <w:spacing w:after="240" w:line="240" w:lineRule="auto"/>
        <w:ind w:left="0" w:right="-96" w:firstLine="0"/>
        <w:rPr>
          <w:rFonts w:ascii="Arial" w:hAnsi="Arial"/>
          <w:szCs w:val="24"/>
          <w:lang w:val="en-US"/>
        </w:rPr>
      </w:pPr>
      <w:r w:rsidRPr="003B30B3">
        <w:rPr>
          <w:rFonts w:ascii="Arial" w:hAnsi="Arial" w:cs="Arial"/>
          <w:color w:val="auto"/>
          <w:szCs w:val="24"/>
          <w:lang w:val="en-GB"/>
        </w:rPr>
        <w:t>Include</w:t>
      </w:r>
      <w:r w:rsidRPr="003B30B3">
        <w:rPr>
          <w:rFonts w:ascii="Arial" w:hAnsi="Arial"/>
          <w:szCs w:val="24"/>
          <w:lang w:val="en-US"/>
        </w:rPr>
        <w:t>:</w:t>
      </w:r>
    </w:p>
    <w:p w14:paraId="322F3496"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postage stamps;</w:t>
      </w:r>
    </w:p>
    <w:p w14:paraId="5801334F"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mailbox rental services;</w:t>
      </w:r>
    </w:p>
    <w:p w14:paraId="411A4F37"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proofErr w:type="spellStart"/>
      <w:r w:rsidRPr="003B30B3">
        <w:rPr>
          <w:szCs w:val="24"/>
          <w:lang w:val="en-US"/>
        </w:rPr>
        <w:t>customised</w:t>
      </w:r>
      <w:proofErr w:type="spellEnd"/>
      <w:r w:rsidRPr="003B30B3">
        <w:rPr>
          <w:szCs w:val="24"/>
          <w:lang w:val="en-US"/>
        </w:rPr>
        <w:t xml:space="preserve"> express </w:t>
      </w:r>
      <w:proofErr w:type="spellStart"/>
      <w:r w:rsidRPr="003B30B3">
        <w:rPr>
          <w:szCs w:val="24"/>
          <w:lang w:val="en-US"/>
        </w:rPr>
        <w:t>pick up</w:t>
      </w:r>
      <w:proofErr w:type="spellEnd"/>
      <w:r w:rsidRPr="003B30B3">
        <w:rPr>
          <w:szCs w:val="24"/>
          <w:lang w:val="en-US"/>
        </w:rPr>
        <w:t xml:space="preserve"> and delivery services; and</w:t>
      </w:r>
    </w:p>
    <w:p w14:paraId="295DD1F0"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messenger services.</w:t>
      </w:r>
    </w:p>
    <w:p w14:paraId="0F4BBFAE" w14:textId="77777777" w:rsidR="003B30B3" w:rsidRPr="003B30B3" w:rsidRDefault="003B30B3" w:rsidP="003B30B3">
      <w:pPr>
        <w:tabs>
          <w:tab w:val="left" w:pos="810"/>
        </w:tabs>
        <w:autoSpaceDE w:val="0"/>
        <w:autoSpaceDN w:val="0"/>
        <w:adjustRightInd w:val="0"/>
        <w:spacing w:after="240" w:line="240" w:lineRule="auto"/>
        <w:ind w:left="0" w:right="-96" w:firstLine="0"/>
        <w:rPr>
          <w:rFonts w:ascii="Arial" w:hAnsi="Arial"/>
          <w:szCs w:val="24"/>
          <w:lang w:val="en-US"/>
        </w:rPr>
      </w:pPr>
      <w:r w:rsidRPr="003B30B3">
        <w:rPr>
          <w:rFonts w:ascii="Arial" w:hAnsi="Arial"/>
          <w:szCs w:val="24"/>
          <w:lang w:val="en-US"/>
        </w:rPr>
        <w:t>Exclude:</w:t>
      </w:r>
    </w:p>
    <w:p w14:paraId="6805215E"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storage (where this expense can be distinguished from courier expenses).</w:t>
      </w:r>
    </w:p>
    <w:p w14:paraId="27DE04F7"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t>Telecommunication charges</w:t>
      </w:r>
    </w:p>
    <w:p w14:paraId="0B714E34"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Telecommunication services are all payments (of a non-capital nature) for telecommunication services which engage wire, cable or radio transmission.</w:t>
      </w:r>
    </w:p>
    <w:p w14:paraId="14D1C589"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4E93C56D"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telephone charges;</w:t>
      </w:r>
    </w:p>
    <w:p w14:paraId="1609CA55"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facsimile charges;</w:t>
      </w:r>
    </w:p>
    <w:p w14:paraId="10A3C94B"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internet charges; and</w:t>
      </w:r>
    </w:p>
    <w:p w14:paraId="766DEE60"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cost of leased lines for computers and internet services.</w:t>
      </w:r>
    </w:p>
    <w:p w14:paraId="725ED88D"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Exclude:</w:t>
      </w:r>
    </w:p>
    <w:p w14:paraId="3BA686D8"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installation costs.</w:t>
      </w:r>
    </w:p>
    <w:p w14:paraId="7E8FDC6A" w14:textId="77777777" w:rsidR="003B30B3" w:rsidRPr="003B30B3" w:rsidRDefault="003B30B3" w:rsidP="003B30B3">
      <w:pPr>
        <w:keepNext/>
        <w:keepLines/>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lastRenderedPageBreak/>
        <w:t>Insurance premiums other than workers' compensation</w:t>
      </w:r>
    </w:p>
    <w:p w14:paraId="7007C771" w14:textId="77777777" w:rsidR="003B30B3" w:rsidRPr="003B30B3" w:rsidRDefault="003B30B3" w:rsidP="003B30B3">
      <w:pPr>
        <w:keepNext/>
        <w:keepLines/>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757B1A7B" w14:textId="77777777" w:rsidR="003B30B3" w:rsidRPr="003B30B3" w:rsidRDefault="003B30B3" w:rsidP="003B30B3">
      <w:pPr>
        <w:keepNext/>
        <w:keepLines/>
        <w:numPr>
          <w:ilvl w:val="0"/>
          <w:numId w:val="35"/>
        </w:numPr>
        <w:autoSpaceDE w:val="0"/>
        <w:autoSpaceDN w:val="0"/>
        <w:adjustRightInd w:val="0"/>
        <w:spacing w:after="240" w:line="240" w:lineRule="auto"/>
        <w:ind w:right="-96"/>
        <w:jc w:val="left"/>
        <w:rPr>
          <w:szCs w:val="24"/>
          <w:lang w:val="en-US"/>
        </w:rPr>
      </w:pPr>
      <w:r w:rsidRPr="003B30B3">
        <w:rPr>
          <w:szCs w:val="24"/>
          <w:lang w:val="en-US"/>
        </w:rPr>
        <w:t>optional third party and comprehensive motor vehicle insurance premiums;</w:t>
      </w:r>
    </w:p>
    <w:p w14:paraId="0EB3D833" w14:textId="77777777" w:rsidR="003B30B3" w:rsidRPr="003B30B3" w:rsidRDefault="003B30B3" w:rsidP="003B30B3">
      <w:pPr>
        <w:keepNext/>
        <w:keepLines/>
        <w:numPr>
          <w:ilvl w:val="0"/>
          <w:numId w:val="35"/>
        </w:numPr>
        <w:autoSpaceDE w:val="0"/>
        <w:autoSpaceDN w:val="0"/>
        <w:adjustRightInd w:val="0"/>
        <w:spacing w:after="240" w:line="240" w:lineRule="auto"/>
        <w:ind w:right="-96"/>
        <w:jc w:val="left"/>
        <w:rPr>
          <w:szCs w:val="24"/>
          <w:lang w:val="en-US"/>
        </w:rPr>
      </w:pPr>
      <w:r w:rsidRPr="003B30B3">
        <w:rPr>
          <w:szCs w:val="24"/>
          <w:lang w:val="en-US"/>
        </w:rPr>
        <w:t>fire, general, accident and public liability premiums; and</w:t>
      </w:r>
    </w:p>
    <w:p w14:paraId="2479C537"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professional indemnity insurance premiums.</w:t>
      </w:r>
    </w:p>
    <w:p w14:paraId="6E8F9AA8"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Exclude:</w:t>
      </w:r>
    </w:p>
    <w:p w14:paraId="162D0A68" w14:textId="77777777" w:rsidR="003B30B3" w:rsidRPr="003B30B3" w:rsidRDefault="003B30B3" w:rsidP="003B30B3">
      <w:pPr>
        <w:numPr>
          <w:ilvl w:val="0"/>
          <w:numId w:val="35"/>
        </w:numPr>
        <w:autoSpaceDE w:val="0"/>
        <w:autoSpaceDN w:val="0"/>
        <w:adjustRightInd w:val="0"/>
        <w:spacing w:after="240" w:line="240" w:lineRule="auto"/>
        <w:ind w:right="-96"/>
        <w:jc w:val="left"/>
        <w:rPr>
          <w:szCs w:val="20"/>
          <w:lang w:val="en-US"/>
        </w:rPr>
      </w:pPr>
      <w:r w:rsidRPr="003B30B3">
        <w:rPr>
          <w:szCs w:val="20"/>
          <w:lang w:val="en-US"/>
        </w:rPr>
        <w:t xml:space="preserve">workers’ compensation insurance premiums/levies (report to workers' compensation premiums/costs in </w:t>
      </w:r>
      <w:r w:rsidRPr="003B30B3">
        <w:rPr>
          <w:i/>
          <w:szCs w:val="20"/>
          <w:lang w:val="en-US"/>
        </w:rPr>
        <w:t>RRF 331.0 Selected Revenues and Expenses</w:t>
      </w:r>
      <w:r w:rsidRPr="003B30B3">
        <w:rPr>
          <w:szCs w:val="20"/>
          <w:lang w:val="en-US"/>
        </w:rPr>
        <w:t xml:space="preserve"> (</w:t>
      </w:r>
      <w:r w:rsidRPr="003B30B3">
        <w:rPr>
          <w:b/>
          <w:szCs w:val="20"/>
          <w:lang w:val="en-US"/>
        </w:rPr>
        <w:t>RRF 331.0</w:t>
      </w:r>
      <w:r w:rsidRPr="003B30B3">
        <w:rPr>
          <w:szCs w:val="20"/>
          <w:lang w:val="en-US"/>
        </w:rPr>
        <w:t>)); and</w:t>
      </w:r>
    </w:p>
    <w:p w14:paraId="58F4F67F" w14:textId="77777777" w:rsidR="003B30B3" w:rsidRPr="003B30B3" w:rsidRDefault="003B30B3" w:rsidP="003B30B3">
      <w:pPr>
        <w:numPr>
          <w:ilvl w:val="0"/>
          <w:numId w:val="35"/>
        </w:numPr>
        <w:autoSpaceDE w:val="0"/>
        <w:autoSpaceDN w:val="0"/>
        <w:adjustRightInd w:val="0"/>
        <w:spacing w:after="240" w:line="240" w:lineRule="auto"/>
        <w:ind w:right="-96"/>
        <w:jc w:val="left"/>
        <w:rPr>
          <w:szCs w:val="20"/>
          <w:lang w:val="en-US"/>
        </w:rPr>
      </w:pPr>
      <w:r w:rsidRPr="003B30B3">
        <w:rPr>
          <w:szCs w:val="20"/>
          <w:lang w:val="en-US"/>
        </w:rPr>
        <w:t>compulsory third party motor vehicle insurance premiums.</w:t>
      </w:r>
    </w:p>
    <w:p w14:paraId="48A14140" w14:textId="77777777" w:rsidR="003B30B3" w:rsidRPr="003B30B3" w:rsidRDefault="003B30B3" w:rsidP="003B30B3">
      <w:pPr>
        <w:spacing w:after="240" w:line="240" w:lineRule="auto"/>
        <w:ind w:left="0" w:right="-96" w:firstLine="0"/>
        <w:rPr>
          <w:rFonts w:ascii="Arial" w:hAnsi="Arial"/>
          <w:b/>
          <w:color w:val="auto"/>
          <w:szCs w:val="20"/>
          <w:lang w:val="en-US"/>
        </w:rPr>
      </w:pPr>
      <w:r w:rsidRPr="003B30B3">
        <w:rPr>
          <w:rFonts w:ascii="Arial" w:hAnsi="Arial"/>
          <w:b/>
          <w:color w:val="auto"/>
          <w:szCs w:val="20"/>
          <w:lang w:val="en-US"/>
        </w:rPr>
        <w:t>Legal expenses</w:t>
      </w:r>
    </w:p>
    <w:p w14:paraId="6D51094B" w14:textId="77777777" w:rsidR="003B30B3" w:rsidRPr="003B30B3" w:rsidRDefault="003B30B3" w:rsidP="003B30B3">
      <w:pPr>
        <w:spacing w:after="240" w:line="240" w:lineRule="auto"/>
        <w:ind w:left="0" w:right="-96" w:firstLine="0"/>
        <w:rPr>
          <w:color w:val="auto"/>
          <w:szCs w:val="20"/>
          <w:lang w:val="en-US"/>
        </w:rPr>
      </w:pPr>
      <w:r w:rsidRPr="003B30B3">
        <w:rPr>
          <w:color w:val="auto"/>
          <w:szCs w:val="20"/>
          <w:lang w:val="en-US"/>
        </w:rPr>
        <w:t>Legal expenses are fees incurred when a business secures the services of a legal representative, or requires legal representation, or seeks professional advice on legal matters.</w:t>
      </w:r>
    </w:p>
    <w:p w14:paraId="58DE624E" w14:textId="77777777" w:rsidR="003B30B3" w:rsidRPr="003B30B3" w:rsidRDefault="003B30B3" w:rsidP="003B30B3">
      <w:pPr>
        <w:spacing w:after="240" w:line="240" w:lineRule="auto"/>
        <w:ind w:left="0" w:right="-96" w:firstLine="0"/>
        <w:rPr>
          <w:rFonts w:ascii="Arial" w:hAnsi="Arial"/>
          <w:b/>
          <w:color w:val="auto"/>
          <w:szCs w:val="20"/>
          <w:lang w:val="en-US"/>
        </w:rPr>
      </w:pPr>
      <w:r w:rsidRPr="003B30B3">
        <w:rPr>
          <w:rFonts w:ascii="Arial" w:hAnsi="Arial"/>
          <w:b/>
          <w:color w:val="auto"/>
          <w:szCs w:val="20"/>
          <w:lang w:val="en-US"/>
        </w:rPr>
        <w:t>Audit and other accounting services</w:t>
      </w:r>
    </w:p>
    <w:p w14:paraId="666E1F14" w14:textId="77777777" w:rsidR="003B30B3" w:rsidRPr="003B30B3" w:rsidRDefault="003B30B3" w:rsidP="003B30B3">
      <w:pPr>
        <w:spacing w:after="240" w:line="240" w:lineRule="auto"/>
        <w:ind w:left="0" w:right="-96" w:firstLine="0"/>
        <w:rPr>
          <w:color w:val="auto"/>
          <w:szCs w:val="20"/>
          <w:lang w:val="en-US"/>
        </w:rPr>
      </w:pPr>
      <w:r w:rsidRPr="003B30B3">
        <w:rPr>
          <w:color w:val="auto"/>
          <w:szCs w:val="20"/>
          <w:lang w:val="en-US"/>
        </w:rPr>
        <w:t>Audit and other accounting expenses are the costs incurred for the professional advice and skills of an auditor or accountant.</w:t>
      </w:r>
    </w:p>
    <w:p w14:paraId="29AB2CD1" w14:textId="77777777" w:rsidR="003B30B3" w:rsidRPr="003B30B3" w:rsidRDefault="003B30B3" w:rsidP="003B30B3">
      <w:pPr>
        <w:spacing w:after="240" w:line="240" w:lineRule="auto"/>
        <w:ind w:left="0" w:right="-96" w:firstLine="0"/>
        <w:rPr>
          <w:rFonts w:ascii="Arial" w:hAnsi="Arial"/>
          <w:color w:val="auto"/>
          <w:szCs w:val="20"/>
          <w:lang w:val="en-US"/>
        </w:rPr>
      </w:pPr>
      <w:r w:rsidRPr="003B30B3">
        <w:rPr>
          <w:rFonts w:ascii="Arial" w:hAnsi="Arial"/>
          <w:color w:val="auto"/>
          <w:szCs w:val="20"/>
          <w:lang w:val="en-US"/>
        </w:rPr>
        <w:t>Include:</w:t>
      </w:r>
    </w:p>
    <w:p w14:paraId="26E30CA5" w14:textId="77777777" w:rsidR="003B30B3" w:rsidRPr="003B30B3" w:rsidRDefault="003B30B3" w:rsidP="003B30B3">
      <w:pPr>
        <w:numPr>
          <w:ilvl w:val="0"/>
          <w:numId w:val="35"/>
        </w:numPr>
        <w:autoSpaceDE w:val="0"/>
        <w:autoSpaceDN w:val="0"/>
        <w:adjustRightInd w:val="0"/>
        <w:spacing w:after="240" w:line="240" w:lineRule="auto"/>
        <w:ind w:right="-96"/>
        <w:jc w:val="left"/>
        <w:rPr>
          <w:szCs w:val="20"/>
          <w:lang w:val="en-US"/>
        </w:rPr>
      </w:pPr>
      <w:r w:rsidRPr="003B30B3">
        <w:rPr>
          <w:szCs w:val="20"/>
          <w:lang w:val="en-US"/>
        </w:rPr>
        <w:t>cost of producing annual or sub-annual financial reports;</w:t>
      </w:r>
    </w:p>
    <w:p w14:paraId="6F68CAB0" w14:textId="77777777" w:rsidR="003B30B3" w:rsidRPr="003B30B3" w:rsidRDefault="003B30B3" w:rsidP="003B30B3">
      <w:pPr>
        <w:numPr>
          <w:ilvl w:val="0"/>
          <w:numId w:val="35"/>
        </w:numPr>
        <w:autoSpaceDE w:val="0"/>
        <w:autoSpaceDN w:val="0"/>
        <w:adjustRightInd w:val="0"/>
        <w:spacing w:after="240" w:line="240" w:lineRule="auto"/>
        <w:ind w:right="-96"/>
        <w:jc w:val="left"/>
        <w:rPr>
          <w:szCs w:val="20"/>
          <w:lang w:val="en-US"/>
        </w:rPr>
      </w:pPr>
      <w:r w:rsidRPr="003B30B3">
        <w:rPr>
          <w:szCs w:val="20"/>
          <w:lang w:val="en-US"/>
        </w:rPr>
        <w:t>preparing other financial accounts;</w:t>
      </w:r>
    </w:p>
    <w:p w14:paraId="2234BD59" w14:textId="77777777" w:rsidR="003B30B3" w:rsidRPr="003B30B3" w:rsidRDefault="003B30B3" w:rsidP="003B30B3">
      <w:pPr>
        <w:numPr>
          <w:ilvl w:val="0"/>
          <w:numId w:val="35"/>
        </w:numPr>
        <w:autoSpaceDE w:val="0"/>
        <w:autoSpaceDN w:val="0"/>
        <w:adjustRightInd w:val="0"/>
        <w:spacing w:after="240" w:line="240" w:lineRule="auto"/>
        <w:ind w:right="-96"/>
        <w:jc w:val="left"/>
        <w:rPr>
          <w:szCs w:val="20"/>
          <w:lang w:val="en-US"/>
        </w:rPr>
      </w:pPr>
      <w:r w:rsidRPr="003B30B3">
        <w:rPr>
          <w:szCs w:val="20"/>
          <w:lang w:val="en-US"/>
        </w:rPr>
        <w:t>auditing services; and</w:t>
      </w:r>
    </w:p>
    <w:p w14:paraId="5C50B91A" w14:textId="77777777" w:rsidR="003B30B3" w:rsidRPr="003B30B3" w:rsidRDefault="003B30B3" w:rsidP="003B30B3">
      <w:pPr>
        <w:numPr>
          <w:ilvl w:val="0"/>
          <w:numId w:val="35"/>
        </w:numPr>
        <w:autoSpaceDE w:val="0"/>
        <w:autoSpaceDN w:val="0"/>
        <w:adjustRightInd w:val="0"/>
        <w:spacing w:after="240" w:line="240" w:lineRule="auto"/>
        <w:ind w:right="-96"/>
        <w:jc w:val="left"/>
        <w:rPr>
          <w:szCs w:val="20"/>
          <w:lang w:val="en-US"/>
        </w:rPr>
      </w:pPr>
      <w:r w:rsidRPr="003B30B3">
        <w:rPr>
          <w:szCs w:val="20"/>
          <w:lang w:val="en-US"/>
        </w:rPr>
        <w:t>carrying out other accounting services.</w:t>
      </w:r>
    </w:p>
    <w:p w14:paraId="1FD9F603" w14:textId="77777777" w:rsidR="003B30B3" w:rsidRPr="003B30B3" w:rsidRDefault="003B30B3" w:rsidP="003B30B3">
      <w:pPr>
        <w:spacing w:after="240" w:line="240" w:lineRule="auto"/>
        <w:ind w:left="0" w:right="-96" w:firstLine="0"/>
        <w:rPr>
          <w:rFonts w:ascii="Arial" w:hAnsi="Arial"/>
          <w:b/>
          <w:color w:val="auto"/>
          <w:szCs w:val="20"/>
          <w:lang w:val="en-US"/>
        </w:rPr>
      </w:pPr>
      <w:r w:rsidRPr="003B30B3">
        <w:rPr>
          <w:rFonts w:ascii="Arial" w:hAnsi="Arial"/>
          <w:b/>
          <w:color w:val="auto"/>
          <w:szCs w:val="20"/>
          <w:lang w:val="en-US"/>
        </w:rPr>
        <w:t>Advertising expenses</w:t>
      </w:r>
    </w:p>
    <w:p w14:paraId="07BF8338" w14:textId="77777777" w:rsidR="003B30B3" w:rsidRPr="003B30B3" w:rsidRDefault="003B30B3" w:rsidP="003B30B3">
      <w:pPr>
        <w:spacing w:after="240" w:line="240" w:lineRule="auto"/>
        <w:ind w:left="0" w:right="-96" w:firstLine="0"/>
        <w:rPr>
          <w:color w:val="auto"/>
          <w:szCs w:val="20"/>
          <w:lang w:val="en-US"/>
        </w:rPr>
      </w:pPr>
      <w:r w:rsidRPr="003B30B3">
        <w:rPr>
          <w:color w:val="auto"/>
          <w:szCs w:val="20"/>
          <w:lang w:val="en-US"/>
        </w:rPr>
        <w:t>Advertising expenses are the costs incurred by a business for promotional and publicity campaigns aimed at bringing the activities of the business to the attention of consumers for the purpose of increasing sales.</w:t>
      </w:r>
    </w:p>
    <w:p w14:paraId="5919C2AD" w14:textId="77777777" w:rsidR="003B30B3" w:rsidRPr="003B30B3" w:rsidRDefault="003B30B3" w:rsidP="003B30B3">
      <w:pPr>
        <w:spacing w:after="240" w:line="240" w:lineRule="auto"/>
        <w:ind w:left="0" w:right="-96" w:firstLine="0"/>
        <w:rPr>
          <w:rFonts w:ascii="Arial" w:hAnsi="Arial"/>
          <w:color w:val="auto"/>
          <w:szCs w:val="20"/>
          <w:lang w:val="en-US"/>
        </w:rPr>
      </w:pPr>
      <w:r w:rsidRPr="003B30B3">
        <w:rPr>
          <w:rFonts w:ascii="Arial" w:hAnsi="Arial"/>
          <w:color w:val="auto"/>
          <w:szCs w:val="20"/>
          <w:lang w:val="en-US"/>
        </w:rPr>
        <w:t>Exclude:</w:t>
      </w:r>
    </w:p>
    <w:p w14:paraId="4C4E3DB0" w14:textId="77777777" w:rsidR="003B30B3" w:rsidRPr="003B30B3" w:rsidRDefault="003B30B3" w:rsidP="003B30B3">
      <w:pPr>
        <w:numPr>
          <w:ilvl w:val="0"/>
          <w:numId w:val="35"/>
        </w:numPr>
        <w:autoSpaceDE w:val="0"/>
        <w:autoSpaceDN w:val="0"/>
        <w:adjustRightInd w:val="0"/>
        <w:spacing w:after="240" w:line="240" w:lineRule="auto"/>
        <w:ind w:right="-96"/>
        <w:jc w:val="left"/>
        <w:rPr>
          <w:szCs w:val="20"/>
          <w:lang w:val="en-US"/>
        </w:rPr>
      </w:pPr>
      <w:r w:rsidRPr="003B30B3">
        <w:rPr>
          <w:szCs w:val="20"/>
          <w:lang w:val="en-US"/>
        </w:rPr>
        <w:t xml:space="preserve">in-house costs (e.g. wages and salaries of own advertising staff); and </w:t>
      </w:r>
    </w:p>
    <w:p w14:paraId="70A176C8" w14:textId="77777777" w:rsidR="003B30B3" w:rsidRPr="003B30B3" w:rsidRDefault="003B30B3" w:rsidP="003B30B3">
      <w:pPr>
        <w:numPr>
          <w:ilvl w:val="0"/>
          <w:numId w:val="35"/>
        </w:numPr>
        <w:autoSpaceDE w:val="0"/>
        <w:autoSpaceDN w:val="0"/>
        <w:adjustRightInd w:val="0"/>
        <w:spacing w:after="240" w:line="240" w:lineRule="auto"/>
        <w:ind w:right="-96"/>
        <w:jc w:val="left"/>
        <w:rPr>
          <w:szCs w:val="20"/>
          <w:lang w:val="en-US"/>
        </w:rPr>
      </w:pPr>
      <w:r w:rsidRPr="003B30B3">
        <w:rPr>
          <w:szCs w:val="20"/>
          <w:lang w:val="en-US"/>
        </w:rPr>
        <w:t>sponsorship expenses.</w:t>
      </w:r>
    </w:p>
    <w:p w14:paraId="7D56BB6E" w14:textId="77777777" w:rsidR="003B30B3" w:rsidRPr="003B30B3" w:rsidRDefault="003B30B3" w:rsidP="003B30B3">
      <w:pPr>
        <w:keepNext/>
        <w:keepLines/>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lastRenderedPageBreak/>
        <w:t>Paper, printing and stationery</w:t>
      </w:r>
    </w:p>
    <w:p w14:paraId="03617702" w14:textId="77777777" w:rsidR="003B30B3" w:rsidRPr="003B30B3" w:rsidRDefault="003B30B3" w:rsidP="003B30B3">
      <w:pPr>
        <w:keepNext/>
        <w:keepLines/>
        <w:spacing w:after="240" w:line="240" w:lineRule="auto"/>
        <w:ind w:left="0" w:right="-96" w:firstLine="0"/>
        <w:rPr>
          <w:color w:val="auto"/>
          <w:szCs w:val="24"/>
          <w:lang w:val="en-US"/>
        </w:rPr>
      </w:pPr>
      <w:r w:rsidRPr="003B30B3">
        <w:rPr>
          <w:color w:val="auto"/>
          <w:szCs w:val="24"/>
          <w:lang w:val="en-US"/>
        </w:rPr>
        <w:t>Paper, printing and stationery expenses are costs incurred for office supplies and printing carried out by or for the business.</w:t>
      </w:r>
    </w:p>
    <w:p w14:paraId="4D1F2792"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3F3DED72"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all office stationery; and</w:t>
      </w:r>
    </w:p>
    <w:p w14:paraId="45CB0D59"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production of financial reports, etc.</w:t>
      </w:r>
    </w:p>
    <w:p w14:paraId="19CBEE7E"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t>Data processing services provided by other businesses</w:t>
      </w:r>
    </w:p>
    <w:p w14:paraId="3F892579"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Payments for data processing services provided by other businesses.  Data processing services relate to the transformation of data into a suitable output.</w:t>
      </w:r>
    </w:p>
    <w:p w14:paraId="0B6F7AA9"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4EC167DB"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expenses incurred for data entry and manipulation services.</w:t>
      </w:r>
    </w:p>
    <w:p w14:paraId="6CBA1AD1"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t>Staff training services</w:t>
      </w:r>
    </w:p>
    <w:p w14:paraId="3AA3B119"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Staff training expenses are payments to consultants, institutions or other businesses for the provision of staff training and education services.</w:t>
      </w:r>
    </w:p>
    <w:p w14:paraId="34CDD896" w14:textId="77777777" w:rsidR="003B30B3" w:rsidRPr="003B30B3" w:rsidRDefault="003B30B3" w:rsidP="003B30B3">
      <w:pPr>
        <w:spacing w:after="240" w:line="240" w:lineRule="auto"/>
        <w:ind w:left="0" w:right="-96" w:firstLine="0"/>
        <w:rPr>
          <w:rFonts w:ascii="Arial" w:hAnsi="Arial" w:cs="Arial"/>
          <w:color w:val="auto"/>
          <w:szCs w:val="24"/>
          <w:lang w:val="en-US"/>
        </w:rPr>
      </w:pPr>
      <w:r w:rsidRPr="003B30B3">
        <w:rPr>
          <w:rFonts w:ascii="Arial" w:hAnsi="Arial" w:cs="Arial"/>
          <w:color w:val="auto"/>
          <w:szCs w:val="24"/>
          <w:lang w:val="en-US"/>
        </w:rPr>
        <w:t>Include:</w:t>
      </w:r>
    </w:p>
    <w:p w14:paraId="57FAB76D"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training costs relating to all workers employed in this business (e.g. working proprietors and partners, contract/agency staff);</w:t>
      </w:r>
    </w:p>
    <w:p w14:paraId="485BAEA2"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all fees paid to consultants and institutions for designing, conducting, evaluating or providing facilities for training courses; and</w:t>
      </w:r>
    </w:p>
    <w:p w14:paraId="0047551F"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conference registration fees.</w:t>
      </w:r>
    </w:p>
    <w:p w14:paraId="4B9938B0"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Exclude:</w:t>
      </w:r>
    </w:p>
    <w:p w14:paraId="50209B25"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informal on-the-job training;</w:t>
      </w:r>
    </w:p>
    <w:p w14:paraId="0DECAF30"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wages and salaries of this business' trainers and trainees for the time spent providing and receiving training (reported as wages and salaries on RRF 331.0);</w:t>
      </w:r>
    </w:p>
    <w:p w14:paraId="4C09889F"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accommodation, meals and drinks (include in the data item "Travel, accommodation and entertainment");</w:t>
      </w:r>
    </w:p>
    <w:p w14:paraId="24CB20D8"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stationery (include in the data item "Paper, printing and stationery"); and</w:t>
      </w:r>
    </w:p>
    <w:p w14:paraId="1FB7B338"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 xml:space="preserve">venue hire. </w:t>
      </w:r>
    </w:p>
    <w:p w14:paraId="65634063" w14:textId="77777777" w:rsidR="003B30B3" w:rsidRPr="003B30B3" w:rsidRDefault="003B30B3" w:rsidP="003B30B3">
      <w:pPr>
        <w:keepNext/>
        <w:keepLines/>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lastRenderedPageBreak/>
        <w:t>Travel, accommodation and entertainment</w:t>
      </w:r>
    </w:p>
    <w:p w14:paraId="2BA9F606" w14:textId="77777777" w:rsidR="003B30B3" w:rsidRPr="003B30B3" w:rsidRDefault="003B30B3" w:rsidP="003B30B3">
      <w:pPr>
        <w:keepNext/>
        <w:keepLines/>
        <w:spacing w:after="240" w:line="240" w:lineRule="auto"/>
        <w:ind w:left="0" w:right="-96" w:firstLine="0"/>
        <w:rPr>
          <w:color w:val="auto"/>
          <w:szCs w:val="24"/>
          <w:lang w:val="en-US"/>
        </w:rPr>
      </w:pPr>
      <w:r w:rsidRPr="003B30B3">
        <w:rPr>
          <w:color w:val="auto"/>
          <w:szCs w:val="24"/>
          <w:lang w:val="en-US"/>
        </w:rPr>
        <w:t>Travelling expenses are costs incurred for transportation services relating to business activities which occur away from the normal place of business.  These costs are only to be included if they are incurred in connection with business activities.  Accommodation expenses are those costs incurred in providing accommodation to staff when business activities occur away from the normal place of business.  Entertainment expenses are the costs incurred by a business for the provision of entertainment activities.</w:t>
      </w:r>
    </w:p>
    <w:p w14:paraId="325018C6"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t>Other management and administrative expenses</w:t>
      </w:r>
    </w:p>
    <w:p w14:paraId="45D3408B"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color w:val="auto"/>
          <w:szCs w:val="24"/>
          <w:lang w:val="en-US"/>
        </w:rPr>
        <w:t>Other management and administrative services expenses are payments to another business/consultant for providing administrative services or management expertise not elsewhere collected e.g. services such as accounting or legal, could be carried out by the corporate office for the whole group, then costs distributed proportionally across the group.  The individual business pays a fee to the head office for the service rendered but is unable to separately identify the individual components which constitute the fee</w:t>
      </w:r>
      <w:r w:rsidRPr="003B30B3">
        <w:rPr>
          <w:rFonts w:ascii="Arial" w:hAnsi="Arial"/>
          <w:color w:val="auto"/>
          <w:szCs w:val="24"/>
          <w:lang w:val="en-US"/>
        </w:rPr>
        <w:t>.</w:t>
      </w:r>
    </w:p>
    <w:p w14:paraId="545FDB74"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7C72CB80"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payments made to related or unrelated business for management and administrative services.</w:t>
      </w:r>
    </w:p>
    <w:p w14:paraId="5AF5EFF3" w14:textId="77777777" w:rsidR="003B30B3" w:rsidRPr="003B30B3" w:rsidRDefault="003B30B3" w:rsidP="003B30B3">
      <w:pPr>
        <w:spacing w:after="240" w:line="240" w:lineRule="auto"/>
        <w:ind w:left="0" w:right="-96" w:firstLine="0"/>
        <w:rPr>
          <w:rFonts w:ascii="Arial" w:hAnsi="Arial" w:cs="Arial"/>
          <w:color w:val="auto"/>
          <w:szCs w:val="24"/>
          <w:lang w:val="en-US"/>
        </w:rPr>
      </w:pPr>
      <w:r w:rsidRPr="003B30B3">
        <w:rPr>
          <w:rFonts w:ascii="Arial" w:hAnsi="Arial" w:cs="Arial"/>
          <w:color w:val="auto"/>
          <w:szCs w:val="24"/>
          <w:lang w:val="en-US"/>
        </w:rPr>
        <w:t>Exclude:</w:t>
      </w:r>
    </w:p>
    <w:p w14:paraId="28032042"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payments for data processing services;</w:t>
      </w:r>
    </w:p>
    <w:p w14:paraId="1AF95BCC"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payments for secretarial, word processing, typing and copying services;</w:t>
      </w:r>
    </w:p>
    <w:p w14:paraId="6B435016"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payments for staff training services; and</w:t>
      </w:r>
    </w:p>
    <w:p w14:paraId="106457ED"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paper, printing and stationery expenses.</w:t>
      </w:r>
    </w:p>
    <w:p w14:paraId="748DE35B"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t>Cleaning services provided by other businesses</w:t>
      </w:r>
    </w:p>
    <w:p w14:paraId="0258061C"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Cleaning services expenses are incurred when the business' premises are cleaned by an external business.</w:t>
      </w:r>
    </w:p>
    <w:p w14:paraId="05EF10F4" w14:textId="77777777" w:rsidR="003B30B3" w:rsidRPr="003B30B3" w:rsidRDefault="003B30B3" w:rsidP="003B30B3">
      <w:pPr>
        <w:spacing w:after="240" w:line="240" w:lineRule="auto"/>
        <w:ind w:left="0" w:right="-96" w:firstLine="0"/>
        <w:rPr>
          <w:rFonts w:ascii="Arial" w:hAnsi="Arial" w:cs="Arial"/>
          <w:color w:val="auto"/>
          <w:szCs w:val="24"/>
          <w:lang w:val="en-US"/>
        </w:rPr>
      </w:pPr>
      <w:r w:rsidRPr="003B30B3">
        <w:rPr>
          <w:rFonts w:ascii="Arial" w:hAnsi="Arial" w:cs="Arial"/>
          <w:color w:val="auto"/>
          <w:szCs w:val="24"/>
          <w:lang w:val="en-US"/>
        </w:rPr>
        <w:t>Include:</w:t>
      </w:r>
    </w:p>
    <w:p w14:paraId="3F6A1DA3"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building cleaning;</w:t>
      </w:r>
    </w:p>
    <w:p w14:paraId="64FFBB23"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office cleaning;</w:t>
      </w:r>
    </w:p>
    <w:p w14:paraId="41BB22D4"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window cleaning;</w:t>
      </w:r>
    </w:p>
    <w:p w14:paraId="4333F52F"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furniture cleaning; and</w:t>
      </w:r>
    </w:p>
    <w:p w14:paraId="3B51E191"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removal of waste from inside to areas outside the office compounds.</w:t>
      </w:r>
    </w:p>
    <w:p w14:paraId="4F475B2E" w14:textId="77777777" w:rsidR="003B30B3" w:rsidRPr="003B30B3" w:rsidRDefault="003B30B3" w:rsidP="003B30B3">
      <w:pPr>
        <w:keepNext/>
        <w:keepLines/>
        <w:spacing w:after="240" w:line="240" w:lineRule="auto"/>
        <w:ind w:left="0" w:right="-96" w:firstLine="0"/>
        <w:rPr>
          <w:rFonts w:ascii="Arial" w:hAnsi="Arial"/>
          <w:color w:val="auto"/>
          <w:szCs w:val="24"/>
          <w:lang w:val="en-US"/>
        </w:rPr>
      </w:pPr>
      <w:r w:rsidRPr="003B30B3">
        <w:rPr>
          <w:rFonts w:ascii="Arial" w:hAnsi="Arial"/>
          <w:color w:val="auto"/>
          <w:szCs w:val="24"/>
          <w:lang w:val="en-US"/>
        </w:rPr>
        <w:lastRenderedPageBreak/>
        <w:t>Exclude:</w:t>
      </w:r>
    </w:p>
    <w:p w14:paraId="7F81D5F0" w14:textId="77777777" w:rsidR="003B30B3" w:rsidRPr="003B30B3" w:rsidRDefault="003B30B3" w:rsidP="003B30B3">
      <w:pPr>
        <w:keepNext/>
        <w:keepLines/>
        <w:numPr>
          <w:ilvl w:val="0"/>
          <w:numId w:val="35"/>
        </w:numPr>
        <w:autoSpaceDE w:val="0"/>
        <w:autoSpaceDN w:val="0"/>
        <w:adjustRightInd w:val="0"/>
        <w:spacing w:after="240" w:line="240" w:lineRule="auto"/>
        <w:ind w:right="-96"/>
        <w:jc w:val="left"/>
        <w:rPr>
          <w:szCs w:val="24"/>
          <w:lang w:val="en-US"/>
        </w:rPr>
      </w:pPr>
      <w:r w:rsidRPr="003B30B3">
        <w:rPr>
          <w:szCs w:val="24"/>
          <w:lang w:val="en-US"/>
        </w:rPr>
        <w:t>wages and salaries of own employees engaged in cleaning activities (reported as wages and salaries on RRF 331.0);</w:t>
      </w:r>
    </w:p>
    <w:p w14:paraId="32F95D69"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 xml:space="preserve">motor vehicle cleaning; and </w:t>
      </w:r>
    </w:p>
    <w:p w14:paraId="23815D7D"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carpet, laundry and dry-cleaning.</w:t>
      </w:r>
    </w:p>
    <w:p w14:paraId="34EC3DCE"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t>Other commission expenses</w:t>
      </w:r>
    </w:p>
    <w:p w14:paraId="660BE6EB"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Commission expenses are payments to other businesses and self-employed persons for work done or sales made on a commission basis.  Amounts shown here are commission expenses not included elsewhere.  Commission expenses should be initially recorded under any other relevant expense items.</w:t>
      </w:r>
    </w:p>
    <w:p w14:paraId="71A6B277"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23196B0E"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 xml:space="preserve">payments to other businesses and </w:t>
      </w:r>
      <w:proofErr w:type="spellStart"/>
      <w:r w:rsidRPr="003B30B3">
        <w:rPr>
          <w:szCs w:val="24"/>
          <w:lang w:val="en-US"/>
        </w:rPr>
        <w:t>self employed</w:t>
      </w:r>
      <w:proofErr w:type="spellEnd"/>
      <w:r w:rsidRPr="003B30B3">
        <w:rPr>
          <w:szCs w:val="24"/>
          <w:lang w:val="en-US"/>
        </w:rPr>
        <w:t xml:space="preserve"> persons for work done or sales made on a commission basis;</w:t>
      </w:r>
    </w:p>
    <w:p w14:paraId="212CBA40"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payments to persons paid by commission without a retainer; and</w:t>
      </w:r>
    </w:p>
    <w:p w14:paraId="4BF1EBA3"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investigation fees paid to non-employees (on commission).</w:t>
      </w:r>
    </w:p>
    <w:p w14:paraId="1AE9A382"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Exclude:</w:t>
      </w:r>
    </w:p>
    <w:p w14:paraId="10327D28"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commissions paid to persons who receive a retainer;</w:t>
      </w:r>
    </w:p>
    <w:p w14:paraId="7BF83395"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commissions paid to own employees;</w:t>
      </w:r>
    </w:p>
    <w:p w14:paraId="7BDFC2FA"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payments to consultants; and</w:t>
      </w:r>
    </w:p>
    <w:p w14:paraId="5247E7BB"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investigation fees if paid to own employees.</w:t>
      </w:r>
    </w:p>
    <w:p w14:paraId="2B91D4F7"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t>Other contract expenses</w:t>
      </w:r>
    </w:p>
    <w:p w14:paraId="14A3CE04"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Contract expenses are payments to other businesses and self-employed persons for work done on a contract basis.  Amounts shown here are contract expenses not elsewhere included.  Contract expenses should be initially recorded under any other relevant expense items (e.g. contract expenses for repair and maintenance would be recorded under “Repair and maintenance”).</w:t>
      </w:r>
    </w:p>
    <w:p w14:paraId="6B233176"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402D7D0B"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 xml:space="preserve">payments to other businesses and </w:t>
      </w:r>
      <w:proofErr w:type="spellStart"/>
      <w:r w:rsidRPr="003B30B3">
        <w:rPr>
          <w:szCs w:val="24"/>
          <w:lang w:val="en-US"/>
        </w:rPr>
        <w:t>self employed</w:t>
      </w:r>
      <w:proofErr w:type="spellEnd"/>
      <w:r w:rsidRPr="003B30B3">
        <w:rPr>
          <w:szCs w:val="24"/>
          <w:lang w:val="en-US"/>
        </w:rPr>
        <w:t xml:space="preserve"> persons for work done on a contract basis;</w:t>
      </w:r>
    </w:p>
    <w:p w14:paraId="2C22EE88"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contractors and subcontractors and their employees; and</w:t>
      </w:r>
    </w:p>
    <w:p w14:paraId="5325A196"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owner/drivers.</w:t>
      </w:r>
    </w:p>
    <w:p w14:paraId="65B4CA96"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lastRenderedPageBreak/>
        <w:t>Royalty expenses</w:t>
      </w:r>
    </w:p>
    <w:p w14:paraId="63CCC730"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Royalties (other than royalties for natural resources) are payments made by one business or individual for the use of rights owned by another company/person.  Do not deduct withholding tax.</w:t>
      </w:r>
    </w:p>
    <w:p w14:paraId="42026F74"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727A8802"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payments under licensing arrangements; and</w:t>
      </w:r>
    </w:p>
    <w:p w14:paraId="61C0B0E2"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payments for royalties from intellectual property (e.g. patents, copyrights, etc).</w:t>
      </w:r>
    </w:p>
    <w:p w14:paraId="384EA731"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Exclude:</w:t>
      </w:r>
    </w:p>
    <w:p w14:paraId="3C70DB84"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 xml:space="preserve">expensed computer software </w:t>
      </w:r>
      <w:proofErr w:type="spellStart"/>
      <w:r w:rsidRPr="003B30B3">
        <w:rPr>
          <w:szCs w:val="24"/>
          <w:lang w:val="en-US"/>
        </w:rPr>
        <w:t>licence</w:t>
      </w:r>
      <w:proofErr w:type="spellEnd"/>
      <w:r w:rsidRPr="003B30B3">
        <w:rPr>
          <w:szCs w:val="24"/>
          <w:lang w:val="en-US"/>
        </w:rPr>
        <w:t xml:space="preserve"> fees (include in “Computer software expensed”); and</w:t>
      </w:r>
    </w:p>
    <w:p w14:paraId="50A23330"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proofErr w:type="spellStart"/>
      <w:r w:rsidRPr="003B30B3">
        <w:rPr>
          <w:szCs w:val="24"/>
          <w:lang w:val="en-US"/>
        </w:rPr>
        <w:t>capitalised</w:t>
      </w:r>
      <w:proofErr w:type="spellEnd"/>
      <w:r w:rsidRPr="003B30B3">
        <w:rPr>
          <w:szCs w:val="24"/>
          <w:lang w:val="en-US"/>
        </w:rPr>
        <w:t xml:space="preserve"> computer software </w:t>
      </w:r>
      <w:proofErr w:type="spellStart"/>
      <w:r w:rsidRPr="003B30B3">
        <w:rPr>
          <w:szCs w:val="24"/>
          <w:lang w:val="en-US"/>
        </w:rPr>
        <w:t>licence</w:t>
      </w:r>
      <w:proofErr w:type="spellEnd"/>
      <w:r w:rsidRPr="003B30B3">
        <w:rPr>
          <w:szCs w:val="24"/>
          <w:lang w:val="en-US"/>
        </w:rPr>
        <w:t xml:space="preserve"> fees (include in “Capital expenditure”).</w:t>
      </w:r>
    </w:p>
    <w:p w14:paraId="7992A947"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t>Computer software expensed</w:t>
      </w:r>
    </w:p>
    <w:p w14:paraId="0A74F7C4"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These items represent the cost of any computer software (including license fees)</w:t>
      </w:r>
      <w:r w:rsidRPr="003B30B3">
        <w:rPr>
          <w:color w:val="0000FF"/>
          <w:szCs w:val="24"/>
          <w:lang w:val="en-US"/>
        </w:rPr>
        <w:t xml:space="preserve"> </w:t>
      </w:r>
      <w:r w:rsidRPr="003B30B3">
        <w:rPr>
          <w:color w:val="auto"/>
          <w:szCs w:val="24"/>
          <w:lang w:val="en-US"/>
        </w:rPr>
        <w:t>that has been charged to profit as an expense in the current accounting period.</w:t>
      </w:r>
    </w:p>
    <w:p w14:paraId="4451CE21"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115D9D1C"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installation costs paid to external service providers;</w:t>
      </w:r>
    </w:p>
    <w:p w14:paraId="4F60FBD6"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purchase costs; and</w:t>
      </w:r>
    </w:p>
    <w:p w14:paraId="56AA1137"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 xml:space="preserve">expensed computer software </w:t>
      </w:r>
      <w:proofErr w:type="spellStart"/>
      <w:r w:rsidRPr="003B30B3">
        <w:rPr>
          <w:szCs w:val="24"/>
          <w:lang w:val="en-US"/>
        </w:rPr>
        <w:t>licence</w:t>
      </w:r>
      <w:proofErr w:type="spellEnd"/>
      <w:r w:rsidRPr="003B30B3">
        <w:rPr>
          <w:szCs w:val="24"/>
          <w:lang w:val="en-US"/>
        </w:rPr>
        <w:t xml:space="preserve"> fees.</w:t>
      </w:r>
    </w:p>
    <w:p w14:paraId="556347F7"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Exclude:</w:t>
      </w:r>
    </w:p>
    <w:p w14:paraId="5CCCB887"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 xml:space="preserve">other </w:t>
      </w:r>
      <w:proofErr w:type="spellStart"/>
      <w:r w:rsidRPr="003B30B3">
        <w:rPr>
          <w:szCs w:val="24"/>
          <w:lang w:val="en-US"/>
        </w:rPr>
        <w:t>licence</w:t>
      </w:r>
      <w:proofErr w:type="spellEnd"/>
      <w:r w:rsidRPr="003B30B3">
        <w:rPr>
          <w:szCs w:val="24"/>
          <w:lang w:val="en-US"/>
        </w:rPr>
        <w:t xml:space="preserve"> fees and royalties (include in “Royalty expenses”);</w:t>
      </w:r>
    </w:p>
    <w:p w14:paraId="34CFFF2A"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 xml:space="preserve">computer software </w:t>
      </w:r>
      <w:proofErr w:type="spellStart"/>
      <w:r w:rsidRPr="003B30B3">
        <w:rPr>
          <w:szCs w:val="24"/>
          <w:lang w:val="en-US"/>
        </w:rPr>
        <w:t>capitalised</w:t>
      </w:r>
      <w:proofErr w:type="spellEnd"/>
      <w:r w:rsidRPr="003B30B3">
        <w:rPr>
          <w:szCs w:val="24"/>
          <w:lang w:val="en-US"/>
        </w:rPr>
        <w:t xml:space="preserve"> (include in “Capital expenditure”); and </w:t>
      </w:r>
    </w:p>
    <w:p w14:paraId="2A7CCC38"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software maintenance (include in “Repairs and maintenance”).</w:t>
      </w:r>
    </w:p>
    <w:p w14:paraId="10B351A5"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t>Computer equipment expensed</w:t>
      </w:r>
    </w:p>
    <w:p w14:paraId="4A4FDD7D"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These items represent the cost of any computer equipment that has been charged to profit as an expense in the current accounting period.</w:t>
      </w:r>
    </w:p>
    <w:p w14:paraId="74F0E73D"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t>Water charges</w:t>
      </w:r>
    </w:p>
    <w:p w14:paraId="58E3FF67"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3DC9F027"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water rates and any excess water charges.</w:t>
      </w:r>
    </w:p>
    <w:p w14:paraId="070EEAED" w14:textId="77777777" w:rsidR="003B30B3" w:rsidRPr="003B30B3" w:rsidRDefault="003B30B3" w:rsidP="003B30B3">
      <w:pPr>
        <w:keepNext/>
        <w:keepLines/>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lastRenderedPageBreak/>
        <w:t xml:space="preserve">Repairs and maintenance </w:t>
      </w:r>
    </w:p>
    <w:p w14:paraId="62574902" w14:textId="77777777" w:rsidR="003B30B3" w:rsidRPr="003B30B3" w:rsidRDefault="003B30B3" w:rsidP="003B30B3">
      <w:pPr>
        <w:keepNext/>
        <w:keepLines/>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4998B36F" w14:textId="77777777" w:rsidR="003B30B3" w:rsidRPr="003B30B3" w:rsidRDefault="003B30B3" w:rsidP="003B30B3">
      <w:pPr>
        <w:keepNext/>
        <w:keepLines/>
        <w:numPr>
          <w:ilvl w:val="0"/>
          <w:numId w:val="35"/>
        </w:numPr>
        <w:autoSpaceDE w:val="0"/>
        <w:autoSpaceDN w:val="0"/>
        <w:adjustRightInd w:val="0"/>
        <w:spacing w:after="240" w:line="240" w:lineRule="auto"/>
        <w:ind w:right="-96"/>
        <w:jc w:val="left"/>
        <w:rPr>
          <w:szCs w:val="24"/>
          <w:lang w:val="en-US"/>
        </w:rPr>
      </w:pPr>
      <w:r w:rsidRPr="003B30B3">
        <w:rPr>
          <w:szCs w:val="24"/>
          <w:lang w:val="en-US"/>
        </w:rPr>
        <w:t>computer software and hardware maintenance.</w:t>
      </w:r>
    </w:p>
    <w:p w14:paraId="02287DC6"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Exclude:</w:t>
      </w:r>
    </w:p>
    <w:p w14:paraId="666DBD3D"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wages and salaries of own employees (reported as wages and salaries on RRF 331.0).</w:t>
      </w:r>
    </w:p>
    <w:p w14:paraId="1B01C2BA" w14:textId="77777777" w:rsidR="003B30B3" w:rsidRPr="003B30B3" w:rsidRDefault="003B30B3" w:rsidP="003B30B3">
      <w:pPr>
        <w:keepNext/>
        <w:spacing w:after="240" w:line="240" w:lineRule="auto"/>
        <w:ind w:left="0" w:right="0" w:firstLine="0"/>
        <w:outlineLvl w:val="0"/>
        <w:rPr>
          <w:rFonts w:ascii="Arial" w:hAnsi="Arial"/>
          <w:color w:val="auto"/>
          <w:szCs w:val="24"/>
          <w:lang w:val="en-US"/>
        </w:rPr>
      </w:pPr>
      <w:r w:rsidRPr="003B30B3">
        <w:rPr>
          <w:rFonts w:ascii="Arial" w:hAnsi="Arial"/>
          <w:b/>
          <w:color w:val="auto"/>
          <w:szCs w:val="24"/>
          <w:lang w:val="en-US"/>
        </w:rPr>
        <w:t>Part B: Employees</w:t>
      </w:r>
    </w:p>
    <w:p w14:paraId="2D9823D3"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Number of persons working for this business during the last pay period in the financial year of the reporting ADI.</w:t>
      </w:r>
    </w:p>
    <w:p w14:paraId="40A32FB7"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4F6A660F"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persons paid a retainer, wage or salary;</w:t>
      </w:r>
    </w:p>
    <w:p w14:paraId="3FDA1A7A"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working proprietors and partners;</w:t>
      </w:r>
    </w:p>
    <w:p w14:paraId="2D3689AC"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full-time and part-time employees;</w:t>
      </w:r>
    </w:p>
    <w:p w14:paraId="204C4CAD"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permanent, temporary and casual employees;</w:t>
      </w:r>
    </w:p>
    <w:p w14:paraId="2A263D60"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managerial and executive employees;</w:t>
      </w:r>
    </w:p>
    <w:p w14:paraId="180D4C04"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employees absent on paid or prepaid leave; and</w:t>
      </w:r>
    </w:p>
    <w:p w14:paraId="5129FB83"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employees on workers' compensation who continue to be paid through the payroll.</w:t>
      </w:r>
    </w:p>
    <w:p w14:paraId="52A2A40F"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Exclude:</w:t>
      </w:r>
    </w:p>
    <w:p w14:paraId="447CBAA0"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persons paid by commission only;</w:t>
      </w:r>
    </w:p>
    <w:p w14:paraId="00106A8A"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non-salaried directors;</w:t>
      </w:r>
    </w:p>
    <w:p w14:paraId="10D3DE84"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proofErr w:type="spellStart"/>
      <w:r w:rsidRPr="003B30B3">
        <w:rPr>
          <w:szCs w:val="24"/>
          <w:lang w:val="en-US"/>
        </w:rPr>
        <w:t>self employed</w:t>
      </w:r>
      <w:proofErr w:type="spellEnd"/>
      <w:r w:rsidRPr="003B30B3">
        <w:rPr>
          <w:szCs w:val="24"/>
          <w:lang w:val="en-US"/>
        </w:rPr>
        <w:t xml:space="preserve"> persons such as consultants and contractors; and</w:t>
      </w:r>
    </w:p>
    <w:p w14:paraId="2B0C3224"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volunteers.</w:t>
      </w:r>
    </w:p>
    <w:p w14:paraId="0DEC5B74" w14:textId="77777777" w:rsidR="003B30B3" w:rsidRPr="003B30B3" w:rsidRDefault="003B30B3" w:rsidP="003B30B3">
      <w:pPr>
        <w:keepNext/>
        <w:spacing w:after="240" w:line="240" w:lineRule="auto"/>
        <w:ind w:left="0" w:right="0" w:firstLine="0"/>
        <w:outlineLvl w:val="0"/>
        <w:rPr>
          <w:rFonts w:ascii="Arial" w:hAnsi="Arial"/>
          <w:b/>
          <w:color w:val="auto"/>
          <w:szCs w:val="24"/>
          <w:lang w:val="en-US"/>
        </w:rPr>
      </w:pPr>
      <w:r w:rsidRPr="003B30B3">
        <w:rPr>
          <w:rFonts w:ascii="Arial" w:hAnsi="Arial"/>
          <w:b/>
          <w:color w:val="auto"/>
          <w:szCs w:val="24"/>
          <w:lang w:val="en-US"/>
        </w:rPr>
        <w:t>Part C: Capital expenditure</w:t>
      </w:r>
    </w:p>
    <w:p w14:paraId="3F7D2045"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Capital expenditure is the sum of outlays for the purchase of fixed tangible and/or intangible assets by the business during the reference period.  Capital work done by own employees should be included in the appropriate capital expenditure item(s), and also separately identified in the data item of which “</w:t>
      </w:r>
      <w:proofErr w:type="spellStart"/>
      <w:r w:rsidRPr="003B30B3">
        <w:rPr>
          <w:color w:val="auto"/>
          <w:szCs w:val="24"/>
          <w:lang w:val="en-US"/>
        </w:rPr>
        <w:t>Capitalised</w:t>
      </w:r>
      <w:proofErr w:type="spellEnd"/>
      <w:r w:rsidRPr="003B30B3">
        <w:rPr>
          <w:color w:val="auto"/>
          <w:szCs w:val="24"/>
          <w:lang w:val="en-US"/>
        </w:rPr>
        <w:t xml:space="preserve"> work done by own employees”.</w:t>
      </w:r>
    </w:p>
    <w:p w14:paraId="3E4BDA92" w14:textId="77777777" w:rsidR="003B30B3" w:rsidRPr="003B30B3" w:rsidRDefault="003B30B3" w:rsidP="003B30B3">
      <w:pPr>
        <w:keepNext/>
        <w:keepLines/>
        <w:spacing w:after="240" w:line="240" w:lineRule="auto"/>
        <w:ind w:left="0" w:right="-96" w:firstLine="0"/>
        <w:rPr>
          <w:rFonts w:ascii="Arial" w:hAnsi="Arial"/>
          <w:color w:val="auto"/>
          <w:szCs w:val="24"/>
          <w:lang w:val="en-US"/>
        </w:rPr>
      </w:pPr>
      <w:r w:rsidRPr="003B30B3">
        <w:rPr>
          <w:rFonts w:ascii="Arial" w:hAnsi="Arial"/>
          <w:color w:val="auto"/>
          <w:szCs w:val="24"/>
          <w:lang w:val="en-US"/>
        </w:rPr>
        <w:lastRenderedPageBreak/>
        <w:t>Include:</w:t>
      </w:r>
    </w:p>
    <w:p w14:paraId="7F0CF544" w14:textId="77777777" w:rsidR="003B30B3" w:rsidRPr="003B30B3" w:rsidRDefault="003B30B3" w:rsidP="003B30B3">
      <w:pPr>
        <w:keepNext/>
        <w:keepLines/>
        <w:numPr>
          <w:ilvl w:val="0"/>
          <w:numId w:val="35"/>
        </w:numPr>
        <w:autoSpaceDE w:val="0"/>
        <w:autoSpaceDN w:val="0"/>
        <w:adjustRightInd w:val="0"/>
        <w:spacing w:after="240" w:line="240" w:lineRule="auto"/>
        <w:ind w:right="-96"/>
        <w:jc w:val="left"/>
        <w:rPr>
          <w:szCs w:val="24"/>
          <w:lang w:val="en-US"/>
        </w:rPr>
      </w:pPr>
      <w:r w:rsidRPr="003B30B3">
        <w:rPr>
          <w:szCs w:val="24"/>
          <w:lang w:val="en-US"/>
        </w:rPr>
        <w:t xml:space="preserve">all costs </w:t>
      </w:r>
      <w:proofErr w:type="spellStart"/>
      <w:r w:rsidRPr="003B30B3">
        <w:rPr>
          <w:szCs w:val="24"/>
          <w:lang w:val="en-US"/>
        </w:rPr>
        <w:t>capitalised</w:t>
      </w:r>
      <w:proofErr w:type="spellEnd"/>
      <w:r w:rsidRPr="003B30B3">
        <w:rPr>
          <w:szCs w:val="24"/>
          <w:lang w:val="en-US"/>
        </w:rPr>
        <w:t xml:space="preserve"> in this business’ books (including legal fees, real estate transfer costs and assets acquired under finance leases);</w:t>
      </w:r>
    </w:p>
    <w:p w14:paraId="2F2A36ED"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progress payments made to contractors for capital work done by them; and</w:t>
      </w:r>
    </w:p>
    <w:p w14:paraId="0189FA71"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major improvements, alterations and additions to fixed assets.</w:t>
      </w:r>
    </w:p>
    <w:p w14:paraId="25597A73"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Exclude:</w:t>
      </w:r>
    </w:p>
    <w:p w14:paraId="74BB467F"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progress payments for plant, machinery and equipment being produced on order;</w:t>
      </w:r>
    </w:p>
    <w:p w14:paraId="4F8C6EBC"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payments for repair and maintenance of fixed assets;</w:t>
      </w:r>
    </w:p>
    <w:p w14:paraId="5980F671"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payments of fixed assets on rental or acquired through an operating lease; and</w:t>
      </w:r>
    </w:p>
    <w:p w14:paraId="437B2637"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interest paid.</w:t>
      </w:r>
    </w:p>
    <w:p w14:paraId="6675EBA9"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t xml:space="preserve">Computer software </w:t>
      </w:r>
      <w:proofErr w:type="spellStart"/>
      <w:r w:rsidRPr="003B30B3">
        <w:rPr>
          <w:rFonts w:ascii="Arial" w:hAnsi="Arial"/>
          <w:b/>
          <w:color w:val="auto"/>
          <w:szCs w:val="24"/>
          <w:lang w:val="en-US"/>
        </w:rPr>
        <w:t>capitalised</w:t>
      </w:r>
      <w:proofErr w:type="spellEnd"/>
    </w:p>
    <w:p w14:paraId="54DEB0DF" w14:textId="77777777" w:rsidR="003B30B3" w:rsidRPr="003B30B3" w:rsidRDefault="003B30B3" w:rsidP="003B30B3">
      <w:pPr>
        <w:spacing w:after="240" w:line="240" w:lineRule="auto"/>
        <w:ind w:left="0" w:right="-96" w:firstLine="0"/>
        <w:rPr>
          <w:color w:val="auto"/>
          <w:szCs w:val="24"/>
          <w:lang w:val="en-US"/>
        </w:rPr>
      </w:pPr>
      <w:r w:rsidRPr="003B30B3">
        <w:rPr>
          <w:color w:val="auto"/>
          <w:szCs w:val="24"/>
          <w:lang w:val="en-US"/>
        </w:rPr>
        <w:t xml:space="preserve">If software and hardware costs cannot be separated, include total in “Computers and computer peripherals </w:t>
      </w:r>
      <w:proofErr w:type="spellStart"/>
      <w:r w:rsidRPr="003B30B3">
        <w:rPr>
          <w:color w:val="auto"/>
          <w:szCs w:val="24"/>
          <w:lang w:val="en-US"/>
        </w:rPr>
        <w:t>capitalised</w:t>
      </w:r>
      <w:proofErr w:type="spellEnd"/>
      <w:r w:rsidRPr="003B30B3">
        <w:rPr>
          <w:color w:val="auto"/>
          <w:szCs w:val="24"/>
          <w:lang w:val="en-US"/>
        </w:rPr>
        <w:t>”.</w:t>
      </w:r>
    </w:p>
    <w:p w14:paraId="7E344C3A"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375D3885"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proofErr w:type="spellStart"/>
      <w:r w:rsidRPr="003B30B3">
        <w:rPr>
          <w:szCs w:val="24"/>
          <w:lang w:val="en-US"/>
        </w:rPr>
        <w:t>capitalised</w:t>
      </w:r>
      <w:proofErr w:type="spellEnd"/>
      <w:r w:rsidRPr="003B30B3">
        <w:rPr>
          <w:szCs w:val="24"/>
          <w:lang w:val="en-US"/>
        </w:rPr>
        <w:t xml:space="preserve"> computer software license fees;</w:t>
      </w:r>
    </w:p>
    <w:p w14:paraId="0E4E0C14"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installation costs;</w:t>
      </w:r>
    </w:p>
    <w:p w14:paraId="633212DC"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purchase or development of large databases; and</w:t>
      </w:r>
    </w:p>
    <w:p w14:paraId="130A7996"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computer software developed in-house.</w:t>
      </w:r>
    </w:p>
    <w:p w14:paraId="13E7260B"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Exclude:</w:t>
      </w:r>
    </w:p>
    <w:p w14:paraId="25AB3077"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computer software expensed (include in “Computer software expensed”); and</w:t>
      </w:r>
    </w:p>
    <w:p w14:paraId="336F0F1C"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software maintenance (include in “Repairs and maintenance”).</w:t>
      </w:r>
    </w:p>
    <w:p w14:paraId="46A382C2" w14:textId="77777777" w:rsidR="003B30B3" w:rsidRPr="003B30B3" w:rsidRDefault="003B30B3" w:rsidP="003B30B3">
      <w:pPr>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t>Intangible assets</w:t>
      </w:r>
    </w:p>
    <w:p w14:paraId="09DC214D"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5CF62BC3"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 xml:space="preserve">patents, </w:t>
      </w:r>
      <w:proofErr w:type="spellStart"/>
      <w:r w:rsidRPr="003B30B3">
        <w:rPr>
          <w:szCs w:val="24"/>
          <w:lang w:val="en-US"/>
        </w:rPr>
        <w:t>licences</w:t>
      </w:r>
      <w:proofErr w:type="spellEnd"/>
      <w:r w:rsidRPr="003B30B3">
        <w:rPr>
          <w:szCs w:val="24"/>
          <w:lang w:val="en-US"/>
        </w:rPr>
        <w:t xml:space="preserve"> and goodwill.</w:t>
      </w:r>
    </w:p>
    <w:p w14:paraId="6AF9B8CB"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Exclude:</w:t>
      </w:r>
    </w:p>
    <w:p w14:paraId="0933459A"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proofErr w:type="spellStart"/>
      <w:r w:rsidRPr="003B30B3">
        <w:rPr>
          <w:szCs w:val="24"/>
          <w:lang w:val="en-US"/>
        </w:rPr>
        <w:t>capitalised</w:t>
      </w:r>
      <w:proofErr w:type="spellEnd"/>
      <w:r w:rsidRPr="003B30B3">
        <w:rPr>
          <w:szCs w:val="24"/>
          <w:lang w:val="en-US"/>
        </w:rPr>
        <w:t xml:space="preserve"> computer software </w:t>
      </w:r>
      <w:proofErr w:type="spellStart"/>
      <w:r w:rsidRPr="003B30B3">
        <w:rPr>
          <w:szCs w:val="24"/>
          <w:lang w:val="en-US"/>
        </w:rPr>
        <w:t>licence</w:t>
      </w:r>
      <w:proofErr w:type="spellEnd"/>
      <w:r w:rsidRPr="003B30B3">
        <w:rPr>
          <w:szCs w:val="24"/>
          <w:lang w:val="en-US"/>
        </w:rPr>
        <w:t xml:space="preserve"> fees.</w:t>
      </w:r>
    </w:p>
    <w:p w14:paraId="0F01D02F" w14:textId="77777777" w:rsidR="003B30B3" w:rsidRPr="003B30B3" w:rsidRDefault="003B30B3" w:rsidP="003B30B3">
      <w:pPr>
        <w:keepNext/>
        <w:keepLines/>
        <w:spacing w:after="240" w:line="240" w:lineRule="auto"/>
        <w:ind w:left="0" w:right="-96" w:firstLine="0"/>
        <w:rPr>
          <w:rFonts w:ascii="Arial" w:hAnsi="Arial"/>
          <w:b/>
          <w:color w:val="auto"/>
          <w:szCs w:val="24"/>
          <w:lang w:val="en-US"/>
        </w:rPr>
      </w:pPr>
      <w:r w:rsidRPr="003B30B3">
        <w:rPr>
          <w:rFonts w:ascii="Arial" w:hAnsi="Arial"/>
          <w:b/>
          <w:color w:val="auto"/>
          <w:szCs w:val="24"/>
          <w:lang w:val="en-US"/>
        </w:rPr>
        <w:lastRenderedPageBreak/>
        <w:t xml:space="preserve">Capital expenditure - Of which </w:t>
      </w:r>
      <w:proofErr w:type="spellStart"/>
      <w:r w:rsidRPr="003B30B3">
        <w:rPr>
          <w:rFonts w:ascii="Arial" w:hAnsi="Arial"/>
          <w:b/>
          <w:color w:val="auto"/>
          <w:szCs w:val="24"/>
          <w:lang w:val="en-US"/>
        </w:rPr>
        <w:t>capitalised</w:t>
      </w:r>
      <w:proofErr w:type="spellEnd"/>
      <w:r w:rsidRPr="003B30B3">
        <w:rPr>
          <w:rFonts w:ascii="Arial" w:hAnsi="Arial"/>
          <w:b/>
          <w:color w:val="auto"/>
          <w:szCs w:val="24"/>
          <w:lang w:val="en-US"/>
        </w:rPr>
        <w:t xml:space="preserve"> work done by own employees</w:t>
      </w:r>
    </w:p>
    <w:p w14:paraId="539C4722" w14:textId="77777777" w:rsidR="003B30B3" w:rsidRPr="003B30B3" w:rsidRDefault="003B30B3" w:rsidP="003B30B3">
      <w:pPr>
        <w:keepNext/>
        <w:keepLines/>
        <w:spacing w:after="240" w:line="240" w:lineRule="auto"/>
        <w:ind w:left="0" w:right="-96" w:firstLine="0"/>
        <w:rPr>
          <w:rFonts w:ascii="Arial" w:hAnsi="Arial"/>
          <w:color w:val="auto"/>
          <w:szCs w:val="24"/>
          <w:lang w:val="en-US"/>
        </w:rPr>
      </w:pPr>
      <w:r w:rsidRPr="003B30B3">
        <w:rPr>
          <w:rFonts w:ascii="Arial" w:hAnsi="Arial"/>
          <w:color w:val="auto"/>
          <w:szCs w:val="24"/>
          <w:lang w:val="en-US"/>
        </w:rPr>
        <w:t>Include:</w:t>
      </w:r>
    </w:p>
    <w:p w14:paraId="2D61B5B3" w14:textId="77777777" w:rsidR="003B30B3" w:rsidRPr="003B30B3" w:rsidRDefault="003B30B3" w:rsidP="003B30B3">
      <w:pPr>
        <w:keepNext/>
        <w:keepLines/>
        <w:numPr>
          <w:ilvl w:val="0"/>
          <w:numId w:val="35"/>
        </w:numPr>
        <w:autoSpaceDE w:val="0"/>
        <w:autoSpaceDN w:val="0"/>
        <w:adjustRightInd w:val="0"/>
        <w:spacing w:after="240" w:line="240" w:lineRule="auto"/>
        <w:ind w:right="-96"/>
        <w:jc w:val="left"/>
        <w:rPr>
          <w:szCs w:val="24"/>
          <w:lang w:val="en-US"/>
        </w:rPr>
      </w:pPr>
      <w:proofErr w:type="spellStart"/>
      <w:r w:rsidRPr="003B30B3">
        <w:rPr>
          <w:szCs w:val="24"/>
          <w:lang w:val="en-US"/>
        </w:rPr>
        <w:t>capitalised</w:t>
      </w:r>
      <w:proofErr w:type="spellEnd"/>
      <w:r w:rsidRPr="003B30B3">
        <w:rPr>
          <w:szCs w:val="24"/>
          <w:lang w:val="en-US"/>
        </w:rPr>
        <w:t xml:space="preserve"> work done by own employees in developing computer software in-house.</w:t>
      </w:r>
    </w:p>
    <w:p w14:paraId="18845F68" w14:textId="77777777" w:rsidR="003B30B3" w:rsidRPr="003B30B3" w:rsidRDefault="003B30B3" w:rsidP="003B30B3">
      <w:pPr>
        <w:spacing w:after="240" w:line="240" w:lineRule="auto"/>
        <w:ind w:left="0" w:right="-96" w:firstLine="0"/>
        <w:rPr>
          <w:rFonts w:ascii="Arial" w:hAnsi="Arial"/>
          <w:color w:val="auto"/>
          <w:szCs w:val="24"/>
          <w:lang w:val="en-US"/>
        </w:rPr>
      </w:pPr>
      <w:r w:rsidRPr="003B30B3">
        <w:rPr>
          <w:rFonts w:ascii="Arial" w:hAnsi="Arial"/>
          <w:color w:val="auto"/>
          <w:szCs w:val="24"/>
          <w:lang w:val="en-US"/>
        </w:rPr>
        <w:t>Exclude:</w:t>
      </w:r>
    </w:p>
    <w:p w14:paraId="294CE848"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interest associated with the cost of the assets (reported as interest expenses on RRF 331.0); and</w:t>
      </w:r>
    </w:p>
    <w:p w14:paraId="0677E149" w14:textId="77777777" w:rsidR="003B30B3" w:rsidRPr="003B30B3" w:rsidRDefault="003B30B3" w:rsidP="003B30B3">
      <w:pPr>
        <w:numPr>
          <w:ilvl w:val="0"/>
          <w:numId w:val="35"/>
        </w:numPr>
        <w:autoSpaceDE w:val="0"/>
        <w:autoSpaceDN w:val="0"/>
        <w:adjustRightInd w:val="0"/>
        <w:spacing w:after="240" w:line="240" w:lineRule="auto"/>
        <w:ind w:right="-96"/>
        <w:jc w:val="left"/>
        <w:rPr>
          <w:szCs w:val="24"/>
          <w:lang w:val="en-US"/>
        </w:rPr>
      </w:pPr>
      <w:r w:rsidRPr="003B30B3">
        <w:rPr>
          <w:szCs w:val="24"/>
          <w:lang w:val="en-US"/>
        </w:rPr>
        <w:t>payments made to other businesses for costs associated with the original acquisition of the assets (include in capital expenditure).</w:t>
      </w:r>
    </w:p>
    <w:p w14:paraId="400A59CD" w14:textId="77777777" w:rsidR="003B30B3" w:rsidRPr="003B30B3" w:rsidRDefault="003B30B3" w:rsidP="003B30B3">
      <w:pPr>
        <w:keepNext/>
        <w:spacing w:after="240" w:line="240" w:lineRule="auto"/>
        <w:ind w:left="0" w:right="0" w:firstLine="0"/>
        <w:outlineLvl w:val="0"/>
        <w:rPr>
          <w:rFonts w:ascii="Arial" w:hAnsi="Arial"/>
          <w:b/>
          <w:color w:val="auto"/>
          <w:szCs w:val="24"/>
          <w:lang w:val="en-US"/>
        </w:rPr>
      </w:pPr>
      <w:r w:rsidRPr="003B30B3">
        <w:rPr>
          <w:rFonts w:ascii="Arial" w:hAnsi="Arial"/>
          <w:b/>
          <w:color w:val="auto"/>
          <w:szCs w:val="24"/>
          <w:lang w:val="en-US"/>
        </w:rPr>
        <w:t>Part D: Disposal of assets</w:t>
      </w:r>
    </w:p>
    <w:p w14:paraId="571C72CB" w14:textId="6823F4B9" w:rsidR="003B30B3" w:rsidRDefault="003B30B3" w:rsidP="003B30B3">
      <w:pPr>
        <w:ind w:left="-5" w:right="99"/>
      </w:pPr>
      <w:r w:rsidRPr="003B30B3">
        <w:rPr>
          <w:i/>
          <w:color w:val="auto"/>
          <w:szCs w:val="24"/>
          <w:lang w:val="en-GB"/>
        </w:rPr>
        <w:t>Report the proceeds from sales of assets</w:t>
      </w:r>
    </w:p>
    <w:p w14:paraId="01D55941" w14:textId="46704296" w:rsidR="00F74A0A" w:rsidRDefault="00F74A0A">
      <w:pPr>
        <w:spacing w:after="0" w:line="259" w:lineRule="auto"/>
        <w:ind w:left="0" w:right="0" w:firstLine="0"/>
        <w:jc w:val="left"/>
      </w:pPr>
    </w:p>
    <w:sectPr w:rsidR="00F74A0A" w:rsidSect="00F3183C">
      <w:headerReference w:type="even" r:id="rId32"/>
      <w:headerReference w:type="default" r:id="rId33"/>
      <w:footerReference w:type="even" r:id="rId34"/>
      <w:footerReference w:type="default" r:id="rId35"/>
      <w:headerReference w:type="first" r:id="rId36"/>
      <w:footerReference w:type="first" r:id="rId37"/>
      <w:pgSz w:w="11900" w:h="16840"/>
      <w:pgMar w:top="1445" w:right="1690" w:bottom="1726" w:left="1798" w:header="727" w:footer="3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92B9F" w14:textId="77777777" w:rsidR="00F3183C" w:rsidRDefault="00F3183C">
      <w:pPr>
        <w:spacing w:after="0" w:line="240" w:lineRule="auto"/>
      </w:pPr>
      <w:r>
        <w:separator/>
      </w:r>
    </w:p>
  </w:endnote>
  <w:endnote w:type="continuationSeparator" w:id="0">
    <w:p w14:paraId="25DB9365" w14:textId="77777777" w:rsidR="00F3183C" w:rsidRDefault="00F3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9EB0" w14:textId="77777777" w:rsidR="00F3183C" w:rsidRDefault="00F3183C">
    <w:pPr>
      <w:spacing w:after="115" w:line="259" w:lineRule="auto"/>
      <w:ind w:left="0" w:right="-48" w:firstLine="0"/>
      <w:jc w:val="right"/>
    </w:pPr>
    <w:r>
      <w:rPr>
        <w:sz w:val="20"/>
      </w:rPr>
      <w:t xml:space="preserve"> </w:t>
    </w:r>
  </w:p>
  <w:p w14:paraId="350B74EB" w14:textId="77777777" w:rsidR="00F3183C" w:rsidRDefault="00F3183C">
    <w:pPr>
      <w:spacing w:after="0" w:line="259" w:lineRule="auto"/>
      <w:ind w:left="0" w:right="34" w:firstLine="0"/>
      <w:jc w:val="center"/>
    </w:pPr>
    <w:r>
      <w:rPr>
        <w:sz w:val="16"/>
      </w:rPr>
      <w:t>Federal Register of Legislative Instruments F2006L02079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1FAC" w14:textId="77777777" w:rsidR="00F3183C" w:rsidRDefault="00F3183C">
    <w:pPr>
      <w:tabs>
        <w:tab w:val="center" w:pos="6865"/>
        <w:tab w:val="right" w:pos="8412"/>
      </w:tabs>
      <w:spacing w:after="45" w:line="259" w:lineRule="auto"/>
      <w:ind w:left="0" w:right="0" w:firstLine="0"/>
      <w:jc w:val="left"/>
    </w:pPr>
    <w:r>
      <w:rPr>
        <w:rFonts w:ascii="Calibri" w:eastAsia="Calibri" w:hAnsi="Calibri" w:cs="Calibri"/>
        <w:sz w:val="22"/>
      </w:rPr>
      <w:tab/>
    </w:r>
    <w:r>
      <w:rPr>
        <w:b/>
      </w:rPr>
      <w:t xml:space="preserve">RRF 332.0 Instructions - </w:t>
    </w:r>
    <w:r>
      <w:rPr>
        <w:b/>
        <w:sz w:val="20"/>
      </w:rPr>
      <w:t xml:space="preserve"> </w:t>
    </w:r>
    <w:r>
      <w:rPr>
        <w:b/>
        <w:sz w:val="20"/>
      </w:rPr>
      <w:tab/>
    </w:r>
    <w:r>
      <w:fldChar w:fldCharType="begin"/>
    </w:r>
    <w:r>
      <w:instrText xml:space="preserve"> PAGE   \* MERGEFORMAT </w:instrText>
    </w:r>
    <w:r>
      <w:fldChar w:fldCharType="separate"/>
    </w:r>
    <w:r w:rsidR="004649BD" w:rsidRPr="004649BD">
      <w:rPr>
        <w:b/>
        <w:noProof/>
      </w:rPr>
      <w:t>3</w:t>
    </w:r>
    <w:r>
      <w:rPr>
        <w:b/>
      </w:rPr>
      <w:fldChar w:fldCharType="end"/>
    </w:r>
  </w:p>
  <w:p w14:paraId="529BD8AF" w14:textId="77777777" w:rsidR="00F3183C" w:rsidRDefault="00F3183C">
    <w:pPr>
      <w:spacing w:after="0" w:line="259" w:lineRule="auto"/>
      <w:ind w:left="0" w:right="131" w:firstLine="0"/>
      <w:jc w:val="center"/>
    </w:pPr>
    <w:r>
      <w:rPr>
        <w:sz w:val="16"/>
      </w:rPr>
      <w:t>Federal Register of Legislative Instruments F2006L02079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AD6D" w14:textId="77777777" w:rsidR="00F3183C" w:rsidRDefault="00F3183C" w:rsidP="00F3183C">
    <w:pPr>
      <w:spacing w:after="40" w:line="259" w:lineRule="auto"/>
      <w:ind w:left="0" w:right="5" w:firstLine="0"/>
      <w:jc w:val="right"/>
    </w:pPr>
    <w:r>
      <w:rPr>
        <w:rFonts w:ascii="Calibri" w:eastAsia="Calibri" w:hAnsi="Calibri" w:cs="Calibri"/>
        <w:sz w:val="22"/>
      </w:rPr>
      <w:tab/>
    </w:r>
    <w:r>
      <w:rPr>
        <w:b/>
      </w:rPr>
      <w:t xml:space="preserve">RRS 332.0 - </w:t>
    </w:r>
    <w:r>
      <w:fldChar w:fldCharType="begin"/>
    </w:r>
    <w:r>
      <w:instrText xml:space="preserve"> PAGE   \* MERGEFORMAT </w:instrText>
    </w:r>
    <w:r>
      <w:fldChar w:fldCharType="separate"/>
    </w:r>
    <w:r w:rsidR="004649BD" w:rsidRPr="004649BD">
      <w:rPr>
        <w:b/>
        <w:noProof/>
      </w:rPr>
      <w:t>17</w:t>
    </w:r>
    <w:r>
      <w:rPr>
        <w:b/>
      </w:rPr>
      <w:fldChar w:fldCharType="end"/>
    </w:r>
    <w:r>
      <w:rPr>
        <w:sz w:val="20"/>
      </w:rPr>
      <w:t xml:space="preserve"> </w:t>
    </w:r>
  </w:p>
  <w:p w14:paraId="29E6076E" w14:textId="604048CC" w:rsidR="00F3183C" w:rsidRDefault="00F3183C" w:rsidP="00F3183C">
    <w:pPr>
      <w:tabs>
        <w:tab w:val="center" w:pos="6865"/>
        <w:tab w:val="right" w:pos="8412"/>
      </w:tabs>
      <w:spacing w:after="45" w:line="259" w:lineRule="auto"/>
      <w:ind w:left="0"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E8523" w14:textId="77777777" w:rsidR="00F3183C" w:rsidRDefault="00F3183C">
    <w:pPr>
      <w:tabs>
        <w:tab w:val="center" w:pos="6865"/>
        <w:tab w:val="right" w:pos="8412"/>
      </w:tabs>
      <w:spacing w:after="45" w:line="259" w:lineRule="auto"/>
      <w:ind w:left="0" w:right="0" w:firstLine="0"/>
      <w:jc w:val="left"/>
    </w:pPr>
    <w:r>
      <w:rPr>
        <w:rFonts w:ascii="Calibri" w:eastAsia="Calibri" w:hAnsi="Calibri" w:cs="Calibri"/>
        <w:sz w:val="22"/>
      </w:rPr>
      <w:tab/>
    </w:r>
    <w:r>
      <w:rPr>
        <w:b/>
      </w:rPr>
      <w:t xml:space="preserve">RRF 332.0 Instructions - </w:t>
    </w:r>
    <w:r>
      <w:rPr>
        <w:b/>
        <w:sz w:val="20"/>
      </w:rPr>
      <w:t xml:space="preserve"> </w:t>
    </w:r>
    <w:r>
      <w:rPr>
        <w:b/>
        <w:sz w:val="20"/>
      </w:rPr>
      <w:tab/>
    </w:r>
    <w:r>
      <w:fldChar w:fldCharType="begin"/>
    </w:r>
    <w:r>
      <w:instrText xml:space="preserve"> PAGE   \* MERGEFORMAT </w:instrText>
    </w:r>
    <w:r>
      <w:fldChar w:fldCharType="separate"/>
    </w:r>
    <w:r w:rsidR="004649BD" w:rsidRPr="004649BD">
      <w:rPr>
        <w:b/>
        <w:noProof/>
      </w:rPr>
      <w:t>3</w:t>
    </w:r>
    <w:r>
      <w:rPr>
        <w:b/>
      </w:rPr>
      <w:fldChar w:fldCharType="end"/>
    </w:r>
  </w:p>
  <w:p w14:paraId="7B364C54" w14:textId="77777777" w:rsidR="00F3183C" w:rsidRDefault="00F3183C">
    <w:pPr>
      <w:spacing w:after="0" w:line="259" w:lineRule="auto"/>
      <w:ind w:left="0" w:right="131" w:firstLine="0"/>
      <w:jc w:val="center"/>
    </w:pPr>
    <w:r>
      <w:rPr>
        <w:sz w:val="16"/>
      </w:rPr>
      <w:t>Federal Register of Legislative Instruments F2006L02079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F51A9" w14:textId="77777777" w:rsidR="00F3183C" w:rsidRDefault="00F3183C">
    <w:pPr>
      <w:spacing w:after="115" w:line="259" w:lineRule="auto"/>
      <w:ind w:left="0" w:right="-48" w:firstLine="0"/>
      <w:jc w:val="right"/>
    </w:pPr>
    <w:r>
      <w:rPr>
        <w:sz w:val="20"/>
      </w:rPr>
      <w:t xml:space="preserve"> </w:t>
    </w:r>
  </w:p>
  <w:p w14:paraId="1ABC9E82" w14:textId="2E9FC8C8" w:rsidR="00F3183C" w:rsidRDefault="00F3183C">
    <w:pPr>
      <w:spacing w:after="0" w:line="259" w:lineRule="auto"/>
      <w:ind w:left="0" w:right="34"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C51B7" w14:textId="77777777" w:rsidR="00F3183C" w:rsidRDefault="00F3183C">
    <w:pPr>
      <w:spacing w:after="115" w:line="259" w:lineRule="auto"/>
      <w:ind w:left="0" w:right="-48" w:firstLine="0"/>
      <w:jc w:val="right"/>
    </w:pPr>
    <w:r>
      <w:rPr>
        <w:sz w:val="20"/>
      </w:rPr>
      <w:t xml:space="preserve"> </w:t>
    </w:r>
  </w:p>
  <w:p w14:paraId="4EC7B438" w14:textId="77777777" w:rsidR="00F3183C" w:rsidRDefault="00F3183C">
    <w:pPr>
      <w:spacing w:after="0" w:line="259" w:lineRule="auto"/>
      <w:ind w:left="0" w:right="34" w:firstLine="0"/>
      <w:jc w:val="center"/>
    </w:pPr>
    <w:r>
      <w:rPr>
        <w:sz w:val="16"/>
      </w:rPr>
      <w:t>Federal Register of Legislative Instruments F2006L02079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2D1B" w14:textId="77777777" w:rsidR="00F3183C" w:rsidRDefault="00F3183C">
    <w:pPr>
      <w:spacing w:after="40" w:line="259" w:lineRule="auto"/>
      <w:ind w:left="0" w:right="5" w:firstLine="0"/>
      <w:jc w:val="right"/>
    </w:pPr>
    <w:r>
      <w:rPr>
        <w:b/>
      </w:rPr>
      <w:t xml:space="preserve">RRS 332.0 - </w:t>
    </w:r>
    <w:r>
      <w:fldChar w:fldCharType="begin"/>
    </w:r>
    <w:r>
      <w:instrText xml:space="preserve"> PAGE   \* MERGEFORMAT </w:instrText>
    </w:r>
    <w:r>
      <w:fldChar w:fldCharType="separate"/>
    </w:r>
    <w:r w:rsidR="004649BD" w:rsidRPr="004649BD">
      <w:rPr>
        <w:b/>
        <w:noProof/>
      </w:rPr>
      <w:t>3</w:t>
    </w:r>
    <w:r>
      <w:rPr>
        <w:b/>
      </w:rPr>
      <w:fldChar w:fldCharType="end"/>
    </w:r>
    <w:r>
      <w:rPr>
        <w:sz w:val="20"/>
      </w:rPr>
      <w:t xml:space="preserve"> </w:t>
    </w:r>
  </w:p>
  <w:p w14:paraId="40644C36" w14:textId="77777777" w:rsidR="00F3183C" w:rsidRDefault="00F3183C">
    <w:pPr>
      <w:spacing w:after="0" w:line="259" w:lineRule="auto"/>
      <w:ind w:left="0" w:right="37" w:firstLine="0"/>
      <w:jc w:val="center"/>
    </w:pPr>
    <w:r>
      <w:rPr>
        <w:sz w:val="16"/>
      </w:rPr>
      <w:t>Federal Register of Legislative Instruments F2006L02079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D296B" w14:textId="77777777" w:rsidR="00F3183C" w:rsidRDefault="00F3183C">
    <w:pPr>
      <w:spacing w:after="40" w:line="259" w:lineRule="auto"/>
      <w:ind w:left="0" w:right="5" w:firstLine="0"/>
      <w:jc w:val="right"/>
    </w:pPr>
    <w:r>
      <w:rPr>
        <w:b/>
      </w:rPr>
      <w:t xml:space="preserve">RRS 332.0 - </w:t>
    </w:r>
    <w:r>
      <w:fldChar w:fldCharType="begin"/>
    </w:r>
    <w:r>
      <w:instrText xml:space="preserve"> PAGE   \* MERGEFORMAT </w:instrText>
    </w:r>
    <w:r>
      <w:fldChar w:fldCharType="separate"/>
    </w:r>
    <w:r w:rsidR="004649BD" w:rsidRPr="004649BD">
      <w:rPr>
        <w:b/>
        <w:noProof/>
      </w:rPr>
      <w:t>2</w:t>
    </w:r>
    <w:r>
      <w:rPr>
        <w:b/>
      </w:rPr>
      <w:fldChar w:fldCharType="end"/>
    </w:r>
    <w:r>
      <w:rPr>
        <w:sz w:val="20"/>
      </w:rPr>
      <w:t xml:space="preserve"> </w:t>
    </w:r>
  </w:p>
  <w:p w14:paraId="28DAD98B" w14:textId="1BBA510F" w:rsidR="00F3183C" w:rsidRDefault="00F3183C">
    <w:pPr>
      <w:spacing w:after="0" w:line="259" w:lineRule="auto"/>
      <w:ind w:left="0" w:right="37"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ADFB" w14:textId="77777777" w:rsidR="00F3183C" w:rsidRDefault="00F3183C">
    <w:pPr>
      <w:spacing w:after="40" w:line="259" w:lineRule="auto"/>
      <w:ind w:left="0" w:right="5" w:firstLine="0"/>
      <w:jc w:val="right"/>
    </w:pPr>
    <w:r>
      <w:rPr>
        <w:b/>
      </w:rPr>
      <w:t xml:space="preserve">RRS 332.0 - </w:t>
    </w:r>
    <w:r>
      <w:fldChar w:fldCharType="begin"/>
    </w:r>
    <w:r>
      <w:instrText xml:space="preserve"> PAGE   \* MERGEFORMAT </w:instrText>
    </w:r>
    <w:r>
      <w:fldChar w:fldCharType="separate"/>
    </w:r>
    <w:r w:rsidR="004649BD" w:rsidRPr="004649BD">
      <w:rPr>
        <w:b/>
        <w:noProof/>
      </w:rPr>
      <w:t>3</w:t>
    </w:r>
    <w:r>
      <w:rPr>
        <w:b/>
      </w:rPr>
      <w:fldChar w:fldCharType="end"/>
    </w:r>
    <w:r>
      <w:rPr>
        <w:sz w:val="20"/>
      </w:rPr>
      <w:t xml:space="preserve"> </w:t>
    </w:r>
  </w:p>
  <w:p w14:paraId="0B9D3520" w14:textId="77777777" w:rsidR="00F3183C" w:rsidRDefault="00F3183C">
    <w:pPr>
      <w:spacing w:after="0" w:line="259" w:lineRule="auto"/>
      <w:ind w:left="0" w:right="37" w:firstLine="0"/>
      <w:jc w:val="center"/>
    </w:pPr>
    <w:r>
      <w:rPr>
        <w:sz w:val="16"/>
      </w:rPr>
      <w:t>Federal Register of Legislative Instruments F2006L02079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4161" w14:textId="77777777" w:rsidR="00F3183C" w:rsidRDefault="00F3183C">
    <w:pPr>
      <w:tabs>
        <w:tab w:val="center" w:pos="13104"/>
        <w:tab w:val="right" w:pos="13957"/>
      </w:tabs>
      <w:spacing w:after="0" w:line="259" w:lineRule="auto"/>
      <w:ind w:left="0" w:right="0" w:firstLine="0"/>
      <w:jc w:val="left"/>
    </w:pPr>
    <w:r>
      <w:rPr>
        <w:rFonts w:ascii="Calibri" w:eastAsia="Calibri" w:hAnsi="Calibri" w:cs="Calibri"/>
        <w:sz w:val="22"/>
      </w:rPr>
      <w:tab/>
    </w:r>
    <w:r>
      <w:rPr>
        <w:b/>
      </w:rPr>
      <w:t xml:space="preserve">RRF 332.0 - </w:t>
    </w:r>
    <w:r>
      <w:rPr>
        <w:sz w:val="20"/>
      </w:rPr>
      <w:t xml:space="preserve"> </w:t>
    </w:r>
    <w:r>
      <w:rPr>
        <w:sz w:val="20"/>
      </w:rPr>
      <w:tab/>
    </w:r>
    <w:r>
      <w:fldChar w:fldCharType="begin"/>
    </w:r>
    <w:r>
      <w:instrText xml:space="preserve"> PAGE   \* MERGEFORMAT </w:instrText>
    </w:r>
    <w:r>
      <w:fldChar w:fldCharType="separate"/>
    </w:r>
    <w:r w:rsidR="004649BD" w:rsidRPr="004649BD">
      <w:rPr>
        <w:b/>
        <w:noProof/>
      </w:rPr>
      <w:t>3</w:t>
    </w:r>
    <w:r>
      <w:rPr>
        <w:b/>
      </w:rPr>
      <w:fldChar w:fldCharType="end"/>
    </w:r>
    <w:r>
      <w:rPr>
        <w: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362C0" w14:textId="77777777" w:rsidR="00F3183C" w:rsidRDefault="00F3183C" w:rsidP="00F3183C">
    <w:pPr>
      <w:spacing w:after="40" w:line="259" w:lineRule="auto"/>
      <w:ind w:left="0" w:right="5" w:firstLine="0"/>
      <w:jc w:val="right"/>
    </w:pPr>
    <w:r>
      <w:rPr>
        <w:rFonts w:ascii="Calibri" w:eastAsia="Calibri" w:hAnsi="Calibri" w:cs="Calibri"/>
        <w:sz w:val="22"/>
      </w:rPr>
      <w:tab/>
    </w:r>
    <w:r>
      <w:rPr>
        <w:b/>
      </w:rPr>
      <w:t xml:space="preserve">RRS 332.0 - </w:t>
    </w:r>
    <w:r>
      <w:fldChar w:fldCharType="begin"/>
    </w:r>
    <w:r>
      <w:instrText xml:space="preserve"> PAGE   \* MERGEFORMAT </w:instrText>
    </w:r>
    <w:r>
      <w:fldChar w:fldCharType="separate"/>
    </w:r>
    <w:r w:rsidR="004649BD" w:rsidRPr="004649BD">
      <w:rPr>
        <w:b/>
        <w:noProof/>
      </w:rPr>
      <w:t>7</w:t>
    </w:r>
    <w:r>
      <w:rPr>
        <w:b/>
      </w:rPr>
      <w:fldChar w:fldCharType="end"/>
    </w:r>
    <w:r>
      <w:rPr>
        <w:sz w:val="20"/>
      </w:rPr>
      <w:t xml:space="preserve"> </w:t>
    </w:r>
  </w:p>
  <w:p w14:paraId="594EE6C7" w14:textId="3FD8CF3E" w:rsidR="00F3183C" w:rsidRDefault="00F3183C">
    <w:pPr>
      <w:tabs>
        <w:tab w:val="center" w:pos="13104"/>
        <w:tab w:val="right" w:pos="13957"/>
      </w:tabs>
      <w:spacing w:after="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1EB05" w14:textId="77777777" w:rsidR="00F3183C" w:rsidRDefault="00F3183C">
    <w:pPr>
      <w:tabs>
        <w:tab w:val="center" w:pos="13104"/>
        <w:tab w:val="right" w:pos="13957"/>
      </w:tabs>
      <w:spacing w:after="0" w:line="259" w:lineRule="auto"/>
      <w:ind w:left="0" w:right="0" w:firstLine="0"/>
      <w:jc w:val="left"/>
    </w:pPr>
    <w:r>
      <w:rPr>
        <w:rFonts w:ascii="Calibri" w:eastAsia="Calibri" w:hAnsi="Calibri" w:cs="Calibri"/>
        <w:sz w:val="22"/>
      </w:rPr>
      <w:tab/>
    </w:r>
    <w:r>
      <w:rPr>
        <w:b/>
      </w:rPr>
      <w:t xml:space="preserve">RRF 332.0 - </w:t>
    </w:r>
    <w:r>
      <w:rPr>
        <w:sz w:val="20"/>
      </w:rPr>
      <w:t xml:space="preserve"> </w:t>
    </w:r>
    <w:r>
      <w:rPr>
        <w:sz w:val="20"/>
      </w:rPr>
      <w:tab/>
    </w:r>
    <w:r>
      <w:fldChar w:fldCharType="begin"/>
    </w:r>
    <w:r>
      <w:instrText xml:space="preserve"> PAGE   \* MERGEFORMAT </w:instrText>
    </w:r>
    <w:r>
      <w:fldChar w:fldCharType="separate"/>
    </w:r>
    <w:r w:rsidR="004649BD" w:rsidRPr="004649BD">
      <w:rPr>
        <w:b/>
        <w:noProof/>
      </w:rPr>
      <w:t>3</w:t>
    </w:r>
    <w:r>
      <w:rPr>
        <w:b/>
      </w:rPr>
      <w:fldChar w:fldCharType="end"/>
    </w:r>
    <w:r>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B781E" w14:textId="77777777" w:rsidR="00F3183C" w:rsidRDefault="00F3183C">
      <w:pPr>
        <w:tabs>
          <w:tab w:val="center" w:pos="3129"/>
        </w:tabs>
        <w:spacing w:after="13" w:line="259" w:lineRule="auto"/>
        <w:ind w:left="0" w:right="0" w:firstLine="0"/>
        <w:jc w:val="left"/>
      </w:pPr>
      <w:r>
        <w:separator/>
      </w:r>
    </w:p>
  </w:footnote>
  <w:footnote w:type="continuationSeparator" w:id="0">
    <w:p w14:paraId="607808BF" w14:textId="77777777" w:rsidR="00F3183C" w:rsidRDefault="00F3183C">
      <w:pPr>
        <w:tabs>
          <w:tab w:val="center" w:pos="3129"/>
        </w:tabs>
        <w:spacing w:after="13" w:line="259" w:lineRule="auto"/>
        <w:ind w:left="0" w:right="0" w:firstLine="0"/>
        <w:jc w:val="left"/>
      </w:pPr>
      <w:r>
        <w:continuationSeparator/>
      </w:r>
    </w:p>
  </w:footnote>
  <w:footnote w:id="1">
    <w:p w14:paraId="65AF16B7" w14:textId="77777777" w:rsidR="00F3183C" w:rsidRDefault="00F3183C">
      <w:pPr>
        <w:pStyle w:val="footnotedescription"/>
        <w:tabs>
          <w:tab w:val="center" w:pos="3129"/>
        </w:tabs>
        <w:spacing w:after="13" w:line="259" w:lineRule="auto"/>
        <w:ind w:left="0" w:firstLine="0"/>
      </w:pPr>
      <w:r>
        <w:rPr>
          <w:rStyle w:val="footnotemark"/>
        </w:rPr>
        <w:footnoteRef/>
      </w:r>
      <w:r>
        <w:t xml:space="preserve"> ‘Category’ is defined in paragraph 16 of this reporting standard.   </w:t>
      </w:r>
    </w:p>
  </w:footnote>
  <w:footnote w:id="2">
    <w:p w14:paraId="633DD9AA" w14:textId="77777777" w:rsidR="00F3183C" w:rsidRDefault="00F3183C">
      <w:pPr>
        <w:pStyle w:val="footnotedescription"/>
      </w:pPr>
      <w:r>
        <w:rPr>
          <w:rStyle w:val="footnotemark"/>
        </w:rPr>
        <w:footnoteRef/>
      </w:r>
      <w:r>
        <w:t xml:space="preserve"> An example of how this reporting standard applies in relation to related bodies corporate of the same</w:t>
      </w:r>
    </w:p>
    <w:p w14:paraId="09076943" w14:textId="56D4448B" w:rsidR="00F3183C" w:rsidRDefault="00F3183C">
      <w:pPr>
        <w:pStyle w:val="footnotedescription"/>
      </w:pPr>
      <w:r>
        <w:t xml:space="preserve"> </w:t>
      </w:r>
      <w:proofErr w:type="gramStart"/>
      <w:r>
        <w:t>category</w:t>
      </w:r>
      <w:proofErr w:type="gramEnd"/>
      <w:r>
        <w:t xml:space="preserve"> is set out as a note to paragraph 4. </w:t>
      </w:r>
    </w:p>
  </w:footnote>
  <w:footnote w:id="3">
    <w:p w14:paraId="44038BF1" w14:textId="77777777" w:rsidR="003B30B3" w:rsidRDefault="003B30B3" w:rsidP="003B30B3">
      <w:pPr>
        <w:pStyle w:val="FootnoteText"/>
        <w:tabs>
          <w:tab w:val="left" w:pos="567"/>
        </w:tabs>
        <w:ind w:left="567" w:hanging="567"/>
      </w:pPr>
      <w:r>
        <w:rPr>
          <w:rStyle w:val="FootnoteReference"/>
        </w:rPr>
        <w:footnoteRef/>
      </w:r>
      <w:r>
        <w:t xml:space="preserve"> </w:t>
      </w:r>
      <w:r>
        <w:tab/>
        <w:t>For the purposes of this test, assets are to be valued in accordance with their current market value.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A9D17" w14:textId="77777777" w:rsidR="00F3183C" w:rsidRDefault="00F3183C">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28FFA" w14:textId="77777777" w:rsidR="00F3183C" w:rsidRDefault="00F3183C">
    <w:pPr>
      <w:spacing w:after="0" w:line="259" w:lineRule="auto"/>
      <w:ind w:left="0" w:right="100" w:firstLine="0"/>
      <w:jc w:val="right"/>
    </w:pPr>
    <w:r>
      <w:t xml:space="preserve">July 2006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2A16D" w14:textId="69339DAF" w:rsidR="00F3183C" w:rsidRDefault="00F3183C">
    <w:pPr>
      <w:spacing w:after="0" w:line="259" w:lineRule="auto"/>
      <w:ind w:left="0" w:right="100" w:firstLine="0"/>
      <w:jc w:val="right"/>
    </w:pPr>
    <w:r>
      <w:rPr>
        <w:noProof/>
      </w:rPr>
      <mc:AlternateContent>
        <mc:Choice Requires="wps">
          <w:drawing>
            <wp:anchor distT="0" distB="0" distL="114300" distR="114300" simplePos="0" relativeHeight="251662336" behindDoc="0" locked="1" layoutInCell="1" allowOverlap="1" wp14:anchorId="52316DE8" wp14:editId="4D523459">
              <wp:simplePos x="0" y="0"/>
              <wp:positionH relativeFrom="margin">
                <wp:align>center</wp:align>
              </wp:positionH>
              <wp:positionV relativeFrom="page">
                <wp:posOffset>457200</wp:posOffset>
              </wp:positionV>
              <wp:extent cx="1697990" cy="432435"/>
              <wp:effectExtent l="0" t="0" r="0" b="5715"/>
              <wp:wrapNone/>
              <wp:docPr id="4" name="janusSEAL SC Header_S_4"/>
              <wp:cNvGraphicFramePr/>
              <a:graphic xmlns:a="http://schemas.openxmlformats.org/drawingml/2006/main">
                <a:graphicData uri="http://schemas.microsoft.com/office/word/2010/wordprocessingShape">
                  <wps:wsp>
                    <wps:cNvSpPr txBox="1"/>
                    <wps:spPr>
                      <a:xfrm>
                        <a:off x="0" y="0"/>
                        <a:ext cx="1697990" cy="4324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C82A21" w14:textId="2F4AF6FB" w:rsidR="00F3183C" w:rsidRPr="004649BD" w:rsidRDefault="00F3183C" w:rsidP="004649BD">
                          <w:pPr>
                            <w:ind w:left="0"/>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316DE8" id="_x0000_t202" coordsize="21600,21600" o:spt="202" path="m,l,21600r21600,l21600,xe">
              <v:stroke joinstyle="miter"/>
              <v:path gradientshapeok="t" o:connecttype="rect"/>
            </v:shapetype>
            <v:shape id="janusSEAL SC Header_S_4" o:spid="_x0000_s1029" type="#_x0000_t202" style="position:absolute;left:0;text-align:left;margin-left:0;margin-top:36pt;width:133.7pt;height:34.05pt;z-index:251662336;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" filled="f" stroked="f" strokeweight=".5pt">
              <v:textbox style="mso-fit-shape-to-text:t">
                <w:txbxContent>
                  <w:p w14:paraId="63C82A21" w14:textId="2F4AF6FB" w:rsidR="00F3183C" w:rsidRPr="004649BD" w:rsidRDefault="00F3183C" w:rsidP="004649BD">
                    <w:pPr>
                      <w:ind w:left="0"/>
                      <w:jc w:val="center"/>
                      <w:rPr>
                        <w:rFonts w:ascii="Arial" w:hAnsi="Arial" w:cs="Arial"/>
                        <w:b/>
                        <w:color w:val="FF0000"/>
                      </w:rPr>
                    </w:pPr>
                  </w:p>
                </w:txbxContent>
              </v:textbox>
              <w10:wrap anchorx="margin" anchory="page"/>
              <w10:anchorlock/>
            </v:shape>
          </w:pict>
        </mc:Fallback>
      </mc:AlternateContent>
    </w: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F4021" w14:textId="77777777" w:rsidR="00F3183C" w:rsidRDefault="00F3183C">
    <w:pPr>
      <w:spacing w:after="0" w:line="259" w:lineRule="auto"/>
      <w:ind w:left="0" w:right="100" w:firstLine="0"/>
      <w:jc w:val="right"/>
    </w:pPr>
    <w:r>
      <w:t xml:space="preserve">July 2006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43F51" w14:textId="77777777" w:rsidR="00F3183C" w:rsidRDefault="00F3183C">
    <w:pPr>
      <w:spacing w:after="160" w:line="259" w:lineRule="auto"/>
      <w:ind w:left="0" w:right="0" w:firstLine="0"/>
      <w:jc w:val="left"/>
    </w:pPr>
    <w:r>
      <w:rPr>
        <w:noProof/>
      </w:rPr>
      <mc:AlternateContent>
        <mc:Choice Requires="wps">
          <w:drawing>
            <wp:anchor distT="0" distB="0" distL="114300" distR="114300" simplePos="0" relativeHeight="251659264" behindDoc="0" locked="1" layoutInCell="1" allowOverlap="1" wp14:anchorId="627C0C5E" wp14:editId="4BF36397">
              <wp:simplePos x="0" y="0"/>
              <wp:positionH relativeFrom="margin">
                <wp:align>center</wp:align>
              </wp:positionH>
              <wp:positionV relativeFrom="page">
                <wp:posOffset>457200</wp:posOffset>
              </wp:positionV>
              <wp:extent cx="1697990" cy="432435"/>
              <wp:effectExtent l="0" t="0" r="0" b="5715"/>
              <wp:wrapNone/>
              <wp:docPr id="1" name="janusSEAL SC Header"/>
              <wp:cNvGraphicFramePr/>
              <a:graphic xmlns:a="http://schemas.openxmlformats.org/drawingml/2006/main">
                <a:graphicData uri="http://schemas.microsoft.com/office/word/2010/wordprocessingShape">
                  <wps:wsp>
                    <wps:cNvSpPr txBox="1"/>
                    <wps:spPr>
                      <a:xfrm>
                        <a:off x="0" y="0"/>
                        <a:ext cx="1697990" cy="4324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29E858" w14:textId="077330C0" w:rsidR="00F3183C" w:rsidRPr="004649BD" w:rsidRDefault="00F3183C" w:rsidP="004649BD">
                          <w:pPr>
                            <w:ind w:left="0"/>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7C0C5E" id="_x0000_t202" coordsize="21600,21600" o:spt="202" path="m,l,21600r21600,l21600,xe">
              <v:stroke joinstyle="miter"/>
              <v:path gradientshapeok="t" o:connecttype="rect"/>
            </v:shapetype>
            <v:shape id="janusSEAL SC Header" o:spid="_x0000_s1026" type="#_x0000_t202" style="position:absolute;margin-left:0;margin-top:36pt;width:133.7pt;height:34.05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" filled="f" stroked="f" strokeweight=".5pt">
              <v:textbox style="mso-fit-shape-to-text:t">
                <w:txbxContent>
                  <w:p w14:paraId="3929E858" w14:textId="077330C0" w:rsidR="00F3183C" w:rsidRPr="004649BD" w:rsidRDefault="00F3183C" w:rsidP="004649BD">
                    <w:pPr>
                      <w:ind w:left="0"/>
                      <w:jc w:val="center"/>
                      <w:rPr>
                        <w:rFonts w:ascii="Arial" w:hAnsi="Arial" w:cs="Arial"/>
                        <w:b/>
                        <w:color w:val="FF0000"/>
                      </w:rPr>
                    </w:pPr>
                  </w:p>
                </w:txbxContent>
              </v:textbox>
              <w10:wrap anchorx="margin"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985C0" w14:textId="77777777" w:rsidR="00F3183C" w:rsidRDefault="00F3183C">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ED8F2" w14:textId="77777777" w:rsidR="00F3183C" w:rsidRDefault="00F3183C">
    <w:pPr>
      <w:spacing w:after="0" w:line="259" w:lineRule="auto"/>
      <w:ind w:left="0" w:right="6" w:firstLine="0"/>
      <w:jc w:val="right"/>
    </w:pPr>
    <w:r>
      <w:t xml:space="preserve">July 2006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DCB12" w14:textId="42E664EB" w:rsidR="00F3183C" w:rsidRDefault="00F3183C">
    <w:pPr>
      <w:spacing w:after="0" w:line="259" w:lineRule="auto"/>
      <w:ind w:left="0" w:right="6" w:firstLine="0"/>
      <w:jc w:val="right"/>
    </w:pPr>
    <w:r>
      <w:rPr>
        <w:noProof/>
      </w:rPr>
      <mc:AlternateContent>
        <mc:Choice Requires="wps">
          <w:drawing>
            <wp:anchor distT="0" distB="0" distL="114300" distR="114300" simplePos="0" relativeHeight="251660288" behindDoc="0" locked="1" layoutInCell="1" allowOverlap="1" wp14:anchorId="534071D8" wp14:editId="6A5C4B13">
              <wp:simplePos x="0" y="0"/>
              <wp:positionH relativeFrom="margin">
                <wp:align>center</wp:align>
              </wp:positionH>
              <wp:positionV relativeFrom="page">
                <wp:posOffset>457200</wp:posOffset>
              </wp:positionV>
              <wp:extent cx="1697990" cy="432435"/>
              <wp:effectExtent l="0" t="0" r="0" b="5715"/>
              <wp:wrapNone/>
              <wp:docPr id="2" name="janusSEAL SC Header_S_2"/>
              <wp:cNvGraphicFramePr/>
              <a:graphic xmlns:a="http://schemas.openxmlformats.org/drawingml/2006/main">
                <a:graphicData uri="http://schemas.microsoft.com/office/word/2010/wordprocessingShape">
                  <wps:wsp>
                    <wps:cNvSpPr txBox="1"/>
                    <wps:spPr>
                      <a:xfrm>
                        <a:off x="0" y="0"/>
                        <a:ext cx="1697990" cy="4324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9C4A14" w14:textId="6921E627" w:rsidR="00F3183C" w:rsidRPr="004649BD" w:rsidRDefault="00F3183C" w:rsidP="004649BD">
                          <w:pPr>
                            <w:ind w:left="0"/>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4071D8" id="_x0000_t202" coordsize="21600,21600" o:spt="202" path="m,l,21600r21600,l21600,xe">
              <v:stroke joinstyle="miter"/>
              <v:path gradientshapeok="t" o:connecttype="rect"/>
            </v:shapetype>
            <v:shape id="janusSEAL SC Header_S_2" o:spid="_x0000_s1027" type="#_x0000_t202" style="position:absolute;left:0;text-align:left;margin-left:0;margin-top:36pt;width:133.7pt;height:34.05pt;z-index:251660288;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" filled="f" stroked="f" strokeweight=".5pt">
              <v:textbox style="mso-fit-shape-to-text:t">
                <w:txbxContent>
                  <w:p w14:paraId="3A9C4A14" w14:textId="6921E627" w:rsidR="00F3183C" w:rsidRPr="004649BD" w:rsidRDefault="00F3183C" w:rsidP="004649BD">
                    <w:pPr>
                      <w:ind w:left="0"/>
                      <w:jc w:val="center"/>
                      <w:rPr>
                        <w:rFonts w:ascii="Arial" w:hAnsi="Arial" w:cs="Arial"/>
                        <w:b/>
                        <w:color w:val="FF0000"/>
                      </w:rPr>
                    </w:pPr>
                  </w:p>
                </w:txbxContent>
              </v:textbox>
              <w10:wrap anchorx="margin" anchory="page"/>
              <w10:anchorlock/>
            </v:shape>
          </w:pict>
        </mc:Fallback>
      </mc:AlternateConten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D2AC1" w14:textId="77777777" w:rsidR="00F3183C" w:rsidRDefault="00F3183C">
    <w:pPr>
      <w:spacing w:after="0" w:line="259" w:lineRule="auto"/>
      <w:ind w:left="0" w:right="6" w:firstLine="0"/>
      <w:jc w:val="right"/>
    </w:pPr>
    <w:r>
      <w:t xml:space="preserve">July 2006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50D6" w14:textId="77777777" w:rsidR="00F3183C" w:rsidRDefault="00F3183C">
    <w:pPr>
      <w:spacing w:after="0" w:line="259" w:lineRule="auto"/>
      <w:ind w:left="0" w:right="57" w:firstLine="0"/>
      <w:jc w:val="right"/>
    </w:pPr>
    <w:r>
      <w:t xml:space="preserve">July 2006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70821" w14:textId="55C45D14" w:rsidR="00F3183C" w:rsidRDefault="00F3183C">
    <w:pPr>
      <w:spacing w:after="0" w:line="259" w:lineRule="auto"/>
      <w:ind w:left="0" w:right="57" w:firstLine="0"/>
      <w:jc w:val="right"/>
    </w:pPr>
    <w:r>
      <w:rPr>
        <w:noProof/>
      </w:rPr>
      <mc:AlternateContent>
        <mc:Choice Requires="wps">
          <w:drawing>
            <wp:anchor distT="0" distB="0" distL="114300" distR="114300" simplePos="0" relativeHeight="251661312" behindDoc="0" locked="1" layoutInCell="1" allowOverlap="1" wp14:anchorId="71B90F69" wp14:editId="6391247B">
              <wp:simplePos x="0" y="0"/>
              <wp:positionH relativeFrom="margin">
                <wp:align>center</wp:align>
              </wp:positionH>
              <wp:positionV relativeFrom="page">
                <wp:posOffset>457200</wp:posOffset>
              </wp:positionV>
              <wp:extent cx="1697990" cy="432435"/>
              <wp:effectExtent l="0" t="0" r="0" b="5715"/>
              <wp:wrapNone/>
              <wp:docPr id="3" name="janusSEAL SC Header_S_3"/>
              <wp:cNvGraphicFramePr/>
              <a:graphic xmlns:a="http://schemas.openxmlformats.org/drawingml/2006/main">
                <a:graphicData uri="http://schemas.microsoft.com/office/word/2010/wordprocessingShape">
                  <wps:wsp>
                    <wps:cNvSpPr txBox="1"/>
                    <wps:spPr>
                      <a:xfrm>
                        <a:off x="0" y="0"/>
                        <a:ext cx="1697990" cy="4324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3582E8" w14:textId="60B2A373" w:rsidR="00F3183C" w:rsidRPr="004649BD" w:rsidRDefault="00F3183C" w:rsidP="004649BD">
                          <w:pPr>
                            <w:ind w:left="0"/>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B90F69" id="_x0000_t202" coordsize="21600,21600" o:spt="202" path="m,l,21600r21600,l21600,xe">
              <v:stroke joinstyle="miter"/>
              <v:path gradientshapeok="t" o:connecttype="rect"/>
            </v:shapetype>
            <v:shape id="janusSEAL SC Header_S_3" o:spid="_x0000_s1028" type="#_x0000_t202" style="position:absolute;left:0;text-align:left;margin-left:0;margin-top:36pt;width:133.7pt;height:34.05pt;z-index:251661312;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" filled="f" stroked="f" strokeweight=".5pt">
              <v:textbox style="mso-fit-shape-to-text:t">
                <w:txbxContent>
                  <w:p w14:paraId="683582E8" w14:textId="60B2A373" w:rsidR="00F3183C" w:rsidRPr="004649BD" w:rsidRDefault="00F3183C" w:rsidP="004649BD">
                    <w:pPr>
                      <w:ind w:left="0"/>
                      <w:jc w:val="center"/>
                      <w:rPr>
                        <w:rFonts w:ascii="Arial" w:hAnsi="Arial" w:cs="Arial"/>
                        <w:b/>
                        <w:color w:val="FF0000"/>
                      </w:rPr>
                    </w:pPr>
                  </w:p>
                </w:txbxContent>
              </v:textbox>
              <w10:wrap anchorx="margin" anchory="page"/>
              <w10:anchorlock/>
            </v:shape>
          </w:pict>
        </mc:Fallback>
      </mc:AlternateConten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CFE18" w14:textId="77777777" w:rsidR="00F3183C" w:rsidRDefault="00F3183C">
    <w:pPr>
      <w:spacing w:after="0" w:line="259" w:lineRule="auto"/>
      <w:ind w:left="0" w:right="57" w:firstLine="0"/>
      <w:jc w:val="right"/>
    </w:pPr>
    <w:r>
      <w:t xml:space="preserve">July 2006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1229"/>
    <w:multiLevelType w:val="hybridMultilevel"/>
    <w:tmpl w:val="DE2840FA"/>
    <w:lvl w:ilvl="0" w:tplc="4CBE8802">
      <w:start w:val="10"/>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05196">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A18BA">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EF98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AFF60">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AA16F8">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A65BA">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00A5E">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121FD0">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04254"/>
    <w:multiLevelType w:val="hybridMultilevel"/>
    <w:tmpl w:val="954AB73C"/>
    <w:lvl w:ilvl="0" w:tplc="1DDA8210">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E4AE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7E18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EC94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BE90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8CC1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6435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CD4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D07D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074E47"/>
    <w:multiLevelType w:val="hybridMultilevel"/>
    <w:tmpl w:val="7522322C"/>
    <w:lvl w:ilvl="0" w:tplc="249CB8EA">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3CE4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7065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9CBDE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E013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4AA5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1C91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655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3488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4151EA"/>
    <w:multiLevelType w:val="singleLevel"/>
    <w:tmpl w:val="573C2438"/>
    <w:lvl w:ilvl="0">
      <w:start w:val="1"/>
      <w:numFmt w:val="lowerLetter"/>
      <w:lvlText w:val="(%1)"/>
      <w:lvlJc w:val="left"/>
      <w:pPr>
        <w:tabs>
          <w:tab w:val="num" w:pos="1134"/>
        </w:tabs>
        <w:ind w:left="1134" w:hanging="567"/>
      </w:pPr>
      <w:rPr>
        <w:rFonts w:hint="default"/>
      </w:rPr>
    </w:lvl>
  </w:abstractNum>
  <w:abstractNum w:abstractNumId="4" w15:restartNumberingAfterBreak="0">
    <w:nsid w:val="131E17FA"/>
    <w:multiLevelType w:val="hybridMultilevel"/>
    <w:tmpl w:val="EBAA8902"/>
    <w:lvl w:ilvl="0" w:tplc="5316C55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48522A"/>
    <w:multiLevelType w:val="hybridMultilevel"/>
    <w:tmpl w:val="B98A69E8"/>
    <w:lvl w:ilvl="0" w:tplc="50D0C7D4">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6AB1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298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FA9F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2869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7CFD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1E9A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AE06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66BA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633B63"/>
    <w:multiLevelType w:val="hybridMultilevel"/>
    <w:tmpl w:val="0A2460D4"/>
    <w:lvl w:ilvl="0" w:tplc="295052A2">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F2BA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7033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08FC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2C8F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680A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6A72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0C1C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02FB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7A634B"/>
    <w:multiLevelType w:val="singleLevel"/>
    <w:tmpl w:val="F6687C46"/>
    <w:lvl w:ilvl="0">
      <w:start w:val="1"/>
      <w:numFmt w:val="decimal"/>
      <w:lvlText w:val="%1."/>
      <w:lvlJc w:val="left"/>
      <w:pPr>
        <w:tabs>
          <w:tab w:val="num" w:pos="567"/>
        </w:tabs>
        <w:ind w:left="567" w:hanging="567"/>
      </w:pPr>
      <w:rPr>
        <w:rFonts w:hint="default"/>
      </w:rPr>
    </w:lvl>
  </w:abstractNum>
  <w:abstractNum w:abstractNumId="8"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4435790"/>
    <w:multiLevelType w:val="hybridMultilevel"/>
    <w:tmpl w:val="F1E2F216"/>
    <w:lvl w:ilvl="0" w:tplc="CDEA1142">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20DB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1A96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288A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181E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4425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D684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222C7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2426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A023D7"/>
    <w:multiLevelType w:val="hybridMultilevel"/>
    <w:tmpl w:val="594E9998"/>
    <w:lvl w:ilvl="0" w:tplc="207A453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C4A42"/>
    <w:multiLevelType w:val="hybridMultilevel"/>
    <w:tmpl w:val="02001828"/>
    <w:lvl w:ilvl="0" w:tplc="17FC8B16">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87E4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A8DB9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A566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6288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38ABC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EA1E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0EBA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412F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E66692"/>
    <w:multiLevelType w:val="hybridMultilevel"/>
    <w:tmpl w:val="6E5AFB02"/>
    <w:lvl w:ilvl="0" w:tplc="3DDEEBC4">
      <w:start w:val="5"/>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08E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008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C28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2A1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480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ABF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C38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C7E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98257C"/>
    <w:multiLevelType w:val="hybridMultilevel"/>
    <w:tmpl w:val="686EB770"/>
    <w:lvl w:ilvl="0" w:tplc="5316C55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C876E63"/>
    <w:multiLevelType w:val="hybridMultilevel"/>
    <w:tmpl w:val="156299C6"/>
    <w:lvl w:ilvl="0" w:tplc="2EC251E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1926052"/>
    <w:multiLevelType w:val="hybridMultilevel"/>
    <w:tmpl w:val="E4CA97E8"/>
    <w:lvl w:ilvl="0" w:tplc="42CCFF9E">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06E7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7C41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C8D6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88BC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5206E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7625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DE3D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9A99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3435B31"/>
    <w:multiLevelType w:val="hybridMultilevel"/>
    <w:tmpl w:val="4EAED146"/>
    <w:lvl w:ilvl="0" w:tplc="F5D22888">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24B54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227E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04B9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48C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6E87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12EC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E6D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783C5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9A066F"/>
    <w:multiLevelType w:val="hybridMultilevel"/>
    <w:tmpl w:val="06DA5562"/>
    <w:lvl w:ilvl="0" w:tplc="23609308">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D469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A68E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8AA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E4F7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66BF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FA8C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C1A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444A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353AA5"/>
    <w:multiLevelType w:val="hybridMultilevel"/>
    <w:tmpl w:val="0CAA37B0"/>
    <w:lvl w:ilvl="0" w:tplc="EE5AA016">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4A39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6098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A0CB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E062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D82F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E069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8ACA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3A1D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3D2E2D"/>
    <w:multiLevelType w:val="hybridMultilevel"/>
    <w:tmpl w:val="4B60FD10"/>
    <w:lvl w:ilvl="0" w:tplc="14B26654">
      <w:start w:val="3"/>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C56E6">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01ED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A4CE0">
      <w:start w:val="1"/>
      <w:numFmt w:val="decimal"/>
      <w:lvlText w:val="%4"/>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A2F60">
      <w:start w:val="1"/>
      <w:numFmt w:val="lowerLetter"/>
      <w:lvlText w:val="%5"/>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014DA">
      <w:start w:val="1"/>
      <w:numFmt w:val="lowerRoman"/>
      <w:lvlText w:val="%6"/>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01088">
      <w:start w:val="1"/>
      <w:numFmt w:val="decimal"/>
      <w:lvlText w:val="%7"/>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6CE642">
      <w:start w:val="1"/>
      <w:numFmt w:val="lowerLetter"/>
      <w:lvlText w:val="%8"/>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A055E">
      <w:start w:val="1"/>
      <w:numFmt w:val="lowerRoman"/>
      <w:lvlText w:val="%9"/>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A976703"/>
    <w:multiLevelType w:val="hybridMultilevel"/>
    <w:tmpl w:val="374A98CC"/>
    <w:lvl w:ilvl="0" w:tplc="362A4228">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90270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AE13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CCB1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4BD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C4F7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02AB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F8AB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28D8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E103B96"/>
    <w:multiLevelType w:val="hybridMultilevel"/>
    <w:tmpl w:val="76A4F582"/>
    <w:lvl w:ilvl="0" w:tplc="5316C55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9A458DC"/>
    <w:multiLevelType w:val="hybridMultilevel"/>
    <w:tmpl w:val="522A96D6"/>
    <w:lvl w:ilvl="0" w:tplc="207A453A">
      <w:start w:val="1"/>
      <w:numFmt w:val="bullet"/>
      <w:lvlText w:val=""/>
      <w:lvlJc w:val="left"/>
      <w:pPr>
        <w:tabs>
          <w:tab w:val="num" w:pos="567"/>
        </w:tabs>
        <w:ind w:left="567" w:hanging="567"/>
      </w:pPr>
      <w:rPr>
        <w:rFonts w:ascii="Symbol" w:hAnsi="Symbol" w:hint="default"/>
      </w:rPr>
    </w:lvl>
    <w:lvl w:ilvl="1" w:tplc="FF308D38" w:tentative="1">
      <w:start w:val="1"/>
      <w:numFmt w:val="bullet"/>
      <w:lvlText w:val="o"/>
      <w:lvlJc w:val="left"/>
      <w:pPr>
        <w:tabs>
          <w:tab w:val="num" w:pos="1440"/>
        </w:tabs>
        <w:ind w:left="1440" w:hanging="360"/>
      </w:pPr>
      <w:rPr>
        <w:rFonts w:ascii="Courier New" w:hAnsi="Courier New" w:hint="default"/>
      </w:rPr>
    </w:lvl>
    <w:lvl w:ilvl="2" w:tplc="10E6A48C" w:tentative="1">
      <w:start w:val="1"/>
      <w:numFmt w:val="bullet"/>
      <w:lvlText w:val=""/>
      <w:lvlJc w:val="left"/>
      <w:pPr>
        <w:tabs>
          <w:tab w:val="num" w:pos="2160"/>
        </w:tabs>
        <w:ind w:left="2160" w:hanging="360"/>
      </w:pPr>
      <w:rPr>
        <w:rFonts w:ascii="Wingdings" w:hAnsi="Wingdings" w:hint="default"/>
      </w:rPr>
    </w:lvl>
    <w:lvl w:ilvl="3" w:tplc="3C8A0042" w:tentative="1">
      <w:start w:val="1"/>
      <w:numFmt w:val="bullet"/>
      <w:lvlText w:val=""/>
      <w:lvlJc w:val="left"/>
      <w:pPr>
        <w:tabs>
          <w:tab w:val="num" w:pos="2880"/>
        </w:tabs>
        <w:ind w:left="2880" w:hanging="360"/>
      </w:pPr>
      <w:rPr>
        <w:rFonts w:ascii="Symbol" w:hAnsi="Symbol" w:hint="default"/>
      </w:rPr>
    </w:lvl>
    <w:lvl w:ilvl="4" w:tplc="65222066" w:tentative="1">
      <w:start w:val="1"/>
      <w:numFmt w:val="bullet"/>
      <w:lvlText w:val="o"/>
      <w:lvlJc w:val="left"/>
      <w:pPr>
        <w:tabs>
          <w:tab w:val="num" w:pos="3600"/>
        </w:tabs>
        <w:ind w:left="3600" w:hanging="360"/>
      </w:pPr>
      <w:rPr>
        <w:rFonts w:ascii="Courier New" w:hAnsi="Courier New" w:hint="default"/>
      </w:rPr>
    </w:lvl>
    <w:lvl w:ilvl="5" w:tplc="312A6A7C" w:tentative="1">
      <w:start w:val="1"/>
      <w:numFmt w:val="bullet"/>
      <w:lvlText w:val=""/>
      <w:lvlJc w:val="left"/>
      <w:pPr>
        <w:tabs>
          <w:tab w:val="num" w:pos="4320"/>
        </w:tabs>
        <w:ind w:left="4320" w:hanging="360"/>
      </w:pPr>
      <w:rPr>
        <w:rFonts w:ascii="Wingdings" w:hAnsi="Wingdings" w:hint="default"/>
      </w:rPr>
    </w:lvl>
    <w:lvl w:ilvl="6" w:tplc="B1B620DE" w:tentative="1">
      <w:start w:val="1"/>
      <w:numFmt w:val="bullet"/>
      <w:lvlText w:val=""/>
      <w:lvlJc w:val="left"/>
      <w:pPr>
        <w:tabs>
          <w:tab w:val="num" w:pos="5040"/>
        </w:tabs>
        <w:ind w:left="5040" w:hanging="360"/>
      </w:pPr>
      <w:rPr>
        <w:rFonts w:ascii="Symbol" w:hAnsi="Symbol" w:hint="default"/>
      </w:rPr>
    </w:lvl>
    <w:lvl w:ilvl="7" w:tplc="24AE8944" w:tentative="1">
      <w:start w:val="1"/>
      <w:numFmt w:val="bullet"/>
      <w:lvlText w:val="o"/>
      <w:lvlJc w:val="left"/>
      <w:pPr>
        <w:tabs>
          <w:tab w:val="num" w:pos="5760"/>
        </w:tabs>
        <w:ind w:left="5760" w:hanging="360"/>
      </w:pPr>
      <w:rPr>
        <w:rFonts w:ascii="Courier New" w:hAnsi="Courier New" w:hint="default"/>
      </w:rPr>
    </w:lvl>
    <w:lvl w:ilvl="8" w:tplc="82CC552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F3E7F"/>
    <w:multiLevelType w:val="hybridMultilevel"/>
    <w:tmpl w:val="933E2150"/>
    <w:lvl w:ilvl="0" w:tplc="56989B20">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D831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2EA8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64E6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8E82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7A66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6E8C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25E0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784B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28134A"/>
    <w:multiLevelType w:val="hybridMultilevel"/>
    <w:tmpl w:val="57E0833C"/>
    <w:lvl w:ilvl="0" w:tplc="0706B3B2">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1263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5C8C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ECDE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5414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283E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88B0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98E41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8205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701018"/>
    <w:multiLevelType w:val="hybridMultilevel"/>
    <w:tmpl w:val="1BFA99AC"/>
    <w:lvl w:ilvl="0" w:tplc="E71A8134">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A611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06B3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14EE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5444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EA6F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703F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EEF4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88FB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020B03"/>
    <w:multiLevelType w:val="hybridMultilevel"/>
    <w:tmpl w:val="6158F4CC"/>
    <w:lvl w:ilvl="0" w:tplc="FBBCE77C">
      <w:start w:val="1"/>
      <w:numFmt w:val="lowerLetter"/>
      <w:lvlText w:val="(%1)"/>
      <w:lvlJc w:val="left"/>
      <w:pPr>
        <w:ind w:left="1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76D3DA">
      <w:start w:val="1"/>
      <w:numFmt w:val="lowerLetter"/>
      <w:lvlText w:val="%2"/>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B4B5A6">
      <w:start w:val="1"/>
      <w:numFmt w:val="lowerRoman"/>
      <w:lvlText w:val="%3"/>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9A4A1A">
      <w:start w:val="1"/>
      <w:numFmt w:val="decimal"/>
      <w:lvlText w:val="%4"/>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AEB946">
      <w:start w:val="1"/>
      <w:numFmt w:val="lowerLetter"/>
      <w:lvlText w:val="%5"/>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EA7584">
      <w:start w:val="1"/>
      <w:numFmt w:val="lowerRoman"/>
      <w:lvlText w:val="%6"/>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4AF072">
      <w:start w:val="1"/>
      <w:numFmt w:val="decimal"/>
      <w:lvlText w:val="%7"/>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18F9A4">
      <w:start w:val="1"/>
      <w:numFmt w:val="lowerLetter"/>
      <w:lvlText w:val="%8"/>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BC4CC4">
      <w:start w:val="1"/>
      <w:numFmt w:val="lowerRoman"/>
      <w:lvlText w:val="%9"/>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4A4A39"/>
    <w:multiLevelType w:val="hybridMultilevel"/>
    <w:tmpl w:val="C7C8DC0C"/>
    <w:lvl w:ilvl="0" w:tplc="FFFAD882">
      <w:start w:val="1"/>
      <w:numFmt w:val="lowerLetter"/>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EAFD26">
      <w:start w:val="1"/>
      <w:numFmt w:val="bullet"/>
      <w:lvlText w:val="o"/>
      <w:lvlJc w:val="left"/>
      <w:pPr>
        <w:ind w:left="1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EA068C">
      <w:start w:val="1"/>
      <w:numFmt w:val="bullet"/>
      <w:lvlText w:val="▪"/>
      <w:lvlJc w:val="left"/>
      <w:pPr>
        <w:ind w:left="1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AA762A">
      <w:start w:val="1"/>
      <w:numFmt w:val="bullet"/>
      <w:lvlText w:val="•"/>
      <w:lvlJc w:val="left"/>
      <w:pPr>
        <w:ind w:left="2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1CA19A">
      <w:start w:val="1"/>
      <w:numFmt w:val="bullet"/>
      <w:lvlText w:val="o"/>
      <w:lvlJc w:val="left"/>
      <w:pPr>
        <w:ind w:left="3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D6F3FA">
      <w:start w:val="1"/>
      <w:numFmt w:val="bullet"/>
      <w:lvlText w:val="▪"/>
      <w:lvlJc w:val="left"/>
      <w:pPr>
        <w:ind w:left="4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F28344">
      <w:start w:val="1"/>
      <w:numFmt w:val="bullet"/>
      <w:lvlText w:val="•"/>
      <w:lvlJc w:val="left"/>
      <w:pPr>
        <w:ind w:left="4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0C27D0">
      <w:start w:val="1"/>
      <w:numFmt w:val="bullet"/>
      <w:lvlText w:val="o"/>
      <w:lvlJc w:val="left"/>
      <w:pPr>
        <w:ind w:left="5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0297F0">
      <w:start w:val="1"/>
      <w:numFmt w:val="bullet"/>
      <w:lvlText w:val="▪"/>
      <w:lvlJc w:val="left"/>
      <w:pPr>
        <w:ind w:left="6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DCA6A9E"/>
    <w:multiLevelType w:val="hybridMultilevel"/>
    <w:tmpl w:val="1F289016"/>
    <w:lvl w:ilvl="0" w:tplc="31E2FB7C">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C457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3EE6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F6D4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C2C7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9663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B61E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1446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D0A1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FD24590"/>
    <w:multiLevelType w:val="singleLevel"/>
    <w:tmpl w:val="5E6CE828"/>
    <w:lvl w:ilvl="0">
      <w:start w:val="1"/>
      <w:numFmt w:val="lowerRoman"/>
      <w:lvlText w:val="(%1)"/>
      <w:lvlJc w:val="left"/>
      <w:pPr>
        <w:tabs>
          <w:tab w:val="num" w:pos="1701"/>
        </w:tabs>
        <w:ind w:left="1701" w:hanging="567"/>
      </w:pPr>
      <w:rPr>
        <w:rFonts w:hint="default"/>
      </w:rPr>
    </w:lvl>
  </w:abstractNum>
  <w:abstractNum w:abstractNumId="30" w15:restartNumberingAfterBreak="0">
    <w:nsid w:val="69912608"/>
    <w:multiLevelType w:val="hybridMultilevel"/>
    <w:tmpl w:val="506A5C96"/>
    <w:lvl w:ilvl="0" w:tplc="83F25D0A">
      <w:start w:val="13"/>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245F8">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6A0848">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04D3E">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65F0A">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0B13C">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CC94E0">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21A1C">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A6BC4">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19323B"/>
    <w:multiLevelType w:val="hybridMultilevel"/>
    <w:tmpl w:val="786660E8"/>
    <w:lvl w:ilvl="0" w:tplc="2E9A2260">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08F5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4414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347E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DC8C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2269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2826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C61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BEE2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A5FB2"/>
    <w:multiLevelType w:val="hybridMultilevel"/>
    <w:tmpl w:val="CFC40BAC"/>
    <w:lvl w:ilvl="0" w:tplc="0284F74A">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5A2D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FEFD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E214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6CD5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3C36C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D6BA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9B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E8DD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92D77F5"/>
    <w:multiLevelType w:val="hybridMultilevel"/>
    <w:tmpl w:val="76CCD922"/>
    <w:lvl w:ilvl="0" w:tplc="AA66B744">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24B1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1099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0CA4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1436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A2508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85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96F1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9E91C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320E69"/>
    <w:multiLevelType w:val="hybridMultilevel"/>
    <w:tmpl w:val="2F6A599E"/>
    <w:lvl w:ilvl="0" w:tplc="8AA45F06">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C048D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ECCA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C51D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4AB21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292E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03B72">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A4E0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65B2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19"/>
  </w:num>
  <w:num w:numId="3">
    <w:abstractNumId w:val="12"/>
  </w:num>
  <w:num w:numId="4">
    <w:abstractNumId w:val="11"/>
  </w:num>
  <w:num w:numId="5">
    <w:abstractNumId w:val="0"/>
  </w:num>
  <w:num w:numId="6">
    <w:abstractNumId w:val="30"/>
  </w:num>
  <w:num w:numId="7">
    <w:abstractNumId w:val="26"/>
  </w:num>
  <w:num w:numId="8">
    <w:abstractNumId w:val="17"/>
  </w:num>
  <w:num w:numId="9">
    <w:abstractNumId w:val="2"/>
  </w:num>
  <w:num w:numId="10">
    <w:abstractNumId w:val="18"/>
  </w:num>
  <w:num w:numId="11">
    <w:abstractNumId w:val="24"/>
  </w:num>
  <w:num w:numId="12">
    <w:abstractNumId w:val="20"/>
  </w:num>
  <w:num w:numId="13">
    <w:abstractNumId w:val="32"/>
  </w:num>
  <w:num w:numId="14">
    <w:abstractNumId w:val="33"/>
  </w:num>
  <w:num w:numId="15">
    <w:abstractNumId w:val="23"/>
  </w:num>
  <w:num w:numId="16">
    <w:abstractNumId w:val="31"/>
  </w:num>
  <w:num w:numId="17">
    <w:abstractNumId w:val="25"/>
  </w:num>
  <w:num w:numId="18">
    <w:abstractNumId w:val="5"/>
  </w:num>
  <w:num w:numId="19">
    <w:abstractNumId w:val="16"/>
  </w:num>
  <w:num w:numId="20">
    <w:abstractNumId w:val="6"/>
  </w:num>
  <w:num w:numId="21">
    <w:abstractNumId w:val="28"/>
  </w:num>
  <w:num w:numId="22">
    <w:abstractNumId w:val="15"/>
  </w:num>
  <w:num w:numId="23">
    <w:abstractNumId w:val="1"/>
  </w:num>
  <w:num w:numId="24">
    <w:abstractNumId w:val="9"/>
  </w:num>
  <w:num w:numId="25">
    <w:abstractNumId w:val="34"/>
  </w:num>
  <w:num w:numId="26">
    <w:abstractNumId w:val="7"/>
  </w:num>
  <w:num w:numId="27">
    <w:abstractNumId w:val="3"/>
  </w:num>
  <w:num w:numId="28">
    <w:abstractNumId w:val="29"/>
  </w:num>
  <w:num w:numId="29">
    <w:abstractNumId w:val="13"/>
  </w:num>
  <w:num w:numId="30">
    <w:abstractNumId w:val="4"/>
  </w:num>
  <w:num w:numId="31">
    <w:abstractNumId w:val="14"/>
  </w:num>
  <w:num w:numId="32">
    <w:abstractNumId w:val="21"/>
  </w:num>
  <w:num w:numId="33">
    <w:abstractNumId w:val="8"/>
  </w:num>
  <w:num w:numId="34">
    <w:abstractNumId w:val="2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0A"/>
    <w:rsid w:val="000119D1"/>
    <w:rsid w:val="000468C5"/>
    <w:rsid w:val="00211A57"/>
    <w:rsid w:val="0034406D"/>
    <w:rsid w:val="003B30B3"/>
    <w:rsid w:val="003E13D6"/>
    <w:rsid w:val="004649BD"/>
    <w:rsid w:val="00482171"/>
    <w:rsid w:val="005027DA"/>
    <w:rsid w:val="00505653"/>
    <w:rsid w:val="00512C0A"/>
    <w:rsid w:val="005C25F4"/>
    <w:rsid w:val="005E2768"/>
    <w:rsid w:val="006550D8"/>
    <w:rsid w:val="0081415C"/>
    <w:rsid w:val="00845E29"/>
    <w:rsid w:val="00886B0C"/>
    <w:rsid w:val="008E4FE5"/>
    <w:rsid w:val="00960714"/>
    <w:rsid w:val="00A7472E"/>
    <w:rsid w:val="00B4413A"/>
    <w:rsid w:val="00B45886"/>
    <w:rsid w:val="00B905ED"/>
    <w:rsid w:val="00B967FB"/>
    <w:rsid w:val="00BA0455"/>
    <w:rsid w:val="00BF79CF"/>
    <w:rsid w:val="00C80059"/>
    <w:rsid w:val="00CC094F"/>
    <w:rsid w:val="00CF0DD5"/>
    <w:rsid w:val="00CF115D"/>
    <w:rsid w:val="00D60450"/>
    <w:rsid w:val="00D7393A"/>
    <w:rsid w:val="00DB5ED6"/>
    <w:rsid w:val="00E12826"/>
    <w:rsid w:val="00E36401"/>
    <w:rsid w:val="00E4706A"/>
    <w:rsid w:val="00F3183C"/>
    <w:rsid w:val="00F74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4817"/>
    <o:shapelayout v:ext="edit">
      <o:idmap v:ext="edit" data="1"/>
    </o:shapelayout>
  </w:shapeDefaults>
  <w:decimalSymbol w:val="."/>
  <w:listSeparator w:val=","/>
  <w14:docId w14:val="7DFED7ED"/>
  <w15:docId w15:val="{AA57B2E3-C4DE-4B0D-B8CB-52A7255E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1" w:line="249"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67" w:line="249" w:lineRule="auto"/>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2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paragraph" w:customStyle="1" w:styleId="footnotedescription">
    <w:name w:val="footnote description"/>
    <w:next w:val="Normal"/>
    <w:link w:val="footnotedescriptionChar"/>
    <w:hidden/>
    <w:pPr>
      <w:spacing w:after="0" w:line="268" w:lineRule="auto"/>
      <w:ind w:left="568" w:hanging="56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12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26"/>
    <w:rPr>
      <w:rFonts w:ascii="Segoe UI" w:eastAsia="Times New Roman" w:hAnsi="Segoe UI" w:cs="Segoe UI"/>
      <w:color w:val="000000"/>
      <w:sz w:val="18"/>
      <w:szCs w:val="18"/>
    </w:rPr>
  </w:style>
  <w:style w:type="character" w:styleId="CommentReference">
    <w:name w:val="annotation reference"/>
    <w:basedOn w:val="DefaultParagraphFont"/>
    <w:semiHidden/>
    <w:unhideWhenUsed/>
    <w:rsid w:val="00E12826"/>
    <w:rPr>
      <w:sz w:val="16"/>
      <w:szCs w:val="16"/>
    </w:rPr>
  </w:style>
  <w:style w:type="paragraph" w:styleId="CommentText">
    <w:name w:val="annotation text"/>
    <w:basedOn w:val="Normal"/>
    <w:link w:val="CommentTextChar"/>
    <w:semiHidden/>
    <w:unhideWhenUsed/>
    <w:rsid w:val="00E12826"/>
    <w:pPr>
      <w:spacing w:line="240" w:lineRule="auto"/>
    </w:pPr>
    <w:rPr>
      <w:sz w:val="20"/>
      <w:szCs w:val="20"/>
    </w:rPr>
  </w:style>
  <w:style w:type="character" w:customStyle="1" w:styleId="CommentTextChar">
    <w:name w:val="Comment Text Char"/>
    <w:basedOn w:val="DefaultParagraphFont"/>
    <w:link w:val="CommentText"/>
    <w:semiHidden/>
    <w:rsid w:val="00E1282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12826"/>
    <w:rPr>
      <w:b/>
      <w:bCs/>
    </w:rPr>
  </w:style>
  <w:style w:type="character" w:customStyle="1" w:styleId="CommentSubjectChar">
    <w:name w:val="Comment Subject Char"/>
    <w:basedOn w:val="CommentTextChar"/>
    <w:link w:val="CommentSubject"/>
    <w:uiPriority w:val="99"/>
    <w:semiHidden/>
    <w:rsid w:val="00E12826"/>
    <w:rPr>
      <w:rFonts w:ascii="Times New Roman" w:eastAsia="Times New Roman" w:hAnsi="Times New Roman" w:cs="Times New Roman"/>
      <w:b/>
      <w:bCs/>
      <w:color w:val="000000"/>
      <w:sz w:val="20"/>
      <w:szCs w:val="20"/>
    </w:rPr>
  </w:style>
  <w:style w:type="paragraph" w:customStyle="1" w:styleId="ActTitle">
    <w:name w:val="Act Title"/>
    <w:basedOn w:val="Normal"/>
    <w:next w:val="IntroTo"/>
    <w:rsid w:val="00C80059"/>
    <w:pPr>
      <w:pBdr>
        <w:bottom w:val="single" w:sz="4" w:space="3" w:color="auto"/>
      </w:pBdr>
      <w:spacing w:before="480" w:after="240" w:line="240" w:lineRule="auto"/>
      <w:ind w:left="0" w:right="0" w:firstLine="0"/>
      <w:jc w:val="left"/>
    </w:pPr>
    <w:rPr>
      <w:rFonts w:ascii="Arial" w:hAnsi="Arial"/>
      <w:i/>
      <w:iCs/>
      <w:color w:val="auto"/>
      <w:sz w:val="28"/>
      <w:szCs w:val="20"/>
    </w:rPr>
  </w:style>
  <w:style w:type="paragraph" w:customStyle="1" w:styleId="IntroTo">
    <w:name w:val="IntroTo:"/>
    <w:basedOn w:val="Normal"/>
    <w:rsid w:val="00C80059"/>
    <w:pPr>
      <w:spacing w:after="0" w:line="240" w:lineRule="auto"/>
      <w:ind w:left="720" w:right="0" w:hanging="720"/>
      <w:jc w:val="left"/>
    </w:pPr>
    <w:rPr>
      <w:color w:val="auto"/>
      <w:szCs w:val="20"/>
      <w:lang w:eastAsia="en-US"/>
    </w:rPr>
  </w:style>
  <w:style w:type="paragraph" w:styleId="Revision">
    <w:name w:val="Revision"/>
    <w:hidden/>
    <w:uiPriority w:val="99"/>
    <w:semiHidden/>
    <w:rsid w:val="00CC094F"/>
    <w:pPr>
      <w:spacing w:after="0" w:line="240" w:lineRule="auto"/>
    </w:pPr>
    <w:rPr>
      <w:rFonts w:ascii="Times New Roman" w:eastAsia="Times New Roman" w:hAnsi="Times New Roman" w:cs="Times New Roman"/>
      <w:color w:val="000000"/>
      <w:sz w:val="24"/>
    </w:rPr>
  </w:style>
  <w:style w:type="paragraph" w:styleId="FootnoteText">
    <w:name w:val="footnote text"/>
    <w:basedOn w:val="Normal"/>
    <w:link w:val="FootnoteTextChar"/>
    <w:semiHidden/>
    <w:rsid w:val="003B30B3"/>
    <w:pPr>
      <w:spacing w:after="0" w:line="240" w:lineRule="auto"/>
      <w:ind w:left="0" w:right="0" w:firstLine="0"/>
      <w:jc w:val="left"/>
    </w:pPr>
    <w:rPr>
      <w:color w:val="auto"/>
      <w:sz w:val="20"/>
      <w:szCs w:val="20"/>
      <w:lang w:val="en-US"/>
    </w:rPr>
  </w:style>
  <w:style w:type="character" w:customStyle="1" w:styleId="FootnoteTextChar">
    <w:name w:val="Footnote Text Char"/>
    <w:basedOn w:val="DefaultParagraphFont"/>
    <w:link w:val="FootnoteText"/>
    <w:semiHidden/>
    <w:rsid w:val="003B30B3"/>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3B30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1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3440</Words>
  <Characters>19420</Characters>
  <Application>Microsoft Office Word</Application>
  <DocSecurity>0</DocSecurity>
  <Lines>455</Lines>
  <Paragraphs>276</Paragraphs>
  <ScaleCrop>false</ScaleCrop>
  <HeadingPairs>
    <vt:vector size="2" baseType="variant">
      <vt:variant>
        <vt:lpstr>Title</vt:lpstr>
      </vt:variant>
      <vt:variant>
        <vt:i4>1</vt:i4>
      </vt:variant>
    </vt:vector>
  </HeadingPairs>
  <TitlesOfParts>
    <vt:vector size="1" baseType="lpstr">
      <vt:lpstr>Microsoft Word - Consolidated RRS 332.0 2006 FINAL _No 56_.doc</vt:lpstr>
    </vt:vector>
  </TitlesOfParts>
  <Company>APRA</Company>
  <LinksUpToDate>false</LinksUpToDate>
  <CharactersWithSpaces>22785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Consolidated RRS 332.0 2006 FINAL _No 56_.doc</dc:title>
  <dc:subject/>
  <dc:creator>lotusservice</dc:creator>
  <cp:keywords> [SEC=DLM-ONLY:For-Official-Use-Only]</cp:keywords>
  <cp:lastModifiedBy>Toni Michalis</cp:lastModifiedBy>
  <cp:revision>3</cp:revision>
  <cp:lastPrinted>2016-09-23T00:49:00Z</cp:lastPrinted>
  <dcterms:created xsi:type="dcterms:W3CDTF">2016-09-23T00:39:00Z</dcterms:created>
  <dcterms:modified xsi:type="dcterms:W3CDTF">2016-09-23T00:50:00Z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DLM-ONLY</vt:lpwstr>
  </property>
  <property fmtid="{D5CDD505-2E9C-101B-9397-08002B2CF9AE}" pid="4" name="PM_DisplayValueSecClassificationWithQualifier">
    <vt:lpwstr>For Official Use Only</vt:lpwstr>
  </property>
  <property fmtid="{D5CDD505-2E9C-101B-9397-08002B2CF9AE}" pid="5" name="PM_Qualifier">
    <vt:lpwstr>For-Official-Use-Only</vt:lpwstr>
  </property>
  <property fmtid="{D5CDD505-2E9C-101B-9397-08002B2CF9AE}" pid="6" name="PM_Hash_SHA1">
    <vt:lpwstr>5709BB2909613075E8EFC8DD50635F7B582A7634</vt:lpwstr>
  </property>
  <property fmtid="{D5CDD505-2E9C-101B-9397-08002B2CF9AE}" pid="7" name="PM_InsertionValue">
    <vt:lpwstr>For Official Use Only</vt:lpwstr>
  </property>
  <property fmtid="{D5CDD505-2E9C-101B-9397-08002B2CF9AE}" pid="8" name="PM_Hash_Salt">
    <vt:lpwstr>4C67095CF46D0FA3B51D51263F71B0D5</vt:lpwstr>
  </property>
  <property fmtid="{D5CDD505-2E9C-101B-9397-08002B2CF9AE}" pid="9" name="PM_Hash_Version">
    <vt:lpwstr>2014.2</vt:lpwstr>
  </property>
  <property fmtid="{D5CDD505-2E9C-101B-9397-08002B2CF9AE}" pid="10" name="PM_Hash_Salt_Prev">
    <vt:lpwstr>77F8ED64EDDAF749B2AF9B70BC2CFC6D</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For-Official-Use-Only</vt:lpwstr>
  </property>
</Properties>
</file>