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F9" w:rsidRPr="00063C9E" w:rsidRDefault="003E64F9" w:rsidP="003E64F9">
      <w:pPr>
        <w:pStyle w:val="Heading1"/>
        <w:spacing w:before="120" w:after="240"/>
        <w:jc w:val="center"/>
        <w:rPr>
          <w:rFonts w:ascii="Times New Roman" w:hAnsi="Times New Roman" w:cs="Times New Roman"/>
          <w:sz w:val="24"/>
          <w:szCs w:val="24"/>
        </w:rPr>
      </w:pPr>
      <w:bookmarkStart w:id="0" w:name="_GoBack"/>
      <w:bookmarkEnd w:id="0"/>
      <w:r w:rsidRPr="00063C9E">
        <w:rPr>
          <w:rFonts w:ascii="Times New Roman" w:hAnsi="Times New Roman" w:cs="Times New Roman"/>
          <w:sz w:val="24"/>
          <w:szCs w:val="24"/>
        </w:rPr>
        <w:t>EXPLANATORY STATEMENT</w:t>
      </w:r>
    </w:p>
    <w:p w:rsidR="003E64F9" w:rsidRPr="00063C9E" w:rsidRDefault="003E64F9" w:rsidP="003E64F9">
      <w:pPr>
        <w:jc w:val="center"/>
        <w:rPr>
          <w:b/>
        </w:rPr>
      </w:pPr>
      <w:r w:rsidRPr="00063C9E">
        <w:rPr>
          <w:b/>
        </w:rPr>
        <w:t>Issued by the Authority of the Minister for Finance</w:t>
      </w:r>
    </w:p>
    <w:p w:rsidR="003E64F9" w:rsidRPr="00063C9E" w:rsidRDefault="003E64F9" w:rsidP="003E64F9">
      <w:pPr>
        <w:jc w:val="center"/>
        <w:rPr>
          <w:b/>
        </w:rPr>
      </w:pPr>
    </w:p>
    <w:p w:rsidR="000B2CD2" w:rsidRPr="00063C9E" w:rsidRDefault="003E64F9" w:rsidP="00EB3ED0">
      <w:pPr>
        <w:jc w:val="center"/>
        <w:rPr>
          <w:i/>
        </w:rPr>
      </w:pPr>
      <w:r w:rsidRPr="00063C9E">
        <w:rPr>
          <w:i/>
        </w:rPr>
        <w:t xml:space="preserve">Public Governance, Performance and Accountability Act 2013 </w:t>
      </w:r>
    </w:p>
    <w:p w:rsidR="003E64F9" w:rsidRPr="00063C9E" w:rsidRDefault="003E64F9" w:rsidP="003E64F9">
      <w:pPr>
        <w:jc w:val="center"/>
        <w:rPr>
          <w:i/>
        </w:rPr>
      </w:pPr>
    </w:p>
    <w:p w:rsidR="00CD0F7A" w:rsidRDefault="00CD0F7A" w:rsidP="003E64F9">
      <w:pPr>
        <w:jc w:val="center"/>
        <w:rPr>
          <w:i/>
        </w:rPr>
      </w:pPr>
      <w:r w:rsidRPr="00CD0F7A">
        <w:rPr>
          <w:i/>
        </w:rPr>
        <w:t xml:space="preserve">Public Governance, Performance and Accountability Amendment </w:t>
      </w:r>
    </w:p>
    <w:p w:rsidR="003E64F9" w:rsidRPr="00063C9E" w:rsidRDefault="00CD0F7A" w:rsidP="003E64F9">
      <w:pPr>
        <w:jc w:val="center"/>
      </w:pPr>
      <w:r w:rsidRPr="00CD0F7A">
        <w:rPr>
          <w:i/>
        </w:rPr>
        <w:t xml:space="preserve">(Miscellaneous Measures No. 1) Rule 2016 </w:t>
      </w:r>
      <w:r w:rsidR="003E64F9" w:rsidRPr="00063C9E">
        <w:rPr>
          <w:i/>
        </w:rPr>
        <w:t xml:space="preserve"> </w:t>
      </w:r>
    </w:p>
    <w:p w:rsidR="003E64F9" w:rsidRPr="00063C9E" w:rsidRDefault="003E64F9" w:rsidP="003E64F9"/>
    <w:p w:rsidR="003E64F9" w:rsidRPr="00063C9E" w:rsidRDefault="003E64F9" w:rsidP="003E64F9">
      <w:r w:rsidRPr="00063C9E">
        <w:t xml:space="preserve">The </w:t>
      </w:r>
      <w:r w:rsidRPr="00063C9E">
        <w:rPr>
          <w:i/>
        </w:rPr>
        <w:t>Public Governance, Performance and Accountability Act 2013</w:t>
      </w:r>
      <w:r w:rsidRPr="00063C9E">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3E64F9" w:rsidRPr="00063C9E" w:rsidRDefault="003E64F9" w:rsidP="003E64F9">
      <w:pPr>
        <w:autoSpaceDE w:val="0"/>
        <w:autoSpaceDN w:val="0"/>
      </w:pPr>
    </w:p>
    <w:p w:rsidR="003E64F9" w:rsidRPr="00063C9E" w:rsidRDefault="003E64F9" w:rsidP="003E64F9">
      <w:pPr>
        <w:autoSpaceDE w:val="0"/>
        <w:autoSpaceDN w:val="0"/>
      </w:pPr>
      <w:r w:rsidRPr="00063C9E">
        <w:t xml:space="preserve">Under subsection 33(3) of the </w:t>
      </w:r>
      <w:r w:rsidRPr="00063C9E">
        <w:rPr>
          <w:i/>
        </w:rPr>
        <w:t>Acts Interpretation Act 1901</w:t>
      </w:r>
      <w:r w:rsidRPr="00063C9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E64F9" w:rsidRPr="00063C9E" w:rsidRDefault="003E64F9" w:rsidP="003E64F9">
      <w:pPr>
        <w:autoSpaceDE w:val="0"/>
        <w:autoSpaceDN w:val="0"/>
      </w:pPr>
    </w:p>
    <w:p w:rsidR="00687425" w:rsidRDefault="003E64F9">
      <w:pPr>
        <w:spacing w:after="120"/>
      </w:pPr>
      <w:r w:rsidRPr="00063C9E">
        <w:t xml:space="preserve">The </w:t>
      </w:r>
      <w:r w:rsidR="00CD0F7A" w:rsidRPr="00CD0F7A">
        <w:rPr>
          <w:i/>
        </w:rPr>
        <w:t xml:space="preserve">Public Governance, Performance and Accountability Amendment (Miscellaneous Measures No. 1) Rule 2016 </w:t>
      </w:r>
      <w:r w:rsidR="00CD0F7A" w:rsidRPr="00CD0F7A">
        <w:t>(PGPAA Rule)</w:t>
      </w:r>
      <w:r w:rsidR="00CD0F7A">
        <w:rPr>
          <w:i/>
        </w:rPr>
        <w:t xml:space="preserve"> </w:t>
      </w:r>
      <w:r w:rsidR="00A51624">
        <w:t>would</w:t>
      </w:r>
      <w:r w:rsidR="0082638D" w:rsidRPr="00063C9E">
        <w:t xml:space="preserve"> amend </w:t>
      </w:r>
      <w:r w:rsidR="00A51624">
        <w:t xml:space="preserve">the </w:t>
      </w:r>
      <w:r w:rsidR="00F3757C">
        <w:rPr>
          <w:i/>
        </w:rPr>
        <w:t xml:space="preserve">Public Governance, Performance and Accountability Rule 2014 </w:t>
      </w:r>
      <w:r w:rsidR="00EB3ED0">
        <w:t xml:space="preserve">(PGPA Rule) </w:t>
      </w:r>
      <w:r w:rsidR="00A172DD">
        <w:t>relating to</w:t>
      </w:r>
      <w:r w:rsidR="00D513B7" w:rsidRPr="00063C9E">
        <w:t>:</w:t>
      </w:r>
    </w:p>
    <w:p w:rsidR="00EB3ED0" w:rsidRDefault="00540136" w:rsidP="00EB3ED0">
      <w:pPr>
        <w:pStyle w:val="ListParagraph"/>
        <w:numPr>
          <w:ilvl w:val="0"/>
          <w:numId w:val="5"/>
        </w:numPr>
      </w:pPr>
      <w:r>
        <w:t xml:space="preserve">transferring special account balances on </w:t>
      </w:r>
      <w:proofErr w:type="spellStart"/>
      <w:r w:rsidR="00EB3ED0">
        <w:t>sunsetting</w:t>
      </w:r>
      <w:proofErr w:type="spellEnd"/>
      <w:r w:rsidR="00EB3ED0">
        <w:t>;</w:t>
      </w:r>
    </w:p>
    <w:p w:rsidR="00EB3ED0" w:rsidRDefault="00465389" w:rsidP="00EB3ED0">
      <w:pPr>
        <w:pStyle w:val="ListParagraph"/>
        <w:numPr>
          <w:ilvl w:val="0"/>
          <w:numId w:val="5"/>
        </w:numPr>
      </w:pPr>
      <w:r>
        <w:t xml:space="preserve">removing </w:t>
      </w:r>
      <w:proofErr w:type="spellStart"/>
      <w:r>
        <w:t>Crim</w:t>
      </w:r>
      <w:r w:rsidR="00EB3ED0">
        <w:t>Trac</w:t>
      </w:r>
      <w:proofErr w:type="spellEnd"/>
      <w:r w:rsidR="00EB3ED0">
        <w:t xml:space="preserve"> as a listed entity; and</w:t>
      </w:r>
    </w:p>
    <w:p w:rsidR="00EB3ED0" w:rsidRDefault="00EB3ED0" w:rsidP="00EB3ED0">
      <w:pPr>
        <w:pStyle w:val="ListParagraph"/>
        <w:numPr>
          <w:ilvl w:val="0"/>
          <w:numId w:val="5"/>
        </w:numPr>
      </w:pPr>
      <w:r>
        <w:t xml:space="preserve">amendments </w:t>
      </w:r>
      <w:r w:rsidR="00465389">
        <w:t xml:space="preserve">to </w:t>
      </w:r>
      <w:r w:rsidR="004330A7">
        <w:t>correct</w:t>
      </w:r>
      <w:r>
        <w:t xml:space="preserve"> inconsistencies.</w:t>
      </w:r>
    </w:p>
    <w:p w:rsidR="00F80D98" w:rsidRDefault="00F80D98" w:rsidP="003E64F9"/>
    <w:p w:rsidR="003903EF" w:rsidRPr="00F80D98" w:rsidRDefault="003903EF" w:rsidP="003903EF">
      <w:pPr>
        <w:rPr>
          <w:b/>
        </w:rPr>
      </w:pPr>
      <w:r w:rsidRPr="00F80D98">
        <w:rPr>
          <w:b/>
        </w:rPr>
        <w:t>Receipts of amounts by non</w:t>
      </w:r>
      <w:r w:rsidRPr="00F80D98">
        <w:rPr>
          <w:rFonts w:ascii="Cambria Math" w:hAnsi="Cambria Math" w:cs="Cambria Math"/>
          <w:b/>
        </w:rPr>
        <w:t>‑</w:t>
      </w:r>
      <w:r w:rsidRPr="00F80D98">
        <w:rPr>
          <w:b/>
        </w:rPr>
        <w:t xml:space="preserve">corporate </w:t>
      </w:r>
      <w:r>
        <w:rPr>
          <w:b/>
        </w:rPr>
        <w:t>Commonwealth entities</w:t>
      </w:r>
      <w:r w:rsidR="002F74AD">
        <w:rPr>
          <w:b/>
        </w:rPr>
        <w:t>, section 27</w:t>
      </w:r>
    </w:p>
    <w:p w:rsidR="006C4F9C" w:rsidRDefault="006C4F9C" w:rsidP="006C4F9C">
      <w:pPr>
        <w:spacing w:after="120"/>
      </w:pPr>
      <w:r>
        <w:t xml:space="preserve">This section specifies the types of amounts that are received by non-corporate Commonwealth entities that may be credited to the most recent departmental item for the entity in an Appropriation Act.    </w:t>
      </w:r>
    </w:p>
    <w:p w:rsidR="003903EF" w:rsidRDefault="003903EF" w:rsidP="003903EF">
      <w:r w:rsidRPr="00F80D98">
        <w:t>This amendment will allow the</w:t>
      </w:r>
      <w:r>
        <w:t xml:space="preserve"> Finance Minister to determine that the balance of a </w:t>
      </w:r>
      <w:proofErr w:type="spellStart"/>
      <w:r>
        <w:t>sunsetting</w:t>
      </w:r>
      <w:proofErr w:type="spellEnd"/>
      <w:r>
        <w:t xml:space="preserve"> special account, established under section 78 of the PGPA Act,</w:t>
      </w:r>
      <w:r w:rsidRPr="00F80D98">
        <w:t xml:space="preserve"> </w:t>
      </w:r>
      <w:r>
        <w:t xml:space="preserve">be credited to the most recent </w:t>
      </w:r>
      <w:r w:rsidRPr="00F80D98">
        <w:t>departmental item</w:t>
      </w:r>
      <w:r>
        <w:t>, in an appropriation Act,</w:t>
      </w:r>
      <w:r w:rsidRPr="00F80D98">
        <w:t xml:space="preserve"> of the relevant non-corporate Commonwealth entity</w:t>
      </w:r>
      <w:r w:rsidR="00913A3F">
        <w:t xml:space="preserve"> just prior to </w:t>
      </w:r>
      <w:proofErr w:type="spellStart"/>
      <w:r w:rsidR="00913A3F">
        <w:t>sunsetting</w:t>
      </w:r>
      <w:proofErr w:type="spellEnd"/>
      <w:r>
        <w:t xml:space="preserve">. </w:t>
      </w:r>
      <w:r w:rsidR="00716020" w:rsidRPr="00716020">
        <w:t>The amendment will assist to reduce the number of special accounts used for departmental activities and increase flexibility in managing departmental appropriations.</w:t>
      </w:r>
    </w:p>
    <w:p w:rsidR="003903EF" w:rsidRDefault="003903EF" w:rsidP="00C660C2">
      <w:pPr>
        <w:rPr>
          <w:b/>
        </w:rPr>
      </w:pPr>
    </w:p>
    <w:p w:rsidR="003903EF" w:rsidRDefault="003903EF" w:rsidP="003903EF">
      <w:pPr>
        <w:rPr>
          <w:b/>
        </w:rPr>
      </w:pPr>
      <w:r>
        <w:rPr>
          <w:b/>
        </w:rPr>
        <w:t>L</w:t>
      </w:r>
      <w:r w:rsidRPr="00F80D98">
        <w:rPr>
          <w:b/>
        </w:rPr>
        <w:t>isted entities</w:t>
      </w:r>
      <w:r>
        <w:rPr>
          <w:b/>
        </w:rPr>
        <w:t xml:space="preserve">, to remove the </w:t>
      </w:r>
      <w:proofErr w:type="spellStart"/>
      <w:r>
        <w:rPr>
          <w:b/>
        </w:rPr>
        <w:t>Crimtrac</w:t>
      </w:r>
      <w:proofErr w:type="spellEnd"/>
      <w:r>
        <w:rPr>
          <w:b/>
        </w:rPr>
        <w:t xml:space="preserve"> Agency from the list of entities</w:t>
      </w:r>
      <w:r w:rsidR="002F74AD">
        <w:rPr>
          <w:b/>
        </w:rPr>
        <w:t xml:space="preserve">, </w:t>
      </w:r>
      <w:r w:rsidR="004559B4">
        <w:rPr>
          <w:b/>
        </w:rPr>
        <w:t>S</w:t>
      </w:r>
      <w:r w:rsidR="002F74AD">
        <w:rPr>
          <w:b/>
        </w:rPr>
        <w:t>chedule 1</w:t>
      </w:r>
    </w:p>
    <w:p w:rsidR="006C4F9C" w:rsidRDefault="006C4F9C" w:rsidP="003903EF">
      <w:pPr>
        <w:spacing w:after="120"/>
      </w:pPr>
      <w:r>
        <w:t xml:space="preserve">This Schedule prescribes certain bodies, persons, groups of persons or organisations to be listed entities under the PGPA Act.  </w:t>
      </w:r>
    </w:p>
    <w:p w:rsidR="007710B0" w:rsidRDefault="007710B0" w:rsidP="007710B0">
      <w:pPr>
        <w:keepNext/>
        <w:keepLines/>
      </w:pPr>
      <w:r>
        <w:t xml:space="preserve">This amendment will remove </w:t>
      </w:r>
      <w:proofErr w:type="spellStart"/>
      <w:r w:rsidRPr="003F7605">
        <w:t>CrimTrac</w:t>
      </w:r>
      <w:proofErr w:type="spellEnd"/>
      <w:r w:rsidRPr="003F7605">
        <w:t xml:space="preserve"> </w:t>
      </w:r>
      <w:r>
        <w:t xml:space="preserve">as a listed entity under the PGPA Rule following the merger </w:t>
      </w:r>
      <w:r w:rsidRPr="003F7605">
        <w:t xml:space="preserve">with the </w:t>
      </w:r>
      <w:r>
        <w:t xml:space="preserve">Australian Crime Commission on </w:t>
      </w:r>
      <w:r w:rsidRPr="003F7605">
        <w:t xml:space="preserve">1 July 2016 </w:t>
      </w:r>
      <w:r>
        <w:t xml:space="preserve">as a result of the </w:t>
      </w:r>
      <w:r w:rsidRPr="003F7605">
        <w:rPr>
          <w:i/>
        </w:rPr>
        <w:t>Australian Crime Commission Amendment (National Policing Information) Act 2016.</w:t>
      </w:r>
      <w:r w:rsidRPr="003F7605">
        <w:t xml:space="preserve"> </w:t>
      </w:r>
    </w:p>
    <w:p w:rsidR="006C4F9C" w:rsidRDefault="006C4F9C" w:rsidP="00C660C2">
      <w:pPr>
        <w:rPr>
          <w:b/>
        </w:rPr>
      </w:pPr>
    </w:p>
    <w:p w:rsidR="000F4255" w:rsidRDefault="000F4255" w:rsidP="00C660C2">
      <w:pPr>
        <w:rPr>
          <w:b/>
        </w:rPr>
      </w:pPr>
    </w:p>
    <w:p w:rsidR="000F4255" w:rsidRDefault="000F4255" w:rsidP="00C660C2">
      <w:pPr>
        <w:rPr>
          <w:b/>
        </w:rPr>
      </w:pPr>
    </w:p>
    <w:p w:rsidR="00C660C2" w:rsidRPr="00F80D98" w:rsidRDefault="003903EF" w:rsidP="00C660C2">
      <w:pPr>
        <w:rPr>
          <w:b/>
        </w:rPr>
      </w:pPr>
      <w:r>
        <w:rPr>
          <w:b/>
        </w:rPr>
        <w:lastRenderedPageBreak/>
        <w:t>O</w:t>
      </w:r>
      <w:r w:rsidR="00C660C2">
        <w:rPr>
          <w:b/>
        </w:rPr>
        <w:t>fficials appointed under a law to a body</w:t>
      </w:r>
      <w:r>
        <w:rPr>
          <w:b/>
        </w:rPr>
        <w:t xml:space="preserve"> are required to disclose material personal interest</w:t>
      </w:r>
      <w:r w:rsidR="00C660C2">
        <w:rPr>
          <w:b/>
        </w:rPr>
        <w:t>s</w:t>
      </w:r>
      <w:r w:rsidR="002F74AD">
        <w:rPr>
          <w:b/>
        </w:rPr>
        <w:t>, section 16B</w:t>
      </w:r>
    </w:p>
    <w:p w:rsidR="00C660C2" w:rsidRDefault="004559B4" w:rsidP="00C660C2">
      <w:pPr>
        <w:spacing w:after="120"/>
      </w:pPr>
      <w:r>
        <w:t xml:space="preserve">This section restricts certain officials that have been appointed under a law of the Commonwealth and have a material personal interest from being present, or voting, at a meeting </w:t>
      </w:r>
      <w:r w:rsidR="006C4F9C">
        <w:t>on the matter.</w:t>
      </w:r>
      <w:r w:rsidR="00C660C2">
        <w:t xml:space="preserve">  </w:t>
      </w:r>
    </w:p>
    <w:p w:rsidR="00EC2F00" w:rsidRPr="001B1DE8" w:rsidRDefault="00EC2F00" w:rsidP="00EC2F00">
      <w:r w:rsidRPr="001B1DE8">
        <w:t xml:space="preserve">This </w:t>
      </w:r>
      <w:r>
        <w:t>amends the term</w:t>
      </w:r>
      <w:r w:rsidRPr="001B1DE8">
        <w:t xml:space="preserve"> ‘interest’ to ‘interests’ </w:t>
      </w:r>
      <w:r>
        <w:t xml:space="preserve">to make the heading of </w:t>
      </w:r>
      <w:r w:rsidRPr="001B1DE8">
        <w:t>section 16B co</w:t>
      </w:r>
      <w:r>
        <w:t>nsistent with other headings</w:t>
      </w:r>
      <w:r w:rsidRPr="001B1DE8">
        <w:t xml:space="preserve"> in Subdivision D of the PGPA Rule.</w:t>
      </w:r>
    </w:p>
    <w:p w:rsidR="00C660C2" w:rsidRDefault="00C660C2" w:rsidP="00F80D98">
      <w:pPr>
        <w:rPr>
          <w:b/>
        </w:rPr>
      </w:pPr>
    </w:p>
    <w:p w:rsidR="002F74AD" w:rsidRPr="004C5151" w:rsidRDefault="002F74AD" w:rsidP="002F74AD">
      <w:pPr>
        <w:rPr>
          <w:b/>
        </w:rPr>
      </w:pPr>
      <w:r w:rsidRPr="004C5151">
        <w:rPr>
          <w:b/>
        </w:rPr>
        <w:t xml:space="preserve">Other mandatory </w:t>
      </w:r>
      <w:r>
        <w:rPr>
          <w:b/>
        </w:rPr>
        <w:t xml:space="preserve">annual reporting </w:t>
      </w:r>
      <w:r w:rsidRPr="004C5151">
        <w:rPr>
          <w:b/>
        </w:rPr>
        <w:t>information</w:t>
      </w:r>
      <w:r>
        <w:rPr>
          <w:b/>
        </w:rPr>
        <w:t>, section 17AH</w:t>
      </w:r>
      <w:r w:rsidRPr="004C5151">
        <w:rPr>
          <w:b/>
        </w:rPr>
        <w:t xml:space="preserve"> </w:t>
      </w:r>
    </w:p>
    <w:p w:rsidR="002F74AD" w:rsidRPr="00F80D98" w:rsidRDefault="002F74AD" w:rsidP="002F74AD">
      <w:pPr>
        <w:spacing w:after="120"/>
      </w:pPr>
      <w:r>
        <w:t xml:space="preserve">This section </w:t>
      </w:r>
      <w:r w:rsidRPr="00F80D98">
        <w:t xml:space="preserve">provides direction to </w:t>
      </w:r>
      <w:r>
        <w:t xml:space="preserve">non-corporate Commonwealth </w:t>
      </w:r>
      <w:r w:rsidRPr="00F80D98">
        <w:t xml:space="preserve">entities </w:t>
      </w:r>
      <w:r>
        <w:t xml:space="preserve">on </w:t>
      </w:r>
      <w:r w:rsidRPr="00F80D98">
        <w:t xml:space="preserve">other information that must be included in the annual report for the entity for the period. </w:t>
      </w:r>
    </w:p>
    <w:p w:rsidR="002F74AD" w:rsidRDefault="00EC2F00" w:rsidP="002F74AD">
      <w:r>
        <w:t xml:space="preserve">This amendment will provide a correction in </w:t>
      </w:r>
      <w:r w:rsidRPr="003711E9">
        <w:t xml:space="preserve">the wording at </w:t>
      </w:r>
      <w:r>
        <w:t xml:space="preserve">paragraph </w:t>
      </w:r>
      <w:r w:rsidRPr="003711E9">
        <w:t>17AH (1)(b) of the PGPA Rule</w:t>
      </w:r>
      <w:r>
        <w:t xml:space="preserve">. </w:t>
      </w:r>
      <w:r w:rsidR="002F74AD">
        <w:t xml:space="preserve">The amendment has the effect of changing the words “Information on grants awarded to [name of entity] …” with “Information on grants awarded by [name of entity] …”. </w:t>
      </w:r>
    </w:p>
    <w:p w:rsidR="002F74AD" w:rsidRDefault="002F74AD" w:rsidP="002F74AD">
      <w:pPr>
        <w:rPr>
          <w:b/>
        </w:rPr>
      </w:pPr>
    </w:p>
    <w:p w:rsidR="002F74AD" w:rsidRPr="001543F6" w:rsidRDefault="002F74AD" w:rsidP="002F74AD">
      <w:pPr>
        <w:rPr>
          <w:b/>
        </w:rPr>
      </w:pPr>
      <w:r>
        <w:rPr>
          <w:b/>
        </w:rPr>
        <w:t xml:space="preserve">List of annual reporting requirements, </w:t>
      </w:r>
      <w:r w:rsidR="004559B4">
        <w:rPr>
          <w:b/>
        </w:rPr>
        <w:t xml:space="preserve">Schedule 2 - </w:t>
      </w:r>
      <w:r>
        <w:rPr>
          <w:b/>
        </w:rPr>
        <w:t>row 17AG(4)(c)(</w:t>
      </w:r>
      <w:proofErr w:type="spellStart"/>
      <w:r>
        <w:rPr>
          <w:b/>
        </w:rPr>
        <w:t>i</w:t>
      </w:r>
      <w:proofErr w:type="spellEnd"/>
      <w:r>
        <w:rPr>
          <w:b/>
        </w:rPr>
        <w:t>)</w:t>
      </w:r>
    </w:p>
    <w:p w:rsidR="002F74AD" w:rsidRDefault="002F74AD" w:rsidP="00984CCD">
      <w:pPr>
        <w:spacing w:after="120"/>
      </w:pPr>
      <w:r>
        <w:t>This Schedul</w:t>
      </w:r>
      <w:r w:rsidR="00984CCD">
        <w:t xml:space="preserve">e lists, in a table, the requirements that must </w:t>
      </w:r>
      <w:r>
        <w:t xml:space="preserve">be included in the annual report of a </w:t>
      </w:r>
      <w:r>
        <w:br/>
        <w:t>non</w:t>
      </w:r>
      <w:r w:rsidR="00984CCD">
        <w:t>-corporate Commonwealth entity and the location of these requirements in the annual report.</w:t>
      </w:r>
      <w:r>
        <w:t xml:space="preserve"> </w:t>
      </w:r>
    </w:p>
    <w:p w:rsidR="002F74AD" w:rsidRDefault="002F74AD" w:rsidP="00984CCD">
      <w:r w:rsidRPr="001543F6">
        <w:t>The amendment rectifies an inconsistent cross reference in row 17AG(4)(c)(</w:t>
      </w:r>
      <w:proofErr w:type="spellStart"/>
      <w:r>
        <w:t>i</w:t>
      </w:r>
      <w:proofErr w:type="spellEnd"/>
      <w:r w:rsidRPr="001543F6">
        <w:t>) of Schedule 2, from 17AD(4)(c) to 17AG(4)(c).</w:t>
      </w:r>
    </w:p>
    <w:p w:rsidR="002F74AD" w:rsidRPr="007044CF" w:rsidRDefault="002F74AD" w:rsidP="002F74AD">
      <w:pPr>
        <w:spacing w:line="276" w:lineRule="auto"/>
      </w:pPr>
      <w:r w:rsidRPr="003C33B8">
        <w:t xml:space="preserve"> </w:t>
      </w:r>
    </w:p>
    <w:p w:rsidR="002F74AD" w:rsidRPr="004C5151" w:rsidRDefault="002F74AD" w:rsidP="002F74AD">
      <w:pPr>
        <w:spacing w:line="276" w:lineRule="auto"/>
        <w:rPr>
          <w:b/>
        </w:rPr>
      </w:pPr>
      <w:r w:rsidRPr="004C5151">
        <w:rPr>
          <w:b/>
        </w:rPr>
        <w:t xml:space="preserve">List of </w:t>
      </w:r>
      <w:r>
        <w:rPr>
          <w:b/>
        </w:rPr>
        <w:t xml:space="preserve">annual reporting </w:t>
      </w:r>
      <w:r w:rsidRPr="004C5151">
        <w:rPr>
          <w:b/>
        </w:rPr>
        <w:t>requirements</w:t>
      </w:r>
      <w:r>
        <w:rPr>
          <w:b/>
        </w:rPr>
        <w:t xml:space="preserve">, </w:t>
      </w:r>
      <w:r w:rsidR="004559B4">
        <w:rPr>
          <w:b/>
        </w:rPr>
        <w:t xml:space="preserve">Schedule 2 - </w:t>
      </w:r>
      <w:r>
        <w:rPr>
          <w:b/>
        </w:rPr>
        <w:t>row 17AH(1)(b)</w:t>
      </w:r>
    </w:p>
    <w:p w:rsidR="00984CCD" w:rsidRDefault="00984CCD" w:rsidP="00984CCD">
      <w:pPr>
        <w:spacing w:after="120"/>
      </w:pPr>
      <w:r>
        <w:t xml:space="preserve">This Schedule lists, in a table, the requirements that must be included in the annual report of a non-corporate Commonwealth entity and the location of these requirements in the annual report. </w:t>
      </w:r>
    </w:p>
    <w:p w:rsidR="002F74AD" w:rsidRDefault="002F74AD" w:rsidP="00984CCD">
      <w:pPr>
        <w:spacing w:after="120"/>
      </w:pPr>
      <w:r>
        <w:t xml:space="preserve">This amendment corrects the same typographical error reflected in </w:t>
      </w:r>
      <w:r w:rsidR="004559B4">
        <w:t>section 17AH above.</w:t>
      </w:r>
      <w:r>
        <w:t xml:space="preserve"> </w:t>
      </w:r>
    </w:p>
    <w:p w:rsidR="002F74AD" w:rsidRDefault="002F74AD" w:rsidP="00C660C2">
      <w:pPr>
        <w:rPr>
          <w:b/>
        </w:rPr>
      </w:pPr>
    </w:p>
    <w:p w:rsidR="00D513B7" w:rsidRPr="00063C9E" w:rsidRDefault="00D513B7" w:rsidP="00160EC1">
      <w:pPr>
        <w:spacing w:after="200" w:line="276" w:lineRule="auto"/>
      </w:pPr>
      <w:r w:rsidRPr="00063C9E">
        <w:t xml:space="preserve">Details of the </w:t>
      </w:r>
      <w:r w:rsidR="00BF5CE2">
        <w:t>PGPA</w:t>
      </w:r>
      <w:r w:rsidR="00A30A02">
        <w:t>A</w:t>
      </w:r>
      <w:r w:rsidR="00BF5CE2">
        <w:t xml:space="preserve"> </w:t>
      </w:r>
      <w:r w:rsidR="00776EAE" w:rsidRPr="00063C9E">
        <w:t>Rule</w:t>
      </w:r>
      <w:r w:rsidRPr="00063C9E">
        <w:t xml:space="preserve"> are set out at </w:t>
      </w:r>
      <w:r w:rsidRPr="00063C9E">
        <w:rPr>
          <w:u w:val="single"/>
        </w:rPr>
        <w:t>Attachment A</w:t>
      </w:r>
      <w:r w:rsidRPr="00063C9E">
        <w:t xml:space="preserve">.  A statement of compatibility with human rights is at </w:t>
      </w:r>
      <w:r w:rsidRPr="00063C9E">
        <w:rPr>
          <w:u w:val="single"/>
        </w:rPr>
        <w:t>Attachment B</w:t>
      </w:r>
      <w:r w:rsidRPr="00063C9E">
        <w:t xml:space="preserve">.  </w:t>
      </w:r>
    </w:p>
    <w:p w:rsidR="00D513B7" w:rsidRPr="00063C9E" w:rsidRDefault="00D513B7" w:rsidP="00D513B7">
      <w:pPr>
        <w:pStyle w:val="ParaNumbering"/>
        <w:rPr>
          <w:i/>
          <w:szCs w:val="24"/>
        </w:rPr>
      </w:pPr>
      <w:r w:rsidRPr="00063C9E">
        <w:rPr>
          <w:szCs w:val="24"/>
        </w:rPr>
        <w:t xml:space="preserve">The </w:t>
      </w:r>
      <w:r w:rsidR="00BF5CE2">
        <w:t>PGPA</w:t>
      </w:r>
      <w:r w:rsidR="00A30A02">
        <w:t>A</w:t>
      </w:r>
      <w:r w:rsidRPr="00063C9E">
        <w:t xml:space="preserve"> Rule</w:t>
      </w:r>
      <w:r w:rsidRPr="00063C9E">
        <w:rPr>
          <w:szCs w:val="24"/>
        </w:rPr>
        <w:t xml:space="preserve"> is a legislative instrument for the purposes of the</w:t>
      </w:r>
      <w:r w:rsidRPr="00063C9E">
        <w:rPr>
          <w:i/>
          <w:szCs w:val="24"/>
        </w:rPr>
        <w:t xml:space="preserve"> Legislative Instruments Act 2003</w:t>
      </w:r>
      <w:r w:rsidR="00BF5CE2">
        <w:rPr>
          <w:szCs w:val="24"/>
        </w:rPr>
        <w:t xml:space="preserve"> and is</w:t>
      </w:r>
      <w:r w:rsidR="00B3039C">
        <w:rPr>
          <w:szCs w:val="24"/>
        </w:rPr>
        <w:t xml:space="preserve"> a disallowable instrument</w:t>
      </w:r>
      <w:r w:rsidRPr="00063C9E">
        <w:rPr>
          <w:i/>
          <w:szCs w:val="24"/>
        </w:rPr>
        <w:t xml:space="preserve">.  </w:t>
      </w:r>
    </w:p>
    <w:p w:rsidR="003E64F9" w:rsidRPr="00063C9E" w:rsidRDefault="003E64F9" w:rsidP="003E64F9"/>
    <w:p w:rsidR="003E64F9" w:rsidRPr="00063C9E" w:rsidRDefault="00776EAE" w:rsidP="003E64F9">
      <w:pPr>
        <w:autoSpaceDE w:val="0"/>
        <w:autoSpaceDN w:val="0"/>
        <w:rPr>
          <w:b/>
        </w:rPr>
      </w:pPr>
      <w:r w:rsidRPr="00063C9E">
        <w:rPr>
          <w:b/>
        </w:rPr>
        <w:t>Consultation</w:t>
      </w:r>
    </w:p>
    <w:p w:rsidR="00F80D98" w:rsidRDefault="00776EAE" w:rsidP="003E64F9">
      <w:pPr>
        <w:autoSpaceDE w:val="0"/>
        <w:autoSpaceDN w:val="0"/>
      </w:pPr>
      <w:r w:rsidRPr="00063C9E">
        <w:t xml:space="preserve">The amendments relating to </w:t>
      </w:r>
      <w:r w:rsidR="004C5151">
        <w:t xml:space="preserve">section 27 of the PGPA Rule </w:t>
      </w:r>
      <w:r w:rsidR="00F80966">
        <w:t>were</w:t>
      </w:r>
      <w:r w:rsidR="00160EC1">
        <w:t xml:space="preserve"> developed in consultation with</w:t>
      </w:r>
      <w:r w:rsidR="00DF03F2">
        <w:t xml:space="preserve"> the Department of the Treasury</w:t>
      </w:r>
      <w:r w:rsidR="00F80966">
        <w:t xml:space="preserve">. </w:t>
      </w:r>
    </w:p>
    <w:p w:rsidR="00F80D98" w:rsidRDefault="00F80D98" w:rsidP="003E64F9">
      <w:pPr>
        <w:autoSpaceDE w:val="0"/>
        <w:autoSpaceDN w:val="0"/>
      </w:pPr>
    </w:p>
    <w:p w:rsidR="00997607" w:rsidRDefault="00342DD2" w:rsidP="00776EAE">
      <w:pPr>
        <w:pStyle w:val="NoSpacing"/>
      </w:pPr>
      <w:r>
        <w:t xml:space="preserve">The amendment relating to </w:t>
      </w:r>
      <w:r w:rsidR="00BF5CE2">
        <w:t xml:space="preserve">removing </w:t>
      </w:r>
      <w:proofErr w:type="spellStart"/>
      <w:r w:rsidR="00BF5CE2">
        <w:t>Crim</w:t>
      </w:r>
      <w:r w:rsidRPr="00342DD2">
        <w:t>Trac</w:t>
      </w:r>
      <w:proofErr w:type="spellEnd"/>
      <w:r w:rsidRPr="00342DD2">
        <w:t xml:space="preserve"> as a listed entity</w:t>
      </w:r>
      <w:r>
        <w:t xml:space="preserve"> was developed in response to the </w:t>
      </w:r>
      <w:r w:rsidRPr="00342DD2">
        <w:rPr>
          <w:i/>
        </w:rPr>
        <w:t xml:space="preserve">Australian Crime Commission Amendment (National Policing Information) Act 2016 </w:t>
      </w:r>
      <w:r>
        <w:t xml:space="preserve">at the request of the Minister for Justice. </w:t>
      </w:r>
    </w:p>
    <w:p w:rsidR="00400008" w:rsidRDefault="00400008" w:rsidP="00776EAE">
      <w:pPr>
        <w:pStyle w:val="NoSpacing"/>
      </w:pPr>
    </w:p>
    <w:p w:rsidR="003E64F9" w:rsidRPr="004C5151" w:rsidRDefault="00400008" w:rsidP="00776EAE">
      <w:pPr>
        <w:pStyle w:val="NoSpacing"/>
        <w:rPr>
          <w:bCs/>
        </w:rPr>
      </w:pPr>
      <w:r>
        <w:t>T</w:t>
      </w:r>
      <w:r w:rsidR="00AC05F2">
        <w:t>he PGPA</w:t>
      </w:r>
      <w:r w:rsidR="004C5151">
        <w:t>A</w:t>
      </w:r>
      <w:r>
        <w:t xml:space="preserve"> Rule was</w:t>
      </w:r>
      <w:r w:rsidR="00776EAE" w:rsidRPr="00063C9E">
        <w:t xml:space="preserve"> drafted by the Office of Parliamentary Counsel.</w:t>
      </w:r>
    </w:p>
    <w:p w:rsidR="00DA164C" w:rsidRPr="00063C9E" w:rsidRDefault="00DA164C"/>
    <w:p w:rsidR="002767A4" w:rsidRDefault="002767A4">
      <w:pPr>
        <w:sectPr w:rsidR="002767A4" w:rsidSect="0004505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1"/>
          <w:cols w:space="708"/>
          <w:titlePg/>
          <w:docGrid w:linePitch="360"/>
        </w:sectPr>
      </w:pPr>
    </w:p>
    <w:p w:rsidR="007F7E25" w:rsidRPr="007F7E25" w:rsidRDefault="007F7E25" w:rsidP="007F7E25">
      <w:pPr>
        <w:spacing w:after="200" w:line="276" w:lineRule="auto"/>
        <w:ind w:left="1440"/>
        <w:jc w:val="right"/>
      </w:pPr>
      <w:r w:rsidRPr="00063C9E">
        <w:rPr>
          <w:b/>
          <w:u w:val="single"/>
        </w:rPr>
        <w:lastRenderedPageBreak/>
        <w:t>Attachment A</w:t>
      </w:r>
    </w:p>
    <w:p w:rsidR="007F7E25" w:rsidRPr="00063C9E" w:rsidRDefault="007F7E25" w:rsidP="007F7E25">
      <w:pPr>
        <w:pStyle w:val="NoSpacing"/>
        <w:rPr>
          <w:b/>
        </w:rPr>
      </w:pPr>
    </w:p>
    <w:p w:rsidR="007F7E25" w:rsidRPr="00063C9E" w:rsidRDefault="007F7E25" w:rsidP="007F7E25">
      <w:pPr>
        <w:pStyle w:val="NoSpacing"/>
        <w:rPr>
          <w:b/>
          <w:u w:val="single"/>
        </w:rPr>
      </w:pPr>
      <w:r w:rsidRPr="00063C9E">
        <w:rPr>
          <w:b/>
          <w:u w:val="single"/>
        </w:rPr>
        <w:t xml:space="preserve">Details of the </w:t>
      </w:r>
      <w:r w:rsidR="00CD0F7A" w:rsidRPr="00CD0F7A">
        <w:rPr>
          <w:b/>
          <w:i/>
          <w:u w:val="single"/>
          <w:lang w:val="en-AU"/>
        </w:rPr>
        <w:t xml:space="preserve">Public Governance, Performance and Accountability Amendment (Miscellaneous Measures No. 1) Rule 2016 </w:t>
      </w:r>
      <w:r w:rsidRPr="00063C9E">
        <w:rPr>
          <w:b/>
          <w:i/>
          <w:u w:val="single"/>
        </w:rPr>
        <w:t xml:space="preserve"> </w:t>
      </w:r>
    </w:p>
    <w:p w:rsidR="007F7E25" w:rsidRPr="00063C9E" w:rsidRDefault="007F7E25" w:rsidP="007F7E25">
      <w:pPr>
        <w:pStyle w:val="NoSpacing"/>
        <w:rPr>
          <w:b/>
          <w:i/>
        </w:rPr>
      </w:pPr>
    </w:p>
    <w:p w:rsidR="007F7E25" w:rsidRPr="00063C9E" w:rsidRDefault="007F7E25" w:rsidP="007F7E25">
      <w:pPr>
        <w:rPr>
          <w:b/>
        </w:rPr>
      </w:pPr>
      <w:r w:rsidRPr="00063C9E">
        <w:rPr>
          <w:b/>
        </w:rPr>
        <w:t>Section 1—Name of rule</w:t>
      </w:r>
    </w:p>
    <w:p w:rsidR="007F7E25" w:rsidRPr="00063C9E" w:rsidRDefault="007F7E25" w:rsidP="007F7E25"/>
    <w:p w:rsidR="007F7E25" w:rsidRPr="00063C9E" w:rsidRDefault="007F7E25" w:rsidP="007F7E25">
      <w:pPr>
        <w:rPr>
          <w:i/>
        </w:rPr>
      </w:pPr>
      <w:r w:rsidRPr="00063C9E">
        <w:t>This section provides that the title of the rule is the</w:t>
      </w:r>
      <w:r w:rsidRPr="00063C9E">
        <w:rPr>
          <w:i/>
        </w:rPr>
        <w:t xml:space="preserve"> </w:t>
      </w:r>
      <w:r w:rsidR="00CD0F7A" w:rsidRPr="00CD0F7A">
        <w:rPr>
          <w:i/>
        </w:rPr>
        <w:t>Public Governance, Performance and Accountability Amendment (Miscellaneous Measures No. 1)</w:t>
      </w:r>
      <w:r w:rsidR="00CD0F7A">
        <w:rPr>
          <w:i/>
        </w:rPr>
        <w:t xml:space="preserve"> Rule 2016</w:t>
      </w:r>
      <w:r w:rsidR="006C4F9C">
        <w:rPr>
          <w:i/>
        </w:rPr>
        <w:t xml:space="preserve"> (PGPAA Rule)</w:t>
      </w:r>
    </w:p>
    <w:p w:rsidR="007F7E25" w:rsidRPr="00063C9E" w:rsidRDefault="007F7E25" w:rsidP="007F7E25"/>
    <w:p w:rsidR="007F7E25" w:rsidRPr="00063C9E" w:rsidRDefault="007F7E25" w:rsidP="007F7E25">
      <w:pPr>
        <w:rPr>
          <w:b/>
        </w:rPr>
      </w:pPr>
      <w:r w:rsidRPr="00063C9E">
        <w:rPr>
          <w:b/>
        </w:rPr>
        <w:t xml:space="preserve">Section 2—Commencement </w:t>
      </w:r>
    </w:p>
    <w:p w:rsidR="007F7E25" w:rsidRPr="00063C9E" w:rsidRDefault="007F7E25" w:rsidP="007F7E25"/>
    <w:p w:rsidR="007F7E25" w:rsidRPr="004A1F1B" w:rsidRDefault="007F7E25" w:rsidP="007F7E25">
      <w:r w:rsidRPr="00977D04">
        <w:t xml:space="preserve">This section </w:t>
      </w:r>
      <w:r>
        <w:t>provides that each provision of the</w:t>
      </w:r>
      <w:r w:rsidRPr="00977D04">
        <w:t xml:space="preserve"> </w:t>
      </w:r>
      <w:r>
        <w:t>instrument</w:t>
      </w:r>
      <w:r w:rsidRPr="00977D04">
        <w:t xml:space="preserve"> </w:t>
      </w:r>
      <w:r>
        <w:t xml:space="preserve">specified in column 1 of the table </w:t>
      </w:r>
      <w:r w:rsidRPr="00977D04">
        <w:t>commences</w:t>
      </w:r>
      <w:r>
        <w:t>, or is taken to have commenced,</w:t>
      </w:r>
      <w:r w:rsidRPr="00977D04">
        <w:t xml:space="preserve"> </w:t>
      </w:r>
      <w:r>
        <w:t>in accordance with column 2 of the table.</w:t>
      </w:r>
    </w:p>
    <w:p w:rsidR="007F7E25" w:rsidRDefault="007F7E25" w:rsidP="007F7E25"/>
    <w:p w:rsidR="007F7E25" w:rsidRPr="00063C9E" w:rsidRDefault="0046026A" w:rsidP="007F7E25">
      <w:r>
        <w:t>Specifically,</w:t>
      </w:r>
      <w:r w:rsidR="001D6672">
        <w:t xml:space="preserve"> the whole of the Amendment Rule will commence on the day after it is registered on the Federal Register of Legislative Instruments.</w:t>
      </w:r>
    </w:p>
    <w:p w:rsidR="00F80D98" w:rsidRPr="00063C9E" w:rsidRDefault="00F80D98" w:rsidP="007F7E25"/>
    <w:p w:rsidR="007F7E25" w:rsidRPr="00063C9E" w:rsidRDefault="007F7E25" w:rsidP="007F7E25">
      <w:pPr>
        <w:rPr>
          <w:b/>
          <w:i/>
        </w:rPr>
      </w:pPr>
      <w:r w:rsidRPr="00063C9E">
        <w:rPr>
          <w:b/>
        </w:rPr>
        <w:t>Section 3—Authority</w:t>
      </w:r>
      <w:r w:rsidRPr="00063C9E">
        <w:rPr>
          <w:b/>
          <w:i/>
        </w:rPr>
        <w:t xml:space="preserve"> </w:t>
      </w:r>
    </w:p>
    <w:p w:rsidR="007F7E25" w:rsidRPr="00063C9E" w:rsidRDefault="007F7E25" w:rsidP="007F7E25"/>
    <w:p w:rsidR="007F7E25" w:rsidRPr="00063C9E" w:rsidRDefault="007F7E25" w:rsidP="007F7E25">
      <w:r w:rsidRPr="00063C9E">
        <w:t xml:space="preserve">This section states that the instrument is made under the </w:t>
      </w:r>
      <w:r w:rsidRPr="00063C9E">
        <w:rPr>
          <w:i/>
        </w:rPr>
        <w:t xml:space="preserve">Public Governance, Performance and Accountability Act 2013 </w:t>
      </w:r>
      <w:r>
        <w:t>(PGPA Act)</w:t>
      </w:r>
      <w:r w:rsidRPr="00063C9E">
        <w:t>.</w:t>
      </w:r>
    </w:p>
    <w:p w:rsidR="007F7E25" w:rsidRPr="00063C9E" w:rsidRDefault="007F7E25" w:rsidP="007F7E25"/>
    <w:p w:rsidR="007F7E25" w:rsidRPr="00063C9E" w:rsidRDefault="007F7E25" w:rsidP="007F7E25">
      <w:pPr>
        <w:rPr>
          <w:b/>
          <w:i/>
        </w:rPr>
      </w:pPr>
      <w:r w:rsidRPr="00063C9E">
        <w:rPr>
          <w:b/>
        </w:rPr>
        <w:t>Section 4—Schedules</w:t>
      </w:r>
      <w:r w:rsidRPr="00063C9E">
        <w:rPr>
          <w:b/>
          <w:i/>
        </w:rPr>
        <w:t xml:space="preserve"> </w:t>
      </w:r>
    </w:p>
    <w:p w:rsidR="007F7E25" w:rsidRPr="00063C9E" w:rsidRDefault="007F7E25" w:rsidP="007F7E25"/>
    <w:p w:rsidR="007F7E25" w:rsidRPr="00063C9E" w:rsidRDefault="007F7E25" w:rsidP="007F7E25">
      <w:r w:rsidRPr="00063C9E">
        <w:t>This section provides that each legislative instrument that is specified in a Schedule to this Rule is amended or repealed as set out, and that any item in a Schedule to this instrument operates or is applied as specified in the Schedule.</w:t>
      </w:r>
    </w:p>
    <w:p w:rsidR="007F7E25" w:rsidRPr="00063C9E" w:rsidRDefault="007F7E25" w:rsidP="007F7E25"/>
    <w:p w:rsidR="007F7E25" w:rsidRPr="00063C9E" w:rsidRDefault="007F7E25" w:rsidP="007F7E25">
      <w:pPr>
        <w:rPr>
          <w:b/>
        </w:rPr>
      </w:pPr>
      <w:r w:rsidRPr="00063C9E">
        <w:rPr>
          <w:b/>
        </w:rPr>
        <w:t>Schedule 1 – Amendments</w:t>
      </w:r>
    </w:p>
    <w:p w:rsidR="007F7E25" w:rsidRPr="00063C9E" w:rsidRDefault="007F7E25" w:rsidP="007F7E25">
      <w:pPr>
        <w:rPr>
          <w:b/>
        </w:rPr>
      </w:pPr>
    </w:p>
    <w:p w:rsidR="007F7E25" w:rsidRPr="00063C9E" w:rsidRDefault="007F7E25" w:rsidP="007F7E25">
      <w:pPr>
        <w:rPr>
          <w:b/>
        </w:rPr>
      </w:pPr>
      <w:r w:rsidRPr="00063C9E">
        <w:rPr>
          <w:b/>
        </w:rPr>
        <w:t xml:space="preserve">Part </w:t>
      </w:r>
      <w:r w:rsidR="00F80D98">
        <w:rPr>
          <w:b/>
        </w:rPr>
        <w:t>1 – Amendmen</w:t>
      </w:r>
      <w:r w:rsidR="0046026A">
        <w:rPr>
          <w:b/>
        </w:rPr>
        <w:t>ts commencing the day after the instrument is registered.</w:t>
      </w:r>
    </w:p>
    <w:p w:rsidR="007F7E25" w:rsidRPr="00063C9E" w:rsidRDefault="007F7E25" w:rsidP="007F7E25">
      <w:pPr>
        <w:rPr>
          <w:b/>
        </w:rPr>
      </w:pPr>
    </w:p>
    <w:p w:rsidR="007F7E25" w:rsidRPr="00063C9E" w:rsidRDefault="007F7E25" w:rsidP="007F7E25">
      <w:pPr>
        <w:rPr>
          <w:b/>
          <w:i/>
        </w:rPr>
      </w:pPr>
      <w:r w:rsidRPr="00063C9E">
        <w:rPr>
          <w:b/>
          <w:i/>
        </w:rPr>
        <w:t>Public Governance, Performance and Accountability Rule 2014</w:t>
      </w:r>
    </w:p>
    <w:p w:rsidR="007F7E25" w:rsidRPr="00063C9E" w:rsidRDefault="007F7E25" w:rsidP="007F7E25">
      <w:pPr>
        <w:rPr>
          <w:b/>
        </w:rPr>
      </w:pPr>
    </w:p>
    <w:p w:rsidR="006D7AC4" w:rsidRDefault="006D7AC4" w:rsidP="007F7E25">
      <w:pPr>
        <w:rPr>
          <w:b/>
        </w:rPr>
      </w:pPr>
      <w:r>
        <w:rPr>
          <w:b/>
        </w:rPr>
        <w:t>Item 1-Section 16B</w:t>
      </w:r>
    </w:p>
    <w:p w:rsidR="001B1DE8" w:rsidRPr="001B1DE8" w:rsidRDefault="001B1DE8" w:rsidP="001B1DE8">
      <w:r w:rsidRPr="001B1DE8">
        <w:t xml:space="preserve">This </w:t>
      </w:r>
      <w:r>
        <w:t>item would amend the term</w:t>
      </w:r>
      <w:r w:rsidRPr="001B1DE8">
        <w:t xml:space="preserve"> ‘interest’ to ‘interests’ </w:t>
      </w:r>
      <w:r>
        <w:t xml:space="preserve">to make </w:t>
      </w:r>
      <w:r w:rsidR="000120CE">
        <w:t xml:space="preserve">the heading of </w:t>
      </w:r>
      <w:r w:rsidRPr="001B1DE8">
        <w:t>section 16B co</w:t>
      </w:r>
      <w:r w:rsidR="000120CE">
        <w:t>nsistent with other headings</w:t>
      </w:r>
      <w:r w:rsidRPr="001B1DE8">
        <w:t xml:space="preserve"> in Subdivision D of the PGPA Rule.</w:t>
      </w:r>
    </w:p>
    <w:p w:rsidR="001B1DE8" w:rsidRDefault="001B1DE8" w:rsidP="006D7AC4"/>
    <w:p w:rsidR="006D7AC4" w:rsidRPr="00F80D98" w:rsidRDefault="006D7AC4" w:rsidP="006D7AC4">
      <w:r w:rsidRPr="006D7AC4">
        <w:t>The PGPA Rule requires officials to disclose material personal interests that relate to the</w:t>
      </w:r>
      <w:r>
        <w:t xml:space="preserve"> affairs of the entity.  </w:t>
      </w:r>
    </w:p>
    <w:p w:rsidR="006D7AC4" w:rsidRDefault="006D7AC4" w:rsidP="007F7E25">
      <w:pPr>
        <w:rPr>
          <w:b/>
        </w:rPr>
      </w:pPr>
    </w:p>
    <w:p w:rsidR="003711E9" w:rsidRPr="00FD3CDE" w:rsidRDefault="001B1DE8" w:rsidP="003711E9">
      <w:pPr>
        <w:rPr>
          <w:b/>
        </w:rPr>
      </w:pPr>
      <w:r>
        <w:rPr>
          <w:b/>
        </w:rPr>
        <w:t>Item 2- Section 17AH(1)(b)</w:t>
      </w:r>
    </w:p>
    <w:p w:rsidR="00EC2F00" w:rsidRDefault="00EC2F00" w:rsidP="00EC2F00">
      <w:r>
        <w:t xml:space="preserve">This item would provide a correction in </w:t>
      </w:r>
      <w:r w:rsidRPr="003711E9">
        <w:t xml:space="preserve">the wording at </w:t>
      </w:r>
      <w:r>
        <w:t xml:space="preserve">paragraph </w:t>
      </w:r>
      <w:r w:rsidRPr="003711E9">
        <w:t>17AH (1)(b) of the PGPA Rule</w:t>
      </w:r>
      <w:r>
        <w:t xml:space="preserve">. The amendment has the effect of changing the words “Information on grants awarded to [name of entity] …” with “Information on grants awarded by [name of entity] …”. </w:t>
      </w:r>
    </w:p>
    <w:p w:rsidR="003711E9" w:rsidRDefault="003711E9" w:rsidP="00617EB2"/>
    <w:p w:rsidR="00617EB2" w:rsidRDefault="00617EB2" w:rsidP="00617EB2">
      <w:r>
        <w:t xml:space="preserve">This amendment would accurately reflect the </w:t>
      </w:r>
      <w:r w:rsidRPr="00617EB2">
        <w:t>Joint Committee of Pub</w:t>
      </w:r>
      <w:r>
        <w:t>lic Accounts and Audit request</w:t>
      </w:r>
      <w:r w:rsidRPr="00617EB2">
        <w:t xml:space="preserve"> that the annual reporting provisions in the rule align directly with the annual reporting guidance relating to mandatory reporting on grants.</w:t>
      </w:r>
    </w:p>
    <w:p w:rsidR="001B1DE8" w:rsidRPr="001B1DE8" w:rsidRDefault="001B1DE8" w:rsidP="007F7E25"/>
    <w:p w:rsidR="007F7E25" w:rsidRDefault="006D7AC4" w:rsidP="007F7E25">
      <w:pPr>
        <w:rPr>
          <w:b/>
        </w:rPr>
      </w:pPr>
      <w:r>
        <w:rPr>
          <w:b/>
        </w:rPr>
        <w:t>Item 3</w:t>
      </w:r>
      <w:r w:rsidR="007F7E25" w:rsidRPr="00063C9E">
        <w:rPr>
          <w:b/>
        </w:rPr>
        <w:t xml:space="preserve"> – </w:t>
      </w:r>
      <w:r w:rsidR="007F7E25">
        <w:rPr>
          <w:b/>
        </w:rPr>
        <w:t>S</w:t>
      </w:r>
      <w:r w:rsidR="00F80D98">
        <w:rPr>
          <w:b/>
        </w:rPr>
        <w:t>ection 27</w:t>
      </w:r>
    </w:p>
    <w:p w:rsidR="007710B0" w:rsidRDefault="00F015DF" w:rsidP="007710B0">
      <w:r w:rsidRPr="00F015DF">
        <w:t xml:space="preserve">This item would </w:t>
      </w:r>
      <w:r w:rsidR="007122BE">
        <w:t>insert an Item 9 to the table at</w:t>
      </w:r>
      <w:r w:rsidRPr="00F015DF">
        <w:t xml:space="preserve"> </w:t>
      </w:r>
      <w:r w:rsidR="007122BE">
        <w:t xml:space="preserve">Subsection 27(2) to allow </w:t>
      </w:r>
      <w:r w:rsidR="004D727B">
        <w:t xml:space="preserve">the Finance Minister to determine that </w:t>
      </w:r>
      <w:r w:rsidR="007710B0">
        <w:t xml:space="preserve">the balance of a </w:t>
      </w:r>
      <w:proofErr w:type="spellStart"/>
      <w:r w:rsidR="007710B0">
        <w:t>sunsetting</w:t>
      </w:r>
      <w:proofErr w:type="spellEnd"/>
      <w:r w:rsidR="007710B0">
        <w:t xml:space="preserve"> special account, established under section 78 of the PGPA Act,</w:t>
      </w:r>
      <w:r w:rsidR="007710B0" w:rsidRPr="00F80D98">
        <w:t xml:space="preserve"> </w:t>
      </w:r>
      <w:r w:rsidR="007710B0">
        <w:t xml:space="preserve">to be credited to the most recent </w:t>
      </w:r>
      <w:r w:rsidR="007710B0" w:rsidRPr="00F80D98">
        <w:t>departmental item</w:t>
      </w:r>
      <w:r w:rsidR="007710B0">
        <w:t>, in an appropriation Act,</w:t>
      </w:r>
      <w:r w:rsidR="007710B0" w:rsidRPr="00F80D98">
        <w:t xml:space="preserve"> of the relevant non-corporate Commonwealth entity</w:t>
      </w:r>
      <w:r w:rsidR="007710B0">
        <w:t xml:space="preserve"> just prior to </w:t>
      </w:r>
      <w:proofErr w:type="spellStart"/>
      <w:r w:rsidR="007710B0">
        <w:t>sunsetting</w:t>
      </w:r>
      <w:proofErr w:type="spellEnd"/>
      <w:r w:rsidR="007710B0">
        <w:t>.</w:t>
      </w:r>
    </w:p>
    <w:p w:rsidR="007710B0" w:rsidRPr="00153315" w:rsidRDefault="007710B0" w:rsidP="007F7E25">
      <w:pPr>
        <w:pStyle w:val="NoSpacing"/>
        <w:rPr>
          <w:b/>
        </w:rPr>
      </w:pPr>
    </w:p>
    <w:p w:rsidR="00617EB2" w:rsidRDefault="006D7AC4" w:rsidP="007F7E25">
      <w:pPr>
        <w:keepNext/>
        <w:keepLines/>
        <w:rPr>
          <w:b/>
        </w:rPr>
      </w:pPr>
      <w:r>
        <w:rPr>
          <w:b/>
        </w:rPr>
        <w:t>Item 4</w:t>
      </w:r>
      <w:r w:rsidR="007F7E25" w:rsidRPr="00063C9E">
        <w:rPr>
          <w:b/>
        </w:rPr>
        <w:t xml:space="preserve"> – </w:t>
      </w:r>
      <w:r w:rsidR="00617EB2">
        <w:rPr>
          <w:b/>
        </w:rPr>
        <w:t>Clause 9 of Schedule 1</w:t>
      </w:r>
    </w:p>
    <w:p w:rsidR="003F7605" w:rsidRDefault="003F7605" w:rsidP="003F7605">
      <w:pPr>
        <w:keepNext/>
        <w:keepLines/>
      </w:pPr>
      <w:r>
        <w:t xml:space="preserve">This item would remove </w:t>
      </w:r>
      <w:proofErr w:type="spellStart"/>
      <w:r w:rsidRPr="003F7605">
        <w:t>CrimTrac</w:t>
      </w:r>
      <w:proofErr w:type="spellEnd"/>
      <w:r w:rsidRPr="003F7605">
        <w:t xml:space="preserve"> </w:t>
      </w:r>
      <w:r>
        <w:t xml:space="preserve">as a listed entity under the PGPA Rule following the merger </w:t>
      </w:r>
      <w:r w:rsidRPr="003F7605">
        <w:t xml:space="preserve">with the </w:t>
      </w:r>
      <w:r>
        <w:t xml:space="preserve">Australian Crime Commission on </w:t>
      </w:r>
      <w:r w:rsidRPr="003F7605">
        <w:t xml:space="preserve">1 July 2016 </w:t>
      </w:r>
      <w:r>
        <w:t xml:space="preserve">as a result of the </w:t>
      </w:r>
      <w:r w:rsidRPr="003F7605">
        <w:rPr>
          <w:i/>
        </w:rPr>
        <w:t>Australian Crime Commission Amendment (National Policing Information) Act 2016.</w:t>
      </w:r>
      <w:r w:rsidRPr="003F7605">
        <w:t xml:space="preserve"> </w:t>
      </w:r>
    </w:p>
    <w:p w:rsidR="007710B0" w:rsidRDefault="007710B0" w:rsidP="007710B0">
      <w:pPr>
        <w:spacing w:after="120"/>
      </w:pPr>
    </w:p>
    <w:p w:rsidR="007710B0" w:rsidRDefault="00B80525" w:rsidP="007710B0">
      <w:pPr>
        <w:rPr>
          <w:b/>
        </w:rPr>
      </w:pPr>
      <w:r w:rsidRPr="007710B0">
        <w:rPr>
          <w:b/>
        </w:rPr>
        <w:t>Item 5 – Schedule 2</w:t>
      </w:r>
      <w:r w:rsidR="007710B0">
        <w:rPr>
          <w:b/>
        </w:rPr>
        <w:t>, row</w:t>
      </w:r>
      <w:r w:rsidRPr="007710B0">
        <w:rPr>
          <w:b/>
        </w:rPr>
        <w:t xml:space="preserve"> 17AG(4)(c)(</w:t>
      </w:r>
      <w:proofErr w:type="spellStart"/>
      <w:r w:rsidRPr="007710B0">
        <w:rPr>
          <w:b/>
        </w:rPr>
        <w:t>i</w:t>
      </w:r>
      <w:proofErr w:type="spellEnd"/>
      <w:r w:rsidRPr="007710B0">
        <w:rPr>
          <w:b/>
        </w:rPr>
        <w:t>)</w:t>
      </w:r>
    </w:p>
    <w:p w:rsidR="007710B0" w:rsidRDefault="007710B0" w:rsidP="007710B0">
      <w:r w:rsidRPr="001543F6">
        <w:t>The amendment rectifies an inconsistent cross reference in row 17AG(4)(c)(</w:t>
      </w:r>
      <w:proofErr w:type="spellStart"/>
      <w:r>
        <w:t>i</w:t>
      </w:r>
      <w:proofErr w:type="spellEnd"/>
      <w:r w:rsidRPr="001543F6">
        <w:t>) of Schedule 2, from 17AD(4)(c) to 17AG(4)(c).</w:t>
      </w:r>
    </w:p>
    <w:p w:rsidR="00B80525" w:rsidRDefault="00B80525" w:rsidP="009C682E">
      <w:pPr>
        <w:rPr>
          <w:b/>
        </w:rPr>
      </w:pPr>
    </w:p>
    <w:p w:rsidR="007F7E25" w:rsidRDefault="00B80525" w:rsidP="009C682E">
      <w:pPr>
        <w:rPr>
          <w:b/>
        </w:rPr>
      </w:pPr>
      <w:r>
        <w:rPr>
          <w:b/>
        </w:rPr>
        <w:t>Item 6</w:t>
      </w:r>
      <w:r w:rsidR="007F7E25" w:rsidRPr="00063C9E">
        <w:rPr>
          <w:b/>
        </w:rPr>
        <w:t xml:space="preserve"> – </w:t>
      </w:r>
      <w:r w:rsidR="003F7605">
        <w:rPr>
          <w:b/>
        </w:rPr>
        <w:t>Schedule 2</w:t>
      </w:r>
      <w:r w:rsidR="007710B0">
        <w:rPr>
          <w:b/>
        </w:rPr>
        <w:t>, row</w:t>
      </w:r>
      <w:r w:rsidR="003F7605">
        <w:rPr>
          <w:b/>
        </w:rPr>
        <w:t xml:space="preserve"> 17AH(1)(b)</w:t>
      </w:r>
    </w:p>
    <w:p w:rsidR="00CC0EE8" w:rsidRDefault="00CC0EE8" w:rsidP="009C682E">
      <w:r w:rsidRPr="00CC0EE8">
        <w:t xml:space="preserve">This item </w:t>
      </w:r>
      <w:r>
        <w:t>would amend the</w:t>
      </w:r>
      <w:r w:rsidR="004D727B">
        <w:t xml:space="preserve"> schedule to align </w:t>
      </w:r>
      <w:r w:rsidR="007710B0">
        <w:t xml:space="preserve">it </w:t>
      </w:r>
      <w:r w:rsidR="004D727B">
        <w:t xml:space="preserve">with </w:t>
      </w:r>
      <w:r>
        <w:t>the re</w:t>
      </w:r>
      <w:r w:rsidR="004D727B">
        <w:t xml:space="preserve">porting requirements amended </w:t>
      </w:r>
      <w:r>
        <w:t>at Item</w:t>
      </w:r>
      <w:r w:rsidRPr="00CC0EE8">
        <w:t xml:space="preserve"> 2- Section 17AH(1)(b)</w:t>
      </w:r>
      <w:r>
        <w:t>.</w:t>
      </w:r>
    </w:p>
    <w:p w:rsidR="00CC0EE8" w:rsidRDefault="00CC0EE8" w:rsidP="007F7E25"/>
    <w:p w:rsidR="007F7E25" w:rsidRPr="00063C9E" w:rsidRDefault="007F7E25" w:rsidP="007F7E25"/>
    <w:p w:rsidR="007F7E25" w:rsidRPr="00617EB2" w:rsidRDefault="00617EB2" w:rsidP="00617EB2">
      <w:pPr>
        <w:spacing w:after="200" w:line="276" w:lineRule="auto"/>
      </w:pPr>
      <w:r>
        <w:br w:type="page"/>
      </w:r>
    </w:p>
    <w:p w:rsidR="007F7E25" w:rsidRPr="00063C9E" w:rsidRDefault="007F7E25" w:rsidP="007F7E25">
      <w:pPr>
        <w:pStyle w:val="NoSpacing"/>
        <w:rPr>
          <w:lang w:val="en-AU"/>
        </w:rPr>
      </w:pPr>
    </w:p>
    <w:p w:rsidR="00153315" w:rsidRDefault="00153315" w:rsidP="007F7E25">
      <w:pPr>
        <w:pStyle w:val="NoSpacing"/>
        <w:jc w:val="right"/>
        <w:rPr>
          <w:b/>
          <w:u w:val="single"/>
        </w:rPr>
      </w:pPr>
    </w:p>
    <w:p w:rsidR="00153315" w:rsidRDefault="00153315" w:rsidP="007F7E25">
      <w:pPr>
        <w:pStyle w:val="NoSpacing"/>
        <w:jc w:val="right"/>
        <w:rPr>
          <w:b/>
          <w:u w:val="single"/>
        </w:rPr>
      </w:pPr>
    </w:p>
    <w:p w:rsidR="007F7E25" w:rsidRPr="00063C9E" w:rsidRDefault="007F7E25" w:rsidP="007F7E25">
      <w:pPr>
        <w:pStyle w:val="NoSpacing"/>
        <w:jc w:val="right"/>
        <w:rPr>
          <w:b/>
          <w:u w:val="single"/>
        </w:rPr>
      </w:pPr>
      <w:r w:rsidRPr="00063C9E">
        <w:rPr>
          <w:b/>
          <w:u w:val="single"/>
        </w:rPr>
        <w:t>Attachment B</w:t>
      </w:r>
    </w:p>
    <w:p w:rsidR="007F7E25" w:rsidRPr="00063C9E" w:rsidRDefault="007F7E25" w:rsidP="007F7E25">
      <w:pPr>
        <w:pStyle w:val="NoSpacing"/>
      </w:pPr>
    </w:p>
    <w:p w:rsidR="007F7E25" w:rsidRPr="00063C9E" w:rsidRDefault="007F7E25" w:rsidP="007F7E25">
      <w:pPr>
        <w:pStyle w:val="NoSpacing"/>
        <w:jc w:val="center"/>
        <w:rPr>
          <w:b/>
        </w:rPr>
      </w:pPr>
      <w:r w:rsidRPr="00063C9E">
        <w:rPr>
          <w:b/>
        </w:rPr>
        <w:t>Statement of Compatibility with Human Rights</w:t>
      </w:r>
    </w:p>
    <w:p w:rsidR="007F7E25" w:rsidRPr="00063C9E" w:rsidRDefault="007F7E25" w:rsidP="007F7E25">
      <w:pPr>
        <w:pStyle w:val="NoSpacing"/>
      </w:pPr>
    </w:p>
    <w:p w:rsidR="007F7E25" w:rsidRPr="00063C9E" w:rsidRDefault="007F7E25" w:rsidP="00AA0FF2">
      <w:pPr>
        <w:pStyle w:val="NoSpacing"/>
        <w:rPr>
          <w:i/>
        </w:rPr>
      </w:pPr>
      <w:r w:rsidRPr="00063C9E">
        <w:t xml:space="preserve">Prepared in accordance with Part 3 of the </w:t>
      </w:r>
      <w:r w:rsidRPr="00063C9E">
        <w:rPr>
          <w:i/>
        </w:rPr>
        <w:t>Human Rights (Parliamentary Scrutiny) Act 2011</w:t>
      </w:r>
    </w:p>
    <w:p w:rsidR="007F7E25" w:rsidRPr="00063C9E" w:rsidRDefault="007F7E25" w:rsidP="007F7E25">
      <w:pPr>
        <w:spacing w:before="200"/>
        <w:rPr>
          <w:b/>
        </w:rPr>
      </w:pPr>
      <w:r w:rsidRPr="00063C9E">
        <w:t xml:space="preserve">The </w:t>
      </w:r>
      <w:r w:rsidR="00CD0F7A" w:rsidRPr="00CD0F7A">
        <w:rPr>
          <w:i/>
        </w:rPr>
        <w:t xml:space="preserve">Public Governance, Performance and Accountability Amendment (Miscellaneous Measures No. 1) Rule 2016 </w:t>
      </w:r>
      <w:r w:rsidRPr="00063C9E">
        <w:t xml:space="preserve">is compatible with the human rights and freedoms recognised or declared in the international instruments listed in section 3 of the </w:t>
      </w:r>
      <w:r w:rsidRPr="00063C9E">
        <w:rPr>
          <w:i/>
        </w:rPr>
        <w:t>Human Rights (Parliamentary Scrutiny) Act 2011.</w:t>
      </w:r>
    </w:p>
    <w:p w:rsidR="007F7E25" w:rsidRPr="00063C9E" w:rsidRDefault="007F7E25" w:rsidP="007F7E25">
      <w:pPr>
        <w:spacing w:before="200"/>
        <w:rPr>
          <w:b/>
        </w:rPr>
      </w:pPr>
      <w:r w:rsidRPr="00063C9E">
        <w:rPr>
          <w:b/>
        </w:rPr>
        <w:t>Overview of the legislative instrument</w:t>
      </w:r>
    </w:p>
    <w:p w:rsidR="007F7E25" w:rsidRPr="00063C9E" w:rsidRDefault="007F7E25" w:rsidP="007F7E25">
      <w:r w:rsidRPr="00063C9E">
        <w:t xml:space="preserve">The </w:t>
      </w:r>
      <w:r w:rsidRPr="00063C9E">
        <w:rPr>
          <w:i/>
        </w:rPr>
        <w:t>Public Governance, Performance and Accountability Act 2013</w:t>
      </w:r>
      <w:r w:rsidRPr="00063C9E">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rsidR="007F7E25" w:rsidRPr="00063C9E" w:rsidRDefault="007F7E25" w:rsidP="007F7E25"/>
    <w:p w:rsidR="00F80D98" w:rsidRDefault="007F7E25" w:rsidP="007F7E25">
      <w:pPr>
        <w:spacing w:after="120"/>
      </w:pPr>
      <w:r w:rsidRPr="00063C9E">
        <w:t xml:space="preserve">The </w:t>
      </w:r>
      <w:r w:rsidR="00CD0F7A" w:rsidRPr="00CD0F7A">
        <w:rPr>
          <w:i/>
        </w:rPr>
        <w:t xml:space="preserve">Public Governance, Performance and Accountability Amendment (Miscellaneous Measures No. 1) Rule 2016 </w:t>
      </w:r>
      <w:r>
        <w:t>would</w:t>
      </w:r>
      <w:r w:rsidRPr="00063C9E">
        <w:t xml:space="preserve"> amend </w:t>
      </w:r>
      <w:r>
        <w:t xml:space="preserve">the </w:t>
      </w:r>
      <w:r w:rsidR="003B5426" w:rsidRPr="00F80D98">
        <w:t>and</w:t>
      </w:r>
      <w:r w:rsidR="003B5426">
        <w:rPr>
          <w:i/>
        </w:rPr>
        <w:t xml:space="preserve"> </w:t>
      </w:r>
      <w:r w:rsidR="003B5426">
        <w:t xml:space="preserve">the </w:t>
      </w:r>
      <w:r w:rsidR="003B5426">
        <w:rPr>
          <w:i/>
        </w:rPr>
        <w:t>Public Governance, Performance and Accountability Rule 2014</w:t>
      </w:r>
      <w:r w:rsidR="003B5426">
        <w:t xml:space="preserve"> </w:t>
      </w:r>
      <w:r w:rsidRPr="00063C9E">
        <w:t xml:space="preserve">made under the </w:t>
      </w:r>
      <w:r w:rsidR="00F80D98" w:rsidRPr="00F80D98">
        <w:rPr>
          <w:i/>
        </w:rPr>
        <w:t>Public Governance, Perf</w:t>
      </w:r>
      <w:r w:rsidR="00F80D98">
        <w:rPr>
          <w:i/>
        </w:rPr>
        <w:t>orma</w:t>
      </w:r>
      <w:r w:rsidR="003B5426">
        <w:rPr>
          <w:i/>
        </w:rPr>
        <w:t>nce and Accountability Act 2013</w:t>
      </w:r>
      <w:r w:rsidR="00F80D98">
        <w:t>.</w:t>
      </w:r>
    </w:p>
    <w:p w:rsidR="007F7E25" w:rsidRPr="00063C9E" w:rsidRDefault="00816AE1" w:rsidP="007F7E25">
      <w:pPr>
        <w:spacing w:after="120"/>
      </w:pPr>
      <w:r>
        <w:t xml:space="preserve">The PGPA </w:t>
      </w:r>
      <w:r w:rsidR="007F7E25">
        <w:t>Rule would make amendments relating to</w:t>
      </w:r>
      <w:r w:rsidR="007F7E25" w:rsidRPr="00063C9E">
        <w:t>:</w:t>
      </w:r>
    </w:p>
    <w:p w:rsidR="00F80D98" w:rsidRPr="00F80D98" w:rsidRDefault="003B5426" w:rsidP="00F80D98">
      <w:pPr>
        <w:pStyle w:val="ListParagraph"/>
        <w:numPr>
          <w:ilvl w:val="0"/>
          <w:numId w:val="5"/>
        </w:numPr>
      </w:pPr>
      <w:r>
        <w:t xml:space="preserve">transferring special account balances on </w:t>
      </w:r>
      <w:proofErr w:type="spellStart"/>
      <w:r w:rsidR="00F80D98" w:rsidRPr="00F80D98">
        <w:t>sunsetting</w:t>
      </w:r>
      <w:proofErr w:type="spellEnd"/>
      <w:r w:rsidR="00F80D98" w:rsidRPr="00F80D98">
        <w:t>;</w:t>
      </w:r>
    </w:p>
    <w:p w:rsidR="00F80D98" w:rsidRPr="00F80D98" w:rsidRDefault="00816AE1" w:rsidP="00F80D98">
      <w:pPr>
        <w:pStyle w:val="ListParagraph"/>
        <w:numPr>
          <w:ilvl w:val="0"/>
          <w:numId w:val="5"/>
        </w:numPr>
      </w:pPr>
      <w:r>
        <w:t xml:space="preserve">removing </w:t>
      </w:r>
      <w:proofErr w:type="spellStart"/>
      <w:r>
        <w:t>Crim</w:t>
      </w:r>
      <w:r w:rsidR="00F80D98" w:rsidRPr="00F80D98">
        <w:t>Trac</w:t>
      </w:r>
      <w:proofErr w:type="spellEnd"/>
      <w:r w:rsidR="00F80D98" w:rsidRPr="00F80D98">
        <w:t xml:space="preserve"> as a listed entity; and</w:t>
      </w:r>
    </w:p>
    <w:p w:rsidR="00F80D98" w:rsidRPr="00F80D98" w:rsidRDefault="00F80D98" w:rsidP="00F80D98">
      <w:pPr>
        <w:pStyle w:val="ListParagraph"/>
        <w:numPr>
          <w:ilvl w:val="0"/>
          <w:numId w:val="5"/>
        </w:numPr>
      </w:pPr>
      <w:r w:rsidRPr="00F80D98">
        <w:t>amendments w</w:t>
      </w:r>
      <w:r w:rsidR="0095758F">
        <w:t xml:space="preserve">hich will correct </w:t>
      </w:r>
      <w:r w:rsidRPr="00F80D98">
        <w:t>inconsistencies.</w:t>
      </w:r>
    </w:p>
    <w:p w:rsidR="007F7E25" w:rsidRPr="00063C9E" w:rsidRDefault="007F7E25" w:rsidP="007F7E25"/>
    <w:p w:rsidR="007F7E25" w:rsidRPr="00063C9E" w:rsidRDefault="007F7E25" w:rsidP="007F7E25">
      <w:pPr>
        <w:rPr>
          <w:b/>
        </w:rPr>
      </w:pPr>
      <w:r w:rsidRPr="00063C9E">
        <w:rPr>
          <w:b/>
        </w:rPr>
        <w:t>Human rights implications</w:t>
      </w:r>
    </w:p>
    <w:p w:rsidR="007F7E25" w:rsidRPr="00063C9E" w:rsidRDefault="007F7E25" w:rsidP="007F7E25">
      <w:r w:rsidRPr="00063C9E">
        <w:t>The legislative instrument does not engage any of the applicable rights or freedoms.</w:t>
      </w:r>
    </w:p>
    <w:p w:rsidR="007F7E25" w:rsidRPr="00063C9E" w:rsidRDefault="007F7E25" w:rsidP="007F7E25">
      <w:pPr>
        <w:rPr>
          <w:b/>
        </w:rPr>
      </w:pPr>
    </w:p>
    <w:p w:rsidR="007F7E25" w:rsidRPr="00063C9E" w:rsidRDefault="007F7E25" w:rsidP="007F7E25">
      <w:pPr>
        <w:rPr>
          <w:b/>
        </w:rPr>
      </w:pPr>
      <w:r w:rsidRPr="00063C9E">
        <w:rPr>
          <w:b/>
        </w:rPr>
        <w:t>Conclusion</w:t>
      </w:r>
    </w:p>
    <w:p w:rsidR="007F7E25" w:rsidRPr="00063C9E" w:rsidRDefault="007F7E25" w:rsidP="007F7E25">
      <w:r w:rsidRPr="00063C9E">
        <w:t>The legislative instrument is compatible with human rights as it does not raise any human rights issues.</w:t>
      </w:r>
    </w:p>
    <w:p w:rsidR="007F7E25" w:rsidRPr="00063C9E" w:rsidRDefault="007F7E25" w:rsidP="007F7E25"/>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p>
    <w:p w:rsidR="007F7E25" w:rsidRPr="00063C9E" w:rsidRDefault="007F7E25" w:rsidP="007F7E25">
      <w:pPr>
        <w:pStyle w:val="paranumbering0"/>
        <w:spacing w:before="0" w:beforeAutospacing="0" w:after="0" w:afterAutospacing="0"/>
        <w:jc w:val="center"/>
        <w:rPr>
          <w:b/>
        </w:rPr>
      </w:pPr>
      <w:r w:rsidRPr="00063C9E">
        <w:rPr>
          <w:b/>
        </w:rPr>
        <w:t xml:space="preserve">Senator the Hon Mathias </w:t>
      </w:r>
      <w:proofErr w:type="spellStart"/>
      <w:r w:rsidRPr="00063C9E">
        <w:rPr>
          <w:b/>
        </w:rPr>
        <w:t>Cormann</w:t>
      </w:r>
      <w:proofErr w:type="spellEnd"/>
    </w:p>
    <w:p w:rsidR="007F7E25" w:rsidRPr="00063C9E" w:rsidRDefault="007F7E25" w:rsidP="007F7E25">
      <w:pPr>
        <w:pStyle w:val="paranumbering0"/>
        <w:spacing w:before="0" w:beforeAutospacing="0" w:after="0" w:afterAutospacing="0"/>
        <w:jc w:val="center"/>
        <w:rPr>
          <w:b/>
        </w:rPr>
      </w:pPr>
      <w:r w:rsidRPr="00063C9E">
        <w:rPr>
          <w:b/>
        </w:rPr>
        <w:t>Minister for Finance</w:t>
      </w:r>
    </w:p>
    <w:p w:rsidR="007F7E25" w:rsidRPr="00063C9E" w:rsidRDefault="007F7E25" w:rsidP="007F7E25"/>
    <w:p w:rsidR="00997607" w:rsidRPr="00063C9E" w:rsidRDefault="00997607" w:rsidP="007F7E25">
      <w:pPr>
        <w:pStyle w:val="NoSpacing"/>
        <w:jc w:val="right"/>
        <w:rPr>
          <w:lang w:val="en-AU"/>
        </w:rPr>
      </w:pPr>
    </w:p>
    <w:sectPr w:rsidR="00997607" w:rsidRPr="00063C9E" w:rsidSect="002767A4">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9C" w:rsidRDefault="006C4F9C" w:rsidP="00063C9E">
      <w:r>
        <w:separator/>
      </w:r>
    </w:p>
  </w:endnote>
  <w:endnote w:type="continuationSeparator" w:id="0">
    <w:p w:rsidR="006C4F9C" w:rsidRDefault="006C4F9C" w:rsidP="0006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6C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6C4F9C">
    <w:pPr>
      <w:pStyle w:val="Footer"/>
      <w:jc w:val="center"/>
    </w:pPr>
  </w:p>
  <w:p w:rsidR="006C4F9C" w:rsidRDefault="006C4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6C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9C" w:rsidRDefault="006C4F9C" w:rsidP="00063C9E">
      <w:r>
        <w:separator/>
      </w:r>
    </w:p>
  </w:footnote>
  <w:footnote w:type="continuationSeparator" w:id="0">
    <w:p w:rsidR="006C4F9C" w:rsidRDefault="006C4F9C" w:rsidP="0006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6C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965A55" w:rsidP="0004505E">
    <w:pPr>
      <w:pStyle w:val="Header"/>
      <w:tabs>
        <w:tab w:val="left" w:pos="4977"/>
      </w:tabs>
    </w:pPr>
    <w:sdt>
      <w:sdtPr>
        <w:id w:val="728607423"/>
        <w:docPartObj>
          <w:docPartGallery w:val="Page Numbers (Top of Page)"/>
          <w:docPartUnique/>
        </w:docPartObj>
      </w:sdtPr>
      <w:sdtEndPr/>
      <w:sdtContent>
        <w:r w:rsidR="006C4F9C">
          <w:tab/>
        </w:r>
        <w:r w:rsidR="006C4F9C">
          <w:fldChar w:fldCharType="begin"/>
        </w:r>
        <w:r w:rsidR="006C4F9C">
          <w:instrText xml:space="preserve"> PAGE   \* MERGEFORMAT </w:instrText>
        </w:r>
        <w:r w:rsidR="006C4F9C">
          <w:fldChar w:fldCharType="separate"/>
        </w:r>
        <w:r>
          <w:rPr>
            <w:noProof/>
          </w:rPr>
          <w:t>3</w:t>
        </w:r>
        <w:r w:rsidR="006C4F9C">
          <w:rPr>
            <w:noProof/>
          </w:rPr>
          <w:fldChar w:fldCharType="end"/>
        </w:r>
      </w:sdtContent>
    </w:sdt>
    <w:r w:rsidR="006C4F9C">
      <w:tab/>
    </w:r>
  </w:p>
  <w:p w:rsidR="006C4F9C" w:rsidRDefault="006C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C" w:rsidRDefault="006C4F9C">
    <w:pPr>
      <w:pStyle w:val="Header"/>
      <w:jc w:val="center"/>
    </w:pPr>
  </w:p>
  <w:p w:rsidR="006C4F9C" w:rsidRDefault="006C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808"/>
    <w:multiLevelType w:val="hybridMultilevel"/>
    <w:tmpl w:val="5336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C639A"/>
    <w:multiLevelType w:val="hybridMultilevel"/>
    <w:tmpl w:val="7826B848"/>
    <w:lvl w:ilvl="0" w:tplc="BF129D3C">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20D72"/>
    <w:multiLevelType w:val="hybridMultilevel"/>
    <w:tmpl w:val="FB1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222A7D"/>
    <w:multiLevelType w:val="hybridMultilevel"/>
    <w:tmpl w:val="D4205C12"/>
    <w:lvl w:ilvl="0" w:tplc="B4E8CCBC">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D205A4"/>
    <w:multiLevelType w:val="hybridMultilevel"/>
    <w:tmpl w:val="1EDE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B743B6"/>
    <w:multiLevelType w:val="hybridMultilevel"/>
    <w:tmpl w:val="A1FC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F9"/>
    <w:rsid w:val="0000138A"/>
    <w:rsid w:val="0000562B"/>
    <w:rsid w:val="000120CE"/>
    <w:rsid w:val="00016690"/>
    <w:rsid w:val="00017136"/>
    <w:rsid w:val="000200CF"/>
    <w:rsid w:val="000209F7"/>
    <w:rsid w:val="00020BD0"/>
    <w:rsid w:val="000236C9"/>
    <w:rsid w:val="00024813"/>
    <w:rsid w:val="00024D0A"/>
    <w:rsid w:val="00025954"/>
    <w:rsid w:val="00025D05"/>
    <w:rsid w:val="00027364"/>
    <w:rsid w:val="000274FF"/>
    <w:rsid w:val="00027A9C"/>
    <w:rsid w:val="00030505"/>
    <w:rsid w:val="000305FA"/>
    <w:rsid w:val="00031029"/>
    <w:rsid w:val="00031D99"/>
    <w:rsid w:val="0003356E"/>
    <w:rsid w:val="00035EF5"/>
    <w:rsid w:val="00037964"/>
    <w:rsid w:val="000379B4"/>
    <w:rsid w:val="0004136D"/>
    <w:rsid w:val="00041918"/>
    <w:rsid w:val="00041CB2"/>
    <w:rsid w:val="000428F2"/>
    <w:rsid w:val="00043203"/>
    <w:rsid w:val="0004341B"/>
    <w:rsid w:val="000437A3"/>
    <w:rsid w:val="0004505E"/>
    <w:rsid w:val="000455C1"/>
    <w:rsid w:val="00045614"/>
    <w:rsid w:val="00046E11"/>
    <w:rsid w:val="000502DB"/>
    <w:rsid w:val="00050309"/>
    <w:rsid w:val="00052A24"/>
    <w:rsid w:val="00053970"/>
    <w:rsid w:val="00055BA8"/>
    <w:rsid w:val="00061E47"/>
    <w:rsid w:val="000626E9"/>
    <w:rsid w:val="0006315A"/>
    <w:rsid w:val="00063C9E"/>
    <w:rsid w:val="00066049"/>
    <w:rsid w:val="00070FB9"/>
    <w:rsid w:val="0007164D"/>
    <w:rsid w:val="00072616"/>
    <w:rsid w:val="00072B13"/>
    <w:rsid w:val="0007310C"/>
    <w:rsid w:val="0007329E"/>
    <w:rsid w:val="00075BE7"/>
    <w:rsid w:val="00076717"/>
    <w:rsid w:val="00077283"/>
    <w:rsid w:val="00077F72"/>
    <w:rsid w:val="00082367"/>
    <w:rsid w:val="00082A3E"/>
    <w:rsid w:val="0008306F"/>
    <w:rsid w:val="000836F6"/>
    <w:rsid w:val="00085AB1"/>
    <w:rsid w:val="000935B0"/>
    <w:rsid w:val="00093C26"/>
    <w:rsid w:val="00095F54"/>
    <w:rsid w:val="0009611E"/>
    <w:rsid w:val="000962A2"/>
    <w:rsid w:val="00097451"/>
    <w:rsid w:val="00097ABA"/>
    <w:rsid w:val="00097F1F"/>
    <w:rsid w:val="00097F3F"/>
    <w:rsid w:val="000A2A3A"/>
    <w:rsid w:val="000A2CE1"/>
    <w:rsid w:val="000A3D7F"/>
    <w:rsid w:val="000A54AE"/>
    <w:rsid w:val="000A6332"/>
    <w:rsid w:val="000A7D59"/>
    <w:rsid w:val="000B100B"/>
    <w:rsid w:val="000B19A3"/>
    <w:rsid w:val="000B2CD2"/>
    <w:rsid w:val="000B3984"/>
    <w:rsid w:val="000B438B"/>
    <w:rsid w:val="000B4868"/>
    <w:rsid w:val="000B486E"/>
    <w:rsid w:val="000B4ED1"/>
    <w:rsid w:val="000B6EB5"/>
    <w:rsid w:val="000C2A3C"/>
    <w:rsid w:val="000C33DA"/>
    <w:rsid w:val="000D1159"/>
    <w:rsid w:val="000D1B54"/>
    <w:rsid w:val="000D2900"/>
    <w:rsid w:val="000D3732"/>
    <w:rsid w:val="000D3914"/>
    <w:rsid w:val="000D5752"/>
    <w:rsid w:val="000D5E62"/>
    <w:rsid w:val="000D640B"/>
    <w:rsid w:val="000E148C"/>
    <w:rsid w:val="000E2AE8"/>
    <w:rsid w:val="000E42C5"/>
    <w:rsid w:val="000E4D7F"/>
    <w:rsid w:val="000E7EA8"/>
    <w:rsid w:val="000F1448"/>
    <w:rsid w:val="000F1863"/>
    <w:rsid w:val="000F1883"/>
    <w:rsid w:val="000F2CB7"/>
    <w:rsid w:val="000F37EC"/>
    <w:rsid w:val="000F4255"/>
    <w:rsid w:val="000F42A0"/>
    <w:rsid w:val="001000C4"/>
    <w:rsid w:val="00101F19"/>
    <w:rsid w:val="00103439"/>
    <w:rsid w:val="0010579B"/>
    <w:rsid w:val="00105AD5"/>
    <w:rsid w:val="00105FB4"/>
    <w:rsid w:val="00107AA9"/>
    <w:rsid w:val="00110858"/>
    <w:rsid w:val="0011126F"/>
    <w:rsid w:val="00111F31"/>
    <w:rsid w:val="00111FEC"/>
    <w:rsid w:val="001168C2"/>
    <w:rsid w:val="00122856"/>
    <w:rsid w:val="00125FF4"/>
    <w:rsid w:val="00130C06"/>
    <w:rsid w:val="00131FD7"/>
    <w:rsid w:val="001340F9"/>
    <w:rsid w:val="0013533A"/>
    <w:rsid w:val="00135D7E"/>
    <w:rsid w:val="001367DE"/>
    <w:rsid w:val="00141FE8"/>
    <w:rsid w:val="0014294F"/>
    <w:rsid w:val="00145E67"/>
    <w:rsid w:val="00147325"/>
    <w:rsid w:val="00147703"/>
    <w:rsid w:val="00152C36"/>
    <w:rsid w:val="00153315"/>
    <w:rsid w:val="001543F6"/>
    <w:rsid w:val="00155D89"/>
    <w:rsid w:val="00156676"/>
    <w:rsid w:val="00160EC1"/>
    <w:rsid w:val="00166488"/>
    <w:rsid w:val="00167DE0"/>
    <w:rsid w:val="00171EF0"/>
    <w:rsid w:val="00174A68"/>
    <w:rsid w:val="00174A9E"/>
    <w:rsid w:val="00174BA7"/>
    <w:rsid w:val="001758EE"/>
    <w:rsid w:val="00175E81"/>
    <w:rsid w:val="001762E1"/>
    <w:rsid w:val="00176E66"/>
    <w:rsid w:val="00176FFE"/>
    <w:rsid w:val="001778AF"/>
    <w:rsid w:val="00182A0F"/>
    <w:rsid w:val="00183C30"/>
    <w:rsid w:val="00184F2E"/>
    <w:rsid w:val="00187EAE"/>
    <w:rsid w:val="00192235"/>
    <w:rsid w:val="001926F2"/>
    <w:rsid w:val="00192BF3"/>
    <w:rsid w:val="001933F6"/>
    <w:rsid w:val="001936BE"/>
    <w:rsid w:val="00193EEA"/>
    <w:rsid w:val="001942C8"/>
    <w:rsid w:val="00194A27"/>
    <w:rsid w:val="0019502E"/>
    <w:rsid w:val="00196B57"/>
    <w:rsid w:val="001A12D0"/>
    <w:rsid w:val="001A1B8F"/>
    <w:rsid w:val="001A2E7A"/>
    <w:rsid w:val="001A2FB3"/>
    <w:rsid w:val="001A3CEF"/>
    <w:rsid w:val="001A4917"/>
    <w:rsid w:val="001A59B4"/>
    <w:rsid w:val="001A5B13"/>
    <w:rsid w:val="001A6323"/>
    <w:rsid w:val="001A77C4"/>
    <w:rsid w:val="001B017E"/>
    <w:rsid w:val="001B0E11"/>
    <w:rsid w:val="001B1033"/>
    <w:rsid w:val="001B122D"/>
    <w:rsid w:val="001B1DE8"/>
    <w:rsid w:val="001B2C4F"/>
    <w:rsid w:val="001B473A"/>
    <w:rsid w:val="001B52F2"/>
    <w:rsid w:val="001B5B8E"/>
    <w:rsid w:val="001C0468"/>
    <w:rsid w:val="001C2194"/>
    <w:rsid w:val="001C3839"/>
    <w:rsid w:val="001D0C07"/>
    <w:rsid w:val="001D1390"/>
    <w:rsid w:val="001D419F"/>
    <w:rsid w:val="001D4D1B"/>
    <w:rsid w:val="001D6672"/>
    <w:rsid w:val="001D66FE"/>
    <w:rsid w:val="001D7161"/>
    <w:rsid w:val="001D7A67"/>
    <w:rsid w:val="001E0BDF"/>
    <w:rsid w:val="001E1B51"/>
    <w:rsid w:val="001E1C6F"/>
    <w:rsid w:val="001E2290"/>
    <w:rsid w:val="001E2495"/>
    <w:rsid w:val="001E3D9D"/>
    <w:rsid w:val="001E40EA"/>
    <w:rsid w:val="001E500D"/>
    <w:rsid w:val="001E78EC"/>
    <w:rsid w:val="001E7C02"/>
    <w:rsid w:val="001F0897"/>
    <w:rsid w:val="001F14AF"/>
    <w:rsid w:val="002021CE"/>
    <w:rsid w:val="00202352"/>
    <w:rsid w:val="0020244E"/>
    <w:rsid w:val="00203112"/>
    <w:rsid w:val="002034DF"/>
    <w:rsid w:val="002038E5"/>
    <w:rsid w:val="0020679A"/>
    <w:rsid w:val="00210582"/>
    <w:rsid w:val="00211094"/>
    <w:rsid w:val="0021123D"/>
    <w:rsid w:val="00212BD9"/>
    <w:rsid w:val="00213D7B"/>
    <w:rsid w:val="00214860"/>
    <w:rsid w:val="002149E8"/>
    <w:rsid w:val="00215279"/>
    <w:rsid w:val="00215EC2"/>
    <w:rsid w:val="00217F16"/>
    <w:rsid w:val="00221768"/>
    <w:rsid w:val="002220E6"/>
    <w:rsid w:val="0022238D"/>
    <w:rsid w:val="002225FB"/>
    <w:rsid w:val="00227FDC"/>
    <w:rsid w:val="002307E1"/>
    <w:rsid w:val="002317C4"/>
    <w:rsid w:val="002346F4"/>
    <w:rsid w:val="002360E8"/>
    <w:rsid w:val="00241A61"/>
    <w:rsid w:val="0024227E"/>
    <w:rsid w:val="002427DC"/>
    <w:rsid w:val="00242DCE"/>
    <w:rsid w:val="00243B3D"/>
    <w:rsid w:val="00244D35"/>
    <w:rsid w:val="002453AB"/>
    <w:rsid w:val="0025195A"/>
    <w:rsid w:val="00252E5C"/>
    <w:rsid w:val="002539B4"/>
    <w:rsid w:val="00253D00"/>
    <w:rsid w:val="00254F43"/>
    <w:rsid w:val="002573BB"/>
    <w:rsid w:val="002610DA"/>
    <w:rsid w:val="0026427D"/>
    <w:rsid w:val="00265A16"/>
    <w:rsid w:val="00265C8C"/>
    <w:rsid w:val="00267075"/>
    <w:rsid w:val="002673F1"/>
    <w:rsid w:val="002707FB"/>
    <w:rsid w:val="0027154E"/>
    <w:rsid w:val="00272E52"/>
    <w:rsid w:val="00274435"/>
    <w:rsid w:val="00275443"/>
    <w:rsid w:val="00275B02"/>
    <w:rsid w:val="002767A4"/>
    <w:rsid w:val="002800CE"/>
    <w:rsid w:val="00291511"/>
    <w:rsid w:val="00293442"/>
    <w:rsid w:val="00294B3F"/>
    <w:rsid w:val="00294FBA"/>
    <w:rsid w:val="00297FF0"/>
    <w:rsid w:val="002A0F8F"/>
    <w:rsid w:val="002A2651"/>
    <w:rsid w:val="002A365B"/>
    <w:rsid w:val="002A3A53"/>
    <w:rsid w:val="002A3BC9"/>
    <w:rsid w:val="002A7EDE"/>
    <w:rsid w:val="002B005C"/>
    <w:rsid w:val="002B0D32"/>
    <w:rsid w:val="002B11A6"/>
    <w:rsid w:val="002B264E"/>
    <w:rsid w:val="002B4B18"/>
    <w:rsid w:val="002B531A"/>
    <w:rsid w:val="002C1FAE"/>
    <w:rsid w:val="002C2383"/>
    <w:rsid w:val="002C2AD3"/>
    <w:rsid w:val="002C34DF"/>
    <w:rsid w:val="002C534F"/>
    <w:rsid w:val="002C56CD"/>
    <w:rsid w:val="002C699B"/>
    <w:rsid w:val="002C7B17"/>
    <w:rsid w:val="002D241B"/>
    <w:rsid w:val="002D45E6"/>
    <w:rsid w:val="002D5218"/>
    <w:rsid w:val="002D6705"/>
    <w:rsid w:val="002D76F1"/>
    <w:rsid w:val="002E06CD"/>
    <w:rsid w:val="002E4B31"/>
    <w:rsid w:val="002E4C10"/>
    <w:rsid w:val="002E4CAE"/>
    <w:rsid w:val="002E725A"/>
    <w:rsid w:val="002F0593"/>
    <w:rsid w:val="002F0D29"/>
    <w:rsid w:val="002F0DB1"/>
    <w:rsid w:val="002F35FC"/>
    <w:rsid w:val="002F3E1A"/>
    <w:rsid w:val="002F3F7A"/>
    <w:rsid w:val="002F5B33"/>
    <w:rsid w:val="002F74AD"/>
    <w:rsid w:val="00301A16"/>
    <w:rsid w:val="0030226A"/>
    <w:rsid w:val="0030381B"/>
    <w:rsid w:val="00304A1C"/>
    <w:rsid w:val="00305C2C"/>
    <w:rsid w:val="00306B69"/>
    <w:rsid w:val="00307571"/>
    <w:rsid w:val="0031066F"/>
    <w:rsid w:val="00312786"/>
    <w:rsid w:val="00314EDE"/>
    <w:rsid w:val="00315045"/>
    <w:rsid w:val="00315D4B"/>
    <w:rsid w:val="00320255"/>
    <w:rsid w:val="0032123A"/>
    <w:rsid w:val="00321933"/>
    <w:rsid w:val="00322DF1"/>
    <w:rsid w:val="00324561"/>
    <w:rsid w:val="00324AF2"/>
    <w:rsid w:val="00324F39"/>
    <w:rsid w:val="00325624"/>
    <w:rsid w:val="00325FD5"/>
    <w:rsid w:val="003263B5"/>
    <w:rsid w:val="00326E83"/>
    <w:rsid w:val="00330183"/>
    <w:rsid w:val="00330FB9"/>
    <w:rsid w:val="00331DA7"/>
    <w:rsid w:val="00332724"/>
    <w:rsid w:val="00334D0B"/>
    <w:rsid w:val="0033726B"/>
    <w:rsid w:val="00337A28"/>
    <w:rsid w:val="0034206A"/>
    <w:rsid w:val="003426B7"/>
    <w:rsid w:val="00342CA2"/>
    <w:rsid w:val="00342DD2"/>
    <w:rsid w:val="00345585"/>
    <w:rsid w:val="0034564C"/>
    <w:rsid w:val="00346199"/>
    <w:rsid w:val="00347A00"/>
    <w:rsid w:val="0035011E"/>
    <w:rsid w:val="0035026F"/>
    <w:rsid w:val="00350579"/>
    <w:rsid w:val="00352766"/>
    <w:rsid w:val="00354382"/>
    <w:rsid w:val="003570EA"/>
    <w:rsid w:val="00357DEF"/>
    <w:rsid w:val="003620B0"/>
    <w:rsid w:val="00363243"/>
    <w:rsid w:val="003639EE"/>
    <w:rsid w:val="003661C2"/>
    <w:rsid w:val="003708B8"/>
    <w:rsid w:val="003710CA"/>
    <w:rsid w:val="003711E9"/>
    <w:rsid w:val="00371321"/>
    <w:rsid w:val="00371574"/>
    <w:rsid w:val="00371BD2"/>
    <w:rsid w:val="00372C7B"/>
    <w:rsid w:val="00376204"/>
    <w:rsid w:val="003765D9"/>
    <w:rsid w:val="003772E2"/>
    <w:rsid w:val="003812EA"/>
    <w:rsid w:val="00381964"/>
    <w:rsid w:val="00383793"/>
    <w:rsid w:val="00385EF6"/>
    <w:rsid w:val="003875A7"/>
    <w:rsid w:val="00387766"/>
    <w:rsid w:val="00387CD3"/>
    <w:rsid w:val="003900FF"/>
    <w:rsid w:val="003903EF"/>
    <w:rsid w:val="003916BA"/>
    <w:rsid w:val="00391979"/>
    <w:rsid w:val="0039227C"/>
    <w:rsid w:val="00392EF1"/>
    <w:rsid w:val="00393B66"/>
    <w:rsid w:val="00393DDB"/>
    <w:rsid w:val="00395155"/>
    <w:rsid w:val="00396775"/>
    <w:rsid w:val="00396A7F"/>
    <w:rsid w:val="003A07A5"/>
    <w:rsid w:val="003A0A31"/>
    <w:rsid w:val="003A16BB"/>
    <w:rsid w:val="003A1787"/>
    <w:rsid w:val="003A2761"/>
    <w:rsid w:val="003A36F3"/>
    <w:rsid w:val="003A4C51"/>
    <w:rsid w:val="003A73FB"/>
    <w:rsid w:val="003A760B"/>
    <w:rsid w:val="003B2D12"/>
    <w:rsid w:val="003B33F4"/>
    <w:rsid w:val="003B5426"/>
    <w:rsid w:val="003B6E5D"/>
    <w:rsid w:val="003C1231"/>
    <w:rsid w:val="003C3251"/>
    <w:rsid w:val="003C33B8"/>
    <w:rsid w:val="003C4DF6"/>
    <w:rsid w:val="003C5FC3"/>
    <w:rsid w:val="003C76D7"/>
    <w:rsid w:val="003C7A02"/>
    <w:rsid w:val="003D00A7"/>
    <w:rsid w:val="003D4FC8"/>
    <w:rsid w:val="003D4FE0"/>
    <w:rsid w:val="003D5689"/>
    <w:rsid w:val="003D5A7E"/>
    <w:rsid w:val="003D7B87"/>
    <w:rsid w:val="003E07D6"/>
    <w:rsid w:val="003E0C9C"/>
    <w:rsid w:val="003E1CF8"/>
    <w:rsid w:val="003E331E"/>
    <w:rsid w:val="003E64F9"/>
    <w:rsid w:val="003E6A13"/>
    <w:rsid w:val="003E7B14"/>
    <w:rsid w:val="003E7BB4"/>
    <w:rsid w:val="003E7C11"/>
    <w:rsid w:val="003E7C8A"/>
    <w:rsid w:val="003F0270"/>
    <w:rsid w:val="003F18BE"/>
    <w:rsid w:val="003F3802"/>
    <w:rsid w:val="003F39D8"/>
    <w:rsid w:val="003F7605"/>
    <w:rsid w:val="00400008"/>
    <w:rsid w:val="00400828"/>
    <w:rsid w:val="00401647"/>
    <w:rsid w:val="00401A60"/>
    <w:rsid w:val="00402881"/>
    <w:rsid w:val="004038DD"/>
    <w:rsid w:val="004043FA"/>
    <w:rsid w:val="004061A6"/>
    <w:rsid w:val="0040786A"/>
    <w:rsid w:val="004124BB"/>
    <w:rsid w:val="00412E9A"/>
    <w:rsid w:val="0041410B"/>
    <w:rsid w:val="00415313"/>
    <w:rsid w:val="00420558"/>
    <w:rsid w:val="00420B58"/>
    <w:rsid w:val="00421DA5"/>
    <w:rsid w:val="00422B59"/>
    <w:rsid w:val="00422DEC"/>
    <w:rsid w:val="004230A1"/>
    <w:rsid w:val="004238EE"/>
    <w:rsid w:val="00424471"/>
    <w:rsid w:val="0042468B"/>
    <w:rsid w:val="004307B6"/>
    <w:rsid w:val="00431599"/>
    <w:rsid w:val="00432AAB"/>
    <w:rsid w:val="004330A7"/>
    <w:rsid w:val="00433FED"/>
    <w:rsid w:val="00435B5A"/>
    <w:rsid w:val="00435F84"/>
    <w:rsid w:val="004368A7"/>
    <w:rsid w:val="004403BB"/>
    <w:rsid w:val="0044615C"/>
    <w:rsid w:val="00446AEF"/>
    <w:rsid w:val="0044702A"/>
    <w:rsid w:val="004559B4"/>
    <w:rsid w:val="00456099"/>
    <w:rsid w:val="00456A96"/>
    <w:rsid w:val="0046026A"/>
    <w:rsid w:val="00460480"/>
    <w:rsid w:val="00460793"/>
    <w:rsid w:val="00461256"/>
    <w:rsid w:val="0046279E"/>
    <w:rsid w:val="00464E36"/>
    <w:rsid w:val="00465389"/>
    <w:rsid w:val="00466717"/>
    <w:rsid w:val="004668D5"/>
    <w:rsid w:val="004709BB"/>
    <w:rsid w:val="00470F90"/>
    <w:rsid w:val="004710C8"/>
    <w:rsid w:val="0047165B"/>
    <w:rsid w:val="004722A2"/>
    <w:rsid w:val="0047254D"/>
    <w:rsid w:val="00472F3F"/>
    <w:rsid w:val="00474F8B"/>
    <w:rsid w:val="0047573D"/>
    <w:rsid w:val="00480908"/>
    <w:rsid w:val="00481FA8"/>
    <w:rsid w:val="00482C9F"/>
    <w:rsid w:val="00486DEB"/>
    <w:rsid w:val="00486E2C"/>
    <w:rsid w:val="004877BB"/>
    <w:rsid w:val="00491B5D"/>
    <w:rsid w:val="00493F66"/>
    <w:rsid w:val="00496DED"/>
    <w:rsid w:val="00497454"/>
    <w:rsid w:val="004A0F06"/>
    <w:rsid w:val="004A1F1B"/>
    <w:rsid w:val="004A32FF"/>
    <w:rsid w:val="004A5FBC"/>
    <w:rsid w:val="004A6CCC"/>
    <w:rsid w:val="004A7090"/>
    <w:rsid w:val="004B14CB"/>
    <w:rsid w:val="004B24D1"/>
    <w:rsid w:val="004B3077"/>
    <w:rsid w:val="004B339C"/>
    <w:rsid w:val="004B3705"/>
    <w:rsid w:val="004B3BC6"/>
    <w:rsid w:val="004B4986"/>
    <w:rsid w:val="004B4BE0"/>
    <w:rsid w:val="004B6664"/>
    <w:rsid w:val="004B68A9"/>
    <w:rsid w:val="004B6B5D"/>
    <w:rsid w:val="004B7A7B"/>
    <w:rsid w:val="004C1081"/>
    <w:rsid w:val="004C2503"/>
    <w:rsid w:val="004C4026"/>
    <w:rsid w:val="004C5151"/>
    <w:rsid w:val="004C54ED"/>
    <w:rsid w:val="004C5856"/>
    <w:rsid w:val="004C6568"/>
    <w:rsid w:val="004C7FCD"/>
    <w:rsid w:val="004D059A"/>
    <w:rsid w:val="004D14CB"/>
    <w:rsid w:val="004D23B2"/>
    <w:rsid w:val="004D4019"/>
    <w:rsid w:val="004D5760"/>
    <w:rsid w:val="004D64BA"/>
    <w:rsid w:val="004D6929"/>
    <w:rsid w:val="004D727B"/>
    <w:rsid w:val="004D7BD1"/>
    <w:rsid w:val="004D7EB0"/>
    <w:rsid w:val="004E2AE3"/>
    <w:rsid w:val="004E34E4"/>
    <w:rsid w:val="004E3E72"/>
    <w:rsid w:val="004E49B1"/>
    <w:rsid w:val="004E4AD1"/>
    <w:rsid w:val="004E56E2"/>
    <w:rsid w:val="004E6ED9"/>
    <w:rsid w:val="004F338B"/>
    <w:rsid w:val="004F401C"/>
    <w:rsid w:val="004F49A5"/>
    <w:rsid w:val="004F573E"/>
    <w:rsid w:val="00500BA5"/>
    <w:rsid w:val="00501CDD"/>
    <w:rsid w:val="00501D0A"/>
    <w:rsid w:val="00501E38"/>
    <w:rsid w:val="00503CCA"/>
    <w:rsid w:val="005057E9"/>
    <w:rsid w:val="005100A5"/>
    <w:rsid w:val="0051153F"/>
    <w:rsid w:val="00511CFF"/>
    <w:rsid w:val="00512A98"/>
    <w:rsid w:val="00515507"/>
    <w:rsid w:val="00515663"/>
    <w:rsid w:val="00517AE1"/>
    <w:rsid w:val="0052002F"/>
    <w:rsid w:val="00520D23"/>
    <w:rsid w:val="0052493C"/>
    <w:rsid w:val="00525CB3"/>
    <w:rsid w:val="00532E58"/>
    <w:rsid w:val="00535D85"/>
    <w:rsid w:val="00535DF5"/>
    <w:rsid w:val="00540136"/>
    <w:rsid w:val="005401B6"/>
    <w:rsid w:val="00541D81"/>
    <w:rsid w:val="00541E48"/>
    <w:rsid w:val="00542E7D"/>
    <w:rsid w:val="0054316D"/>
    <w:rsid w:val="00544F03"/>
    <w:rsid w:val="005473A7"/>
    <w:rsid w:val="00547E92"/>
    <w:rsid w:val="00550720"/>
    <w:rsid w:val="005521B0"/>
    <w:rsid w:val="00553029"/>
    <w:rsid w:val="00555186"/>
    <w:rsid w:val="0055623C"/>
    <w:rsid w:val="00557342"/>
    <w:rsid w:val="00561302"/>
    <w:rsid w:val="00562496"/>
    <w:rsid w:val="005631F4"/>
    <w:rsid w:val="00563508"/>
    <w:rsid w:val="00566197"/>
    <w:rsid w:val="0056722B"/>
    <w:rsid w:val="00571095"/>
    <w:rsid w:val="0057258D"/>
    <w:rsid w:val="005732B9"/>
    <w:rsid w:val="005733B9"/>
    <w:rsid w:val="00576B68"/>
    <w:rsid w:val="00577155"/>
    <w:rsid w:val="0057717E"/>
    <w:rsid w:val="0058552C"/>
    <w:rsid w:val="005863C0"/>
    <w:rsid w:val="005935B6"/>
    <w:rsid w:val="005935EE"/>
    <w:rsid w:val="0059381A"/>
    <w:rsid w:val="00597C86"/>
    <w:rsid w:val="005A5762"/>
    <w:rsid w:val="005B1C52"/>
    <w:rsid w:val="005B1EA7"/>
    <w:rsid w:val="005B31A6"/>
    <w:rsid w:val="005B4E77"/>
    <w:rsid w:val="005B4EC5"/>
    <w:rsid w:val="005C09AE"/>
    <w:rsid w:val="005C24DE"/>
    <w:rsid w:val="005C3790"/>
    <w:rsid w:val="005C3EFF"/>
    <w:rsid w:val="005C5E00"/>
    <w:rsid w:val="005C6B7F"/>
    <w:rsid w:val="005C7017"/>
    <w:rsid w:val="005D312C"/>
    <w:rsid w:val="005D3CB9"/>
    <w:rsid w:val="005D63E3"/>
    <w:rsid w:val="005D67FB"/>
    <w:rsid w:val="005E08B2"/>
    <w:rsid w:val="005E11A0"/>
    <w:rsid w:val="005E34DA"/>
    <w:rsid w:val="005E34FC"/>
    <w:rsid w:val="005E3771"/>
    <w:rsid w:val="005E3C2A"/>
    <w:rsid w:val="005E5613"/>
    <w:rsid w:val="005E789B"/>
    <w:rsid w:val="005F0FAB"/>
    <w:rsid w:val="005F181B"/>
    <w:rsid w:val="005F47C2"/>
    <w:rsid w:val="005F5244"/>
    <w:rsid w:val="005F561B"/>
    <w:rsid w:val="005F72CD"/>
    <w:rsid w:val="006012CF"/>
    <w:rsid w:val="006041E5"/>
    <w:rsid w:val="00604B42"/>
    <w:rsid w:val="00605AC8"/>
    <w:rsid w:val="006068E2"/>
    <w:rsid w:val="006068ED"/>
    <w:rsid w:val="00610743"/>
    <w:rsid w:val="00617EB2"/>
    <w:rsid w:val="00622E16"/>
    <w:rsid w:val="00625AF4"/>
    <w:rsid w:val="006265DD"/>
    <w:rsid w:val="00626BFD"/>
    <w:rsid w:val="00627CE0"/>
    <w:rsid w:val="006314AD"/>
    <w:rsid w:val="00631662"/>
    <w:rsid w:val="00633011"/>
    <w:rsid w:val="006356F1"/>
    <w:rsid w:val="00635CD2"/>
    <w:rsid w:val="0063630B"/>
    <w:rsid w:val="00636F71"/>
    <w:rsid w:val="00637DF8"/>
    <w:rsid w:val="0064042E"/>
    <w:rsid w:val="006419D1"/>
    <w:rsid w:val="0064758D"/>
    <w:rsid w:val="00647A9C"/>
    <w:rsid w:val="0065121B"/>
    <w:rsid w:val="0065144E"/>
    <w:rsid w:val="00653AD7"/>
    <w:rsid w:val="00653CFB"/>
    <w:rsid w:val="0065424E"/>
    <w:rsid w:val="00654E77"/>
    <w:rsid w:val="00655B79"/>
    <w:rsid w:val="00657B2C"/>
    <w:rsid w:val="006609CE"/>
    <w:rsid w:val="0066107E"/>
    <w:rsid w:val="00662F91"/>
    <w:rsid w:val="00664653"/>
    <w:rsid w:val="00664B42"/>
    <w:rsid w:val="006655BD"/>
    <w:rsid w:val="006656A0"/>
    <w:rsid w:val="00666FEC"/>
    <w:rsid w:val="00672B7E"/>
    <w:rsid w:val="006737BD"/>
    <w:rsid w:val="00674311"/>
    <w:rsid w:val="006749F9"/>
    <w:rsid w:val="00675CCC"/>
    <w:rsid w:val="0067666C"/>
    <w:rsid w:val="006802DC"/>
    <w:rsid w:val="006809C5"/>
    <w:rsid w:val="00680C17"/>
    <w:rsid w:val="00680ED8"/>
    <w:rsid w:val="006847E9"/>
    <w:rsid w:val="00684BDD"/>
    <w:rsid w:val="00686C58"/>
    <w:rsid w:val="00687425"/>
    <w:rsid w:val="00687D43"/>
    <w:rsid w:val="0069011E"/>
    <w:rsid w:val="00692B91"/>
    <w:rsid w:val="00693275"/>
    <w:rsid w:val="006943B7"/>
    <w:rsid w:val="0069492C"/>
    <w:rsid w:val="00696D10"/>
    <w:rsid w:val="006970AD"/>
    <w:rsid w:val="006979BA"/>
    <w:rsid w:val="006A150A"/>
    <w:rsid w:val="006A1958"/>
    <w:rsid w:val="006A39E8"/>
    <w:rsid w:val="006A3A4A"/>
    <w:rsid w:val="006A3AB6"/>
    <w:rsid w:val="006A6327"/>
    <w:rsid w:val="006A66BD"/>
    <w:rsid w:val="006B1218"/>
    <w:rsid w:val="006B1BF7"/>
    <w:rsid w:val="006B1DDF"/>
    <w:rsid w:val="006B4397"/>
    <w:rsid w:val="006B5F38"/>
    <w:rsid w:val="006B6C0B"/>
    <w:rsid w:val="006B7092"/>
    <w:rsid w:val="006B775A"/>
    <w:rsid w:val="006C0923"/>
    <w:rsid w:val="006C0B55"/>
    <w:rsid w:val="006C3F12"/>
    <w:rsid w:val="006C4985"/>
    <w:rsid w:val="006C4F9C"/>
    <w:rsid w:val="006C5847"/>
    <w:rsid w:val="006C5EC9"/>
    <w:rsid w:val="006C6525"/>
    <w:rsid w:val="006C7637"/>
    <w:rsid w:val="006D0C94"/>
    <w:rsid w:val="006D0CBB"/>
    <w:rsid w:val="006D2341"/>
    <w:rsid w:val="006D2A1D"/>
    <w:rsid w:val="006D5437"/>
    <w:rsid w:val="006D5D52"/>
    <w:rsid w:val="006D7AC4"/>
    <w:rsid w:val="006E0058"/>
    <w:rsid w:val="006E332E"/>
    <w:rsid w:val="006E3865"/>
    <w:rsid w:val="006E3995"/>
    <w:rsid w:val="006E529E"/>
    <w:rsid w:val="006E671B"/>
    <w:rsid w:val="006F07D4"/>
    <w:rsid w:val="006F3AB2"/>
    <w:rsid w:val="006F3EF7"/>
    <w:rsid w:val="006F3FDA"/>
    <w:rsid w:val="006F41BE"/>
    <w:rsid w:val="006F4803"/>
    <w:rsid w:val="006F5260"/>
    <w:rsid w:val="006F5331"/>
    <w:rsid w:val="006F6F86"/>
    <w:rsid w:val="006F7D5C"/>
    <w:rsid w:val="006F7F63"/>
    <w:rsid w:val="00700BFB"/>
    <w:rsid w:val="00702666"/>
    <w:rsid w:val="00702D11"/>
    <w:rsid w:val="007036DD"/>
    <w:rsid w:val="007044CF"/>
    <w:rsid w:val="00704D1B"/>
    <w:rsid w:val="00706594"/>
    <w:rsid w:val="007072D2"/>
    <w:rsid w:val="0071005E"/>
    <w:rsid w:val="007122BE"/>
    <w:rsid w:val="00712306"/>
    <w:rsid w:val="0071301D"/>
    <w:rsid w:val="00713090"/>
    <w:rsid w:val="00713106"/>
    <w:rsid w:val="0071364A"/>
    <w:rsid w:val="007138EC"/>
    <w:rsid w:val="0071395D"/>
    <w:rsid w:val="00713B27"/>
    <w:rsid w:val="00713FA3"/>
    <w:rsid w:val="0071486F"/>
    <w:rsid w:val="00716020"/>
    <w:rsid w:val="0071668D"/>
    <w:rsid w:val="00716869"/>
    <w:rsid w:val="0072130D"/>
    <w:rsid w:val="00721542"/>
    <w:rsid w:val="00722EFA"/>
    <w:rsid w:val="00723F62"/>
    <w:rsid w:val="00725080"/>
    <w:rsid w:val="007276CA"/>
    <w:rsid w:val="00731E21"/>
    <w:rsid w:val="00733A11"/>
    <w:rsid w:val="00734501"/>
    <w:rsid w:val="00741A5A"/>
    <w:rsid w:val="00746A1F"/>
    <w:rsid w:val="00747C2E"/>
    <w:rsid w:val="007527CC"/>
    <w:rsid w:val="00752BF6"/>
    <w:rsid w:val="007544A8"/>
    <w:rsid w:val="007553C2"/>
    <w:rsid w:val="0075565B"/>
    <w:rsid w:val="00755D9A"/>
    <w:rsid w:val="00756595"/>
    <w:rsid w:val="00756625"/>
    <w:rsid w:val="007569C0"/>
    <w:rsid w:val="00760435"/>
    <w:rsid w:val="00760C65"/>
    <w:rsid w:val="00761103"/>
    <w:rsid w:val="00762077"/>
    <w:rsid w:val="007620EB"/>
    <w:rsid w:val="00763CC6"/>
    <w:rsid w:val="00764C5A"/>
    <w:rsid w:val="007659B6"/>
    <w:rsid w:val="007675DC"/>
    <w:rsid w:val="007710B0"/>
    <w:rsid w:val="00774B35"/>
    <w:rsid w:val="007758BD"/>
    <w:rsid w:val="00776EAE"/>
    <w:rsid w:val="007824B9"/>
    <w:rsid w:val="0078466E"/>
    <w:rsid w:val="00790FFD"/>
    <w:rsid w:val="007923D8"/>
    <w:rsid w:val="0079285F"/>
    <w:rsid w:val="0079327D"/>
    <w:rsid w:val="00793E5B"/>
    <w:rsid w:val="00794988"/>
    <w:rsid w:val="007966F0"/>
    <w:rsid w:val="007967FF"/>
    <w:rsid w:val="007A1F4E"/>
    <w:rsid w:val="007A1F66"/>
    <w:rsid w:val="007A270C"/>
    <w:rsid w:val="007A2B1F"/>
    <w:rsid w:val="007A6F11"/>
    <w:rsid w:val="007B000E"/>
    <w:rsid w:val="007B0126"/>
    <w:rsid w:val="007B20CE"/>
    <w:rsid w:val="007B23A5"/>
    <w:rsid w:val="007B315B"/>
    <w:rsid w:val="007B3498"/>
    <w:rsid w:val="007B5451"/>
    <w:rsid w:val="007B573A"/>
    <w:rsid w:val="007B6140"/>
    <w:rsid w:val="007C0C1F"/>
    <w:rsid w:val="007C14A4"/>
    <w:rsid w:val="007C282E"/>
    <w:rsid w:val="007C297B"/>
    <w:rsid w:val="007C3B16"/>
    <w:rsid w:val="007C410C"/>
    <w:rsid w:val="007C5FCC"/>
    <w:rsid w:val="007C6BBA"/>
    <w:rsid w:val="007D15F5"/>
    <w:rsid w:val="007D1725"/>
    <w:rsid w:val="007D239D"/>
    <w:rsid w:val="007D2776"/>
    <w:rsid w:val="007E0F33"/>
    <w:rsid w:val="007E2796"/>
    <w:rsid w:val="007E2D1E"/>
    <w:rsid w:val="007E3261"/>
    <w:rsid w:val="007E4456"/>
    <w:rsid w:val="007E5CF0"/>
    <w:rsid w:val="007E5D24"/>
    <w:rsid w:val="007F02AE"/>
    <w:rsid w:val="007F1749"/>
    <w:rsid w:val="007F2602"/>
    <w:rsid w:val="007F4823"/>
    <w:rsid w:val="007F5CCC"/>
    <w:rsid w:val="007F61A7"/>
    <w:rsid w:val="007F6750"/>
    <w:rsid w:val="007F7E25"/>
    <w:rsid w:val="00800372"/>
    <w:rsid w:val="00800651"/>
    <w:rsid w:val="00800AE8"/>
    <w:rsid w:val="00801400"/>
    <w:rsid w:val="008014C6"/>
    <w:rsid w:val="00802D0C"/>
    <w:rsid w:val="008038F4"/>
    <w:rsid w:val="00803BBA"/>
    <w:rsid w:val="00803C8E"/>
    <w:rsid w:val="00813851"/>
    <w:rsid w:val="00814301"/>
    <w:rsid w:val="00816AE1"/>
    <w:rsid w:val="00817AB9"/>
    <w:rsid w:val="00820E8F"/>
    <w:rsid w:val="00820F76"/>
    <w:rsid w:val="00822361"/>
    <w:rsid w:val="00824924"/>
    <w:rsid w:val="0082577C"/>
    <w:rsid w:val="0082638D"/>
    <w:rsid w:val="00827235"/>
    <w:rsid w:val="00835499"/>
    <w:rsid w:val="00835A38"/>
    <w:rsid w:val="008409A8"/>
    <w:rsid w:val="00842E86"/>
    <w:rsid w:val="0084304D"/>
    <w:rsid w:val="00844CDD"/>
    <w:rsid w:val="0084707F"/>
    <w:rsid w:val="0085292F"/>
    <w:rsid w:val="008571A1"/>
    <w:rsid w:val="008624A0"/>
    <w:rsid w:val="00862711"/>
    <w:rsid w:val="008666A3"/>
    <w:rsid w:val="00867E7A"/>
    <w:rsid w:val="00871C6D"/>
    <w:rsid w:val="00872B98"/>
    <w:rsid w:val="0087651A"/>
    <w:rsid w:val="00876756"/>
    <w:rsid w:val="008769C1"/>
    <w:rsid w:val="00877589"/>
    <w:rsid w:val="00881914"/>
    <w:rsid w:val="00883C73"/>
    <w:rsid w:val="008854BF"/>
    <w:rsid w:val="00887F29"/>
    <w:rsid w:val="0089125E"/>
    <w:rsid w:val="00891D5D"/>
    <w:rsid w:val="00893113"/>
    <w:rsid w:val="008936C4"/>
    <w:rsid w:val="00893777"/>
    <w:rsid w:val="008969A7"/>
    <w:rsid w:val="008A09E3"/>
    <w:rsid w:val="008A264E"/>
    <w:rsid w:val="008A2AEB"/>
    <w:rsid w:val="008A5B54"/>
    <w:rsid w:val="008A5EF9"/>
    <w:rsid w:val="008A7F38"/>
    <w:rsid w:val="008B14D8"/>
    <w:rsid w:val="008B1B47"/>
    <w:rsid w:val="008B2A52"/>
    <w:rsid w:val="008B37A6"/>
    <w:rsid w:val="008B3AB2"/>
    <w:rsid w:val="008B418F"/>
    <w:rsid w:val="008B4D54"/>
    <w:rsid w:val="008B6818"/>
    <w:rsid w:val="008B6B7E"/>
    <w:rsid w:val="008C14CC"/>
    <w:rsid w:val="008C2308"/>
    <w:rsid w:val="008C3650"/>
    <w:rsid w:val="008C5046"/>
    <w:rsid w:val="008C62F5"/>
    <w:rsid w:val="008D162B"/>
    <w:rsid w:val="008D325D"/>
    <w:rsid w:val="008D3C9E"/>
    <w:rsid w:val="008D65B8"/>
    <w:rsid w:val="008D7B7B"/>
    <w:rsid w:val="008E1301"/>
    <w:rsid w:val="008E1886"/>
    <w:rsid w:val="008E1EB1"/>
    <w:rsid w:val="008E2052"/>
    <w:rsid w:val="008E21BE"/>
    <w:rsid w:val="008E2C5E"/>
    <w:rsid w:val="008E5D68"/>
    <w:rsid w:val="008E661B"/>
    <w:rsid w:val="008E6D0E"/>
    <w:rsid w:val="008F1A60"/>
    <w:rsid w:val="008F28BC"/>
    <w:rsid w:val="008F34F9"/>
    <w:rsid w:val="008F4AFC"/>
    <w:rsid w:val="008F4B06"/>
    <w:rsid w:val="009033E6"/>
    <w:rsid w:val="00903C05"/>
    <w:rsid w:val="0090404E"/>
    <w:rsid w:val="00907136"/>
    <w:rsid w:val="009111CB"/>
    <w:rsid w:val="009129D5"/>
    <w:rsid w:val="00913A3F"/>
    <w:rsid w:val="00914523"/>
    <w:rsid w:val="00914878"/>
    <w:rsid w:val="00915153"/>
    <w:rsid w:val="009167F8"/>
    <w:rsid w:val="00916DF0"/>
    <w:rsid w:val="0092016A"/>
    <w:rsid w:val="00921836"/>
    <w:rsid w:val="00922147"/>
    <w:rsid w:val="009221E9"/>
    <w:rsid w:val="00922287"/>
    <w:rsid w:val="00922409"/>
    <w:rsid w:val="00922860"/>
    <w:rsid w:val="00923096"/>
    <w:rsid w:val="00924E9B"/>
    <w:rsid w:val="0092586C"/>
    <w:rsid w:val="0093093F"/>
    <w:rsid w:val="0093158F"/>
    <w:rsid w:val="00931D93"/>
    <w:rsid w:val="00933199"/>
    <w:rsid w:val="00933630"/>
    <w:rsid w:val="0093591A"/>
    <w:rsid w:val="00936B42"/>
    <w:rsid w:val="00936F51"/>
    <w:rsid w:val="009378E9"/>
    <w:rsid w:val="009400B1"/>
    <w:rsid w:val="00940AC3"/>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3C9"/>
    <w:rsid w:val="0095740E"/>
    <w:rsid w:val="0095758F"/>
    <w:rsid w:val="0096025D"/>
    <w:rsid w:val="00960D4E"/>
    <w:rsid w:val="00960F8F"/>
    <w:rsid w:val="00961727"/>
    <w:rsid w:val="00965A55"/>
    <w:rsid w:val="00965D89"/>
    <w:rsid w:val="009670E1"/>
    <w:rsid w:val="00967ED6"/>
    <w:rsid w:val="009722E4"/>
    <w:rsid w:val="009736EB"/>
    <w:rsid w:val="0097395E"/>
    <w:rsid w:val="00974044"/>
    <w:rsid w:val="00981D5E"/>
    <w:rsid w:val="00984728"/>
    <w:rsid w:val="00984CCD"/>
    <w:rsid w:val="009851F5"/>
    <w:rsid w:val="00985A34"/>
    <w:rsid w:val="009915BE"/>
    <w:rsid w:val="00993B4D"/>
    <w:rsid w:val="009945E4"/>
    <w:rsid w:val="009964C7"/>
    <w:rsid w:val="00996818"/>
    <w:rsid w:val="00996F99"/>
    <w:rsid w:val="0099755F"/>
    <w:rsid w:val="00997607"/>
    <w:rsid w:val="009A060D"/>
    <w:rsid w:val="009A1575"/>
    <w:rsid w:val="009A1AA9"/>
    <w:rsid w:val="009A35BF"/>
    <w:rsid w:val="009A6775"/>
    <w:rsid w:val="009B06E6"/>
    <w:rsid w:val="009B0DEA"/>
    <w:rsid w:val="009B17D1"/>
    <w:rsid w:val="009B1D75"/>
    <w:rsid w:val="009B2300"/>
    <w:rsid w:val="009B27D8"/>
    <w:rsid w:val="009B40FB"/>
    <w:rsid w:val="009C01DC"/>
    <w:rsid w:val="009C1C87"/>
    <w:rsid w:val="009C2D6E"/>
    <w:rsid w:val="009C4366"/>
    <w:rsid w:val="009C44AE"/>
    <w:rsid w:val="009C5207"/>
    <w:rsid w:val="009C682E"/>
    <w:rsid w:val="009C6B49"/>
    <w:rsid w:val="009C6EBD"/>
    <w:rsid w:val="009C7ACF"/>
    <w:rsid w:val="009D056B"/>
    <w:rsid w:val="009D2206"/>
    <w:rsid w:val="009D29F4"/>
    <w:rsid w:val="009D2C3E"/>
    <w:rsid w:val="009D3602"/>
    <w:rsid w:val="009D3879"/>
    <w:rsid w:val="009D52C3"/>
    <w:rsid w:val="009D538F"/>
    <w:rsid w:val="009D63BB"/>
    <w:rsid w:val="009E0361"/>
    <w:rsid w:val="009E0B46"/>
    <w:rsid w:val="009E0E9A"/>
    <w:rsid w:val="009E1535"/>
    <w:rsid w:val="009E22FD"/>
    <w:rsid w:val="009E2864"/>
    <w:rsid w:val="009E30ED"/>
    <w:rsid w:val="009E53CA"/>
    <w:rsid w:val="009E6BF4"/>
    <w:rsid w:val="009E7EEC"/>
    <w:rsid w:val="009F1E43"/>
    <w:rsid w:val="009F25AA"/>
    <w:rsid w:val="009F2E6A"/>
    <w:rsid w:val="009F4EA3"/>
    <w:rsid w:val="009F68FE"/>
    <w:rsid w:val="00A001D4"/>
    <w:rsid w:val="00A018CB"/>
    <w:rsid w:val="00A03864"/>
    <w:rsid w:val="00A04FAA"/>
    <w:rsid w:val="00A0611E"/>
    <w:rsid w:val="00A0651C"/>
    <w:rsid w:val="00A06A55"/>
    <w:rsid w:val="00A10E84"/>
    <w:rsid w:val="00A11EBD"/>
    <w:rsid w:val="00A13878"/>
    <w:rsid w:val="00A138C1"/>
    <w:rsid w:val="00A16792"/>
    <w:rsid w:val="00A172DD"/>
    <w:rsid w:val="00A2077F"/>
    <w:rsid w:val="00A21581"/>
    <w:rsid w:val="00A23E50"/>
    <w:rsid w:val="00A26C9E"/>
    <w:rsid w:val="00A30A02"/>
    <w:rsid w:val="00A315D0"/>
    <w:rsid w:val="00A326FB"/>
    <w:rsid w:val="00A355FC"/>
    <w:rsid w:val="00A36AB8"/>
    <w:rsid w:val="00A40040"/>
    <w:rsid w:val="00A4282D"/>
    <w:rsid w:val="00A42A72"/>
    <w:rsid w:val="00A4642F"/>
    <w:rsid w:val="00A50E73"/>
    <w:rsid w:val="00A514E9"/>
    <w:rsid w:val="00A51624"/>
    <w:rsid w:val="00A51A41"/>
    <w:rsid w:val="00A51D77"/>
    <w:rsid w:val="00A538F9"/>
    <w:rsid w:val="00A53D36"/>
    <w:rsid w:val="00A55020"/>
    <w:rsid w:val="00A5562F"/>
    <w:rsid w:val="00A558BC"/>
    <w:rsid w:val="00A56DAA"/>
    <w:rsid w:val="00A6027C"/>
    <w:rsid w:val="00A61574"/>
    <w:rsid w:val="00A650CC"/>
    <w:rsid w:val="00A6516F"/>
    <w:rsid w:val="00A6638C"/>
    <w:rsid w:val="00A676D0"/>
    <w:rsid w:val="00A72B84"/>
    <w:rsid w:val="00A72BAA"/>
    <w:rsid w:val="00A7316C"/>
    <w:rsid w:val="00A759C8"/>
    <w:rsid w:val="00A81A21"/>
    <w:rsid w:val="00A82DBB"/>
    <w:rsid w:val="00A84608"/>
    <w:rsid w:val="00A84A7E"/>
    <w:rsid w:val="00A84E73"/>
    <w:rsid w:val="00A86D2A"/>
    <w:rsid w:val="00A9007D"/>
    <w:rsid w:val="00A919E0"/>
    <w:rsid w:val="00A91B21"/>
    <w:rsid w:val="00A93905"/>
    <w:rsid w:val="00A94C54"/>
    <w:rsid w:val="00A95FCF"/>
    <w:rsid w:val="00AA0FF2"/>
    <w:rsid w:val="00AA1948"/>
    <w:rsid w:val="00AA2243"/>
    <w:rsid w:val="00AA3423"/>
    <w:rsid w:val="00AA3B8A"/>
    <w:rsid w:val="00AB0D21"/>
    <w:rsid w:val="00AB104B"/>
    <w:rsid w:val="00AB155D"/>
    <w:rsid w:val="00AB19E8"/>
    <w:rsid w:val="00AB3260"/>
    <w:rsid w:val="00AB4C7A"/>
    <w:rsid w:val="00AB57F4"/>
    <w:rsid w:val="00AB5ED6"/>
    <w:rsid w:val="00AB7F64"/>
    <w:rsid w:val="00AC05F2"/>
    <w:rsid w:val="00AC0F29"/>
    <w:rsid w:val="00AC1BC7"/>
    <w:rsid w:val="00AC2169"/>
    <w:rsid w:val="00AC24E8"/>
    <w:rsid w:val="00AC5A05"/>
    <w:rsid w:val="00AC6528"/>
    <w:rsid w:val="00AC6ED6"/>
    <w:rsid w:val="00AD0D23"/>
    <w:rsid w:val="00AD5055"/>
    <w:rsid w:val="00AD5CC5"/>
    <w:rsid w:val="00AD6108"/>
    <w:rsid w:val="00AE171F"/>
    <w:rsid w:val="00AE1CC5"/>
    <w:rsid w:val="00AE5C2E"/>
    <w:rsid w:val="00AF17E8"/>
    <w:rsid w:val="00AF1A1B"/>
    <w:rsid w:val="00AF2926"/>
    <w:rsid w:val="00B00C60"/>
    <w:rsid w:val="00B01E4B"/>
    <w:rsid w:val="00B03F9D"/>
    <w:rsid w:val="00B0463D"/>
    <w:rsid w:val="00B04DEA"/>
    <w:rsid w:val="00B05DE0"/>
    <w:rsid w:val="00B05F77"/>
    <w:rsid w:val="00B05F93"/>
    <w:rsid w:val="00B073A9"/>
    <w:rsid w:val="00B1126D"/>
    <w:rsid w:val="00B11BEB"/>
    <w:rsid w:val="00B12D16"/>
    <w:rsid w:val="00B13F16"/>
    <w:rsid w:val="00B1693F"/>
    <w:rsid w:val="00B20237"/>
    <w:rsid w:val="00B21125"/>
    <w:rsid w:val="00B22324"/>
    <w:rsid w:val="00B22E34"/>
    <w:rsid w:val="00B237AA"/>
    <w:rsid w:val="00B3039C"/>
    <w:rsid w:val="00B307D7"/>
    <w:rsid w:val="00B31CD7"/>
    <w:rsid w:val="00B328BF"/>
    <w:rsid w:val="00B33EB3"/>
    <w:rsid w:val="00B3798A"/>
    <w:rsid w:val="00B404E4"/>
    <w:rsid w:val="00B45182"/>
    <w:rsid w:val="00B4669C"/>
    <w:rsid w:val="00B46853"/>
    <w:rsid w:val="00B468BD"/>
    <w:rsid w:val="00B470B2"/>
    <w:rsid w:val="00B51F4C"/>
    <w:rsid w:val="00B522D0"/>
    <w:rsid w:val="00B56948"/>
    <w:rsid w:val="00B576F8"/>
    <w:rsid w:val="00B57D33"/>
    <w:rsid w:val="00B6195F"/>
    <w:rsid w:val="00B62C2A"/>
    <w:rsid w:val="00B66569"/>
    <w:rsid w:val="00B67B45"/>
    <w:rsid w:val="00B7082C"/>
    <w:rsid w:val="00B7090F"/>
    <w:rsid w:val="00B74AD7"/>
    <w:rsid w:val="00B76DE0"/>
    <w:rsid w:val="00B76E0D"/>
    <w:rsid w:val="00B77445"/>
    <w:rsid w:val="00B77911"/>
    <w:rsid w:val="00B80525"/>
    <w:rsid w:val="00B80CE1"/>
    <w:rsid w:val="00B8129E"/>
    <w:rsid w:val="00B81850"/>
    <w:rsid w:val="00B828F6"/>
    <w:rsid w:val="00B82A1D"/>
    <w:rsid w:val="00B8461D"/>
    <w:rsid w:val="00B923D7"/>
    <w:rsid w:val="00B96267"/>
    <w:rsid w:val="00B9723B"/>
    <w:rsid w:val="00B97E38"/>
    <w:rsid w:val="00BA0150"/>
    <w:rsid w:val="00BA38B7"/>
    <w:rsid w:val="00BA51BC"/>
    <w:rsid w:val="00BA584A"/>
    <w:rsid w:val="00BB0EAA"/>
    <w:rsid w:val="00BB23B4"/>
    <w:rsid w:val="00BB2ACA"/>
    <w:rsid w:val="00BB2F3C"/>
    <w:rsid w:val="00BB3627"/>
    <w:rsid w:val="00BB48E0"/>
    <w:rsid w:val="00BB48F4"/>
    <w:rsid w:val="00BB4A65"/>
    <w:rsid w:val="00BB4CC3"/>
    <w:rsid w:val="00BB68ED"/>
    <w:rsid w:val="00BB6968"/>
    <w:rsid w:val="00BC2BDF"/>
    <w:rsid w:val="00BC37ED"/>
    <w:rsid w:val="00BC5437"/>
    <w:rsid w:val="00BC5B33"/>
    <w:rsid w:val="00BC67F1"/>
    <w:rsid w:val="00BC69D7"/>
    <w:rsid w:val="00BC6E1F"/>
    <w:rsid w:val="00BD0988"/>
    <w:rsid w:val="00BD3314"/>
    <w:rsid w:val="00BD4E3C"/>
    <w:rsid w:val="00BD5F20"/>
    <w:rsid w:val="00BD64D7"/>
    <w:rsid w:val="00BD652A"/>
    <w:rsid w:val="00BD6598"/>
    <w:rsid w:val="00BD6D11"/>
    <w:rsid w:val="00BD7068"/>
    <w:rsid w:val="00BE0C91"/>
    <w:rsid w:val="00BE1409"/>
    <w:rsid w:val="00BE24E7"/>
    <w:rsid w:val="00BE2A62"/>
    <w:rsid w:val="00BE349A"/>
    <w:rsid w:val="00BE3694"/>
    <w:rsid w:val="00BE79E8"/>
    <w:rsid w:val="00BF0216"/>
    <w:rsid w:val="00BF05BE"/>
    <w:rsid w:val="00BF4E9D"/>
    <w:rsid w:val="00BF5224"/>
    <w:rsid w:val="00BF5CE2"/>
    <w:rsid w:val="00BF63E8"/>
    <w:rsid w:val="00BF6BA6"/>
    <w:rsid w:val="00C003C6"/>
    <w:rsid w:val="00C00742"/>
    <w:rsid w:val="00C02474"/>
    <w:rsid w:val="00C0679A"/>
    <w:rsid w:val="00C0779C"/>
    <w:rsid w:val="00C07BDB"/>
    <w:rsid w:val="00C07CA4"/>
    <w:rsid w:val="00C10F5A"/>
    <w:rsid w:val="00C114A3"/>
    <w:rsid w:val="00C117C5"/>
    <w:rsid w:val="00C13D84"/>
    <w:rsid w:val="00C15743"/>
    <w:rsid w:val="00C15D14"/>
    <w:rsid w:val="00C162AD"/>
    <w:rsid w:val="00C16C9B"/>
    <w:rsid w:val="00C17A99"/>
    <w:rsid w:val="00C26090"/>
    <w:rsid w:val="00C3030F"/>
    <w:rsid w:val="00C30423"/>
    <w:rsid w:val="00C32AEE"/>
    <w:rsid w:val="00C359A1"/>
    <w:rsid w:val="00C37508"/>
    <w:rsid w:val="00C41BBE"/>
    <w:rsid w:val="00C41CC4"/>
    <w:rsid w:val="00C447AA"/>
    <w:rsid w:val="00C44A6B"/>
    <w:rsid w:val="00C4507A"/>
    <w:rsid w:val="00C451C2"/>
    <w:rsid w:val="00C469C2"/>
    <w:rsid w:val="00C52300"/>
    <w:rsid w:val="00C52790"/>
    <w:rsid w:val="00C5312C"/>
    <w:rsid w:val="00C55113"/>
    <w:rsid w:val="00C5690E"/>
    <w:rsid w:val="00C5692C"/>
    <w:rsid w:val="00C57FAB"/>
    <w:rsid w:val="00C60FD8"/>
    <w:rsid w:val="00C61FE2"/>
    <w:rsid w:val="00C660C2"/>
    <w:rsid w:val="00C670B3"/>
    <w:rsid w:val="00C70352"/>
    <w:rsid w:val="00C71E29"/>
    <w:rsid w:val="00C7266B"/>
    <w:rsid w:val="00C7327A"/>
    <w:rsid w:val="00C7376E"/>
    <w:rsid w:val="00C743CF"/>
    <w:rsid w:val="00C74CF1"/>
    <w:rsid w:val="00C75A77"/>
    <w:rsid w:val="00C76A6E"/>
    <w:rsid w:val="00C81C15"/>
    <w:rsid w:val="00C83B21"/>
    <w:rsid w:val="00C84245"/>
    <w:rsid w:val="00C8613C"/>
    <w:rsid w:val="00C866BD"/>
    <w:rsid w:val="00C86B26"/>
    <w:rsid w:val="00C9094E"/>
    <w:rsid w:val="00C911F1"/>
    <w:rsid w:val="00C91E06"/>
    <w:rsid w:val="00C92FCB"/>
    <w:rsid w:val="00C937E5"/>
    <w:rsid w:val="00C94987"/>
    <w:rsid w:val="00C9514F"/>
    <w:rsid w:val="00C95604"/>
    <w:rsid w:val="00C96595"/>
    <w:rsid w:val="00CA0D8A"/>
    <w:rsid w:val="00CA16AF"/>
    <w:rsid w:val="00CA4058"/>
    <w:rsid w:val="00CA49F7"/>
    <w:rsid w:val="00CA54EE"/>
    <w:rsid w:val="00CB0300"/>
    <w:rsid w:val="00CB136F"/>
    <w:rsid w:val="00CB603F"/>
    <w:rsid w:val="00CC00C9"/>
    <w:rsid w:val="00CC06A0"/>
    <w:rsid w:val="00CC0EE8"/>
    <w:rsid w:val="00CC240B"/>
    <w:rsid w:val="00CC33B3"/>
    <w:rsid w:val="00CC7D6A"/>
    <w:rsid w:val="00CD0F7A"/>
    <w:rsid w:val="00CD1168"/>
    <w:rsid w:val="00CD15EE"/>
    <w:rsid w:val="00CD1CA9"/>
    <w:rsid w:val="00CD2D4A"/>
    <w:rsid w:val="00CD4173"/>
    <w:rsid w:val="00CD4760"/>
    <w:rsid w:val="00CD5D7B"/>
    <w:rsid w:val="00CD6297"/>
    <w:rsid w:val="00CD6635"/>
    <w:rsid w:val="00CD685D"/>
    <w:rsid w:val="00CE077E"/>
    <w:rsid w:val="00CE2743"/>
    <w:rsid w:val="00CE4492"/>
    <w:rsid w:val="00CE49FB"/>
    <w:rsid w:val="00CE7BBB"/>
    <w:rsid w:val="00CF1100"/>
    <w:rsid w:val="00CF11EC"/>
    <w:rsid w:val="00CF1AB4"/>
    <w:rsid w:val="00CF45BA"/>
    <w:rsid w:val="00CF7CA5"/>
    <w:rsid w:val="00D0440D"/>
    <w:rsid w:val="00D053C7"/>
    <w:rsid w:val="00D06934"/>
    <w:rsid w:val="00D06942"/>
    <w:rsid w:val="00D07EE8"/>
    <w:rsid w:val="00D132C5"/>
    <w:rsid w:val="00D15C3C"/>
    <w:rsid w:val="00D169C0"/>
    <w:rsid w:val="00D20109"/>
    <w:rsid w:val="00D20779"/>
    <w:rsid w:val="00D224DB"/>
    <w:rsid w:val="00D2425F"/>
    <w:rsid w:val="00D25025"/>
    <w:rsid w:val="00D26ADC"/>
    <w:rsid w:val="00D3160C"/>
    <w:rsid w:val="00D33928"/>
    <w:rsid w:val="00D33E30"/>
    <w:rsid w:val="00D35F0A"/>
    <w:rsid w:val="00D3619E"/>
    <w:rsid w:val="00D3685A"/>
    <w:rsid w:val="00D4118C"/>
    <w:rsid w:val="00D43B4D"/>
    <w:rsid w:val="00D46A7A"/>
    <w:rsid w:val="00D475A1"/>
    <w:rsid w:val="00D47865"/>
    <w:rsid w:val="00D47D13"/>
    <w:rsid w:val="00D511EB"/>
    <w:rsid w:val="00D513B7"/>
    <w:rsid w:val="00D536C5"/>
    <w:rsid w:val="00D54BAC"/>
    <w:rsid w:val="00D5539C"/>
    <w:rsid w:val="00D5619C"/>
    <w:rsid w:val="00D56439"/>
    <w:rsid w:val="00D5708A"/>
    <w:rsid w:val="00D60714"/>
    <w:rsid w:val="00D60C97"/>
    <w:rsid w:val="00D62A11"/>
    <w:rsid w:val="00D63B14"/>
    <w:rsid w:val="00D63E0A"/>
    <w:rsid w:val="00D64361"/>
    <w:rsid w:val="00D64838"/>
    <w:rsid w:val="00D65FCD"/>
    <w:rsid w:val="00D67530"/>
    <w:rsid w:val="00D67F41"/>
    <w:rsid w:val="00D72AC1"/>
    <w:rsid w:val="00D73735"/>
    <w:rsid w:val="00D74927"/>
    <w:rsid w:val="00D74E8E"/>
    <w:rsid w:val="00D75483"/>
    <w:rsid w:val="00D77526"/>
    <w:rsid w:val="00D77A92"/>
    <w:rsid w:val="00D77FA8"/>
    <w:rsid w:val="00D82D56"/>
    <w:rsid w:val="00D8339E"/>
    <w:rsid w:val="00D85109"/>
    <w:rsid w:val="00D859E2"/>
    <w:rsid w:val="00D86D26"/>
    <w:rsid w:val="00D87553"/>
    <w:rsid w:val="00D9069A"/>
    <w:rsid w:val="00D914F0"/>
    <w:rsid w:val="00D91D21"/>
    <w:rsid w:val="00D92911"/>
    <w:rsid w:val="00D94460"/>
    <w:rsid w:val="00D94EBE"/>
    <w:rsid w:val="00D960E8"/>
    <w:rsid w:val="00D97576"/>
    <w:rsid w:val="00D97C50"/>
    <w:rsid w:val="00DA05D8"/>
    <w:rsid w:val="00DA0872"/>
    <w:rsid w:val="00DA164C"/>
    <w:rsid w:val="00DA2A39"/>
    <w:rsid w:val="00DA2F2B"/>
    <w:rsid w:val="00DA3445"/>
    <w:rsid w:val="00DA4208"/>
    <w:rsid w:val="00DA4418"/>
    <w:rsid w:val="00DA6A95"/>
    <w:rsid w:val="00DA71FE"/>
    <w:rsid w:val="00DA7777"/>
    <w:rsid w:val="00DB4883"/>
    <w:rsid w:val="00DC25AA"/>
    <w:rsid w:val="00DC2FF6"/>
    <w:rsid w:val="00DC398C"/>
    <w:rsid w:val="00DC3C41"/>
    <w:rsid w:val="00DC4B8E"/>
    <w:rsid w:val="00DC57BF"/>
    <w:rsid w:val="00DC797F"/>
    <w:rsid w:val="00DC7A07"/>
    <w:rsid w:val="00DC7C2A"/>
    <w:rsid w:val="00DD0038"/>
    <w:rsid w:val="00DD0194"/>
    <w:rsid w:val="00DD0B56"/>
    <w:rsid w:val="00DD3981"/>
    <w:rsid w:val="00DD451B"/>
    <w:rsid w:val="00DE1674"/>
    <w:rsid w:val="00DE77D3"/>
    <w:rsid w:val="00DE7D88"/>
    <w:rsid w:val="00DF03F2"/>
    <w:rsid w:val="00DF0EAB"/>
    <w:rsid w:val="00DF33A0"/>
    <w:rsid w:val="00DF35BC"/>
    <w:rsid w:val="00DF42D8"/>
    <w:rsid w:val="00DF768B"/>
    <w:rsid w:val="00E01247"/>
    <w:rsid w:val="00E01841"/>
    <w:rsid w:val="00E02272"/>
    <w:rsid w:val="00E02A4B"/>
    <w:rsid w:val="00E032B1"/>
    <w:rsid w:val="00E0350D"/>
    <w:rsid w:val="00E03971"/>
    <w:rsid w:val="00E047C6"/>
    <w:rsid w:val="00E05AFB"/>
    <w:rsid w:val="00E11245"/>
    <w:rsid w:val="00E12A8C"/>
    <w:rsid w:val="00E14623"/>
    <w:rsid w:val="00E16003"/>
    <w:rsid w:val="00E16CB0"/>
    <w:rsid w:val="00E173A8"/>
    <w:rsid w:val="00E212C2"/>
    <w:rsid w:val="00E24D09"/>
    <w:rsid w:val="00E25EEE"/>
    <w:rsid w:val="00E26F4C"/>
    <w:rsid w:val="00E307AC"/>
    <w:rsid w:val="00E30F3A"/>
    <w:rsid w:val="00E31DEC"/>
    <w:rsid w:val="00E32947"/>
    <w:rsid w:val="00E32EBE"/>
    <w:rsid w:val="00E33902"/>
    <w:rsid w:val="00E37F27"/>
    <w:rsid w:val="00E40B5A"/>
    <w:rsid w:val="00E42488"/>
    <w:rsid w:val="00E438FF"/>
    <w:rsid w:val="00E44372"/>
    <w:rsid w:val="00E45EDA"/>
    <w:rsid w:val="00E45F2A"/>
    <w:rsid w:val="00E474B0"/>
    <w:rsid w:val="00E5123D"/>
    <w:rsid w:val="00E52B65"/>
    <w:rsid w:val="00E53821"/>
    <w:rsid w:val="00E53964"/>
    <w:rsid w:val="00E540CD"/>
    <w:rsid w:val="00E54461"/>
    <w:rsid w:val="00E5546D"/>
    <w:rsid w:val="00E57BD0"/>
    <w:rsid w:val="00E60365"/>
    <w:rsid w:val="00E60FE5"/>
    <w:rsid w:val="00E65037"/>
    <w:rsid w:val="00E65710"/>
    <w:rsid w:val="00E67DD3"/>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3498"/>
    <w:rsid w:val="00E83C9B"/>
    <w:rsid w:val="00E862C4"/>
    <w:rsid w:val="00E86EBE"/>
    <w:rsid w:val="00E8768D"/>
    <w:rsid w:val="00E9204D"/>
    <w:rsid w:val="00E9228A"/>
    <w:rsid w:val="00E94CA6"/>
    <w:rsid w:val="00E94F78"/>
    <w:rsid w:val="00E96000"/>
    <w:rsid w:val="00E976F6"/>
    <w:rsid w:val="00E97E45"/>
    <w:rsid w:val="00EA000A"/>
    <w:rsid w:val="00EA1143"/>
    <w:rsid w:val="00EA162E"/>
    <w:rsid w:val="00EA4D94"/>
    <w:rsid w:val="00EA4ECB"/>
    <w:rsid w:val="00EA6C95"/>
    <w:rsid w:val="00EB0897"/>
    <w:rsid w:val="00EB1AAB"/>
    <w:rsid w:val="00EB1B49"/>
    <w:rsid w:val="00EB201A"/>
    <w:rsid w:val="00EB2584"/>
    <w:rsid w:val="00EB3871"/>
    <w:rsid w:val="00EB3ED0"/>
    <w:rsid w:val="00EB47BA"/>
    <w:rsid w:val="00EB5309"/>
    <w:rsid w:val="00EB54F3"/>
    <w:rsid w:val="00EB6031"/>
    <w:rsid w:val="00EB674E"/>
    <w:rsid w:val="00EC14C2"/>
    <w:rsid w:val="00EC1DFB"/>
    <w:rsid w:val="00EC2F00"/>
    <w:rsid w:val="00EC43E4"/>
    <w:rsid w:val="00EC4730"/>
    <w:rsid w:val="00EC6CCE"/>
    <w:rsid w:val="00EC6FEB"/>
    <w:rsid w:val="00EC7CB9"/>
    <w:rsid w:val="00ED095E"/>
    <w:rsid w:val="00ED237A"/>
    <w:rsid w:val="00ED2585"/>
    <w:rsid w:val="00ED2888"/>
    <w:rsid w:val="00ED2C44"/>
    <w:rsid w:val="00ED2E25"/>
    <w:rsid w:val="00ED3A9C"/>
    <w:rsid w:val="00EE0602"/>
    <w:rsid w:val="00EE24A9"/>
    <w:rsid w:val="00EE24EE"/>
    <w:rsid w:val="00EE4B12"/>
    <w:rsid w:val="00EE5426"/>
    <w:rsid w:val="00EE5D69"/>
    <w:rsid w:val="00EE61FC"/>
    <w:rsid w:val="00EE682A"/>
    <w:rsid w:val="00EE686F"/>
    <w:rsid w:val="00EE6A94"/>
    <w:rsid w:val="00EE7EF7"/>
    <w:rsid w:val="00EE7F06"/>
    <w:rsid w:val="00EF22F6"/>
    <w:rsid w:val="00EF28EC"/>
    <w:rsid w:val="00EF327E"/>
    <w:rsid w:val="00EF3B97"/>
    <w:rsid w:val="00EF4D9E"/>
    <w:rsid w:val="00EF538A"/>
    <w:rsid w:val="00EF5EA0"/>
    <w:rsid w:val="00EF5F06"/>
    <w:rsid w:val="00F015DF"/>
    <w:rsid w:val="00F01E43"/>
    <w:rsid w:val="00F10456"/>
    <w:rsid w:val="00F1298D"/>
    <w:rsid w:val="00F1354F"/>
    <w:rsid w:val="00F13FED"/>
    <w:rsid w:val="00F1452A"/>
    <w:rsid w:val="00F14958"/>
    <w:rsid w:val="00F15891"/>
    <w:rsid w:val="00F200A4"/>
    <w:rsid w:val="00F200EA"/>
    <w:rsid w:val="00F203B5"/>
    <w:rsid w:val="00F207B2"/>
    <w:rsid w:val="00F22664"/>
    <w:rsid w:val="00F22922"/>
    <w:rsid w:val="00F24D6C"/>
    <w:rsid w:val="00F251E9"/>
    <w:rsid w:val="00F25211"/>
    <w:rsid w:val="00F254E5"/>
    <w:rsid w:val="00F34189"/>
    <w:rsid w:val="00F35207"/>
    <w:rsid w:val="00F3560B"/>
    <w:rsid w:val="00F35D7E"/>
    <w:rsid w:val="00F3720E"/>
    <w:rsid w:val="00F3757C"/>
    <w:rsid w:val="00F43BB5"/>
    <w:rsid w:val="00F43C4E"/>
    <w:rsid w:val="00F458FA"/>
    <w:rsid w:val="00F45B28"/>
    <w:rsid w:val="00F4632A"/>
    <w:rsid w:val="00F469CA"/>
    <w:rsid w:val="00F508C6"/>
    <w:rsid w:val="00F51F87"/>
    <w:rsid w:val="00F5265D"/>
    <w:rsid w:val="00F54501"/>
    <w:rsid w:val="00F54B9D"/>
    <w:rsid w:val="00F550E4"/>
    <w:rsid w:val="00F57F49"/>
    <w:rsid w:val="00F57F79"/>
    <w:rsid w:val="00F64C9E"/>
    <w:rsid w:val="00F72560"/>
    <w:rsid w:val="00F72E79"/>
    <w:rsid w:val="00F77A66"/>
    <w:rsid w:val="00F80966"/>
    <w:rsid w:val="00F80A17"/>
    <w:rsid w:val="00F80D98"/>
    <w:rsid w:val="00F81909"/>
    <w:rsid w:val="00F83821"/>
    <w:rsid w:val="00F85950"/>
    <w:rsid w:val="00F87E70"/>
    <w:rsid w:val="00F908DA"/>
    <w:rsid w:val="00F9610C"/>
    <w:rsid w:val="00F96A1F"/>
    <w:rsid w:val="00F97D28"/>
    <w:rsid w:val="00FA0619"/>
    <w:rsid w:val="00FA06AC"/>
    <w:rsid w:val="00FA11B6"/>
    <w:rsid w:val="00FA3909"/>
    <w:rsid w:val="00FA401E"/>
    <w:rsid w:val="00FA4A00"/>
    <w:rsid w:val="00FA4F52"/>
    <w:rsid w:val="00FA5469"/>
    <w:rsid w:val="00FA58F2"/>
    <w:rsid w:val="00FA6B3B"/>
    <w:rsid w:val="00FA6E99"/>
    <w:rsid w:val="00FB445D"/>
    <w:rsid w:val="00FB6C93"/>
    <w:rsid w:val="00FB7969"/>
    <w:rsid w:val="00FB7DEC"/>
    <w:rsid w:val="00FC04EF"/>
    <w:rsid w:val="00FC2C59"/>
    <w:rsid w:val="00FC42B4"/>
    <w:rsid w:val="00FC52F4"/>
    <w:rsid w:val="00FC79D8"/>
    <w:rsid w:val="00FC7E65"/>
    <w:rsid w:val="00FD0288"/>
    <w:rsid w:val="00FD06EA"/>
    <w:rsid w:val="00FD1ED9"/>
    <w:rsid w:val="00FD1F6D"/>
    <w:rsid w:val="00FD1FA7"/>
    <w:rsid w:val="00FD3CDE"/>
    <w:rsid w:val="00FD59AB"/>
    <w:rsid w:val="00FD6BF2"/>
    <w:rsid w:val="00FE0579"/>
    <w:rsid w:val="00FE073A"/>
    <w:rsid w:val="00FE0E3E"/>
    <w:rsid w:val="00FE2D10"/>
    <w:rsid w:val="00FE4588"/>
    <w:rsid w:val="00FE5098"/>
    <w:rsid w:val="00FE56A9"/>
    <w:rsid w:val="00FE6228"/>
    <w:rsid w:val="00FE645C"/>
    <w:rsid w:val="00FE67BA"/>
    <w:rsid w:val="00FE6EE9"/>
    <w:rsid w:val="00FF0EDC"/>
    <w:rsid w:val="00FF23AB"/>
    <w:rsid w:val="00FF42B4"/>
    <w:rsid w:val="00FF5CBF"/>
    <w:rsid w:val="00FF65BC"/>
    <w:rsid w:val="00FF6C6A"/>
    <w:rsid w:val="00FF6DF8"/>
    <w:rsid w:val="00FF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5D8C7B3-91B8-48F7-812D-A6984DC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2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szCs w:val="20"/>
      <w:lang w:eastAsia="en-US"/>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rPr>
      <w:rFonts w:eastAsiaTheme="minorEastAsia"/>
      <w:lang w:val="en-US" w:eastAsia="en-US" w:bidi="en-US"/>
    </w:r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rFonts w:eastAsiaTheme="minorEastAsia"/>
      <w:sz w:val="20"/>
      <w:szCs w:val="20"/>
      <w:lang w:val="en-US" w:eastAsia="en-US" w:bidi="en-US"/>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eastAsiaTheme="minorEastAsi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rPr>
      <w:rFonts w:eastAsiaTheme="minorEastAsia"/>
      <w:lang w:val="en-US" w:eastAsia="en-US" w:bidi="en-US"/>
    </w:r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rPr>
      <w:rFonts w:eastAsiaTheme="minorEastAsia"/>
      <w:lang w:val="en-US" w:eastAsia="en-US" w:bidi="en-US"/>
    </w:r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2232">
      <w:bodyDiv w:val="1"/>
      <w:marLeft w:val="0"/>
      <w:marRight w:val="0"/>
      <w:marTop w:val="0"/>
      <w:marBottom w:val="0"/>
      <w:divBdr>
        <w:top w:val="none" w:sz="0" w:space="0" w:color="auto"/>
        <w:left w:val="none" w:sz="0" w:space="0" w:color="auto"/>
        <w:bottom w:val="none" w:sz="0" w:space="0" w:color="auto"/>
        <w:right w:val="none" w:sz="0" w:space="0" w:color="auto"/>
      </w:divBdr>
      <w:divsChild>
        <w:div w:id="1494252147">
          <w:marLeft w:val="0"/>
          <w:marRight w:val="0"/>
          <w:marTop w:val="0"/>
          <w:marBottom w:val="0"/>
          <w:divBdr>
            <w:top w:val="none" w:sz="0" w:space="0" w:color="auto"/>
            <w:left w:val="none" w:sz="0" w:space="0" w:color="auto"/>
            <w:bottom w:val="none" w:sz="0" w:space="0" w:color="auto"/>
            <w:right w:val="none" w:sz="0" w:space="0" w:color="auto"/>
          </w:divBdr>
          <w:divsChild>
            <w:div w:id="2082557229">
              <w:marLeft w:val="0"/>
              <w:marRight w:val="0"/>
              <w:marTop w:val="0"/>
              <w:marBottom w:val="0"/>
              <w:divBdr>
                <w:top w:val="none" w:sz="0" w:space="0" w:color="auto"/>
                <w:left w:val="none" w:sz="0" w:space="0" w:color="auto"/>
                <w:bottom w:val="none" w:sz="0" w:space="0" w:color="auto"/>
                <w:right w:val="none" w:sz="0" w:space="0" w:color="auto"/>
              </w:divBdr>
              <w:divsChild>
                <w:div w:id="1305430575">
                  <w:marLeft w:val="0"/>
                  <w:marRight w:val="0"/>
                  <w:marTop w:val="0"/>
                  <w:marBottom w:val="0"/>
                  <w:divBdr>
                    <w:top w:val="none" w:sz="0" w:space="0" w:color="auto"/>
                    <w:left w:val="none" w:sz="0" w:space="0" w:color="auto"/>
                    <w:bottom w:val="none" w:sz="0" w:space="0" w:color="auto"/>
                    <w:right w:val="none" w:sz="0" w:space="0" w:color="auto"/>
                  </w:divBdr>
                  <w:divsChild>
                    <w:div w:id="259459592">
                      <w:marLeft w:val="0"/>
                      <w:marRight w:val="0"/>
                      <w:marTop w:val="0"/>
                      <w:marBottom w:val="0"/>
                      <w:divBdr>
                        <w:top w:val="none" w:sz="0" w:space="0" w:color="auto"/>
                        <w:left w:val="none" w:sz="0" w:space="0" w:color="auto"/>
                        <w:bottom w:val="none" w:sz="0" w:space="0" w:color="auto"/>
                        <w:right w:val="none" w:sz="0" w:space="0" w:color="auto"/>
                      </w:divBdr>
                      <w:divsChild>
                        <w:div w:id="950939892">
                          <w:marLeft w:val="0"/>
                          <w:marRight w:val="0"/>
                          <w:marTop w:val="0"/>
                          <w:marBottom w:val="0"/>
                          <w:divBdr>
                            <w:top w:val="none" w:sz="0" w:space="0" w:color="auto"/>
                            <w:left w:val="none" w:sz="0" w:space="0" w:color="auto"/>
                            <w:bottom w:val="none" w:sz="0" w:space="0" w:color="auto"/>
                            <w:right w:val="none" w:sz="0" w:space="0" w:color="auto"/>
                          </w:divBdr>
                          <w:divsChild>
                            <w:div w:id="585192375">
                              <w:marLeft w:val="0"/>
                              <w:marRight w:val="0"/>
                              <w:marTop w:val="0"/>
                              <w:marBottom w:val="0"/>
                              <w:divBdr>
                                <w:top w:val="none" w:sz="0" w:space="0" w:color="auto"/>
                                <w:left w:val="none" w:sz="0" w:space="0" w:color="auto"/>
                                <w:bottom w:val="none" w:sz="0" w:space="0" w:color="auto"/>
                                <w:right w:val="none" w:sz="0" w:space="0" w:color="auto"/>
                              </w:divBdr>
                              <w:divsChild>
                                <w:div w:id="1218324093">
                                  <w:marLeft w:val="0"/>
                                  <w:marRight w:val="0"/>
                                  <w:marTop w:val="0"/>
                                  <w:marBottom w:val="0"/>
                                  <w:divBdr>
                                    <w:top w:val="none" w:sz="0" w:space="0" w:color="auto"/>
                                    <w:left w:val="none" w:sz="0" w:space="0" w:color="auto"/>
                                    <w:bottom w:val="none" w:sz="0" w:space="0" w:color="auto"/>
                                    <w:right w:val="none" w:sz="0" w:space="0" w:color="auto"/>
                                  </w:divBdr>
                                  <w:divsChild>
                                    <w:div w:id="1780879106">
                                      <w:marLeft w:val="0"/>
                                      <w:marRight w:val="0"/>
                                      <w:marTop w:val="0"/>
                                      <w:marBottom w:val="0"/>
                                      <w:divBdr>
                                        <w:top w:val="none" w:sz="0" w:space="0" w:color="auto"/>
                                        <w:left w:val="none" w:sz="0" w:space="0" w:color="auto"/>
                                        <w:bottom w:val="none" w:sz="0" w:space="0" w:color="auto"/>
                                        <w:right w:val="none" w:sz="0" w:space="0" w:color="auto"/>
                                      </w:divBdr>
                                      <w:divsChild>
                                        <w:div w:id="1097823553">
                                          <w:marLeft w:val="0"/>
                                          <w:marRight w:val="0"/>
                                          <w:marTop w:val="0"/>
                                          <w:marBottom w:val="0"/>
                                          <w:divBdr>
                                            <w:top w:val="none" w:sz="0" w:space="0" w:color="auto"/>
                                            <w:left w:val="none" w:sz="0" w:space="0" w:color="auto"/>
                                            <w:bottom w:val="none" w:sz="0" w:space="0" w:color="auto"/>
                                            <w:right w:val="none" w:sz="0" w:space="0" w:color="auto"/>
                                          </w:divBdr>
                                          <w:divsChild>
                                            <w:div w:id="1691370299">
                                              <w:marLeft w:val="0"/>
                                              <w:marRight w:val="0"/>
                                              <w:marTop w:val="0"/>
                                              <w:marBottom w:val="0"/>
                                              <w:divBdr>
                                                <w:top w:val="none" w:sz="0" w:space="0" w:color="auto"/>
                                                <w:left w:val="none" w:sz="0" w:space="0" w:color="auto"/>
                                                <w:bottom w:val="none" w:sz="0" w:space="0" w:color="auto"/>
                                                <w:right w:val="none" w:sz="0" w:space="0" w:color="auto"/>
                                              </w:divBdr>
                                              <w:divsChild>
                                                <w:div w:id="1984381602">
                                                  <w:marLeft w:val="0"/>
                                                  <w:marRight w:val="0"/>
                                                  <w:marTop w:val="0"/>
                                                  <w:marBottom w:val="0"/>
                                                  <w:divBdr>
                                                    <w:top w:val="none" w:sz="0" w:space="0" w:color="auto"/>
                                                    <w:left w:val="none" w:sz="0" w:space="0" w:color="auto"/>
                                                    <w:bottom w:val="none" w:sz="0" w:space="0" w:color="auto"/>
                                                    <w:right w:val="none" w:sz="0" w:space="0" w:color="auto"/>
                                                  </w:divBdr>
                                                  <w:divsChild>
                                                    <w:div w:id="1328749730">
                                                      <w:marLeft w:val="0"/>
                                                      <w:marRight w:val="0"/>
                                                      <w:marTop w:val="0"/>
                                                      <w:marBottom w:val="0"/>
                                                      <w:divBdr>
                                                        <w:top w:val="none" w:sz="0" w:space="0" w:color="auto"/>
                                                        <w:left w:val="none" w:sz="0" w:space="0" w:color="auto"/>
                                                        <w:bottom w:val="none" w:sz="0" w:space="0" w:color="auto"/>
                                                        <w:right w:val="none" w:sz="0" w:space="0" w:color="auto"/>
                                                      </w:divBdr>
                                                      <w:divsChild>
                                                        <w:div w:id="12237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3AE06-3970-4E12-8416-DD72D2B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D882E3D0</Template>
  <TotalTime>2</TotalTime>
  <Pages>5</Pages>
  <Words>1421</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McKay, David</cp:lastModifiedBy>
  <cp:revision>2</cp:revision>
  <cp:lastPrinted>2016-09-08T02:10:00Z</cp:lastPrinted>
  <dcterms:created xsi:type="dcterms:W3CDTF">2016-09-27T01:53:00Z</dcterms:created>
  <dcterms:modified xsi:type="dcterms:W3CDTF">2016-09-27T01:53:00Z</dcterms:modified>
</cp:coreProperties>
</file>