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6620" w14:textId="77777777" w:rsidR="0040200E" w:rsidRPr="0040200E" w:rsidRDefault="0040200E" w:rsidP="004020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40200E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EXPLANATORY STATEMENT</w:t>
      </w:r>
    </w:p>
    <w:p w14:paraId="67A95A0A" w14:textId="255ECDFE" w:rsidR="0040200E" w:rsidRPr="0040200E" w:rsidRDefault="0040200E" w:rsidP="005D32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Long Service Leave (Com</w:t>
      </w:r>
      <w:r w:rsidR="007A0523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monwealth Employees) Regulation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 xml:space="preserve"> 2016</w:t>
      </w:r>
    </w:p>
    <w:p w14:paraId="2733563C" w14:textId="7D97D7AA" w:rsidR="0040200E" w:rsidRPr="005D32B6" w:rsidRDefault="005D32B6" w:rsidP="0040200E">
      <w:pPr>
        <w:shd w:val="clear" w:color="auto" w:fill="FFFFFF"/>
        <w:spacing w:before="200"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A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AU"/>
        </w:rPr>
        <w:t xml:space="preserve">Issued under the Authority of the Minister Assisting the Prime Minister for the Public Service in compliance with section 26 of the </w:t>
      </w:r>
      <w:r w:rsidRPr="005D32B6">
        <w:rPr>
          <w:rFonts w:ascii="Times New Roman" w:eastAsia="Times New Roman" w:hAnsi="Times New Roman" w:cs="Times New Roman"/>
          <w:i/>
          <w:sz w:val="20"/>
          <w:szCs w:val="20"/>
          <w:lang w:eastAsia="en-AU"/>
        </w:rPr>
        <w:t>Legislative Instruments Act 2003</w:t>
      </w:r>
    </w:p>
    <w:p w14:paraId="59F43CE1" w14:textId="1645F62F" w:rsidR="0040200E" w:rsidRPr="0040200E" w:rsidRDefault="0040200E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40200E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Legislative Authority</w:t>
      </w:r>
    </w:p>
    <w:p w14:paraId="09D05D35" w14:textId="18771656" w:rsidR="0040200E" w:rsidRPr="001C7923" w:rsidRDefault="0060604A" w:rsidP="0040200E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>Section 26</w:t>
      </w:r>
      <w:r w:rsidR="0040200E"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</w:t>
      </w:r>
      <w:r w:rsidR="0040200E" w:rsidRPr="001C7923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Long Service Leave (Commonwealth Employees) Act 1976 </w:t>
      </w:r>
      <w:r w:rsidR="005F4E95">
        <w:rPr>
          <w:rFonts w:ascii="Times New Roman" w:eastAsia="Times New Roman" w:hAnsi="Times New Roman" w:cs="Times New Roman"/>
          <w:sz w:val="24"/>
          <w:szCs w:val="24"/>
          <w:lang w:eastAsia="en-AU"/>
        </w:rPr>
        <w:t>(the</w:t>
      </w:r>
      <w:r w:rsidR="00E407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Act) provides</w:t>
      </w:r>
      <w:r w:rsidR="0040200E"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 the Governor-General may make regulation</w:t>
      </w:r>
      <w:r w:rsidR="005F4E95">
        <w:rPr>
          <w:rFonts w:ascii="Times New Roman" w:eastAsia="Times New Roman" w:hAnsi="Times New Roman" w:cs="Times New Roman"/>
          <w:sz w:val="24"/>
          <w:szCs w:val="24"/>
          <w:lang w:eastAsia="en-AU"/>
        </w:rPr>
        <w:t>s, not inconsistent with the</w:t>
      </w:r>
      <w:r w:rsidR="0040200E"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Act, prescribing all matters which are required or permitted to be prescribed, or </w:t>
      </w:r>
      <w:r w:rsidR="00E407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which are </w:t>
      </w:r>
      <w:r w:rsidR="0040200E"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>necessary or convenient to be prescrib</w:t>
      </w:r>
      <w:r w:rsidR="005F4E95">
        <w:rPr>
          <w:rFonts w:ascii="Times New Roman" w:eastAsia="Times New Roman" w:hAnsi="Times New Roman" w:cs="Times New Roman"/>
          <w:sz w:val="24"/>
          <w:szCs w:val="24"/>
          <w:lang w:eastAsia="en-AU"/>
        </w:rPr>
        <w:t>ed</w:t>
      </w:r>
      <w:r w:rsidR="00E407B0">
        <w:rPr>
          <w:rFonts w:ascii="Times New Roman" w:eastAsia="Times New Roman" w:hAnsi="Times New Roman" w:cs="Times New Roman"/>
          <w:sz w:val="24"/>
          <w:szCs w:val="24"/>
          <w:lang w:eastAsia="en-AU"/>
        </w:rPr>
        <w:t>, for carrying out or</w:t>
      </w:r>
      <w:r w:rsidR="005F4E9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giving effect to the </w:t>
      </w:r>
      <w:r w:rsidR="0040200E"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>Act.  </w:t>
      </w:r>
    </w:p>
    <w:p w14:paraId="19946916" w14:textId="77777777" w:rsidR="0040200E" w:rsidRPr="0040200E" w:rsidRDefault="0040200E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40200E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Background </w:t>
      </w:r>
    </w:p>
    <w:p w14:paraId="2841AC7A" w14:textId="77777777" w:rsidR="00210F28" w:rsidRDefault="0040200E" w:rsidP="0040200E">
      <w:pPr>
        <w:shd w:val="clear" w:color="auto" w:fill="FFFFFF"/>
        <w:spacing w:after="24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purpose of the </w:t>
      </w:r>
      <w:r w:rsidRPr="001C7923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Long Service Leave (Com</w:t>
      </w:r>
      <w:r w:rsidR="007A0523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monwealth Employees) Regulation</w:t>
      </w:r>
      <w:r w:rsidRPr="001C7923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2016</w:t>
      </w:r>
      <w:r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(the Regulation) is to repeal and replace the </w:t>
      </w:r>
      <w:r w:rsidRPr="001C7923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Long Service Leave (Commonwealth Employees) Regulations 1957 </w:t>
      </w:r>
      <w:r w:rsidR="00970414"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>(the 1957</w:t>
      </w:r>
      <w:r w:rsidR="001C7923"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Regulation</w:t>
      </w:r>
      <w:r w:rsidR="00BD1BB2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which sunset on 1 </w:t>
      </w:r>
      <w:r w:rsidR="00970414"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>October</w:t>
      </w:r>
      <w:r w:rsidR="001C7923"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2016. </w:t>
      </w:r>
      <w:r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Regulation </w:t>
      </w:r>
      <w:r w:rsidR="001C7923"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>largely replicates the 1957 Regulation</w:t>
      </w:r>
      <w:r w:rsidR="00BD1BB2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1C7923"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C7923" w:rsidRPr="007A0523">
        <w:rPr>
          <w:rFonts w:ascii="Times New Roman" w:eastAsia="Times New Roman" w:hAnsi="Times New Roman" w:cs="Times New Roman"/>
          <w:sz w:val="24"/>
          <w:szCs w:val="24"/>
          <w:lang w:eastAsia="en-AU"/>
        </w:rPr>
        <w:t>with minor technical amendments</w:t>
      </w:r>
      <w:r w:rsidR="007A0523" w:rsidRPr="007A052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</w:t>
      </w:r>
      <w:r w:rsidR="007A052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remove redundant clauses and modernise language</w:t>
      </w:r>
      <w:r w:rsidR="00D43E5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structure</w:t>
      </w:r>
      <w:r w:rsidR="001C7923"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6BBC3D1E" w14:textId="2F81A5EE" w:rsidR="001C7923" w:rsidRPr="001C7923" w:rsidRDefault="0040200E" w:rsidP="001C79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AU"/>
        </w:rPr>
      </w:pPr>
      <w:r w:rsidRPr="001C79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Purpose and operation</w:t>
      </w:r>
    </w:p>
    <w:p w14:paraId="62F4AF95" w14:textId="0A9C2840" w:rsidR="001C7923" w:rsidRDefault="0040200E" w:rsidP="0040200E">
      <w:pPr>
        <w:shd w:val="clear" w:color="auto" w:fill="FFFFFF"/>
        <w:spacing w:after="240" w:line="240" w:lineRule="auto"/>
        <w:ind w:right="9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1C79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Specific provisions in the </w:t>
      </w:r>
      <w:r w:rsidR="001C7923" w:rsidRPr="001C79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Act</w:t>
      </w:r>
      <w:r w:rsidRPr="001C79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provide that regulations may be made to support</w:t>
      </w:r>
      <w:r w:rsidR="00FF36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the provision of long service leave entitlements</w:t>
      </w:r>
      <w:r w:rsidRPr="001C79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.</w:t>
      </w:r>
      <w:r w:rsidR="00154B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AU"/>
        </w:rPr>
        <w:t xml:space="preserve"> </w:t>
      </w:r>
      <w:r w:rsidR="001C7923" w:rsidRPr="001C79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</w:t>
      </w:r>
      <w:r w:rsidRPr="001C79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hese include section </w:t>
      </w:r>
      <w:r w:rsidR="00154B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4(6)(b); section 4(6)(c)(iii); section 6(1), section 7(1); section 7(2); section 7(3); section 8(1); section 8(2); section 8(3); section 8A; section 9B(1); section 12(10)(b); and section 26. </w:t>
      </w:r>
    </w:p>
    <w:p w14:paraId="565D583A" w14:textId="2BA09B17" w:rsidR="00210F28" w:rsidRPr="00210F28" w:rsidRDefault="00210F28" w:rsidP="0040200E">
      <w:pPr>
        <w:shd w:val="clear" w:color="auto" w:fill="FFFFFF"/>
        <w:spacing w:after="24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One additional employer is also being added to Schedule 2 of the Regulations – </w:t>
      </w:r>
      <w:r w:rsidRPr="008146A1">
        <w:rPr>
          <w:rFonts w:ascii="Times New Roman" w:eastAsia="Times New Roman" w:hAnsi="Times New Roman" w:cs="Times New Roman"/>
          <w:sz w:val="24"/>
          <w:szCs w:val="24"/>
          <w:lang w:eastAsia="en-AU"/>
        </w:rPr>
        <w:t>H.S. Sales and Contracting</w:t>
      </w:r>
      <w:r w:rsidR="00E407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Pty Ltd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This is to ensure prior service with this employer is recognised for the purpose of calculating an employee’s long service leave entitlement. </w:t>
      </w:r>
    </w:p>
    <w:p w14:paraId="4253A3F6" w14:textId="77777777" w:rsidR="0040200E" w:rsidRPr="009773C0" w:rsidRDefault="0040200E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AU"/>
        </w:rPr>
      </w:pPr>
      <w:r w:rsidRPr="009773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 xml:space="preserve">Consultation </w:t>
      </w:r>
    </w:p>
    <w:p w14:paraId="4C75C2C1" w14:textId="32C61C3D" w:rsidR="0040200E" w:rsidRPr="009773C0" w:rsidRDefault="0040200E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AU"/>
        </w:rPr>
      </w:pPr>
      <w:r w:rsidRPr="00977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The </w:t>
      </w:r>
      <w:r w:rsidR="008740F3" w:rsidRPr="00977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Department of</w:t>
      </w:r>
      <w:r w:rsidRPr="00977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  <w:r w:rsidR="009773C0" w:rsidRPr="00977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the Prime Minister and Cabinet consulted</w:t>
      </w:r>
      <w:r w:rsidRPr="00977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  <w:r w:rsidR="00FF36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interested parties within the Commonwealth including</w:t>
      </w:r>
      <w:r w:rsidR="00FF362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E5B05">
        <w:rPr>
          <w:rFonts w:ascii="Times New Roman" w:eastAsia="Times New Roman" w:hAnsi="Times New Roman" w:cs="Times New Roman"/>
          <w:sz w:val="24"/>
          <w:szCs w:val="24"/>
          <w:lang w:eastAsia="en-AU"/>
        </w:rPr>
        <w:t>the Australian Public Service Commission and the Department of Finance.</w:t>
      </w:r>
      <w:r w:rsidR="00E407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Office of Best Practice Regulation has advised that a regulatory impact statement is not required (OBPR ID</w:t>
      </w:r>
      <w:r w:rsidR="00E407B0" w:rsidRPr="00E407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21089</w:t>
      </w:r>
      <w:r w:rsidR="00E407B0">
        <w:rPr>
          <w:rFonts w:ascii="Times New Roman" w:eastAsia="Times New Roman" w:hAnsi="Times New Roman" w:cs="Times New Roman"/>
          <w:sz w:val="24"/>
          <w:szCs w:val="24"/>
          <w:lang w:eastAsia="en-AU"/>
        </w:rPr>
        <w:t>).</w:t>
      </w:r>
    </w:p>
    <w:p w14:paraId="5CBD45CC" w14:textId="70A39675" w:rsidR="0040200E" w:rsidRPr="00F04AF1" w:rsidRDefault="0046260E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Statement of C</w:t>
      </w:r>
      <w:r w:rsidR="0040200E" w:rsidRPr="00F04A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ompatibility with Human rights</w:t>
      </w:r>
    </w:p>
    <w:p w14:paraId="44E376D5" w14:textId="5F0ECB31" w:rsidR="00F04AF1" w:rsidRDefault="0046260E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This </w:t>
      </w:r>
      <w:r w:rsidRPr="004626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Disallowable Legislative Instrument is compatible with the human rights and freedoms recognised or declared in the international instruments listed in section 3 of the </w:t>
      </w:r>
      <w:r w:rsidRPr="00462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>Human Rights (Parliamentary Scrutiny) Act 2011</w:t>
      </w:r>
      <w:r w:rsidRPr="004626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.</w:t>
      </w:r>
    </w:p>
    <w:p w14:paraId="25391D5D" w14:textId="753626D9" w:rsidR="0066198B" w:rsidRPr="001C7923" w:rsidRDefault="0066198B" w:rsidP="0066198B">
      <w:pPr>
        <w:shd w:val="clear" w:color="auto" w:fill="FFFFFF"/>
        <w:spacing w:after="240" w:line="240" w:lineRule="auto"/>
        <w:ind w:right="91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purpose of the </w:t>
      </w:r>
      <w:r w:rsidRPr="001C7923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Long Service Leave (Com</w:t>
      </w:r>
      <w:r w:rsidR="00751F7D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monwealth Employees) Regulation</w:t>
      </w:r>
      <w:r w:rsidRPr="001C7923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2016</w:t>
      </w:r>
      <w:r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to repeal and replace the </w:t>
      </w:r>
      <w:r w:rsidRPr="001C7923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Long Service Leave (Commonwealth Employees) Regulations 1957 </w:t>
      </w:r>
      <w:r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>(the 1957 Regulation</w:t>
      </w:r>
      <w:r w:rsidR="00BD1BB2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>) which sunset on 1 October 2016. The Regulation largely replicates the 1957 Regulation</w:t>
      </w:r>
      <w:r w:rsidR="00C471FD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751F7D" w:rsidRPr="007A0523">
        <w:rPr>
          <w:rFonts w:ascii="Times New Roman" w:eastAsia="Times New Roman" w:hAnsi="Times New Roman" w:cs="Times New Roman"/>
          <w:sz w:val="24"/>
          <w:szCs w:val="24"/>
          <w:lang w:eastAsia="en-AU"/>
        </w:rPr>
        <w:t>with minor technical amendments to</w:t>
      </w:r>
      <w:r w:rsidR="00751F7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remove redundant clauses and </w:t>
      </w:r>
      <w:r w:rsidR="00751F7D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modernise language and structure.</w:t>
      </w:r>
      <w:r w:rsidRPr="001C792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One additional employer is also being added to Schedule 2 of the Regulation – </w:t>
      </w:r>
      <w:r w:rsidR="008146A1" w:rsidRPr="008146A1">
        <w:rPr>
          <w:rFonts w:ascii="Times New Roman" w:eastAsia="Times New Roman" w:hAnsi="Times New Roman" w:cs="Times New Roman"/>
          <w:sz w:val="24"/>
          <w:szCs w:val="24"/>
          <w:lang w:eastAsia="en-AU"/>
        </w:rPr>
        <w:t>H.S. Sales and Contracting</w:t>
      </w:r>
      <w:r w:rsidR="00E407B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Pty Ltd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This is to ensure prior service with this employer is recognised for the purpose of calculating an employee’s long service leave entitlement. </w:t>
      </w:r>
    </w:p>
    <w:p w14:paraId="178AA960" w14:textId="4823D7D4" w:rsidR="00B21EDC" w:rsidRDefault="00B21EDC" w:rsidP="00751F7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Disallowable Legislative Instrument engage</w:t>
      </w:r>
      <w:r w:rsidR="00751F7D">
        <w:rPr>
          <w:rFonts w:ascii="Times New Roman" w:hAnsi="Times New Roman"/>
          <w:sz w:val="24"/>
          <w:szCs w:val="24"/>
        </w:rPr>
        <w:t xml:space="preserve">s with Article 7 of the </w:t>
      </w:r>
      <w:r w:rsidR="00751F7D" w:rsidRPr="00751F7D">
        <w:rPr>
          <w:rFonts w:ascii="Times New Roman" w:hAnsi="Times New Roman"/>
          <w:sz w:val="24"/>
          <w:szCs w:val="24"/>
        </w:rPr>
        <w:t>International Covenant on Economic, Social and Cultural Rights</w:t>
      </w:r>
      <w:r w:rsidR="00751F7D">
        <w:rPr>
          <w:rFonts w:ascii="Times New Roman" w:hAnsi="Times New Roman"/>
          <w:sz w:val="24"/>
          <w:szCs w:val="24"/>
        </w:rPr>
        <w:t xml:space="preserve"> (ICESCR)</w:t>
      </w:r>
      <w:r w:rsidR="00C471FD">
        <w:rPr>
          <w:rFonts w:ascii="Times New Roman" w:hAnsi="Times New Roman"/>
          <w:sz w:val="24"/>
          <w:szCs w:val="24"/>
        </w:rPr>
        <w:t>, particularly part (d)</w:t>
      </w:r>
      <w:r w:rsidR="00751F7D">
        <w:rPr>
          <w:rFonts w:ascii="Times New Roman" w:hAnsi="Times New Roman"/>
          <w:sz w:val="24"/>
          <w:szCs w:val="24"/>
        </w:rPr>
        <w:t xml:space="preserve">. Article </w:t>
      </w:r>
      <w:r w:rsidR="009E3A4D">
        <w:rPr>
          <w:rFonts w:ascii="Times New Roman" w:hAnsi="Times New Roman"/>
          <w:sz w:val="24"/>
          <w:szCs w:val="24"/>
        </w:rPr>
        <w:t xml:space="preserve">7 </w:t>
      </w:r>
      <w:r w:rsidR="00751F7D">
        <w:rPr>
          <w:rFonts w:ascii="Times New Roman" w:hAnsi="Times New Roman"/>
          <w:sz w:val="24"/>
          <w:szCs w:val="24"/>
        </w:rPr>
        <w:t>is as follows:</w:t>
      </w:r>
    </w:p>
    <w:p w14:paraId="2B12A6CD" w14:textId="5B963AC2" w:rsidR="00751F7D" w:rsidRPr="009E3A4D" w:rsidRDefault="00207DAB" w:rsidP="00751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</w:pPr>
      <w:r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 xml:space="preserve">Article 7 </w:t>
      </w:r>
    </w:p>
    <w:p w14:paraId="60F3986F" w14:textId="4A497949" w:rsidR="00751F7D" w:rsidRPr="009E3A4D" w:rsidRDefault="00751F7D" w:rsidP="00751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</w:pPr>
      <w:r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>The States Parties to the present Covenant recognize the right of everyone to the enjoyment of just and favourable conditions of wor</w:t>
      </w:r>
      <w:r w:rsidR="00207DAB"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 xml:space="preserve">k which ensure, in particular: </w:t>
      </w:r>
    </w:p>
    <w:p w14:paraId="33ED9DF5" w14:textId="5688DE05" w:rsidR="00751F7D" w:rsidRPr="009E3A4D" w:rsidRDefault="00751F7D" w:rsidP="00751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</w:pPr>
      <w:r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>(a) Remuneration which provides al</w:t>
      </w:r>
      <w:r w:rsidR="00207DAB"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 xml:space="preserve">l workers, as a minimum, with: </w:t>
      </w:r>
    </w:p>
    <w:p w14:paraId="2A44A4F5" w14:textId="152E4A6D" w:rsidR="00751F7D" w:rsidRPr="009E3A4D" w:rsidRDefault="00751F7D" w:rsidP="00751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</w:pPr>
      <w:r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>(</w:t>
      </w:r>
      <w:proofErr w:type="spellStart"/>
      <w:r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>i</w:t>
      </w:r>
      <w:proofErr w:type="spellEnd"/>
      <w:r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 xml:space="preserve">) Fair wages and equal remuneration for work of equal value without distinction of any kind, in particular women being guaranteed conditions of work not inferior to those enjoyed by men, </w:t>
      </w:r>
      <w:r w:rsidR="00207DAB"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 xml:space="preserve">with equal pay for equal work; </w:t>
      </w:r>
    </w:p>
    <w:p w14:paraId="0D28EAF1" w14:textId="4BAC1E61" w:rsidR="00751F7D" w:rsidRPr="009E3A4D" w:rsidRDefault="00751F7D" w:rsidP="00751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</w:pPr>
      <w:r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>(ii) A decent living for themselves and their families in accordance with the provi</w:t>
      </w:r>
      <w:r w:rsidR="00207DAB"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 xml:space="preserve">sions of the present Covenant; </w:t>
      </w:r>
    </w:p>
    <w:p w14:paraId="75C9DB44" w14:textId="77777777" w:rsidR="00751F7D" w:rsidRPr="009E3A4D" w:rsidRDefault="00751F7D" w:rsidP="00751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</w:pPr>
      <w:r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 xml:space="preserve">(b) Safe and healthy working conditions; </w:t>
      </w:r>
    </w:p>
    <w:p w14:paraId="4991E858" w14:textId="639F4EB2" w:rsidR="00751F7D" w:rsidRPr="009E3A4D" w:rsidRDefault="00751F7D" w:rsidP="00751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</w:pPr>
      <w:r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>(c) Equal opportunity for everyone to be promoted in his employment to an appropriate higher level, subject to no considerations other than those of seniori</w:t>
      </w:r>
      <w:r w:rsidR="00207DAB"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 xml:space="preserve">ty and competence; </w:t>
      </w:r>
    </w:p>
    <w:p w14:paraId="43D6BA95" w14:textId="7D8B490A" w:rsidR="00751F7D" w:rsidRPr="009E3A4D" w:rsidRDefault="00751F7D" w:rsidP="00751F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</w:pPr>
      <w:r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>(</w:t>
      </w:r>
      <w:proofErr w:type="gramStart"/>
      <w:r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>d )</w:t>
      </w:r>
      <w:proofErr w:type="gramEnd"/>
      <w:r w:rsidRPr="009E3A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 xml:space="preserve"> Rest, leisure and reasonable limitation of working hours and periodic holidays with pay, as well as remuneration for public holidays</w:t>
      </w:r>
    </w:p>
    <w:p w14:paraId="44549E24" w14:textId="1D3EE3A7" w:rsidR="009E3A4D" w:rsidRDefault="009E3A4D" w:rsidP="009E3A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The Regulation maintains</w:t>
      </w:r>
      <w:r w:rsidR="00C47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provision of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  <w:r w:rsidR="00C47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Commonwealth employees’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entitlements to long service leave</w:t>
      </w:r>
      <w:r w:rsidR="00C47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, which supports the realisation of Article 7 for relevant employees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.</w:t>
      </w:r>
      <w:r w:rsidR="00C47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The inclusion of an additional</w:t>
      </w:r>
      <w:r w:rsidR="00C47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employer (to Schedule 2)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enhances the long service leave entitlements of a small number of employees. </w:t>
      </w:r>
    </w:p>
    <w:p w14:paraId="56E60080" w14:textId="77777777" w:rsidR="000E4A4D" w:rsidRDefault="000E4A4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br w:type="page"/>
      </w:r>
    </w:p>
    <w:p w14:paraId="56DC308E" w14:textId="193D11F1" w:rsidR="00847442" w:rsidRDefault="00847442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lastRenderedPageBreak/>
        <w:t xml:space="preserve">Details of the </w:t>
      </w:r>
      <w:r w:rsidRPr="008474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Long Service Leave (Com</w:t>
      </w:r>
      <w:r w:rsidR="00751F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>monwealth Employees) Regulation</w:t>
      </w:r>
      <w:r w:rsidRPr="008474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AU"/>
        </w:rPr>
        <w:t xml:space="preserve"> 2016 </w:t>
      </w:r>
    </w:p>
    <w:p w14:paraId="130EE125" w14:textId="4BE9E29D" w:rsidR="0040200E" w:rsidRPr="00BD1BB2" w:rsidRDefault="00E9330A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Part</w:t>
      </w:r>
      <w:r w:rsidR="00847442" w:rsidRPr="00BD1B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 xml:space="preserve"> 1- </w:t>
      </w:r>
      <w:r w:rsidR="00C471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Preliminary</w:t>
      </w:r>
    </w:p>
    <w:p w14:paraId="77300A31" w14:textId="2DBEC3D7" w:rsidR="00E16F52" w:rsidRPr="00E16F52" w:rsidRDefault="00E16F52" w:rsidP="003E279B">
      <w:pPr>
        <w:shd w:val="clear" w:color="auto" w:fill="FFFFFF"/>
        <w:spacing w:before="100" w:beforeAutospacing="1" w:after="100" w:afterAutospacing="1" w:line="240" w:lineRule="auto"/>
        <w:ind w:right="91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 w:rsidRPr="00E16F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Section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: Name</w:t>
      </w:r>
      <w:r w:rsidRPr="00E16F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 xml:space="preserve"> </w:t>
      </w:r>
    </w:p>
    <w:p w14:paraId="77925601" w14:textId="77777777" w:rsidR="00E16F52" w:rsidRDefault="0040200E" w:rsidP="003E279B">
      <w:pPr>
        <w:shd w:val="clear" w:color="auto" w:fill="FFFFFF"/>
        <w:spacing w:before="100" w:beforeAutospacing="1" w:after="100" w:afterAutospacing="1" w:line="240" w:lineRule="auto"/>
        <w:ind w:right="91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n-AU"/>
        </w:rPr>
      </w:pPr>
      <w:r w:rsidRPr="00BD1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This section provides that the name of the Regulation is the </w:t>
      </w:r>
      <w:r w:rsidR="00BD1BB2" w:rsidRPr="00BD1BB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AU"/>
        </w:rPr>
        <w:t>Long Service Leave (Com</w:t>
      </w:r>
      <w:r w:rsidR="003E27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AU"/>
        </w:rPr>
        <w:t>monwealth Employees) Regulation</w:t>
      </w:r>
      <w:r w:rsidR="00BD1BB2" w:rsidRPr="00BD1BB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AU"/>
        </w:rPr>
        <w:t xml:space="preserve"> 2016</w:t>
      </w:r>
      <w:r w:rsidR="00BD1BB2" w:rsidRPr="00BD1B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n-AU"/>
        </w:rPr>
        <w:t>.</w:t>
      </w:r>
    </w:p>
    <w:p w14:paraId="0A6BD731" w14:textId="77777777" w:rsidR="00E16F52" w:rsidRDefault="00E16F52" w:rsidP="003E279B">
      <w:pPr>
        <w:shd w:val="clear" w:color="auto" w:fill="FFFFFF"/>
        <w:spacing w:before="100" w:beforeAutospacing="1" w:after="100" w:afterAutospacing="1" w:line="240" w:lineRule="auto"/>
        <w:ind w:right="91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en-AU"/>
        </w:rPr>
      </w:pPr>
      <w:r w:rsidRPr="00E16F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en-AU"/>
        </w:rPr>
        <w:t>Section 2: Commencement</w:t>
      </w:r>
    </w:p>
    <w:p w14:paraId="13F9D1B0" w14:textId="52CC3198" w:rsidR="00FF40D8" w:rsidRPr="00FF40D8" w:rsidRDefault="00FF40D8" w:rsidP="003E279B">
      <w:pPr>
        <w:shd w:val="clear" w:color="auto" w:fill="FFFFFF"/>
        <w:spacing w:before="100" w:beforeAutospacing="1" w:after="100" w:afterAutospacing="1" w:line="240" w:lineRule="auto"/>
        <w:ind w:right="91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n-AU"/>
        </w:rPr>
      </w:pPr>
      <w:r w:rsidRPr="00FF40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n-AU"/>
        </w:rPr>
        <w:t>This section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n-AU"/>
        </w:rPr>
        <w:t xml:space="preserve"> provides that the instrument commences the day after this instrument is registered.</w:t>
      </w:r>
    </w:p>
    <w:p w14:paraId="783E7D01" w14:textId="1EE714CC" w:rsidR="00E16F52" w:rsidRPr="00E16F52" w:rsidRDefault="00E16F52" w:rsidP="003E279B">
      <w:pPr>
        <w:shd w:val="clear" w:color="auto" w:fill="FFFFFF"/>
        <w:spacing w:before="100" w:beforeAutospacing="1" w:after="100" w:afterAutospacing="1" w:line="240" w:lineRule="auto"/>
        <w:ind w:right="91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en-AU"/>
        </w:rPr>
      </w:pPr>
      <w:r w:rsidRPr="00E16F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en-AU"/>
        </w:rPr>
        <w:t xml:space="preserve">Section 3: Authority </w:t>
      </w:r>
    </w:p>
    <w:p w14:paraId="2476FA63" w14:textId="77777777" w:rsidR="00E16F52" w:rsidRDefault="00E16F52" w:rsidP="00E16F52">
      <w:pPr>
        <w:shd w:val="clear" w:color="auto" w:fill="FFFFFF"/>
        <w:spacing w:before="100" w:beforeAutospacing="1" w:after="100" w:afterAutospacing="1" w:line="240" w:lineRule="auto"/>
        <w:ind w:right="91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n-AU"/>
        </w:rPr>
      </w:pPr>
      <w:r w:rsidRPr="003E27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n-AU"/>
        </w:rPr>
        <w:t>Th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n-AU"/>
        </w:rPr>
        <w:t xml:space="preserve">e Regulation </w:t>
      </w:r>
      <w:r w:rsidRPr="003E27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n-AU"/>
        </w:rPr>
        <w:t xml:space="preserve">is made under the </w:t>
      </w:r>
      <w:r w:rsidRPr="003E27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AU"/>
        </w:rPr>
        <w:t>Long Service Leave (Commonwealth Employees) Act 1976</w:t>
      </w:r>
      <w:r w:rsidRPr="003E27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n-AU"/>
        </w:rPr>
        <w:t>.</w:t>
      </w:r>
    </w:p>
    <w:p w14:paraId="03706662" w14:textId="77777777" w:rsidR="00E16F52" w:rsidRDefault="00E16F52" w:rsidP="003E279B">
      <w:pPr>
        <w:shd w:val="clear" w:color="auto" w:fill="FFFFFF"/>
        <w:spacing w:before="100" w:beforeAutospacing="1" w:after="100" w:afterAutospacing="1" w:line="240" w:lineRule="auto"/>
        <w:ind w:right="91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 w:rsidRPr="00E16F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Section 4: Schedules</w:t>
      </w:r>
    </w:p>
    <w:p w14:paraId="7E97680F" w14:textId="3A84AEDE" w:rsidR="00FF40D8" w:rsidRPr="00FF40D8" w:rsidRDefault="00FF40D8" w:rsidP="003E279B">
      <w:pPr>
        <w:shd w:val="clear" w:color="auto" w:fill="FFFFFF"/>
        <w:spacing w:before="100" w:beforeAutospacing="1" w:after="100" w:afterAutospacing="1" w:line="240" w:lineRule="auto"/>
        <w:ind w:right="9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This section provides that e</w:t>
      </w:r>
      <w:r w:rsidRPr="00FF40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F0629A2" w14:textId="3A780A69" w:rsidR="00E16F52" w:rsidRPr="00E16F52" w:rsidRDefault="00E16F52" w:rsidP="003E279B">
      <w:pPr>
        <w:shd w:val="clear" w:color="auto" w:fill="FFFFFF"/>
        <w:spacing w:before="100" w:beforeAutospacing="1" w:after="100" w:afterAutospacing="1" w:line="240" w:lineRule="auto"/>
        <w:ind w:right="91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Section 5: Definitions</w:t>
      </w:r>
    </w:p>
    <w:p w14:paraId="59524350" w14:textId="0D43CEE1" w:rsidR="003E279B" w:rsidRPr="00BD1BB2" w:rsidRDefault="003E279B" w:rsidP="003E279B">
      <w:pPr>
        <w:shd w:val="clear" w:color="auto" w:fill="FFFFFF"/>
        <w:spacing w:before="100" w:beforeAutospacing="1" w:after="100" w:afterAutospacing="1" w:line="240" w:lineRule="auto"/>
        <w:ind w:right="9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AU"/>
        </w:rPr>
      </w:pPr>
      <w:r w:rsidRPr="00BD1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This section </w:t>
      </w:r>
      <w:r w:rsidR="00FF40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defines key term</w:t>
      </w:r>
      <w:r w:rsidR="00DD0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s</w:t>
      </w:r>
      <w:r w:rsidR="00FF40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including</w:t>
      </w:r>
      <w:r w:rsidRPr="00BD1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that ‘the Act’ means the </w:t>
      </w:r>
      <w:r w:rsidRPr="00BD1B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>Long Service Leave (Commonwealth Employees) Act 1976</w:t>
      </w:r>
      <w:r w:rsidRPr="00BD1B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.</w:t>
      </w:r>
    </w:p>
    <w:p w14:paraId="7B680EA8" w14:textId="2F547C5E" w:rsidR="0040200E" w:rsidRDefault="00E9330A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Part</w:t>
      </w:r>
      <w:r w:rsidR="0040200E" w:rsidRPr="00BD1B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 xml:space="preserve"> 2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Period and continuity of service</w:t>
      </w:r>
    </w:p>
    <w:p w14:paraId="0F353FF6" w14:textId="48495C5D" w:rsidR="00FF40D8" w:rsidRDefault="00FF40D8" w:rsidP="00AA3F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 w:rsidRPr="00FF40D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Section 6: Purpose of this Part</w:t>
      </w:r>
    </w:p>
    <w:p w14:paraId="197067B0" w14:textId="040F0DB5" w:rsidR="00C941F8" w:rsidRPr="00C941F8" w:rsidRDefault="00C941F8" w:rsidP="00AA3F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This section </w:t>
      </w:r>
      <w:r w:rsidRPr="00AA3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prescribes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atters relevant to determining </w:t>
      </w:r>
      <w:r w:rsidRPr="00AA3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whether a person is, or was, employed in Government Service or another qualifying service for the purpose of determining the person’s period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and continuity of service; and </w:t>
      </w:r>
      <w:r w:rsidRPr="00AA3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the period of that employment.</w:t>
      </w:r>
    </w:p>
    <w:p w14:paraId="6DD610A4" w14:textId="7B1B99BA" w:rsidR="00FF40D8" w:rsidRDefault="00FF40D8" w:rsidP="00AA3F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 w:rsidRPr="00FF40D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Section 7: Employment etc. by certain bodies</w:t>
      </w:r>
    </w:p>
    <w:p w14:paraId="508D9C0A" w14:textId="05F13A77" w:rsidR="00C941F8" w:rsidRPr="00C941F8" w:rsidRDefault="00C941F8" w:rsidP="00C941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94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section provides that f</w:t>
      </w:r>
      <w:r w:rsidRPr="00C94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or the purposes of subparagraph 4(6</w:t>
      </w:r>
      <w:proofErr w:type="gramStart"/>
      <w:r w:rsidRPr="00C94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)(</w:t>
      </w:r>
      <w:proofErr w:type="gramEnd"/>
      <w:r w:rsidRPr="00C94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c)(iii) of the Act,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AIDC Limited, ANL Limited and Telstra Corporation Limited are each </w:t>
      </w:r>
      <w:r w:rsidRPr="00C94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a body corporate to which paragr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aph 4(6)(c) of the Act applies.</w:t>
      </w:r>
    </w:p>
    <w:p w14:paraId="41692E22" w14:textId="683B413F" w:rsidR="00FF40D8" w:rsidRDefault="00FF40D8" w:rsidP="00AA3F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 w:rsidRPr="00FF40D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Section 8: Previous service – State authorities and other prescribed employers</w:t>
      </w:r>
    </w:p>
    <w:p w14:paraId="0CFE658F" w14:textId="5A4116E8" w:rsidR="005D67DB" w:rsidRPr="005D67DB" w:rsidRDefault="005D67DB" w:rsidP="00AA3F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This section provides that a person, authority, institution or body referred to in Schedule 1 is taken to be, or to have been, an authority of a State</w:t>
      </w:r>
      <w:r w:rsidR="00553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for the purposes of subsection 7(1) and paragraphs 7(3</w:t>
      </w:r>
      <w:proofErr w:type="gramStart"/>
      <w:r w:rsidR="00553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)(</w:t>
      </w:r>
      <w:proofErr w:type="gramEnd"/>
      <w:r w:rsidR="00553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b) and (c) of the Act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. Previous employment of an employee in the service of a person, authority, institution or body referred to in Schedule 2 is to be taken into account as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lastRenderedPageBreak/>
        <w:t>if it had been employment in Government Service</w:t>
      </w:r>
      <w:r w:rsidR="00553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for the purposes of subsection 7(2) and paragraphs 7(3)(b) and (c) of the Act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.   </w:t>
      </w:r>
    </w:p>
    <w:p w14:paraId="4442EF85" w14:textId="07CE421E" w:rsidR="00FF40D8" w:rsidRDefault="00A465B7" w:rsidP="00AA3F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Section 9</w:t>
      </w:r>
      <w:r w:rsidR="00FF40D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: Previous service – principal executive offices</w:t>
      </w:r>
    </w:p>
    <w:p w14:paraId="5D34905C" w14:textId="3B14252D" w:rsidR="00580A25" w:rsidRPr="00580A25" w:rsidRDefault="00580A25" w:rsidP="00AA3F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This section provides for previous employment in a principal executive office and employment by a holder of a prescribed principal executive office</w:t>
      </w:r>
      <w:r w:rsidR="00553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for the purposes of subsection 7(2) of the Act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. </w:t>
      </w:r>
    </w:p>
    <w:p w14:paraId="741E9552" w14:textId="479B6D02" w:rsidR="00FF40D8" w:rsidRDefault="00A465B7" w:rsidP="00AA3F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Section 10</w:t>
      </w:r>
      <w:r w:rsidR="00FF40D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: Continuity of service – executive office</w:t>
      </w:r>
    </w:p>
    <w:p w14:paraId="4547915C" w14:textId="4F46B1F4" w:rsidR="00580A25" w:rsidRPr="00580A25" w:rsidRDefault="00580A25" w:rsidP="00AA3F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This section</w:t>
      </w:r>
      <w:r w:rsidR="00EB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  <w:r w:rsidR="00C5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provides for</w:t>
      </w:r>
      <w:r w:rsidR="00EB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organisations to be recognised as a prescribed office</w:t>
      </w:r>
      <w:r w:rsidR="00C5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for the purposes of paragraph 12(11</w:t>
      </w:r>
      <w:proofErr w:type="gramStart"/>
      <w:r w:rsidR="00C5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)(</w:t>
      </w:r>
      <w:proofErr w:type="gramEnd"/>
      <w:r w:rsidR="00C5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b) of the Act</w:t>
      </w:r>
      <w:r w:rsidR="00EB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.</w:t>
      </w:r>
    </w:p>
    <w:p w14:paraId="022BE827" w14:textId="3E0840AA" w:rsidR="00FF40D8" w:rsidRDefault="00A465B7" w:rsidP="00AA3F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Section 11</w:t>
      </w:r>
      <w:r w:rsidR="00FF40D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: Period of service – maritime employees</w:t>
      </w:r>
    </w:p>
    <w:p w14:paraId="4392B27C" w14:textId="0F99D5C3" w:rsidR="00FF40D8" w:rsidRDefault="00EB38CA" w:rsidP="00AA3F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This section </w:t>
      </w:r>
      <w:r w:rsidR="00C5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provides for </w:t>
      </w:r>
      <w:r w:rsidR="00C544FE" w:rsidRPr="00C5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a prescribed class of maritime employees</w:t>
      </w:r>
      <w:r w:rsidR="00C5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for the purposes of paragraph 15(1</w:t>
      </w:r>
      <w:proofErr w:type="gramStart"/>
      <w:r w:rsidR="00C5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)(</w:t>
      </w:r>
      <w:proofErr w:type="gramEnd"/>
      <w:r w:rsidR="00C5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c), (d) and (e) of the Act. </w:t>
      </w:r>
    </w:p>
    <w:p w14:paraId="49720026" w14:textId="57003372" w:rsidR="0040200E" w:rsidRDefault="00E9330A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 xml:space="preserve">Part </w:t>
      </w:r>
      <w:r w:rsidR="00BD1BB2" w:rsidRPr="003A48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 xml:space="preserve">3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Allowances included in salary</w:t>
      </w:r>
    </w:p>
    <w:p w14:paraId="1BAA4959" w14:textId="1603AE63" w:rsidR="00B97A0D" w:rsidRDefault="00A465B7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Section 12</w:t>
      </w:r>
      <w:r w:rsidR="00B97A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: Purpose of this Part</w:t>
      </w:r>
    </w:p>
    <w:p w14:paraId="66368B97" w14:textId="7B169418" w:rsidR="00B97A0D" w:rsidRPr="00B97A0D" w:rsidRDefault="00B97A0D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This section sets out </w:t>
      </w:r>
      <w:r w:rsidRPr="00AA3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the kinds of allowances to be included in salary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(for the purposes of section 8 of the Act)</w:t>
      </w:r>
      <w:r w:rsidRPr="00AA3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; and the conditions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i</w:t>
      </w:r>
      <w:r w:rsidRPr="00AA3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f any), or the extent to which, payments under the Act are to include allowances set out in this Part.</w:t>
      </w:r>
    </w:p>
    <w:p w14:paraId="6ECC94F3" w14:textId="2862F381" w:rsidR="00B97A0D" w:rsidRDefault="00A465B7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Section 13</w:t>
      </w:r>
      <w:r w:rsidR="00B97A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: General allowances</w:t>
      </w:r>
    </w:p>
    <w:p w14:paraId="2C3C482B" w14:textId="4A14C86F" w:rsidR="00B97A0D" w:rsidRPr="00B97A0D" w:rsidRDefault="00B97A0D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B97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This section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outlines the</w:t>
      </w:r>
      <w:r w:rsidR="002B1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kinds of allowances included in salary.</w:t>
      </w:r>
    </w:p>
    <w:p w14:paraId="46CC6E45" w14:textId="0EC10FC0" w:rsidR="00B97A0D" w:rsidRDefault="00A465B7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Section 14</w:t>
      </w:r>
      <w:r w:rsidR="00B97A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: Higher duties allowance</w:t>
      </w:r>
    </w:p>
    <w:p w14:paraId="1A5A339A" w14:textId="4EB6FBAB" w:rsidR="002B1BC3" w:rsidRPr="002B1BC3" w:rsidRDefault="002B1BC3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This section </w:t>
      </w:r>
      <w:r w:rsidR="007132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provides for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the treatment of a higher duties allowance for the purposes of </w:t>
      </w:r>
      <w:r w:rsidR="007132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calculating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salary. </w:t>
      </w:r>
    </w:p>
    <w:p w14:paraId="43DE6B70" w14:textId="766C599C" w:rsidR="00B97A0D" w:rsidRDefault="00B97A0D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Section</w:t>
      </w:r>
      <w:r w:rsidR="00A465B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 xml:space="preserve"> 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: District allowance</w:t>
      </w:r>
    </w:p>
    <w:p w14:paraId="0AE012E6" w14:textId="5CE1AEBA" w:rsidR="00713294" w:rsidRPr="00713294" w:rsidRDefault="00713294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This section provides for the treatment of a district allowance for the purposes of calculating salary.</w:t>
      </w:r>
    </w:p>
    <w:p w14:paraId="2A4F2928" w14:textId="3C479E5B" w:rsidR="00B97A0D" w:rsidRDefault="00A465B7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Section 16</w:t>
      </w:r>
      <w:r w:rsidR="00B97A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: Tool allowance</w:t>
      </w:r>
    </w:p>
    <w:p w14:paraId="58F90D14" w14:textId="3B4BD805" w:rsidR="00713294" w:rsidRPr="00713294" w:rsidRDefault="00713294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This section provides for the treatment of a tool allowance for the purposes of calculating salary.</w:t>
      </w:r>
    </w:p>
    <w:p w14:paraId="088CCD85" w14:textId="31ECB94E" w:rsidR="0040200E" w:rsidRDefault="00E9330A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Part 4 – Payments not included in salary</w:t>
      </w:r>
    </w:p>
    <w:p w14:paraId="67AB00F2" w14:textId="6A91E2A4" w:rsidR="00713294" w:rsidRDefault="00A465B7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Section 17</w:t>
      </w:r>
      <w:r w:rsidR="0071329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: Purpose of this Part</w:t>
      </w:r>
    </w:p>
    <w:p w14:paraId="0A628721" w14:textId="35169C65" w:rsidR="00AA3FE4" w:rsidRDefault="00AA3FE4" w:rsidP="00AA3F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lastRenderedPageBreak/>
        <w:t xml:space="preserve">This section sets out </w:t>
      </w:r>
      <w:r w:rsidRPr="00AA3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the kinds of payments that are not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included in salary (for the purposes of section 8A of the Act); or </w:t>
      </w:r>
      <w:r w:rsidRPr="00AA3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the extent to which, or the circumstances in which, certain kinds of payments are not included in salary.</w:t>
      </w:r>
    </w:p>
    <w:p w14:paraId="0ED14546" w14:textId="05AEA241" w:rsidR="00713294" w:rsidRDefault="00A465B7" w:rsidP="00AA3F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Section 18</w:t>
      </w:r>
      <w:r w:rsidR="00713294" w:rsidRPr="0071329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:</w:t>
      </w:r>
      <w:r w:rsidR="0071329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 xml:space="preserve"> Shift penalty payments</w:t>
      </w:r>
    </w:p>
    <w:p w14:paraId="0A7076D4" w14:textId="5ADB6DE7" w:rsidR="006A12D6" w:rsidRPr="006A12D6" w:rsidRDefault="006A12D6" w:rsidP="00AA3F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This section</w:t>
      </w:r>
      <w:r w:rsidR="00BA3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provides that a shift penalty payment is a kind of payment not included in salary. </w:t>
      </w:r>
    </w:p>
    <w:p w14:paraId="0210268B" w14:textId="06342697" w:rsidR="00713294" w:rsidRDefault="00A465B7" w:rsidP="00AA3F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Section 19</w:t>
      </w:r>
      <w:r w:rsidR="0071329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: Overtime payments</w:t>
      </w:r>
    </w:p>
    <w:p w14:paraId="2F141182" w14:textId="29188DBF" w:rsidR="00BA3B92" w:rsidRPr="00BA3B92" w:rsidRDefault="00BA3B92" w:rsidP="00AA3F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This section provides that an overtime payment is a kind of payment not included in salary.</w:t>
      </w:r>
    </w:p>
    <w:p w14:paraId="40A34989" w14:textId="7E9CEC75" w:rsidR="00713294" w:rsidRDefault="00A465B7" w:rsidP="00AA3F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Section 20</w:t>
      </w:r>
      <w:r w:rsidR="0071329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: Restriction, or on-call, allowance</w:t>
      </w:r>
    </w:p>
    <w:p w14:paraId="6C303429" w14:textId="402C489D" w:rsidR="00713294" w:rsidRPr="00BA3B92" w:rsidRDefault="00BA3B92" w:rsidP="00AA3F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This section provides that a payment in the nature of a restriction, or on-call, allowance is a kind of payment not included in salary.</w:t>
      </w:r>
    </w:p>
    <w:p w14:paraId="64896882" w14:textId="652850FE" w:rsidR="0040200E" w:rsidRDefault="006A12D6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Part 5</w:t>
      </w:r>
      <w:r w:rsidR="00E9330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 xml:space="preserve"> – Transition</w:t>
      </w:r>
      <w:r w:rsidR="00BA3B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al, savings and application</w:t>
      </w:r>
      <w:r w:rsidR="00A465B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 xml:space="preserve"> provisions</w:t>
      </w:r>
    </w:p>
    <w:p w14:paraId="070E1372" w14:textId="6DFCC647" w:rsidR="00BA3B92" w:rsidRPr="00BA3B92" w:rsidRDefault="00A465B7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Section 21</w:t>
      </w:r>
      <w:r w:rsidR="00BA3B92" w:rsidRPr="00BA3B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: Repeal of Long Service Leave (Commonwealth Employees) Regulations 1957</w:t>
      </w:r>
    </w:p>
    <w:p w14:paraId="420CB104" w14:textId="521C9979" w:rsidR="00BA3B92" w:rsidRDefault="00534009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This section provides that the repealed 1957 Regulations continue to apply to the extent that a person’s entitlement in relation to the grant of long service leave (whether in respect of a period of service, continuity of service or an allowance or another payment) would otherwise be reduced or adversely affected by the repeal.</w:t>
      </w:r>
    </w:p>
    <w:p w14:paraId="723E689D" w14:textId="4621875D" w:rsidR="0040200E" w:rsidRDefault="00E9330A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Schedule 1</w:t>
      </w:r>
      <w:r w:rsidR="003A480E" w:rsidRPr="003A48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State authorities</w:t>
      </w:r>
    </w:p>
    <w:p w14:paraId="40A6C04A" w14:textId="3940117C" w:rsidR="00570782" w:rsidRPr="00570782" w:rsidRDefault="00534009" w:rsidP="004B7F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For the purposes of subsection 7(1) and paragraphs 7(3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)(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b) and (c) of the Act, t</w:t>
      </w:r>
      <w:r w:rsidR="002C5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his schedule </w:t>
      </w:r>
      <w:r w:rsidR="004B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lists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a person, authority, institution or body</w:t>
      </w:r>
      <w:r w:rsidR="004B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to be</w:t>
      </w:r>
      <w:r w:rsidR="00C972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, or to have been,</w:t>
      </w:r>
      <w:r w:rsidR="004B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an authority of a State. </w:t>
      </w:r>
    </w:p>
    <w:p w14:paraId="47C85CE6" w14:textId="12C5F756" w:rsidR="003A480E" w:rsidRPr="003A480E" w:rsidRDefault="003A480E" w:rsidP="004020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AU"/>
        </w:rPr>
      </w:pPr>
      <w:r w:rsidRPr="003A48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Schedule 2 – Previous employment</w:t>
      </w:r>
    </w:p>
    <w:p w14:paraId="3651E4D3" w14:textId="17F72438" w:rsidR="003A4288" w:rsidRDefault="00C97276" w:rsidP="00570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For the purposes of subsection 7(2) and paragraphs 7(3)(b) and (c) of the Act, t</w:t>
      </w:r>
      <w:r w:rsidR="00570782" w:rsidRPr="00570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his</w:t>
      </w:r>
      <w:r w:rsidR="005707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schedule </w:t>
      </w:r>
      <w:r w:rsidR="004B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lists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a person</w:t>
      </w:r>
      <w:r w:rsidR="00CF6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authority, institution or</w:t>
      </w:r>
      <w:r w:rsidR="004B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body</w:t>
      </w:r>
      <w:r w:rsidR="00CF6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for which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previous employment with is to be taken as if it had been employment in Government Service. </w:t>
      </w:r>
    </w:p>
    <w:p w14:paraId="07A183CB" w14:textId="78E66612" w:rsidR="00E9330A" w:rsidRDefault="00E9330A" w:rsidP="00570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 xml:space="preserve">Schedule 3 </w:t>
      </w:r>
      <w:r w:rsidR="00DC43E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AU"/>
        </w:rPr>
        <w:t xml:space="preserve"> Repeals</w:t>
      </w:r>
    </w:p>
    <w:p w14:paraId="2AD831ED" w14:textId="094396DF" w:rsidR="00DC43E7" w:rsidRPr="008146A1" w:rsidRDefault="00534009" w:rsidP="00570782">
      <w:pPr>
        <w:shd w:val="clear" w:color="auto" w:fill="FFFFFF"/>
        <w:spacing w:before="100" w:beforeAutospacing="1" w:after="100" w:afterAutospacing="1" w:line="240" w:lineRule="auto"/>
      </w:pPr>
      <w:bookmarkStart w:id="0" w:name="_Toc460934027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The whole of the </w:t>
      </w:r>
      <w:r w:rsidR="00DC43E7" w:rsidRPr="00DC4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1957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  <w:r w:rsidR="00DD0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Regulations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is to be repealed</w:t>
      </w:r>
      <w:r w:rsidR="00E02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.</w:t>
      </w:r>
    </w:p>
    <w:sectPr w:rsidR="00DC43E7" w:rsidRPr="00814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04EB"/>
    <w:multiLevelType w:val="multilevel"/>
    <w:tmpl w:val="A75AD0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0E"/>
    <w:rsid w:val="000E4A4D"/>
    <w:rsid w:val="000F54D3"/>
    <w:rsid w:val="00113CD8"/>
    <w:rsid w:val="00154BF5"/>
    <w:rsid w:val="001C7923"/>
    <w:rsid w:val="00207DAB"/>
    <w:rsid w:val="00210F28"/>
    <w:rsid w:val="002B1BC3"/>
    <w:rsid w:val="002C52BA"/>
    <w:rsid w:val="002F495D"/>
    <w:rsid w:val="003002F1"/>
    <w:rsid w:val="00397F67"/>
    <w:rsid w:val="003A4288"/>
    <w:rsid w:val="003A480E"/>
    <w:rsid w:val="003E279B"/>
    <w:rsid w:val="0040200E"/>
    <w:rsid w:val="0046260E"/>
    <w:rsid w:val="00475AEF"/>
    <w:rsid w:val="004B7F9A"/>
    <w:rsid w:val="004E10B0"/>
    <w:rsid w:val="004E5B05"/>
    <w:rsid w:val="00534009"/>
    <w:rsid w:val="00553CAF"/>
    <w:rsid w:val="00570782"/>
    <w:rsid w:val="00580A25"/>
    <w:rsid w:val="005876A6"/>
    <w:rsid w:val="00594EBD"/>
    <w:rsid w:val="005B6577"/>
    <w:rsid w:val="005D32B6"/>
    <w:rsid w:val="005D67DB"/>
    <w:rsid w:val="005F12E8"/>
    <w:rsid w:val="005F4E95"/>
    <w:rsid w:val="0060604A"/>
    <w:rsid w:val="0066198B"/>
    <w:rsid w:val="006A12D6"/>
    <w:rsid w:val="00713294"/>
    <w:rsid w:val="00730C12"/>
    <w:rsid w:val="00751F7D"/>
    <w:rsid w:val="007A0523"/>
    <w:rsid w:val="007A5256"/>
    <w:rsid w:val="008146A1"/>
    <w:rsid w:val="00847442"/>
    <w:rsid w:val="008740F3"/>
    <w:rsid w:val="00970414"/>
    <w:rsid w:val="00976DA3"/>
    <w:rsid w:val="009773C0"/>
    <w:rsid w:val="009E3A4D"/>
    <w:rsid w:val="009E5D85"/>
    <w:rsid w:val="00A465B7"/>
    <w:rsid w:val="00A93B47"/>
    <w:rsid w:val="00AA3FE4"/>
    <w:rsid w:val="00AB2AB3"/>
    <w:rsid w:val="00B21EDC"/>
    <w:rsid w:val="00B601DA"/>
    <w:rsid w:val="00B97A0D"/>
    <w:rsid w:val="00BA3B92"/>
    <w:rsid w:val="00BB3531"/>
    <w:rsid w:val="00BD1BB2"/>
    <w:rsid w:val="00C45A7E"/>
    <w:rsid w:val="00C471FD"/>
    <w:rsid w:val="00C544FE"/>
    <w:rsid w:val="00C941F8"/>
    <w:rsid w:val="00C97276"/>
    <w:rsid w:val="00CC2B51"/>
    <w:rsid w:val="00CE232B"/>
    <w:rsid w:val="00CF6B02"/>
    <w:rsid w:val="00D43E5F"/>
    <w:rsid w:val="00DB69CD"/>
    <w:rsid w:val="00DC43E7"/>
    <w:rsid w:val="00DD02E1"/>
    <w:rsid w:val="00E02772"/>
    <w:rsid w:val="00E05EC3"/>
    <w:rsid w:val="00E16F52"/>
    <w:rsid w:val="00E407B0"/>
    <w:rsid w:val="00E9330A"/>
    <w:rsid w:val="00EB38CA"/>
    <w:rsid w:val="00F04AF1"/>
    <w:rsid w:val="00F31C51"/>
    <w:rsid w:val="00FD7720"/>
    <w:rsid w:val="00FF3620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9A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5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56"/>
    <w:rPr>
      <w:rFonts w:ascii="Tahoma" w:hAnsi="Tahoma" w:cs="Tahoma"/>
      <w:sz w:val="16"/>
      <w:szCs w:val="16"/>
    </w:rPr>
  </w:style>
  <w:style w:type="paragraph" w:customStyle="1" w:styleId="paragraph">
    <w:name w:val="paragraph"/>
    <w:aliases w:val="a"/>
    <w:basedOn w:val="Normal"/>
    <w:rsid w:val="00AA3FE4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DC43E7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5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56"/>
    <w:rPr>
      <w:rFonts w:ascii="Tahoma" w:hAnsi="Tahoma" w:cs="Tahoma"/>
      <w:sz w:val="16"/>
      <w:szCs w:val="16"/>
    </w:rPr>
  </w:style>
  <w:style w:type="paragraph" w:customStyle="1" w:styleId="paragraph">
    <w:name w:val="paragraph"/>
    <w:aliases w:val="a"/>
    <w:basedOn w:val="Normal"/>
    <w:rsid w:val="00AA3FE4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DC43E7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727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7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24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70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8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02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2DBB2EEFF8E8E7469B628C0523132F6F" ma:contentTypeVersion="7" ma:contentTypeDescription="PMC Document" ma:contentTypeScope="" ma:versionID="1e059c4396dca92751684b083538095e">
  <xsd:schema xmlns:xsd="http://www.w3.org/2001/XMLSchema" xmlns:xs="http://www.w3.org/2001/XMLSchema" xmlns:p="http://schemas.microsoft.com/office/2006/metadata/properties" xmlns:ns2="f6116d35-3b3d-4423-949c-d123ab707405" xmlns:ns3="685f9fda-bd71-4433-b331-92feb9553089" targetNamespace="http://schemas.microsoft.com/office/2006/metadata/properties" ma:root="true" ma:fieldsID="5571a45661dcf69c72a8275d0582d351" ns2:_="" ns3:_="">
    <xsd:import namespace="f6116d35-3b3d-4423-949c-d123ab707405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2:mc5611b894cf49d8aeeb8ebf39dc09bc" minOccurs="0"/>
                <xsd:element ref="ns2:TaxCatchAll" minOccurs="0"/>
                <xsd:element ref="ns2:TaxCatchAllLabel" minOccurs="0"/>
                <xsd:element ref="ns2:jd1c641577414dfdab1686c9d5d0dbd0" minOccurs="0"/>
                <xsd:element ref="ns3:NonRecordJustification"/>
                <xsd:element ref="ns2:PMC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16d35-3b3d-4423-949c-d123ab707405" elementFormDefault="qualified">
    <xsd:import namespace="http://schemas.microsoft.com/office/2006/documentManagement/types"/>
    <xsd:import namespace="http://schemas.microsoft.com/office/infopath/2007/PartnerControls"/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bcccfd5-67ea-43e0-ae05-98787c243a73}" ma:internalName="TaxCatchAll" ma:showField="CatchAllData" ma:web="f6116d35-3b3d-4423-949c-d123ab707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bcccfd5-67ea-43e0-ae05-98787c243a73}" ma:internalName="TaxCatchAllLabel" ma:readOnly="true" ma:showField="CatchAllDataLabel" ma:web="f6116d35-3b3d-4423-949c-d123ab707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MCNotes" ma:index="15" nillable="true" ma:displayName="Notes" ma:internalName="PMC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14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CNotes xmlns="f6116d35-3b3d-4423-949c-d123ab707405" xsi:nil="true"/>
    <mc5611b894cf49d8aeeb8ebf39dc09bc xmlns="f6116d35-3b3d-4423-949c-d123ab7074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NonRecordJustification xmlns="685f9fda-bd71-4433-b331-92feb9553089">None</NonRecordJustification>
    <jd1c641577414dfdab1686c9d5d0dbd0 xmlns="f6116d35-3b3d-4423-949c-d123ab707405">
      <Terms xmlns="http://schemas.microsoft.com/office/infopath/2007/PartnerControls"/>
    </jd1c641577414dfdab1686c9d5d0dbd0>
    <TaxCatchAll xmlns="f6116d35-3b3d-4423-949c-d123ab707405">
      <Value>1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A6212-2010-4D37-BF26-839D64B31539}"/>
</file>

<file path=customXml/itemProps2.xml><?xml version="1.0" encoding="utf-8"?>
<ds:datastoreItem xmlns:ds="http://schemas.openxmlformats.org/officeDocument/2006/customXml" ds:itemID="{1EA978C8-E496-4E28-BD24-F4AE59019ADE}"/>
</file>

<file path=customXml/itemProps3.xml><?xml version="1.0" encoding="utf-8"?>
<ds:datastoreItem xmlns:ds="http://schemas.openxmlformats.org/officeDocument/2006/customXml" ds:itemID="{F58E4D7A-5CD6-4D18-BE9F-58FF2F764953}"/>
</file>

<file path=customXml/itemProps4.xml><?xml version="1.0" encoding="utf-8"?>
<ds:datastoreItem xmlns:ds="http://schemas.openxmlformats.org/officeDocument/2006/customXml" ds:itemID="{214C6DFC-D83F-4092-9249-013E12DD2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Thomas, Rachel</dc:creator>
  <cp:lastModifiedBy>Thomas, Rachel</cp:lastModifiedBy>
  <cp:revision>44</cp:revision>
  <cp:lastPrinted>2016-09-14T03:34:00Z</cp:lastPrinted>
  <dcterms:created xsi:type="dcterms:W3CDTF">2016-08-17T05:38:00Z</dcterms:created>
  <dcterms:modified xsi:type="dcterms:W3CDTF">2016-09-15T00:30:00Z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0x0101002825A64A6E1845A99A9D8EE8A5686ECB002DBB2EEFF8E8E7469B628C0523132F6F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</Properties>
</file>