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C034B2" w:rsidRDefault="00DA186E" w:rsidP="00B05CF4">
      <w:pPr>
        <w:rPr>
          <w:sz w:val="28"/>
        </w:rPr>
      </w:pPr>
      <w:r w:rsidRPr="00C034B2">
        <w:rPr>
          <w:noProof/>
          <w:lang w:eastAsia="en-AU"/>
        </w:rPr>
        <w:drawing>
          <wp:inline distT="0" distB="0" distL="0" distR="0" wp14:anchorId="4A6967A4" wp14:editId="48B9EB6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034B2" w:rsidRDefault="00715914" w:rsidP="00715914">
      <w:pPr>
        <w:rPr>
          <w:sz w:val="19"/>
        </w:rPr>
      </w:pPr>
    </w:p>
    <w:p w:rsidR="00715914" w:rsidRPr="00C034B2" w:rsidRDefault="001B731F" w:rsidP="00715914">
      <w:pPr>
        <w:pStyle w:val="ShortT"/>
      </w:pPr>
      <w:r w:rsidRPr="00C034B2">
        <w:t>Christmas Island Utilities and Services (Electricity Supply and Service</w:t>
      </w:r>
      <w:r w:rsidR="00930D35" w:rsidRPr="00C034B2">
        <w:t>s</w:t>
      </w:r>
      <w:r w:rsidRPr="00C034B2">
        <w:t xml:space="preserve"> Fees) Determination</w:t>
      </w:r>
      <w:r w:rsidR="00C034B2" w:rsidRPr="00C034B2">
        <w:t> </w:t>
      </w:r>
      <w:r w:rsidRPr="00C034B2">
        <w:t>2016</w:t>
      </w:r>
    </w:p>
    <w:p w:rsidR="001B731F" w:rsidRPr="00C034B2" w:rsidRDefault="001B731F" w:rsidP="00914AD9">
      <w:pPr>
        <w:pStyle w:val="SignCoverPageStart"/>
        <w:rPr>
          <w:szCs w:val="22"/>
        </w:rPr>
      </w:pPr>
      <w:r w:rsidRPr="00C034B2">
        <w:rPr>
          <w:szCs w:val="22"/>
        </w:rPr>
        <w:t xml:space="preserve">I, Barry Wayne </w:t>
      </w:r>
      <w:proofErr w:type="spellStart"/>
      <w:r w:rsidRPr="00C034B2">
        <w:rPr>
          <w:szCs w:val="22"/>
        </w:rPr>
        <w:t>Haase</w:t>
      </w:r>
      <w:proofErr w:type="spellEnd"/>
      <w:r w:rsidRPr="00C034B2">
        <w:rPr>
          <w:szCs w:val="22"/>
        </w:rPr>
        <w:t>, Administrator of the Territory of Christmas Island, make the following determination.</w:t>
      </w:r>
    </w:p>
    <w:p w:rsidR="001B731F" w:rsidRPr="00C034B2" w:rsidRDefault="001B731F" w:rsidP="00914AD9">
      <w:pPr>
        <w:keepNext/>
        <w:spacing w:before="300" w:line="240" w:lineRule="atLeast"/>
        <w:ind w:right="397"/>
        <w:jc w:val="both"/>
        <w:rPr>
          <w:szCs w:val="22"/>
        </w:rPr>
      </w:pPr>
      <w:r w:rsidRPr="00C034B2">
        <w:rPr>
          <w:szCs w:val="22"/>
        </w:rPr>
        <w:t>Dated</w:t>
      </w:r>
      <w:r w:rsidR="00A23154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C034B2">
        <w:rPr>
          <w:szCs w:val="22"/>
        </w:rPr>
        <w:fldChar w:fldCharType="begin"/>
      </w:r>
      <w:r w:rsidRPr="00C034B2">
        <w:rPr>
          <w:szCs w:val="22"/>
        </w:rPr>
        <w:instrText xml:space="preserve"> DOCPROPERTY  DateMade </w:instrText>
      </w:r>
      <w:r w:rsidRPr="00C034B2">
        <w:rPr>
          <w:szCs w:val="22"/>
        </w:rPr>
        <w:fldChar w:fldCharType="separate"/>
      </w:r>
      <w:r w:rsidR="00A23154">
        <w:rPr>
          <w:szCs w:val="22"/>
        </w:rPr>
        <w:t>30 September 2016</w:t>
      </w:r>
      <w:r w:rsidRPr="00C034B2">
        <w:rPr>
          <w:szCs w:val="22"/>
        </w:rPr>
        <w:fldChar w:fldCharType="end"/>
      </w:r>
    </w:p>
    <w:p w:rsidR="001B731F" w:rsidRPr="00C034B2" w:rsidRDefault="001B731F" w:rsidP="00914AD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034B2">
        <w:rPr>
          <w:szCs w:val="22"/>
        </w:rPr>
        <w:t xml:space="preserve">Barry Wayne </w:t>
      </w:r>
      <w:proofErr w:type="spellStart"/>
      <w:r w:rsidRPr="00C034B2">
        <w:rPr>
          <w:szCs w:val="22"/>
        </w:rPr>
        <w:t>Haase</w:t>
      </w:r>
      <w:proofErr w:type="spellEnd"/>
    </w:p>
    <w:p w:rsidR="001B731F" w:rsidRPr="00C034B2" w:rsidRDefault="001B731F" w:rsidP="00914AD9">
      <w:pPr>
        <w:pStyle w:val="SignCoverPageEnd"/>
        <w:rPr>
          <w:szCs w:val="22"/>
        </w:rPr>
      </w:pPr>
      <w:r w:rsidRPr="00C034B2">
        <w:rPr>
          <w:szCs w:val="22"/>
        </w:rPr>
        <w:t>Administrator of the Territory of Christmas Island</w:t>
      </w:r>
    </w:p>
    <w:p w:rsidR="001B731F" w:rsidRPr="00C034B2" w:rsidRDefault="001B731F" w:rsidP="00914AD9"/>
    <w:p w:rsidR="001B731F" w:rsidRPr="00C034B2" w:rsidRDefault="001B731F" w:rsidP="001B731F"/>
    <w:p w:rsidR="00715914" w:rsidRPr="00C034B2" w:rsidRDefault="00715914" w:rsidP="00715914">
      <w:pPr>
        <w:pStyle w:val="Header"/>
        <w:tabs>
          <w:tab w:val="clear" w:pos="4150"/>
          <w:tab w:val="clear" w:pos="8307"/>
        </w:tabs>
      </w:pPr>
      <w:r w:rsidRPr="00C034B2">
        <w:rPr>
          <w:rStyle w:val="CharChapNo"/>
        </w:rPr>
        <w:t xml:space="preserve"> </w:t>
      </w:r>
      <w:r w:rsidRPr="00C034B2">
        <w:rPr>
          <w:rStyle w:val="CharChapText"/>
        </w:rPr>
        <w:t xml:space="preserve"> </w:t>
      </w:r>
    </w:p>
    <w:p w:rsidR="00715914" w:rsidRPr="00C034B2" w:rsidRDefault="00715914" w:rsidP="00715914">
      <w:pPr>
        <w:pStyle w:val="Header"/>
        <w:tabs>
          <w:tab w:val="clear" w:pos="4150"/>
          <w:tab w:val="clear" w:pos="8307"/>
        </w:tabs>
      </w:pPr>
      <w:r w:rsidRPr="00C034B2">
        <w:rPr>
          <w:rStyle w:val="CharPartNo"/>
        </w:rPr>
        <w:t xml:space="preserve"> </w:t>
      </w:r>
      <w:r w:rsidRPr="00C034B2">
        <w:rPr>
          <w:rStyle w:val="CharPartText"/>
        </w:rPr>
        <w:t xml:space="preserve"> </w:t>
      </w:r>
    </w:p>
    <w:p w:rsidR="00715914" w:rsidRPr="00C034B2" w:rsidRDefault="00715914" w:rsidP="00715914">
      <w:pPr>
        <w:pStyle w:val="Header"/>
        <w:tabs>
          <w:tab w:val="clear" w:pos="4150"/>
          <w:tab w:val="clear" w:pos="8307"/>
        </w:tabs>
      </w:pPr>
      <w:r w:rsidRPr="00C034B2">
        <w:rPr>
          <w:rStyle w:val="CharDivNo"/>
        </w:rPr>
        <w:t xml:space="preserve"> </w:t>
      </w:r>
      <w:r w:rsidRPr="00C034B2">
        <w:rPr>
          <w:rStyle w:val="CharDivText"/>
        </w:rPr>
        <w:t xml:space="preserve"> </w:t>
      </w:r>
    </w:p>
    <w:p w:rsidR="00715914" w:rsidRPr="00C034B2" w:rsidRDefault="00715914" w:rsidP="00715914">
      <w:pPr>
        <w:sectPr w:rsidR="00715914" w:rsidRPr="00C034B2" w:rsidSect="00C37E9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C034B2" w:rsidRDefault="00715914" w:rsidP="005B5C45">
      <w:pPr>
        <w:rPr>
          <w:sz w:val="36"/>
        </w:rPr>
      </w:pPr>
      <w:r w:rsidRPr="00C034B2">
        <w:rPr>
          <w:sz w:val="36"/>
        </w:rPr>
        <w:lastRenderedPageBreak/>
        <w:t>Contents</w:t>
      </w:r>
    </w:p>
    <w:bookmarkStart w:id="2" w:name="BKCheck15B_2"/>
    <w:bookmarkEnd w:id="2"/>
    <w:p w:rsidR="00DB448E" w:rsidRPr="00C034B2" w:rsidRDefault="00DB448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034B2">
        <w:fldChar w:fldCharType="begin"/>
      </w:r>
      <w:r w:rsidRPr="00C034B2">
        <w:instrText xml:space="preserve"> TOC \o "1-9" </w:instrText>
      </w:r>
      <w:r w:rsidRPr="00C034B2">
        <w:fldChar w:fldCharType="separate"/>
      </w:r>
      <w:r w:rsidRPr="00C034B2">
        <w:rPr>
          <w:noProof/>
        </w:rPr>
        <w:t>Part</w:t>
      </w:r>
      <w:r w:rsidR="00C034B2" w:rsidRPr="00C034B2">
        <w:rPr>
          <w:noProof/>
        </w:rPr>
        <w:t> </w:t>
      </w:r>
      <w:r w:rsidRPr="00C034B2">
        <w:rPr>
          <w:noProof/>
        </w:rPr>
        <w:t>1—Preliminary</w:t>
      </w:r>
      <w:r w:rsidRPr="00C034B2">
        <w:rPr>
          <w:b w:val="0"/>
          <w:noProof/>
          <w:sz w:val="18"/>
        </w:rPr>
        <w:tab/>
      </w:r>
      <w:r w:rsidRPr="00C034B2">
        <w:rPr>
          <w:b w:val="0"/>
          <w:noProof/>
          <w:sz w:val="18"/>
        </w:rPr>
        <w:fldChar w:fldCharType="begin"/>
      </w:r>
      <w:r w:rsidRPr="00C034B2">
        <w:rPr>
          <w:b w:val="0"/>
          <w:noProof/>
          <w:sz w:val="18"/>
        </w:rPr>
        <w:instrText xml:space="preserve"> PAGEREF _Toc462848260 \h </w:instrText>
      </w:r>
      <w:r w:rsidRPr="00C034B2">
        <w:rPr>
          <w:b w:val="0"/>
          <w:noProof/>
          <w:sz w:val="18"/>
        </w:rPr>
      </w:r>
      <w:r w:rsidRPr="00C034B2">
        <w:rPr>
          <w:b w:val="0"/>
          <w:noProof/>
          <w:sz w:val="18"/>
        </w:rPr>
        <w:fldChar w:fldCharType="separate"/>
      </w:r>
      <w:r w:rsidR="00A23154">
        <w:rPr>
          <w:b w:val="0"/>
          <w:noProof/>
          <w:sz w:val="18"/>
        </w:rPr>
        <w:t>1</w:t>
      </w:r>
      <w:r w:rsidRPr="00C034B2">
        <w:rPr>
          <w:b w:val="0"/>
          <w:noProof/>
          <w:sz w:val="18"/>
        </w:rPr>
        <w:fldChar w:fldCharType="end"/>
      </w:r>
    </w:p>
    <w:p w:rsidR="00DB448E" w:rsidRPr="00C034B2" w:rsidRDefault="00DB44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34B2">
        <w:rPr>
          <w:noProof/>
        </w:rPr>
        <w:t>1</w:t>
      </w:r>
      <w:r w:rsidRPr="00C034B2">
        <w:rPr>
          <w:noProof/>
        </w:rPr>
        <w:tab/>
        <w:t>Name</w:t>
      </w:r>
      <w:r w:rsidRPr="00C034B2">
        <w:rPr>
          <w:noProof/>
        </w:rPr>
        <w:tab/>
      </w:r>
      <w:r w:rsidRPr="00C034B2">
        <w:rPr>
          <w:noProof/>
        </w:rPr>
        <w:fldChar w:fldCharType="begin"/>
      </w:r>
      <w:r w:rsidRPr="00C034B2">
        <w:rPr>
          <w:noProof/>
        </w:rPr>
        <w:instrText xml:space="preserve"> PAGEREF _Toc462848261 \h </w:instrText>
      </w:r>
      <w:r w:rsidRPr="00C034B2">
        <w:rPr>
          <w:noProof/>
        </w:rPr>
      </w:r>
      <w:r w:rsidRPr="00C034B2">
        <w:rPr>
          <w:noProof/>
        </w:rPr>
        <w:fldChar w:fldCharType="separate"/>
      </w:r>
      <w:r w:rsidR="00A23154">
        <w:rPr>
          <w:noProof/>
        </w:rPr>
        <w:t>1</w:t>
      </w:r>
      <w:r w:rsidRPr="00C034B2">
        <w:rPr>
          <w:noProof/>
        </w:rPr>
        <w:fldChar w:fldCharType="end"/>
      </w:r>
    </w:p>
    <w:p w:rsidR="00DB448E" w:rsidRPr="00C034B2" w:rsidRDefault="00DB44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34B2">
        <w:rPr>
          <w:noProof/>
        </w:rPr>
        <w:t>2</w:t>
      </w:r>
      <w:r w:rsidRPr="00C034B2">
        <w:rPr>
          <w:noProof/>
        </w:rPr>
        <w:tab/>
        <w:t>Commencement</w:t>
      </w:r>
      <w:r w:rsidRPr="00C034B2">
        <w:rPr>
          <w:noProof/>
        </w:rPr>
        <w:tab/>
      </w:r>
      <w:r w:rsidRPr="00C034B2">
        <w:rPr>
          <w:noProof/>
        </w:rPr>
        <w:fldChar w:fldCharType="begin"/>
      </w:r>
      <w:r w:rsidRPr="00C034B2">
        <w:rPr>
          <w:noProof/>
        </w:rPr>
        <w:instrText xml:space="preserve"> PAGEREF _Toc462848262 \h </w:instrText>
      </w:r>
      <w:r w:rsidRPr="00C034B2">
        <w:rPr>
          <w:noProof/>
        </w:rPr>
      </w:r>
      <w:r w:rsidRPr="00C034B2">
        <w:rPr>
          <w:noProof/>
        </w:rPr>
        <w:fldChar w:fldCharType="separate"/>
      </w:r>
      <w:r w:rsidR="00A23154">
        <w:rPr>
          <w:noProof/>
        </w:rPr>
        <w:t>1</w:t>
      </w:r>
      <w:r w:rsidRPr="00C034B2">
        <w:rPr>
          <w:noProof/>
        </w:rPr>
        <w:fldChar w:fldCharType="end"/>
      </w:r>
    </w:p>
    <w:p w:rsidR="00DB448E" w:rsidRPr="00C034B2" w:rsidRDefault="00DB44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34B2">
        <w:rPr>
          <w:noProof/>
        </w:rPr>
        <w:t>3</w:t>
      </w:r>
      <w:r w:rsidRPr="00C034B2">
        <w:rPr>
          <w:noProof/>
        </w:rPr>
        <w:tab/>
        <w:t>Authority</w:t>
      </w:r>
      <w:r w:rsidRPr="00C034B2">
        <w:rPr>
          <w:noProof/>
        </w:rPr>
        <w:tab/>
      </w:r>
      <w:r w:rsidRPr="00C034B2">
        <w:rPr>
          <w:noProof/>
        </w:rPr>
        <w:fldChar w:fldCharType="begin"/>
      </w:r>
      <w:r w:rsidRPr="00C034B2">
        <w:rPr>
          <w:noProof/>
        </w:rPr>
        <w:instrText xml:space="preserve"> PAGEREF _Toc462848263 \h </w:instrText>
      </w:r>
      <w:r w:rsidRPr="00C034B2">
        <w:rPr>
          <w:noProof/>
        </w:rPr>
      </w:r>
      <w:r w:rsidRPr="00C034B2">
        <w:rPr>
          <w:noProof/>
        </w:rPr>
        <w:fldChar w:fldCharType="separate"/>
      </w:r>
      <w:r w:rsidR="00A23154">
        <w:rPr>
          <w:noProof/>
        </w:rPr>
        <w:t>1</w:t>
      </w:r>
      <w:r w:rsidRPr="00C034B2">
        <w:rPr>
          <w:noProof/>
        </w:rPr>
        <w:fldChar w:fldCharType="end"/>
      </w:r>
    </w:p>
    <w:p w:rsidR="00DB448E" w:rsidRPr="00C034B2" w:rsidRDefault="00DB44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34B2">
        <w:rPr>
          <w:noProof/>
        </w:rPr>
        <w:t>4</w:t>
      </w:r>
      <w:r w:rsidRPr="00C034B2">
        <w:rPr>
          <w:noProof/>
        </w:rPr>
        <w:tab/>
        <w:t>Definitions</w:t>
      </w:r>
      <w:r w:rsidRPr="00C034B2">
        <w:rPr>
          <w:noProof/>
        </w:rPr>
        <w:tab/>
      </w:r>
      <w:r w:rsidRPr="00C034B2">
        <w:rPr>
          <w:noProof/>
        </w:rPr>
        <w:fldChar w:fldCharType="begin"/>
      </w:r>
      <w:r w:rsidRPr="00C034B2">
        <w:rPr>
          <w:noProof/>
        </w:rPr>
        <w:instrText xml:space="preserve"> PAGEREF _Toc462848264 \h </w:instrText>
      </w:r>
      <w:r w:rsidRPr="00C034B2">
        <w:rPr>
          <w:noProof/>
        </w:rPr>
      </w:r>
      <w:r w:rsidRPr="00C034B2">
        <w:rPr>
          <w:noProof/>
        </w:rPr>
        <w:fldChar w:fldCharType="separate"/>
      </w:r>
      <w:r w:rsidR="00A23154">
        <w:rPr>
          <w:noProof/>
        </w:rPr>
        <w:t>1</w:t>
      </w:r>
      <w:r w:rsidRPr="00C034B2">
        <w:rPr>
          <w:noProof/>
        </w:rPr>
        <w:fldChar w:fldCharType="end"/>
      </w:r>
    </w:p>
    <w:p w:rsidR="00DB448E" w:rsidRPr="00C034B2" w:rsidRDefault="00DB44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34B2">
        <w:rPr>
          <w:noProof/>
        </w:rPr>
        <w:t>5</w:t>
      </w:r>
      <w:r w:rsidRPr="00C034B2">
        <w:rPr>
          <w:noProof/>
        </w:rPr>
        <w:tab/>
        <w:t>Categories of premises</w:t>
      </w:r>
      <w:r w:rsidRPr="00C034B2">
        <w:rPr>
          <w:noProof/>
        </w:rPr>
        <w:tab/>
      </w:r>
      <w:r w:rsidRPr="00C034B2">
        <w:rPr>
          <w:noProof/>
        </w:rPr>
        <w:fldChar w:fldCharType="begin"/>
      </w:r>
      <w:r w:rsidRPr="00C034B2">
        <w:rPr>
          <w:noProof/>
        </w:rPr>
        <w:instrText xml:space="preserve"> PAGEREF _Toc462848265 \h </w:instrText>
      </w:r>
      <w:r w:rsidRPr="00C034B2">
        <w:rPr>
          <w:noProof/>
        </w:rPr>
      </w:r>
      <w:r w:rsidRPr="00C034B2">
        <w:rPr>
          <w:noProof/>
        </w:rPr>
        <w:fldChar w:fldCharType="separate"/>
      </w:r>
      <w:r w:rsidR="00A23154">
        <w:rPr>
          <w:noProof/>
        </w:rPr>
        <w:t>2</w:t>
      </w:r>
      <w:r w:rsidRPr="00C034B2">
        <w:rPr>
          <w:noProof/>
        </w:rPr>
        <w:fldChar w:fldCharType="end"/>
      </w:r>
    </w:p>
    <w:p w:rsidR="00DB448E" w:rsidRPr="00C034B2" w:rsidRDefault="00DB448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034B2">
        <w:rPr>
          <w:noProof/>
        </w:rPr>
        <w:t>Part</w:t>
      </w:r>
      <w:r w:rsidR="00C034B2" w:rsidRPr="00C034B2">
        <w:rPr>
          <w:noProof/>
        </w:rPr>
        <w:t> </w:t>
      </w:r>
      <w:r w:rsidRPr="00C034B2">
        <w:rPr>
          <w:noProof/>
        </w:rPr>
        <w:t>2—Fees</w:t>
      </w:r>
      <w:r w:rsidRPr="00C034B2">
        <w:rPr>
          <w:b w:val="0"/>
          <w:noProof/>
          <w:sz w:val="18"/>
        </w:rPr>
        <w:tab/>
      </w:r>
      <w:r w:rsidRPr="00C034B2">
        <w:rPr>
          <w:b w:val="0"/>
          <w:noProof/>
          <w:sz w:val="18"/>
        </w:rPr>
        <w:fldChar w:fldCharType="begin"/>
      </w:r>
      <w:r w:rsidRPr="00C034B2">
        <w:rPr>
          <w:b w:val="0"/>
          <w:noProof/>
          <w:sz w:val="18"/>
        </w:rPr>
        <w:instrText xml:space="preserve"> PAGEREF _Toc462848266 \h </w:instrText>
      </w:r>
      <w:r w:rsidRPr="00C034B2">
        <w:rPr>
          <w:b w:val="0"/>
          <w:noProof/>
          <w:sz w:val="18"/>
        </w:rPr>
      </w:r>
      <w:r w:rsidRPr="00C034B2">
        <w:rPr>
          <w:b w:val="0"/>
          <w:noProof/>
          <w:sz w:val="18"/>
        </w:rPr>
        <w:fldChar w:fldCharType="separate"/>
      </w:r>
      <w:r w:rsidR="00A23154">
        <w:rPr>
          <w:b w:val="0"/>
          <w:noProof/>
          <w:sz w:val="18"/>
        </w:rPr>
        <w:t>4</w:t>
      </w:r>
      <w:r w:rsidRPr="00C034B2">
        <w:rPr>
          <w:b w:val="0"/>
          <w:noProof/>
          <w:sz w:val="18"/>
        </w:rPr>
        <w:fldChar w:fldCharType="end"/>
      </w:r>
    </w:p>
    <w:p w:rsidR="00DB448E" w:rsidRPr="00C034B2" w:rsidRDefault="00DB44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34B2">
        <w:rPr>
          <w:noProof/>
        </w:rPr>
        <w:t>6</w:t>
      </w:r>
      <w:r w:rsidRPr="00C034B2">
        <w:rPr>
          <w:noProof/>
        </w:rPr>
        <w:tab/>
        <w:t>Fees</w:t>
      </w:r>
      <w:r w:rsidRPr="00C034B2">
        <w:rPr>
          <w:noProof/>
        </w:rPr>
        <w:tab/>
      </w:r>
      <w:r w:rsidRPr="00C034B2">
        <w:rPr>
          <w:noProof/>
        </w:rPr>
        <w:fldChar w:fldCharType="begin"/>
      </w:r>
      <w:r w:rsidRPr="00C034B2">
        <w:rPr>
          <w:noProof/>
        </w:rPr>
        <w:instrText xml:space="preserve"> PAGEREF _Toc462848267 \h </w:instrText>
      </w:r>
      <w:r w:rsidRPr="00C034B2">
        <w:rPr>
          <w:noProof/>
        </w:rPr>
      </w:r>
      <w:r w:rsidRPr="00C034B2">
        <w:rPr>
          <w:noProof/>
        </w:rPr>
        <w:fldChar w:fldCharType="separate"/>
      </w:r>
      <w:r w:rsidR="00A23154">
        <w:rPr>
          <w:noProof/>
        </w:rPr>
        <w:t>4</w:t>
      </w:r>
      <w:r w:rsidRPr="00C034B2">
        <w:rPr>
          <w:noProof/>
        </w:rPr>
        <w:fldChar w:fldCharType="end"/>
      </w:r>
    </w:p>
    <w:p w:rsidR="00DB448E" w:rsidRPr="00C034B2" w:rsidRDefault="00DB44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34B2">
        <w:rPr>
          <w:noProof/>
        </w:rPr>
        <w:t>7</w:t>
      </w:r>
      <w:r w:rsidRPr="00C034B2">
        <w:rPr>
          <w:noProof/>
        </w:rPr>
        <w:tab/>
        <w:t>Rebates and exemptions for eligible persons</w:t>
      </w:r>
      <w:r w:rsidRPr="00C034B2">
        <w:rPr>
          <w:noProof/>
        </w:rPr>
        <w:tab/>
      </w:r>
      <w:r w:rsidRPr="00C034B2">
        <w:rPr>
          <w:noProof/>
        </w:rPr>
        <w:fldChar w:fldCharType="begin"/>
      </w:r>
      <w:r w:rsidRPr="00C034B2">
        <w:rPr>
          <w:noProof/>
        </w:rPr>
        <w:instrText xml:space="preserve"> PAGEREF _Toc462848268 \h </w:instrText>
      </w:r>
      <w:r w:rsidRPr="00C034B2">
        <w:rPr>
          <w:noProof/>
        </w:rPr>
      </w:r>
      <w:r w:rsidRPr="00C034B2">
        <w:rPr>
          <w:noProof/>
        </w:rPr>
        <w:fldChar w:fldCharType="separate"/>
      </w:r>
      <w:r w:rsidR="00A23154">
        <w:rPr>
          <w:noProof/>
        </w:rPr>
        <w:t>4</w:t>
      </w:r>
      <w:r w:rsidRPr="00C034B2">
        <w:rPr>
          <w:noProof/>
        </w:rPr>
        <w:fldChar w:fldCharType="end"/>
      </w:r>
    </w:p>
    <w:p w:rsidR="00DB448E" w:rsidRPr="00C034B2" w:rsidRDefault="00DB44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34B2">
        <w:rPr>
          <w:noProof/>
        </w:rPr>
        <w:t>8</w:t>
      </w:r>
      <w:r w:rsidRPr="00C034B2">
        <w:rPr>
          <w:noProof/>
        </w:rPr>
        <w:tab/>
        <w:t>Payment of fees</w:t>
      </w:r>
      <w:r w:rsidRPr="00C034B2">
        <w:rPr>
          <w:noProof/>
        </w:rPr>
        <w:tab/>
      </w:r>
      <w:r w:rsidRPr="00C034B2">
        <w:rPr>
          <w:noProof/>
        </w:rPr>
        <w:fldChar w:fldCharType="begin"/>
      </w:r>
      <w:r w:rsidRPr="00C034B2">
        <w:rPr>
          <w:noProof/>
        </w:rPr>
        <w:instrText xml:space="preserve"> PAGEREF _Toc462848269 \h </w:instrText>
      </w:r>
      <w:r w:rsidRPr="00C034B2">
        <w:rPr>
          <w:noProof/>
        </w:rPr>
      </w:r>
      <w:r w:rsidRPr="00C034B2">
        <w:rPr>
          <w:noProof/>
        </w:rPr>
        <w:fldChar w:fldCharType="separate"/>
      </w:r>
      <w:r w:rsidR="00A23154">
        <w:rPr>
          <w:noProof/>
        </w:rPr>
        <w:t>5</w:t>
      </w:r>
      <w:r w:rsidRPr="00C034B2">
        <w:rPr>
          <w:noProof/>
        </w:rPr>
        <w:fldChar w:fldCharType="end"/>
      </w:r>
    </w:p>
    <w:p w:rsidR="00DB448E" w:rsidRPr="00C034B2" w:rsidRDefault="00DB44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34B2">
        <w:rPr>
          <w:noProof/>
        </w:rPr>
        <w:t>9</w:t>
      </w:r>
      <w:r w:rsidRPr="00C034B2">
        <w:rPr>
          <w:noProof/>
        </w:rPr>
        <w:tab/>
        <w:t>When a fee is not paid</w:t>
      </w:r>
      <w:r w:rsidRPr="00C034B2">
        <w:rPr>
          <w:noProof/>
        </w:rPr>
        <w:tab/>
      </w:r>
      <w:r w:rsidRPr="00C034B2">
        <w:rPr>
          <w:noProof/>
        </w:rPr>
        <w:fldChar w:fldCharType="begin"/>
      </w:r>
      <w:r w:rsidRPr="00C034B2">
        <w:rPr>
          <w:noProof/>
        </w:rPr>
        <w:instrText xml:space="preserve"> PAGEREF _Toc462848270 \h </w:instrText>
      </w:r>
      <w:r w:rsidRPr="00C034B2">
        <w:rPr>
          <w:noProof/>
        </w:rPr>
      </w:r>
      <w:r w:rsidRPr="00C034B2">
        <w:rPr>
          <w:noProof/>
        </w:rPr>
        <w:fldChar w:fldCharType="separate"/>
      </w:r>
      <w:r w:rsidR="00A23154">
        <w:rPr>
          <w:noProof/>
        </w:rPr>
        <w:t>5</w:t>
      </w:r>
      <w:r w:rsidRPr="00C034B2">
        <w:rPr>
          <w:noProof/>
        </w:rPr>
        <w:fldChar w:fldCharType="end"/>
      </w:r>
    </w:p>
    <w:p w:rsidR="00DB448E" w:rsidRPr="00C034B2" w:rsidRDefault="00DB44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34B2">
        <w:rPr>
          <w:noProof/>
        </w:rPr>
        <w:t>10</w:t>
      </w:r>
      <w:r w:rsidRPr="00C034B2">
        <w:rPr>
          <w:noProof/>
        </w:rPr>
        <w:tab/>
        <w:t>Special payment arrangements</w:t>
      </w:r>
      <w:r w:rsidRPr="00C034B2">
        <w:rPr>
          <w:noProof/>
        </w:rPr>
        <w:tab/>
      </w:r>
      <w:r w:rsidRPr="00C034B2">
        <w:rPr>
          <w:noProof/>
        </w:rPr>
        <w:fldChar w:fldCharType="begin"/>
      </w:r>
      <w:r w:rsidRPr="00C034B2">
        <w:rPr>
          <w:noProof/>
        </w:rPr>
        <w:instrText xml:space="preserve"> PAGEREF _Toc462848271 \h </w:instrText>
      </w:r>
      <w:r w:rsidRPr="00C034B2">
        <w:rPr>
          <w:noProof/>
        </w:rPr>
      </w:r>
      <w:r w:rsidRPr="00C034B2">
        <w:rPr>
          <w:noProof/>
        </w:rPr>
        <w:fldChar w:fldCharType="separate"/>
      </w:r>
      <w:r w:rsidR="00A23154">
        <w:rPr>
          <w:noProof/>
        </w:rPr>
        <w:t>6</w:t>
      </w:r>
      <w:r w:rsidRPr="00C034B2">
        <w:rPr>
          <w:noProof/>
        </w:rPr>
        <w:fldChar w:fldCharType="end"/>
      </w:r>
    </w:p>
    <w:p w:rsidR="00DB448E" w:rsidRPr="00C034B2" w:rsidRDefault="00DB44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34B2">
        <w:rPr>
          <w:noProof/>
        </w:rPr>
        <w:t>11</w:t>
      </w:r>
      <w:r w:rsidRPr="00C034B2">
        <w:rPr>
          <w:noProof/>
        </w:rPr>
        <w:tab/>
        <w:t>Notice to Administrator of residents dependent on life support equipment</w:t>
      </w:r>
      <w:r w:rsidRPr="00C034B2">
        <w:rPr>
          <w:noProof/>
        </w:rPr>
        <w:tab/>
      </w:r>
      <w:r w:rsidRPr="00C034B2">
        <w:rPr>
          <w:noProof/>
        </w:rPr>
        <w:fldChar w:fldCharType="begin"/>
      </w:r>
      <w:r w:rsidRPr="00C034B2">
        <w:rPr>
          <w:noProof/>
        </w:rPr>
        <w:instrText xml:space="preserve"> PAGEREF _Toc462848272 \h </w:instrText>
      </w:r>
      <w:r w:rsidRPr="00C034B2">
        <w:rPr>
          <w:noProof/>
        </w:rPr>
      </w:r>
      <w:r w:rsidRPr="00C034B2">
        <w:rPr>
          <w:noProof/>
        </w:rPr>
        <w:fldChar w:fldCharType="separate"/>
      </w:r>
      <w:r w:rsidR="00A23154">
        <w:rPr>
          <w:noProof/>
        </w:rPr>
        <w:t>6</w:t>
      </w:r>
      <w:r w:rsidRPr="00C034B2">
        <w:rPr>
          <w:noProof/>
        </w:rPr>
        <w:fldChar w:fldCharType="end"/>
      </w:r>
    </w:p>
    <w:p w:rsidR="00DB448E" w:rsidRPr="00C034B2" w:rsidRDefault="00DB448E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034B2">
        <w:rPr>
          <w:noProof/>
        </w:rPr>
        <w:t>Schedule</w:t>
      </w:r>
      <w:r w:rsidR="00C034B2" w:rsidRPr="00C034B2">
        <w:rPr>
          <w:noProof/>
        </w:rPr>
        <w:t> </w:t>
      </w:r>
      <w:r w:rsidRPr="00C034B2">
        <w:rPr>
          <w:noProof/>
        </w:rPr>
        <w:t>1—Fixed fees for the supply of electricity</w:t>
      </w:r>
      <w:r w:rsidRPr="00C034B2">
        <w:rPr>
          <w:b w:val="0"/>
          <w:noProof/>
          <w:sz w:val="18"/>
        </w:rPr>
        <w:tab/>
      </w:r>
      <w:r w:rsidRPr="00C034B2">
        <w:rPr>
          <w:b w:val="0"/>
          <w:noProof/>
          <w:sz w:val="18"/>
        </w:rPr>
        <w:fldChar w:fldCharType="begin"/>
      </w:r>
      <w:r w:rsidRPr="00C034B2">
        <w:rPr>
          <w:b w:val="0"/>
          <w:noProof/>
          <w:sz w:val="18"/>
        </w:rPr>
        <w:instrText xml:space="preserve"> PAGEREF _Toc462848273 \h </w:instrText>
      </w:r>
      <w:r w:rsidRPr="00C034B2">
        <w:rPr>
          <w:b w:val="0"/>
          <w:noProof/>
          <w:sz w:val="18"/>
        </w:rPr>
      </w:r>
      <w:r w:rsidRPr="00C034B2">
        <w:rPr>
          <w:b w:val="0"/>
          <w:noProof/>
          <w:sz w:val="18"/>
        </w:rPr>
        <w:fldChar w:fldCharType="separate"/>
      </w:r>
      <w:r w:rsidR="00A23154">
        <w:rPr>
          <w:b w:val="0"/>
          <w:noProof/>
          <w:sz w:val="18"/>
        </w:rPr>
        <w:t>7</w:t>
      </w:r>
      <w:r w:rsidRPr="00C034B2">
        <w:rPr>
          <w:b w:val="0"/>
          <w:noProof/>
          <w:sz w:val="18"/>
        </w:rPr>
        <w:fldChar w:fldCharType="end"/>
      </w:r>
    </w:p>
    <w:p w:rsidR="00DB448E" w:rsidRPr="00C034B2" w:rsidRDefault="00DB44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34B2">
        <w:rPr>
          <w:noProof/>
        </w:rPr>
        <w:t>1</w:t>
      </w:r>
      <w:r w:rsidRPr="00C034B2">
        <w:rPr>
          <w:noProof/>
        </w:rPr>
        <w:tab/>
        <w:t>Fixed fees for the supply of electricity</w:t>
      </w:r>
      <w:r w:rsidRPr="00C034B2">
        <w:rPr>
          <w:noProof/>
        </w:rPr>
        <w:tab/>
      </w:r>
      <w:r w:rsidRPr="00C034B2">
        <w:rPr>
          <w:noProof/>
        </w:rPr>
        <w:fldChar w:fldCharType="begin"/>
      </w:r>
      <w:r w:rsidRPr="00C034B2">
        <w:rPr>
          <w:noProof/>
        </w:rPr>
        <w:instrText xml:space="preserve"> PAGEREF _Toc462848274 \h </w:instrText>
      </w:r>
      <w:r w:rsidRPr="00C034B2">
        <w:rPr>
          <w:noProof/>
        </w:rPr>
      </w:r>
      <w:r w:rsidRPr="00C034B2">
        <w:rPr>
          <w:noProof/>
        </w:rPr>
        <w:fldChar w:fldCharType="separate"/>
      </w:r>
      <w:r w:rsidR="00A23154">
        <w:rPr>
          <w:noProof/>
        </w:rPr>
        <w:t>7</w:t>
      </w:r>
      <w:r w:rsidRPr="00C034B2">
        <w:rPr>
          <w:noProof/>
        </w:rPr>
        <w:fldChar w:fldCharType="end"/>
      </w:r>
    </w:p>
    <w:p w:rsidR="00DB448E" w:rsidRPr="00C034B2" w:rsidRDefault="00DB448E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034B2">
        <w:rPr>
          <w:noProof/>
        </w:rPr>
        <w:t>Schedule</w:t>
      </w:r>
      <w:r w:rsidR="00C034B2" w:rsidRPr="00C034B2">
        <w:rPr>
          <w:noProof/>
        </w:rPr>
        <w:t> </w:t>
      </w:r>
      <w:r w:rsidRPr="00C034B2">
        <w:rPr>
          <w:noProof/>
        </w:rPr>
        <w:t>2—Consumption fees for the supply of electricity</w:t>
      </w:r>
      <w:r w:rsidRPr="00C034B2">
        <w:rPr>
          <w:b w:val="0"/>
          <w:noProof/>
          <w:sz w:val="18"/>
        </w:rPr>
        <w:tab/>
      </w:r>
      <w:r w:rsidRPr="00C034B2">
        <w:rPr>
          <w:b w:val="0"/>
          <w:noProof/>
          <w:sz w:val="18"/>
        </w:rPr>
        <w:fldChar w:fldCharType="begin"/>
      </w:r>
      <w:r w:rsidRPr="00C034B2">
        <w:rPr>
          <w:b w:val="0"/>
          <w:noProof/>
          <w:sz w:val="18"/>
        </w:rPr>
        <w:instrText xml:space="preserve"> PAGEREF _Toc462848275 \h </w:instrText>
      </w:r>
      <w:r w:rsidRPr="00C034B2">
        <w:rPr>
          <w:b w:val="0"/>
          <w:noProof/>
          <w:sz w:val="18"/>
        </w:rPr>
      </w:r>
      <w:r w:rsidRPr="00C034B2">
        <w:rPr>
          <w:b w:val="0"/>
          <w:noProof/>
          <w:sz w:val="18"/>
        </w:rPr>
        <w:fldChar w:fldCharType="separate"/>
      </w:r>
      <w:r w:rsidR="00A23154">
        <w:rPr>
          <w:b w:val="0"/>
          <w:noProof/>
          <w:sz w:val="18"/>
        </w:rPr>
        <w:t>8</w:t>
      </w:r>
      <w:r w:rsidRPr="00C034B2">
        <w:rPr>
          <w:b w:val="0"/>
          <w:noProof/>
          <w:sz w:val="18"/>
        </w:rPr>
        <w:fldChar w:fldCharType="end"/>
      </w:r>
    </w:p>
    <w:p w:rsidR="00DB448E" w:rsidRPr="00C034B2" w:rsidRDefault="00DB44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34B2">
        <w:rPr>
          <w:noProof/>
        </w:rPr>
        <w:t>1</w:t>
      </w:r>
      <w:r w:rsidRPr="00C034B2">
        <w:rPr>
          <w:noProof/>
        </w:rPr>
        <w:tab/>
        <w:t>Consumption fees for the supply of electricity</w:t>
      </w:r>
      <w:r w:rsidRPr="00C034B2">
        <w:rPr>
          <w:noProof/>
        </w:rPr>
        <w:tab/>
      </w:r>
      <w:r w:rsidRPr="00C034B2">
        <w:rPr>
          <w:noProof/>
        </w:rPr>
        <w:fldChar w:fldCharType="begin"/>
      </w:r>
      <w:r w:rsidRPr="00C034B2">
        <w:rPr>
          <w:noProof/>
        </w:rPr>
        <w:instrText xml:space="preserve"> PAGEREF _Toc462848276 \h </w:instrText>
      </w:r>
      <w:r w:rsidRPr="00C034B2">
        <w:rPr>
          <w:noProof/>
        </w:rPr>
      </w:r>
      <w:r w:rsidRPr="00C034B2">
        <w:rPr>
          <w:noProof/>
        </w:rPr>
        <w:fldChar w:fldCharType="separate"/>
      </w:r>
      <w:r w:rsidR="00A23154">
        <w:rPr>
          <w:noProof/>
        </w:rPr>
        <w:t>8</w:t>
      </w:r>
      <w:r w:rsidRPr="00C034B2">
        <w:rPr>
          <w:noProof/>
        </w:rPr>
        <w:fldChar w:fldCharType="end"/>
      </w:r>
    </w:p>
    <w:p w:rsidR="00DB448E" w:rsidRPr="00C034B2" w:rsidRDefault="00DB448E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034B2">
        <w:rPr>
          <w:noProof/>
        </w:rPr>
        <w:t>Schedule</w:t>
      </w:r>
      <w:r w:rsidR="00C034B2" w:rsidRPr="00C034B2">
        <w:rPr>
          <w:noProof/>
        </w:rPr>
        <w:t> </w:t>
      </w:r>
      <w:r w:rsidRPr="00C034B2">
        <w:rPr>
          <w:noProof/>
        </w:rPr>
        <w:t>3—Fixed fees for the supply of services related to the supply of electricity</w:t>
      </w:r>
      <w:r w:rsidRPr="00C034B2">
        <w:rPr>
          <w:b w:val="0"/>
          <w:noProof/>
          <w:sz w:val="18"/>
        </w:rPr>
        <w:tab/>
      </w:r>
      <w:r w:rsidRPr="00C034B2">
        <w:rPr>
          <w:b w:val="0"/>
          <w:noProof/>
          <w:sz w:val="18"/>
        </w:rPr>
        <w:fldChar w:fldCharType="begin"/>
      </w:r>
      <w:r w:rsidRPr="00C034B2">
        <w:rPr>
          <w:b w:val="0"/>
          <w:noProof/>
          <w:sz w:val="18"/>
        </w:rPr>
        <w:instrText xml:space="preserve"> PAGEREF _Toc462848277 \h </w:instrText>
      </w:r>
      <w:r w:rsidRPr="00C034B2">
        <w:rPr>
          <w:b w:val="0"/>
          <w:noProof/>
          <w:sz w:val="18"/>
        </w:rPr>
      </w:r>
      <w:r w:rsidRPr="00C034B2">
        <w:rPr>
          <w:b w:val="0"/>
          <w:noProof/>
          <w:sz w:val="18"/>
        </w:rPr>
        <w:fldChar w:fldCharType="separate"/>
      </w:r>
      <w:r w:rsidR="00A23154">
        <w:rPr>
          <w:b w:val="0"/>
          <w:noProof/>
          <w:sz w:val="18"/>
        </w:rPr>
        <w:t>9</w:t>
      </w:r>
      <w:r w:rsidRPr="00C034B2">
        <w:rPr>
          <w:b w:val="0"/>
          <w:noProof/>
          <w:sz w:val="18"/>
        </w:rPr>
        <w:fldChar w:fldCharType="end"/>
      </w:r>
    </w:p>
    <w:p w:rsidR="00DB448E" w:rsidRPr="00C034B2" w:rsidRDefault="00DB44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34B2">
        <w:rPr>
          <w:noProof/>
        </w:rPr>
        <w:t>1</w:t>
      </w:r>
      <w:r w:rsidRPr="00C034B2">
        <w:rPr>
          <w:noProof/>
        </w:rPr>
        <w:tab/>
        <w:t>Fixed fees for the supply of services related to the supply of electricity</w:t>
      </w:r>
      <w:r w:rsidRPr="00C034B2">
        <w:rPr>
          <w:noProof/>
        </w:rPr>
        <w:tab/>
      </w:r>
      <w:r w:rsidRPr="00C034B2">
        <w:rPr>
          <w:noProof/>
        </w:rPr>
        <w:fldChar w:fldCharType="begin"/>
      </w:r>
      <w:r w:rsidRPr="00C034B2">
        <w:rPr>
          <w:noProof/>
        </w:rPr>
        <w:instrText xml:space="preserve"> PAGEREF _Toc462848278 \h </w:instrText>
      </w:r>
      <w:r w:rsidRPr="00C034B2">
        <w:rPr>
          <w:noProof/>
        </w:rPr>
      </w:r>
      <w:r w:rsidRPr="00C034B2">
        <w:rPr>
          <w:noProof/>
        </w:rPr>
        <w:fldChar w:fldCharType="separate"/>
      </w:r>
      <w:r w:rsidR="00A23154">
        <w:rPr>
          <w:noProof/>
        </w:rPr>
        <w:t>9</w:t>
      </w:r>
      <w:r w:rsidRPr="00C034B2">
        <w:rPr>
          <w:noProof/>
        </w:rPr>
        <w:fldChar w:fldCharType="end"/>
      </w:r>
    </w:p>
    <w:p w:rsidR="00670EA1" w:rsidRPr="00C034B2" w:rsidRDefault="00DB448E" w:rsidP="00715914">
      <w:r w:rsidRPr="00C034B2">
        <w:fldChar w:fldCharType="end"/>
      </w:r>
    </w:p>
    <w:p w:rsidR="00670EA1" w:rsidRPr="00C034B2" w:rsidRDefault="00670EA1" w:rsidP="00715914">
      <w:pPr>
        <w:sectPr w:rsidR="00670EA1" w:rsidRPr="00C034B2" w:rsidSect="00C37E9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3E1C" w:rsidRPr="00C034B2" w:rsidRDefault="00713E1C" w:rsidP="00713E1C">
      <w:pPr>
        <w:pStyle w:val="ActHead2"/>
        <w:pageBreakBefore/>
      </w:pPr>
      <w:bookmarkStart w:id="3" w:name="_Toc462848260"/>
      <w:r w:rsidRPr="00C034B2">
        <w:rPr>
          <w:rStyle w:val="CharPartNo"/>
        </w:rPr>
        <w:lastRenderedPageBreak/>
        <w:t>Part</w:t>
      </w:r>
      <w:r w:rsidR="00C034B2" w:rsidRPr="00C034B2">
        <w:rPr>
          <w:rStyle w:val="CharPartNo"/>
        </w:rPr>
        <w:t> </w:t>
      </w:r>
      <w:r w:rsidRPr="00C034B2">
        <w:rPr>
          <w:rStyle w:val="CharPartNo"/>
        </w:rPr>
        <w:t>1</w:t>
      </w:r>
      <w:r w:rsidRPr="00C034B2">
        <w:t>—</w:t>
      </w:r>
      <w:r w:rsidRPr="00C034B2">
        <w:rPr>
          <w:rStyle w:val="CharPartText"/>
        </w:rPr>
        <w:t>Preliminary</w:t>
      </w:r>
      <w:bookmarkEnd w:id="3"/>
    </w:p>
    <w:p w:rsidR="00715914" w:rsidRPr="00C034B2" w:rsidRDefault="00715914" w:rsidP="00715914">
      <w:pPr>
        <w:pStyle w:val="Header"/>
      </w:pPr>
      <w:r w:rsidRPr="00C034B2">
        <w:rPr>
          <w:rStyle w:val="CharDivNo"/>
        </w:rPr>
        <w:t xml:space="preserve"> </w:t>
      </w:r>
      <w:r w:rsidRPr="00C034B2">
        <w:rPr>
          <w:rStyle w:val="CharDivText"/>
        </w:rPr>
        <w:t xml:space="preserve"> </w:t>
      </w:r>
    </w:p>
    <w:p w:rsidR="00715914" w:rsidRPr="00C034B2" w:rsidRDefault="00E1037F" w:rsidP="00715914">
      <w:pPr>
        <w:pStyle w:val="ActHead5"/>
      </w:pPr>
      <w:bookmarkStart w:id="4" w:name="_Toc462848261"/>
      <w:r w:rsidRPr="00C034B2">
        <w:rPr>
          <w:rStyle w:val="CharSectno"/>
        </w:rPr>
        <w:t>1</w:t>
      </w:r>
      <w:r w:rsidR="00715914" w:rsidRPr="00C034B2">
        <w:t xml:space="preserve">  </w:t>
      </w:r>
      <w:r w:rsidR="00CE493D" w:rsidRPr="00C034B2">
        <w:t>Name</w:t>
      </w:r>
      <w:bookmarkEnd w:id="4"/>
    </w:p>
    <w:p w:rsidR="00715914" w:rsidRPr="00C034B2" w:rsidRDefault="00715914" w:rsidP="00715914">
      <w:pPr>
        <w:pStyle w:val="subsection"/>
      </w:pPr>
      <w:r w:rsidRPr="00C034B2">
        <w:tab/>
      </w:r>
      <w:r w:rsidRPr="00C034B2">
        <w:tab/>
        <w:t>This</w:t>
      </w:r>
      <w:r w:rsidR="005E6E69" w:rsidRPr="00C034B2">
        <w:t xml:space="preserve"> instrument</w:t>
      </w:r>
      <w:r w:rsidRPr="00C034B2">
        <w:t xml:space="preserve"> </w:t>
      </w:r>
      <w:r w:rsidR="00CE493D" w:rsidRPr="00C034B2">
        <w:t xml:space="preserve">is the </w:t>
      </w:r>
      <w:bookmarkStart w:id="5" w:name="BKCheck15B_3"/>
      <w:bookmarkEnd w:id="5"/>
      <w:r w:rsidR="00BC76AC" w:rsidRPr="00C034B2">
        <w:rPr>
          <w:i/>
        </w:rPr>
        <w:fldChar w:fldCharType="begin"/>
      </w:r>
      <w:r w:rsidR="00BC76AC" w:rsidRPr="00C034B2">
        <w:rPr>
          <w:i/>
        </w:rPr>
        <w:instrText xml:space="preserve"> STYLEREF  ShortT </w:instrText>
      </w:r>
      <w:r w:rsidR="00BC76AC" w:rsidRPr="00C034B2">
        <w:rPr>
          <w:i/>
        </w:rPr>
        <w:fldChar w:fldCharType="separate"/>
      </w:r>
      <w:r w:rsidR="00A23154">
        <w:rPr>
          <w:i/>
          <w:noProof/>
        </w:rPr>
        <w:t>Christmas Island Utilities and Services (Electricity Supply and Services Fees) Determination 2016</w:t>
      </w:r>
      <w:r w:rsidR="00BC76AC" w:rsidRPr="00C034B2">
        <w:rPr>
          <w:i/>
        </w:rPr>
        <w:fldChar w:fldCharType="end"/>
      </w:r>
      <w:r w:rsidRPr="00C034B2">
        <w:t>.</w:t>
      </w:r>
    </w:p>
    <w:p w:rsidR="00EA4489" w:rsidRPr="00C034B2" w:rsidRDefault="00E1037F" w:rsidP="00EA4489">
      <w:pPr>
        <w:pStyle w:val="ActHead5"/>
      </w:pPr>
      <w:bookmarkStart w:id="6" w:name="_Toc462848262"/>
      <w:r w:rsidRPr="00C034B2">
        <w:rPr>
          <w:rStyle w:val="CharSectno"/>
        </w:rPr>
        <w:t>2</w:t>
      </w:r>
      <w:r w:rsidR="00EA4489" w:rsidRPr="00C034B2">
        <w:t xml:space="preserve">  Commencement</w:t>
      </w:r>
      <w:bookmarkEnd w:id="6"/>
    </w:p>
    <w:p w:rsidR="00285A69" w:rsidRPr="00C034B2" w:rsidRDefault="00285A69" w:rsidP="00914AD9">
      <w:pPr>
        <w:pStyle w:val="subsection"/>
      </w:pPr>
      <w:r w:rsidRPr="00C034B2">
        <w:tab/>
        <w:t>(1)</w:t>
      </w:r>
      <w:r w:rsidRPr="00C034B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285A69" w:rsidRPr="00C034B2" w:rsidRDefault="00285A69" w:rsidP="00914AD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85A69" w:rsidRPr="00C034B2" w:rsidTr="00914AD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85A69" w:rsidRPr="00C034B2" w:rsidRDefault="00285A69" w:rsidP="00914AD9">
            <w:pPr>
              <w:pStyle w:val="TableHeading"/>
            </w:pPr>
            <w:r w:rsidRPr="00C034B2">
              <w:t>Commencement information</w:t>
            </w:r>
          </w:p>
        </w:tc>
      </w:tr>
      <w:tr w:rsidR="00285A69" w:rsidRPr="00C034B2" w:rsidTr="00914AD9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85A69" w:rsidRPr="00C034B2" w:rsidRDefault="00285A69" w:rsidP="00914AD9">
            <w:pPr>
              <w:pStyle w:val="TableHeading"/>
            </w:pPr>
            <w:r w:rsidRPr="00C034B2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85A69" w:rsidRPr="00C034B2" w:rsidRDefault="00285A69" w:rsidP="00914AD9">
            <w:pPr>
              <w:pStyle w:val="TableHeading"/>
            </w:pPr>
            <w:r w:rsidRPr="00C034B2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85A69" w:rsidRPr="00C034B2" w:rsidRDefault="00285A69" w:rsidP="00914AD9">
            <w:pPr>
              <w:pStyle w:val="TableHeading"/>
            </w:pPr>
            <w:r w:rsidRPr="00C034B2">
              <w:t>Column 3</w:t>
            </w:r>
          </w:p>
        </w:tc>
      </w:tr>
      <w:tr w:rsidR="00285A69" w:rsidRPr="00C034B2" w:rsidTr="00914AD9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85A69" w:rsidRPr="00C034B2" w:rsidRDefault="00285A69" w:rsidP="00914AD9">
            <w:pPr>
              <w:pStyle w:val="TableHeading"/>
            </w:pPr>
            <w:r w:rsidRPr="00C034B2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85A69" w:rsidRPr="00C034B2" w:rsidRDefault="00285A69" w:rsidP="00914AD9">
            <w:pPr>
              <w:pStyle w:val="TableHeading"/>
            </w:pPr>
            <w:r w:rsidRPr="00C034B2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85A69" w:rsidRPr="00C034B2" w:rsidRDefault="00285A69" w:rsidP="00914AD9">
            <w:pPr>
              <w:pStyle w:val="TableHeading"/>
            </w:pPr>
            <w:r w:rsidRPr="00C034B2">
              <w:t>Date/Details</w:t>
            </w:r>
          </w:p>
        </w:tc>
      </w:tr>
      <w:tr w:rsidR="00285A69" w:rsidRPr="00C034B2" w:rsidTr="00914AD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85A69" w:rsidRPr="00C034B2" w:rsidRDefault="00285A69" w:rsidP="00914AD9">
            <w:pPr>
              <w:pStyle w:val="Tabletext"/>
            </w:pPr>
            <w:r w:rsidRPr="00C034B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85A69" w:rsidRPr="00C034B2" w:rsidRDefault="007831A7" w:rsidP="00914AD9">
            <w:pPr>
              <w:pStyle w:val="Tabletext"/>
            </w:pPr>
            <w:r w:rsidRPr="00C034B2">
              <w:t>3</w:t>
            </w:r>
            <w:r w:rsidR="00C034B2" w:rsidRPr="00C034B2">
              <w:t> </w:t>
            </w:r>
            <w:r w:rsidRPr="00C034B2">
              <w:t>October 2016</w:t>
            </w:r>
            <w:r w:rsidR="00597705" w:rsidRPr="00C034B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85A69" w:rsidRPr="00C034B2" w:rsidRDefault="007831A7" w:rsidP="00914AD9">
            <w:pPr>
              <w:pStyle w:val="Tabletext"/>
            </w:pPr>
            <w:r w:rsidRPr="00C034B2">
              <w:t>3</w:t>
            </w:r>
            <w:r w:rsidR="00C034B2" w:rsidRPr="00C034B2">
              <w:t> </w:t>
            </w:r>
            <w:r w:rsidRPr="00C034B2">
              <w:t>October 2016</w:t>
            </w:r>
          </w:p>
        </w:tc>
      </w:tr>
    </w:tbl>
    <w:p w:rsidR="00285A69" w:rsidRPr="00C034B2" w:rsidRDefault="00285A69" w:rsidP="00914AD9">
      <w:pPr>
        <w:pStyle w:val="notetext"/>
      </w:pPr>
      <w:r w:rsidRPr="00C034B2">
        <w:rPr>
          <w:snapToGrid w:val="0"/>
          <w:lang w:eastAsia="en-US"/>
        </w:rPr>
        <w:t>Note:</w:t>
      </w:r>
      <w:r w:rsidRPr="00C034B2">
        <w:rPr>
          <w:snapToGrid w:val="0"/>
          <w:lang w:eastAsia="en-US"/>
        </w:rPr>
        <w:tab/>
        <w:t xml:space="preserve">This table relates only to the provisions of this </w:t>
      </w:r>
      <w:r w:rsidRPr="00C034B2">
        <w:t xml:space="preserve">instrument </w:t>
      </w:r>
      <w:r w:rsidRPr="00C034B2">
        <w:rPr>
          <w:snapToGrid w:val="0"/>
          <w:lang w:eastAsia="en-US"/>
        </w:rPr>
        <w:t xml:space="preserve">as originally made. It will not be amended to deal with any later amendments of this </w:t>
      </w:r>
      <w:r w:rsidRPr="00C034B2">
        <w:t>instrument</w:t>
      </w:r>
      <w:r w:rsidRPr="00C034B2">
        <w:rPr>
          <w:snapToGrid w:val="0"/>
          <w:lang w:eastAsia="en-US"/>
        </w:rPr>
        <w:t>.</w:t>
      </w:r>
    </w:p>
    <w:p w:rsidR="00285A69" w:rsidRPr="00C034B2" w:rsidRDefault="00285A69" w:rsidP="00914AD9">
      <w:pPr>
        <w:pStyle w:val="subsection"/>
      </w:pPr>
      <w:r w:rsidRPr="00C034B2">
        <w:tab/>
        <w:t>(2)</w:t>
      </w:r>
      <w:r w:rsidRPr="00C034B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EA4489" w:rsidRPr="00C034B2" w:rsidRDefault="00E1037F" w:rsidP="00EA4489">
      <w:pPr>
        <w:pStyle w:val="ActHead5"/>
      </w:pPr>
      <w:bookmarkStart w:id="7" w:name="_Toc462848263"/>
      <w:r w:rsidRPr="00C034B2">
        <w:rPr>
          <w:rStyle w:val="CharSectno"/>
        </w:rPr>
        <w:t>3</w:t>
      </w:r>
      <w:r w:rsidR="00EA4489" w:rsidRPr="00C034B2">
        <w:t xml:space="preserve">  Authority</w:t>
      </w:r>
      <w:bookmarkEnd w:id="7"/>
    </w:p>
    <w:p w:rsidR="00EA4489" w:rsidRPr="00C034B2" w:rsidRDefault="00EA4489" w:rsidP="00EA4489">
      <w:pPr>
        <w:pStyle w:val="subsection"/>
      </w:pPr>
      <w:r w:rsidRPr="00C034B2">
        <w:tab/>
      </w:r>
      <w:r w:rsidRPr="00C034B2">
        <w:tab/>
        <w:t>This instrument is made under paragraph</w:t>
      </w:r>
      <w:r w:rsidR="00C034B2" w:rsidRPr="00C034B2">
        <w:t> </w:t>
      </w:r>
      <w:r w:rsidRPr="00C034B2">
        <w:t xml:space="preserve">7(2)(a) of the </w:t>
      </w:r>
      <w:r w:rsidRPr="00C034B2">
        <w:rPr>
          <w:i/>
        </w:rPr>
        <w:t>Christmas Island Utilities and Services Ordinance 2016</w:t>
      </w:r>
      <w:r w:rsidRPr="00C034B2">
        <w:t>.</w:t>
      </w:r>
    </w:p>
    <w:p w:rsidR="00EA4489" w:rsidRPr="00C034B2" w:rsidRDefault="00E1037F" w:rsidP="00EA4489">
      <w:pPr>
        <w:pStyle w:val="ActHead5"/>
      </w:pPr>
      <w:bookmarkStart w:id="8" w:name="_Toc462848264"/>
      <w:r w:rsidRPr="00C034B2">
        <w:rPr>
          <w:rStyle w:val="CharSectno"/>
        </w:rPr>
        <w:t>4</w:t>
      </w:r>
      <w:r w:rsidR="00EA4489" w:rsidRPr="00C034B2">
        <w:t xml:space="preserve">  Definitions</w:t>
      </w:r>
      <w:bookmarkEnd w:id="8"/>
    </w:p>
    <w:p w:rsidR="00EA4489" w:rsidRPr="00C034B2" w:rsidRDefault="00EA4489" w:rsidP="00EA4489">
      <w:pPr>
        <w:pStyle w:val="subsection"/>
      </w:pPr>
      <w:r w:rsidRPr="00C034B2">
        <w:tab/>
      </w:r>
      <w:r w:rsidRPr="00C034B2">
        <w:tab/>
        <w:t>In this instrument:</w:t>
      </w:r>
    </w:p>
    <w:p w:rsidR="00874A35" w:rsidRPr="00C034B2" w:rsidRDefault="00874A35" w:rsidP="00EA4489">
      <w:pPr>
        <w:pStyle w:val="Definition"/>
      </w:pPr>
      <w:r w:rsidRPr="00C034B2">
        <w:rPr>
          <w:b/>
          <w:i/>
        </w:rPr>
        <w:t>category</w:t>
      </w:r>
      <w:r w:rsidR="00CF5121" w:rsidRPr="00C034B2">
        <w:t xml:space="preserve">, of premises: </w:t>
      </w:r>
      <w:r w:rsidRPr="00C034B2">
        <w:t>see section</w:t>
      </w:r>
      <w:r w:rsidR="00C034B2" w:rsidRPr="00C034B2">
        <w:t> </w:t>
      </w:r>
      <w:r w:rsidR="00E1037F" w:rsidRPr="00C034B2">
        <w:t>5</w:t>
      </w:r>
      <w:r w:rsidRPr="00C034B2">
        <w:t>.</w:t>
      </w:r>
    </w:p>
    <w:p w:rsidR="00EA4489" w:rsidRPr="00C034B2" w:rsidRDefault="007E62D2" w:rsidP="00EA4489">
      <w:pPr>
        <w:pStyle w:val="Definition"/>
        <w:rPr>
          <w:b/>
          <w:i/>
        </w:rPr>
      </w:pPr>
      <w:r w:rsidRPr="00C034B2">
        <w:rPr>
          <w:b/>
          <w:i/>
        </w:rPr>
        <w:t>consumer</w:t>
      </w:r>
      <w:r w:rsidR="000E5FF9" w:rsidRPr="00C034B2">
        <w:t xml:space="preserve"> means a person to whom electricity is supplied</w:t>
      </w:r>
      <w:r w:rsidR="00061969" w:rsidRPr="00C034B2">
        <w:t xml:space="preserve"> at</w:t>
      </w:r>
      <w:r w:rsidR="009B29A6" w:rsidRPr="00C034B2">
        <w:t xml:space="preserve"> premises</w:t>
      </w:r>
      <w:r w:rsidR="000E5FF9" w:rsidRPr="00C034B2">
        <w:t xml:space="preserve"> under the </w:t>
      </w:r>
      <w:r w:rsidR="000E5FF9" w:rsidRPr="00C034B2">
        <w:rPr>
          <w:i/>
        </w:rPr>
        <w:t>Christmas Island Utilities and Services Ordinance 2016</w:t>
      </w:r>
      <w:r w:rsidR="00930D35" w:rsidRPr="00C034B2">
        <w:t>.</w:t>
      </w:r>
    </w:p>
    <w:p w:rsidR="006631DB" w:rsidRPr="00C034B2" w:rsidRDefault="006631DB" w:rsidP="006631DB">
      <w:pPr>
        <w:pStyle w:val="Definition"/>
      </w:pPr>
      <w:r w:rsidRPr="00C034B2">
        <w:rPr>
          <w:b/>
          <w:i/>
        </w:rPr>
        <w:t>daily dependent child rebate amount</w:t>
      </w:r>
      <w:r w:rsidRPr="00C034B2">
        <w:t>, for a person, means:</w:t>
      </w:r>
    </w:p>
    <w:p w:rsidR="006631DB" w:rsidRPr="00C034B2" w:rsidRDefault="006631DB" w:rsidP="006631DB">
      <w:pPr>
        <w:pStyle w:val="paragraph"/>
        <w:rPr>
          <w:bCs/>
        </w:rPr>
      </w:pPr>
      <w:r w:rsidRPr="00C034B2">
        <w:tab/>
        <w:t>(a)</w:t>
      </w:r>
      <w:r w:rsidRPr="00C034B2">
        <w:tab/>
        <w:t>if the person has one dependent child—</w:t>
      </w:r>
      <w:r w:rsidR="000E5FF9" w:rsidRPr="00C034B2">
        <w:rPr>
          <w:bCs/>
        </w:rPr>
        <w:t>77.94 cents</w:t>
      </w:r>
      <w:r w:rsidRPr="00C034B2">
        <w:rPr>
          <w:bCs/>
        </w:rPr>
        <w:t>;</w:t>
      </w:r>
      <w:r w:rsidR="00CD3CA4" w:rsidRPr="00C034B2">
        <w:rPr>
          <w:bCs/>
        </w:rPr>
        <w:t xml:space="preserve"> or</w:t>
      </w:r>
    </w:p>
    <w:p w:rsidR="006631DB" w:rsidRPr="00C034B2" w:rsidRDefault="006631DB" w:rsidP="006631DB">
      <w:pPr>
        <w:pStyle w:val="paragraph"/>
        <w:rPr>
          <w:bCs/>
        </w:rPr>
      </w:pPr>
      <w:r w:rsidRPr="00C034B2">
        <w:rPr>
          <w:bCs/>
        </w:rPr>
        <w:tab/>
        <w:t>(b)</w:t>
      </w:r>
      <w:r w:rsidRPr="00C034B2">
        <w:rPr>
          <w:bCs/>
        </w:rPr>
        <w:tab/>
      </w:r>
      <w:r w:rsidRPr="00C034B2">
        <w:t>if the person has 2 dependent children—</w:t>
      </w:r>
      <w:r w:rsidRPr="00C034B2">
        <w:rPr>
          <w:bCs/>
        </w:rPr>
        <w:t>98.36 cents</w:t>
      </w:r>
      <w:r w:rsidR="000E5FF9" w:rsidRPr="00C034B2">
        <w:rPr>
          <w:bCs/>
        </w:rPr>
        <w:t>;</w:t>
      </w:r>
      <w:r w:rsidR="00CD3CA4" w:rsidRPr="00C034B2">
        <w:rPr>
          <w:bCs/>
        </w:rPr>
        <w:t xml:space="preserve"> or</w:t>
      </w:r>
    </w:p>
    <w:p w:rsidR="006631DB" w:rsidRPr="00C034B2" w:rsidRDefault="006631DB" w:rsidP="006631DB">
      <w:pPr>
        <w:pStyle w:val="paragraph"/>
        <w:rPr>
          <w:bCs/>
        </w:rPr>
      </w:pPr>
      <w:r w:rsidRPr="00C034B2">
        <w:rPr>
          <w:bCs/>
        </w:rPr>
        <w:tab/>
        <w:t>(c)</w:t>
      </w:r>
      <w:r w:rsidRPr="00C034B2">
        <w:rPr>
          <w:bCs/>
        </w:rPr>
        <w:tab/>
      </w:r>
      <w:r w:rsidRPr="00C034B2">
        <w:t>if the person has 3 dependent children—</w:t>
      </w:r>
      <w:r w:rsidR="000E5FF9" w:rsidRPr="00C034B2">
        <w:rPr>
          <w:bCs/>
        </w:rPr>
        <w:t>118.78 cents;</w:t>
      </w:r>
      <w:r w:rsidR="00CD3CA4" w:rsidRPr="00C034B2">
        <w:rPr>
          <w:bCs/>
        </w:rPr>
        <w:t xml:space="preserve"> or</w:t>
      </w:r>
    </w:p>
    <w:p w:rsidR="006631DB" w:rsidRPr="00C034B2" w:rsidRDefault="006631DB" w:rsidP="006631DB">
      <w:pPr>
        <w:pStyle w:val="paragraph"/>
      </w:pPr>
      <w:r w:rsidRPr="00C034B2">
        <w:rPr>
          <w:bCs/>
        </w:rPr>
        <w:tab/>
        <w:t>(d)</w:t>
      </w:r>
      <w:r w:rsidRPr="00C034B2">
        <w:rPr>
          <w:bCs/>
        </w:rPr>
        <w:tab/>
      </w:r>
      <w:r w:rsidRPr="00C034B2">
        <w:t xml:space="preserve">if the person has 4 </w:t>
      </w:r>
      <w:r w:rsidR="00E43DBB" w:rsidRPr="00C034B2">
        <w:t xml:space="preserve">or more </w:t>
      </w:r>
      <w:r w:rsidRPr="00C034B2">
        <w:t>dependent children—</w:t>
      </w:r>
      <w:r w:rsidR="000E5FF9" w:rsidRPr="00C034B2">
        <w:rPr>
          <w:bCs/>
        </w:rPr>
        <w:t>139.20 cents</w:t>
      </w:r>
      <w:r w:rsidRPr="00C034B2">
        <w:t>.</w:t>
      </w:r>
    </w:p>
    <w:p w:rsidR="006631DB" w:rsidRPr="00C034B2" w:rsidRDefault="006631DB" w:rsidP="00EA4489">
      <w:pPr>
        <w:pStyle w:val="Definition"/>
      </w:pPr>
      <w:r w:rsidRPr="00C034B2">
        <w:rPr>
          <w:b/>
          <w:i/>
        </w:rPr>
        <w:t>dependent child</w:t>
      </w:r>
      <w:r w:rsidRPr="00C034B2">
        <w:t xml:space="preserve">, </w:t>
      </w:r>
      <w:r w:rsidR="000D0190" w:rsidRPr="00C034B2">
        <w:t>of</w:t>
      </w:r>
      <w:r w:rsidRPr="00C034B2">
        <w:t xml:space="preserve"> a person</w:t>
      </w:r>
      <w:r w:rsidR="000D0190" w:rsidRPr="00C034B2">
        <w:t xml:space="preserve">, has the </w:t>
      </w:r>
      <w:r w:rsidR="00BE7DDD" w:rsidRPr="00C034B2">
        <w:t xml:space="preserve">same </w:t>
      </w:r>
      <w:r w:rsidR="000D0190" w:rsidRPr="00C034B2">
        <w:t xml:space="preserve">meaning </w:t>
      </w:r>
      <w:r w:rsidR="00BE7DDD" w:rsidRPr="00C034B2">
        <w:t xml:space="preserve">as in </w:t>
      </w:r>
      <w:r w:rsidR="008C5AAA" w:rsidRPr="00C034B2">
        <w:t xml:space="preserve">the </w:t>
      </w:r>
      <w:r w:rsidR="008C5AAA" w:rsidRPr="00C034B2">
        <w:rPr>
          <w:i/>
        </w:rPr>
        <w:t>Social Security Act 1991</w:t>
      </w:r>
      <w:r w:rsidR="008C5AAA" w:rsidRPr="00C034B2">
        <w:t>.</w:t>
      </w:r>
    </w:p>
    <w:p w:rsidR="00EA4489" w:rsidRPr="00C034B2" w:rsidRDefault="00EA4489" w:rsidP="00EA4489">
      <w:pPr>
        <w:pStyle w:val="Definition"/>
      </w:pPr>
      <w:r w:rsidRPr="00C034B2">
        <w:rPr>
          <w:b/>
          <w:i/>
        </w:rPr>
        <w:lastRenderedPageBreak/>
        <w:t>eligible person</w:t>
      </w:r>
      <w:r w:rsidRPr="00C034B2">
        <w:t xml:space="preserve"> means a person who holds</w:t>
      </w:r>
      <w:r w:rsidR="00680651" w:rsidRPr="00C034B2">
        <w:t>:</w:t>
      </w:r>
    </w:p>
    <w:p w:rsidR="00EA4489" w:rsidRPr="00C034B2" w:rsidRDefault="00680651" w:rsidP="00680651">
      <w:pPr>
        <w:pStyle w:val="paragraph"/>
      </w:pPr>
      <w:r w:rsidRPr="00C034B2">
        <w:tab/>
        <w:t>(a)</w:t>
      </w:r>
      <w:r w:rsidRPr="00C034B2">
        <w:tab/>
        <w:t xml:space="preserve">a </w:t>
      </w:r>
      <w:r w:rsidR="005041BD" w:rsidRPr="00C034B2">
        <w:t>health care c</w:t>
      </w:r>
      <w:r w:rsidR="00EA4489" w:rsidRPr="00C034B2">
        <w:t xml:space="preserve">ard, </w:t>
      </w:r>
      <w:r w:rsidR="00BE7DDD" w:rsidRPr="00C034B2">
        <w:t xml:space="preserve">pensioner concession card or </w:t>
      </w:r>
      <w:r w:rsidR="005041BD" w:rsidRPr="00C034B2">
        <w:t>s</w:t>
      </w:r>
      <w:r w:rsidR="00EA4489" w:rsidRPr="00C034B2">
        <w:t xml:space="preserve">eniors </w:t>
      </w:r>
      <w:r w:rsidR="005041BD" w:rsidRPr="00C034B2">
        <w:t>h</w:t>
      </w:r>
      <w:r w:rsidR="00EA4489" w:rsidRPr="00C034B2">
        <w:t xml:space="preserve">ealth </w:t>
      </w:r>
      <w:r w:rsidR="005041BD" w:rsidRPr="00C034B2">
        <w:t>c</w:t>
      </w:r>
      <w:r w:rsidR="00BF23F1" w:rsidRPr="00C034B2">
        <w:t>ard</w:t>
      </w:r>
      <w:r w:rsidR="005041BD" w:rsidRPr="00C034B2">
        <w:t xml:space="preserve"> under the </w:t>
      </w:r>
      <w:r w:rsidR="00EA4489" w:rsidRPr="00C034B2">
        <w:rPr>
          <w:i/>
        </w:rPr>
        <w:t>Social Security</w:t>
      </w:r>
      <w:r w:rsidR="005041BD" w:rsidRPr="00C034B2">
        <w:rPr>
          <w:i/>
        </w:rPr>
        <w:t xml:space="preserve"> Act 1991</w:t>
      </w:r>
      <w:r w:rsidR="00EA4489" w:rsidRPr="00C034B2">
        <w:t>;</w:t>
      </w:r>
      <w:r w:rsidRPr="00C034B2">
        <w:t xml:space="preserve"> or</w:t>
      </w:r>
    </w:p>
    <w:p w:rsidR="00EA4489" w:rsidRPr="00C034B2" w:rsidRDefault="00680651" w:rsidP="00680651">
      <w:pPr>
        <w:pStyle w:val="paragraph"/>
      </w:pPr>
      <w:r w:rsidRPr="00C034B2">
        <w:tab/>
      </w:r>
      <w:r w:rsidR="00EA4489" w:rsidRPr="00C034B2">
        <w:t>(b)</w:t>
      </w:r>
      <w:r w:rsidR="00EA4489" w:rsidRPr="00C034B2">
        <w:tab/>
      </w:r>
      <w:r w:rsidRPr="00C034B2">
        <w:t xml:space="preserve">a </w:t>
      </w:r>
      <w:r w:rsidR="005041BD" w:rsidRPr="00C034B2">
        <w:t xml:space="preserve">card known as the </w:t>
      </w:r>
      <w:r w:rsidR="00EA4489" w:rsidRPr="00C034B2">
        <w:t>Repatriation Health Card</w:t>
      </w:r>
      <w:r w:rsidR="005041BD" w:rsidRPr="00C034B2">
        <w:t>—For All Conditions</w:t>
      </w:r>
      <w:r w:rsidR="00737CD9" w:rsidRPr="00C034B2">
        <w:t>,</w:t>
      </w:r>
      <w:r w:rsidR="00EA4489" w:rsidRPr="00C034B2">
        <w:t xml:space="preserve"> </w:t>
      </w:r>
      <w:r w:rsidR="00BE7DDD" w:rsidRPr="00C034B2">
        <w:t xml:space="preserve">that evidences the person’s eligibility, under </w:t>
      </w:r>
      <w:r w:rsidR="00737CD9" w:rsidRPr="00C034B2">
        <w:t xml:space="preserve">the </w:t>
      </w:r>
      <w:r w:rsidR="00737CD9" w:rsidRPr="00C034B2">
        <w:rPr>
          <w:i/>
        </w:rPr>
        <w:t>Veterans’ Entitlements Act 1986</w:t>
      </w:r>
      <w:r w:rsidR="00BE7DDD" w:rsidRPr="00C034B2">
        <w:t xml:space="preserve"> or the </w:t>
      </w:r>
      <w:r w:rsidR="00BE7DDD" w:rsidRPr="00C034B2">
        <w:rPr>
          <w:i/>
        </w:rPr>
        <w:t>Military Rehabilitation and Compensation Act 2004</w:t>
      </w:r>
      <w:r w:rsidR="00BE7DDD" w:rsidRPr="00C034B2">
        <w:t>, to be provided with treatment for all injuries or diseases</w:t>
      </w:r>
      <w:r w:rsidR="00EA4489" w:rsidRPr="00C034B2">
        <w:t>; or</w:t>
      </w:r>
    </w:p>
    <w:p w:rsidR="00EA4489" w:rsidRPr="00C034B2" w:rsidRDefault="00680651" w:rsidP="00680651">
      <w:pPr>
        <w:pStyle w:val="paragraph"/>
      </w:pPr>
      <w:r w:rsidRPr="00C034B2">
        <w:tab/>
      </w:r>
      <w:r w:rsidR="00EA4489" w:rsidRPr="00C034B2">
        <w:t>(c)</w:t>
      </w:r>
      <w:r w:rsidR="00EA4489" w:rsidRPr="00C034B2">
        <w:tab/>
      </w:r>
      <w:r w:rsidRPr="00C034B2">
        <w:t xml:space="preserve">a </w:t>
      </w:r>
      <w:r w:rsidR="009D36DC" w:rsidRPr="00C034B2">
        <w:t>Seniors</w:t>
      </w:r>
      <w:r w:rsidR="00EA4489" w:rsidRPr="00C034B2">
        <w:t xml:space="preserve"> Card</w:t>
      </w:r>
      <w:r w:rsidR="00B5303F" w:rsidRPr="00C034B2">
        <w:t xml:space="preserve"> issued by </w:t>
      </w:r>
      <w:r w:rsidR="008443B2" w:rsidRPr="00C034B2">
        <w:t xml:space="preserve">the Government of </w:t>
      </w:r>
      <w:r w:rsidR="00B5303F" w:rsidRPr="00C034B2">
        <w:t>Western Australia</w:t>
      </w:r>
      <w:r w:rsidR="00EA4489" w:rsidRPr="00C034B2">
        <w:t>.</w:t>
      </w:r>
    </w:p>
    <w:p w:rsidR="001E1A2D" w:rsidRPr="00C034B2" w:rsidRDefault="001E1A2D" w:rsidP="00EA4489">
      <w:pPr>
        <w:pStyle w:val="Definition"/>
      </w:pPr>
      <w:r w:rsidRPr="00C034B2">
        <w:rPr>
          <w:b/>
          <w:i/>
        </w:rPr>
        <w:t>life support equipment</w:t>
      </w:r>
      <w:r w:rsidRPr="00C034B2">
        <w:t xml:space="preserve"> means equipment covered by the Life Support Equipment </w:t>
      </w:r>
      <w:r w:rsidR="003B35E8" w:rsidRPr="00C034B2">
        <w:t>Energy</w:t>
      </w:r>
      <w:r w:rsidRPr="00C034B2">
        <w:t xml:space="preserve"> Subsidy Scheme</w:t>
      </w:r>
      <w:r w:rsidR="00B1462F" w:rsidRPr="00C034B2">
        <w:t xml:space="preserve"> administered by the Government of Western Australia</w:t>
      </w:r>
      <w:r w:rsidR="003B35E8" w:rsidRPr="00C034B2">
        <w:t>.</w:t>
      </w:r>
    </w:p>
    <w:p w:rsidR="00374BC1" w:rsidRPr="00C034B2" w:rsidRDefault="00374BC1" w:rsidP="00EA4489">
      <w:pPr>
        <w:pStyle w:val="Definition"/>
      </w:pPr>
      <w:r w:rsidRPr="00C034B2">
        <w:rPr>
          <w:b/>
          <w:i/>
        </w:rPr>
        <w:t>premises</w:t>
      </w:r>
      <w:r w:rsidRPr="00C034B2">
        <w:t xml:space="preserve"> has the same meaning as in the </w:t>
      </w:r>
      <w:r w:rsidRPr="00C034B2">
        <w:rPr>
          <w:i/>
          <w:snapToGrid w:val="0"/>
        </w:rPr>
        <w:t>Energy Operators (Powers) Act</w:t>
      </w:r>
      <w:r w:rsidR="005B5C45" w:rsidRPr="00C034B2">
        <w:rPr>
          <w:i/>
          <w:snapToGrid w:val="0"/>
        </w:rPr>
        <w:t xml:space="preserve"> </w:t>
      </w:r>
      <w:r w:rsidRPr="00C034B2">
        <w:rPr>
          <w:i/>
          <w:snapToGrid w:val="0"/>
        </w:rPr>
        <w:t>1979</w:t>
      </w:r>
      <w:r w:rsidRPr="00C034B2">
        <w:rPr>
          <w:snapToGrid w:val="0"/>
        </w:rPr>
        <w:t xml:space="preserve"> (WA)</w:t>
      </w:r>
      <w:r w:rsidR="00E76099" w:rsidRPr="00C034B2">
        <w:rPr>
          <w:snapToGrid w:val="0"/>
        </w:rPr>
        <w:t>, as</w:t>
      </w:r>
      <w:r w:rsidR="00635F33" w:rsidRPr="00C034B2">
        <w:rPr>
          <w:snapToGrid w:val="0"/>
        </w:rPr>
        <w:t xml:space="preserve"> in force on 3</w:t>
      </w:r>
      <w:r w:rsidR="00C034B2" w:rsidRPr="00C034B2">
        <w:rPr>
          <w:snapToGrid w:val="0"/>
        </w:rPr>
        <w:t> </w:t>
      </w:r>
      <w:r w:rsidR="00635F33" w:rsidRPr="00C034B2">
        <w:rPr>
          <w:snapToGrid w:val="0"/>
        </w:rPr>
        <w:t>October 2016</w:t>
      </w:r>
      <w:r w:rsidRPr="00C034B2">
        <w:rPr>
          <w:snapToGrid w:val="0"/>
        </w:rPr>
        <w:t>.</w:t>
      </w:r>
    </w:p>
    <w:p w:rsidR="009518BD" w:rsidRPr="00C034B2" w:rsidRDefault="009518BD" w:rsidP="00EA4489">
      <w:pPr>
        <w:pStyle w:val="Definition"/>
      </w:pPr>
      <w:r w:rsidRPr="00C034B2">
        <w:rPr>
          <w:b/>
          <w:i/>
        </w:rPr>
        <w:t>unit</w:t>
      </w:r>
      <w:r w:rsidRPr="00C034B2">
        <w:t xml:space="preserve"> means a kilowatt hour.</w:t>
      </w:r>
    </w:p>
    <w:p w:rsidR="00874A35" w:rsidRPr="00C034B2" w:rsidRDefault="00E1037F" w:rsidP="00874A35">
      <w:pPr>
        <w:pStyle w:val="ActHead5"/>
      </w:pPr>
      <w:bookmarkStart w:id="9" w:name="_Toc462848265"/>
      <w:r w:rsidRPr="00C034B2">
        <w:rPr>
          <w:rStyle w:val="CharSectno"/>
        </w:rPr>
        <w:t>5</w:t>
      </w:r>
      <w:r w:rsidR="00874A35" w:rsidRPr="00C034B2">
        <w:t xml:space="preserve">  </w:t>
      </w:r>
      <w:r w:rsidR="00713E1C" w:rsidRPr="00C034B2">
        <w:t>Categories of premises</w:t>
      </w:r>
      <w:bookmarkEnd w:id="9"/>
    </w:p>
    <w:p w:rsidR="00874A35" w:rsidRPr="00C034B2" w:rsidRDefault="00874A35" w:rsidP="00874A35">
      <w:pPr>
        <w:pStyle w:val="subsection"/>
      </w:pPr>
      <w:r w:rsidRPr="00C034B2">
        <w:tab/>
      </w:r>
      <w:r w:rsidRPr="00C034B2">
        <w:tab/>
      </w:r>
      <w:r w:rsidR="002237D2" w:rsidRPr="00C034B2">
        <w:t>Premises mentioned in column 2 of an item of t</w:t>
      </w:r>
      <w:r w:rsidRPr="00C034B2">
        <w:t xml:space="preserve">he following table </w:t>
      </w:r>
      <w:r w:rsidR="002237D2" w:rsidRPr="00C034B2">
        <w:t xml:space="preserve">are in the category </w:t>
      </w:r>
      <w:r w:rsidRPr="00C034B2">
        <w:t>of premises</w:t>
      </w:r>
      <w:r w:rsidR="002237D2" w:rsidRPr="00C034B2">
        <w:t xml:space="preserve"> mentioned in column 1 of the item</w:t>
      </w:r>
      <w:r w:rsidRPr="00C034B2">
        <w:t>.</w:t>
      </w:r>
    </w:p>
    <w:p w:rsidR="00874A35" w:rsidRPr="00C034B2" w:rsidRDefault="00874A35" w:rsidP="00874A3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400"/>
        <w:gridCol w:w="5198"/>
      </w:tblGrid>
      <w:tr w:rsidR="00874A35" w:rsidRPr="00C034B2" w:rsidTr="00F33AA5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74A35" w:rsidRPr="00C034B2" w:rsidRDefault="00874A35" w:rsidP="00F33AA5">
            <w:pPr>
              <w:pStyle w:val="TableHeading"/>
            </w:pPr>
            <w:r w:rsidRPr="00C034B2">
              <w:t>Categories of premises</w:t>
            </w:r>
          </w:p>
        </w:tc>
      </w:tr>
      <w:tr w:rsidR="00874A35" w:rsidRPr="00C034B2" w:rsidTr="00F33AA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74A35" w:rsidRPr="00C034B2" w:rsidRDefault="00874A35" w:rsidP="00F33AA5">
            <w:pPr>
              <w:pStyle w:val="TableHeading"/>
            </w:pPr>
            <w:r w:rsidRPr="00C034B2">
              <w:t>Item</w:t>
            </w:r>
          </w:p>
        </w:tc>
        <w:tc>
          <w:tcPr>
            <w:tcW w:w="24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74A35" w:rsidRPr="00C034B2" w:rsidRDefault="00874A35" w:rsidP="00F33AA5">
            <w:pPr>
              <w:pStyle w:val="TableHeading"/>
            </w:pPr>
            <w:r w:rsidRPr="00C034B2">
              <w:t>Column 1</w:t>
            </w:r>
          </w:p>
          <w:p w:rsidR="00874A35" w:rsidRPr="00C034B2" w:rsidRDefault="00874A35" w:rsidP="00F33AA5">
            <w:pPr>
              <w:pStyle w:val="TableHeading"/>
            </w:pPr>
            <w:r w:rsidRPr="00C034B2">
              <w:t>Category</w:t>
            </w:r>
          </w:p>
        </w:tc>
        <w:tc>
          <w:tcPr>
            <w:tcW w:w="519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74A35" w:rsidRPr="00C034B2" w:rsidRDefault="00874A35" w:rsidP="00F33AA5">
            <w:pPr>
              <w:pStyle w:val="TableHeading"/>
            </w:pPr>
            <w:r w:rsidRPr="00C034B2">
              <w:t>Column 2</w:t>
            </w:r>
          </w:p>
          <w:p w:rsidR="00874A35" w:rsidRPr="00C034B2" w:rsidRDefault="00874A35" w:rsidP="00F33AA5">
            <w:pPr>
              <w:pStyle w:val="TableHeading"/>
            </w:pPr>
            <w:r w:rsidRPr="00C034B2">
              <w:t>Premises</w:t>
            </w:r>
          </w:p>
        </w:tc>
      </w:tr>
      <w:tr w:rsidR="00874A35" w:rsidRPr="00C034B2" w:rsidTr="00F33AA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874A35" w:rsidRPr="00C034B2" w:rsidRDefault="00874A35" w:rsidP="00F33AA5">
            <w:pPr>
              <w:pStyle w:val="Tabletext"/>
            </w:pPr>
            <w:r w:rsidRPr="00C034B2">
              <w:t>1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shd w:val="clear" w:color="auto" w:fill="auto"/>
          </w:tcPr>
          <w:p w:rsidR="00874A35" w:rsidRPr="00C034B2" w:rsidRDefault="00874A35" w:rsidP="00F33AA5">
            <w:pPr>
              <w:pStyle w:val="Tabletext"/>
            </w:pPr>
            <w:r w:rsidRPr="00C034B2">
              <w:t>Residential A2</w:t>
            </w:r>
          </w:p>
        </w:tc>
        <w:tc>
          <w:tcPr>
            <w:tcW w:w="5198" w:type="dxa"/>
            <w:tcBorders>
              <w:top w:val="single" w:sz="12" w:space="0" w:color="auto"/>
            </w:tcBorders>
            <w:shd w:val="clear" w:color="auto" w:fill="auto"/>
          </w:tcPr>
          <w:p w:rsidR="00874A35" w:rsidRPr="00C034B2" w:rsidRDefault="00874A35" w:rsidP="00F33AA5">
            <w:pPr>
              <w:pStyle w:val="Tabletext"/>
            </w:pPr>
            <w:r w:rsidRPr="00C034B2">
              <w:rPr>
                <w:szCs w:val="22"/>
              </w:rPr>
              <w:t>Premises (</w:t>
            </w:r>
            <w:r w:rsidR="00055BA4" w:rsidRPr="00C034B2">
              <w:rPr>
                <w:szCs w:val="22"/>
              </w:rPr>
              <w:t>for example, houses, flats and</w:t>
            </w:r>
            <w:r w:rsidRPr="00C034B2">
              <w:rPr>
                <w:szCs w:val="22"/>
              </w:rPr>
              <w:t xml:space="preserve"> apartments) occupied as private dwellings and used solely for residential purposes, other than premises mentioned in item</w:t>
            </w:r>
            <w:r w:rsidR="00C034B2" w:rsidRPr="00C034B2">
              <w:rPr>
                <w:szCs w:val="22"/>
              </w:rPr>
              <w:t> </w:t>
            </w:r>
            <w:r w:rsidRPr="00C034B2">
              <w:rPr>
                <w:szCs w:val="22"/>
              </w:rPr>
              <w:t>3</w:t>
            </w:r>
          </w:p>
        </w:tc>
      </w:tr>
      <w:tr w:rsidR="00874A35" w:rsidRPr="00C034B2" w:rsidTr="00F33AA5">
        <w:tc>
          <w:tcPr>
            <w:tcW w:w="714" w:type="dxa"/>
            <w:shd w:val="clear" w:color="auto" w:fill="auto"/>
          </w:tcPr>
          <w:p w:rsidR="00874A35" w:rsidRPr="00C034B2" w:rsidRDefault="00874A35" w:rsidP="00F33AA5">
            <w:pPr>
              <w:pStyle w:val="Tabletext"/>
            </w:pPr>
            <w:r w:rsidRPr="00C034B2">
              <w:t>2</w:t>
            </w:r>
          </w:p>
        </w:tc>
        <w:tc>
          <w:tcPr>
            <w:tcW w:w="2400" w:type="dxa"/>
            <w:shd w:val="clear" w:color="auto" w:fill="auto"/>
          </w:tcPr>
          <w:p w:rsidR="00874A35" w:rsidRPr="00C034B2" w:rsidRDefault="00874A35" w:rsidP="00F33AA5">
            <w:pPr>
              <w:pStyle w:val="Tabletext"/>
            </w:pPr>
            <w:r w:rsidRPr="00C034B2">
              <w:t>Community service C2</w:t>
            </w:r>
          </w:p>
        </w:tc>
        <w:tc>
          <w:tcPr>
            <w:tcW w:w="5198" w:type="dxa"/>
            <w:shd w:val="clear" w:color="auto" w:fill="auto"/>
          </w:tcPr>
          <w:p w:rsidR="00874A35" w:rsidRPr="00C034B2" w:rsidRDefault="00874A35" w:rsidP="00F33AA5">
            <w:pPr>
              <w:pStyle w:val="Tabletext"/>
            </w:pPr>
            <w:r w:rsidRPr="00C034B2">
              <w:t>Premises occupied by an organisation that:</w:t>
            </w:r>
          </w:p>
          <w:p w:rsidR="00874A35" w:rsidRPr="00C034B2" w:rsidRDefault="00874A35" w:rsidP="00F33AA5">
            <w:pPr>
              <w:pStyle w:val="Tablea"/>
            </w:pPr>
            <w:r w:rsidRPr="00C034B2">
              <w:t>(</w:t>
            </w:r>
            <w:r w:rsidR="00D23386" w:rsidRPr="00C034B2">
              <w:t>a</w:t>
            </w:r>
            <w:r w:rsidRPr="00C034B2">
              <w:t>) is a voluntary, non</w:t>
            </w:r>
            <w:r w:rsidR="00C034B2">
              <w:noBreakHyphen/>
            </w:r>
            <w:r w:rsidRPr="00C034B2">
              <w:t>profit making organisation; and</w:t>
            </w:r>
          </w:p>
          <w:p w:rsidR="00874A35" w:rsidRPr="00C034B2" w:rsidRDefault="00D23386" w:rsidP="00F33AA5">
            <w:pPr>
              <w:pStyle w:val="Tablea"/>
            </w:pPr>
            <w:r w:rsidRPr="00C034B2">
              <w:t>(b</w:t>
            </w:r>
            <w:r w:rsidR="00874A35" w:rsidRPr="00C034B2">
              <w:t xml:space="preserve">) is endorsed as exempt from income tax under </w:t>
            </w:r>
            <w:r w:rsidR="008F451C" w:rsidRPr="00C034B2">
              <w:t>section</w:t>
            </w:r>
            <w:r w:rsidR="00C034B2" w:rsidRPr="00C034B2">
              <w:t> </w:t>
            </w:r>
            <w:r w:rsidR="00874A35" w:rsidRPr="00C034B2">
              <w:t>50</w:t>
            </w:r>
            <w:r w:rsidR="00C034B2">
              <w:noBreakHyphen/>
            </w:r>
            <w:r w:rsidR="008F451C" w:rsidRPr="00C034B2">
              <w:t>105</w:t>
            </w:r>
            <w:r w:rsidR="00874A35" w:rsidRPr="00C034B2">
              <w:t xml:space="preserve"> of the </w:t>
            </w:r>
            <w:r w:rsidR="00874A35" w:rsidRPr="00C034B2">
              <w:rPr>
                <w:i/>
              </w:rPr>
              <w:t>Income Tax Assessment Act 1997</w:t>
            </w:r>
            <w:r w:rsidR="00874A35" w:rsidRPr="00C034B2">
              <w:t>; and</w:t>
            </w:r>
          </w:p>
          <w:p w:rsidR="00874A35" w:rsidRPr="00C034B2" w:rsidRDefault="00D23386" w:rsidP="00F33AA5">
            <w:pPr>
              <w:pStyle w:val="Tablea"/>
            </w:pPr>
            <w:r w:rsidRPr="00C034B2">
              <w:t>(c</w:t>
            </w:r>
            <w:r w:rsidR="00874A35" w:rsidRPr="00C034B2">
              <w:t>) provides a public service that is available to any member of the public without discrimination; and</w:t>
            </w:r>
          </w:p>
          <w:p w:rsidR="00874A35" w:rsidRPr="00C034B2" w:rsidRDefault="00D23386" w:rsidP="00F33AA5">
            <w:pPr>
              <w:pStyle w:val="Tablea"/>
            </w:pPr>
            <w:r w:rsidRPr="00C034B2">
              <w:t>(d</w:t>
            </w:r>
            <w:r w:rsidR="00874A35" w:rsidRPr="00C034B2">
              <w:t>) is not a Commonwealth, State or local government department, instrumentality or agency; and</w:t>
            </w:r>
          </w:p>
          <w:p w:rsidR="00874A35" w:rsidRPr="00C034B2" w:rsidRDefault="00D23386" w:rsidP="00F86A5A">
            <w:pPr>
              <w:pStyle w:val="Tablea"/>
            </w:pPr>
            <w:r w:rsidRPr="00C034B2">
              <w:t>(e)</w:t>
            </w:r>
            <w:r w:rsidR="00874A35" w:rsidRPr="00C034B2">
              <w:t xml:space="preserve"> does not receive the major part of its funding from a</w:t>
            </w:r>
            <w:r w:rsidR="00F86A5A" w:rsidRPr="00C034B2">
              <w:t xml:space="preserve"> body</w:t>
            </w:r>
            <w:r w:rsidR="00874A35" w:rsidRPr="00C034B2">
              <w:t xml:space="preserve"> mentioned in </w:t>
            </w:r>
            <w:r w:rsidR="00C034B2" w:rsidRPr="00C034B2">
              <w:t>paragraph (</w:t>
            </w:r>
            <w:r w:rsidRPr="00C034B2">
              <w:t>d</w:t>
            </w:r>
            <w:r w:rsidR="00874A35" w:rsidRPr="00C034B2">
              <w:t>)</w:t>
            </w:r>
          </w:p>
        </w:tc>
      </w:tr>
      <w:tr w:rsidR="00874A35" w:rsidRPr="00C034B2" w:rsidTr="00F33AA5">
        <w:tc>
          <w:tcPr>
            <w:tcW w:w="714" w:type="dxa"/>
            <w:shd w:val="clear" w:color="auto" w:fill="auto"/>
          </w:tcPr>
          <w:p w:rsidR="00874A35" w:rsidRPr="00C034B2" w:rsidRDefault="00874A35" w:rsidP="00F33AA5">
            <w:pPr>
              <w:pStyle w:val="Tabletext"/>
            </w:pPr>
            <w:r w:rsidRPr="00C034B2">
              <w:t>3</w:t>
            </w:r>
          </w:p>
        </w:tc>
        <w:tc>
          <w:tcPr>
            <w:tcW w:w="2400" w:type="dxa"/>
            <w:shd w:val="clear" w:color="auto" w:fill="auto"/>
          </w:tcPr>
          <w:p w:rsidR="00874A35" w:rsidRPr="00C034B2" w:rsidRDefault="00874A35" w:rsidP="00F33AA5">
            <w:pPr>
              <w:pStyle w:val="Tabletext"/>
            </w:pPr>
            <w:r w:rsidRPr="00C034B2">
              <w:t>Charitable residential D2</w:t>
            </w:r>
          </w:p>
        </w:tc>
        <w:tc>
          <w:tcPr>
            <w:tcW w:w="5198" w:type="dxa"/>
            <w:shd w:val="clear" w:color="auto" w:fill="auto"/>
          </w:tcPr>
          <w:p w:rsidR="00874A35" w:rsidRPr="00C034B2" w:rsidRDefault="00874A35" w:rsidP="00CD3CA4">
            <w:pPr>
              <w:pStyle w:val="Tabletext"/>
            </w:pPr>
            <w:r w:rsidRPr="00C034B2">
              <w:rPr>
                <w:szCs w:val="22"/>
              </w:rPr>
              <w:t>Premises</w:t>
            </w:r>
            <w:r w:rsidR="00D23386" w:rsidRPr="00C034B2">
              <w:rPr>
                <w:szCs w:val="22"/>
              </w:rPr>
              <w:t xml:space="preserve"> </w:t>
            </w:r>
            <w:r w:rsidR="00CD3CA4" w:rsidRPr="00C034B2">
              <w:rPr>
                <w:szCs w:val="22"/>
              </w:rPr>
              <w:t xml:space="preserve">used </w:t>
            </w:r>
            <w:r w:rsidRPr="00C034B2">
              <w:rPr>
                <w:szCs w:val="22"/>
              </w:rPr>
              <w:t>wholly by a charitable or benevolent organisation</w:t>
            </w:r>
            <w:r w:rsidR="00CD3CA4" w:rsidRPr="00C034B2">
              <w:rPr>
                <w:szCs w:val="22"/>
              </w:rPr>
              <w:t xml:space="preserve"> and</w:t>
            </w:r>
            <w:r w:rsidR="00403E09" w:rsidRPr="00C034B2">
              <w:rPr>
                <w:szCs w:val="22"/>
              </w:rPr>
              <w:t xml:space="preserve"> solely</w:t>
            </w:r>
            <w:r w:rsidRPr="00C034B2">
              <w:rPr>
                <w:szCs w:val="22"/>
              </w:rPr>
              <w:t xml:space="preserve"> for providing residential accommodation</w:t>
            </w:r>
            <w:r w:rsidRPr="00C034B2">
              <w:t xml:space="preserve"> other than for commercial gain</w:t>
            </w:r>
          </w:p>
        </w:tc>
      </w:tr>
      <w:tr w:rsidR="00874A35" w:rsidRPr="00C034B2" w:rsidTr="00F33AA5">
        <w:tc>
          <w:tcPr>
            <w:tcW w:w="714" w:type="dxa"/>
            <w:shd w:val="clear" w:color="auto" w:fill="auto"/>
          </w:tcPr>
          <w:p w:rsidR="00874A35" w:rsidRPr="00C034B2" w:rsidRDefault="00874A35" w:rsidP="00F33AA5">
            <w:pPr>
              <w:pStyle w:val="Tabletext"/>
            </w:pPr>
            <w:r w:rsidRPr="00C034B2">
              <w:t>4</w:t>
            </w:r>
          </w:p>
        </w:tc>
        <w:tc>
          <w:tcPr>
            <w:tcW w:w="2400" w:type="dxa"/>
            <w:shd w:val="clear" w:color="auto" w:fill="auto"/>
          </w:tcPr>
          <w:p w:rsidR="00874A35" w:rsidRPr="00C034B2" w:rsidRDefault="00874A35" w:rsidP="00F33AA5">
            <w:pPr>
              <w:pStyle w:val="Tabletext"/>
            </w:pPr>
            <w:r w:rsidRPr="00C034B2">
              <w:t>Business/residential K2</w:t>
            </w:r>
          </w:p>
        </w:tc>
        <w:tc>
          <w:tcPr>
            <w:tcW w:w="5198" w:type="dxa"/>
            <w:shd w:val="clear" w:color="auto" w:fill="auto"/>
          </w:tcPr>
          <w:p w:rsidR="00874A35" w:rsidRPr="00C034B2" w:rsidRDefault="00874A35" w:rsidP="00F33AA5">
            <w:pPr>
              <w:pStyle w:val="Tabletext"/>
            </w:pPr>
            <w:r w:rsidRPr="00C034B2">
              <w:rPr>
                <w:szCs w:val="22"/>
              </w:rPr>
              <w:t>Premises used partly for business</w:t>
            </w:r>
            <w:r w:rsidR="00CD3CA4" w:rsidRPr="00C034B2">
              <w:rPr>
                <w:szCs w:val="22"/>
              </w:rPr>
              <w:t xml:space="preserve"> purposes</w:t>
            </w:r>
            <w:r w:rsidRPr="00C034B2">
              <w:rPr>
                <w:szCs w:val="22"/>
              </w:rPr>
              <w:t xml:space="preserve"> and partly for residential purposes, if </w:t>
            </w:r>
            <w:r w:rsidRPr="00C034B2">
              <w:t>the circuit wiring for business and residential use is not separate</w:t>
            </w:r>
          </w:p>
        </w:tc>
      </w:tr>
      <w:tr w:rsidR="00874A35" w:rsidRPr="00C034B2" w:rsidTr="00F33AA5">
        <w:tc>
          <w:tcPr>
            <w:tcW w:w="714" w:type="dxa"/>
            <w:shd w:val="clear" w:color="auto" w:fill="auto"/>
          </w:tcPr>
          <w:p w:rsidR="00874A35" w:rsidRPr="00C034B2" w:rsidRDefault="00874A35" w:rsidP="00F33AA5">
            <w:pPr>
              <w:pStyle w:val="Tabletext"/>
            </w:pPr>
            <w:r w:rsidRPr="00C034B2">
              <w:t>5</w:t>
            </w:r>
          </w:p>
        </w:tc>
        <w:tc>
          <w:tcPr>
            <w:tcW w:w="2400" w:type="dxa"/>
            <w:shd w:val="clear" w:color="auto" w:fill="auto"/>
          </w:tcPr>
          <w:p w:rsidR="00874A35" w:rsidRPr="00C034B2" w:rsidRDefault="00874A35" w:rsidP="00F33AA5">
            <w:pPr>
              <w:pStyle w:val="Tabletext"/>
            </w:pPr>
            <w:r w:rsidRPr="00C034B2">
              <w:t>Business</w:t>
            </w:r>
            <w:r w:rsidR="00D23386" w:rsidRPr="00C034B2">
              <w:t xml:space="preserve"> and local </w:t>
            </w:r>
            <w:r w:rsidR="00D23386" w:rsidRPr="00C034B2">
              <w:lastRenderedPageBreak/>
              <w:t>government</w:t>
            </w:r>
            <w:r w:rsidRPr="00C034B2">
              <w:t xml:space="preserve"> L2</w:t>
            </w:r>
          </w:p>
        </w:tc>
        <w:tc>
          <w:tcPr>
            <w:tcW w:w="5198" w:type="dxa"/>
            <w:shd w:val="clear" w:color="auto" w:fill="auto"/>
          </w:tcPr>
          <w:p w:rsidR="00D23386" w:rsidRPr="00C034B2" w:rsidRDefault="00D23386" w:rsidP="00F33AA5">
            <w:pPr>
              <w:pStyle w:val="Tabletext"/>
            </w:pPr>
            <w:r w:rsidRPr="00C034B2">
              <w:lastRenderedPageBreak/>
              <w:t>Premises:</w:t>
            </w:r>
          </w:p>
          <w:p w:rsidR="00F3153F" w:rsidRPr="00C034B2" w:rsidRDefault="00D23386" w:rsidP="00D23386">
            <w:pPr>
              <w:pStyle w:val="Tablea"/>
              <w:rPr>
                <w:snapToGrid w:val="0"/>
              </w:rPr>
            </w:pPr>
            <w:r w:rsidRPr="00C034B2">
              <w:lastRenderedPageBreak/>
              <w:t xml:space="preserve">(a) </w:t>
            </w:r>
            <w:r w:rsidR="00874A35" w:rsidRPr="00C034B2">
              <w:t xml:space="preserve">used for </w:t>
            </w:r>
            <w:r w:rsidR="00F3153F" w:rsidRPr="00C034B2">
              <w:rPr>
                <w:snapToGrid w:val="0"/>
              </w:rPr>
              <w:t xml:space="preserve">industrial or </w:t>
            </w:r>
            <w:r w:rsidR="00874A35" w:rsidRPr="00C034B2">
              <w:rPr>
                <w:snapToGrid w:val="0"/>
              </w:rPr>
              <w:t>commercial</w:t>
            </w:r>
            <w:r w:rsidR="00F3153F" w:rsidRPr="00C034B2">
              <w:rPr>
                <w:snapToGrid w:val="0"/>
              </w:rPr>
              <w:t xml:space="preserve"> purposes; or</w:t>
            </w:r>
          </w:p>
          <w:p w:rsidR="00D23386" w:rsidRPr="00C034B2" w:rsidRDefault="00F3153F" w:rsidP="00D23386">
            <w:pPr>
              <w:pStyle w:val="Tablea"/>
              <w:rPr>
                <w:snapToGrid w:val="0"/>
              </w:rPr>
            </w:pPr>
            <w:r w:rsidRPr="00C034B2">
              <w:rPr>
                <w:snapToGrid w:val="0"/>
              </w:rPr>
              <w:t xml:space="preserve">(b) used for </w:t>
            </w:r>
            <w:r w:rsidR="00874A35" w:rsidRPr="00C034B2">
              <w:rPr>
                <w:snapToGrid w:val="0"/>
              </w:rPr>
              <w:t>business purposes</w:t>
            </w:r>
            <w:r w:rsidRPr="00C034B2">
              <w:rPr>
                <w:snapToGrid w:val="0"/>
              </w:rPr>
              <w:t xml:space="preserve">, </w:t>
            </w:r>
            <w:r w:rsidRPr="00C034B2">
              <w:t>other than as mentioned in item</w:t>
            </w:r>
            <w:r w:rsidR="00C034B2" w:rsidRPr="00C034B2">
              <w:t> </w:t>
            </w:r>
            <w:r w:rsidRPr="00C034B2">
              <w:t>4</w:t>
            </w:r>
            <w:r w:rsidR="00D23386" w:rsidRPr="00C034B2">
              <w:rPr>
                <w:snapToGrid w:val="0"/>
              </w:rPr>
              <w:t>; or</w:t>
            </w:r>
          </w:p>
          <w:p w:rsidR="00D23386" w:rsidRPr="00C034B2" w:rsidRDefault="00D23386" w:rsidP="00F3153F">
            <w:pPr>
              <w:pStyle w:val="Tablea"/>
              <w:rPr>
                <w:snapToGrid w:val="0"/>
              </w:rPr>
            </w:pPr>
            <w:r w:rsidRPr="00C034B2">
              <w:rPr>
                <w:snapToGrid w:val="0"/>
              </w:rPr>
              <w:t>(</w:t>
            </w:r>
            <w:r w:rsidR="00F3153F" w:rsidRPr="00C034B2">
              <w:rPr>
                <w:snapToGrid w:val="0"/>
              </w:rPr>
              <w:t>c</w:t>
            </w:r>
            <w:r w:rsidRPr="00C034B2">
              <w:rPr>
                <w:snapToGrid w:val="0"/>
              </w:rPr>
              <w:t xml:space="preserve">) occupied by a local government </w:t>
            </w:r>
            <w:r w:rsidRPr="00C034B2">
              <w:t>department, instrumentality or agency</w:t>
            </w:r>
          </w:p>
        </w:tc>
      </w:tr>
      <w:tr w:rsidR="00874A35" w:rsidRPr="00C034B2" w:rsidTr="00F33AA5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874A35" w:rsidRPr="00C034B2" w:rsidRDefault="00874A35" w:rsidP="00F33AA5">
            <w:pPr>
              <w:pStyle w:val="Tabletext"/>
            </w:pPr>
            <w:r w:rsidRPr="00C034B2">
              <w:lastRenderedPageBreak/>
              <w:t>6</w:t>
            </w:r>
          </w:p>
        </w:tc>
        <w:tc>
          <w:tcPr>
            <w:tcW w:w="2400" w:type="dxa"/>
            <w:tcBorders>
              <w:bottom w:val="single" w:sz="2" w:space="0" w:color="auto"/>
            </w:tcBorders>
            <w:shd w:val="clear" w:color="auto" w:fill="auto"/>
          </w:tcPr>
          <w:p w:rsidR="00874A35" w:rsidRPr="00C034B2" w:rsidRDefault="00874A35" w:rsidP="00F33AA5">
            <w:pPr>
              <w:pStyle w:val="Tabletext"/>
            </w:pPr>
            <w:r w:rsidRPr="00C034B2">
              <w:t>High voltage M2</w:t>
            </w:r>
          </w:p>
        </w:tc>
        <w:tc>
          <w:tcPr>
            <w:tcW w:w="5198" w:type="dxa"/>
            <w:tcBorders>
              <w:bottom w:val="single" w:sz="2" w:space="0" w:color="auto"/>
            </w:tcBorders>
            <w:shd w:val="clear" w:color="auto" w:fill="auto"/>
          </w:tcPr>
          <w:p w:rsidR="00874A35" w:rsidRPr="00C034B2" w:rsidRDefault="00874A35" w:rsidP="00F33AA5">
            <w:pPr>
              <w:pStyle w:val="Tabletext"/>
            </w:pPr>
            <w:r w:rsidRPr="00C034B2">
              <w:t xml:space="preserve">Premises supplied with electricity </w:t>
            </w:r>
            <w:r w:rsidRPr="00C034B2">
              <w:rPr>
                <w:szCs w:val="22"/>
              </w:rPr>
              <w:t>at 6.6 kV, 11 kV, 22 kV</w:t>
            </w:r>
            <w:r w:rsidR="00055BA4" w:rsidRPr="00C034B2">
              <w:rPr>
                <w:szCs w:val="22"/>
              </w:rPr>
              <w:t>,</w:t>
            </w:r>
            <w:r w:rsidRPr="00C034B2">
              <w:rPr>
                <w:szCs w:val="22"/>
              </w:rPr>
              <w:t xml:space="preserve"> 33 kV or a higher voltage</w:t>
            </w:r>
          </w:p>
        </w:tc>
      </w:tr>
      <w:tr w:rsidR="00874A35" w:rsidRPr="00C034B2" w:rsidTr="00F33AA5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74A35" w:rsidRPr="00C034B2" w:rsidRDefault="00874A35" w:rsidP="00F33AA5">
            <w:pPr>
              <w:pStyle w:val="Tabletext"/>
            </w:pPr>
            <w:r w:rsidRPr="00C034B2">
              <w:t>7</w:t>
            </w:r>
          </w:p>
        </w:tc>
        <w:tc>
          <w:tcPr>
            <w:tcW w:w="24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74A35" w:rsidRPr="00C034B2" w:rsidRDefault="0078239C" w:rsidP="00D23386">
            <w:pPr>
              <w:pStyle w:val="Tabletext"/>
            </w:pPr>
            <w:r w:rsidRPr="00C034B2">
              <w:t>G</w:t>
            </w:r>
            <w:r w:rsidR="00874A35" w:rsidRPr="00C034B2">
              <w:t>overnment</w:t>
            </w:r>
            <w:r w:rsidRPr="00C034B2">
              <w:t xml:space="preserve"> (other than local government)</w:t>
            </w:r>
            <w:r w:rsidR="00874A35" w:rsidRPr="00C034B2">
              <w:t xml:space="preserve"> N2</w:t>
            </w:r>
          </w:p>
        </w:tc>
        <w:tc>
          <w:tcPr>
            <w:tcW w:w="519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74A35" w:rsidRPr="00C034B2" w:rsidRDefault="00874A35" w:rsidP="00B1462F">
            <w:pPr>
              <w:pStyle w:val="Tabletext"/>
            </w:pPr>
            <w:r w:rsidRPr="00C034B2">
              <w:t xml:space="preserve">Premises occupied by a </w:t>
            </w:r>
            <w:r w:rsidRPr="00C034B2">
              <w:rPr>
                <w:szCs w:val="22"/>
              </w:rPr>
              <w:t>Commonwealth</w:t>
            </w:r>
            <w:r w:rsidR="00B1462F" w:rsidRPr="00C034B2">
              <w:rPr>
                <w:szCs w:val="22"/>
              </w:rPr>
              <w:t xml:space="preserve"> or </w:t>
            </w:r>
            <w:r w:rsidRPr="00C034B2">
              <w:rPr>
                <w:szCs w:val="22"/>
              </w:rPr>
              <w:t xml:space="preserve">State government </w:t>
            </w:r>
            <w:r w:rsidRPr="00C034B2">
              <w:t>department, instrumentality or agency</w:t>
            </w:r>
          </w:p>
        </w:tc>
      </w:tr>
    </w:tbl>
    <w:p w:rsidR="00F3153F" w:rsidRPr="00C034B2" w:rsidRDefault="00F3153F" w:rsidP="00F3153F">
      <w:pPr>
        <w:pStyle w:val="Tabletext"/>
      </w:pPr>
    </w:p>
    <w:p w:rsidR="00EA4489" w:rsidRPr="00C034B2" w:rsidRDefault="00EA4489" w:rsidP="00EA4489">
      <w:pPr>
        <w:pStyle w:val="ActHead2"/>
        <w:pageBreakBefore/>
      </w:pPr>
      <w:bookmarkStart w:id="10" w:name="_Toc462848266"/>
      <w:r w:rsidRPr="00C034B2">
        <w:rPr>
          <w:rStyle w:val="CharPartNo"/>
        </w:rPr>
        <w:lastRenderedPageBreak/>
        <w:t>Part</w:t>
      </w:r>
      <w:r w:rsidR="00C034B2" w:rsidRPr="00C034B2">
        <w:rPr>
          <w:rStyle w:val="CharPartNo"/>
        </w:rPr>
        <w:t> </w:t>
      </w:r>
      <w:r w:rsidRPr="00C034B2">
        <w:rPr>
          <w:rStyle w:val="CharPartNo"/>
        </w:rPr>
        <w:t>2</w:t>
      </w:r>
      <w:r w:rsidRPr="00C034B2">
        <w:t>—</w:t>
      </w:r>
      <w:r w:rsidRPr="00C034B2">
        <w:rPr>
          <w:rStyle w:val="CharPartText"/>
        </w:rPr>
        <w:t>Fees</w:t>
      </w:r>
      <w:bookmarkEnd w:id="10"/>
    </w:p>
    <w:p w:rsidR="00EA4489" w:rsidRPr="00C034B2" w:rsidRDefault="00EA4489" w:rsidP="00EA4489">
      <w:pPr>
        <w:pStyle w:val="Header"/>
      </w:pPr>
      <w:r w:rsidRPr="00C034B2">
        <w:rPr>
          <w:rStyle w:val="CharDivNo"/>
        </w:rPr>
        <w:t xml:space="preserve"> </w:t>
      </w:r>
      <w:r w:rsidRPr="00C034B2">
        <w:rPr>
          <w:rStyle w:val="CharDivText"/>
        </w:rPr>
        <w:t xml:space="preserve"> </w:t>
      </w:r>
    </w:p>
    <w:p w:rsidR="00EA4489" w:rsidRPr="00C034B2" w:rsidRDefault="00E1037F" w:rsidP="00EA4489">
      <w:pPr>
        <w:pStyle w:val="ActHead5"/>
      </w:pPr>
      <w:bookmarkStart w:id="11" w:name="_Toc462848267"/>
      <w:r w:rsidRPr="00C034B2">
        <w:rPr>
          <w:rStyle w:val="CharSectno"/>
        </w:rPr>
        <w:t>6</w:t>
      </w:r>
      <w:r w:rsidR="00EA4489" w:rsidRPr="00C034B2">
        <w:t xml:space="preserve">  Fees</w:t>
      </w:r>
      <w:bookmarkEnd w:id="11"/>
    </w:p>
    <w:p w:rsidR="00EA4489" w:rsidRPr="00C034B2" w:rsidRDefault="00EA4489" w:rsidP="00EA4489">
      <w:pPr>
        <w:pStyle w:val="SubsectionHead"/>
      </w:pPr>
      <w:r w:rsidRPr="00C034B2">
        <w:t xml:space="preserve">Determination of fees that may be charged for the supply of </w:t>
      </w:r>
      <w:r w:rsidR="004B7E45" w:rsidRPr="00C034B2">
        <w:t>electricity and related services</w:t>
      </w:r>
    </w:p>
    <w:p w:rsidR="00930D35" w:rsidRPr="00C034B2" w:rsidRDefault="00EA4489" w:rsidP="00EA4489">
      <w:pPr>
        <w:pStyle w:val="subsection"/>
      </w:pPr>
      <w:r w:rsidRPr="00C034B2">
        <w:tab/>
        <w:t>(1)</w:t>
      </w:r>
      <w:r w:rsidRPr="00C034B2">
        <w:tab/>
        <w:t>This instrument determines fees that may be charged for</w:t>
      </w:r>
      <w:r w:rsidR="00930D35" w:rsidRPr="00C034B2">
        <w:t>:</w:t>
      </w:r>
    </w:p>
    <w:p w:rsidR="00930D35" w:rsidRPr="00C034B2" w:rsidRDefault="00930D35" w:rsidP="00930D35">
      <w:pPr>
        <w:pStyle w:val="paragraph"/>
      </w:pPr>
      <w:r w:rsidRPr="00C034B2">
        <w:tab/>
        <w:t>(a)</w:t>
      </w:r>
      <w:r w:rsidRPr="00C034B2">
        <w:tab/>
      </w:r>
      <w:r w:rsidR="00EA4489" w:rsidRPr="00C034B2">
        <w:t>the supply of electricity</w:t>
      </w:r>
      <w:r w:rsidR="009B29A6" w:rsidRPr="00C034B2">
        <w:t xml:space="preserve"> to consumers at premises</w:t>
      </w:r>
      <w:r w:rsidRPr="00C034B2">
        <w:t>; and</w:t>
      </w:r>
    </w:p>
    <w:p w:rsidR="00EA4489" w:rsidRPr="00C034B2" w:rsidRDefault="00930D35" w:rsidP="00930D35">
      <w:pPr>
        <w:pStyle w:val="paragraph"/>
      </w:pPr>
      <w:r w:rsidRPr="00C034B2">
        <w:tab/>
        <w:t>(b)</w:t>
      </w:r>
      <w:r w:rsidRPr="00C034B2">
        <w:tab/>
      </w:r>
      <w:r w:rsidR="009B29A6" w:rsidRPr="00C034B2">
        <w:t xml:space="preserve">the supply of </w:t>
      </w:r>
      <w:r w:rsidRPr="00C034B2">
        <w:t>services related to the supply of electricity</w:t>
      </w:r>
      <w:r w:rsidR="009B29A6" w:rsidRPr="00C034B2">
        <w:t xml:space="preserve"> to consumers at premises</w:t>
      </w:r>
      <w:r w:rsidR="00EA4489" w:rsidRPr="00C034B2">
        <w:t>.</w:t>
      </w:r>
    </w:p>
    <w:p w:rsidR="00EA4489" w:rsidRPr="00C034B2" w:rsidRDefault="00EA4489" w:rsidP="00EA4489">
      <w:pPr>
        <w:pStyle w:val="subsection"/>
      </w:pPr>
      <w:r w:rsidRPr="00C034B2">
        <w:tab/>
        <w:t>(2)</w:t>
      </w:r>
      <w:r w:rsidRPr="00C034B2">
        <w:tab/>
        <w:t xml:space="preserve">The fees determined by this instrument apply from </w:t>
      </w:r>
      <w:r w:rsidR="006812A8" w:rsidRPr="00C034B2">
        <w:t xml:space="preserve">and including </w:t>
      </w:r>
      <w:r w:rsidR="000E387D" w:rsidRPr="00C034B2">
        <w:t>the date this instrument commences</w:t>
      </w:r>
      <w:r w:rsidRPr="00C034B2">
        <w:t>.</w:t>
      </w:r>
    </w:p>
    <w:p w:rsidR="0018157C" w:rsidRPr="00C034B2" w:rsidRDefault="00EA4489" w:rsidP="00EA4489">
      <w:pPr>
        <w:pStyle w:val="subsection"/>
      </w:pPr>
      <w:r w:rsidRPr="00C034B2">
        <w:tab/>
        <w:t>(3)</w:t>
      </w:r>
      <w:r w:rsidRPr="00C034B2">
        <w:tab/>
        <w:t>The fees that may be charged are</w:t>
      </w:r>
      <w:r w:rsidR="004B7E45" w:rsidRPr="00C034B2">
        <w:t xml:space="preserve"> the following</w:t>
      </w:r>
      <w:r w:rsidR="0018157C" w:rsidRPr="00C034B2">
        <w:t>:</w:t>
      </w:r>
    </w:p>
    <w:p w:rsidR="00AB7E01" w:rsidRPr="00C034B2" w:rsidRDefault="00AB7E01" w:rsidP="00AB7E01">
      <w:pPr>
        <w:pStyle w:val="paragraph"/>
      </w:pPr>
      <w:r w:rsidRPr="00C034B2">
        <w:tab/>
        <w:t>(a)</w:t>
      </w:r>
      <w:r w:rsidRPr="00C034B2">
        <w:tab/>
        <w:t>fixed fees for the supply of electricity as set out in Schedule</w:t>
      </w:r>
      <w:r w:rsidR="00C034B2" w:rsidRPr="00C034B2">
        <w:t> </w:t>
      </w:r>
      <w:r w:rsidRPr="00C034B2">
        <w:t>1;</w:t>
      </w:r>
    </w:p>
    <w:p w:rsidR="0018157C" w:rsidRPr="00C034B2" w:rsidRDefault="00AB7E01" w:rsidP="0018157C">
      <w:pPr>
        <w:pStyle w:val="paragraph"/>
      </w:pPr>
      <w:r w:rsidRPr="00C034B2">
        <w:tab/>
        <w:t>(b</w:t>
      </w:r>
      <w:r w:rsidR="0018157C" w:rsidRPr="00C034B2">
        <w:t>)</w:t>
      </w:r>
      <w:r w:rsidR="0018157C" w:rsidRPr="00C034B2">
        <w:tab/>
      </w:r>
      <w:r w:rsidR="003B79F8" w:rsidRPr="00C034B2">
        <w:t>consumption</w:t>
      </w:r>
      <w:r w:rsidR="0018157C" w:rsidRPr="00C034B2">
        <w:t xml:space="preserve"> fees for the supply of electricity</w:t>
      </w:r>
      <w:r w:rsidR="00F07448" w:rsidRPr="00C034B2">
        <w:t xml:space="preserve"> </w:t>
      </w:r>
      <w:r w:rsidR="0018157C" w:rsidRPr="00C034B2">
        <w:t xml:space="preserve">as </w:t>
      </w:r>
      <w:r w:rsidR="00EA4489" w:rsidRPr="00C034B2">
        <w:t xml:space="preserve">set out in </w:t>
      </w:r>
      <w:r w:rsidR="0018157C" w:rsidRPr="00C034B2">
        <w:t>Schedule</w:t>
      </w:r>
      <w:r w:rsidR="00C034B2" w:rsidRPr="00C034B2">
        <w:t> </w:t>
      </w:r>
      <w:r w:rsidRPr="00C034B2">
        <w:t>2</w:t>
      </w:r>
      <w:r w:rsidR="004B7E45" w:rsidRPr="00C034B2">
        <w:t>;</w:t>
      </w:r>
    </w:p>
    <w:p w:rsidR="00EA4489" w:rsidRPr="00C034B2" w:rsidRDefault="00AB7E01" w:rsidP="0018157C">
      <w:pPr>
        <w:pStyle w:val="paragraph"/>
      </w:pPr>
      <w:r w:rsidRPr="00C034B2">
        <w:tab/>
        <w:t>(c</w:t>
      </w:r>
      <w:r w:rsidR="0018157C" w:rsidRPr="00C034B2">
        <w:t>)</w:t>
      </w:r>
      <w:r w:rsidR="0018157C" w:rsidRPr="00C034B2">
        <w:tab/>
        <w:t>fixed fees for</w:t>
      </w:r>
      <w:r w:rsidR="00EA4489" w:rsidRPr="00C034B2">
        <w:t xml:space="preserve"> </w:t>
      </w:r>
      <w:r w:rsidR="009B29A6" w:rsidRPr="00C034B2">
        <w:t xml:space="preserve">the supply of </w:t>
      </w:r>
      <w:r w:rsidR="0018157C" w:rsidRPr="00C034B2">
        <w:t>services related to the supply of electricity</w:t>
      </w:r>
      <w:r w:rsidR="00F07448" w:rsidRPr="00C034B2">
        <w:t xml:space="preserve"> </w:t>
      </w:r>
      <w:r w:rsidR="0018157C" w:rsidRPr="00C034B2">
        <w:t>as set out in Schedule</w:t>
      </w:r>
      <w:r w:rsidR="00C034B2" w:rsidRPr="00C034B2">
        <w:t> </w:t>
      </w:r>
      <w:r w:rsidRPr="00C034B2">
        <w:t>3</w:t>
      </w:r>
      <w:r w:rsidR="00EA4489" w:rsidRPr="00C034B2">
        <w:t>.</w:t>
      </w:r>
    </w:p>
    <w:p w:rsidR="00EA4489" w:rsidRPr="00C034B2" w:rsidRDefault="00EA4489" w:rsidP="00EA4489">
      <w:pPr>
        <w:pStyle w:val="SubsectionHead"/>
      </w:pPr>
      <w:r w:rsidRPr="00C034B2">
        <w:t xml:space="preserve">Method of charging fees—notice to </w:t>
      </w:r>
      <w:r w:rsidR="00F07448" w:rsidRPr="00C034B2">
        <w:t>consumer</w:t>
      </w:r>
    </w:p>
    <w:p w:rsidR="004B7E45" w:rsidRPr="00C034B2" w:rsidRDefault="00EA4489" w:rsidP="00EA4489">
      <w:pPr>
        <w:pStyle w:val="subsection"/>
      </w:pPr>
      <w:r w:rsidRPr="00C034B2">
        <w:tab/>
        <w:t>(4)</w:t>
      </w:r>
      <w:r w:rsidRPr="00C034B2">
        <w:tab/>
        <w:t xml:space="preserve">If the Administrator charges a fee for </w:t>
      </w:r>
      <w:r w:rsidR="004B7E45" w:rsidRPr="00C034B2">
        <w:t>the supply of electricity</w:t>
      </w:r>
      <w:r w:rsidR="00061969" w:rsidRPr="00C034B2">
        <w:t xml:space="preserve"> to a consumer at</w:t>
      </w:r>
      <w:r w:rsidR="009B29A6" w:rsidRPr="00C034B2">
        <w:t xml:space="preserve"> premises</w:t>
      </w:r>
      <w:r w:rsidR="004B7E45" w:rsidRPr="00C034B2">
        <w:t>, or for</w:t>
      </w:r>
      <w:r w:rsidR="009B29A6" w:rsidRPr="00C034B2">
        <w:t xml:space="preserve"> the supply of a service</w:t>
      </w:r>
      <w:r w:rsidR="004B7E45" w:rsidRPr="00C034B2">
        <w:t xml:space="preserve"> related to the supply of electricity</w:t>
      </w:r>
      <w:r w:rsidR="009B29A6" w:rsidRPr="00C034B2">
        <w:t xml:space="preserve"> to a consumer at premises</w:t>
      </w:r>
      <w:r w:rsidR="004B7E45" w:rsidRPr="00C034B2">
        <w:t>,</w:t>
      </w:r>
      <w:r w:rsidRPr="00C034B2">
        <w:t xml:space="preserve"> mentioned in this instrument, the Administrator must do so by </w:t>
      </w:r>
      <w:r w:rsidR="000F08BE" w:rsidRPr="00C034B2">
        <w:t>sending</w:t>
      </w:r>
      <w:r w:rsidRPr="00C034B2">
        <w:t xml:space="preserve"> a</w:t>
      </w:r>
      <w:r w:rsidR="000F08BE" w:rsidRPr="00C034B2">
        <w:t xml:space="preserve"> written</w:t>
      </w:r>
      <w:r w:rsidRPr="00C034B2">
        <w:t xml:space="preserve"> notice to the </w:t>
      </w:r>
      <w:r w:rsidR="000E5FF9" w:rsidRPr="00C034B2">
        <w:t>consumer</w:t>
      </w:r>
      <w:r w:rsidR="009B29A6" w:rsidRPr="00C034B2">
        <w:t>.</w:t>
      </w:r>
    </w:p>
    <w:p w:rsidR="00EA4489" w:rsidRPr="00C034B2" w:rsidRDefault="00EA4489" w:rsidP="00EA4489">
      <w:pPr>
        <w:pStyle w:val="subsection"/>
      </w:pPr>
      <w:r w:rsidRPr="00C034B2">
        <w:tab/>
        <w:t>(5)</w:t>
      </w:r>
      <w:r w:rsidRPr="00C034B2">
        <w:tab/>
        <w:t>The notice must specify:</w:t>
      </w:r>
    </w:p>
    <w:p w:rsidR="00EA4489" w:rsidRPr="00C034B2" w:rsidRDefault="00EA4489" w:rsidP="00EA4489">
      <w:pPr>
        <w:pStyle w:val="paragraph"/>
      </w:pPr>
      <w:r w:rsidRPr="00C034B2">
        <w:tab/>
        <w:t>(a)</w:t>
      </w:r>
      <w:r w:rsidRPr="00C034B2">
        <w:tab/>
        <w:t>the amount of the fee payable; and</w:t>
      </w:r>
    </w:p>
    <w:p w:rsidR="00EA4489" w:rsidRPr="00C034B2" w:rsidRDefault="00EA4489" w:rsidP="00EA4489">
      <w:pPr>
        <w:pStyle w:val="paragraph"/>
      </w:pPr>
      <w:r w:rsidRPr="00C034B2">
        <w:tab/>
        <w:t>(b)</w:t>
      </w:r>
      <w:r w:rsidRPr="00C034B2">
        <w:tab/>
        <w:t>the day by which the fee must be paid.</w:t>
      </w:r>
    </w:p>
    <w:p w:rsidR="00EA4489" w:rsidRPr="00C034B2" w:rsidRDefault="00EA4489" w:rsidP="00EA4489">
      <w:pPr>
        <w:pStyle w:val="subsection"/>
      </w:pPr>
      <w:r w:rsidRPr="00C034B2">
        <w:tab/>
        <w:t>(6)</w:t>
      </w:r>
      <w:r w:rsidRPr="00C034B2">
        <w:tab/>
        <w:t>The day specified in the notice must be at least 1</w:t>
      </w:r>
      <w:r w:rsidR="002438C7" w:rsidRPr="00C034B2">
        <w:t>2 business</w:t>
      </w:r>
      <w:r w:rsidRPr="00C034B2">
        <w:t xml:space="preserve"> days after the day the notice is sent to the </w:t>
      </w:r>
      <w:r w:rsidR="00F07448" w:rsidRPr="00C034B2">
        <w:t>consumer</w:t>
      </w:r>
      <w:r w:rsidRPr="00C034B2">
        <w:t>.</w:t>
      </w:r>
    </w:p>
    <w:p w:rsidR="00EA4489" w:rsidRPr="00C034B2" w:rsidRDefault="00EA4489" w:rsidP="00EA4489">
      <w:pPr>
        <w:pStyle w:val="SubsectionHead"/>
      </w:pPr>
      <w:r w:rsidRPr="00C034B2">
        <w:t>Liability to pay fee and payment of fee</w:t>
      </w:r>
    </w:p>
    <w:p w:rsidR="00EA4489" w:rsidRPr="00C034B2" w:rsidRDefault="00EA4489" w:rsidP="00EA4489">
      <w:pPr>
        <w:pStyle w:val="subsection"/>
      </w:pPr>
      <w:r w:rsidRPr="00C034B2">
        <w:tab/>
        <w:t>(7)</w:t>
      </w:r>
      <w:r w:rsidRPr="00C034B2">
        <w:tab/>
        <w:t xml:space="preserve">If the Administrator sends the notice under </w:t>
      </w:r>
      <w:r w:rsidR="00C034B2" w:rsidRPr="00C034B2">
        <w:t>subsection (</w:t>
      </w:r>
      <w:r w:rsidR="006A33A5" w:rsidRPr="00C034B2">
        <w:t>4</w:t>
      </w:r>
      <w:r w:rsidRPr="00C034B2">
        <w:t xml:space="preserve">) to the </w:t>
      </w:r>
      <w:r w:rsidR="00F07448" w:rsidRPr="00C034B2">
        <w:t>consumer</w:t>
      </w:r>
      <w:r w:rsidRPr="00C034B2">
        <w:t>:</w:t>
      </w:r>
    </w:p>
    <w:p w:rsidR="00EA4489" w:rsidRPr="00C034B2" w:rsidRDefault="00EA4489" w:rsidP="00EA4489">
      <w:pPr>
        <w:pStyle w:val="paragraph"/>
      </w:pPr>
      <w:r w:rsidRPr="00C034B2">
        <w:tab/>
        <w:t>(a)</w:t>
      </w:r>
      <w:r w:rsidRPr="00C034B2">
        <w:tab/>
        <w:t xml:space="preserve">the </w:t>
      </w:r>
      <w:r w:rsidR="00F07448" w:rsidRPr="00C034B2">
        <w:t xml:space="preserve">consumer </w:t>
      </w:r>
      <w:r w:rsidRPr="00C034B2">
        <w:t>is liable to pay the fee specified in the notice; and</w:t>
      </w:r>
    </w:p>
    <w:p w:rsidR="00EA4489" w:rsidRPr="00C034B2" w:rsidRDefault="00EA4489" w:rsidP="00EA4489">
      <w:pPr>
        <w:pStyle w:val="paragraph"/>
      </w:pPr>
      <w:r w:rsidRPr="00C034B2">
        <w:tab/>
        <w:t>(b)</w:t>
      </w:r>
      <w:r w:rsidRPr="00C034B2">
        <w:tab/>
        <w:t>the fee is payable to the Administrator on behalf of the Commonwealth.</w:t>
      </w:r>
    </w:p>
    <w:p w:rsidR="00EA4489" w:rsidRPr="00C034B2" w:rsidRDefault="00E1037F" w:rsidP="00EA4489">
      <w:pPr>
        <w:pStyle w:val="ActHead5"/>
      </w:pPr>
      <w:bookmarkStart w:id="12" w:name="_Toc462848268"/>
      <w:r w:rsidRPr="00C034B2">
        <w:rPr>
          <w:rStyle w:val="CharSectno"/>
        </w:rPr>
        <w:t>7</w:t>
      </w:r>
      <w:r w:rsidR="00EA4489" w:rsidRPr="00C034B2">
        <w:t xml:space="preserve">  </w:t>
      </w:r>
      <w:r w:rsidR="002F5B1F" w:rsidRPr="00C034B2">
        <w:t>R</w:t>
      </w:r>
      <w:r w:rsidR="00F33AA5" w:rsidRPr="00C034B2">
        <w:t xml:space="preserve">ebates </w:t>
      </w:r>
      <w:r w:rsidR="002F5B1F" w:rsidRPr="00C034B2">
        <w:t xml:space="preserve">and </w:t>
      </w:r>
      <w:r w:rsidR="00F33AA5" w:rsidRPr="00C034B2">
        <w:t xml:space="preserve">exemptions </w:t>
      </w:r>
      <w:r w:rsidR="004D6346" w:rsidRPr="00C034B2">
        <w:t>for eligible persons</w:t>
      </w:r>
      <w:bookmarkEnd w:id="12"/>
    </w:p>
    <w:p w:rsidR="00EA4489" w:rsidRPr="00C034B2" w:rsidRDefault="009E3344" w:rsidP="00EA4489">
      <w:pPr>
        <w:pStyle w:val="SubsectionHead"/>
      </w:pPr>
      <w:r w:rsidRPr="00C034B2">
        <w:t>R</w:t>
      </w:r>
      <w:r w:rsidR="002F5B1F" w:rsidRPr="00C034B2">
        <w:t>ebate</w:t>
      </w:r>
      <w:r w:rsidRPr="00C034B2">
        <w:t>—fixed fees</w:t>
      </w:r>
    </w:p>
    <w:p w:rsidR="006A4ADC" w:rsidRPr="00C034B2" w:rsidRDefault="00EA4489" w:rsidP="00EA4489">
      <w:pPr>
        <w:pStyle w:val="subsection"/>
      </w:pPr>
      <w:r w:rsidRPr="00C034B2">
        <w:tab/>
        <w:t>(1)</w:t>
      </w:r>
      <w:r w:rsidRPr="00C034B2">
        <w:tab/>
      </w:r>
      <w:r w:rsidR="009E3344" w:rsidRPr="00C034B2">
        <w:t>Despite paragraph</w:t>
      </w:r>
      <w:r w:rsidR="00C034B2" w:rsidRPr="00C034B2">
        <w:t> </w:t>
      </w:r>
      <w:r w:rsidR="00E1037F" w:rsidRPr="00C034B2">
        <w:t>6</w:t>
      </w:r>
      <w:r w:rsidR="009E3344" w:rsidRPr="00C034B2">
        <w:t>(3)(a), i</w:t>
      </w:r>
      <w:r w:rsidR="006A4ADC" w:rsidRPr="00C034B2">
        <w:t>f:</w:t>
      </w:r>
    </w:p>
    <w:p w:rsidR="006A4ADC" w:rsidRPr="00C034B2" w:rsidRDefault="006A4ADC" w:rsidP="006A4ADC">
      <w:pPr>
        <w:pStyle w:val="paragraph"/>
      </w:pPr>
      <w:r w:rsidRPr="00C034B2">
        <w:lastRenderedPageBreak/>
        <w:tab/>
        <w:t>(a)</w:t>
      </w:r>
      <w:r w:rsidRPr="00C034B2">
        <w:tab/>
      </w:r>
      <w:r w:rsidR="00EA4489" w:rsidRPr="00C034B2">
        <w:t>electricity is supplied to</w:t>
      </w:r>
      <w:r w:rsidRPr="00C034B2">
        <w:t xml:space="preserve"> </w:t>
      </w:r>
      <w:r w:rsidR="000E5FF9" w:rsidRPr="00C034B2">
        <w:t xml:space="preserve">a consumer at </w:t>
      </w:r>
      <w:r w:rsidRPr="00C034B2">
        <w:t>premises in the category Residential A2; and</w:t>
      </w:r>
    </w:p>
    <w:p w:rsidR="006A4ADC" w:rsidRPr="00C034B2" w:rsidRDefault="006A4ADC" w:rsidP="006A4ADC">
      <w:pPr>
        <w:pStyle w:val="paragraph"/>
      </w:pPr>
      <w:r w:rsidRPr="00C034B2">
        <w:tab/>
        <w:t>(b)</w:t>
      </w:r>
      <w:r w:rsidRPr="00C034B2">
        <w:tab/>
        <w:t xml:space="preserve">the </w:t>
      </w:r>
      <w:r w:rsidR="005A7A33" w:rsidRPr="00C034B2">
        <w:t xml:space="preserve">consumer </w:t>
      </w:r>
      <w:r w:rsidRPr="00C034B2">
        <w:t>is an eligible person; and</w:t>
      </w:r>
    </w:p>
    <w:p w:rsidR="006A4ADC" w:rsidRPr="00C034B2" w:rsidRDefault="006A4ADC" w:rsidP="006A4ADC">
      <w:pPr>
        <w:pStyle w:val="paragraph"/>
      </w:pPr>
      <w:r w:rsidRPr="00C034B2">
        <w:tab/>
        <w:t>(c)</w:t>
      </w:r>
      <w:r w:rsidRPr="00C034B2">
        <w:tab/>
        <w:t xml:space="preserve">the premises </w:t>
      </w:r>
      <w:r w:rsidR="00F07448" w:rsidRPr="00C034B2">
        <w:t>are</w:t>
      </w:r>
      <w:r w:rsidRPr="00C034B2">
        <w:t xml:space="preserve"> the consumer’s </w:t>
      </w:r>
      <w:r w:rsidR="00EA4489" w:rsidRPr="00C034B2">
        <w:t>principal place of residence</w:t>
      </w:r>
      <w:r w:rsidRPr="00C034B2">
        <w:t>;</w:t>
      </w:r>
    </w:p>
    <w:p w:rsidR="00EA4489" w:rsidRPr="00C034B2" w:rsidRDefault="00EA4489" w:rsidP="009E3344">
      <w:pPr>
        <w:pStyle w:val="subsection2"/>
      </w:pPr>
      <w:r w:rsidRPr="00C034B2">
        <w:t xml:space="preserve">the </w:t>
      </w:r>
      <w:r w:rsidR="006A4ADC" w:rsidRPr="00C034B2">
        <w:t xml:space="preserve">consumer </w:t>
      </w:r>
      <w:r w:rsidRPr="00C034B2">
        <w:t xml:space="preserve">is entitled to a rebate equal to the </w:t>
      </w:r>
      <w:r w:rsidR="006A4ADC" w:rsidRPr="00C034B2">
        <w:t xml:space="preserve">fixed </w:t>
      </w:r>
      <w:r w:rsidRPr="00C034B2">
        <w:t>fee</w:t>
      </w:r>
      <w:r w:rsidR="007429D8" w:rsidRPr="00C034B2">
        <w:t xml:space="preserve"> set out in Schedule</w:t>
      </w:r>
      <w:r w:rsidR="00C034B2" w:rsidRPr="00C034B2">
        <w:t> </w:t>
      </w:r>
      <w:r w:rsidR="007429D8" w:rsidRPr="00C034B2">
        <w:t>1</w:t>
      </w:r>
      <w:r w:rsidRPr="00C034B2">
        <w:t xml:space="preserve"> </w:t>
      </w:r>
      <w:r w:rsidR="000E5FF9" w:rsidRPr="00C034B2">
        <w:t>for the supply of electricity</w:t>
      </w:r>
      <w:r w:rsidR="006A4ADC" w:rsidRPr="00C034B2">
        <w:t xml:space="preserve"> </w:t>
      </w:r>
      <w:r w:rsidR="007429D8" w:rsidRPr="00C034B2">
        <w:t xml:space="preserve">to </w:t>
      </w:r>
      <w:r w:rsidR="0085662D" w:rsidRPr="00C034B2">
        <w:t xml:space="preserve">the consumer at </w:t>
      </w:r>
      <w:r w:rsidR="007429D8" w:rsidRPr="00C034B2">
        <w:t>the premises</w:t>
      </w:r>
      <w:r w:rsidRPr="00C034B2">
        <w:t>.</w:t>
      </w:r>
    </w:p>
    <w:p w:rsidR="009E3344" w:rsidRPr="00C034B2" w:rsidRDefault="009E3344" w:rsidP="009E3344">
      <w:pPr>
        <w:pStyle w:val="SubsectionHead"/>
      </w:pPr>
      <w:r w:rsidRPr="00C034B2">
        <w:t>Rebate—</w:t>
      </w:r>
      <w:r w:rsidR="007429D8" w:rsidRPr="00C034B2">
        <w:t>consumption</w:t>
      </w:r>
      <w:r w:rsidRPr="00C034B2">
        <w:t xml:space="preserve"> fees</w:t>
      </w:r>
    </w:p>
    <w:p w:rsidR="005E3217" w:rsidRPr="00C034B2" w:rsidRDefault="006E201B" w:rsidP="009E3344">
      <w:pPr>
        <w:pStyle w:val="subsection"/>
      </w:pPr>
      <w:r w:rsidRPr="00C034B2">
        <w:tab/>
        <w:t>(2</w:t>
      </w:r>
      <w:r w:rsidR="009E3344" w:rsidRPr="00C034B2">
        <w:t>)</w:t>
      </w:r>
      <w:r w:rsidR="009E3344" w:rsidRPr="00C034B2">
        <w:tab/>
        <w:t>Despite paragraph</w:t>
      </w:r>
      <w:r w:rsidR="00C034B2" w:rsidRPr="00C034B2">
        <w:t> </w:t>
      </w:r>
      <w:r w:rsidR="00E1037F" w:rsidRPr="00C034B2">
        <w:t>6</w:t>
      </w:r>
      <w:r w:rsidR="009E3344" w:rsidRPr="00C034B2">
        <w:t xml:space="preserve">(3)(b), if </w:t>
      </w:r>
      <w:r w:rsidR="004F4CE5" w:rsidRPr="00C034B2">
        <w:t xml:space="preserve">a consumer </w:t>
      </w:r>
      <w:r w:rsidR="009E3344" w:rsidRPr="00C034B2">
        <w:t xml:space="preserve">entitled to a rebate under </w:t>
      </w:r>
      <w:r w:rsidR="00C034B2" w:rsidRPr="00C034B2">
        <w:t>subsection (</w:t>
      </w:r>
      <w:r w:rsidR="009E3344" w:rsidRPr="00C034B2">
        <w:t xml:space="preserve">1) has one or more dependent children, the </w:t>
      </w:r>
      <w:r w:rsidR="004F4CE5" w:rsidRPr="00C034B2">
        <w:t>consumer</w:t>
      </w:r>
      <w:r w:rsidR="009E3344" w:rsidRPr="00C034B2">
        <w:t xml:space="preserve"> is entitled to a rebate in respect of </w:t>
      </w:r>
      <w:r w:rsidR="00DB6C48" w:rsidRPr="00C034B2">
        <w:t xml:space="preserve">the </w:t>
      </w:r>
      <w:r w:rsidR="007429D8" w:rsidRPr="00C034B2">
        <w:t>consumption</w:t>
      </w:r>
      <w:r w:rsidR="00DB6C48" w:rsidRPr="00C034B2">
        <w:t xml:space="preserve"> fee</w:t>
      </w:r>
      <w:r w:rsidR="009E3344" w:rsidRPr="00C034B2">
        <w:t xml:space="preserve"> </w:t>
      </w:r>
      <w:r w:rsidR="007429D8" w:rsidRPr="00C034B2">
        <w:t>set out in Schedule</w:t>
      </w:r>
      <w:r w:rsidR="00C034B2" w:rsidRPr="00C034B2">
        <w:t> </w:t>
      </w:r>
      <w:r w:rsidR="007429D8" w:rsidRPr="00C034B2">
        <w:t xml:space="preserve">2 </w:t>
      </w:r>
      <w:r w:rsidR="009E3344" w:rsidRPr="00C034B2">
        <w:t>for the supply of electricity</w:t>
      </w:r>
      <w:r w:rsidR="004F4CE5" w:rsidRPr="00C034B2">
        <w:t xml:space="preserve"> to </w:t>
      </w:r>
      <w:r w:rsidR="0085662D" w:rsidRPr="00C034B2">
        <w:t xml:space="preserve">the consumer at </w:t>
      </w:r>
      <w:r w:rsidR="004F4CE5" w:rsidRPr="00C034B2">
        <w:t>the premises</w:t>
      </w:r>
      <w:r w:rsidR="009E3344" w:rsidRPr="00C034B2">
        <w:t xml:space="preserve"> </w:t>
      </w:r>
      <w:r w:rsidR="005E3217" w:rsidRPr="00C034B2">
        <w:t xml:space="preserve">in accordance with </w:t>
      </w:r>
      <w:r w:rsidR="00C034B2" w:rsidRPr="00C034B2">
        <w:t>subsections (</w:t>
      </w:r>
      <w:r w:rsidR="00FC0B46" w:rsidRPr="00C034B2">
        <w:t>3</w:t>
      </w:r>
      <w:r w:rsidR="005E3217" w:rsidRPr="00C034B2">
        <w:t>)</w:t>
      </w:r>
      <w:r w:rsidR="00FC0B46" w:rsidRPr="00C034B2">
        <w:t xml:space="preserve"> and (4</w:t>
      </w:r>
      <w:r w:rsidR="007E5512" w:rsidRPr="00C034B2">
        <w:t>)</w:t>
      </w:r>
      <w:r w:rsidR="005E3217" w:rsidRPr="00C034B2">
        <w:t>.</w:t>
      </w:r>
    </w:p>
    <w:p w:rsidR="009E3344" w:rsidRPr="00C034B2" w:rsidRDefault="006E201B" w:rsidP="009E3344">
      <w:pPr>
        <w:pStyle w:val="subsection"/>
      </w:pPr>
      <w:r w:rsidRPr="00C034B2">
        <w:tab/>
        <w:t>(3</w:t>
      </w:r>
      <w:r w:rsidR="005E3217" w:rsidRPr="00C034B2">
        <w:t>)</w:t>
      </w:r>
      <w:r w:rsidR="005E3217" w:rsidRPr="00C034B2">
        <w:tab/>
      </w:r>
      <w:r w:rsidR="00507FD9" w:rsidRPr="00C034B2">
        <w:t>T</w:t>
      </w:r>
      <w:r w:rsidR="005E3217" w:rsidRPr="00C034B2">
        <w:t>he amount of the re</w:t>
      </w:r>
      <w:r w:rsidR="006631DB" w:rsidRPr="00C034B2">
        <w:t>bate</w:t>
      </w:r>
      <w:r w:rsidR="00507FD9" w:rsidRPr="00C034B2">
        <w:t xml:space="preserve"> under </w:t>
      </w:r>
      <w:r w:rsidR="00C034B2" w:rsidRPr="00C034B2">
        <w:t>subsection (</w:t>
      </w:r>
      <w:r w:rsidR="00FC0B46" w:rsidRPr="00C034B2">
        <w:t>2</w:t>
      </w:r>
      <w:r w:rsidR="00507FD9" w:rsidRPr="00C034B2">
        <w:t>)</w:t>
      </w:r>
      <w:r w:rsidR="006631DB" w:rsidRPr="00C034B2">
        <w:t xml:space="preserve"> for a period is worked out by multiplying the number of days in the period by the daily dependent child rebate amount for the person</w:t>
      </w:r>
      <w:r w:rsidR="007E5512" w:rsidRPr="00C034B2">
        <w:t>.</w:t>
      </w:r>
    </w:p>
    <w:p w:rsidR="009E3344" w:rsidRPr="00C034B2" w:rsidRDefault="006E201B" w:rsidP="009E3344">
      <w:pPr>
        <w:pStyle w:val="subsection"/>
      </w:pPr>
      <w:r w:rsidRPr="00C034B2">
        <w:tab/>
        <w:t>(4</w:t>
      </w:r>
      <w:r w:rsidR="009E3344" w:rsidRPr="00C034B2">
        <w:t>)</w:t>
      </w:r>
      <w:r w:rsidR="009E3344" w:rsidRPr="00C034B2">
        <w:tab/>
      </w:r>
      <w:r w:rsidR="007429D8" w:rsidRPr="00C034B2">
        <w:t>However, a</w:t>
      </w:r>
      <w:r w:rsidR="005A5946" w:rsidRPr="00C034B2">
        <w:t xml:space="preserve">n entitlement to a rebate under </w:t>
      </w:r>
      <w:r w:rsidR="00C034B2" w:rsidRPr="00C034B2">
        <w:t>subsection (</w:t>
      </w:r>
      <w:r w:rsidR="00FC0B46" w:rsidRPr="00C034B2">
        <w:t>2</w:t>
      </w:r>
      <w:r w:rsidR="007B3AE5" w:rsidRPr="00C034B2">
        <w:t>)</w:t>
      </w:r>
      <w:r w:rsidR="007E5512" w:rsidRPr="00C034B2">
        <w:t xml:space="preserve"> for a period</w:t>
      </w:r>
      <w:r w:rsidR="007B3AE5" w:rsidRPr="00C034B2">
        <w:t xml:space="preserve"> </w:t>
      </w:r>
      <w:r w:rsidR="005A5946" w:rsidRPr="00C034B2">
        <w:t xml:space="preserve">is limited to the amount </w:t>
      </w:r>
      <w:r w:rsidR="005E3217" w:rsidRPr="00C034B2">
        <w:t xml:space="preserve">of the </w:t>
      </w:r>
      <w:r w:rsidR="00932A1B" w:rsidRPr="00C034B2">
        <w:t>consumption</w:t>
      </w:r>
      <w:r w:rsidR="005E3217" w:rsidRPr="00C034B2">
        <w:t xml:space="preserve"> fee</w:t>
      </w:r>
      <w:r w:rsidR="007E5512" w:rsidRPr="00C034B2">
        <w:t xml:space="preserve"> for the period</w:t>
      </w:r>
      <w:r w:rsidR="009E3344" w:rsidRPr="00C034B2">
        <w:t>.</w:t>
      </w:r>
    </w:p>
    <w:p w:rsidR="002F5B1F" w:rsidRPr="00C034B2" w:rsidRDefault="002F5B1F" w:rsidP="002F5B1F">
      <w:pPr>
        <w:pStyle w:val="SubsectionHead"/>
      </w:pPr>
      <w:r w:rsidRPr="00C034B2">
        <w:t>Exemption</w:t>
      </w:r>
      <w:r w:rsidR="009E3344" w:rsidRPr="00C034B2">
        <w:t>—</w:t>
      </w:r>
      <w:r w:rsidRPr="00C034B2">
        <w:t>account establishment fee</w:t>
      </w:r>
    </w:p>
    <w:p w:rsidR="00EA4489" w:rsidRPr="00C034B2" w:rsidRDefault="00EA4489" w:rsidP="00AA60C4">
      <w:pPr>
        <w:pStyle w:val="subsection"/>
      </w:pPr>
      <w:r w:rsidRPr="00C034B2">
        <w:tab/>
        <w:t>(</w:t>
      </w:r>
      <w:r w:rsidR="006E201B" w:rsidRPr="00C034B2">
        <w:t>5</w:t>
      </w:r>
      <w:r w:rsidRPr="00C034B2">
        <w:t>)</w:t>
      </w:r>
      <w:r w:rsidRPr="00C034B2">
        <w:tab/>
      </w:r>
      <w:r w:rsidR="002F5B1F" w:rsidRPr="00C034B2">
        <w:t>Despite paragraph</w:t>
      </w:r>
      <w:r w:rsidR="00C034B2" w:rsidRPr="00C034B2">
        <w:t> </w:t>
      </w:r>
      <w:r w:rsidR="00E1037F" w:rsidRPr="00C034B2">
        <w:t>6</w:t>
      </w:r>
      <w:r w:rsidR="002F5B1F" w:rsidRPr="00C034B2">
        <w:t>(3)(c)</w:t>
      </w:r>
      <w:r w:rsidR="00F07448" w:rsidRPr="00C034B2">
        <w:t xml:space="preserve"> and subsection</w:t>
      </w:r>
      <w:r w:rsidR="00C034B2" w:rsidRPr="00C034B2">
        <w:t> </w:t>
      </w:r>
      <w:r w:rsidR="00E1037F" w:rsidRPr="00C034B2">
        <w:t>6</w:t>
      </w:r>
      <w:r w:rsidR="00F07448" w:rsidRPr="00C034B2">
        <w:t>(7)</w:t>
      </w:r>
      <w:r w:rsidR="002F5B1F" w:rsidRPr="00C034B2">
        <w:t>, a</w:t>
      </w:r>
      <w:r w:rsidR="004F4CE5" w:rsidRPr="00C034B2">
        <w:t xml:space="preserve"> consumer </w:t>
      </w:r>
      <w:r w:rsidRPr="00C034B2">
        <w:t xml:space="preserve">entitled to a rebate under </w:t>
      </w:r>
      <w:r w:rsidR="00C034B2" w:rsidRPr="00C034B2">
        <w:t>subsection (</w:t>
      </w:r>
      <w:r w:rsidR="002F5B1F" w:rsidRPr="00C034B2">
        <w:t xml:space="preserve">1) is not required to pay </w:t>
      </w:r>
      <w:r w:rsidRPr="00C034B2">
        <w:t xml:space="preserve">the fee </w:t>
      </w:r>
      <w:r w:rsidR="00AA60C4" w:rsidRPr="00C034B2">
        <w:t xml:space="preserve">mentioned </w:t>
      </w:r>
      <w:r w:rsidRPr="00C034B2">
        <w:t>in</w:t>
      </w:r>
      <w:r w:rsidR="00AA60C4" w:rsidRPr="00C034B2">
        <w:t xml:space="preserve"> item</w:t>
      </w:r>
      <w:r w:rsidR="00C034B2" w:rsidRPr="00C034B2">
        <w:t> </w:t>
      </w:r>
      <w:r w:rsidR="00AA60C4" w:rsidRPr="00C034B2">
        <w:t>1 of</w:t>
      </w:r>
      <w:r w:rsidRPr="00C034B2">
        <w:t xml:space="preserve"> </w:t>
      </w:r>
      <w:r w:rsidR="005E6E69" w:rsidRPr="00C034B2">
        <w:t>the table in clause</w:t>
      </w:r>
      <w:r w:rsidR="00C034B2" w:rsidRPr="00C034B2">
        <w:t> </w:t>
      </w:r>
      <w:r w:rsidR="005E6E69" w:rsidRPr="00C034B2">
        <w:t xml:space="preserve">1 </w:t>
      </w:r>
      <w:r w:rsidRPr="00C034B2">
        <w:t>Schedule</w:t>
      </w:r>
      <w:r w:rsidR="00C034B2" w:rsidRPr="00C034B2">
        <w:t> </w:t>
      </w:r>
      <w:r w:rsidR="00AA60C4" w:rsidRPr="00C034B2">
        <w:t>3.</w:t>
      </w:r>
    </w:p>
    <w:p w:rsidR="00EA4489" w:rsidRPr="00C034B2" w:rsidRDefault="00E1037F" w:rsidP="00EA4489">
      <w:pPr>
        <w:pStyle w:val="ActHead5"/>
      </w:pPr>
      <w:bookmarkStart w:id="13" w:name="_Toc462848269"/>
      <w:r w:rsidRPr="00C034B2">
        <w:rPr>
          <w:rStyle w:val="CharSectno"/>
        </w:rPr>
        <w:t>8</w:t>
      </w:r>
      <w:r w:rsidR="00EA4489" w:rsidRPr="00C034B2">
        <w:t xml:space="preserve">  Payment of fees</w:t>
      </w:r>
      <w:bookmarkEnd w:id="13"/>
    </w:p>
    <w:p w:rsidR="00EA4489" w:rsidRPr="00C034B2" w:rsidRDefault="00EA4489" w:rsidP="00EA4489">
      <w:pPr>
        <w:pStyle w:val="subsection"/>
      </w:pPr>
      <w:r w:rsidRPr="00C034B2">
        <w:tab/>
      </w:r>
      <w:r w:rsidRPr="00C034B2">
        <w:tab/>
        <w:t>Subject to section</w:t>
      </w:r>
      <w:r w:rsidR="00C034B2" w:rsidRPr="00C034B2">
        <w:t> </w:t>
      </w:r>
      <w:r w:rsidR="00E1037F" w:rsidRPr="00C034B2">
        <w:t>10</w:t>
      </w:r>
      <w:r w:rsidRPr="00C034B2">
        <w:t xml:space="preserve">, a fee that applies to </w:t>
      </w:r>
      <w:r w:rsidR="001E1A2D" w:rsidRPr="00C034B2">
        <w:t xml:space="preserve">a consumer </w:t>
      </w:r>
      <w:r w:rsidRPr="00C034B2">
        <w:t xml:space="preserve">in accordance with this instrument is due for payment on or before the day specified in a notice </w:t>
      </w:r>
      <w:r w:rsidR="00841D1F" w:rsidRPr="00C034B2">
        <w:t xml:space="preserve">sent to the consumer </w:t>
      </w:r>
      <w:r w:rsidRPr="00C034B2">
        <w:t>under subsection</w:t>
      </w:r>
      <w:r w:rsidR="00C034B2" w:rsidRPr="00C034B2">
        <w:t> </w:t>
      </w:r>
      <w:r w:rsidR="00E1037F" w:rsidRPr="00C034B2">
        <w:t>6</w:t>
      </w:r>
      <w:r w:rsidR="006A33A5" w:rsidRPr="00C034B2">
        <w:t>(4</w:t>
      </w:r>
      <w:r w:rsidRPr="00C034B2">
        <w:t>).</w:t>
      </w:r>
    </w:p>
    <w:p w:rsidR="00EA4489" w:rsidRPr="00C034B2" w:rsidRDefault="00E1037F" w:rsidP="00EA4489">
      <w:pPr>
        <w:pStyle w:val="ActHead5"/>
      </w:pPr>
      <w:bookmarkStart w:id="14" w:name="_Toc462848270"/>
      <w:r w:rsidRPr="00C034B2">
        <w:rPr>
          <w:rStyle w:val="CharSectno"/>
        </w:rPr>
        <w:t>9</w:t>
      </w:r>
      <w:r w:rsidR="00EA4489" w:rsidRPr="00C034B2">
        <w:t xml:space="preserve">  When a fee is not paid</w:t>
      </w:r>
      <w:bookmarkEnd w:id="14"/>
    </w:p>
    <w:p w:rsidR="00EA4489" w:rsidRPr="00C034B2" w:rsidRDefault="00EA4489" w:rsidP="00EA4489">
      <w:pPr>
        <w:pStyle w:val="subsection"/>
      </w:pPr>
      <w:r w:rsidRPr="00C034B2">
        <w:tab/>
        <w:t>(1)</w:t>
      </w:r>
      <w:r w:rsidRPr="00C034B2">
        <w:tab/>
        <w:t>This section applies if:</w:t>
      </w:r>
    </w:p>
    <w:p w:rsidR="00EA4489" w:rsidRPr="00C034B2" w:rsidRDefault="00EA4489" w:rsidP="00EA4489">
      <w:pPr>
        <w:pStyle w:val="paragraph"/>
      </w:pPr>
      <w:r w:rsidRPr="00C034B2">
        <w:tab/>
        <w:t>(a)</w:t>
      </w:r>
      <w:r w:rsidRPr="00C034B2">
        <w:tab/>
        <w:t>a</w:t>
      </w:r>
      <w:r w:rsidR="000E5FF9" w:rsidRPr="00C034B2">
        <w:t xml:space="preserve"> consumer</w:t>
      </w:r>
      <w:r w:rsidR="001E1A2D" w:rsidRPr="00C034B2">
        <w:t xml:space="preserve"> </w:t>
      </w:r>
      <w:r w:rsidRPr="00C034B2">
        <w:t>has not paid a fee for the supply of electricity</w:t>
      </w:r>
      <w:r w:rsidR="0085662D" w:rsidRPr="00C034B2">
        <w:t xml:space="preserve"> to the consumer</w:t>
      </w:r>
      <w:r w:rsidR="009B29A6" w:rsidRPr="00C034B2">
        <w:t xml:space="preserve"> at premises</w:t>
      </w:r>
      <w:r w:rsidR="0036112D" w:rsidRPr="00C034B2">
        <w:t>,</w:t>
      </w:r>
      <w:r w:rsidR="003B2124" w:rsidRPr="00C034B2">
        <w:t xml:space="preserve"> or</w:t>
      </w:r>
      <w:r w:rsidR="0036112D" w:rsidRPr="00C034B2">
        <w:t xml:space="preserve"> for</w:t>
      </w:r>
      <w:r w:rsidR="003B2124" w:rsidRPr="00C034B2">
        <w:t xml:space="preserve"> the supply of services related to the supply of electricity to the consumer at premises</w:t>
      </w:r>
      <w:r w:rsidRPr="00C034B2">
        <w:t>, in accordance with a notice</w:t>
      </w:r>
      <w:r w:rsidR="00841D1F" w:rsidRPr="00C034B2">
        <w:t xml:space="preserve"> sent to the consumer</w:t>
      </w:r>
      <w:r w:rsidRPr="00C034B2">
        <w:t xml:space="preserve"> under subsection</w:t>
      </w:r>
      <w:r w:rsidR="00C034B2" w:rsidRPr="00C034B2">
        <w:t> </w:t>
      </w:r>
      <w:r w:rsidR="00E1037F" w:rsidRPr="00C034B2">
        <w:t>6</w:t>
      </w:r>
      <w:r w:rsidRPr="00C034B2">
        <w:t>(</w:t>
      </w:r>
      <w:r w:rsidR="006A33A5" w:rsidRPr="00C034B2">
        <w:t>4</w:t>
      </w:r>
      <w:r w:rsidRPr="00C034B2">
        <w:t>); and</w:t>
      </w:r>
    </w:p>
    <w:p w:rsidR="006A33A5" w:rsidRPr="00C034B2" w:rsidRDefault="006A33A5" w:rsidP="006A33A5">
      <w:pPr>
        <w:pStyle w:val="paragraph"/>
      </w:pPr>
      <w:r w:rsidRPr="00C034B2">
        <w:tab/>
        <w:t>(b)</w:t>
      </w:r>
      <w:r w:rsidRPr="00C034B2">
        <w:tab/>
        <w:t xml:space="preserve">at least </w:t>
      </w:r>
      <w:r w:rsidR="00C45D07" w:rsidRPr="00C034B2">
        <w:t>5</w:t>
      </w:r>
      <w:r w:rsidRPr="00C034B2">
        <w:t xml:space="preserve"> </w:t>
      </w:r>
      <w:r w:rsidR="00183428" w:rsidRPr="00C034B2">
        <w:t xml:space="preserve">business </w:t>
      </w:r>
      <w:r w:rsidRPr="00C034B2">
        <w:t>days have elapsed after the day specified in the notice as the day by which the fee must be paid; and</w:t>
      </w:r>
    </w:p>
    <w:p w:rsidR="00EA4489" w:rsidRPr="00C034B2" w:rsidRDefault="00EA4489" w:rsidP="00EA4489">
      <w:pPr>
        <w:pStyle w:val="paragraph"/>
      </w:pPr>
      <w:r w:rsidRPr="00C034B2">
        <w:tab/>
        <w:t>(</w:t>
      </w:r>
      <w:r w:rsidR="006A33A5" w:rsidRPr="00C034B2">
        <w:t>c</w:t>
      </w:r>
      <w:r w:rsidRPr="00C034B2">
        <w:t>)</w:t>
      </w:r>
      <w:r w:rsidRPr="00C034B2">
        <w:tab/>
        <w:t>a special payment arrangement under section</w:t>
      </w:r>
      <w:r w:rsidR="00C034B2" w:rsidRPr="00C034B2">
        <w:t> </w:t>
      </w:r>
      <w:r w:rsidR="00E1037F" w:rsidRPr="00C034B2">
        <w:t>10</w:t>
      </w:r>
      <w:r w:rsidRPr="00C034B2">
        <w:t xml:space="preserve"> is not in force between the Administrator and the </w:t>
      </w:r>
      <w:r w:rsidR="001E1A2D" w:rsidRPr="00C034B2">
        <w:t xml:space="preserve">consumer </w:t>
      </w:r>
      <w:r w:rsidR="006A33A5" w:rsidRPr="00C034B2">
        <w:t>in relation to the fee; and</w:t>
      </w:r>
    </w:p>
    <w:p w:rsidR="006A33A5" w:rsidRPr="00C034B2" w:rsidRDefault="006A33A5" w:rsidP="00EA4489">
      <w:pPr>
        <w:pStyle w:val="paragraph"/>
      </w:pPr>
      <w:r w:rsidRPr="00C034B2">
        <w:tab/>
        <w:t>(d)</w:t>
      </w:r>
      <w:r w:rsidRPr="00C034B2">
        <w:tab/>
      </w:r>
      <w:r w:rsidR="00652DF1" w:rsidRPr="00C034B2">
        <w:t xml:space="preserve">the Administrator is not aware that a </w:t>
      </w:r>
      <w:r w:rsidR="008A4A0A" w:rsidRPr="00C034B2">
        <w:t xml:space="preserve">person residing at the </w:t>
      </w:r>
      <w:r w:rsidR="009B29A6" w:rsidRPr="00C034B2">
        <w:t xml:space="preserve">premises </w:t>
      </w:r>
      <w:r w:rsidR="008A4A0A" w:rsidRPr="00C034B2">
        <w:t>is dependent on life support equipment</w:t>
      </w:r>
      <w:r w:rsidRPr="00C034B2">
        <w:t>.</w:t>
      </w:r>
    </w:p>
    <w:p w:rsidR="006A33A5" w:rsidRPr="00C034B2" w:rsidRDefault="000F08BE" w:rsidP="006A33A5">
      <w:pPr>
        <w:pStyle w:val="subsection"/>
      </w:pPr>
      <w:r w:rsidRPr="00C034B2">
        <w:tab/>
        <w:t>(2)</w:t>
      </w:r>
      <w:r w:rsidRPr="00C034B2">
        <w:tab/>
        <w:t>The Administrator must send</w:t>
      </w:r>
      <w:r w:rsidR="006A33A5" w:rsidRPr="00C034B2">
        <w:t xml:space="preserve"> a </w:t>
      </w:r>
      <w:r w:rsidRPr="00C034B2">
        <w:t xml:space="preserve">written </w:t>
      </w:r>
      <w:r w:rsidR="006A33A5" w:rsidRPr="00C034B2">
        <w:t>notice</w:t>
      </w:r>
      <w:r w:rsidR="004C7591" w:rsidRPr="00C034B2">
        <w:t xml:space="preserve"> (the </w:t>
      </w:r>
      <w:r w:rsidR="004C7591" w:rsidRPr="00C034B2">
        <w:rPr>
          <w:b/>
          <w:i/>
        </w:rPr>
        <w:t>reminder notice</w:t>
      </w:r>
      <w:r w:rsidR="004C7591" w:rsidRPr="00C034B2">
        <w:t>)</w:t>
      </w:r>
      <w:r w:rsidR="006A33A5" w:rsidRPr="00C034B2">
        <w:t xml:space="preserve"> to the </w:t>
      </w:r>
      <w:r w:rsidR="000E5FF9" w:rsidRPr="00C034B2">
        <w:t>consumer</w:t>
      </w:r>
      <w:r w:rsidRPr="00C034B2">
        <w:t xml:space="preserve"> in relation to the fee.</w:t>
      </w:r>
    </w:p>
    <w:p w:rsidR="000F08BE" w:rsidRPr="00C034B2" w:rsidRDefault="000F08BE" w:rsidP="006A33A5">
      <w:pPr>
        <w:pStyle w:val="subsection"/>
      </w:pPr>
      <w:r w:rsidRPr="00C034B2">
        <w:lastRenderedPageBreak/>
        <w:tab/>
        <w:t>(3)</w:t>
      </w:r>
      <w:r w:rsidRPr="00C034B2">
        <w:tab/>
      </w:r>
      <w:r w:rsidR="004512D1" w:rsidRPr="00C034B2">
        <w:t>The</w:t>
      </w:r>
      <w:r w:rsidRPr="00C034B2">
        <w:t xml:space="preserve"> reminder notice must </w:t>
      </w:r>
      <w:r w:rsidR="004C7591" w:rsidRPr="00C034B2">
        <w:t xml:space="preserve">state </w:t>
      </w:r>
      <w:r w:rsidRPr="00C034B2">
        <w:t>that the fee has not been paid and that special payment arrangements can be made under section</w:t>
      </w:r>
      <w:r w:rsidR="00C034B2" w:rsidRPr="00C034B2">
        <w:t> </w:t>
      </w:r>
      <w:r w:rsidR="00E1037F" w:rsidRPr="00C034B2">
        <w:t>10</w:t>
      </w:r>
      <w:r w:rsidRPr="00C034B2">
        <w:t xml:space="preserve"> if the consumer is experiencing difficulties in paying the fee.</w:t>
      </w:r>
    </w:p>
    <w:p w:rsidR="006A33A5" w:rsidRPr="00C034B2" w:rsidRDefault="00AE5B35" w:rsidP="006A33A5">
      <w:pPr>
        <w:pStyle w:val="subsection"/>
      </w:pPr>
      <w:r w:rsidRPr="00C034B2">
        <w:tab/>
        <w:t>(4</w:t>
      </w:r>
      <w:r w:rsidR="006A33A5" w:rsidRPr="00C034B2">
        <w:t>)</w:t>
      </w:r>
      <w:r w:rsidR="006A33A5" w:rsidRPr="00C034B2">
        <w:tab/>
        <w:t xml:space="preserve">If the fee is not paid within </w:t>
      </w:r>
      <w:r w:rsidR="00C45D07" w:rsidRPr="00C034B2">
        <w:t>10</w:t>
      </w:r>
      <w:r w:rsidR="006A33A5" w:rsidRPr="00C034B2">
        <w:t xml:space="preserve"> </w:t>
      </w:r>
      <w:r w:rsidR="00183428" w:rsidRPr="00C034B2">
        <w:t>business</w:t>
      </w:r>
      <w:r w:rsidR="00183428" w:rsidRPr="00C034B2">
        <w:rPr>
          <w:i/>
        </w:rPr>
        <w:t xml:space="preserve"> </w:t>
      </w:r>
      <w:r w:rsidR="006A33A5" w:rsidRPr="00C034B2">
        <w:t xml:space="preserve">days of the date of the reminder notice, the Administrator may send the </w:t>
      </w:r>
      <w:r w:rsidR="000E5FF9" w:rsidRPr="00C034B2">
        <w:t xml:space="preserve">consumer </w:t>
      </w:r>
      <w:r w:rsidR="006A33A5" w:rsidRPr="00C034B2">
        <w:t xml:space="preserve">a </w:t>
      </w:r>
      <w:r w:rsidR="004512D1" w:rsidRPr="00C034B2">
        <w:t>written warning (the</w:t>
      </w:r>
      <w:r w:rsidR="004512D1" w:rsidRPr="00C034B2">
        <w:rPr>
          <w:i/>
        </w:rPr>
        <w:t xml:space="preserve"> </w:t>
      </w:r>
      <w:r w:rsidR="006A33A5" w:rsidRPr="00C034B2">
        <w:rPr>
          <w:b/>
          <w:i/>
        </w:rPr>
        <w:t>disconnect</w:t>
      </w:r>
      <w:r w:rsidR="004512D1" w:rsidRPr="00C034B2">
        <w:rPr>
          <w:b/>
          <w:i/>
        </w:rPr>
        <w:t>ion warning</w:t>
      </w:r>
      <w:r w:rsidR="00FF7707" w:rsidRPr="00C034B2">
        <w:t>)</w:t>
      </w:r>
      <w:r w:rsidR="006A33A5" w:rsidRPr="00C034B2">
        <w:t>.</w:t>
      </w:r>
    </w:p>
    <w:p w:rsidR="006A33A5" w:rsidRPr="00C034B2" w:rsidRDefault="00AE5B35" w:rsidP="006A33A5">
      <w:pPr>
        <w:pStyle w:val="subsection"/>
      </w:pPr>
      <w:r w:rsidRPr="00C034B2">
        <w:tab/>
        <w:t>(5</w:t>
      </w:r>
      <w:r w:rsidR="006A33A5" w:rsidRPr="00C034B2">
        <w:t>)</w:t>
      </w:r>
      <w:r w:rsidR="006A33A5" w:rsidRPr="00C034B2">
        <w:tab/>
        <w:t xml:space="preserve">The </w:t>
      </w:r>
      <w:r w:rsidR="004512D1" w:rsidRPr="00C034B2">
        <w:t>disconnection warning</w:t>
      </w:r>
      <w:r w:rsidR="002438C7" w:rsidRPr="00C034B2">
        <w:rPr>
          <w:i/>
        </w:rPr>
        <w:t xml:space="preserve"> </w:t>
      </w:r>
      <w:r w:rsidR="006A33A5" w:rsidRPr="00C034B2">
        <w:t xml:space="preserve">must </w:t>
      </w:r>
      <w:r w:rsidR="004C7591" w:rsidRPr="00C034B2">
        <w:t xml:space="preserve">state </w:t>
      </w:r>
      <w:r w:rsidR="006A33A5" w:rsidRPr="00C034B2">
        <w:t>that</w:t>
      </w:r>
      <w:r w:rsidR="00181702" w:rsidRPr="00C034B2">
        <w:t xml:space="preserve"> action may be taken to disconnect the supply of electricity to the premises</w:t>
      </w:r>
      <w:r w:rsidR="006A33A5" w:rsidRPr="00C034B2">
        <w:t xml:space="preserve"> unless</w:t>
      </w:r>
      <w:r w:rsidR="00181702" w:rsidRPr="00C034B2">
        <w:t xml:space="preserve"> the following are</w:t>
      </w:r>
      <w:r w:rsidR="006A33A5" w:rsidRPr="00C034B2">
        <w:t xml:space="preserve"> paid within the period </w:t>
      </w:r>
      <w:r w:rsidR="004C7591" w:rsidRPr="00C034B2">
        <w:t>specified</w:t>
      </w:r>
      <w:r w:rsidR="006A33A5" w:rsidRPr="00C034B2">
        <w:t xml:space="preserve"> in the </w:t>
      </w:r>
      <w:r w:rsidR="00E53F98" w:rsidRPr="00C034B2">
        <w:t>disconnection warning</w:t>
      </w:r>
      <w:r w:rsidR="00181702" w:rsidRPr="00C034B2">
        <w:t>:</w:t>
      </w:r>
    </w:p>
    <w:p w:rsidR="00181702" w:rsidRPr="00C034B2" w:rsidRDefault="00181702" w:rsidP="00181702">
      <w:pPr>
        <w:pStyle w:val="paragraph"/>
      </w:pPr>
      <w:r w:rsidRPr="00C034B2">
        <w:tab/>
        <w:t>(a)</w:t>
      </w:r>
      <w:r w:rsidRPr="00C034B2">
        <w:tab/>
        <w:t>the fee</w:t>
      </w:r>
      <w:r w:rsidR="00F47E0B" w:rsidRPr="00C034B2">
        <w:t>;</w:t>
      </w:r>
    </w:p>
    <w:p w:rsidR="00181702" w:rsidRPr="00C034B2" w:rsidRDefault="00181702" w:rsidP="00181702">
      <w:pPr>
        <w:pStyle w:val="paragraph"/>
        <w:rPr>
          <w:b/>
        </w:rPr>
      </w:pPr>
      <w:r w:rsidRPr="00C034B2">
        <w:tab/>
        <w:t>(b)</w:t>
      </w:r>
      <w:r w:rsidRPr="00C034B2">
        <w:tab/>
        <w:t xml:space="preserve">if the Administrator charges a fee for the </w:t>
      </w:r>
      <w:r w:rsidR="00E53F98" w:rsidRPr="00C034B2">
        <w:t>disconnection warning</w:t>
      </w:r>
      <w:r w:rsidRPr="00C034B2">
        <w:t>—that fee.</w:t>
      </w:r>
    </w:p>
    <w:p w:rsidR="006A33A5" w:rsidRPr="00C034B2" w:rsidRDefault="00AE5B35" w:rsidP="006A33A5">
      <w:pPr>
        <w:pStyle w:val="subsection"/>
      </w:pPr>
      <w:r w:rsidRPr="00C034B2">
        <w:tab/>
        <w:t>(6</w:t>
      </w:r>
      <w:r w:rsidR="006A33A5" w:rsidRPr="00C034B2">
        <w:t>)</w:t>
      </w:r>
      <w:r w:rsidR="006A33A5" w:rsidRPr="00C034B2">
        <w:tab/>
        <w:t xml:space="preserve">The period </w:t>
      </w:r>
      <w:r w:rsidR="004C7591" w:rsidRPr="00C034B2">
        <w:t>specified</w:t>
      </w:r>
      <w:r w:rsidR="0009654A" w:rsidRPr="00C034B2">
        <w:t xml:space="preserve"> in the </w:t>
      </w:r>
      <w:r w:rsidR="00E53F98" w:rsidRPr="00C034B2">
        <w:t>disconnection warning</w:t>
      </w:r>
      <w:r w:rsidR="00E53F98" w:rsidRPr="00C034B2">
        <w:rPr>
          <w:i/>
        </w:rPr>
        <w:t xml:space="preserve"> </w:t>
      </w:r>
      <w:r w:rsidR="004512D1" w:rsidRPr="00C034B2">
        <w:t>must not be less than 5</w:t>
      </w:r>
      <w:r w:rsidR="006A33A5" w:rsidRPr="00C034B2">
        <w:t xml:space="preserve"> </w:t>
      </w:r>
      <w:r w:rsidR="00183428" w:rsidRPr="00C034B2">
        <w:t>business</w:t>
      </w:r>
      <w:r w:rsidR="00183428" w:rsidRPr="00C034B2">
        <w:rPr>
          <w:i/>
        </w:rPr>
        <w:t xml:space="preserve"> </w:t>
      </w:r>
      <w:r w:rsidR="006A33A5" w:rsidRPr="00C034B2">
        <w:t>days.</w:t>
      </w:r>
    </w:p>
    <w:p w:rsidR="006A33A5" w:rsidRPr="00C034B2" w:rsidRDefault="00AE5B35" w:rsidP="006A33A5">
      <w:pPr>
        <w:pStyle w:val="subsection"/>
      </w:pPr>
      <w:r w:rsidRPr="00C034B2">
        <w:tab/>
        <w:t>(7</w:t>
      </w:r>
      <w:r w:rsidR="006A33A5" w:rsidRPr="00C034B2">
        <w:t>)</w:t>
      </w:r>
      <w:r w:rsidR="006A33A5" w:rsidRPr="00C034B2">
        <w:tab/>
        <w:t xml:space="preserve">If the </w:t>
      </w:r>
      <w:r w:rsidR="000E5FF9" w:rsidRPr="00C034B2">
        <w:t xml:space="preserve">consumer </w:t>
      </w:r>
      <w:r w:rsidR="006A33A5" w:rsidRPr="00C034B2">
        <w:t xml:space="preserve">does not pay the fee within the period </w:t>
      </w:r>
      <w:r w:rsidR="0008465A" w:rsidRPr="00C034B2">
        <w:t>specified</w:t>
      </w:r>
      <w:r w:rsidR="006A33A5" w:rsidRPr="00C034B2">
        <w:t xml:space="preserve"> in the </w:t>
      </w:r>
      <w:r w:rsidR="00E53F98" w:rsidRPr="00C034B2">
        <w:t>disconnection warning</w:t>
      </w:r>
      <w:r w:rsidR="006A33A5" w:rsidRPr="00C034B2">
        <w:t xml:space="preserve">, the Administrator may disconnect the supply of electricity to the </w:t>
      </w:r>
      <w:r w:rsidR="000E5FF9" w:rsidRPr="00C034B2">
        <w:t>premises</w:t>
      </w:r>
      <w:r w:rsidR="006A33A5" w:rsidRPr="00C034B2">
        <w:t xml:space="preserve"> until:</w:t>
      </w:r>
    </w:p>
    <w:p w:rsidR="006A33A5" w:rsidRPr="00C034B2" w:rsidRDefault="006A33A5" w:rsidP="006A33A5">
      <w:pPr>
        <w:pStyle w:val="paragraph"/>
      </w:pPr>
      <w:r w:rsidRPr="00C034B2">
        <w:tab/>
        <w:t>(a)</w:t>
      </w:r>
      <w:r w:rsidRPr="00C034B2">
        <w:tab/>
        <w:t xml:space="preserve">the </w:t>
      </w:r>
      <w:r w:rsidR="000E5FF9" w:rsidRPr="00C034B2">
        <w:t xml:space="preserve">consumer </w:t>
      </w:r>
      <w:r w:rsidRPr="00C034B2">
        <w:t>has paid:</w:t>
      </w:r>
    </w:p>
    <w:p w:rsidR="006A33A5" w:rsidRPr="00C034B2" w:rsidRDefault="006A33A5" w:rsidP="006A33A5">
      <w:pPr>
        <w:pStyle w:val="paragraphsub"/>
      </w:pPr>
      <w:r w:rsidRPr="00C034B2">
        <w:tab/>
        <w:t>(</w:t>
      </w:r>
      <w:proofErr w:type="spellStart"/>
      <w:r w:rsidRPr="00C034B2">
        <w:t>i</w:t>
      </w:r>
      <w:proofErr w:type="spellEnd"/>
      <w:r w:rsidRPr="00C034B2">
        <w:t>)</w:t>
      </w:r>
      <w:r w:rsidRPr="00C034B2">
        <w:tab/>
        <w:t>the fee; and</w:t>
      </w:r>
    </w:p>
    <w:p w:rsidR="00C45D07" w:rsidRPr="00C034B2" w:rsidRDefault="00C45D07" w:rsidP="00C45D07">
      <w:pPr>
        <w:pStyle w:val="paragraphsub"/>
      </w:pPr>
      <w:r w:rsidRPr="00C034B2">
        <w:tab/>
        <w:t>(ii)</w:t>
      </w:r>
      <w:r w:rsidRPr="00C034B2">
        <w:tab/>
        <w:t xml:space="preserve">if the Administrator charges a fee for the </w:t>
      </w:r>
      <w:r w:rsidR="00E53F98" w:rsidRPr="00C034B2">
        <w:t>disconnection warning</w:t>
      </w:r>
      <w:r w:rsidRPr="00C034B2">
        <w:t>—that fee; and</w:t>
      </w:r>
    </w:p>
    <w:p w:rsidR="006A33A5" w:rsidRPr="00C034B2" w:rsidRDefault="006A33A5" w:rsidP="006A33A5">
      <w:pPr>
        <w:pStyle w:val="paragraphsub"/>
      </w:pPr>
      <w:r w:rsidRPr="00C034B2">
        <w:tab/>
        <w:t>(i</w:t>
      </w:r>
      <w:r w:rsidR="00C45D07" w:rsidRPr="00C034B2">
        <w:t>i</w:t>
      </w:r>
      <w:r w:rsidRPr="00C034B2">
        <w:t>i)</w:t>
      </w:r>
      <w:r w:rsidRPr="00C034B2">
        <w:tab/>
        <w:t xml:space="preserve">if the Administrator charges a fee for reconnecting the supply of electricity to the </w:t>
      </w:r>
      <w:r w:rsidR="000E5FF9" w:rsidRPr="00C034B2">
        <w:t>premises</w:t>
      </w:r>
      <w:r w:rsidRPr="00C034B2">
        <w:t xml:space="preserve"> after the disconnection—that fee; or</w:t>
      </w:r>
    </w:p>
    <w:p w:rsidR="006A33A5" w:rsidRPr="00C034B2" w:rsidRDefault="006A33A5" w:rsidP="006A33A5">
      <w:pPr>
        <w:pStyle w:val="paragraph"/>
      </w:pPr>
      <w:r w:rsidRPr="00C034B2">
        <w:tab/>
        <w:t>(b)</w:t>
      </w:r>
      <w:r w:rsidRPr="00C034B2">
        <w:tab/>
        <w:t>a special payment arrangement under section</w:t>
      </w:r>
      <w:r w:rsidR="00C034B2" w:rsidRPr="00C034B2">
        <w:t> </w:t>
      </w:r>
      <w:r w:rsidR="00E1037F" w:rsidRPr="00C034B2">
        <w:t>10</w:t>
      </w:r>
      <w:r w:rsidRPr="00C034B2">
        <w:t xml:space="preserve"> is in force between the Administrator and the </w:t>
      </w:r>
      <w:r w:rsidR="000E5FF9" w:rsidRPr="00C034B2">
        <w:t xml:space="preserve">consumer </w:t>
      </w:r>
      <w:r w:rsidRPr="00C034B2">
        <w:t>in relation to the fee.</w:t>
      </w:r>
    </w:p>
    <w:p w:rsidR="00EA4489" w:rsidRPr="00C034B2" w:rsidRDefault="00E1037F" w:rsidP="00EA4489">
      <w:pPr>
        <w:pStyle w:val="ActHead5"/>
      </w:pPr>
      <w:bookmarkStart w:id="15" w:name="_Toc462848271"/>
      <w:r w:rsidRPr="00C034B2">
        <w:rPr>
          <w:rStyle w:val="CharSectno"/>
        </w:rPr>
        <w:t>10</w:t>
      </w:r>
      <w:r w:rsidR="00EA4489" w:rsidRPr="00C034B2">
        <w:t xml:space="preserve">  Special payment arrangements</w:t>
      </w:r>
      <w:bookmarkEnd w:id="15"/>
    </w:p>
    <w:p w:rsidR="00EA4489" w:rsidRPr="00C034B2" w:rsidRDefault="00EA4489" w:rsidP="00EA4489">
      <w:pPr>
        <w:pStyle w:val="subsection"/>
      </w:pPr>
      <w:r w:rsidRPr="00C034B2">
        <w:tab/>
        <w:t>(1)</w:t>
      </w:r>
      <w:r w:rsidRPr="00C034B2">
        <w:tab/>
        <w:t xml:space="preserve">The Administrator may agree, in writing, to a special payment arrangement with </w:t>
      </w:r>
      <w:r w:rsidR="000E5FF9" w:rsidRPr="00C034B2">
        <w:t xml:space="preserve">a consumer </w:t>
      </w:r>
      <w:r w:rsidRPr="00C034B2">
        <w:t>if:</w:t>
      </w:r>
    </w:p>
    <w:p w:rsidR="00EA4489" w:rsidRPr="00C034B2" w:rsidRDefault="00EA4489" w:rsidP="00EA4489">
      <w:pPr>
        <w:pStyle w:val="paragraph"/>
      </w:pPr>
      <w:r w:rsidRPr="00C034B2">
        <w:tab/>
        <w:t>(a)</w:t>
      </w:r>
      <w:r w:rsidRPr="00C034B2">
        <w:tab/>
        <w:t xml:space="preserve">the </w:t>
      </w:r>
      <w:r w:rsidR="000E5FF9" w:rsidRPr="00C034B2">
        <w:t xml:space="preserve">consumer </w:t>
      </w:r>
      <w:r w:rsidRPr="00C034B2">
        <w:t>is experiencing difficulties in paying a fee mentioned in this instrument; and</w:t>
      </w:r>
    </w:p>
    <w:p w:rsidR="00EA4489" w:rsidRPr="00C034B2" w:rsidRDefault="00EA4489" w:rsidP="00EA4489">
      <w:pPr>
        <w:pStyle w:val="paragraph"/>
      </w:pPr>
      <w:r w:rsidRPr="00C034B2">
        <w:tab/>
        <w:t>(b)</w:t>
      </w:r>
      <w:r w:rsidRPr="00C034B2">
        <w:tab/>
        <w:t xml:space="preserve">the </w:t>
      </w:r>
      <w:r w:rsidR="000E5FF9" w:rsidRPr="00C034B2">
        <w:t xml:space="preserve">consumer </w:t>
      </w:r>
      <w:r w:rsidRPr="00C034B2">
        <w:t>notifies the Administrator of the difficulties.</w:t>
      </w:r>
    </w:p>
    <w:p w:rsidR="00EA4489" w:rsidRPr="00C034B2" w:rsidRDefault="00EA4489" w:rsidP="00EA4489">
      <w:pPr>
        <w:pStyle w:val="subsection"/>
      </w:pPr>
      <w:r w:rsidRPr="00C034B2">
        <w:tab/>
        <w:t>(2)</w:t>
      </w:r>
      <w:r w:rsidRPr="00C034B2">
        <w:tab/>
        <w:t xml:space="preserve">If a special payment arrangement under this section is in force between the Administrator and the </w:t>
      </w:r>
      <w:r w:rsidR="000E5FF9" w:rsidRPr="00C034B2">
        <w:t xml:space="preserve">consumer </w:t>
      </w:r>
      <w:r w:rsidRPr="00C034B2">
        <w:t>in relation to a fee, the fee is due for payment in accordance with the arrangement.</w:t>
      </w:r>
    </w:p>
    <w:p w:rsidR="001E34D3" w:rsidRPr="00C034B2" w:rsidRDefault="00E1037F" w:rsidP="001E34D3">
      <w:pPr>
        <w:pStyle w:val="ActHead5"/>
      </w:pPr>
      <w:bookmarkStart w:id="16" w:name="_Toc462848272"/>
      <w:r w:rsidRPr="00C034B2">
        <w:rPr>
          <w:rStyle w:val="CharSectno"/>
        </w:rPr>
        <w:t>11</w:t>
      </w:r>
      <w:r w:rsidR="001E34D3" w:rsidRPr="00C034B2">
        <w:t xml:space="preserve">  Notice to Administrator of residents dependent on life support equipment</w:t>
      </w:r>
      <w:bookmarkEnd w:id="16"/>
    </w:p>
    <w:p w:rsidR="001E34D3" w:rsidRPr="00C034B2" w:rsidRDefault="001E34D3" w:rsidP="001E34D3">
      <w:pPr>
        <w:pStyle w:val="subsection"/>
      </w:pPr>
      <w:r w:rsidRPr="00C034B2">
        <w:tab/>
      </w:r>
      <w:r w:rsidRPr="00C034B2">
        <w:tab/>
      </w:r>
      <w:r w:rsidR="008A4A0A" w:rsidRPr="00C034B2">
        <w:t xml:space="preserve">If a person residing at </w:t>
      </w:r>
      <w:r w:rsidR="00FB1FBD" w:rsidRPr="00C034B2">
        <w:t>premises</w:t>
      </w:r>
      <w:r w:rsidR="008A4A0A" w:rsidRPr="00C034B2">
        <w:t xml:space="preserve"> is dependent on life support equipment, </w:t>
      </w:r>
      <w:r w:rsidRPr="00C034B2">
        <w:t xml:space="preserve">the </w:t>
      </w:r>
      <w:r w:rsidR="0085662D" w:rsidRPr="00C034B2">
        <w:t>con</w:t>
      </w:r>
      <w:r w:rsidR="00FB1FBD" w:rsidRPr="00C034B2">
        <w:t>sumer</w:t>
      </w:r>
      <w:r w:rsidR="000E5FF9" w:rsidRPr="00C034B2">
        <w:t xml:space="preserve"> to whom electricity </w:t>
      </w:r>
      <w:r w:rsidR="0085662D" w:rsidRPr="00C034B2">
        <w:t xml:space="preserve">is supplied at </w:t>
      </w:r>
      <w:r w:rsidR="004A082C" w:rsidRPr="00C034B2">
        <w:t xml:space="preserve">the premises </w:t>
      </w:r>
      <w:r w:rsidR="008A4A0A" w:rsidRPr="00C034B2">
        <w:t xml:space="preserve">must give the Administrator </w:t>
      </w:r>
      <w:r w:rsidR="0085662D" w:rsidRPr="00C034B2">
        <w:t xml:space="preserve">written </w:t>
      </w:r>
      <w:r w:rsidR="008A4A0A" w:rsidRPr="00C034B2">
        <w:t>notice of this</w:t>
      </w:r>
      <w:r w:rsidRPr="00C034B2">
        <w:t>.</w:t>
      </w:r>
    </w:p>
    <w:p w:rsidR="00EA4489" w:rsidRPr="00C034B2" w:rsidRDefault="00EA4489" w:rsidP="00EA4489">
      <w:pPr>
        <w:sectPr w:rsidR="00EA4489" w:rsidRPr="00C034B2" w:rsidSect="00C37E99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E55A77" w:rsidRPr="00C034B2" w:rsidRDefault="00E55A77" w:rsidP="00E55A77">
      <w:pPr>
        <w:pStyle w:val="ActHead1"/>
        <w:pageBreakBefore/>
        <w:ind w:left="2127" w:hanging="2127"/>
      </w:pPr>
      <w:bookmarkStart w:id="17" w:name="_Toc462848273"/>
      <w:r w:rsidRPr="00C034B2">
        <w:rPr>
          <w:rStyle w:val="CharChapNo"/>
        </w:rPr>
        <w:lastRenderedPageBreak/>
        <w:t>Schedule</w:t>
      </w:r>
      <w:r w:rsidR="00C034B2" w:rsidRPr="00C034B2">
        <w:rPr>
          <w:rStyle w:val="CharChapNo"/>
        </w:rPr>
        <w:t> </w:t>
      </w:r>
      <w:r w:rsidRPr="00C034B2">
        <w:rPr>
          <w:rStyle w:val="CharChapNo"/>
        </w:rPr>
        <w:t>1</w:t>
      </w:r>
      <w:r w:rsidRPr="00C034B2">
        <w:t>—</w:t>
      </w:r>
      <w:r w:rsidR="00AB7E01" w:rsidRPr="00C034B2">
        <w:rPr>
          <w:rStyle w:val="CharChapText"/>
        </w:rPr>
        <w:t>Fixed</w:t>
      </w:r>
      <w:r w:rsidR="00116D33" w:rsidRPr="00C034B2">
        <w:rPr>
          <w:rStyle w:val="CharChapText"/>
        </w:rPr>
        <w:t xml:space="preserve"> </w:t>
      </w:r>
      <w:r w:rsidRPr="00C034B2">
        <w:rPr>
          <w:rStyle w:val="CharChapText"/>
        </w:rPr>
        <w:t>fees for the supply of electricity</w:t>
      </w:r>
      <w:bookmarkEnd w:id="17"/>
    </w:p>
    <w:p w:rsidR="00B15111" w:rsidRPr="00C034B2" w:rsidRDefault="00B15111" w:rsidP="00B15111">
      <w:pPr>
        <w:pStyle w:val="notemargin"/>
      </w:pPr>
      <w:r w:rsidRPr="00C034B2">
        <w:t>Note:</w:t>
      </w:r>
      <w:r w:rsidRPr="00C034B2">
        <w:tab/>
        <w:t>See paragraph</w:t>
      </w:r>
      <w:r w:rsidR="00C034B2" w:rsidRPr="00C034B2">
        <w:t> </w:t>
      </w:r>
      <w:r w:rsidR="00E1037F" w:rsidRPr="00C034B2">
        <w:t>6</w:t>
      </w:r>
      <w:r w:rsidRPr="00C034B2">
        <w:t>(3)(a).</w:t>
      </w:r>
    </w:p>
    <w:p w:rsidR="00053B97" w:rsidRPr="00C034B2" w:rsidRDefault="00053B97" w:rsidP="00053B97">
      <w:pPr>
        <w:pStyle w:val="Header"/>
      </w:pPr>
      <w:r w:rsidRPr="00C034B2">
        <w:rPr>
          <w:rStyle w:val="CharPartNo"/>
        </w:rPr>
        <w:t xml:space="preserve"> </w:t>
      </w:r>
      <w:r w:rsidRPr="00C034B2">
        <w:rPr>
          <w:rStyle w:val="CharPartText"/>
        </w:rPr>
        <w:t xml:space="preserve"> </w:t>
      </w:r>
    </w:p>
    <w:p w:rsidR="00B15111" w:rsidRPr="00C034B2" w:rsidRDefault="00B15111" w:rsidP="00053B97">
      <w:pPr>
        <w:pStyle w:val="Header"/>
      </w:pPr>
      <w:r w:rsidRPr="00C034B2">
        <w:rPr>
          <w:rStyle w:val="CharDivNo"/>
        </w:rPr>
        <w:t xml:space="preserve"> </w:t>
      </w:r>
      <w:r w:rsidRPr="00C034B2">
        <w:rPr>
          <w:rStyle w:val="CharDivText"/>
        </w:rPr>
        <w:t xml:space="preserve"> </w:t>
      </w:r>
    </w:p>
    <w:p w:rsidR="00EA4489" w:rsidRPr="00C034B2" w:rsidRDefault="00EA4489" w:rsidP="00EA4489">
      <w:pPr>
        <w:pStyle w:val="ActHead5"/>
        <w:tabs>
          <w:tab w:val="left" w:pos="284"/>
        </w:tabs>
      </w:pPr>
      <w:bookmarkStart w:id="18" w:name="_Toc462848274"/>
      <w:r w:rsidRPr="00C034B2">
        <w:rPr>
          <w:rStyle w:val="CharSectno"/>
        </w:rPr>
        <w:t>1</w:t>
      </w:r>
      <w:r w:rsidR="00042F37" w:rsidRPr="00C034B2">
        <w:t xml:space="preserve"> </w:t>
      </w:r>
      <w:r w:rsidRPr="00C034B2">
        <w:t xml:space="preserve"> </w:t>
      </w:r>
      <w:r w:rsidR="00AB7E01" w:rsidRPr="00C034B2">
        <w:t>Fixed</w:t>
      </w:r>
      <w:r w:rsidR="00116D33" w:rsidRPr="00C034B2">
        <w:t xml:space="preserve"> </w:t>
      </w:r>
      <w:r w:rsidRPr="00C034B2">
        <w:t>fees for the supply of electricity</w:t>
      </w:r>
      <w:bookmarkEnd w:id="18"/>
    </w:p>
    <w:p w:rsidR="00EA4489" w:rsidRPr="00C034B2" w:rsidRDefault="00EA4489" w:rsidP="00EA4489">
      <w:pPr>
        <w:pStyle w:val="subsection"/>
      </w:pPr>
      <w:r w:rsidRPr="00C034B2">
        <w:tab/>
      </w:r>
      <w:r w:rsidR="00FB6225" w:rsidRPr="00C034B2">
        <w:tab/>
        <w:t>The fixed fee for the supply of electricity to</w:t>
      </w:r>
      <w:r w:rsidR="00061969" w:rsidRPr="00C034B2">
        <w:t xml:space="preserve"> a consumer at </w:t>
      </w:r>
      <w:r w:rsidR="00FB6225" w:rsidRPr="00C034B2">
        <w:t>premises</w:t>
      </w:r>
      <w:r w:rsidR="00A54870" w:rsidRPr="00C034B2">
        <w:t xml:space="preserve"> in a category mentioned in column 1 of an item of the following table</w:t>
      </w:r>
      <w:r w:rsidR="00FB6225" w:rsidRPr="00C034B2">
        <w:t xml:space="preserve"> is the fee </w:t>
      </w:r>
      <w:r w:rsidR="00A54870" w:rsidRPr="00C034B2">
        <w:t>mentioned in column 2 of the item</w:t>
      </w:r>
      <w:r w:rsidR="00FB6225" w:rsidRPr="00C034B2">
        <w:t>.</w:t>
      </w:r>
    </w:p>
    <w:p w:rsidR="00552727" w:rsidRPr="00C034B2" w:rsidRDefault="00552727" w:rsidP="0055272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235"/>
        <w:gridCol w:w="2363"/>
      </w:tblGrid>
      <w:tr w:rsidR="00552727" w:rsidRPr="00C034B2" w:rsidTr="00C20826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52727" w:rsidRPr="00C034B2" w:rsidRDefault="00FA633D" w:rsidP="00552727">
            <w:pPr>
              <w:pStyle w:val="TableHeading"/>
            </w:pPr>
            <w:r w:rsidRPr="00C034B2">
              <w:t>Fixed fees for the supply of electricity</w:t>
            </w:r>
          </w:p>
        </w:tc>
      </w:tr>
      <w:tr w:rsidR="00552727" w:rsidRPr="00C034B2" w:rsidTr="00C56673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52727" w:rsidRPr="00C034B2" w:rsidRDefault="00552727" w:rsidP="00552727">
            <w:pPr>
              <w:pStyle w:val="TableHeading"/>
            </w:pPr>
            <w:r w:rsidRPr="00C034B2">
              <w:t>Item</w:t>
            </w:r>
          </w:p>
        </w:tc>
        <w:tc>
          <w:tcPr>
            <w:tcW w:w="52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54870" w:rsidRPr="00C034B2" w:rsidRDefault="00A54870" w:rsidP="00A54870">
            <w:pPr>
              <w:pStyle w:val="TableHeading"/>
            </w:pPr>
            <w:r w:rsidRPr="00C034B2">
              <w:t>Column 1</w:t>
            </w:r>
          </w:p>
          <w:p w:rsidR="00552727" w:rsidRPr="00C034B2" w:rsidRDefault="00552727" w:rsidP="00A54870">
            <w:pPr>
              <w:pStyle w:val="TableHeading"/>
            </w:pPr>
            <w:r w:rsidRPr="00C034B2">
              <w:t>Category</w:t>
            </w:r>
            <w:r w:rsidR="00A54870" w:rsidRPr="00C034B2">
              <w:t xml:space="preserve"> of premises</w:t>
            </w:r>
          </w:p>
        </w:tc>
        <w:tc>
          <w:tcPr>
            <w:tcW w:w="236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54870" w:rsidRPr="00C034B2" w:rsidRDefault="00A54870" w:rsidP="00C56673">
            <w:pPr>
              <w:pStyle w:val="TableHeading"/>
              <w:jc w:val="right"/>
            </w:pPr>
            <w:r w:rsidRPr="00C034B2">
              <w:t>Column 2</w:t>
            </w:r>
          </w:p>
          <w:p w:rsidR="00552727" w:rsidRPr="00C034B2" w:rsidRDefault="00552727" w:rsidP="00C56673">
            <w:pPr>
              <w:pStyle w:val="TableHeading"/>
              <w:jc w:val="right"/>
            </w:pPr>
            <w:r w:rsidRPr="00C034B2">
              <w:t>Fixed fee (cents per day)</w:t>
            </w:r>
          </w:p>
        </w:tc>
      </w:tr>
      <w:tr w:rsidR="00552727" w:rsidRPr="00C034B2" w:rsidTr="00C56673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552727" w:rsidRPr="00C034B2" w:rsidRDefault="00552727" w:rsidP="00552727">
            <w:pPr>
              <w:pStyle w:val="Tabletext"/>
            </w:pPr>
            <w:r w:rsidRPr="00C034B2">
              <w:t>1</w:t>
            </w:r>
          </w:p>
        </w:tc>
        <w:tc>
          <w:tcPr>
            <w:tcW w:w="5235" w:type="dxa"/>
            <w:tcBorders>
              <w:top w:val="single" w:sz="12" w:space="0" w:color="auto"/>
            </w:tcBorders>
            <w:shd w:val="clear" w:color="auto" w:fill="auto"/>
          </w:tcPr>
          <w:p w:rsidR="00552727" w:rsidRPr="00C034B2" w:rsidRDefault="00552727" w:rsidP="00F33AA5">
            <w:pPr>
              <w:pStyle w:val="Tabletext"/>
            </w:pPr>
            <w:r w:rsidRPr="00C034B2">
              <w:t>Residential A2</w:t>
            </w:r>
          </w:p>
        </w:tc>
        <w:tc>
          <w:tcPr>
            <w:tcW w:w="2363" w:type="dxa"/>
            <w:tcBorders>
              <w:top w:val="single" w:sz="12" w:space="0" w:color="auto"/>
            </w:tcBorders>
            <w:shd w:val="clear" w:color="auto" w:fill="auto"/>
          </w:tcPr>
          <w:p w:rsidR="00552727" w:rsidRPr="00C034B2" w:rsidRDefault="00552727" w:rsidP="00822693">
            <w:pPr>
              <w:pStyle w:val="Tabletext"/>
              <w:jc w:val="right"/>
            </w:pPr>
            <w:r w:rsidRPr="00C034B2">
              <w:t>44.1808</w:t>
            </w:r>
          </w:p>
        </w:tc>
      </w:tr>
      <w:tr w:rsidR="00552727" w:rsidRPr="00C034B2" w:rsidTr="00C56673">
        <w:tc>
          <w:tcPr>
            <w:tcW w:w="714" w:type="dxa"/>
            <w:shd w:val="clear" w:color="auto" w:fill="auto"/>
          </w:tcPr>
          <w:p w:rsidR="00552727" w:rsidRPr="00C034B2" w:rsidRDefault="00552727" w:rsidP="00552727">
            <w:pPr>
              <w:pStyle w:val="Tabletext"/>
            </w:pPr>
            <w:r w:rsidRPr="00C034B2">
              <w:t>2</w:t>
            </w:r>
          </w:p>
        </w:tc>
        <w:tc>
          <w:tcPr>
            <w:tcW w:w="5235" w:type="dxa"/>
            <w:shd w:val="clear" w:color="auto" w:fill="auto"/>
          </w:tcPr>
          <w:p w:rsidR="00552727" w:rsidRPr="00C034B2" w:rsidRDefault="00552727" w:rsidP="00F33AA5">
            <w:pPr>
              <w:pStyle w:val="Tabletext"/>
            </w:pPr>
            <w:r w:rsidRPr="00C034B2">
              <w:t>Community service C2</w:t>
            </w:r>
          </w:p>
        </w:tc>
        <w:tc>
          <w:tcPr>
            <w:tcW w:w="2363" w:type="dxa"/>
            <w:shd w:val="clear" w:color="auto" w:fill="auto"/>
          </w:tcPr>
          <w:p w:rsidR="00552727" w:rsidRPr="00C034B2" w:rsidRDefault="00552727" w:rsidP="00822693">
            <w:pPr>
              <w:pStyle w:val="Tabletext"/>
              <w:jc w:val="right"/>
            </w:pPr>
            <w:r w:rsidRPr="00C034B2">
              <w:t>32.5239</w:t>
            </w:r>
          </w:p>
        </w:tc>
      </w:tr>
      <w:tr w:rsidR="00552727" w:rsidRPr="00C034B2" w:rsidTr="00C56673">
        <w:tc>
          <w:tcPr>
            <w:tcW w:w="714" w:type="dxa"/>
            <w:shd w:val="clear" w:color="auto" w:fill="auto"/>
          </w:tcPr>
          <w:p w:rsidR="00552727" w:rsidRPr="00C034B2" w:rsidRDefault="00552727" w:rsidP="00552727">
            <w:pPr>
              <w:pStyle w:val="Tabletext"/>
            </w:pPr>
            <w:r w:rsidRPr="00C034B2">
              <w:t>3</w:t>
            </w:r>
          </w:p>
        </w:tc>
        <w:tc>
          <w:tcPr>
            <w:tcW w:w="5235" w:type="dxa"/>
            <w:shd w:val="clear" w:color="auto" w:fill="auto"/>
          </w:tcPr>
          <w:p w:rsidR="00552727" w:rsidRPr="00C034B2" w:rsidRDefault="00C20826" w:rsidP="00552727">
            <w:pPr>
              <w:pStyle w:val="Tabletext"/>
            </w:pPr>
            <w:r w:rsidRPr="00C034B2">
              <w:t>Charitable residential D2</w:t>
            </w:r>
          </w:p>
        </w:tc>
        <w:tc>
          <w:tcPr>
            <w:tcW w:w="2363" w:type="dxa"/>
            <w:shd w:val="clear" w:color="auto" w:fill="auto"/>
          </w:tcPr>
          <w:p w:rsidR="00552727" w:rsidRPr="00C034B2" w:rsidRDefault="00C20826" w:rsidP="00822693">
            <w:pPr>
              <w:pStyle w:val="Tabletext"/>
              <w:jc w:val="right"/>
            </w:pPr>
            <w:r w:rsidRPr="00C034B2">
              <w:t>37.1528</w:t>
            </w:r>
          </w:p>
        </w:tc>
      </w:tr>
      <w:tr w:rsidR="00552727" w:rsidRPr="00C034B2" w:rsidTr="00C56673">
        <w:tc>
          <w:tcPr>
            <w:tcW w:w="714" w:type="dxa"/>
            <w:shd w:val="clear" w:color="auto" w:fill="auto"/>
          </w:tcPr>
          <w:p w:rsidR="00552727" w:rsidRPr="00C034B2" w:rsidRDefault="00552727" w:rsidP="00552727">
            <w:pPr>
              <w:pStyle w:val="Tabletext"/>
            </w:pPr>
            <w:r w:rsidRPr="00C034B2">
              <w:t>4</w:t>
            </w:r>
          </w:p>
        </w:tc>
        <w:tc>
          <w:tcPr>
            <w:tcW w:w="5235" w:type="dxa"/>
            <w:shd w:val="clear" w:color="auto" w:fill="auto"/>
          </w:tcPr>
          <w:p w:rsidR="00552727" w:rsidRPr="00C034B2" w:rsidRDefault="00C20826" w:rsidP="00552727">
            <w:pPr>
              <w:pStyle w:val="Tabletext"/>
            </w:pPr>
            <w:r w:rsidRPr="00C034B2">
              <w:t>Business/residential K2</w:t>
            </w:r>
          </w:p>
        </w:tc>
        <w:tc>
          <w:tcPr>
            <w:tcW w:w="2363" w:type="dxa"/>
            <w:shd w:val="clear" w:color="auto" w:fill="auto"/>
          </w:tcPr>
          <w:p w:rsidR="00552727" w:rsidRPr="00C034B2" w:rsidRDefault="00C20826" w:rsidP="00822693">
            <w:pPr>
              <w:pStyle w:val="Tabletext"/>
              <w:jc w:val="right"/>
            </w:pPr>
            <w:r w:rsidRPr="00C034B2">
              <w:t>44.1808</w:t>
            </w:r>
          </w:p>
        </w:tc>
      </w:tr>
      <w:tr w:rsidR="00352289" w:rsidRPr="00C034B2" w:rsidTr="00C56673">
        <w:tc>
          <w:tcPr>
            <w:tcW w:w="714" w:type="dxa"/>
            <w:shd w:val="clear" w:color="auto" w:fill="auto"/>
          </w:tcPr>
          <w:p w:rsidR="00352289" w:rsidRPr="00C034B2" w:rsidRDefault="00352289" w:rsidP="00552727">
            <w:pPr>
              <w:pStyle w:val="Tabletext"/>
            </w:pPr>
            <w:r w:rsidRPr="00C034B2">
              <w:t>5</w:t>
            </w:r>
          </w:p>
        </w:tc>
        <w:tc>
          <w:tcPr>
            <w:tcW w:w="5235" w:type="dxa"/>
            <w:shd w:val="clear" w:color="auto" w:fill="auto"/>
          </w:tcPr>
          <w:p w:rsidR="00352289" w:rsidRPr="00C034B2" w:rsidRDefault="00352289" w:rsidP="00193273">
            <w:pPr>
              <w:pStyle w:val="Tabletext"/>
            </w:pPr>
            <w:r w:rsidRPr="00C034B2">
              <w:t>Business and local government L2</w:t>
            </w:r>
          </w:p>
        </w:tc>
        <w:tc>
          <w:tcPr>
            <w:tcW w:w="2363" w:type="dxa"/>
            <w:shd w:val="clear" w:color="auto" w:fill="auto"/>
          </w:tcPr>
          <w:p w:rsidR="00352289" w:rsidRPr="00C034B2" w:rsidRDefault="00352289" w:rsidP="00822693">
            <w:pPr>
              <w:pStyle w:val="Tabletext"/>
              <w:jc w:val="right"/>
            </w:pPr>
            <w:r w:rsidRPr="00C034B2">
              <w:t>41.9259</w:t>
            </w:r>
          </w:p>
        </w:tc>
      </w:tr>
      <w:tr w:rsidR="00552727" w:rsidRPr="00C034B2" w:rsidTr="00C56673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552727" w:rsidRPr="00C034B2" w:rsidRDefault="00552727" w:rsidP="00552727">
            <w:pPr>
              <w:pStyle w:val="Tabletext"/>
            </w:pPr>
            <w:r w:rsidRPr="00C034B2">
              <w:t>6</w:t>
            </w:r>
          </w:p>
        </w:tc>
        <w:tc>
          <w:tcPr>
            <w:tcW w:w="5235" w:type="dxa"/>
            <w:tcBorders>
              <w:bottom w:val="single" w:sz="2" w:space="0" w:color="auto"/>
            </w:tcBorders>
            <w:shd w:val="clear" w:color="auto" w:fill="auto"/>
          </w:tcPr>
          <w:p w:rsidR="00552727" w:rsidRPr="00C034B2" w:rsidRDefault="00C20826" w:rsidP="00552727">
            <w:pPr>
              <w:pStyle w:val="Tabletext"/>
            </w:pPr>
            <w:r w:rsidRPr="00C034B2">
              <w:t>High voltage M2</w:t>
            </w:r>
          </w:p>
        </w:tc>
        <w:tc>
          <w:tcPr>
            <w:tcW w:w="2363" w:type="dxa"/>
            <w:tcBorders>
              <w:bottom w:val="single" w:sz="2" w:space="0" w:color="auto"/>
            </w:tcBorders>
            <w:shd w:val="clear" w:color="auto" w:fill="auto"/>
          </w:tcPr>
          <w:p w:rsidR="00552727" w:rsidRPr="00C034B2" w:rsidRDefault="00C20826" w:rsidP="00822693">
            <w:pPr>
              <w:pStyle w:val="Tabletext"/>
              <w:jc w:val="right"/>
            </w:pPr>
            <w:r w:rsidRPr="00C034B2">
              <w:t>49.3261</w:t>
            </w:r>
          </w:p>
        </w:tc>
      </w:tr>
      <w:tr w:rsidR="00352289" w:rsidRPr="00C034B2" w:rsidTr="00C56673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52289" w:rsidRPr="00C034B2" w:rsidRDefault="00352289" w:rsidP="00552727">
            <w:pPr>
              <w:pStyle w:val="Tabletext"/>
            </w:pPr>
            <w:r w:rsidRPr="00C034B2">
              <w:t>7</w:t>
            </w:r>
          </w:p>
        </w:tc>
        <w:tc>
          <w:tcPr>
            <w:tcW w:w="523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52289" w:rsidRPr="00C034B2" w:rsidRDefault="00352289" w:rsidP="00193273">
            <w:pPr>
              <w:pStyle w:val="Tabletext"/>
            </w:pPr>
            <w:r w:rsidRPr="00C034B2">
              <w:t>Government (other than local government) N2</w:t>
            </w:r>
          </w:p>
        </w:tc>
        <w:tc>
          <w:tcPr>
            <w:tcW w:w="236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52289" w:rsidRPr="00C034B2" w:rsidRDefault="00352289" w:rsidP="00822693">
            <w:pPr>
              <w:pStyle w:val="Tabletext"/>
              <w:jc w:val="right"/>
            </w:pPr>
            <w:r w:rsidRPr="00C034B2">
              <w:t>569.1300</w:t>
            </w:r>
          </w:p>
        </w:tc>
      </w:tr>
    </w:tbl>
    <w:p w:rsidR="00552727" w:rsidRPr="00C034B2" w:rsidRDefault="00552727" w:rsidP="00552727">
      <w:pPr>
        <w:pStyle w:val="Tabletext"/>
      </w:pPr>
    </w:p>
    <w:p w:rsidR="00A54870" w:rsidRPr="00C034B2" w:rsidRDefault="00A54870" w:rsidP="00A54870">
      <w:pPr>
        <w:pStyle w:val="notetext"/>
      </w:pPr>
      <w:r w:rsidRPr="00C034B2">
        <w:t>Note:</w:t>
      </w:r>
      <w:r w:rsidRPr="00C034B2">
        <w:tab/>
      </w:r>
      <w:r w:rsidR="004E2F29" w:rsidRPr="00C034B2">
        <w:t xml:space="preserve">For rebates for </w:t>
      </w:r>
      <w:r w:rsidRPr="00C034B2">
        <w:t>eligible person</w:t>
      </w:r>
      <w:r w:rsidR="004E2F29" w:rsidRPr="00C034B2">
        <w:t>s, see section</w:t>
      </w:r>
      <w:r w:rsidR="00C034B2" w:rsidRPr="00C034B2">
        <w:t> </w:t>
      </w:r>
      <w:r w:rsidR="00E1037F" w:rsidRPr="00C034B2">
        <w:t>7</w:t>
      </w:r>
      <w:r w:rsidRPr="00C034B2">
        <w:t>.</w:t>
      </w:r>
    </w:p>
    <w:p w:rsidR="00AB7E01" w:rsidRPr="00C034B2" w:rsidRDefault="00AB7E01" w:rsidP="00AB7E01">
      <w:pPr>
        <w:pStyle w:val="ActHead1"/>
        <w:pageBreakBefore/>
        <w:ind w:left="2127" w:hanging="2127"/>
      </w:pPr>
      <w:bookmarkStart w:id="19" w:name="_Toc462848275"/>
      <w:r w:rsidRPr="00C034B2">
        <w:rPr>
          <w:rStyle w:val="CharChapNo"/>
        </w:rPr>
        <w:lastRenderedPageBreak/>
        <w:t>Schedule</w:t>
      </w:r>
      <w:r w:rsidR="00C034B2" w:rsidRPr="00C034B2">
        <w:rPr>
          <w:rStyle w:val="CharChapNo"/>
        </w:rPr>
        <w:t> </w:t>
      </w:r>
      <w:r w:rsidRPr="00C034B2">
        <w:rPr>
          <w:rStyle w:val="CharChapNo"/>
        </w:rPr>
        <w:t>2</w:t>
      </w:r>
      <w:r w:rsidRPr="00C034B2">
        <w:t>—</w:t>
      </w:r>
      <w:r w:rsidR="006E37CB" w:rsidRPr="00C034B2">
        <w:rPr>
          <w:rStyle w:val="CharChapText"/>
        </w:rPr>
        <w:t>Consumption</w:t>
      </w:r>
      <w:r w:rsidRPr="00C034B2">
        <w:rPr>
          <w:rStyle w:val="CharChapText"/>
        </w:rPr>
        <w:t xml:space="preserve"> fees for the supply of electricity</w:t>
      </w:r>
      <w:bookmarkEnd w:id="19"/>
    </w:p>
    <w:p w:rsidR="00B15111" w:rsidRPr="00C034B2" w:rsidRDefault="00B15111" w:rsidP="00B15111">
      <w:pPr>
        <w:pStyle w:val="notemargin"/>
      </w:pPr>
      <w:r w:rsidRPr="00C034B2">
        <w:t>Note:</w:t>
      </w:r>
      <w:r w:rsidRPr="00C034B2">
        <w:tab/>
        <w:t>See paragraph</w:t>
      </w:r>
      <w:r w:rsidR="00C034B2" w:rsidRPr="00C034B2">
        <w:t> </w:t>
      </w:r>
      <w:r w:rsidR="00E1037F" w:rsidRPr="00C034B2">
        <w:t>6</w:t>
      </w:r>
      <w:r w:rsidRPr="00C034B2">
        <w:t>(3)(b).</w:t>
      </w:r>
    </w:p>
    <w:p w:rsidR="00053B97" w:rsidRPr="00C034B2" w:rsidRDefault="00053B97" w:rsidP="00053B97">
      <w:pPr>
        <w:pStyle w:val="Header"/>
      </w:pPr>
      <w:r w:rsidRPr="00C034B2">
        <w:rPr>
          <w:rStyle w:val="CharPartNo"/>
        </w:rPr>
        <w:t xml:space="preserve"> </w:t>
      </w:r>
      <w:r w:rsidRPr="00C034B2">
        <w:rPr>
          <w:rStyle w:val="CharPartText"/>
        </w:rPr>
        <w:t xml:space="preserve"> </w:t>
      </w:r>
    </w:p>
    <w:p w:rsidR="00B15111" w:rsidRPr="00C034B2" w:rsidRDefault="00B15111" w:rsidP="00053B97">
      <w:pPr>
        <w:pStyle w:val="Header"/>
      </w:pPr>
      <w:r w:rsidRPr="00C034B2">
        <w:rPr>
          <w:rStyle w:val="CharDivNo"/>
        </w:rPr>
        <w:t xml:space="preserve"> </w:t>
      </w:r>
      <w:r w:rsidRPr="00C034B2">
        <w:rPr>
          <w:rStyle w:val="CharDivText"/>
        </w:rPr>
        <w:t xml:space="preserve"> </w:t>
      </w:r>
    </w:p>
    <w:p w:rsidR="006248D9" w:rsidRPr="00C034B2" w:rsidRDefault="006248D9" w:rsidP="00F33AA5">
      <w:pPr>
        <w:pStyle w:val="ActHead5"/>
        <w:tabs>
          <w:tab w:val="left" w:pos="284"/>
        </w:tabs>
      </w:pPr>
      <w:bookmarkStart w:id="20" w:name="_Toc462848276"/>
      <w:r w:rsidRPr="00C034B2">
        <w:rPr>
          <w:rStyle w:val="CharSectno"/>
        </w:rPr>
        <w:t>1</w:t>
      </w:r>
      <w:r w:rsidR="00042F37" w:rsidRPr="00C034B2">
        <w:t xml:space="preserve"> </w:t>
      </w:r>
      <w:r w:rsidRPr="00C034B2">
        <w:t xml:space="preserve"> </w:t>
      </w:r>
      <w:r w:rsidR="006E37CB" w:rsidRPr="00C034B2">
        <w:t>Consumption</w:t>
      </w:r>
      <w:r w:rsidRPr="00C034B2">
        <w:t xml:space="preserve"> fees for the supply of electricity</w:t>
      </w:r>
      <w:bookmarkEnd w:id="20"/>
    </w:p>
    <w:p w:rsidR="006248D9" w:rsidRPr="00C034B2" w:rsidRDefault="006248D9" w:rsidP="00F33AA5">
      <w:pPr>
        <w:pStyle w:val="subsection"/>
      </w:pPr>
      <w:r w:rsidRPr="00C034B2">
        <w:tab/>
      </w:r>
      <w:r w:rsidRPr="00C034B2">
        <w:tab/>
        <w:t xml:space="preserve">The </w:t>
      </w:r>
      <w:r w:rsidR="006E37CB" w:rsidRPr="00C034B2">
        <w:t>consumption</w:t>
      </w:r>
      <w:r w:rsidRPr="00C034B2">
        <w:t xml:space="preserve"> fee for the supply of electricity to</w:t>
      </w:r>
      <w:r w:rsidR="00061969" w:rsidRPr="00C034B2">
        <w:t xml:space="preserve"> a consumer at </w:t>
      </w:r>
      <w:r w:rsidRPr="00C034B2">
        <w:t>premises in a category mentioned in column 1 of an item of the following table is the fee mentioned in column 2 of the item.</w:t>
      </w:r>
    </w:p>
    <w:p w:rsidR="006248D9" w:rsidRPr="00C034B2" w:rsidRDefault="006248D9" w:rsidP="00F33AA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16"/>
        <w:gridCol w:w="5482"/>
      </w:tblGrid>
      <w:tr w:rsidR="006248D9" w:rsidRPr="00C034B2" w:rsidTr="00F33AA5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248D9" w:rsidRPr="00C034B2" w:rsidRDefault="006E37CB" w:rsidP="006248D9">
            <w:pPr>
              <w:pStyle w:val="TableHeading"/>
            </w:pPr>
            <w:r w:rsidRPr="00C034B2">
              <w:t>Consumption fees for the supply of electricity</w:t>
            </w:r>
          </w:p>
        </w:tc>
      </w:tr>
      <w:tr w:rsidR="006248D9" w:rsidRPr="00C034B2" w:rsidTr="009E721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248D9" w:rsidRPr="00C034B2" w:rsidRDefault="006248D9" w:rsidP="006248D9">
            <w:pPr>
              <w:pStyle w:val="TableHeading"/>
            </w:pPr>
            <w:r w:rsidRPr="00C034B2">
              <w:t>Item</w:t>
            </w:r>
          </w:p>
        </w:tc>
        <w:tc>
          <w:tcPr>
            <w:tcW w:w="21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248D9" w:rsidRPr="00C034B2" w:rsidRDefault="006248D9" w:rsidP="006248D9">
            <w:pPr>
              <w:pStyle w:val="TableHeading"/>
            </w:pPr>
            <w:r w:rsidRPr="00C034B2">
              <w:t>Column 1</w:t>
            </w:r>
          </w:p>
          <w:p w:rsidR="006248D9" w:rsidRPr="00C034B2" w:rsidRDefault="006248D9" w:rsidP="006248D9">
            <w:pPr>
              <w:pStyle w:val="TableHeading"/>
            </w:pPr>
            <w:r w:rsidRPr="00C034B2">
              <w:t>Category of premises</w:t>
            </w:r>
          </w:p>
        </w:tc>
        <w:tc>
          <w:tcPr>
            <w:tcW w:w="54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248D9" w:rsidRPr="00C034B2" w:rsidRDefault="006248D9" w:rsidP="006248D9">
            <w:pPr>
              <w:pStyle w:val="TableHeading"/>
            </w:pPr>
            <w:r w:rsidRPr="00C034B2">
              <w:t>Column 2</w:t>
            </w:r>
          </w:p>
          <w:p w:rsidR="006248D9" w:rsidRPr="00C034B2" w:rsidRDefault="006E37CB" w:rsidP="00BD1090">
            <w:pPr>
              <w:pStyle w:val="TableHeading"/>
            </w:pPr>
            <w:r w:rsidRPr="00C034B2">
              <w:t>Consumption</w:t>
            </w:r>
            <w:r w:rsidR="00BD1090" w:rsidRPr="00C034B2">
              <w:t xml:space="preserve"> fee</w:t>
            </w:r>
          </w:p>
        </w:tc>
      </w:tr>
      <w:tr w:rsidR="006248D9" w:rsidRPr="00C034B2" w:rsidTr="009E721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6248D9" w:rsidRPr="00C034B2" w:rsidRDefault="006248D9" w:rsidP="006248D9">
            <w:pPr>
              <w:pStyle w:val="Tabletext"/>
            </w:pPr>
            <w:r w:rsidRPr="00C034B2">
              <w:t>1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shd w:val="clear" w:color="auto" w:fill="auto"/>
          </w:tcPr>
          <w:p w:rsidR="006248D9" w:rsidRPr="00C034B2" w:rsidRDefault="006248D9" w:rsidP="006248D9">
            <w:pPr>
              <w:pStyle w:val="Tabletext"/>
            </w:pPr>
            <w:r w:rsidRPr="00C034B2">
              <w:t>Residential A2</w:t>
            </w:r>
          </w:p>
        </w:tc>
        <w:tc>
          <w:tcPr>
            <w:tcW w:w="5482" w:type="dxa"/>
            <w:tcBorders>
              <w:top w:val="single" w:sz="12" w:space="0" w:color="auto"/>
            </w:tcBorders>
            <w:shd w:val="clear" w:color="auto" w:fill="auto"/>
          </w:tcPr>
          <w:p w:rsidR="006248D9" w:rsidRPr="00C034B2" w:rsidRDefault="006248D9" w:rsidP="009518BD">
            <w:pPr>
              <w:pStyle w:val="Tabletext"/>
            </w:pPr>
            <w:r w:rsidRPr="00C034B2">
              <w:t>24.0673</w:t>
            </w:r>
            <w:r w:rsidR="00BD1090" w:rsidRPr="00C034B2">
              <w:t xml:space="preserve"> cents per </w:t>
            </w:r>
            <w:r w:rsidR="009518BD" w:rsidRPr="00C034B2">
              <w:t>unit</w:t>
            </w:r>
            <w:r w:rsidR="006E37CB" w:rsidRPr="00C034B2">
              <w:t xml:space="preserve"> consumed</w:t>
            </w:r>
          </w:p>
        </w:tc>
      </w:tr>
      <w:tr w:rsidR="006248D9" w:rsidRPr="00C034B2" w:rsidTr="009E7215">
        <w:tc>
          <w:tcPr>
            <w:tcW w:w="714" w:type="dxa"/>
            <w:shd w:val="clear" w:color="auto" w:fill="auto"/>
          </w:tcPr>
          <w:p w:rsidR="006248D9" w:rsidRPr="00C034B2" w:rsidRDefault="006248D9" w:rsidP="006248D9">
            <w:pPr>
              <w:pStyle w:val="Tabletext"/>
            </w:pPr>
            <w:r w:rsidRPr="00C034B2">
              <w:t>2</w:t>
            </w:r>
          </w:p>
        </w:tc>
        <w:tc>
          <w:tcPr>
            <w:tcW w:w="2116" w:type="dxa"/>
            <w:shd w:val="clear" w:color="auto" w:fill="auto"/>
          </w:tcPr>
          <w:p w:rsidR="006248D9" w:rsidRPr="00C034B2" w:rsidRDefault="006248D9" w:rsidP="006248D9">
            <w:pPr>
              <w:pStyle w:val="Tabletext"/>
            </w:pPr>
            <w:r w:rsidRPr="00C034B2">
              <w:t>Community service C2</w:t>
            </w:r>
          </w:p>
        </w:tc>
        <w:tc>
          <w:tcPr>
            <w:tcW w:w="5482" w:type="dxa"/>
            <w:shd w:val="clear" w:color="auto" w:fill="auto"/>
          </w:tcPr>
          <w:p w:rsidR="006248D9" w:rsidRPr="00C034B2" w:rsidRDefault="009518BD" w:rsidP="006248D9">
            <w:pPr>
              <w:pStyle w:val="Tabletext"/>
            </w:pPr>
            <w:r w:rsidRPr="00C034B2">
              <w:t>For each day, t</w:t>
            </w:r>
            <w:r w:rsidR="006248D9" w:rsidRPr="00C034B2">
              <w:t>he sum of the following:</w:t>
            </w:r>
          </w:p>
          <w:p w:rsidR="00FA633D" w:rsidRPr="00C034B2" w:rsidRDefault="006248D9" w:rsidP="0072798E">
            <w:pPr>
              <w:pStyle w:val="Tablea"/>
            </w:pPr>
            <w:r w:rsidRPr="00C034B2">
              <w:t xml:space="preserve">(a) </w:t>
            </w:r>
            <w:r w:rsidR="00376FCC" w:rsidRPr="00C034B2">
              <w:t xml:space="preserve">for </w:t>
            </w:r>
            <w:r w:rsidR="006E37CB" w:rsidRPr="00C034B2">
              <w:t xml:space="preserve">the first </w:t>
            </w:r>
            <w:r w:rsidR="003C3034" w:rsidRPr="00C034B2">
              <w:t>20</w:t>
            </w:r>
            <w:r w:rsidR="006E37CB" w:rsidRPr="00C034B2">
              <w:t xml:space="preserve"> units consumed</w:t>
            </w:r>
            <w:r w:rsidRPr="00C034B2">
              <w:t>—</w:t>
            </w:r>
            <w:r w:rsidR="00FA633D" w:rsidRPr="00C034B2">
              <w:t>17.7283</w:t>
            </w:r>
            <w:r w:rsidR="00BD1090" w:rsidRPr="00C034B2">
              <w:t xml:space="preserve"> </w:t>
            </w:r>
            <w:r w:rsidR="00376FCC" w:rsidRPr="00C034B2">
              <w:t>cents</w:t>
            </w:r>
            <w:r w:rsidR="003C3034" w:rsidRPr="00C034B2">
              <w:t xml:space="preserve"> per unit</w:t>
            </w:r>
            <w:r w:rsidR="00874A35" w:rsidRPr="00C034B2">
              <w:t>;</w:t>
            </w:r>
          </w:p>
          <w:p w:rsidR="00FA633D" w:rsidRPr="00C034B2" w:rsidRDefault="00FA633D" w:rsidP="0072798E">
            <w:pPr>
              <w:pStyle w:val="Tablea"/>
            </w:pPr>
            <w:r w:rsidRPr="00C034B2">
              <w:t xml:space="preserve">(b) </w:t>
            </w:r>
            <w:r w:rsidR="00376FCC" w:rsidRPr="00C034B2">
              <w:t xml:space="preserve">for </w:t>
            </w:r>
            <w:r w:rsidR="006E37CB" w:rsidRPr="00C034B2">
              <w:t>the next 1,630 units consumed</w:t>
            </w:r>
            <w:r w:rsidRPr="00C034B2">
              <w:t>—22.2119</w:t>
            </w:r>
            <w:r w:rsidR="00376FCC" w:rsidRPr="00C034B2">
              <w:t xml:space="preserve"> cents</w:t>
            </w:r>
            <w:r w:rsidR="003C3034" w:rsidRPr="00C034B2">
              <w:t xml:space="preserve"> per unit</w:t>
            </w:r>
            <w:r w:rsidR="00874A35" w:rsidRPr="00C034B2">
              <w:t>;</w:t>
            </w:r>
          </w:p>
          <w:p w:rsidR="00FA633D" w:rsidRPr="00C034B2" w:rsidRDefault="00FA633D" w:rsidP="0072798E">
            <w:pPr>
              <w:pStyle w:val="Tablea"/>
            </w:pPr>
            <w:r w:rsidRPr="00C034B2">
              <w:t xml:space="preserve">(c) </w:t>
            </w:r>
            <w:r w:rsidR="00376FCC" w:rsidRPr="00C034B2">
              <w:t xml:space="preserve">for </w:t>
            </w:r>
            <w:r w:rsidR="006E37CB" w:rsidRPr="00C034B2">
              <w:t xml:space="preserve">each subsequent </w:t>
            </w:r>
            <w:r w:rsidR="00376FCC" w:rsidRPr="00C034B2">
              <w:t>unit</w:t>
            </w:r>
            <w:r w:rsidR="006E37CB" w:rsidRPr="00C034B2">
              <w:t xml:space="preserve"> consumed</w:t>
            </w:r>
            <w:r w:rsidRPr="00C034B2">
              <w:t>—20.0427</w:t>
            </w:r>
            <w:r w:rsidR="00376FCC" w:rsidRPr="00C034B2">
              <w:t xml:space="preserve"> cents</w:t>
            </w:r>
            <w:r w:rsidR="00B355B8" w:rsidRPr="00C034B2">
              <w:t xml:space="preserve"> per unit</w:t>
            </w:r>
          </w:p>
        </w:tc>
      </w:tr>
      <w:tr w:rsidR="006248D9" w:rsidRPr="00C034B2" w:rsidTr="009E7215">
        <w:tc>
          <w:tcPr>
            <w:tcW w:w="714" w:type="dxa"/>
            <w:shd w:val="clear" w:color="auto" w:fill="auto"/>
          </w:tcPr>
          <w:p w:rsidR="006248D9" w:rsidRPr="00C034B2" w:rsidRDefault="006248D9" w:rsidP="006248D9">
            <w:pPr>
              <w:pStyle w:val="Tabletext"/>
            </w:pPr>
            <w:r w:rsidRPr="00C034B2">
              <w:t>3</w:t>
            </w:r>
          </w:p>
        </w:tc>
        <w:tc>
          <w:tcPr>
            <w:tcW w:w="2116" w:type="dxa"/>
            <w:shd w:val="clear" w:color="auto" w:fill="auto"/>
          </w:tcPr>
          <w:p w:rsidR="006248D9" w:rsidRPr="00C034B2" w:rsidRDefault="006248D9" w:rsidP="006248D9">
            <w:pPr>
              <w:pStyle w:val="Tabletext"/>
            </w:pPr>
            <w:r w:rsidRPr="00C034B2">
              <w:t>Charitable residential D2</w:t>
            </w:r>
          </w:p>
        </w:tc>
        <w:tc>
          <w:tcPr>
            <w:tcW w:w="5482" w:type="dxa"/>
            <w:shd w:val="clear" w:color="auto" w:fill="auto"/>
          </w:tcPr>
          <w:p w:rsidR="006248D9" w:rsidRPr="00C034B2" w:rsidRDefault="00FA633D" w:rsidP="006E37CB">
            <w:pPr>
              <w:pStyle w:val="Tabletext"/>
            </w:pPr>
            <w:r w:rsidRPr="00C034B2">
              <w:t>20.2513</w:t>
            </w:r>
            <w:r w:rsidR="00BD1090" w:rsidRPr="00C034B2">
              <w:t xml:space="preserve"> cents per </w:t>
            </w:r>
            <w:r w:rsidR="006E37CB" w:rsidRPr="00C034B2">
              <w:t>unit consumed</w:t>
            </w:r>
          </w:p>
        </w:tc>
      </w:tr>
      <w:tr w:rsidR="006248D9" w:rsidRPr="00C034B2" w:rsidTr="009E7215">
        <w:tc>
          <w:tcPr>
            <w:tcW w:w="714" w:type="dxa"/>
            <w:shd w:val="clear" w:color="auto" w:fill="auto"/>
          </w:tcPr>
          <w:p w:rsidR="006248D9" w:rsidRPr="00C034B2" w:rsidRDefault="006248D9" w:rsidP="006248D9">
            <w:pPr>
              <w:pStyle w:val="Tabletext"/>
            </w:pPr>
            <w:r w:rsidRPr="00C034B2">
              <w:t>4</w:t>
            </w:r>
          </w:p>
        </w:tc>
        <w:tc>
          <w:tcPr>
            <w:tcW w:w="2116" w:type="dxa"/>
            <w:shd w:val="clear" w:color="auto" w:fill="auto"/>
          </w:tcPr>
          <w:p w:rsidR="006248D9" w:rsidRPr="00C034B2" w:rsidRDefault="006248D9" w:rsidP="006248D9">
            <w:pPr>
              <w:pStyle w:val="Tabletext"/>
            </w:pPr>
            <w:r w:rsidRPr="00C034B2">
              <w:t>Business/residential K2</w:t>
            </w:r>
          </w:p>
        </w:tc>
        <w:tc>
          <w:tcPr>
            <w:tcW w:w="5482" w:type="dxa"/>
            <w:shd w:val="clear" w:color="auto" w:fill="auto"/>
          </w:tcPr>
          <w:p w:rsidR="00FA633D" w:rsidRPr="00C034B2" w:rsidRDefault="00376FCC" w:rsidP="00FA633D">
            <w:pPr>
              <w:pStyle w:val="Tabletext"/>
            </w:pPr>
            <w:r w:rsidRPr="00C034B2">
              <w:t>For each day, t</w:t>
            </w:r>
            <w:r w:rsidR="00FA633D" w:rsidRPr="00C034B2">
              <w:t>he sum of the following:</w:t>
            </w:r>
          </w:p>
          <w:p w:rsidR="00FA633D" w:rsidRPr="00C034B2" w:rsidRDefault="00FA633D" w:rsidP="0072798E">
            <w:pPr>
              <w:pStyle w:val="Tablea"/>
            </w:pPr>
            <w:r w:rsidRPr="00C034B2">
              <w:t xml:space="preserve">(a) </w:t>
            </w:r>
            <w:r w:rsidR="00376FCC" w:rsidRPr="00C034B2">
              <w:t>for</w:t>
            </w:r>
            <w:r w:rsidR="006E37CB" w:rsidRPr="00C034B2">
              <w:t xml:space="preserve"> the first 20 units consumed</w:t>
            </w:r>
            <w:r w:rsidRPr="00C034B2">
              <w:t>—24.0673</w:t>
            </w:r>
            <w:r w:rsidR="00376FCC" w:rsidRPr="00C034B2">
              <w:t xml:space="preserve"> cents</w:t>
            </w:r>
            <w:r w:rsidR="00B355B8" w:rsidRPr="00C034B2">
              <w:t xml:space="preserve"> per unit</w:t>
            </w:r>
            <w:r w:rsidR="00874A35" w:rsidRPr="00C034B2">
              <w:t>;</w:t>
            </w:r>
          </w:p>
          <w:p w:rsidR="00FA633D" w:rsidRPr="00C034B2" w:rsidRDefault="00FA633D" w:rsidP="0072798E">
            <w:pPr>
              <w:pStyle w:val="Tablea"/>
            </w:pPr>
            <w:r w:rsidRPr="00C034B2">
              <w:t xml:space="preserve">(b) </w:t>
            </w:r>
            <w:r w:rsidR="00376FCC" w:rsidRPr="00C034B2">
              <w:t xml:space="preserve">for </w:t>
            </w:r>
            <w:r w:rsidR="006E37CB" w:rsidRPr="00C034B2">
              <w:t xml:space="preserve">the next </w:t>
            </w:r>
            <w:r w:rsidRPr="00C034B2">
              <w:t>1</w:t>
            </w:r>
            <w:r w:rsidR="00A51885" w:rsidRPr="00C034B2">
              <w:t>,</w:t>
            </w:r>
            <w:r w:rsidR="006E37CB" w:rsidRPr="00C034B2">
              <w:t>63</w:t>
            </w:r>
            <w:r w:rsidR="00B355B8" w:rsidRPr="00C034B2">
              <w:t>0</w:t>
            </w:r>
            <w:r w:rsidR="006E37CB" w:rsidRPr="00C034B2">
              <w:t xml:space="preserve"> units consumed</w:t>
            </w:r>
            <w:r w:rsidRPr="00C034B2">
              <w:t>—27.5549</w:t>
            </w:r>
            <w:r w:rsidR="00BD1090" w:rsidRPr="00C034B2">
              <w:t xml:space="preserve"> cents</w:t>
            </w:r>
            <w:r w:rsidR="00B355B8" w:rsidRPr="00C034B2">
              <w:t xml:space="preserve"> per unit</w:t>
            </w:r>
            <w:r w:rsidR="00874A35" w:rsidRPr="00C034B2">
              <w:t>;</w:t>
            </w:r>
          </w:p>
          <w:p w:rsidR="006248D9" w:rsidRPr="00C034B2" w:rsidRDefault="00FA633D" w:rsidP="0072798E">
            <w:pPr>
              <w:pStyle w:val="Tablea"/>
            </w:pPr>
            <w:r w:rsidRPr="00C034B2">
              <w:t xml:space="preserve">(c) </w:t>
            </w:r>
            <w:r w:rsidR="00376FCC" w:rsidRPr="00C034B2">
              <w:t>for</w:t>
            </w:r>
            <w:r w:rsidR="006E37CB" w:rsidRPr="00C034B2">
              <w:t xml:space="preserve"> each subsequent</w:t>
            </w:r>
            <w:r w:rsidR="00376FCC" w:rsidRPr="00C034B2">
              <w:t xml:space="preserve"> unit</w:t>
            </w:r>
            <w:r w:rsidR="006E37CB" w:rsidRPr="00C034B2">
              <w:t xml:space="preserve"> consumed</w:t>
            </w:r>
            <w:r w:rsidRPr="00C034B2">
              <w:t>—24.8639</w:t>
            </w:r>
            <w:r w:rsidR="00376FCC" w:rsidRPr="00C034B2">
              <w:t xml:space="preserve"> cents</w:t>
            </w:r>
            <w:r w:rsidR="00B355B8" w:rsidRPr="00C034B2">
              <w:t xml:space="preserve"> per unit</w:t>
            </w:r>
          </w:p>
        </w:tc>
      </w:tr>
      <w:tr w:rsidR="00352289" w:rsidRPr="00C034B2" w:rsidTr="009E7215">
        <w:tc>
          <w:tcPr>
            <w:tcW w:w="714" w:type="dxa"/>
            <w:shd w:val="clear" w:color="auto" w:fill="auto"/>
          </w:tcPr>
          <w:p w:rsidR="00352289" w:rsidRPr="00C034B2" w:rsidRDefault="00352289" w:rsidP="006248D9">
            <w:pPr>
              <w:pStyle w:val="Tabletext"/>
            </w:pPr>
            <w:r w:rsidRPr="00C034B2">
              <w:t>5</w:t>
            </w:r>
          </w:p>
        </w:tc>
        <w:tc>
          <w:tcPr>
            <w:tcW w:w="2116" w:type="dxa"/>
            <w:shd w:val="clear" w:color="auto" w:fill="auto"/>
          </w:tcPr>
          <w:p w:rsidR="00352289" w:rsidRPr="00C034B2" w:rsidRDefault="00352289" w:rsidP="00193273">
            <w:pPr>
              <w:pStyle w:val="Tabletext"/>
            </w:pPr>
            <w:r w:rsidRPr="00C034B2">
              <w:t>Business and local government L2</w:t>
            </w:r>
          </w:p>
        </w:tc>
        <w:tc>
          <w:tcPr>
            <w:tcW w:w="5482" w:type="dxa"/>
            <w:shd w:val="clear" w:color="auto" w:fill="auto"/>
          </w:tcPr>
          <w:p w:rsidR="00352289" w:rsidRPr="00C034B2" w:rsidRDefault="00352289" w:rsidP="00FA633D">
            <w:pPr>
              <w:pStyle w:val="Tabletext"/>
            </w:pPr>
            <w:r w:rsidRPr="00C034B2">
              <w:t>For each day, the sum of the following:</w:t>
            </w:r>
          </w:p>
          <w:p w:rsidR="00352289" w:rsidRPr="00C034B2" w:rsidRDefault="00352289" w:rsidP="0072798E">
            <w:pPr>
              <w:pStyle w:val="Tablea"/>
            </w:pPr>
            <w:r w:rsidRPr="00C034B2">
              <w:t>(a) for the first 1,650 units consumed—27.5549 cents per unit;</w:t>
            </w:r>
          </w:p>
          <w:p w:rsidR="00352289" w:rsidRPr="00C034B2" w:rsidRDefault="00352289" w:rsidP="0072798E">
            <w:pPr>
              <w:pStyle w:val="Tablea"/>
            </w:pPr>
            <w:r w:rsidRPr="00C034B2">
              <w:t>(b) for each subsequent unit consumed—24.8639 cents per unit</w:t>
            </w:r>
          </w:p>
        </w:tc>
      </w:tr>
      <w:tr w:rsidR="00502AE0" w:rsidRPr="00C034B2" w:rsidTr="009E7215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502AE0" w:rsidRPr="00C034B2" w:rsidRDefault="00502AE0" w:rsidP="006248D9">
            <w:pPr>
              <w:pStyle w:val="Tabletext"/>
            </w:pPr>
            <w:r w:rsidRPr="00C034B2">
              <w:t>6</w:t>
            </w:r>
          </w:p>
        </w:tc>
        <w:tc>
          <w:tcPr>
            <w:tcW w:w="2116" w:type="dxa"/>
            <w:tcBorders>
              <w:bottom w:val="single" w:sz="2" w:space="0" w:color="auto"/>
            </w:tcBorders>
            <w:shd w:val="clear" w:color="auto" w:fill="auto"/>
          </w:tcPr>
          <w:p w:rsidR="00502AE0" w:rsidRPr="00C034B2" w:rsidRDefault="00502AE0" w:rsidP="006248D9">
            <w:pPr>
              <w:pStyle w:val="Tabletext"/>
            </w:pPr>
            <w:r w:rsidRPr="00C034B2">
              <w:t>High voltage M2</w:t>
            </w:r>
          </w:p>
        </w:tc>
        <w:tc>
          <w:tcPr>
            <w:tcW w:w="5482" w:type="dxa"/>
            <w:tcBorders>
              <w:bottom w:val="single" w:sz="2" w:space="0" w:color="auto"/>
            </w:tcBorders>
            <w:shd w:val="clear" w:color="auto" w:fill="auto"/>
          </w:tcPr>
          <w:p w:rsidR="00502AE0" w:rsidRPr="00C034B2" w:rsidRDefault="00376FCC" w:rsidP="00F33AA5">
            <w:pPr>
              <w:pStyle w:val="Tabletext"/>
            </w:pPr>
            <w:r w:rsidRPr="00C034B2">
              <w:t>For each day, t</w:t>
            </w:r>
            <w:r w:rsidR="00502AE0" w:rsidRPr="00C034B2">
              <w:t>he sum of the following:</w:t>
            </w:r>
          </w:p>
          <w:p w:rsidR="00502AE0" w:rsidRPr="00C034B2" w:rsidRDefault="00502AE0" w:rsidP="0072798E">
            <w:pPr>
              <w:pStyle w:val="Tablea"/>
            </w:pPr>
            <w:r w:rsidRPr="00C034B2">
              <w:t>(a) for</w:t>
            </w:r>
            <w:r w:rsidR="00EB3921" w:rsidRPr="00C034B2">
              <w:t xml:space="preserve"> the first </w:t>
            </w:r>
            <w:r w:rsidR="003C3034" w:rsidRPr="00C034B2">
              <w:t>1,650</w:t>
            </w:r>
            <w:r w:rsidR="00EB3921" w:rsidRPr="00C034B2">
              <w:t xml:space="preserve"> units consumed</w:t>
            </w:r>
            <w:r w:rsidRPr="00C034B2">
              <w:t>—31.3141</w:t>
            </w:r>
            <w:r w:rsidR="00376FCC" w:rsidRPr="00C034B2">
              <w:t xml:space="preserve"> cents</w:t>
            </w:r>
            <w:r w:rsidR="00B355B8" w:rsidRPr="00C034B2">
              <w:t xml:space="preserve"> per unit</w:t>
            </w:r>
            <w:r w:rsidR="00874A35" w:rsidRPr="00C034B2">
              <w:t>;</w:t>
            </w:r>
          </w:p>
          <w:p w:rsidR="00502AE0" w:rsidRPr="00C034B2" w:rsidRDefault="00502AE0" w:rsidP="0072798E">
            <w:pPr>
              <w:pStyle w:val="Tablea"/>
            </w:pPr>
            <w:r w:rsidRPr="00C034B2">
              <w:t>(b)</w:t>
            </w:r>
            <w:r w:rsidR="00376FCC" w:rsidRPr="00C034B2">
              <w:t xml:space="preserve"> for</w:t>
            </w:r>
            <w:r w:rsidR="00EB3921" w:rsidRPr="00C034B2">
              <w:t xml:space="preserve"> each subsequent unit consumed</w:t>
            </w:r>
            <w:r w:rsidRPr="00C034B2">
              <w:t>—28.1238</w:t>
            </w:r>
            <w:r w:rsidR="00A51885" w:rsidRPr="00C034B2">
              <w:t xml:space="preserve"> cents</w:t>
            </w:r>
            <w:r w:rsidR="00B355B8" w:rsidRPr="00C034B2">
              <w:t xml:space="preserve"> per unit</w:t>
            </w:r>
          </w:p>
        </w:tc>
      </w:tr>
      <w:tr w:rsidR="00352289" w:rsidRPr="00C034B2" w:rsidTr="009E7215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52289" w:rsidRPr="00C034B2" w:rsidRDefault="00352289" w:rsidP="006248D9">
            <w:pPr>
              <w:pStyle w:val="Tabletext"/>
            </w:pPr>
            <w:r w:rsidRPr="00C034B2">
              <w:t>7</w:t>
            </w:r>
          </w:p>
        </w:tc>
        <w:tc>
          <w:tcPr>
            <w:tcW w:w="211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52289" w:rsidRPr="00C034B2" w:rsidRDefault="00352289" w:rsidP="00193273">
            <w:pPr>
              <w:pStyle w:val="Tabletext"/>
            </w:pPr>
            <w:r w:rsidRPr="00C034B2">
              <w:t>Government (other than local government) N2</w:t>
            </w:r>
          </w:p>
        </w:tc>
        <w:tc>
          <w:tcPr>
            <w:tcW w:w="54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52289" w:rsidRPr="00C034B2" w:rsidRDefault="00352289" w:rsidP="006248D9">
            <w:pPr>
              <w:pStyle w:val="Tabletext"/>
            </w:pPr>
            <w:r w:rsidRPr="00C034B2">
              <w:t>52.6800 cents per unit consumed</w:t>
            </w:r>
          </w:p>
        </w:tc>
      </w:tr>
    </w:tbl>
    <w:p w:rsidR="006248D9" w:rsidRPr="00C034B2" w:rsidRDefault="006248D9" w:rsidP="00F33AA5">
      <w:pPr>
        <w:pStyle w:val="Tabletext"/>
      </w:pPr>
    </w:p>
    <w:p w:rsidR="004E2F29" w:rsidRPr="00C034B2" w:rsidRDefault="004E2F29" w:rsidP="004E2F29">
      <w:pPr>
        <w:pStyle w:val="notetext"/>
      </w:pPr>
      <w:r w:rsidRPr="00C034B2">
        <w:t>Note:</w:t>
      </w:r>
      <w:r w:rsidRPr="00C034B2">
        <w:tab/>
        <w:t>For rebates for eligible persons, see section</w:t>
      </w:r>
      <w:r w:rsidR="00C034B2" w:rsidRPr="00C034B2">
        <w:t> </w:t>
      </w:r>
      <w:r w:rsidR="00E1037F" w:rsidRPr="00C034B2">
        <w:t>7</w:t>
      </w:r>
      <w:r w:rsidRPr="00C034B2">
        <w:t>.</w:t>
      </w:r>
    </w:p>
    <w:p w:rsidR="00AB7E01" w:rsidRPr="00C034B2" w:rsidRDefault="00AB7E01" w:rsidP="00AB7E01">
      <w:pPr>
        <w:pStyle w:val="ActHead1"/>
        <w:pageBreakBefore/>
        <w:ind w:left="2127" w:hanging="2127"/>
      </w:pPr>
      <w:bookmarkStart w:id="21" w:name="_Toc462848277"/>
      <w:r w:rsidRPr="00C034B2">
        <w:rPr>
          <w:rStyle w:val="CharChapNo"/>
        </w:rPr>
        <w:lastRenderedPageBreak/>
        <w:t>Schedule</w:t>
      </w:r>
      <w:r w:rsidR="00C034B2" w:rsidRPr="00C034B2">
        <w:rPr>
          <w:rStyle w:val="CharChapNo"/>
        </w:rPr>
        <w:t> </w:t>
      </w:r>
      <w:r w:rsidRPr="00C034B2">
        <w:rPr>
          <w:rStyle w:val="CharChapNo"/>
        </w:rPr>
        <w:t>3</w:t>
      </w:r>
      <w:r w:rsidRPr="00C034B2">
        <w:t>—</w:t>
      </w:r>
      <w:r w:rsidRPr="00C034B2">
        <w:rPr>
          <w:rStyle w:val="CharChapText"/>
        </w:rPr>
        <w:t xml:space="preserve">Fixed fees for </w:t>
      </w:r>
      <w:r w:rsidR="00316543" w:rsidRPr="00C034B2">
        <w:rPr>
          <w:rStyle w:val="CharChapText"/>
        </w:rPr>
        <w:t xml:space="preserve">the supply of </w:t>
      </w:r>
      <w:r w:rsidRPr="00C034B2">
        <w:rPr>
          <w:rStyle w:val="CharChapText"/>
        </w:rPr>
        <w:t>services related to the supply of electricity</w:t>
      </w:r>
      <w:bookmarkEnd w:id="21"/>
    </w:p>
    <w:p w:rsidR="00B15111" w:rsidRPr="00C034B2" w:rsidRDefault="00B15111" w:rsidP="00B15111">
      <w:pPr>
        <w:pStyle w:val="notemargin"/>
      </w:pPr>
      <w:r w:rsidRPr="00C034B2">
        <w:t>Note:</w:t>
      </w:r>
      <w:r w:rsidRPr="00C034B2">
        <w:tab/>
        <w:t>See paragraph</w:t>
      </w:r>
      <w:r w:rsidR="00C034B2" w:rsidRPr="00C034B2">
        <w:t> </w:t>
      </w:r>
      <w:r w:rsidR="00E1037F" w:rsidRPr="00C034B2">
        <w:t>6</w:t>
      </w:r>
      <w:r w:rsidRPr="00C034B2">
        <w:t>(3)(c).</w:t>
      </w:r>
    </w:p>
    <w:p w:rsidR="00053B97" w:rsidRPr="00C034B2" w:rsidRDefault="00053B97" w:rsidP="00053B97">
      <w:pPr>
        <w:pStyle w:val="Header"/>
      </w:pPr>
      <w:bookmarkStart w:id="22" w:name="f_Check_Lines_below"/>
      <w:bookmarkEnd w:id="22"/>
      <w:r w:rsidRPr="00C034B2">
        <w:rPr>
          <w:rStyle w:val="CharPartNo"/>
        </w:rPr>
        <w:t xml:space="preserve"> </w:t>
      </w:r>
      <w:r w:rsidRPr="00C034B2">
        <w:rPr>
          <w:rStyle w:val="CharPartText"/>
        </w:rPr>
        <w:t xml:space="preserve"> </w:t>
      </w:r>
    </w:p>
    <w:p w:rsidR="00B15111" w:rsidRPr="00C034B2" w:rsidRDefault="00B15111" w:rsidP="00053B97">
      <w:pPr>
        <w:pStyle w:val="Header"/>
      </w:pPr>
      <w:r w:rsidRPr="00C034B2">
        <w:rPr>
          <w:rStyle w:val="CharDivNo"/>
        </w:rPr>
        <w:t xml:space="preserve"> </w:t>
      </w:r>
      <w:r w:rsidRPr="00C034B2">
        <w:rPr>
          <w:rStyle w:val="CharDivText"/>
        </w:rPr>
        <w:t xml:space="preserve"> </w:t>
      </w:r>
    </w:p>
    <w:p w:rsidR="00AB7E01" w:rsidRPr="00C034B2" w:rsidRDefault="00AB7E01" w:rsidP="00AB7E01">
      <w:pPr>
        <w:pStyle w:val="ActHead5"/>
        <w:tabs>
          <w:tab w:val="left" w:pos="284"/>
        </w:tabs>
      </w:pPr>
      <w:bookmarkStart w:id="23" w:name="_Toc462848278"/>
      <w:r w:rsidRPr="00C034B2">
        <w:rPr>
          <w:rStyle w:val="CharSectno"/>
        </w:rPr>
        <w:t>1</w:t>
      </w:r>
      <w:r w:rsidR="00042F37" w:rsidRPr="00C034B2">
        <w:t xml:space="preserve"> </w:t>
      </w:r>
      <w:r w:rsidRPr="00C034B2">
        <w:t xml:space="preserve"> Fixed fees for </w:t>
      </w:r>
      <w:r w:rsidR="00316543" w:rsidRPr="00C034B2">
        <w:t xml:space="preserve">the supply of </w:t>
      </w:r>
      <w:r w:rsidRPr="00C034B2">
        <w:t>services related to the supply of electricity</w:t>
      </w:r>
      <w:bookmarkEnd w:id="23"/>
    </w:p>
    <w:p w:rsidR="00AB7E01" w:rsidRPr="00C034B2" w:rsidRDefault="00AB7E01" w:rsidP="00AB7E01">
      <w:pPr>
        <w:pStyle w:val="subsection"/>
      </w:pPr>
      <w:r w:rsidRPr="00C034B2">
        <w:tab/>
      </w:r>
      <w:r w:rsidRPr="00C034B2">
        <w:tab/>
        <w:t>The</w:t>
      </w:r>
      <w:r w:rsidR="003C390E" w:rsidRPr="00C034B2">
        <w:t xml:space="preserve"> fixed fee for</w:t>
      </w:r>
      <w:r w:rsidR="0066773A" w:rsidRPr="00C034B2">
        <w:t xml:space="preserve"> the supply of</w:t>
      </w:r>
      <w:r w:rsidR="003C390E" w:rsidRPr="00C034B2">
        <w:t xml:space="preserve"> a service mentioned in column 1 of an item of the following</w:t>
      </w:r>
      <w:r w:rsidRPr="00C034B2">
        <w:t xml:space="preserve"> table </w:t>
      </w:r>
      <w:r w:rsidR="003C390E" w:rsidRPr="00C034B2">
        <w:t>is the fee mentioned in column 2 of the item</w:t>
      </w:r>
      <w:r w:rsidRPr="00C034B2">
        <w:t>.</w:t>
      </w:r>
    </w:p>
    <w:p w:rsidR="002F5B1F" w:rsidRPr="00C034B2" w:rsidRDefault="002F5B1F" w:rsidP="002F5B1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944"/>
        <w:gridCol w:w="1654"/>
      </w:tblGrid>
      <w:tr w:rsidR="002F5B1F" w:rsidRPr="00C034B2" w:rsidTr="002F5B1F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F5B1F" w:rsidRPr="00C034B2" w:rsidRDefault="002F5B1F" w:rsidP="002F5B1F">
            <w:pPr>
              <w:pStyle w:val="TableHeading"/>
            </w:pPr>
            <w:r w:rsidRPr="00C034B2">
              <w:t>Fixed fees for services related to the supply of electricity</w:t>
            </w:r>
          </w:p>
        </w:tc>
      </w:tr>
      <w:tr w:rsidR="002F5B1F" w:rsidRPr="00C034B2" w:rsidTr="0009433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F5B1F" w:rsidRPr="00C034B2" w:rsidRDefault="002F5B1F" w:rsidP="002F5B1F">
            <w:pPr>
              <w:pStyle w:val="TableHeading"/>
            </w:pPr>
            <w:r w:rsidRPr="00C034B2">
              <w:t>Item</w:t>
            </w:r>
          </w:p>
        </w:tc>
        <w:tc>
          <w:tcPr>
            <w:tcW w:w="59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C3D65" w:rsidRPr="00C034B2" w:rsidRDefault="005C3D65" w:rsidP="002F5B1F">
            <w:pPr>
              <w:pStyle w:val="TableHeading"/>
            </w:pPr>
            <w:r w:rsidRPr="00C034B2">
              <w:t>Column 1</w:t>
            </w:r>
          </w:p>
          <w:p w:rsidR="002F5B1F" w:rsidRPr="00C034B2" w:rsidRDefault="002F5B1F" w:rsidP="002F5B1F">
            <w:pPr>
              <w:pStyle w:val="TableHeading"/>
            </w:pPr>
            <w:r w:rsidRPr="00C034B2">
              <w:t>Service</w:t>
            </w:r>
          </w:p>
        </w:tc>
        <w:tc>
          <w:tcPr>
            <w:tcW w:w="16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C3D65" w:rsidRPr="00C034B2" w:rsidRDefault="005C3D65" w:rsidP="0009433C">
            <w:pPr>
              <w:pStyle w:val="TableHeading"/>
              <w:jc w:val="right"/>
            </w:pPr>
            <w:r w:rsidRPr="00C034B2">
              <w:t>Column 2</w:t>
            </w:r>
          </w:p>
          <w:p w:rsidR="002F5B1F" w:rsidRPr="00C034B2" w:rsidRDefault="002F5B1F" w:rsidP="0009433C">
            <w:pPr>
              <w:pStyle w:val="TableHeading"/>
              <w:jc w:val="right"/>
            </w:pPr>
            <w:r w:rsidRPr="00C034B2">
              <w:t>Fee ($)</w:t>
            </w:r>
          </w:p>
        </w:tc>
      </w:tr>
      <w:tr w:rsidR="002F5B1F" w:rsidRPr="00C034B2" w:rsidTr="0009433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2F5B1F" w:rsidRPr="00C034B2" w:rsidRDefault="002F5B1F" w:rsidP="006E1495">
            <w:pPr>
              <w:pStyle w:val="Tabletext"/>
            </w:pPr>
            <w:r w:rsidRPr="00C034B2">
              <w:t>1</w:t>
            </w:r>
          </w:p>
        </w:tc>
        <w:tc>
          <w:tcPr>
            <w:tcW w:w="5944" w:type="dxa"/>
            <w:tcBorders>
              <w:top w:val="single" w:sz="12" w:space="0" w:color="auto"/>
            </w:tcBorders>
            <w:shd w:val="clear" w:color="auto" w:fill="auto"/>
          </w:tcPr>
          <w:p w:rsidR="002F5B1F" w:rsidRPr="00C034B2" w:rsidRDefault="00D639CC" w:rsidP="00C45D07">
            <w:pPr>
              <w:pStyle w:val="Tabletext"/>
            </w:pPr>
            <w:r w:rsidRPr="00C034B2">
              <w:t>Account establishment</w:t>
            </w:r>
          </w:p>
        </w:tc>
        <w:tc>
          <w:tcPr>
            <w:tcW w:w="1654" w:type="dxa"/>
            <w:tcBorders>
              <w:top w:val="single" w:sz="12" w:space="0" w:color="auto"/>
            </w:tcBorders>
            <w:shd w:val="clear" w:color="auto" w:fill="auto"/>
          </w:tcPr>
          <w:p w:rsidR="002F5B1F" w:rsidRPr="00C034B2" w:rsidRDefault="002F5B1F" w:rsidP="0009433C">
            <w:pPr>
              <w:pStyle w:val="Tabletext"/>
              <w:jc w:val="right"/>
            </w:pPr>
            <w:r w:rsidRPr="00C034B2">
              <w:t>31.03</w:t>
            </w:r>
          </w:p>
        </w:tc>
      </w:tr>
      <w:tr w:rsidR="002F5B1F" w:rsidRPr="00C034B2" w:rsidTr="0009433C">
        <w:tc>
          <w:tcPr>
            <w:tcW w:w="714" w:type="dxa"/>
            <w:tcBorders>
              <w:bottom w:val="nil"/>
            </w:tcBorders>
            <w:shd w:val="clear" w:color="auto" w:fill="auto"/>
          </w:tcPr>
          <w:p w:rsidR="002F5B1F" w:rsidRPr="00C034B2" w:rsidRDefault="002F5B1F" w:rsidP="006E1495">
            <w:pPr>
              <w:pStyle w:val="Tabletext"/>
            </w:pPr>
            <w:r w:rsidRPr="00C034B2">
              <w:t>2</w:t>
            </w:r>
          </w:p>
        </w:tc>
        <w:tc>
          <w:tcPr>
            <w:tcW w:w="5944" w:type="dxa"/>
            <w:tcBorders>
              <w:bottom w:val="nil"/>
            </w:tcBorders>
            <w:shd w:val="clear" w:color="auto" w:fill="auto"/>
          </w:tcPr>
          <w:p w:rsidR="002F5B1F" w:rsidRPr="00C034B2" w:rsidRDefault="00EF06BE" w:rsidP="00EF06BE">
            <w:pPr>
              <w:pStyle w:val="Tabletext"/>
            </w:pPr>
            <w:r w:rsidRPr="00C034B2">
              <w:t>I</w:t>
            </w:r>
            <w:r w:rsidR="004D2D2E" w:rsidRPr="00C034B2">
              <w:t>nstallation of a 3</w:t>
            </w:r>
            <w:r w:rsidR="002F5B1F" w:rsidRPr="00C034B2">
              <w:t xml:space="preserve"> phase residential </w:t>
            </w:r>
            <w:r w:rsidRPr="00C034B2">
              <w:t>meter</w:t>
            </w:r>
            <w:r w:rsidR="002F5B1F" w:rsidRPr="00C034B2">
              <w:t>:</w:t>
            </w:r>
          </w:p>
        </w:tc>
        <w:tc>
          <w:tcPr>
            <w:tcW w:w="1654" w:type="dxa"/>
            <w:tcBorders>
              <w:bottom w:val="nil"/>
            </w:tcBorders>
            <w:shd w:val="clear" w:color="auto" w:fill="auto"/>
          </w:tcPr>
          <w:p w:rsidR="002F5B1F" w:rsidRPr="00C034B2" w:rsidRDefault="002F5B1F" w:rsidP="0009433C">
            <w:pPr>
              <w:pStyle w:val="Tabletext"/>
              <w:jc w:val="right"/>
            </w:pPr>
          </w:p>
        </w:tc>
      </w:tr>
      <w:tr w:rsidR="002F5B1F" w:rsidRPr="00C034B2" w:rsidTr="0009433C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2F5B1F" w:rsidRPr="00C034B2" w:rsidRDefault="002F5B1F" w:rsidP="006E1495">
            <w:pPr>
              <w:pStyle w:val="Tabletext"/>
            </w:pPr>
          </w:p>
        </w:tc>
        <w:tc>
          <w:tcPr>
            <w:tcW w:w="59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5B1F" w:rsidRPr="00C034B2" w:rsidRDefault="00DD1FBC" w:rsidP="00CE5AF7">
            <w:pPr>
              <w:pStyle w:val="Tablea"/>
            </w:pPr>
            <w:r w:rsidRPr="00C034B2">
              <w:t>(</w:t>
            </w:r>
            <w:r w:rsidR="002F5B1F" w:rsidRPr="00C034B2">
              <w:t>a) for</w:t>
            </w:r>
            <w:r w:rsidR="00EF06BE" w:rsidRPr="00C034B2">
              <w:t xml:space="preserve"> installation of</w:t>
            </w:r>
            <w:r w:rsidR="002F5B1F" w:rsidRPr="00C034B2">
              <w:t xml:space="preserve"> a new</w:t>
            </w:r>
            <w:r w:rsidR="00EF06BE" w:rsidRPr="00C034B2">
              <w:t xml:space="preserve"> 3 phase</w:t>
            </w:r>
            <w:r w:rsidR="002F5B1F" w:rsidRPr="00C034B2">
              <w:t xml:space="preserve"> </w:t>
            </w:r>
            <w:r w:rsidR="00EF06BE" w:rsidRPr="00C034B2">
              <w:t>meter</w:t>
            </w:r>
            <w:r w:rsidR="00C45D07" w:rsidRPr="00C034B2">
              <w:t xml:space="preserve"> or</w:t>
            </w:r>
            <w:r w:rsidRPr="00C034B2">
              <w:t xml:space="preserve"> </w:t>
            </w:r>
            <w:r w:rsidR="002F5B1F" w:rsidRPr="00C034B2">
              <w:t>replacement</w:t>
            </w:r>
            <w:r w:rsidR="00EF06BE" w:rsidRPr="00C034B2">
              <w:t xml:space="preserve"> </w:t>
            </w:r>
            <w:r w:rsidRPr="00C034B2">
              <w:t>of a single phase meter with a 3 phase meter</w:t>
            </w:r>
            <w:r w:rsidR="00D639CC" w:rsidRPr="00C034B2">
              <w:t>;</w:t>
            </w:r>
          </w:p>
        </w:tc>
        <w:tc>
          <w:tcPr>
            <w:tcW w:w="1654" w:type="dxa"/>
            <w:tcBorders>
              <w:top w:val="nil"/>
              <w:bottom w:val="nil"/>
            </w:tcBorders>
            <w:shd w:val="clear" w:color="auto" w:fill="auto"/>
          </w:tcPr>
          <w:p w:rsidR="002F5B1F" w:rsidRPr="00C034B2" w:rsidRDefault="002F5B1F" w:rsidP="0009433C">
            <w:pPr>
              <w:pStyle w:val="Tabletext"/>
              <w:jc w:val="right"/>
            </w:pPr>
            <w:r w:rsidRPr="00C034B2">
              <w:t>531.84</w:t>
            </w:r>
          </w:p>
        </w:tc>
      </w:tr>
      <w:tr w:rsidR="002F5B1F" w:rsidRPr="00C034B2" w:rsidTr="0009433C"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5B1F" w:rsidRPr="00C034B2" w:rsidRDefault="002F5B1F" w:rsidP="006E1495">
            <w:pPr>
              <w:pStyle w:val="Tabletext"/>
            </w:pPr>
          </w:p>
        </w:tc>
        <w:tc>
          <w:tcPr>
            <w:tcW w:w="594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F5B1F" w:rsidRPr="00C034B2" w:rsidRDefault="002F5B1F" w:rsidP="00EF06BE">
            <w:pPr>
              <w:pStyle w:val="Tablea"/>
            </w:pPr>
            <w:r w:rsidRPr="00C034B2">
              <w:t xml:space="preserve">(b) for installation of a subsidiary </w:t>
            </w:r>
            <w:r w:rsidR="004D2D2E" w:rsidRPr="00C034B2">
              <w:t xml:space="preserve">3 phase </w:t>
            </w:r>
            <w:r w:rsidRPr="00C034B2">
              <w:t>meter</w:t>
            </w:r>
          </w:p>
        </w:tc>
        <w:tc>
          <w:tcPr>
            <w:tcW w:w="16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5B1F" w:rsidRPr="00C034B2" w:rsidRDefault="002F5B1F" w:rsidP="0009433C">
            <w:pPr>
              <w:pStyle w:val="Tabletext"/>
              <w:jc w:val="right"/>
            </w:pPr>
            <w:r w:rsidRPr="00C034B2">
              <w:t>136.35</w:t>
            </w:r>
          </w:p>
        </w:tc>
      </w:tr>
      <w:tr w:rsidR="002F5B1F" w:rsidRPr="00C034B2" w:rsidTr="0009433C"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:rsidR="002F5B1F" w:rsidRPr="00C034B2" w:rsidRDefault="002F5B1F" w:rsidP="006E1495">
            <w:pPr>
              <w:pStyle w:val="Tabletext"/>
            </w:pPr>
            <w:r w:rsidRPr="00C034B2">
              <w:t>3</w:t>
            </w:r>
          </w:p>
        </w:tc>
        <w:tc>
          <w:tcPr>
            <w:tcW w:w="59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F5B1F" w:rsidRPr="00C034B2" w:rsidRDefault="00D639CC" w:rsidP="00C07FA7">
            <w:pPr>
              <w:pStyle w:val="Tabletext"/>
            </w:pPr>
            <w:r w:rsidRPr="00C034B2">
              <w:t>R</w:t>
            </w:r>
            <w:r w:rsidR="002F5B1F" w:rsidRPr="00C034B2">
              <w:t xml:space="preserve">econnection </w:t>
            </w:r>
            <w:r w:rsidRPr="00C034B2">
              <w:t xml:space="preserve">following </w:t>
            </w:r>
            <w:r w:rsidR="00C07FA7" w:rsidRPr="00C034B2">
              <w:t>disconnection</w:t>
            </w:r>
            <w:r w:rsidRPr="00C034B2">
              <w:t xml:space="preserve"> of supply</w:t>
            </w:r>
            <w:r w:rsidR="002F5B1F" w:rsidRPr="00C034B2">
              <w:t xml:space="preserve"> for non</w:t>
            </w:r>
            <w:r w:rsidR="00C034B2">
              <w:noBreakHyphen/>
            </w:r>
            <w:r w:rsidR="002F5B1F" w:rsidRPr="00C034B2">
              <w:t>payment of fees or for any other lawful reason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</w:tcPr>
          <w:p w:rsidR="002F5B1F" w:rsidRPr="00C034B2" w:rsidRDefault="002F5B1F" w:rsidP="0009433C">
            <w:pPr>
              <w:pStyle w:val="Tabletext"/>
              <w:jc w:val="right"/>
            </w:pPr>
            <w:r w:rsidRPr="00C034B2">
              <w:t>28.55</w:t>
            </w:r>
          </w:p>
        </w:tc>
      </w:tr>
      <w:tr w:rsidR="002F5B1F" w:rsidRPr="00C034B2" w:rsidTr="0009433C">
        <w:tc>
          <w:tcPr>
            <w:tcW w:w="714" w:type="dxa"/>
            <w:tcBorders>
              <w:bottom w:val="nil"/>
            </w:tcBorders>
            <w:shd w:val="clear" w:color="auto" w:fill="auto"/>
          </w:tcPr>
          <w:p w:rsidR="002F5B1F" w:rsidRPr="00C034B2" w:rsidRDefault="002F5B1F" w:rsidP="006E1495">
            <w:pPr>
              <w:pStyle w:val="Tabletext"/>
            </w:pPr>
            <w:r w:rsidRPr="00C034B2">
              <w:t>4</w:t>
            </w:r>
          </w:p>
        </w:tc>
        <w:tc>
          <w:tcPr>
            <w:tcW w:w="5944" w:type="dxa"/>
            <w:tcBorders>
              <w:bottom w:val="nil"/>
            </w:tcBorders>
            <w:shd w:val="clear" w:color="auto" w:fill="auto"/>
            <w:vAlign w:val="bottom"/>
          </w:tcPr>
          <w:p w:rsidR="002F5B1F" w:rsidRPr="00C034B2" w:rsidRDefault="00D639CC" w:rsidP="00D639CC">
            <w:pPr>
              <w:pStyle w:val="Tabletext"/>
            </w:pPr>
            <w:r w:rsidRPr="00C034B2">
              <w:t>Connection of temporary supply:</w:t>
            </w:r>
          </w:p>
        </w:tc>
        <w:tc>
          <w:tcPr>
            <w:tcW w:w="1654" w:type="dxa"/>
            <w:tcBorders>
              <w:bottom w:val="nil"/>
            </w:tcBorders>
            <w:shd w:val="clear" w:color="auto" w:fill="auto"/>
          </w:tcPr>
          <w:p w:rsidR="002F5B1F" w:rsidRPr="00C034B2" w:rsidRDefault="002F5B1F" w:rsidP="0009433C">
            <w:pPr>
              <w:pStyle w:val="Tabletext"/>
              <w:jc w:val="right"/>
            </w:pPr>
          </w:p>
        </w:tc>
      </w:tr>
      <w:tr w:rsidR="002F5B1F" w:rsidRPr="00C034B2" w:rsidTr="0009433C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2F5B1F" w:rsidRPr="00C034B2" w:rsidRDefault="002F5B1F" w:rsidP="006E1495">
            <w:pPr>
              <w:pStyle w:val="Tabletext"/>
            </w:pPr>
          </w:p>
        </w:tc>
        <w:tc>
          <w:tcPr>
            <w:tcW w:w="59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5B1F" w:rsidRPr="00C034B2" w:rsidRDefault="002F5B1F" w:rsidP="00CE5AF7">
            <w:pPr>
              <w:pStyle w:val="Tablea"/>
            </w:pPr>
            <w:r w:rsidRPr="00C034B2">
              <w:t>(a) single phase (overhead)</w:t>
            </w:r>
            <w:r w:rsidR="00466BC2" w:rsidRPr="00C034B2">
              <w:t>;</w:t>
            </w:r>
          </w:p>
        </w:tc>
        <w:tc>
          <w:tcPr>
            <w:tcW w:w="1654" w:type="dxa"/>
            <w:tcBorders>
              <w:top w:val="nil"/>
              <w:bottom w:val="nil"/>
            </w:tcBorders>
            <w:shd w:val="clear" w:color="auto" w:fill="auto"/>
          </w:tcPr>
          <w:p w:rsidR="002F5B1F" w:rsidRPr="00C034B2" w:rsidRDefault="002F5B1F" w:rsidP="0009433C">
            <w:pPr>
              <w:pStyle w:val="Tabletext"/>
              <w:jc w:val="right"/>
            </w:pPr>
            <w:r w:rsidRPr="00C034B2">
              <w:t>968.52</w:t>
            </w:r>
          </w:p>
        </w:tc>
      </w:tr>
      <w:tr w:rsidR="002F5B1F" w:rsidRPr="00C034B2" w:rsidTr="0009433C"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5B1F" w:rsidRPr="00C034B2" w:rsidRDefault="002F5B1F" w:rsidP="006E1495">
            <w:pPr>
              <w:pStyle w:val="Tabletext"/>
            </w:pPr>
          </w:p>
        </w:tc>
        <w:tc>
          <w:tcPr>
            <w:tcW w:w="594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F5B1F" w:rsidRPr="00C034B2" w:rsidRDefault="002F5B1F" w:rsidP="004D2D2E">
            <w:pPr>
              <w:pStyle w:val="Tablea"/>
            </w:pPr>
            <w:r w:rsidRPr="00C034B2">
              <w:t xml:space="preserve">(b) </w:t>
            </w:r>
            <w:r w:rsidR="004D2D2E" w:rsidRPr="00C034B2">
              <w:t>3</w:t>
            </w:r>
            <w:r w:rsidRPr="00C034B2">
              <w:t xml:space="preserve"> phase (overhead)</w:t>
            </w:r>
          </w:p>
        </w:tc>
        <w:tc>
          <w:tcPr>
            <w:tcW w:w="16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5B1F" w:rsidRPr="00C034B2" w:rsidRDefault="002F5B1F" w:rsidP="0009433C">
            <w:pPr>
              <w:pStyle w:val="Tabletext"/>
              <w:jc w:val="right"/>
            </w:pPr>
            <w:r w:rsidRPr="00C034B2">
              <w:t>968.52</w:t>
            </w:r>
          </w:p>
        </w:tc>
      </w:tr>
      <w:tr w:rsidR="002F5B1F" w:rsidRPr="00C034B2" w:rsidTr="0009433C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F5B1F" w:rsidRPr="00C034B2" w:rsidRDefault="002F5B1F" w:rsidP="006E1495">
            <w:pPr>
              <w:pStyle w:val="Tabletext"/>
            </w:pPr>
            <w:r w:rsidRPr="00C034B2">
              <w:t>5</w:t>
            </w:r>
          </w:p>
        </w:tc>
        <w:tc>
          <w:tcPr>
            <w:tcW w:w="594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2F5B1F" w:rsidRPr="00C034B2" w:rsidRDefault="002F5B1F" w:rsidP="006E1495">
            <w:pPr>
              <w:pStyle w:val="Tabletext"/>
            </w:pPr>
            <w:r w:rsidRPr="00C034B2">
              <w:t xml:space="preserve">Meter </w:t>
            </w:r>
            <w:r w:rsidR="00D639CC" w:rsidRPr="00C034B2">
              <w:t>testing:</w:t>
            </w:r>
          </w:p>
        </w:tc>
        <w:tc>
          <w:tcPr>
            <w:tcW w:w="165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F5B1F" w:rsidRPr="00C034B2" w:rsidRDefault="002F5B1F" w:rsidP="0009433C">
            <w:pPr>
              <w:pStyle w:val="Tabletext"/>
              <w:jc w:val="right"/>
            </w:pPr>
          </w:p>
        </w:tc>
      </w:tr>
      <w:tr w:rsidR="002F5B1F" w:rsidRPr="00C034B2" w:rsidTr="0009433C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2F5B1F" w:rsidRPr="00C034B2" w:rsidRDefault="002F5B1F" w:rsidP="006E1495">
            <w:pPr>
              <w:pStyle w:val="Tabletext"/>
            </w:pPr>
          </w:p>
        </w:tc>
        <w:tc>
          <w:tcPr>
            <w:tcW w:w="59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5B1F" w:rsidRPr="00C034B2" w:rsidRDefault="00D639CC" w:rsidP="00D639CC">
            <w:pPr>
              <w:pStyle w:val="Tablea"/>
            </w:pPr>
            <w:r w:rsidRPr="00C034B2">
              <w:t xml:space="preserve">(a) </w:t>
            </w:r>
            <w:r w:rsidR="00AA60C4" w:rsidRPr="00C034B2">
              <w:t xml:space="preserve">if </w:t>
            </w:r>
            <w:r w:rsidR="00C034B2" w:rsidRPr="00C034B2">
              <w:t>paragraph (</w:t>
            </w:r>
            <w:r w:rsidR="00AA60C4" w:rsidRPr="00C034B2">
              <w:t>b) does not apply (standard)</w:t>
            </w:r>
            <w:r w:rsidRPr="00C034B2">
              <w:t>;</w:t>
            </w:r>
          </w:p>
        </w:tc>
        <w:tc>
          <w:tcPr>
            <w:tcW w:w="1654" w:type="dxa"/>
            <w:tcBorders>
              <w:top w:val="nil"/>
              <w:bottom w:val="nil"/>
            </w:tcBorders>
            <w:shd w:val="clear" w:color="auto" w:fill="auto"/>
          </w:tcPr>
          <w:p w:rsidR="002F5B1F" w:rsidRPr="00C034B2" w:rsidRDefault="002F5B1F" w:rsidP="0009433C">
            <w:pPr>
              <w:pStyle w:val="Tabletext"/>
              <w:jc w:val="right"/>
            </w:pPr>
            <w:r w:rsidRPr="00C034B2">
              <w:t>139.56</w:t>
            </w:r>
          </w:p>
        </w:tc>
      </w:tr>
      <w:tr w:rsidR="002F5B1F" w:rsidRPr="00C034B2" w:rsidTr="0009433C"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5B1F" w:rsidRPr="00C034B2" w:rsidRDefault="002F5B1F" w:rsidP="006E1495">
            <w:pPr>
              <w:pStyle w:val="Tabletext"/>
            </w:pPr>
          </w:p>
        </w:tc>
        <w:tc>
          <w:tcPr>
            <w:tcW w:w="594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F5B1F" w:rsidRPr="00C034B2" w:rsidRDefault="00D639CC" w:rsidP="0080628C">
            <w:pPr>
              <w:pStyle w:val="Tablea"/>
            </w:pPr>
            <w:r w:rsidRPr="00C034B2">
              <w:t xml:space="preserve">(b) </w:t>
            </w:r>
            <w:r w:rsidR="00B26130" w:rsidRPr="00C034B2">
              <w:t>for a</w:t>
            </w:r>
            <w:r w:rsidR="0080628C" w:rsidRPr="00C034B2">
              <w:t xml:space="preserve"> consumer</w:t>
            </w:r>
            <w:r w:rsidR="00B26130" w:rsidRPr="00C034B2">
              <w:t xml:space="preserve"> entitled to a rebate under subsection</w:t>
            </w:r>
            <w:r w:rsidR="00C034B2" w:rsidRPr="00C034B2">
              <w:t> </w:t>
            </w:r>
            <w:r w:rsidR="00E1037F" w:rsidRPr="00C034B2">
              <w:t>7</w:t>
            </w:r>
            <w:r w:rsidR="00B26130" w:rsidRPr="00C034B2">
              <w:t>(1)</w:t>
            </w:r>
          </w:p>
        </w:tc>
        <w:tc>
          <w:tcPr>
            <w:tcW w:w="16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5B1F" w:rsidRPr="00C034B2" w:rsidRDefault="002F5B1F" w:rsidP="0009433C">
            <w:pPr>
              <w:pStyle w:val="Tabletext"/>
              <w:jc w:val="right"/>
            </w:pPr>
            <w:r w:rsidRPr="00C034B2">
              <w:t>128.36</w:t>
            </w:r>
          </w:p>
        </w:tc>
      </w:tr>
      <w:tr w:rsidR="002F5B1F" w:rsidRPr="00C034B2" w:rsidTr="0009433C">
        <w:tc>
          <w:tcPr>
            <w:tcW w:w="71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F5B1F" w:rsidRPr="00C034B2" w:rsidRDefault="002F5B1F" w:rsidP="006E1495">
            <w:pPr>
              <w:pStyle w:val="Tabletext"/>
            </w:pPr>
            <w:r w:rsidRPr="00C034B2">
              <w:t>6</w:t>
            </w:r>
          </w:p>
        </w:tc>
        <w:tc>
          <w:tcPr>
            <w:tcW w:w="594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2F5B1F" w:rsidRPr="00C034B2" w:rsidRDefault="002F5B1F" w:rsidP="00D639CC">
            <w:pPr>
              <w:pStyle w:val="Tabletext"/>
            </w:pPr>
            <w:r w:rsidRPr="00C034B2">
              <w:t>Disconnection of overhead service leads following unauthorised reconnection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F5B1F" w:rsidRPr="00C034B2" w:rsidRDefault="002F5B1F" w:rsidP="0009433C">
            <w:pPr>
              <w:pStyle w:val="Tabletext"/>
              <w:jc w:val="right"/>
            </w:pPr>
            <w:r w:rsidRPr="00C034B2">
              <w:t>378.29</w:t>
            </w:r>
          </w:p>
        </w:tc>
      </w:tr>
      <w:tr w:rsidR="002F5B1F" w:rsidRPr="00C034B2" w:rsidTr="0009433C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F5B1F" w:rsidRPr="00C034B2" w:rsidRDefault="002F5B1F" w:rsidP="006E1495">
            <w:pPr>
              <w:pStyle w:val="Tabletext"/>
            </w:pPr>
            <w:r w:rsidRPr="00C034B2">
              <w:t>7</w:t>
            </w:r>
          </w:p>
        </w:tc>
        <w:tc>
          <w:tcPr>
            <w:tcW w:w="5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2F5B1F" w:rsidRPr="00C034B2" w:rsidRDefault="002F5B1F" w:rsidP="006E1495">
            <w:pPr>
              <w:pStyle w:val="Tabletext"/>
            </w:pPr>
            <w:r w:rsidRPr="00C034B2">
              <w:t>Special meter reading requested by consumer</w:t>
            </w:r>
          </w:p>
        </w:tc>
        <w:tc>
          <w:tcPr>
            <w:tcW w:w="16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F5B1F" w:rsidRPr="00C034B2" w:rsidRDefault="002F5B1F" w:rsidP="0009433C">
            <w:pPr>
              <w:pStyle w:val="Tabletext"/>
              <w:jc w:val="right"/>
            </w:pPr>
            <w:r w:rsidRPr="00C034B2">
              <w:t>20.90</w:t>
            </w:r>
          </w:p>
        </w:tc>
      </w:tr>
      <w:tr w:rsidR="002F5B1F" w:rsidRPr="00C034B2" w:rsidTr="0009433C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F5B1F" w:rsidRPr="00C034B2" w:rsidRDefault="002F5B1F" w:rsidP="006E1495">
            <w:pPr>
              <w:pStyle w:val="Tabletext"/>
            </w:pPr>
            <w:r w:rsidRPr="00C034B2">
              <w:t>8</w:t>
            </w:r>
          </w:p>
        </w:tc>
        <w:tc>
          <w:tcPr>
            <w:tcW w:w="594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F5B1F" w:rsidRPr="00C034B2" w:rsidRDefault="00E53F98" w:rsidP="00BB4A11">
            <w:pPr>
              <w:pStyle w:val="Tabletext"/>
            </w:pPr>
            <w:r w:rsidRPr="00C034B2">
              <w:t>Disconnection warning</w:t>
            </w:r>
          </w:p>
        </w:tc>
        <w:tc>
          <w:tcPr>
            <w:tcW w:w="165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F5B1F" w:rsidRPr="00C034B2" w:rsidRDefault="002F5B1F" w:rsidP="0009433C">
            <w:pPr>
              <w:pStyle w:val="Tabletext"/>
              <w:jc w:val="right"/>
            </w:pPr>
            <w:r w:rsidRPr="00C034B2">
              <w:t>5.00</w:t>
            </w:r>
          </w:p>
        </w:tc>
      </w:tr>
    </w:tbl>
    <w:p w:rsidR="001C7797" w:rsidRPr="00C034B2" w:rsidRDefault="001C7797" w:rsidP="001C7797">
      <w:pPr>
        <w:pStyle w:val="Tabletext"/>
      </w:pPr>
      <w:bookmarkStart w:id="24" w:name="BKCheck15B_4"/>
      <w:bookmarkEnd w:id="24"/>
    </w:p>
    <w:p w:rsidR="00524FC5" w:rsidRPr="00C034B2" w:rsidRDefault="00516E0E" w:rsidP="00D611F2">
      <w:pPr>
        <w:pStyle w:val="notetext"/>
        <w:sectPr w:rsidR="00524FC5" w:rsidRPr="00C034B2" w:rsidSect="00C37E99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  <w:r w:rsidRPr="00C034B2">
        <w:t>Note:</w:t>
      </w:r>
      <w:r w:rsidRPr="00C034B2">
        <w:tab/>
        <w:t>For exemptions for eligible persons, see section</w:t>
      </w:r>
      <w:r w:rsidR="00C034B2" w:rsidRPr="00C034B2">
        <w:t> </w:t>
      </w:r>
      <w:r w:rsidR="00E1037F" w:rsidRPr="00C034B2">
        <w:t>7</w:t>
      </w:r>
      <w:r w:rsidRPr="00C034B2">
        <w:t>.</w:t>
      </w:r>
    </w:p>
    <w:p w:rsidR="00B15111" w:rsidRPr="00C034B2" w:rsidRDefault="00B15111" w:rsidP="003827B1">
      <w:pPr>
        <w:rPr>
          <w:b/>
          <w:i/>
        </w:rPr>
      </w:pPr>
    </w:p>
    <w:sectPr w:rsidR="00B15111" w:rsidRPr="00C034B2" w:rsidSect="00C37E99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F7" w:rsidRDefault="00CE5AF7" w:rsidP="00715914">
      <w:pPr>
        <w:spacing w:line="240" w:lineRule="auto"/>
      </w:pPr>
      <w:r>
        <w:separator/>
      </w:r>
    </w:p>
  </w:endnote>
  <w:endnote w:type="continuationSeparator" w:id="0">
    <w:p w:rsidR="00CE5AF7" w:rsidRDefault="00CE5AF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E99" w:rsidRPr="00C37E99" w:rsidRDefault="00C37E99" w:rsidP="00C37E99">
    <w:pPr>
      <w:pStyle w:val="Footer"/>
      <w:rPr>
        <w:i/>
        <w:sz w:val="18"/>
      </w:rPr>
    </w:pPr>
    <w:r w:rsidRPr="00C37E99">
      <w:rPr>
        <w:i/>
        <w:sz w:val="18"/>
      </w:rPr>
      <w:t>OPC62215 -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F7" w:rsidRPr="00D1021D" w:rsidRDefault="00CE5AF7" w:rsidP="0058644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E5AF7" w:rsidTr="00BE7DD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E5AF7" w:rsidRDefault="00CE5AF7" w:rsidP="00BE7DD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E5AF7" w:rsidRDefault="00CE5AF7" w:rsidP="00BE7D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3154">
            <w:rPr>
              <w:i/>
              <w:sz w:val="18"/>
            </w:rPr>
            <w:t>Christmas Island Utilities and Services (Electricity Supply and Services Fees)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E5AF7" w:rsidRDefault="00CE5AF7" w:rsidP="00BE7D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3154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E5AF7" w:rsidRPr="00D1021D" w:rsidRDefault="00C37E99" w:rsidP="00C37E99">
    <w:pPr>
      <w:rPr>
        <w:i/>
        <w:sz w:val="18"/>
      </w:rPr>
    </w:pPr>
    <w:r w:rsidRPr="00C37E99">
      <w:rPr>
        <w:rFonts w:cs="Times New Roman"/>
        <w:i/>
        <w:sz w:val="18"/>
      </w:rPr>
      <w:t>OPC62215 -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F7" w:rsidRDefault="00CE5AF7">
    <w:pPr>
      <w:pBdr>
        <w:top w:val="single" w:sz="6" w:space="1" w:color="auto"/>
      </w:pBdr>
      <w:rPr>
        <w:sz w:val="18"/>
      </w:rPr>
    </w:pPr>
  </w:p>
  <w:p w:rsidR="00CE5AF7" w:rsidRDefault="00CE5AF7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A23154">
      <w:rPr>
        <w:i/>
        <w:noProof/>
        <w:sz w:val="18"/>
      </w:rPr>
      <w:t>Christmas Island Utilities and Services (Electricity Supply and Services Fees) Determination 2016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A23154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A23154">
      <w:rPr>
        <w:i/>
        <w:noProof/>
        <w:sz w:val="18"/>
      </w:rPr>
      <w:t>9</w:t>
    </w:r>
    <w:r>
      <w:rPr>
        <w:i/>
        <w:sz w:val="18"/>
      </w:rPr>
      <w:fldChar w:fldCharType="end"/>
    </w:r>
  </w:p>
  <w:p w:rsidR="00CE5AF7" w:rsidRDefault="00CE5AF7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F7" w:rsidRPr="00C37E99" w:rsidRDefault="00CE5AF7" w:rsidP="0058644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E5AF7" w:rsidRPr="00C37E99" w:rsidTr="00C034B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E5AF7" w:rsidRPr="00C37E99" w:rsidRDefault="00CE5AF7" w:rsidP="00914AD9">
          <w:pPr>
            <w:spacing w:line="0" w:lineRule="atLeast"/>
            <w:rPr>
              <w:rFonts w:cs="Times New Roman"/>
              <w:i/>
              <w:sz w:val="18"/>
            </w:rPr>
          </w:pPr>
          <w:r w:rsidRPr="00C37E99">
            <w:rPr>
              <w:rFonts w:cs="Times New Roman"/>
              <w:i/>
              <w:sz w:val="18"/>
            </w:rPr>
            <w:fldChar w:fldCharType="begin"/>
          </w:r>
          <w:r w:rsidRPr="00C37E99">
            <w:rPr>
              <w:rFonts w:cs="Times New Roman"/>
              <w:i/>
              <w:sz w:val="18"/>
            </w:rPr>
            <w:instrText xml:space="preserve"> PAGE </w:instrText>
          </w:r>
          <w:r w:rsidRPr="00C37E99">
            <w:rPr>
              <w:rFonts w:cs="Times New Roman"/>
              <w:i/>
              <w:sz w:val="18"/>
            </w:rPr>
            <w:fldChar w:fldCharType="separate"/>
          </w:r>
          <w:r w:rsidR="00A23154">
            <w:rPr>
              <w:rFonts w:cs="Times New Roman"/>
              <w:i/>
              <w:noProof/>
              <w:sz w:val="18"/>
            </w:rPr>
            <w:t>9</w:t>
          </w:r>
          <w:r w:rsidRPr="00C37E9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E5AF7" w:rsidRPr="00C37E99" w:rsidRDefault="00CE5AF7" w:rsidP="00914AD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37E99">
            <w:rPr>
              <w:rFonts w:cs="Times New Roman"/>
              <w:i/>
              <w:sz w:val="18"/>
            </w:rPr>
            <w:fldChar w:fldCharType="begin"/>
          </w:r>
          <w:r w:rsidRPr="00C37E99">
            <w:rPr>
              <w:rFonts w:cs="Times New Roman"/>
              <w:i/>
              <w:sz w:val="18"/>
            </w:rPr>
            <w:instrText xml:space="preserve"> DOCPROPERTY ShortT </w:instrText>
          </w:r>
          <w:r w:rsidRPr="00C37E99">
            <w:rPr>
              <w:rFonts w:cs="Times New Roman"/>
              <w:i/>
              <w:sz w:val="18"/>
            </w:rPr>
            <w:fldChar w:fldCharType="separate"/>
          </w:r>
          <w:r w:rsidR="00A23154">
            <w:rPr>
              <w:rFonts w:cs="Times New Roman"/>
              <w:i/>
              <w:sz w:val="18"/>
            </w:rPr>
            <w:t>Christmas Island Utilities and Services (Electricity Supply and Services Fees) Determination 2016</w:t>
          </w:r>
          <w:r w:rsidRPr="00C37E9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E5AF7" w:rsidRPr="00C37E99" w:rsidRDefault="00CE5AF7" w:rsidP="00914AD9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E5AF7" w:rsidRPr="00C37E99" w:rsidRDefault="00C37E99" w:rsidP="00C37E99">
    <w:pPr>
      <w:rPr>
        <w:rFonts w:cs="Times New Roman"/>
        <w:i/>
        <w:sz w:val="18"/>
      </w:rPr>
    </w:pPr>
    <w:r w:rsidRPr="00C37E99">
      <w:rPr>
        <w:rFonts w:cs="Times New Roman"/>
        <w:i/>
        <w:sz w:val="18"/>
      </w:rPr>
      <w:t>OPC62215 -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F7" w:rsidRPr="00E33C1C" w:rsidRDefault="00CE5AF7" w:rsidP="0058644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E5AF7" w:rsidTr="00914AD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E5AF7" w:rsidRDefault="00CE5AF7" w:rsidP="00914AD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E5AF7" w:rsidRDefault="00CE5AF7" w:rsidP="00914A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3154">
            <w:rPr>
              <w:i/>
              <w:sz w:val="18"/>
            </w:rPr>
            <w:t>Christmas Island Utilities and Services (Electricity Supply and Services Fees)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E5AF7" w:rsidRDefault="00CE5AF7" w:rsidP="00914A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3154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E5AF7" w:rsidRPr="00ED79B6" w:rsidRDefault="00C37E99" w:rsidP="00C37E99">
    <w:pPr>
      <w:rPr>
        <w:i/>
        <w:sz w:val="18"/>
      </w:rPr>
    </w:pPr>
    <w:r w:rsidRPr="00C37E99">
      <w:rPr>
        <w:rFonts w:cs="Times New Roman"/>
        <w:i/>
        <w:sz w:val="18"/>
      </w:rPr>
      <w:t>OPC62215 -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F7" w:rsidRPr="00E33C1C" w:rsidRDefault="00CE5AF7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E5AF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E5AF7" w:rsidRDefault="00CE5AF7" w:rsidP="00914AD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E5AF7" w:rsidRDefault="00CE5AF7" w:rsidP="00914A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3154">
            <w:rPr>
              <w:i/>
              <w:sz w:val="18"/>
            </w:rPr>
            <w:t>Christmas Island Utilities and Services (Electricity Supply and Services Fees)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E5AF7" w:rsidRDefault="00CE5AF7" w:rsidP="00914A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3154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E5AF7" w:rsidRPr="00ED79B6" w:rsidRDefault="00CE5AF7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F7" w:rsidRDefault="00CE5AF7" w:rsidP="0058644D">
    <w:pPr>
      <w:pStyle w:val="Footer"/>
      <w:spacing w:before="120"/>
    </w:pPr>
  </w:p>
  <w:p w:rsidR="00CE5AF7" w:rsidRPr="007500C8" w:rsidRDefault="00C37E99" w:rsidP="00C37E99">
    <w:pPr>
      <w:pStyle w:val="Footer"/>
    </w:pPr>
    <w:r w:rsidRPr="00C37E99">
      <w:rPr>
        <w:i/>
        <w:sz w:val="18"/>
      </w:rPr>
      <w:t>OPC62215 -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F7" w:rsidRPr="00ED79B6" w:rsidRDefault="00CE5AF7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F7" w:rsidRPr="00C37E99" w:rsidRDefault="00CE5AF7" w:rsidP="0058644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E5AF7" w:rsidRPr="00C37E99" w:rsidTr="00C034B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E5AF7" w:rsidRPr="00C37E99" w:rsidRDefault="00CE5AF7" w:rsidP="00914AD9">
          <w:pPr>
            <w:spacing w:line="0" w:lineRule="atLeast"/>
            <w:rPr>
              <w:rFonts w:cs="Times New Roman"/>
              <w:i/>
              <w:sz w:val="18"/>
            </w:rPr>
          </w:pPr>
          <w:r w:rsidRPr="00C37E99">
            <w:rPr>
              <w:rFonts w:cs="Times New Roman"/>
              <w:i/>
              <w:sz w:val="18"/>
            </w:rPr>
            <w:fldChar w:fldCharType="begin"/>
          </w:r>
          <w:r w:rsidRPr="00C37E99">
            <w:rPr>
              <w:rFonts w:cs="Times New Roman"/>
              <w:i/>
              <w:sz w:val="18"/>
            </w:rPr>
            <w:instrText xml:space="preserve"> PAGE </w:instrText>
          </w:r>
          <w:r w:rsidRPr="00C37E99">
            <w:rPr>
              <w:rFonts w:cs="Times New Roman"/>
              <w:i/>
              <w:sz w:val="18"/>
            </w:rPr>
            <w:fldChar w:fldCharType="separate"/>
          </w:r>
          <w:r w:rsidR="00A23154">
            <w:rPr>
              <w:rFonts w:cs="Times New Roman"/>
              <w:i/>
              <w:noProof/>
              <w:sz w:val="18"/>
            </w:rPr>
            <w:t>ix</w:t>
          </w:r>
          <w:r w:rsidRPr="00C37E9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E5AF7" w:rsidRPr="00C37E99" w:rsidRDefault="00CE5AF7" w:rsidP="00914AD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37E99">
            <w:rPr>
              <w:rFonts w:cs="Times New Roman"/>
              <w:i/>
              <w:sz w:val="18"/>
            </w:rPr>
            <w:fldChar w:fldCharType="begin"/>
          </w:r>
          <w:r w:rsidRPr="00C37E99">
            <w:rPr>
              <w:rFonts w:cs="Times New Roman"/>
              <w:i/>
              <w:sz w:val="18"/>
            </w:rPr>
            <w:instrText xml:space="preserve"> DOCPROPERTY ShortT </w:instrText>
          </w:r>
          <w:r w:rsidRPr="00C37E99">
            <w:rPr>
              <w:rFonts w:cs="Times New Roman"/>
              <w:i/>
              <w:sz w:val="18"/>
            </w:rPr>
            <w:fldChar w:fldCharType="separate"/>
          </w:r>
          <w:r w:rsidR="00A23154">
            <w:rPr>
              <w:rFonts w:cs="Times New Roman"/>
              <w:i/>
              <w:sz w:val="18"/>
            </w:rPr>
            <w:t>Christmas Island Utilities and Services (Electricity Supply and Services Fees) Determination 2016</w:t>
          </w:r>
          <w:r w:rsidRPr="00C37E9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E5AF7" w:rsidRPr="00C37E99" w:rsidRDefault="00CE5AF7" w:rsidP="00914AD9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E5AF7" w:rsidRPr="00C37E99" w:rsidRDefault="00C37E99" w:rsidP="00C37E99">
    <w:pPr>
      <w:rPr>
        <w:rFonts w:cs="Times New Roman"/>
        <w:i/>
        <w:sz w:val="18"/>
      </w:rPr>
    </w:pPr>
    <w:r w:rsidRPr="00C37E99">
      <w:rPr>
        <w:rFonts w:cs="Times New Roman"/>
        <w:i/>
        <w:sz w:val="18"/>
      </w:rPr>
      <w:t>OPC62215 -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F7" w:rsidRPr="00E33C1C" w:rsidRDefault="00CE5AF7" w:rsidP="0058644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E5AF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E5AF7" w:rsidRDefault="00CE5AF7" w:rsidP="00914AD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CE5AF7" w:rsidRDefault="00CE5AF7" w:rsidP="00914A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3154">
            <w:rPr>
              <w:i/>
              <w:sz w:val="18"/>
            </w:rPr>
            <w:t>Christmas Island Utilities and Services (Electricity Supply and Services Fees)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E5AF7" w:rsidRDefault="00CE5AF7" w:rsidP="00914A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315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E5AF7" w:rsidRPr="00ED79B6" w:rsidRDefault="00C37E99" w:rsidP="00C37E99">
    <w:pPr>
      <w:rPr>
        <w:i/>
        <w:sz w:val="18"/>
      </w:rPr>
    </w:pPr>
    <w:r w:rsidRPr="00C37E99">
      <w:rPr>
        <w:rFonts w:cs="Times New Roman"/>
        <w:i/>
        <w:sz w:val="18"/>
      </w:rPr>
      <w:t>OPC62215 -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F7" w:rsidRPr="00C37E99" w:rsidRDefault="00CE5AF7" w:rsidP="0058644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CE5AF7" w:rsidRPr="00C37E99" w:rsidTr="00914AD9">
      <w:tc>
        <w:tcPr>
          <w:tcW w:w="418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5AF7" w:rsidRPr="00C37E99" w:rsidRDefault="00CE5AF7" w:rsidP="00914AD9">
          <w:pPr>
            <w:spacing w:line="0" w:lineRule="atLeast"/>
            <w:rPr>
              <w:rFonts w:cs="Times New Roman"/>
              <w:i/>
              <w:sz w:val="18"/>
            </w:rPr>
          </w:pPr>
          <w:r w:rsidRPr="00C37E99">
            <w:rPr>
              <w:rFonts w:cs="Times New Roman"/>
              <w:i/>
              <w:sz w:val="18"/>
            </w:rPr>
            <w:fldChar w:fldCharType="begin"/>
          </w:r>
          <w:r w:rsidRPr="00C37E99">
            <w:rPr>
              <w:rFonts w:cs="Times New Roman"/>
              <w:i/>
              <w:sz w:val="18"/>
            </w:rPr>
            <w:instrText xml:space="preserve"> PAGE </w:instrText>
          </w:r>
          <w:r w:rsidRPr="00C37E99">
            <w:rPr>
              <w:rFonts w:cs="Times New Roman"/>
              <w:i/>
              <w:sz w:val="18"/>
            </w:rPr>
            <w:fldChar w:fldCharType="separate"/>
          </w:r>
          <w:r w:rsidR="00A23154">
            <w:rPr>
              <w:rFonts w:cs="Times New Roman"/>
              <w:i/>
              <w:noProof/>
              <w:sz w:val="18"/>
            </w:rPr>
            <w:t>6</w:t>
          </w:r>
          <w:r w:rsidRPr="00C37E9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5AF7" w:rsidRPr="00C37E99" w:rsidRDefault="00CE5AF7" w:rsidP="00914AD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37E99">
            <w:rPr>
              <w:rFonts w:cs="Times New Roman"/>
              <w:i/>
              <w:sz w:val="18"/>
            </w:rPr>
            <w:fldChar w:fldCharType="begin"/>
          </w:r>
          <w:r w:rsidRPr="00C37E99">
            <w:rPr>
              <w:rFonts w:cs="Times New Roman"/>
              <w:i/>
              <w:sz w:val="18"/>
            </w:rPr>
            <w:instrText xml:space="preserve"> DOCPROPERTY ShortT </w:instrText>
          </w:r>
          <w:r w:rsidRPr="00C37E99">
            <w:rPr>
              <w:rFonts w:cs="Times New Roman"/>
              <w:i/>
              <w:sz w:val="18"/>
            </w:rPr>
            <w:fldChar w:fldCharType="separate"/>
          </w:r>
          <w:r w:rsidR="00A23154">
            <w:rPr>
              <w:rFonts w:cs="Times New Roman"/>
              <w:i/>
              <w:sz w:val="18"/>
            </w:rPr>
            <w:t>Christmas Island Utilities and Services (Electricity Supply and Services Fees) Determination 2016</w:t>
          </w:r>
          <w:r w:rsidRPr="00C37E9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5AF7" w:rsidRPr="00C37E99" w:rsidRDefault="00CE5AF7" w:rsidP="00914AD9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E5AF7" w:rsidRPr="00C37E99" w:rsidRDefault="00CE5AF7" w:rsidP="00914AD9">
    <w:pPr>
      <w:rPr>
        <w:rFonts w:cs="Times New Roman"/>
        <w:i/>
        <w:sz w:val="18"/>
      </w:rPr>
    </w:pPr>
  </w:p>
  <w:p w:rsidR="00CE5AF7" w:rsidRPr="00C37E99" w:rsidRDefault="00C37E99" w:rsidP="00C37E99">
    <w:pPr>
      <w:pStyle w:val="Footer"/>
      <w:rPr>
        <w:i/>
        <w:sz w:val="18"/>
      </w:rPr>
    </w:pPr>
    <w:r w:rsidRPr="00C37E99">
      <w:rPr>
        <w:i/>
        <w:sz w:val="18"/>
      </w:rPr>
      <w:t>OPC62215 -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F7" w:rsidRPr="00E33C1C" w:rsidRDefault="00CE5AF7" w:rsidP="0058644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CE5AF7" w:rsidRPr="003C2F3E" w:rsidTr="00914AD9">
      <w:tc>
        <w:tcPr>
          <w:tcW w:w="817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5AF7" w:rsidRPr="003C2F3E" w:rsidRDefault="00CE5AF7" w:rsidP="00914AD9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5AF7" w:rsidRPr="003C2F3E" w:rsidRDefault="00CE5AF7" w:rsidP="00914AD9">
          <w:pPr>
            <w:spacing w:line="0" w:lineRule="atLeast"/>
            <w:jc w:val="center"/>
            <w:rPr>
              <w:sz w:val="18"/>
            </w:rPr>
          </w:pPr>
          <w:r w:rsidRPr="003C2F3E">
            <w:rPr>
              <w:i/>
              <w:sz w:val="18"/>
            </w:rPr>
            <w:fldChar w:fldCharType="begin"/>
          </w:r>
          <w:r w:rsidRPr="003C2F3E">
            <w:rPr>
              <w:i/>
              <w:sz w:val="18"/>
            </w:rPr>
            <w:instrText xml:space="preserve"> DOCPROPERTY ShortT </w:instrText>
          </w:r>
          <w:r w:rsidRPr="003C2F3E">
            <w:rPr>
              <w:i/>
              <w:sz w:val="18"/>
            </w:rPr>
            <w:fldChar w:fldCharType="separate"/>
          </w:r>
          <w:r w:rsidR="00A23154">
            <w:rPr>
              <w:i/>
              <w:sz w:val="18"/>
            </w:rPr>
            <w:t>Christmas Island Utilities and Services (Electricity Supply and Services Fees) Determination 2016</w:t>
          </w:r>
          <w:r w:rsidRPr="003C2F3E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5AF7" w:rsidRPr="003C2F3E" w:rsidRDefault="00CE5AF7" w:rsidP="00914AD9">
          <w:pPr>
            <w:spacing w:line="0" w:lineRule="atLeast"/>
            <w:jc w:val="right"/>
            <w:rPr>
              <w:sz w:val="18"/>
            </w:rPr>
          </w:pPr>
          <w:r w:rsidRPr="003C2F3E">
            <w:rPr>
              <w:i/>
              <w:sz w:val="18"/>
            </w:rPr>
            <w:fldChar w:fldCharType="begin"/>
          </w:r>
          <w:r w:rsidRPr="003C2F3E">
            <w:rPr>
              <w:i/>
              <w:sz w:val="18"/>
            </w:rPr>
            <w:instrText xml:space="preserve"> PAGE </w:instrText>
          </w:r>
          <w:r w:rsidRPr="003C2F3E">
            <w:rPr>
              <w:i/>
              <w:sz w:val="18"/>
            </w:rPr>
            <w:fldChar w:fldCharType="separate"/>
          </w:r>
          <w:r w:rsidR="00A23154">
            <w:rPr>
              <w:i/>
              <w:noProof/>
              <w:sz w:val="18"/>
            </w:rPr>
            <w:t>5</w:t>
          </w:r>
          <w:r w:rsidRPr="003C2F3E">
            <w:rPr>
              <w:i/>
              <w:sz w:val="18"/>
            </w:rPr>
            <w:fldChar w:fldCharType="end"/>
          </w:r>
        </w:p>
      </w:tc>
    </w:tr>
  </w:tbl>
  <w:p w:rsidR="00CE5AF7" w:rsidRPr="00ED79B6" w:rsidRDefault="00CE5AF7" w:rsidP="00914AD9">
    <w:pPr>
      <w:rPr>
        <w:i/>
        <w:sz w:val="18"/>
      </w:rPr>
    </w:pPr>
  </w:p>
  <w:p w:rsidR="00CE5AF7" w:rsidRPr="00EB1148" w:rsidRDefault="00C37E99" w:rsidP="00C37E99">
    <w:pPr>
      <w:pStyle w:val="Footer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DOCPROPERTY ID \* MERGEFORMAT </w:instrText>
    </w:r>
    <w:r>
      <w:rPr>
        <w:i/>
        <w:sz w:val="18"/>
      </w:rPr>
      <w:fldChar w:fldCharType="separate"/>
    </w:r>
    <w:r w:rsidR="00A23154">
      <w:rPr>
        <w:i/>
        <w:sz w:val="18"/>
      </w:rPr>
      <w:t>OPC62215</w:t>
    </w:r>
    <w:r>
      <w:rPr>
        <w:i/>
        <w:sz w:val="18"/>
      </w:rPr>
      <w:fldChar w:fldCharType="end"/>
    </w:r>
    <w:r w:rsidRPr="00C37E99">
      <w:rPr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F7" w:rsidRPr="00E33C1C" w:rsidRDefault="00CE5AF7" w:rsidP="00914AD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CE5AF7" w:rsidRPr="003C2F3E" w:rsidTr="00914AD9">
      <w:tc>
        <w:tcPr>
          <w:tcW w:w="817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5AF7" w:rsidRPr="003C2F3E" w:rsidRDefault="00CE5AF7" w:rsidP="00914AD9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5AF7" w:rsidRPr="003C2F3E" w:rsidRDefault="00CE5AF7" w:rsidP="00914AD9">
          <w:pPr>
            <w:spacing w:line="0" w:lineRule="atLeast"/>
            <w:jc w:val="center"/>
            <w:rPr>
              <w:sz w:val="18"/>
            </w:rPr>
          </w:pPr>
          <w:r w:rsidRPr="003C2F3E">
            <w:rPr>
              <w:i/>
              <w:sz w:val="18"/>
            </w:rPr>
            <w:fldChar w:fldCharType="begin"/>
          </w:r>
          <w:r w:rsidRPr="003C2F3E">
            <w:rPr>
              <w:i/>
              <w:sz w:val="18"/>
            </w:rPr>
            <w:instrText xml:space="preserve"> DOCPROPERTY ShortT </w:instrText>
          </w:r>
          <w:r w:rsidRPr="003C2F3E">
            <w:rPr>
              <w:i/>
              <w:sz w:val="18"/>
            </w:rPr>
            <w:fldChar w:fldCharType="separate"/>
          </w:r>
          <w:r w:rsidR="00A23154">
            <w:rPr>
              <w:i/>
              <w:sz w:val="18"/>
            </w:rPr>
            <w:t>Christmas Island Utilities and Services (Electricity Supply and Services Fees) Determination 2016</w:t>
          </w:r>
          <w:r w:rsidRPr="003C2F3E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5AF7" w:rsidRPr="003C2F3E" w:rsidRDefault="00CE5AF7" w:rsidP="00914AD9">
          <w:pPr>
            <w:spacing w:line="0" w:lineRule="atLeast"/>
            <w:jc w:val="right"/>
            <w:rPr>
              <w:sz w:val="18"/>
            </w:rPr>
          </w:pPr>
          <w:r w:rsidRPr="003C2F3E">
            <w:rPr>
              <w:i/>
              <w:sz w:val="18"/>
            </w:rPr>
            <w:fldChar w:fldCharType="begin"/>
          </w:r>
          <w:r w:rsidRPr="003C2F3E">
            <w:rPr>
              <w:i/>
              <w:sz w:val="18"/>
            </w:rPr>
            <w:instrText xml:space="preserve"> PAGE </w:instrText>
          </w:r>
          <w:r w:rsidRPr="003C2F3E">
            <w:rPr>
              <w:i/>
              <w:sz w:val="18"/>
            </w:rPr>
            <w:fldChar w:fldCharType="separate"/>
          </w:r>
          <w:r w:rsidR="00A23154">
            <w:rPr>
              <w:i/>
              <w:noProof/>
              <w:sz w:val="18"/>
            </w:rPr>
            <w:t>9</w:t>
          </w:r>
          <w:r w:rsidRPr="003C2F3E">
            <w:rPr>
              <w:i/>
              <w:sz w:val="18"/>
            </w:rPr>
            <w:fldChar w:fldCharType="end"/>
          </w:r>
        </w:p>
      </w:tc>
    </w:tr>
  </w:tbl>
  <w:p w:rsidR="00CE5AF7" w:rsidRPr="00ED79B6" w:rsidRDefault="00CE5AF7" w:rsidP="00914AD9">
    <w:pPr>
      <w:rPr>
        <w:i/>
        <w:sz w:val="18"/>
      </w:rPr>
    </w:pPr>
  </w:p>
  <w:p w:rsidR="00CE5AF7" w:rsidRPr="0085779D" w:rsidRDefault="00CE5AF7" w:rsidP="00914AD9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F7" w:rsidRPr="00C37E99" w:rsidRDefault="00CE5AF7" w:rsidP="0058644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E5AF7" w:rsidRPr="00C37E99" w:rsidTr="00C034B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E5AF7" w:rsidRPr="00C37E99" w:rsidRDefault="00CE5AF7" w:rsidP="00BE7DDD">
          <w:pPr>
            <w:spacing w:line="0" w:lineRule="atLeast"/>
            <w:rPr>
              <w:rFonts w:cs="Times New Roman"/>
              <w:i/>
              <w:sz w:val="18"/>
            </w:rPr>
          </w:pPr>
          <w:r w:rsidRPr="00C37E99">
            <w:rPr>
              <w:rFonts w:cs="Times New Roman"/>
              <w:i/>
              <w:sz w:val="18"/>
            </w:rPr>
            <w:fldChar w:fldCharType="begin"/>
          </w:r>
          <w:r w:rsidRPr="00C37E99">
            <w:rPr>
              <w:rFonts w:cs="Times New Roman"/>
              <w:i/>
              <w:sz w:val="18"/>
            </w:rPr>
            <w:instrText xml:space="preserve"> PAGE </w:instrText>
          </w:r>
          <w:r w:rsidRPr="00C37E99">
            <w:rPr>
              <w:rFonts w:cs="Times New Roman"/>
              <w:i/>
              <w:sz w:val="18"/>
            </w:rPr>
            <w:fldChar w:fldCharType="separate"/>
          </w:r>
          <w:r w:rsidR="00A23154">
            <w:rPr>
              <w:rFonts w:cs="Times New Roman"/>
              <w:i/>
              <w:noProof/>
              <w:sz w:val="18"/>
            </w:rPr>
            <w:t>8</w:t>
          </w:r>
          <w:r w:rsidRPr="00C37E9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E5AF7" w:rsidRPr="00C37E99" w:rsidRDefault="00CE5AF7" w:rsidP="00BE7DDD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37E99">
            <w:rPr>
              <w:rFonts w:cs="Times New Roman"/>
              <w:i/>
              <w:sz w:val="18"/>
            </w:rPr>
            <w:fldChar w:fldCharType="begin"/>
          </w:r>
          <w:r w:rsidRPr="00C37E99">
            <w:rPr>
              <w:rFonts w:cs="Times New Roman"/>
              <w:i/>
              <w:sz w:val="18"/>
            </w:rPr>
            <w:instrText xml:space="preserve"> DOCPROPERTY ShortT </w:instrText>
          </w:r>
          <w:r w:rsidRPr="00C37E99">
            <w:rPr>
              <w:rFonts w:cs="Times New Roman"/>
              <w:i/>
              <w:sz w:val="18"/>
            </w:rPr>
            <w:fldChar w:fldCharType="separate"/>
          </w:r>
          <w:r w:rsidR="00A23154">
            <w:rPr>
              <w:rFonts w:cs="Times New Roman"/>
              <w:i/>
              <w:sz w:val="18"/>
            </w:rPr>
            <w:t>Christmas Island Utilities and Services (Electricity Supply and Services Fees) Determination 2016</w:t>
          </w:r>
          <w:r w:rsidRPr="00C37E9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E5AF7" w:rsidRPr="00C37E99" w:rsidRDefault="00CE5AF7" w:rsidP="00BE7DDD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E5AF7" w:rsidRPr="00C37E99" w:rsidRDefault="00C37E99" w:rsidP="00C37E99">
    <w:pPr>
      <w:rPr>
        <w:rFonts w:cs="Times New Roman"/>
        <w:i/>
        <w:sz w:val="18"/>
      </w:rPr>
    </w:pPr>
    <w:r w:rsidRPr="00C37E99">
      <w:rPr>
        <w:rFonts w:cs="Times New Roman"/>
        <w:i/>
        <w:sz w:val="18"/>
      </w:rPr>
      <w:t>OPC62215 -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F7" w:rsidRDefault="00CE5AF7" w:rsidP="00715914">
      <w:pPr>
        <w:spacing w:line="240" w:lineRule="auto"/>
      </w:pPr>
      <w:r>
        <w:separator/>
      </w:r>
    </w:p>
  </w:footnote>
  <w:footnote w:type="continuationSeparator" w:id="0">
    <w:p w:rsidR="00CE5AF7" w:rsidRDefault="00CE5AF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F7" w:rsidRPr="005F1388" w:rsidRDefault="00CE5AF7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F7" w:rsidRPr="00D1021D" w:rsidRDefault="00CE5AF7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="00A23154">
      <w:rPr>
        <w:sz w:val="20"/>
      </w:rPr>
      <w:fldChar w:fldCharType="separate"/>
    </w:r>
    <w:r w:rsidR="00A23154">
      <w:rPr>
        <w:noProof/>
        <w:sz w:val="20"/>
      </w:rPr>
      <w:t>Fixed fees for the supply of services related to the supply of electricity</w: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="00A23154">
      <w:rPr>
        <w:b/>
        <w:sz w:val="20"/>
      </w:rPr>
      <w:fldChar w:fldCharType="separate"/>
    </w:r>
    <w:r w:rsidR="00A23154">
      <w:rPr>
        <w:b/>
        <w:noProof/>
        <w:sz w:val="20"/>
      </w:rPr>
      <w:t>Schedule 3</w:t>
    </w:r>
    <w:r w:rsidRPr="00D1021D">
      <w:rPr>
        <w:b/>
        <w:sz w:val="20"/>
      </w:rPr>
      <w:fldChar w:fldCharType="end"/>
    </w:r>
  </w:p>
  <w:p w:rsidR="00CE5AF7" w:rsidRPr="00D1021D" w:rsidRDefault="00CE5AF7">
    <w:pPr>
      <w:jc w:val="right"/>
      <w:rPr>
        <w:b/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</w:p>
  <w:p w:rsidR="00CE5AF7" w:rsidRPr="00D1021D" w:rsidRDefault="00CE5AF7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</w:p>
  <w:p w:rsidR="00CE5AF7" w:rsidRPr="00D1021D" w:rsidRDefault="00CE5AF7">
    <w:pPr>
      <w:jc w:val="right"/>
      <w:rPr>
        <w:b/>
      </w:rPr>
    </w:pPr>
  </w:p>
  <w:p w:rsidR="00CE5AF7" w:rsidRPr="00D1021D" w:rsidRDefault="00CE5AF7" w:rsidP="0058644D">
    <w:pPr>
      <w:pBdr>
        <w:bottom w:val="single" w:sz="6" w:space="1" w:color="auto"/>
      </w:pBdr>
      <w:spacing w:after="120"/>
      <w:jc w:val="right"/>
    </w:pPr>
    <w:r w:rsidRPr="00D1021D">
      <w:t xml:space="preserve">Clause </w:t>
    </w:r>
    <w:r w:rsidR="00A23154">
      <w:fldChar w:fldCharType="begin"/>
    </w:r>
    <w:r w:rsidR="00A23154">
      <w:instrText xml:space="preserve"> STYLEREF CharSectno </w:instrText>
    </w:r>
    <w:r w:rsidR="00A23154">
      <w:fldChar w:fldCharType="separate"/>
    </w:r>
    <w:r w:rsidR="00A23154">
      <w:rPr>
        <w:noProof/>
      </w:rPr>
      <w:t>1</w:t>
    </w:r>
    <w:r w:rsidR="00A23154">
      <w:rPr>
        <w:noProof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F7" w:rsidRDefault="00CE5AF7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F7" w:rsidRDefault="00CE5AF7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A23154">
      <w:rPr>
        <w:b/>
        <w:noProof/>
        <w:sz w:val="20"/>
      </w:rPr>
      <w:t>Schedule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A23154">
      <w:rPr>
        <w:noProof/>
        <w:sz w:val="20"/>
      </w:rPr>
      <w:t>Fixed fees for the supply of services related to the supply of electricity</w:t>
    </w:r>
    <w:r>
      <w:rPr>
        <w:sz w:val="20"/>
      </w:rPr>
      <w:fldChar w:fldCharType="end"/>
    </w:r>
  </w:p>
  <w:p w:rsidR="00CE5AF7" w:rsidRDefault="00CE5AF7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CE5AF7" w:rsidRPr="007A1328" w:rsidRDefault="00CE5AF7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E5AF7" w:rsidRPr="007A1328" w:rsidRDefault="00CE5AF7" w:rsidP="00715914">
    <w:pPr>
      <w:rPr>
        <w:b/>
        <w:sz w:val="24"/>
      </w:rPr>
    </w:pPr>
  </w:p>
  <w:p w:rsidR="00CE5AF7" w:rsidRPr="007A1328" w:rsidRDefault="00CE5AF7" w:rsidP="0058644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2315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23154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F7" w:rsidRPr="007A1328" w:rsidRDefault="00CE5AF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A23154">
      <w:rPr>
        <w:noProof/>
        <w:sz w:val="20"/>
      </w:rPr>
      <w:t>Fixed fees for the supply of services related to the supply of electricity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A23154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:rsidR="00CE5AF7" w:rsidRPr="007A1328" w:rsidRDefault="00CE5AF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CE5AF7" w:rsidRPr="007A1328" w:rsidRDefault="00CE5AF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E5AF7" w:rsidRPr="007A1328" w:rsidRDefault="00CE5AF7" w:rsidP="00715914">
    <w:pPr>
      <w:jc w:val="right"/>
      <w:rPr>
        <w:b/>
        <w:sz w:val="24"/>
      </w:rPr>
    </w:pPr>
  </w:p>
  <w:p w:rsidR="00CE5AF7" w:rsidRPr="007A1328" w:rsidRDefault="00CE5AF7" w:rsidP="0058644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2315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23154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F7" w:rsidRPr="007A1328" w:rsidRDefault="00CE5AF7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F7" w:rsidRPr="005F1388" w:rsidRDefault="00CE5AF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F7" w:rsidRPr="005F1388" w:rsidRDefault="00CE5AF7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F7" w:rsidRPr="00ED79B6" w:rsidRDefault="00CE5AF7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F7" w:rsidRPr="00ED79B6" w:rsidRDefault="00CE5AF7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F7" w:rsidRPr="00ED79B6" w:rsidRDefault="00CE5AF7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F7" w:rsidRDefault="00CE5AF7" w:rsidP="00C30F7D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CE5AF7" w:rsidRDefault="00CE5AF7" w:rsidP="00C30F7D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A23154">
      <w:rPr>
        <w:b/>
        <w:sz w:val="20"/>
      </w:rPr>
      <w:fldChar w:fldCharType="separate"/>
    </w:r>
    <w:r w:rsidR="00A23154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A23154">
      <w:rPr>
        <w:sz w:val="20"/>
      </w:rPr>
      <w:fldChar w:fldCharType="separate"/>
    </w:r>
    <w:r w:rsidR="00A23154">
      <w:rPr>
        <w:noProof/>
        <w:sz w:val="20"/>
      </w:rPr>
      <w:t>Fees</w:t>
    </w:r>
    <w:r>
      <w:rPr>
        <w:sz w:val="20"/>
      </w:rPr>
      <w:fldChar w:fldCharType="end"/>
    </w:r>
  </w:p>
  <w:p w:rsidR="00CE5AF7" w:rsidRPr="007A1328" w:rsidRDefault="00CE5AF7" w:rsidP="00C30F7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E5AF7" w:rsidRPr="007A1328" w:rsidRDefault="00CE5AF7" w:rsidP="00C30F7D">
    <w:pPr>
      <w:rPr>
        <w:b/>
        <w:sz w:val="24"/>
      </w:rPr>
    </w:pPr>
  </w:p>
  <w:p w:rsidR="00CE5AF7" w:rsidRPr="007A1328" w:rsidRDefault="00CE5AF7" w:rsidP="00C30F7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2315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23154">
      <w:rPr>
        <w:noProof/>
        <w:sz w:val="24"/>
      </w:rPr>
      <w:t>10</w:t>
    </w:r>
    <w:r w:rsidRPr="007A1328">
      <w:rPr>
        <w:sz w:val="24"/>
      </w:rPr>
      <w:fldChar w:fldCharType="end"/>
    </w:r>
  </w:p>
  <w:p w:rsidR="00CE5AF7" w:rsidRPr="00C30F7D" w:rsidRDefault="00CE5AF7" w:rsidP="00C30F7D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F7" w:rsidRPr="007A1328" w:rsidRDefault="00CE5AF7" w:rsidP="00C30F7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CE5AF7" w:rsidRPr="007A1328" w:rsidRDefault="00CE5AF7" w:rsidP="00C30F7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A23154">
      <w:rPr>
        <w:sz w:val="20"/>
      </w:rPr>
      <w:fldChar w:fldCharType="separate"/>
    </w:r>
    <w:r w:rsidR="00A23154">
      <w:rPr>
        <w:noProof/>
        <w:sz w:val="20"/>
      </w:rPr>
      <w:t>Fees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A23154">
      <w:rPr>
        <w:b/>
        <w:sz w:val="20"/>
      </w:rPr>
      <w:fldChar w:fldCharType="separate"/>
    </w:r>
    <w:r w:rsidR="00A23154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CE5AF7" w:rsidRPr="007A1328" w:rsidRDefault="00CE5AF7" w:rsidP="00C30F7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E5AF7" w:rsidRPr="007A1328" w:rsidRDefault="00CE5AF7" w:rsidP="00C30F7D">
    <w:pPr>
      <w:jc w:val="right"/>
      <w:rPr>
        <w:b/>
        <w:sz w:val="24"/>
      </w:rPr>
    </w:pPr>
  </w:p>
  <w:p w:rsidR="00CE5AF7" w:rsidRPr="007A1328" w:rsidRDefault="00CE5AF7" w:rsidP="00C30F7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2315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23154">
      <w:rPr>
        <w:noProof/>
        <w:sz w:val="24"/>
      </w:rPr>
      <w:t>8</w:t>
    </w:r>
    <w:r w:rsidRPr="007A1328">
      <w:rPr>
        <w:sz w:val="24"/>
      </w:rPr>
      <w:fldChar w:fldCharType="end"/>
    </w:r>
  </w:p>
  <w:p w:rsidR="00CE5AF7" w:rsidRPr="00C30F7D" w:rsidRDefault="00CE5AF7" w:rsidP="00C30F7D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F7" w:rsidRPr="00D1021D" w:rsidRDefault="00CE5AF7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="00A23154">
      <w:rPr>
        <w:b/>
        <w:sz w:val="20"/>
      </w:rPr>
      <w:fldChar w:fldCharType="separate"/>
    </w:r>
    <w:r w:rsidR="00A23154">
      <w:rPr>
        <w:b/>
        <w:noProof/>
        <w:sz w:val="20"/>
      </w:rPr>
      <w:t>Schedule 2</w: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="00A23154">
      <w:rPr>
        <w:sz w:val="20"/>
      </w:rPr>
      <w:fldChar w:fldCharType="separate"/>
    </w:r>
    <w:r w:rsidR="00A23154">
      <w:rPr>
        <w:noProof/>
        <w:sz w:val="20"/>
      </w:rPr>
      <w:t>Consumption fees for the supply of electricity</w:t>
    </w:r>
    <w:r w:rsidRPr="00D1021D">
      <w:rPr>
        <w:sz w:val="20"/>
      </w:rPr>
      <w:fldChar w:fldCharType="end"/>
    </w:r>
  </w:p>
  <w:p w:rsidR="00CE5AF7" w:rsidRPr="00D1021D" w:rsidRDefault="00CE5AF7">
    <w:pPr>
      <w:rPr>
        <w:b/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</w:p>
  <w:p w:rsidR="00CE5AF7" w:rsidRPr="00D1021D" w:rsidRDefault="00CE5AF7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</w:p>
  <w:p w:rsidR="00CE5AF7" w:rsidRPr="00D1021D" w:rsidRDefault="00CE5AF7">
    <w:pPr>
      <w:rPr>
        <w:b/>
      </w:rPr>
    </w:pPr>
  </w:p>
  <w:p w:rsidR="00CE5AF7" w:rsidRPr="00D1021D" w:rsidRDefault="00CE5AF7" w:rsidP="0058644D">
    <w:pPr>
      <w:pBdr>
        <w:bottom w:val="single" w:sz="6" w:space="1" w:color="auto"/>
      </w:pBdr>
      <w:spacing w:after="120"/>
    </w:pPr>
    <w:r w:rsidRPr="00D1021D">
      <w:t xml:space="preserve">Clause </w:t>
    </w:r>
    <w:r w:rsidR="00A23154">
      <w:fldChar w:fldCharType="begin"/>
    </w:r>
    <w:r w:rsidR="00A23154">
      <w:instrText xml:space="preserve"> STYLEREF CharSectno </w:instrText>
    </w:r>
    <w:r w:rsidR="00A23154">
      <w:fldChar w:fldCharType="separate"/>
    </w:r>
    <w:r w:rsidR="00A23154">
      <w:rPr>
        <w:noProof/>
      </w:rPr>
      <w:t>1</w:t>
    </w:r>
    <w:r w:rsidR="00A2315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76535F"/>
    <w:multiLevelType w:val="hybridMultilevel"/>
    <w:tmpl w:val="785E1B12"/>
    <w:lvl w:ilvl="0" w:tplc="1A36EBD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0DC530C"/>
    <w:multiLevelType w:val="hybridMultilevel"/>
    <w:tmpl w:val="5DC61340"/>
    <w:lvl w:ilvl="0" w:tplc="2DBCFCBC">
      <w:start w:val="1"/>
      <w:numFmt w:val="lowerLetter"/>
      <w:lvlText w:val="(%1)"/>
      <w:lvlJc w:val="left"/>
      <w:pPr>
        <w:ind w:left="17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14" w:hanging="360"/>
      </w:pPr>
    </w:lvl>
    <w:lvl w:ilvl="2" w:tplc="0C09001B" w:tentative="1">
      <w:start w:val="1"/>
      <w:numFmt w:val="lowerRoman"/>
      <w:lvlText w:val="%3."/>
      <w:lvlJc w:val="right"/>
      <w:pPr>
        <w:ind w:left="3234" w:hanging="180"/>
      </w:pPr>
    </w:lvl>
    <w:lvl w:ilvl="3" w:tplc="0C09000F" w:tentative="1">
      <w:start w:val="1"/>
      <w:numFmt w:val="decimal"/>
      <w:lvlText w:val="%4."/>
      <w:lvlJc w:val="left"/>
      <w:pPr>
        <w:ind w:left="3954" w:hanging="360"/>
      </w:pPr>
    </w:lvl>
    <w:lvl w:ilvl="4" w:tplc="0C090019" w:tentative="1">
      <w:start w:val="1"/>
      <w:numFmt w:val="lowerLetter"/>
      <w:lvlText w:val="%5."/>
      <w:lvlJc w:val="left"/>
      <w:pPr>
        <w:ind w:left="4674" w:hanging="360"/>
      </w:pPr>
    </w:lvl>
    <w:lvl w:ilvl="5" w:tplc="0C09001B" w:tentative="1">
      <w:start w:val="1"/>
      <w:numFmt w:val="lowerRoman"/>
      <w:lvlText w:val="%6."/>
      <w:lvlJc w:val="right"/>
      <w:pPr>
        <w:ind w:left="5394" w:hanging="180"/>
      </w:pPr>
    </w:lvl>
    <w:lvl w:ilvl="6" w:tplc="0C09000F" w:tentative="1">
      <w:start w:val="1"/>
      <w:numFmt w:val="decimal"/>
      <w:lvlText w:val="%7."/>
      <w:lvlJc w:val="left"/>
      <w:pPr>
        <w:ind w:left="6114" w:hanging="360"/>
      </w:pPr>
    </w:lvl>
    <w:lvl w:ilvl="7" w:tplc="0C090019" w:tentative="1">
      <w:start w:val="1"/>
      <w:numFmt w:val="lowerLetter"/>
      <w:lvlText w:val="%8."/>
      <w:lvlJc w:val="left"/>
      <w:pPr>
        <w:ind w:left="6834" w:hanging="360"/>
      </w:pPr>
    </w:lvl>
    <w:lvl w:ilvl="8" w:tplc="0C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1F"/>
    <w:rsid w:val="00004470"/>
    <w:rsid w:val="000136AF"/>
    <w:rsid w:val="00042F37"/>
    <w:rsid w:val="000437C1"/>
    <w:rsid w:val="0005365D"/>
    <w:rsid w:val="00053B97"/>
    <w:rsid w:val="00055BA4"/>
    <w:rsid w:val="000614BF"/>
    <w:rsid w:val="00061969"/>
    <w:rsid w:val="0008465A"/>
    <w:rsid w:val="0009433C"/>
    <w:rsid w:val="0009654A"/>
    <w:rsid w:val="000B58FA"/>
    <w:rsid w:val="000C5962"/>
    <w:rsid w:val="000C79A1"/>
    <w:rsid w:val="000D0190"/>
    <w:rsid w:val="000D05EF"/>
    <w:rsid w:val="000D70BF"/>
    <w:rsid w:val="000E2261"/>
    <w:rsid w:val="000E387D"/>
    <w:rsid w:val="000E5FF9"/>
    <w:rsid w:val="000F08BE"/>
    <w:rsid w:val="000F0A3A"/>
    <w:rsid w:val="000F21C1"/>
    <w:rsid w:val="000F541F"/>
    <w:rsid w:val="0010745C"/>
    <w:rsid w:val="00107E31"/>
    <w:rsid w:val="00116D33"/>
    <w:rsid w:val="0012161A"/>
    <w:rsid w:val="00132CEB"/>
    <w:rsid w:val="00142B62"/>
    <w:rsid w:val="0014539C"/>
    <w:rsid w:val="00146893"/>
    <w:rsid w:val="00157B8B"/>
    <w:rsid w:val="00166C2F"/>
    <w:rsid w:val="00172958"/>
    <w:rsid w:val="001809D7"/>
    <w:rsid w:val="0018157C"/>
    <w:rsid w:val="00181702"/>
    <w:rsid w:val="00183428"/>
    <w:rsid w:val="00193273"/>
    <w:rsid w:val="001939E1"/>
    <w:rsid w:val="00194C3E"/>
    <w:rsid w:val="00195382"/>
    <w:rsid w:val="001A179B"/>
    <w:rsid w:val="001B4FEA"/>
    <w:rsid w:val="001B731F"/>
    <w:rsid w:val="001B7D7A"/>
    <w:rsid w:val="001C61C5"/>
    <w:rsid w:val="001C69C4"/>
    <w:rsid w:val="001C7797"/>
    <w:rsid w:val="001D37EF"/>
    <w:rsid w:val="001E1A2D"/>
    <w:rsid w:val="001E34D3"/>
    <w:rsid w:val="001E3590"/>
    <w:rsid w:val="001E7407"/>
    <w:rsid w:val="001F0C48"/>
    <w:rsid w:val="001F26FF"/>
    <w:rsid w:val="001F5D5E"/>
    <w:rsid w:val="001F6219"/>
    <w:rsid w:val="001F6CD4"/>
    <w:rsid w:val="00206C4D"/>
    <w:rsid w:val="0021053C"/>
    <w:rsid w:val="00215AF1"/>
    <w:rsid w:val="002237D2"/>
    <w:rsid w:val="002239CA"/>
    <w:rsid w:val="002321E8"/>
    <w:rsid w:val="00236A4D"/>
    <w:rsid w:val="00236EEC"/>
    <w:rsid w:val="0024010F"/>
    <w:rsid w:val="00240749"/>
    <w:rsid w:val="00243018"/>
    <w:rsid w:val="002438C7"/>
    <w:rsid w:val="002564A4"/>
    <w:rsid w:val="002571BE"/>
    <w:rsid w:val="0026736C"/>
    <w:rsid w:val="00281308"/>
    <w:rsid w:val="00284719"/>
    <w:rsid w:val="00285A69"/>
    <w:rsid w:val="00291AAA"/>
    <w:rsid w:val="00297ECB"/>
    <w:rsid w:val="002A4D31"/>
    <w:rsid w:val="002A7BCF"/>
    <w:rsid w:val="002D043A"/>
    <w:rsid w:val="002D6224"/>
    <w:rsid w:val="002E3F4B"/>
    <w:rsid w:val="002F1AEF"/>
    <w:rsid w:val="002F5B1F"/>
    <w:rsid w:val="00304F8B"/>
    <w:rsid w:val="00306A7E"/>
    <w:rsid w:val="00307765"/>
    <w:rsid w:val="00316543"/>
    <w:rsid w:val="003206FA"/>
    <w:rsid w:val="00324A1A"/>
    <w:rsid w:val="003354D2"/>
    <w:rsid w:val="00335BC6"/>
    <w:rsid w:val="003415D3"/>
    <w:rsid w:val="00344701"/>
    <w:rsid w:val="003455DB"/>
    <w:rsid w:val="00352289"/>
    <w:rsid w:val="00352B0F"/>
    <w:rsid w:val="00353F78"/>
    <w:rsid w:val="00356690"/>
    <w:rsid w:val="00360459"/>
    <w:rsid w:val="0036112D"/>
    <w:rsid w:val="003626B5"/>
    <w:rsid w:val="0037024C"/>
    <w:rsid w:val="00374BC1"/>
    <w:rsid w:val="00376FCC"/>
    <w:rsid w:val="003827B1"/>
    <w:rsid w:val="003B2124"/>
    <w:rsid w:val="003B35E8"/>
    <w:rsid w:val="003B79F8"/>
    <w:rsid w:val="003C2DFF"/>
    <w:rsid w:val="003C3034"/>
    <w:rsid w:val="003C390E"/>
    <w:rsid w:val="003C6231"/>
    <w:rsid w:val="003D0BFE"/>
    <w:rsid w:val="003D5700"/>
    <w:rsid w:val="003E2EE0"/>
    <w:rsid w:val="003E341B"/>
    <w:rsid w:val="003F1542"/>
    <w:rsid w:val="00403E09"/>
    <w:rsid w:val="004116CD"/>
    <w:rsid w:val="004144EC"/>
    <w:rsid w:val="00415165"/>
    <w:rsid w:val="00417EB9"/>
    <w:rsid w:val="00424CA9"/>
    <w:rsid w:val="0043064A"/>
    <w:rsid w:val="00431E9B"/>
    <w:rsid w:val="004379E3"/>
    <w:rsid w:val="0044015E"/>
    <w:rsid w:val="0044291A"/>
    <w:rsid w:val="00444ABD"/>
    <w:rsid w:val="004512D1"/>
    <w:rsid w:val="004569D2"/>
    <w:rsid w:val="00460559"/>
    <w:rsid w:val="004606E3"/>
    <w:rsid w:val="00466BC2"/>
    <w:rsid w:val="00467661"/>
    <w:rsid w:val="004705B7"/>
    <w:rsid w:val="00472DBE"/>
    <w:rsid w:val="00474A19"/>
    <w:rsid w:val="00483A2D"/>
    <w:rsid w:val="00496F97"/>
    <w:rsid w:val="004974ED"/>
    <w:rsid w:val="004A082C"/>
    <w:rsid w:val="004B7674"/>
    <w:rsid w:val="004B7E45"/>
    <w:rsid w:val="004C3713"/>
    <w:rsid w:val="004C6AE8"/>
    <w:rsid w:val="004C7591"/>
    <w:rsid w:val="004D2D2E"/>
    <w:rsid w:val="004D6346"/>
    <w:rsid w:val="004D7539"/>
    <w:rsid w:val="004E063A"/>
    <w:rsid w:val="004E2F29"/>
    <w:rsid w:val="004E7BEC"/>
    <w:rsid w:val="004F4CE5"/>
    <w:rsid w:val="00502AE0"/>
    <w:rsid w:val="005041BD"/>
    <w:rsid w:val="00505D3D"/>
    <w:rsid w:val="00506AF6"/>
    <w:rsid w:val="00507FD9"/>
    <w:rsid w:val="00516B8D"/>
    <w:rsid w:val="00516E0E"/>
    <w:rsid w:val="00524FC5"/>
    <w:rsid w:val="00532F86"/>
    <w:rsid w:val="00537FBC"/>
    <w:rsid w:val="00544934"/>
    <w:rsid w:val="00552727"/>
    <w:rsid w:val="00555DB9"/>
    <w:rsid w:val="005574D1"/>
    <w:rsid w:val="00562EF2"/>
    <w:rsid w:val="005724CA"/>
    <w:rsid w:val="0058058F"/>
    <w:rsid w:val="00584811"/>
    <w:rsid w:val="00585784"/>
    <w:rsid w:val="0058644D"/>
    <w:rsid w:val="00593AA6"/>
    <w:rsid w:val="00594161"/>
    <w:rsid w:val="00594749"/>
    <w:rsid w:val="00597705"/>
    <w:rsid w:val="005977F5"/>
    <w:rsid w:val="005A5946"/>
    <w:rsid w:val="005A7A33"/>
    <w:rsid w:val="005A7A96"/>
    <w:rsid w:val="005B4067"/>
    <w:rsid w:val="005B5C45"/>
    <w:rsid w:val="005B6549"/>
    <w:rsid w:val="005C05FF"/>
    <w:rsid w:val="005C38BA"/>
    <w:rsid w:val="005C3D65"/>
    <w:rsid w:val="005C3F41"/>
    <w:rsid w:val="005D2D09"/>
    <w:rsid w:val="005D3FB0"/>
    <w:rsid w:val="005E3217"/>
    <w:rsid w:val="005E4FDE"/>
    <w:rsid w:val="005E6E69"/>
    <w:rsid w:val="00600219"/>
    <w:rsid w:val="00603DC4"/>
    <w:rsid w:val="00606513"/>
    <w:rsid w:val="00606B1E"/>
    <w:rsid w:val="00620076"/>
    <w:rsid w:val="00620091"/>
    <w:rsid w:val="00621DC2"/>
    <w:rsid w:val="006248D9"/>
    <w:rsid w:val="00635F33"/>
    <w:rsid w:val="006456CC"/>
    <w:rsid w:val="00646488"/>
    <w:rsid w:val="00652DF1"/>
    <w:rsid w:val="00656B2D"/>
    <w:rsid w:val="006631DB"/>
    <w:rsid w:val="0066773A"/>
    <w:rsid w:val="00670EA1"/>
    <w:rsid w:val="00677CC2"/>
    <w:rsid w:val="00680651"/>
    <w:rsid w:val="006812A8"/>
    <w:rsid w:val="00683456"/>
    <w:rsid w:val="00686BFA"/>
    <w:rsid w:val="006905DE"/>
    <w:rsid w:val="0069207B"/>
    <w:rsid w:val="006A33A5"/>
    <w:rsid w:val="006A4ADC"/>
    <w:rsid w:val="006B5789"/>
    <w:rsid w:val="006C30C5"/>
    <w:rsid w:val="006C7F8C"/>
    <w:rsid w:val="006D316D"/>
    <w:rsid w:val="006E03E9"/>
    <w:rsid w:val="006E0AC6"/>
    <w:rsid w:val="006E1495"/>
    <w:rsid w:val="006E158C"/>
    <w:rsid w:val="006E201B"/>
    <w:rsid w:val="006E37CB"/>
    <w:rsid w:val="006E6246"/>
    <w:rsid w:val="006F318F"/>
    <w:rsid w:val="006F4226"/>
    <w:rsid w:val="006F4924"/>
    <w:rsid w:val="0070017E"/>
    <w:rsid w:val="00700B2C"/>
    <w:rsid w:val="007050A2"/>
    <w:rsid w:val="00713084"/>
    <w:rsid w:val="00713E1C"/>
    <w:rsid w:val="00714F20"/>
    <w:rsid w:val="0071590F"/>
    <w:rsid w:val="00715914"/>
    <w:rsid w:val="0072798E"/>
    <w:rsid w:val="00731E00"/>
    <w:rsid w:val="00737CD9"/>
    <w:rsid w:val="007429D8"/>
    <w:rsid w:val="007440B7"/>
    <w:rsid w:val="00747C7D"/>
    <w:rsid w:val="007500C8"/>
    <w:rsid w:val="007541F8"/>
    <w:rsid w:val="00756272"/>
    <w:rsid w:val="0076681A"/>
    <w:rsid w:val="007715C9"/>
    <w:rsid w:val="00771613"/>
    <w:rsid w:val="00773346"/>
    <w:rsid w:val="00774EDD"/>
    <w:rsid w:val="007757EC"/>
    <w:rsid w:val="0078239C"/>
    <w:rsid w:val="007831A7"/>
    <w:rsid w:val="00783E89"/>
    <w:rsid w:val="00793915"/>
    <w:rsid w:val="00797192"/>
    <w:rsid w:val="007A43C8"/>
    <w:rsid w:val="007B3AE5"/>
    <w:rsid w:val="007C2253"/>
    <w:rsid w:val="007D4038"/>
    <w:rsid w:val="007D5A63"/>
    <w:rsid w:val="007D7B81"/>
    <w:rsid w:val="007E163D"/>
    <w:rsid w:val="007E5512"/>
    <w:rsid w:val="007E62D2"/>
    <w:rsid w:val="007E667A"/>
    <w:rsid w:val="007E6CB4"/>
    <w:rsid w:val="007F28C9"/>
    <w:rsid w:val="007F4AF1"/>
    <w:rsid w:val="00800DEE"/>
    <w:rsid w:val="00803587"/>
    <w:rsid w:val="0080542A"/>
    <w:rsid w:val="0080628C"/>
    <w:rsid w:val="00807BD1"/>
    <w:rsid w:val="008117E9"/>
    <w:rsid w:val="00822693"/>
    <w:rsid w:val="00824498"/>
    <w:rsid w:val="00834A45"/>
    <w:rsid w:val="00840190"/>
    <w:rsid w:val="00841D1F"/>
    <w:rsid w:val="008443B2"/>
    <w:rsid w:val="00844C39"/>
    <w:rsid w:val="008510E4"/>
    <w:rsid w:val="0085662D"/>
    <w:rsid w:val="00856A31"/>
    <w:rsid w:val="00864B24"/>
    <w:rsid w:val="00865D65"/>
    <w:rsid w:val="00867B37"/>
    <w:rsid w:val="00874A35"/>
    <w:rsid w:val="008754D0"/>
    <w:rsid w:val="008825D3"/>
    <w:rsid w:val="008855C9"/>
    <w:rsid w:val="00886456"/>
    <w:rsid w:val="00886560"/>
    <w:rsid w:val="00890532"/>
    <w:rsid w:val="008A46E1"/>
    <w:rsid w:val="008A4A0A"/>
    <w:rsid w:val="008A4A9C"/>
    <w:rsid w:val="008A4F43"/>
    <w:rsid w:val="008A6BD4"/>
    <w:rsid w:val="008B2706"/>
    <w:rsid w:val="008C5AAA"/>
    <w:rsid w:val="008D0EE0"/>
    <w:rsid w:val="008D5AE9"/>
    <w:rsid w:val="008E6067"/>
    <w:rsid w:val="008F451C"/>
    <w:rsid w:val="008F54E7"/>
    <w:rsid w:val="00903422"/>
    <w:rsid w:val="009118D8"/>
    <w:rsid w:val="00914AD9"/>
    <w:rsid w:val="00915DF9"/>
    <w:rsid w:val="00915F41"/>
    <w:rsid w:val="009254C3"/>
    <w:rsid w:val="00930D35"/>
    <w:rsid w:val="00932377"/>
    <w:rsid w:val="00932A1B"/>
    <w:rsid w:val="0094095D"/>
    <w:rsid w:val="00947D5A"/>
    <w:rsid w:val="009518BD"/>
    <w:rsid w:val="009532A5"/>
    <w:rsid w:val="00961B09"/>
    <w:rsid w:val="00977488"/>
    <w:rsid w:val="00980246"/>
    <w:rsid w:val="00982242"/>
    <w:rsid w:val="009868E9"/>
    <w:rsid w:val="009A767D"/>
    <w:rsid w:val="009B29A6"/>
    <w:rsid w:val="009B5647"/>
    <w:rsid w:val="009C3B96"/>
    <w:rsid w:val="009D36DC"/>
    <w:rsid w:val="009D68CC"/>
    <w:rsid w:val="009E131A"/>
    <w:rsid w:val="009E1CA3"/>
    <w:rsid w:val="009E2B11"/>
    <w:rsid w:val="009E3344"/>
    <w:rsid w:val="009E438E"/>
    <w:rsid w:val="009E5CFC"/>
    <w:rsid w:val="009E7215"/>
    <w:rsid w:val="00A02EBD"/>
    <w:rsid w:val="00A079CB"/>
    <w:rsid w:val="00A12128"/>
    <w:rsid w:val="00A172E4"/>
    <w:rsid w:val="00A2260C"/>
    <w:rsid w:val="00A22C98"/>
    <w:rsid w:val="00A23154"/>
    <w:rsid w:val="00A231E2"/>
    <w:rsid w:val="00A51885"/>
    <w:rsid w:val="00A54870"/>
    <w:rsid w:val="00A64912"/>
    <w:rsid w:val="00A700FB"/>
    <w:rsid w:val="00A70A74"/>
    <w:rsid w:val="00A74B32"/>
    <w:rsid w:val="00A931F9"/>
    <w:rsid w:val="00AA01AA"/>
    <w:rsid w:val="00AA60C4"/>
    <w:rsid w:val="00AB7E01"/>
    <w:rsid w:val="00AD5641"/>
    <w:rsid w:val="00AD7889"/>
    <w:rsid w:val="00AE0D8C"/>
    <w:rsid w:val="00AE5B35"/>
    <w:rsid w:val="00AF021B"/>
    <w:rsid w:val="00AF06CF"/>
    <w:rsid w:val="00AF4001"/>
    <w:rsid w:val="00B05CF4"/>
    <w:rsid w:val="00B07CDB"/>
    <w:rsid w:val="00B13860"/>
    <w:rsid w:val="00B1462F"/>
    <w:rsid w:val="00B15111"/>
    <w:rsid w:val="00B16A31"/>
    <w:rsid w:val="00B17DFD"/>
    <w:rsid w:val="00B26130"/>
    <w:rsid w:val="00B267DA"/>
    <w:rsid w:val="00B308FE"/>
    <w:rsid w:val="00B33709"/>
    <w:rsid w:val="00B33B3C"/>
    <w:rsid w:val="00B355B8"/>
    <w:rsid w:val="00B43E2B"/>
    <w:rsid w:val="00B50ADC"/>
    <w:rsid w:val="00B5303F"/>
    <w:rsid w:val="00B566B1"/>
    <w:rsid w:val="00B63834"/>
    <w:rsid w:val="00B72328"/>
    <w:rsid w:val="00B72734"/>
    <w:rsid w:val="00B80199"/>
    <w:rsid w:val="00B83204"/>
    <w:rsid w:val="00B91F9C"/>
    <w:rsid w:val="00B9420D"/>
    <w:rsid w:val="00BA1CB9"/>
    <w:rsid w:val="00BA220B"/>
    <w:rsid w:val="00BA2739"/>
    <w:rsid w:val="00BA3A57"/>
    <w:rsid w:val="00BA6322"/>
    <w:rsid w:val="00BA691F"/>
    <w:rsid w:val="00BB4A11"/>
    <w:rsid w:val="00BB4E1A"/>
    <w:rsid w:val="00BB625A"/>
    <w:rsid w:val="00BC015E"/>
    <w:rsid w:val="00BC76AC"/>
    <w:rsid w:val="00BD0ECB"/>
    <w:rsid w:val="00BD1090"/>
    <w:rsid w:val="00BE0F7E"/>
    <w:rsid w:val="00BE2155"/>
    <w:rsid w:val="00BE2213"/>
    <w:rsid w:val="00BE4E3B"/>
    <w:rsid w:val="00BE719A"/>
    <w:rsid w:val="00BE720A"/>
    <w:rsid w:val="00BE7DDD"/>
    <w:rsid w:val="00BF0D73"/>
    <w:rsid w:val="00BF23F1"/>
    <w:rsid w:val="00BF2465"/>
    <w:rsid w:val="00BF6AD2"/>
    <w:rsid w:val="00C034B2"/>
    <w:rsid w:val="00C07FA7"/>
    <w:rsid w:val="00C20826"/>
    <w:rsid w:val="00C25E7F"/>
    <w:rsid w:val="00C2746F"/>
    <w:rsid w:val="00C30F7D"/>
    <w:rsid w:val="00C324A0"/>
    <w:rsid w:val="00C3300F"/>
    <w:rsid w:val="00C37E99"/>
    <w:rsid w:val="00C42086"/>
    <w:rsid w:val="00C42BF8"/>
    <w:rsid w:val="00C45D07"/>
    <w:rsid w:val="00C50043"/>
    <w:rsid w:val="00C5005A"/>
    <w:rsid w:val="00C56673"/>
    <w:rsid w:val="00C66F43"/>
    <w:rsid w:val="00C7573B"/>
    <w:rsid w:val="00C80AA9"/>
    <w:rsid w:val="00C87D08"/>
    <w:rsid w:val="00C93C03"/>
    <w:rsid w:val="00CA38E0"/>
    <w:rsid w:val="00CB2C8E"/>
    <w:rsid w:val="00CB602E"/>
    <w:rsid w:val="00CD3CA4"/>
    <w:rsid w:val="00CE051D"/>
    <w:rsid w:val="00CE1335"/>
    <w:rsid w:val="00CE493D"/>
    <w:rsid w:val="00CE5AF7"/>
    <w:rsid w:val="00CF07FA"/>
    <w:rsid w:val="00CF0BB2"/>
    <w:rsid w:val="00CF2F82"/>
    <w:rsid w:val="00CF3EE8"/>
    <w:rsid w:val="00CF5121"/>
    <w:rsid w:val="00D050E6"/>
    <w:rsid w:val="00D07CD5"/>
    <w:rsid w:val="00D110BC"/>
    <w:rsid w:val="00D13441"/>
    <w:rsid w:val="00D150E7"/>
    <w:rsid w:val="00D23386"/>
    <w:rsid w:val="00D32F65"/>
    <w:rsid w:val="00D352A5"/>
    <w:rsid w:val="00D40C64"/>
    <w:rsid w:val="00D4245D"/>
    <w:rsid w:val="00D52DC2"/>
    <w:rsid w:val="00D53BCC"/>
    <w:rsid w:val="00D57E3D"/>
    <w:rsid w:val="00D611F2"/>
    <w:rsid w:val="00D639CC"/>
    <w:rsid w:val="00D67FAA"/>
    <w:rsid w:val="00D70DFB"/>
    <w:rsid w:val="00D766DF"/>
    <w:rsid w:val="00D84DC9"/>
    <w:rsid w:val="00D936CC"/>
    <w:rsid w:val="00D97942"/>
    <w:rsid w:val="00DA1214"/>
    <w:rsid w:val="00DA186E"/>
    <w:rsid w:val="00DA4116"/>
    <w:rsid w:val="00DB22BA"/>
    <w:rsid w:val="00DB251C"/>
    <w:rsid w:val="00DB448E"/>
    <w:rsid w:val="00DB4630"/>
    <w:rsid w:val="00DB6C48"/>
    <w:rsid w:val="00DC415A"/>
    <w:rsid w:val="00DC4F88"/>
    <w:rsid w:val="00DD1FBC"/>
    <w:rsid w:val="00DD759D"/>
    <w:rsid w:val="00DE62E5"/>
    <w:rsid w:val="00DF4BBB"/>
    <w:rsid w:val="00E01E07"/>
    <w:rsid w:val="00E05704"/>
    <w:rsid w:val="00E1037F"/>
    <w:rsid w:val="00E107CE"/>
    <w:rsid w:val="00E11E44"/>
    <w:rsid w:val="00E12D1C"/>
    <w:rsid w:val="00E27363"/>
    <w:rsid w:val="00E3270E"/>
    <w:rsid w:val="00E338EF"/>
    <w:rsid w:val="00E43DBB"/>
    <w:rsid w:val="00E53F98"/>
    <w:rsid w:val="00E544BB"/>
    <w:rsid w:val="00E55A77"/>
    <w:rsid w:val="00E662CB"/>
    <w:rsid w:val="00E74DC7"/>
    <w:rsid w:val="00E76099"/>
    <w:rsid w:val="00E7785A"/>
    <w:rsid w:val="00E8075A"/>
    <w:rsid w:val="00E92581"/>
    <w:rsid w:val="00E94D5E"/>
    <w:rsid w:val="00E95C45"/>
    <w:rsid w:val="00EA4489"/>
    <w:rsid w:val="00EA7100"/>
    <w:rsid w:val="00EA7F9F"/>
    <w:rsid w:val="00EB1274"/>
    <w:rsid w:val="00EB3921"/>
    <w:rsid w:val="00EB4A4A"/>
    <w:rsid w:val="00ED2BB6"/>
    <w:rsid w:val="00ED34E1"/>
    <w:rsid w:val="00ED3B8D"/>
    <w:rsid w:val="00ED4E3B"/>
    <w:rsid w:val="00EF06BE"/>
    <w:rsid w:val="00EF2E3A"/>
    <w:rsid w:val="00F072A7"/>
    <w:rsid w:val="00F07448"/>
    <w:rsid w:val="00F078DC"/>
    <w:rsid w:val="00F113CD"/>
    <w:rsid w:val="00F25530"/>
    <w:rsid w:val="00F2638F"/>
    <w:rsid w:val="00F3153F"/>
    <w:rsid w:val="00F32BA8"/>
    <w:rsid w:val="00F33AA5"/>
    <w:rsid w:val="00F349F1"/>
    <w:rsid w:val="00F35E67"/>
    <w:rsid w:val="00F37F59"/>
    <w:rsid w:val="00F4350D"/>
    <w:rsid w:val="00F47E0B"/>
    <w:rsid w:val="00F567F7"/>
    <w:rsid w:val="00F62036"/>
    <w:rsid w:val="00F65B52"/>
    <w:rsid w:val="00F67BCA"/>
    <w:rsid w:val="00F73BD6"/>
    <w:rsid w:val="00F83989"/>
    <w:rsid w:val="00F85099"/>
    <w:rsid w:val="00F86A5A"/>
    <w:rsid w:val="00F86E17"/>
    <w:rsid w:val="00F9379C"/>
    <w:rsid w:val="00F9410F"/>
    <w:rsid w:val="00F9632C"/>
    <w:rsid w:val="00FA1E52"/>
    <w:rsid w:val="00FA633D"/>
    <w:rsid w:val="00FB1FBD"/>
    <w:rsid w:val="00FB6225"/>
    <w:rsid w:val="00FC0B46"/>
    <w:rsid w:val="00FC3315"/>
    <w:rsid w:val="00FC58AD"/>
    <w:rsid w:val="00FE4688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34B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1B73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3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3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3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3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3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31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31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31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034B2"/>
  </w:style>
  <w:style w:type="paragraph" w:customStyle="1" w:styleId="OPCParaBase">
    <w:name w:val="OPCParaBase"/>
    <w:qFormat/>
    <w:rsid w:val="00C034B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034B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034B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034B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034B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034B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034B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034B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034B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034B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034B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034B2"/>
  </w:style>
  <w:style w:type="paragraph" w:customStyle="1" w:styleId="Blocks">
    <w:name w:val="Blocks"/>
    <w:aliases w:val="bb"/>
    <w:basedOn w:val="OPCParaBase"/>
    <w:qFormat/>
    <w:rsid w:val="00C034B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034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034B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034B2"/>
    <w:rPr>
      <w:i/>
    </w:rPr>
  </w:style>
  <w:style w:type="paragraph" w:customStyle="1" w:styleId="BoxList">
    <w:name w:val="BoxList"/>
    <w:aliases w:val="bl"/>
    <w:basedOn w:val="BoxText"/>
    <w:qFormat/>
    <w:rsid w:val="00C034B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034B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034B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034B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034B2"/>
  </w:style>
  <w:style w:type="character" w:customStyle="1" w:styleId="CharAmPartText">
    <w:name w:val="CharAmPartText"/>
    <w:basedOn w:val="OPCCharBase"/>
    <w:uiPriority w:val="1"/>
    <w:qFormat/>
    <w:rsid w:val="00C034B2"/>
  </w:style>
  <w:style w:type="character" w:customStyle="1" w:styleId="CharAmSchNo">
    <w:name w:val="CharAmSchNo"/>
    <w:basedOn w:val="OPCCharBase"/>
    <w:uiPriority w:val="1"/>
    <w:qFormat/>
    <w:rsid w:val="00C034B2"/>
  </w:style>
  <w:style w:type="character" w:customStyle="1" w:styleId="CharAmSchText">
    <w:name w:val="CharAmSchText"/>
    <w:basedOn w:val="OPCCharBase"/>
    <w:uiPriority w:val="1"/>
    <w:qFormat/>
    <w:rsid w:val="00C034B2"/>
  </w:style>
  <w:style w:type="character" w:customStyle="1" w:styleId="CharBoldItalic">
    <w:name w:val="CharBoldItalic"/>
    <w:basedOn w:val="OPCCharBase"/>
    <w:uiPriority w:val="1"/>
    <w:qFormat/>
    <w:rsid w:val="00C034B2"/>
    <w:rPr>
      <w:b/>
      <w:i/>
    </w:rPr>
  </w:style>
  <w:style w:type="character" w:customStyle="1" w:styleId="CharChapNo">
    <w:name w:val="CharChapNo"/>
    <w:basedOn w:val="OPCCharBase"/>
    <w:qFormat/>
    <w:rsid w:val="00C034B2"/>
  </w:style>
  <w:style w:type="character" w:customStyle="1" w:styleId="CharChapText">
    <w:name w:val="CharChapText"/>
    <w:basedOn w:val="OPCCharBase"/>
    <w:qFormat/>
    <w:rsid w:val="00C034B2"/>
  </w:style>
  <w:style w:type="character" w:customStyle="1" w:styleId="CharDivNo">
    <w:name w:val="CharDivNo"/>
    <w:basedOn w:val="OPCCharBase"/>
    <w:qFormat/>
    <w:rsid w:val="00C034B2"/>
  </w:style>
  <w:style w:type="character" w:customStyle="1" w:styleId="CharDivText">
    <w:name w:val="CharDivText"/>
    <w:basedOn w:val="OPCCharBase"/>
    <w:qFormat/>
    <w:rsid w:val="00C034B2"/>
  </w:style>
  <w:style w:type="character" w:customStyle="1" w:styleId="CharItalic">
    <w:name w:val="CharItalic"/>
    <w:basedOn w:val="OPCCharBase"/>
    <w:uiPriority w:val="1"/>
    <w:qFormat/>
    <w:rsid w:val="00C034B2"/>
    <w:rPr>
      <w:i/>
    </w:rPr>
  </w:style>
  <w:style w:type="character" w:customStyle="1" w:styleId="CharPartNo">
    <w:name w:val="CharPartNo"/>
    <w:basedOn w:val="OPCCharBase"/>
    <w:qFormat/>
    <w:rsid w:val="00C034B2"/>
  </w:style>
  <w:style w:type="character" w:customStyle="1" w:styleId="CharPartText">
    <w:name w:val="CharPartText"/>
    <w:basedOn w:val="OPCCharBase"/>
    <w:qFormat/>
    <w:rsid w:val="00C034B2"/>
  </w:style>
  <w:style w:type="character" w:customStyle="1" w:styleId="CharSectno">
    <w:name w:val="CharSectno"/>
    <w:basedOn w:val="OPCCharBase"/>
    <w:qFormat/>
    <w:rsid w:val="00C034B2"/>
  </w:style>
  <w:style w:type="character" w:customStyle="1" w:styleId="CharSubdNo">
    <w:name w:val="CharSubdNo"/>
    <w:basedOn w:val="OPCCharBase"/>
    <w:uiPriority w:val="1"/>
    <w:qFormat/>
    <w:rsid w:val="00C034B2"/>
  </w:style>
  <w:style w:type="character" w:customStyle="1" w:styleId="CharSubdText">
    <w:name w:val="CharSubdText"/>
    <w:basedOn w:val="OPCCharBase"/>
    <w:uiPriority w:val="1"/>
    <w:qFormat/>
    <w:rsid w:val="00C034B2"/>
  </w:style>
  <w:style w:type="paragraph" w:customStyle="1" w:styleId="CTA--">
    <w:name w:val="CTA --"/>
    <w:basedOn w:val="OPCParaBase"/>
    <w:next w:val="Normal"/>
    <w:rsid w:val="00C034B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034B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034B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034B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034B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034B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034B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034B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034B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034B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034B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034B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034B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034B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034B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034B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034B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034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034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034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034B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034B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034B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034B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034B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034B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034B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034B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034B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034B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034B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034B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034B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034B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034B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034B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034B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034B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034B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034B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034B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034B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034B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034B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034B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034B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034B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034B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034B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034B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034B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034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034B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034B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034B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034B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034B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034B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034B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034B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C034B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034B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034B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034B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034B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034B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034B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034B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034B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034B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034B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034B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034B2"/>
    <w:rPr>
      <w:sz w:val="16"/>
    </w:rPr>
  </w:style>
  <w:style w:type="table" w:customStyle="1" w:styleId="CFlag">
    <w:name w:val="CFlag"/>
    <w:basedOn w:val="TableNormal"/>
    <w:uiPriority w:val="99"/>
    <w:rsid w:val="00C034B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034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4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3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034B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034B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034B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034B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034B2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034B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034B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034B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034B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034B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034B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034B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034B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034B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034B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034B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034B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034B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034B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034B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034B2"/>
  </w:style>
  <w:style w:type="character" w:customStyle="1" w:styleId="CharSubPartNoCASA">
    <w:name w:val="CharSubPartNo(CASA)"/>
    <w:basedOn w:val="OPCCharBase"/>
    <w:uiPriority w:val="1"/>
    <w:rsid w:val="00C034B2"/>
  </w:style>
  <w:style w:type="paragraph" w:customStyle="1" w:styleId="ENoteTTIndentHeadingSub">
    <w:name w:val="ENoteTTIndentHeadingSub"/>
    <w:aliases w:val="enTTHis"/>
    <w:basedOn w:val="OPCParaBase"/>
    <w:rsid w:val="00C034B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034B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034B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034B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034B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034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034B2"/>
    <w:rPr>
      <w:sz w:val="22"/>
    </w:rPr>
  </w:style>
  <w:style w:type="paragraph" w:customStyle="1" w:styleId="SOTextNote">
    <w:name w:val="SO TextNote"/>
    <w:aliases w:val="sont"/>
    <w:basedOn w:val="SOText"/>
    <w:qFormat/>
    <w:rsid w:val="00C034B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034B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034B2"/>
    <w:rPr>
      <w:sz w:val="22"/>
    </w:rPr>
  </w:style>
  <w:style w:type="paragraph" w:customStyle="1" w:styleId="FileName">
    <w:name w:val="FileName"/>
    <w:basedOn w:val="Normal"/>
    <w:rsid w:val="00C034B2"/>
  </w:style>
  <w:style w:type="paragraph" w:customStyle="1" w:styleId="TableHeading">
    <w:name w:val="TableHeading"/>
    <w:aliases w:val="th"/>
    <w:basedOn w:val="OPCParaBase"/>
    <w:next w:val="Tabletext"/>
    <w:rsid w:val="00C034B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034B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034B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034B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034B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034B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034B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034B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034B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034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034B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034B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B731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B731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1B7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31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3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31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31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31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31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3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EA4489"/>
    <w:rPr>
      <w:rFonts w:eastAsia="Times New Roman" w:cs="Times New Roman"/>
      <w:b/>
      <w:kern w:val="28"/>
      <w:sz w:val="24"/>
      <w:lang w:eastAsia="en-AU"/>
    </w:rPr>
  </w:style>
  <w:style w:type="character" w:styleId="CommentReference">
    <w:name w:val="annotation reference"/>
    <w:uiPriority w:val="99"/>
    <w:semiHidden/>
    <w:unhideWhenUsed/>
    <w:rsid w:val="00EA4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489"/>
    <w:rPr>
      <w:rFonts w:eastAsia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489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34B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1B73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3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3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3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3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3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31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31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31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034B2"/>
  </w:style>
  <w:style w:type="paragraph" w:customStyle="1" w:styleId="OPCParaBase">
    <w:name w:val="OPCParaBase"/>
    <w:qFormat/>
    <w:rsid w:val="00C034B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034B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034B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034B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034B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034B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034B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034B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034B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034B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034B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034B2"/>
  </w:style>
  <w:style w:type="paragraph" w:customStyle="1" w:styleId="Blocks">
    <w:name w:val="Blocks"/>
    <w:aliases w:val="bb"/>
    <w:basedOn w:val="OPCParaBase"/>
    <w:qFormat/>
    <w:rsid w:val="00C034B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034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034B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034B2"/>
    <w:rPr>
      <w:i/>
    </w:rPr>
  </w:style>
  <w:style w:type="paragraph" w:customStyle="1" w:styleId="BoxList">
    <w:name w:val="BoxList"/>
    <w:aliases w:val="bl"/>
    <w:basedOn w:val="BoxText"/>
    <w:qFormat/>
    <w:rsid w:val="00C034B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034B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034B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034B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034B2"/>
  </w:style>
  <w:style w:type="character" w:customStyle="1" w:styleId="CharAmPartText">
    <w:name w:val="CharAmPartText"/>
    <w:basedOn w:val="OPCCharBase"/>
    <w:uiPriority w:val="1"/>
    <w:qFormat/>
    <w:rsid w:val="00C034B2"/>
  </w:style>
  <w:style w:type="character" w:customStyle="1" w:styleId="CharAmSchNo">
    <w:name w:val="CharAmSchNo"/>
    <w:basedOn w:val="OPCCharBase"/>
    <w:uiPriority w:val="1"/>
    <w:qFormat/>
    <w:rsid w:val="00C034B2"/>
  </w:style>
  <w:style w:type="character" w:customStyle="1" w:styleId="CharAmSchText">
    <w:name w:val="CharAmSchText"/>
    <w:basedOn w:val="OPCCharBase"/>
    <w:uiPriority w:val="1"/>
    <w:qFormat/>
    <w:rsid w:val="00C034B2"/>
  </w:style>
  <w:style w:type="character" w:customStyle="1" w:styleId="CharBoldItalic">
    <w:name w:val="CharBoldItalic"/>
    <w:basedOn w:val="OPCCharBase"/>
    <w:uiPriority w:val="1"/>
    <w:qFormat/>
    <w:rsid w:val="00C034B2"/>
    <w:rPr>
      <w:b/>
      <w:i/>
    </w:rPr>
  </w:style>
  <w:style w:type="character" w:customStyle="1" w:styleId="CharChapNo">
    <w:name w:val="CharChapNo"/>
    <w:basedOn w:val="OPCCharBase"/>
    <w:qFormat/>
    <w:rsid w:val="00C034B2"/>
  </w:style>
  <w:style w:type="character" w:customStyle="1" w:styleId="CharChapText">
    <w:name w:val="CharChapText"/>
    <w:basedOn w:val="OPCCharBase"/>
    <w:qFormat/>
    <w:rsid w:val="00C034B2"/>
  </w:style>
  <w:style w:type="character" w:customStyle="1" w:styleId="CharDivNo">
    <w:name w:val="CharDivNo"/>
    <w:basedOn w:val="OPCCharBase"/>
    <w:qFormat/>
    <w:rsid w:val="00C034B2"/>
  </w:style>
  <w:style w:type="character" w:customStyle="1" w:styleId="CharDivText">
    <w:name w:val="CharDivText"/>
    <w:basedOn w:val="OPCCharBase"/>
    <w:qFormat/>
    <w:rsid w:val="00C034B2"/>
  </w:style>
  <w:style w:type="character" w:customStyle="1" w:styleId="CharItalic">
    <w:name w:val="CharItalic"/>
    <w:basedOn w:val="OPCCharBase"/>
    <w:uiPriority w:val="1"/>
    <w:qFormat/>
    <w:rsid w:val="00C034B2"/>
    <w:rPr>
      <w:i/>
    </w:rPr>
  </w:style>
  <w:style w:type="character" w:customStyle="1" w:styleId="CharPartNo">
    <w:name w:val="CharPartNo"/>
    <w:basedOn w:val="OPCCharBase"/>
    <w:qFormat/>
    <w:rsid w:val="00C034B2"/>
  </w:style>
  <w:style w:type="character" w:customStyle="1" w:styleId="CharPartText">
    <w:name w:val="CharPartText"/>
    <w:basedOn w:val="OPCCharBase"/>
    <w:qFormat/>
    <w:rsid w:val="00C034B2"/>
  </w:style>
  <w:style w:type="character" w:customStyle="1" w:styleId="CharSectno">
    <w:name w:val="CharSectno"/>
    <w:basedOn w:val="OPCCharBase"/>
    <w:qFormat/>
    <w:rsid w:val="00C034B2"/>
  </w:style>
  <w:style w:type="character" w:customStyle="1" w:styleId="CharSubdNo">
    <w:name w:val="CharSubdNo"/>
    <w:basedOn w:val="OPCCharBase"/>
    <w:uiPriority w:val="1"/>
    <w:qFormat/>
    <w:rsid w:val="00C034B2"/>
  </w:style>
  <w:style w:type="character" w:customStyle="1" w:styleId="CharSubdText">
    <w:name w:val="CharSubdText"/>
    <w:basedOn w:val="OPCCharBase"/>
    <w:uiPriority w:val="1"/>
    <w:qFormat/>
    <w:rsid w:val="00C034B2"/>
  </w:style>
  <w:style w:type="paragraph" w:customStyle="1" w:styleId="CTA--">
    <w:name w:val="CTA --"/>
    <w:basedOn w:val="OPCParaBase"/>
    <w:next w:val="Normal"/>
    <w:rsid w:val="00C034B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034B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034B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034B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034B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034B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034B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034B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034B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034B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034B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034B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034B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034B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034B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034B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034B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034B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034B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034B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034B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034B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034B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034B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034B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034B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034B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034B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034B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034B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034B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034B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034B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034B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034B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034B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034B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034B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034B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034B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034B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034B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034B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034B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034B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034B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034B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034B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034B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034B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034B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034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034B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034B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034B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034B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034B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034B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034B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034B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C034B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034B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034B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034B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034B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034B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034B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034B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034B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034B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034B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034B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034B2"/>
    <w:rPr>
      <w:sz w:val="16"/>
    </w:rPr>
  </w:style>
  <w:style w:type="table" w:customStyle="1" w:styleId="CFlag">
    <w:name w:val="CFlag"/>
    <w:basedOn w:val="TableNormal"/>
    <w:uiPriority w:val="99"/>
    <w:rsid w:val="00C034B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034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4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3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034B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034B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034B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034B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034B2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034B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034B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034B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034B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034B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034B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034B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034B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034B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034B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034B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034B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034B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034B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034B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034B2"/>
  </w:style>
  <w:style w:type="character" w:customStyle="1" w:styleId="CharSubPartNoCASA">
    <w:name w:val="CharSubPartNo(CASA)"/>
    <w:basedOn w:val="OPCCharBase"/>
    <w:uiPriority w:val="1"/>
    <w:rsid w:val="00C034B2"/>
  </w:style>
  <w:style w:type="paragraph" w:customStyle="1" w:styleId="ENoteTTIndentHeadingSub">
    <w:name w:val="ENoteTTIndentHeadingSub"/>
    <w:aliases w:val="enTTHis"/>
    <w:basedOn w:val="OPCParaBase"/>
    <w:rsid w:val="00C034B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034B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034B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034B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034B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034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034B2"/>
    <w:rPr>
      <w:sz w:val="22"/>
    </w:rPr>
  </w:style>
  <w:style w:type="paragraph" w:customStyle="1" w:styleId="SOTextNote">
    <w:name w:val="SO TextNote"/>
    <w:aliases w:val="sont"/>
    <w:basedOn w:val="SOText"/>
    <w:qFormat/>
    <w:rsid w:val="00C034B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034B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034B2"/>
    <w:rPr>
      <w:sz w:val="22"/>
    </w:rPr>
  </w:style>
  <w:style w:type="paragraph" w:customStyle="1" w:styleId="FileName">
    <w:name w:val="FileName"/>
    <w:basedOn w:val="Normal"/>
    <w:rsid w:val="00C034B2"/>
  </w:style>
  <w:style w:type="paragraph" w:customStyle="1" w:styleId="TableHeading">
    <w:name w:val="TableHeading"/>
    <w:aliases w:val="th"/>
    <w:basedOn w:val="OPCParaBase"/>
    <w:next w:val="Tabletext"/>
    <w:rsid w:val="00C034B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034B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034B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034B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034B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034B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034B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034B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034B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034B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034B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034B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B731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B731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1B7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31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3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31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31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31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31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3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EA4489"/>
    <w:rPr>
      <w:rFonts w:eastAsia="Times New Roman" w:cs="Times New Roman"/>
      <w:b/>
      <w:kern w:val="28"/>
      <w:sz w:val="24"/>
      <w:lang w:eastAsia="en-AU"/>
    </w:rPr>
  </w:style>
  <w:style w:type="character" w:styleId="CommentReference">
    <w:name w:val="annotation reference"/>
    <w:uiPriority w:val="99"/>
    <w:semiHidden/>
    <w:unhideWhenUsed/>
    <w:rsid w:val="00EA4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489"/>
    <w:rPr>
      <w:rFonts w:eastAsia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489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8424F-6A13-432F-99D2-1D734288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13</Pages>
  <Words>2643</Words>
  <Characters>12925</Characters>
  <Application>Microsoft Office Word</Application>
  <DocSecurity>0</DocSecurity>
  <PresentationFormat/>
  <Lines>445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2016-09-08T04:02:00Z</cp:lastPrinted>
  <dcterms:created xsi:type="dcterms:W3CDTF">2016-09-30T07:30:00Z</dcterms:created>
  <dcterms:modified xsi:type="dcterms:W3CDTF">2016-09-30T07:30:00Z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Christmas Island Utilities and Services (Electricity Supply and Services Fees) Determination 2016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OPC62215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Christmas Island Utilities and Services Ordinance 2016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30 September 2016</vt:lpwstr>
  </property>
</Properties>
</file>