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C0" w:rsidRPr="009932DB" w:rsidRDefault="006818C0" w:rsidP="006818C0">
      <w:pPr>
        <w:spacing w:after="120"/>
        <w:contextualSpacing/>
        <w:jc w:val="center"/>
        <w:rPr>
          <w:rFonts w:ascii="Times New Roman" w:hAnsi="Times New Roman"/>
          <w:sz w:val="24"/>
          <w:szCs w:val="24"/>
        </w:rPr>
      </w:pPr>
      <w:r w:rsidRPr="009932DB">
        <w:rPr>
          <w:rFonts w:ascii="Times New Roman" w:hAnsi="Times New Roman"/>
          <w:b/>
          <w:sz w:val="24"/>
          <w:szCs w:val="24"/>
          <w:u w:val="single"/>
        </w:rPr>
        <w:t>EXPLANATORY STATEMENT</w:t>
      </w:r>
    </w:p>
    <w:p w:rsidR="006818C0" w:rsidRPr="009932DB" w:rsidRDefault="006818C0" w:rsidP="00D07DB9">
      <w:pPr>
        <w:spacing w:after="120"/>
        <w:contextualSpacing/>
        <w:rPr>
          <w:rFonts w:ascii="Times New Roman" w:hAnsi="Times New Roman"/>
          <w:b/>
          <w:color w:val="000000" w:themeColor="text1"/>
          <w:sz w:val="24"/>
          <w:szCs w:val="24"/>
        </w:rPr>
      </w:pPr>
    </w:p>
    <w:p w:rsidR="006818C0" w:rsidRPr="009932DB" w:rsidRDefault="006818C0" w:rsidP="006818C0">
      <w:pPr>
        <w:spacing w:after="120"/>
        <w:contextualSpacing/>
        <w:jc w:val="center"/>
        <w:rPr>
          <w:rFonts w:ascii="Times New Roman" w:hAnsi="Times New Roman"/>
          <w:b/>
          <w:color w:val="000000" w:themeColor="text1"/>
          <w:sz w:val="24"/>
          <w:szCs w:val="24"/>
        </w:rPr>
      </w:pPr>
      <w:r w:rsidRPr="009932DB">
        <w:rPr>
          <w:rFonts w:ascii="Times New Roman" w:hAnsi="Times New Roman"/>
          <w:b/>
          <w:color w:val="000000" w:themeColor="text1"/>
          <w:sz w:val="24"/>
          <w:szCs w:val="24"/>
        </w:rPr>
        <w:t>Issued by the Authority of the Minister for Finance</w:t>
      </w:r>
    </w:p>
    <w:p w:rsidR="006818C0" w:rsidRPr="009932DB" w:rsidRDefault="006818C0" w:rsidP="006818C0">
      <w:pPr>
        <w:tabs>
          <w:tab w:val="left" w:pos="1701"/>
        </w:tabs>
        <w:spacing w:after="120"/>
        <w:contextualSpacing/>
        <w:jc w:val="center"/>
        <w:rPr>
          <w:rFonts w:ascii="Times New Roman" w:hAnsi="Times New Roman"/>
          <w:sz w:val="24"/>
          <w:szCs w:val="24"/>
        </w:rPr>
      </w:pPr>
    </w:p>
    <w:p w:rsidR="006818C0" w:rsidRPr="009932DB" w:rsidRDefault="006818C0" w:rsidP="006818C0">
      <w:pPr>
        <w:spacing w:after="120"/>
        <w:contextualSpacing/>
        <w:jc w:val="center"/>
        <w:rPr>
          <w:rFonts w:ascii="Times New Roman" w:hAnsi="Times New Roman"/>
          <w:i/>
          <w:sz w:val="24"/>
          <w:szCs w:val="24"/>
        </w:rPr>
      </w:pPr>
      <w:r w:rsidRPr="009932DB">
        <w:rPr>
          <w:rFonts w:ascii="Times New Roman" w:hAnsi="Times New Roman"/>
          <w:i/>
          <w:sz w:val="24"/>
          <w:szCs w:val="24"/>
        </w:rPr>
        <w:t>Financial Framework (Supplementary Powers) Act 1997</w:t>
      </w:r>
    </w:p>
    <w:p w:rsidR="006818C0" w:rsidRPr="009932DB" w:rsidRDefault="006818C0" w:rsidP="006818C0">
      <w:pPr>
        <w:tabs>
          <w:tab w:val="left" w:pos="1701"/>
        </w:tabs>
        <w:spacing w:after="120"/>
        <w:contextualSpacing/>
        <w:jc w:val="center"/>
        <w:rPr>
          <w:rFonts w:ascii="Times New Roman" w:hAnsi="Times New Roman"/>
          <w:sz w:val="24"/>
          <w:szCs w:val="24"/>
        </w:rPr>
      </w:pPr>
    </w:p>
    <w:p w:rsidR="006818C0" w:rsidRPr="009932DB" w:rsidRDefault="006818C0" w:rsidP="006818C0">
      <w:pPr>
        <w:tabs>
          <w:tab w:val="left" w:pos="1701"/>
        </w:tabs>
        <w:spacing w:after="120"/>
        <w:contextualSpacing/>
        <w:jc w:val="center"/>
        <w:rPr>
          <w:rFonts w:ascii="Times New Roman" w:hAnsi="Times New Roman"/>
          <w:i/>
          <w:sz w:val="24"/>
          <w:szCs w:val="24"/>
        </w:rPr>
      </w:pPr>
      <w:r w:rsidRPr="009932DB">
        <w:rPr>
          <w:rFonts w:ascii="Times New Roman" w:hAnsi="Times New Roman"/>
          <w:i/>
          <w:sz w:val="24"/>
          <w:szCs w:val="24"/>
        </w:rPr>
        <w:t xml:space="preserve">Financial Framework (Supplementary Powers) Amendment </w:t>
      </w:r>
    </w:p>
    <w:p w:rsidR="006818C0" w:rsidRPr="009932DB" w:rsidRDefault="006818C0" w:rsidP="006818C0">
      <w:pPr>
        <w:tabs>
          <w:tab w:val="left" w:pos="1701"/>
        </w:tabs>
        <w:spacing w:after="120"/>
        <w:contextualSpacing/>
        <w:jc w:val="center"/>
        <w:rPr>
          <w:rFonts w:ascii="Times New Roman" w:hAnsi="Times New Roman"/>
          <w:sz w:val="24"/>
          <w:szCs w:val="24"/>
        </w:rPr>
      </w:pPr>
      <w:r w:rsidRPr="009932DB">
        <w:rPr>
          <w:rFonts w:ascii="Times New Roman" w:hAnsi="Times New Roman"/>
          <w:i/>
          <w:iCs/>
          <w:sz w:val="24"/>
          <w:szCs w:val="24"/>
        </w:rPr>
        <w:t>(</w:t>
      </w:r>
      <w:r w:rsidR="00D10B40">
        <w:rPr>
          <w:rFonts w:ascii="Times New Roman" w:hAnsi="Times New Roman"/>
          <w:i/>
          <w:iCs/>
          <w:sz w:val="24"/>
          <w:szCs w:val="24"/>
        </w:rPr>
        <w:t>Education and Training</w:t>
      </w:r>
      <w:r w:rsidRPr="009932DB">
        <w:rPr>
          <w:rFonts w:ascii="Times New Roman" w:hAnsi="Times New Roman"/>
          <w:i/>
          <w:iCs/>
          <w:sz w:val="24"/>
          <w:szCs w:val="24"/>
        </w:rPr>
        <w:t xml:space="preserve"> Measures No. </w:t>
      </w:r>
      <w:r w:rsidR="00D10B40" w:rsidRPr="00D10B40">
        <w:rPr>
          <w:rFonts w:ascii="Times New Roman" w:hAnsi="Times New Roman"/>
          <w:i/>
          <w:iCs/>
          <w:sz w:val="24"/>
          <w:szCs w:val="24"/>
        </w:rPr>
        <w:t>4</w:t>
      </w:r>
      <w:r w:rsidRPr="009932DB">
        <w:rPr>
          <w:rFonts w:ascii="Times New Roman" w:hAnsi="Times New Roman"/>
          <w:i/>
          <w:iCs/>
          <w:sz w:val="24"/>
          <w:szCs w:val="24"/>
        </w:rPr>
        <w:t xml:space="preserve">) </w:t>
      </w:r>
      <w:r w:rsidRPr="009932DB">
        <w:rPr>
          <w:rFonts w:ascii="Times New Roman" w:hAnsi="Times New Roman"/>
          <w:i/>
          <w:sz w:val="24"/>
          <w:szCs w:val="24"/>
        </w:rPr>
        <w:t>Regulation 201</w:t>
      </w:r>
      <w:r>
        <w:rPr>
          <w:rFonts w:ascii="Times New Roman" w:hAnsi="Times New Roman"/>
          <w:i/>
          <w:sz w:val="24"/>
          <w:szCs w:val="24"/>
        </w:rPr>
        <w:t>6</w:t>
      </w:r>
    </w:p>
    <w:p w:rsidR="006818C0" w:rsidRPr="009932DB" w:rsidRDefault="006818C0" w:rsidP="006818C0">
      <w:pPr>
        <w:spacing w:after="120"/>
        <w:contextualSpacing/>
        <w:rPr>
          <w:rFonts w:ascii="Times New Roman" w:hAnsi="Times New Roman"/>
          <w:sz w:val="24"/>
          <w:szCs w:val="24"/>
        </w:rPr>
      </w:pPr>
    </w:p>
    <w:p w:rsidR="006818C0" w:rsidRPr="009932DB" w:rsidRDefault="006818C0" w:rsidP="006818C0">
      <w:pPr>
        <w:spacing w:after="120"/>
        <w:contextualSpacing/>
        <w:rPr>
          <w:rFonts w:ascii="Times New Roman" w:hAnsi="Times New Roman"/>
          <w:sz w:val="24"/>
          <w:szCs w:val="24"/>
        </w:rPr>
      </w:pPr>
      <w:r w:rsidRPr="009932DB">
        <w:rPr>
          <w:rFonts w:ascii="Times New Roman" w:hAnsi="Times New Roman"/>
          <w:sz w:val="24"/>
          <w:szCs w:val="24"/>
        </w:rPr>
        <w:t xml:space="preserve">The </w:t>
      </w:r>
      <w:r w:rsidRPr="009932DB">
        <w:rPr>
          <w:rFonts w:ascii="Times New Roman" w:hAnsi="Times New Roman"/>
          <w:i/>
          <w:sz w:val="24"/>
          <w:szCs w:val="24"/>
        </w:rPr>
        <w:t>Financial Framework (Supplementary Powers) Act 1997</w:t>
      </w:r>
      <w:r w:rsidRPr="009932DB">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Pr>
          <w:rFonts w:ascii="Times New Roman" w:hAnsi="Times New Roman"/>
          <w:sz w:val="24"/>
          <w:szCs w:val="24"/>
        </w:rPr>
        <w:t>program</w:t>
      </w:r>
      <w:r w:rsidRPr="009932DB">
        <w:rPr>
          <w:rFonts w:ascii="Times New Roman" w:hAnsi="Times New Roman"/>
          <w:sz w:val="24"/>
          <w:szCs w:val="24"/>
        </w:rPr>
        <w:t xml:space="preserve">s and companies (or classes of arrangements or grants in relation to which the powers are conferred) are specified in the </w:t>
      </w:r>
      <w:r w:rsidRPr="009932DB">
        <w:rPr>
          <w:rFonts w:ascii="Times New Roman" w:hAnsi="Times New Roman"/>
          <w:i/>
          <w:sz w:val="24"/>
          <w:szCs w:val="24"/>
        </w:rPr>
        <w:t xml:space="preserve">Financial Framework (Supplementary Powers) Regulations 1997 </w:t>
      </w:r>
      <w:r w:rsidRPr="009932DB">
        <w:rPr>
          <w:rFonts w:ascii="Times New Roman" w:hAnsi="Times New Roman"/>
          <w:sz w:val="24"/>
          <w:szCs w:val="24"/>
        </w:rPr>
        <w:t>(the Principal Regulations).  The FF(SP) Act applies to Ministers and the accountable authorities of non</w:t>
      </w:r>
      <w:r w:rsidRPr="009932DB">
        <w:rPr>
          <w:rFonts w:ascii="Times New Roman" w:hAnsi="Times New Roman"/>
          <w:sz w:val="24"/>
          <w:szCs w:val="24"/>
        </w:rPr>
        <w:noBreakHyphen/>
        <w:t xml:space="preserve">corporate Commonwealth entities, as defined under section 12 of the </w:t>
      </w:r>
      <w:r w:rsidRPr="009932DB">
        <w:rPr>
          <w:rFonts w:ascii="Times New Roman" w:hAnsi="Times New Roman"/>
          <w:i/>
          <w:sz w:val="24"/>
          <w:szCs w:val="24"/>
        </w:rPr>
        <w:t>Public Governance, Performance and Accountability Act 2013</w:t>
      </w:r>
      <w:r w:rsidRPr="009932DB">
        <w:rPr>
          <w:rFonts w:ascii="Times New Roman" w:hAnsi="Times New Roman"/>
          <w:sz w:val="24"/>
          <w:szCs w:val="24"/>
        </w:rPr>
        <w:t xml:space="preserve">.  </w:t>
      </w:r>
    </w:p>
    <w:p w:rsidR="006818C0" w:rsidRPr="009932DB" w:rsidRDefault="006818C0" w:rsidP="006818C0">
      <w:pPr>
        <w:contextualSpacing/>
        <w:rPr>
          <w:rFonts w:ascii="Times New Roman" w:hAnsi="Times New Roman"/>
          <w:sz w:val="24"/>
          <w:szCs w:val="24"/>
        </w:rPr>
      </w:pPr>
    </w:p>
    <w:p w:rsidR="006818C0" w:rsidRPr="009932DB" w:rsidRDefault="006818C0" w:rsidP="006818C0">
      <w:pPr>
        <w:pStyle w:val="ParaNumbering"/>
        <w:tabs>
          <w:tab w:val="clear" w:pos="360"/>
          <w:tab w:val="clear" w:pos="567"/>
        </w:tabs>
        <w:spacing w:after="0" w:line="240" w:lineRule="auto"/>
        <w:contextualSpacing/>
        <w:rPr>
          <w:szCs w:val="24"/>
        </w:rPr>
      </w:pPr>
      <w:r w:rsidRPr="009932DB">
        <w:rPr>
          <w:szCs w:val="24"/>
        </w:rPr>
        <w:t>Section 65 of the FF(SP) Act provides that the Governor-General may make regulations prescribing matters required or permitted by that Act to be prescribed, or necessary or convenient to be prescribed for carrying out or giving effect to that Act.</w:t>
      </w:r>
    </w:p>
    <w:p w:rsidR="006818C0" w:rsidRPr="009932DB" w:rsidRDefault="006818C0" w:rsidP="006818C0">
      <w:pPr>
        <w:contextualSpacing/>
        <w:rPr>
          <w:rFonts w:ascii="Times New Roman" w:hAnsi="Times New Roman"/>
          <w:sz w:val="24"/>
          <w:szCs w:val="24"/>
        </w:rPr>
      </w:pPr>
    </w:p>
    <w:p w:rsidR="006818C0" w:rsidRPr="00F7534E" w:rsidRDefault="006818C0" w:rsidP="006818C0">
      <w:pPr>
        <w:spacing w:after="120"/>
        <w:contextualSpacing/>
        <w:rPr>
          <w:rFonts w:ascii="Times New Roman" w:hAnsi="Times New Roman"/>
          <w:sz w:val="24"/>
          <w:szCs w:val="24"/>
        </w:rPr>
      </w:pPr>
      <w:r w:rsidRPr="00F7534E">
        <w:rPr>
          <w:rFonts w:ascii="Times New Roman" w:hAnsi="Times New Roman"/>
          <w:sz w:val="24"/>
          <w:szCs w:val="24"/>
        </w:rPr>
        <w:t>Section 32B of the FF(SP) Act authorises the Commonwealth to make, vary and administer arrangements and grants specified in the Principal Regulations.  Section 32B also authorises the Commonwealth to make, vary and administer arrangemen</w:t>
      </w:r>
      <w:r w:rsidR="00466769">
        <w:rPr>
          <w:rFonts w:ascii="Times New Roman" w:hAnsi="Times New Roman"/>
          <w:sz w:val="24"/>
          <w:szCs w:val="24"/>
        </w:rPr>
        <w:t xml:space="preserve">ts for the purposes of </w:t>
      </w:r>
      <w:r w:rsidR="007C022B">
        <w:rPr>
          <w:rFonts w:ascii="Times New Roman" w:hAnsi="Times New Roman"/>
          <w:sz w:val="24"/>
          <w:szCs w:val="24"/>
        </w:rPr>
        <w:t>program</w:t>
      </w:r>
      <w:r w:rsidRPr="00F7534E">
        <w:rPr>
          <w:rFonts w:ascii="Times New Roman" w:hAnsi="Times New Roman"/>
          <w:sz w:val="24"/>
          <w:szCs w:val="24"/>
        </w:rPr>
        <w:t>s specified in the Principal Regulations.  Schedule 1AA and Schedule 1AB to the Principal Regulations specify the ar</w:t>
      </w:r>
      <w:r w:rsidR="00466769">
        <w:rPr>
          <w:rFonts w:ascii="Times New Roman" w:hAnsi="Times New Roman"/>
          <w:sz w:val="24"/>
          <w:szCs w:val="24"/>
        </w:rPr>
        <w:t xml:space="preserve">rangements, grants and </w:t>
      </w:r>
      <w:r w:rsidR="007C022B">
        <w:rPr>
          <w:rFonts w:ascii="Times New Roman" w:hAnsi="Times New Roman"/>
          <w:sz w:val="24"/>
          <w:szCs w:val="24"/>
        </w:rPr>
        <w:t>program</w:t>
      </w:r>
      <w:r w:rsidRPr="00F7534E">
        <w:rPr>
          <w:rFonts w:ascii="Times New Roman" w:hAnsi="Times New Roman"/>
          <w:sz w:val="24"/>
          <w:szCs w:val="24"/>
        </w:rPr>
        <w:t xml:space="preserve">s.  </w:t>
      </w:r>
    </w:p>
    <w:p w:rsidR="006818C0" w:rsidRPr="00F7534E" w:rsidRDefault="006818C0" w:rsidP="006818C0">
      <w:pPr>
        <w:spacing w:after="120"/>
        <w:contextualSpacing/>
        <w:rPr>
          <w:rFonts w:ascii="Times New Roman" w:hAnsi="Times New Roman"/>
          <w:sz w:val="24"/>
          <w:szCs w:val="24"/>
        </w:rPr>
      </w:pPr>
    </w:p>
    <w:p w:rsidR="00CD2C29" w:rsidRPr="00D10B40" w:rsidRDefault="00CD2C29" w:rsidP="0038414B">
      <w:pPr>
        <w:ind w:right="-46"/>
        <w:rPr>
          <w:rFonts w:ascii="Times New Roman" w:hAnsi="Times New Roman"/>
          <w:sz w:val="24"/>
          <w:szCs w:val="24"/>
        </w:rPr>
      </w:pPr>
      <w:r w:rsidRPr="00D10B40">
        <w:rPr>
          <w:rFonts w:ascii="Times New Roman" w:hAnsi="Times New Roman"/>
          <w:sz w:val="24"/>
          <w:szCs w:val="24"/>
        </w:rPr>
        <w:t>Schedule 1 to the Regulation amend</w:t>
      </w:r>
      <w:r w:rsidR="003947DE">
        <w:rPr>
          <w:rFonts w:ascii="Times New Roman" w:hAnsi="Times New Roman"/>
          <w:sz w:val="24"/>
          <w:szCs w:val="24"/>
        </w:rPr>
        <w:t>s</w:t>
      </w:r>
      <w:r w:rsidRPr="00D10B40">
        <w:rPr>
          <w:rFonts w:ascii="Times New Roman" w:hAnsi="Times New Roman"/>
          <w:sz w:val="24"/>
          <w:szCs w:val="24"/>
        </w:rPr>
        <w:t xml:space="preserve"> the Principal Regulations to establish legislative authority in Schedule 1AB for spending by the Government </w:t>
      </w:r>
      <w:r w:rsidR="003947DE" w:rsidRPr="003947DE">
        <w:rPr>
          <w:rFonts w:ascii="Times New Roman" w:hAnsi="Times New Roman"/>
          <w:sz w:val="24"/>
          <w:szCs w:val="24"/>
        </w:rPr>
        <w:t xml:space="preserve">on two initiatives which will be administered by the Department of Education and Training. </w:t>
      </w:r>
    </w:p>
    <w:p w:rsidR="003947DE" w:rsidRPr="003947DE" w:rsidRDefault="003947DE" w:rsidP="003947DE">
      <w:pPr>
        <w:contextualSpacing/>
        <w:rPr>
          <w:rFonts w:ascii="Times New Roman" w:hAnsi="Times New Roman"/>
          <w:sz w:val="24"/>
          <w:szCs w:val="24"/>
        </w:rPr>
      </w:pPr>
    </w:p>
    <w:p w:rsidR="003947DE" w:rsidRPr="003947DE" w:rsidRDefault="003947DE" w:rsidP="003947DE">
      <w:pPr>
        <w:contextualSpacing/>
        <w:rPr>
          <w:rFonts w:ascii="Times New Roman" w:hAnsi="Times New Roman"/>
          <w:sz w:val="24"/>
          <w:szCs w:val="24"/>
        </w:rPr>
      </w:pPr>
      <w:r w:rsidRPr="003947DE">
        <w:rPr>
          <w:rFonts w:ascii="Times New Roman" w:hAnsi="Times New Roman"/>
          <w:sz w:val="24"/>
          <w:szCs w:val="24"/>
        </w:rPr>
        <w:t xml:space="preserve">Funding will be provided for: </w:t>
      </w:r>
    </w:p>
    <w:p w:rsidR="003947DE" w:rsidRPr="003947DE" w:rsidRDefault="003947DE" w:rsidP="003947DE">
      <w:pPr>
        <w:numPr>
          <w:ilvl w:val="0"/>
          <w:numId w:val="4"/>
        </w:numPr>
        <w:contextualSpacing/>
        <w:rPr>
          <w:rFonts w:ascii="Times New Roman" w:hAnsi="Times New Roman"/>
          <w:sz w:val="24"/>
          <w:szCs w:val="24"/>
        </w:rPr>
      </w:pPr>
      <w:r w:rsidRPr="003947DE">
        <w:rPr>
          <w:rFonts w:ascii="Times New Roman" w:hAnsi="Times New Roman"/>
          <w:sz w:val="24"/>
          <w:szCs w:val="24"/>
        </w:rPr>
        <w:t>the licensing of vocational education and training courses developed for delivery to international students offshore; and</w:t>
      </w:r>
    </w:p>
    <w:p w:rsidR="003947DE" w:rsidRPr="003947DE" w:rsidRDefault="003947DE" w:rsidP="003947DE">
      <w:pPr>
        <w:numPr>
          <w:ilvl w:val="0"/>
          <w:numId w:val="4"/>
        </w:numPr>
        <w:contextualSpacing/>
        <w:rPr>
          <w:rFonts w:ascii="Times New Roman" w:hAnsi="Times New Roman"/>
          <w:sz w:val="24"/>
          <w:szCs w:val="24"/>
        </w:rPr>
      </w:pPr>
      <w:r w:rsidRPr="003947DE">
        <w:rPr>
          <w:rFonts w:ascii="Times New Roman" w:hAnsi="Times New Roman"/>
          <w:sz w:val="24"/>
          <w:szCs w:val="24"/>
        </w:rPr>
        <w:t>the expansion of the Early Learning Languages Australia</w:t>
      </w:r>
      <w:r w:rsidRPr="003947DE">
        <w:rPr>
          <w:rFonts w:ascii="Times New Roman" w:hAnsi="Times New Roman"/>
          <w:i/>
          <w:sz w:val="24"/>
          <w:szCs w:val="24"/>
        </w:rPr>
        <w:t xml:space="preserve"> </w:t>
      </w:r>
      <w:r w:rsidRPr="003947DE">
        <w:rPr>
          <w:rFonts w:ascii="Times New Roman" w:hAnsi="Times New Roman"/>
          <w:sz w:val="24"/>
          <w:szCs w:val="24"/>
        </w:rPr>
        <w:t>initiative nationally to early childhood education and care services, with the aim of providing preschool aged children with early experiences in language learning in order to encourage those children to pursue learning a language in primary and secondary schooling.</w:t>
      </w:r>
    </w:p>
    <w:p w:rsidR="003947DE" w:rsidRPr="003947DE" w:rsidRDefault="003947DE" w:rsidP="003947DE">
      <w:pPr>
        <w:contextualSpacing/>
        <w:rPr>
          <w:rFonts w:ascii="Times New Roman" w:hAnsi="Times New Roman"/>
          <w:sz w:val="24"/>
          <w:szCs w:val="24"/>
        </w:rPr>
      </w:pPr>
    </w:p>
    <w:p w:rsidR="003947DE" w:rsidRPr="003947DE" w:rsidRDefault="003947DE" w:rsidP="003947DE">
      <w:pPr>
        <w:contextualSpacing/>
        <w:rPr>
          <w:rFonts w:ascii="Times New Roman" w:hAnsi="Times New Roman"/>
          <w:sz w:val="24"/>
          <w:szCs w:val="24"/>
        </w:rPr>
      </w:pPr>
      <w:r w:rsidRPr="003947DE">
        <w:rPr>
          <w:rFonts w:ascii="Times New Roman" w:hAnsi="Times New Roman"/>
          <w:sz w:val="24"/>
          <w:szCs w:val="24"/>
        </w:rPr>
        <w:t xml:space="preserve">The vocational education and training initiative was included in the </w:t>
      </w:r>
      <w:r w:rsidRPr="003947DE">
        <w:rPr>
          <w:rFonts w:ascii="Times New Roman" w:hAnsi="Times New Roman"/>
          <w:i/>
          <w:sz w:val="24"/>
          <w:szCs w:val="24"/>
        </w:rPr>
        <w:t>Mid-Year Economic and Fiscal Outlook 2015-16</w:t>
      </w:r>
      <w:r w:rsidRPr="003947DE">
        <w:rPr>
          <w:rFonts w:ascii="Times New Roman" w:hAnsi="Times New Roman"/>
          <w:sz w:val="24"/>
          <w:szCs w:val="24"/>
        </w:rPr>
        <w:t>, released on 15 December 2015.  The expansion of the early learning languages initiative was included in the 2016-17 Budg</w:t>
      </w:r>
      <w:r w:rsidR="00AD42A7">
        <w:rPr>
          <w:rFonts w:ascii="Times New Roman" w:hAnsi="Times New Roman"/>
          <w:sz w:val="24"/>
          <w:szCs w:val="24"/>
        </w:rPr>
        <w:t>et</w:t>
      </w:r>
      <w:r w:rsidRPr="003947DE">
        <w:rPr>
          <w:rFonts w:ascii="Times New Roman" w:hAnsi="Times New Roman"/>
          <w:sz w:val="24"/>
          <w:szCs w:val="24"/>
        </w:rPr>
        <w:t>.</w:t>
      </w:r>
    </w:p>
    <w:p w:rsidR="003947DE" w:rsidRPr="00F7534E" w:rsidRDefault="003947DE" w:rsidP="006818C0">
      <w:pPr>
        <w:contextualSpacing/>
        <w:rPr>
          <w:rFonts w:ascii="Times New Roman" w:hAnsi="Times New Roman"/>
          <w:sz w:val="24"/>
          <w:szCs w:val="24"/>
        </w:rPr>
      </w:pPr>
    </w:p>
    <w:p w:rsidR="006818C0" w:rsidRPr="00F7534E" w:rsidRDefault="006818C0" w:rsidP="006818C0">
      <w:pPr>
        <w:pStyle w:val="ParaNumbering"/>
        <w:tabs>
          <w:tab w:val="clear" w:pos="360"/>
          <w:tab w:val="clear" w:pos="567"/>
        </w:tabs>
        <w:spacing w:after="0" w:line="240" w:lineRule="auto"/>
        <w:contextualSpacing/>
        <w:rPr>
          <w:bCs/>
          <w:color w:val="000000" w:themeColor="text1"/>
          <w:szCs w:val="24"/>
        </w:rPr>
      </w:pPr>
      <w:r w:rsidRPr="00F7534E">
        <w:rPr>
          <w:color w:val="000000" w:themeColor="text1"/>
          <w:szCs w:val="24"/>
        </w:rPr>
        <w:t xml:space="preserve">Details of the Regulation are set out at </w:t>
      </w:r>
      <w:r w:rsidRPr="00F7534E">
        <w:rPr>
          <w:color w:val="000000" w:themeColor="text1"/>
          <w:szCs w:val="24"/>
          <w:u w:val="single"/>
        </w:rPr>
        <w:t>Attachment A</w:t>
      </w:r>
      <w:r w:rsidRPr="00F7534E">
        <w:rPr>
          <w:color w:val="000000" w:themeColor="text1"/>
          <w:szCs w:val="24"/>
        </w:rPr>
        <w:t xml:space="preserve">.  A </w:t>
      </w:r>
      <w:r w:rsidRPr="00F7534E">
        <w:rPr>
          <w:bCs/>
          <w:color w:val="000000" w:themeColor="text1"/>
          <w:szCs w:val="24"/>
        </w:rPr>
        <w:t xml:space="preserve">Statement of Compatibility with Human Rights is at </w:t>
      </w:r>
      <w:r w:rsidRPr="00F7534E">
        <w:rPr>
          <w:bCs/>
          <w:color w:val="000000" w:themeColor="text1"/>
          <w:szCs w:val="24"/>
          <w:u w:val="single"/>
        </w:rPr>
        <w:t>Attachment B</w:t>
      </w:r>
      <w:r w:rsidRPr="00F7534E">
        <w:rPr>
          <w:bCs/>
          <w:color w:val="000000" w:themeColor="text1"/>
          <w:szCs w:val="24"/>
        </w:rPr>
        <w:t xml:space="preserve">.  </w:t>
      </w:r>
    </w:p>
    <w:p w:rsidR="006818C0" w:rsidRPr="00F7534E" w:rsidRDefault="006818C0" w:rsidP="006818C0">
      <w:pPr>
        <w:pStyle w:val="ParaNumbering"/>
        <w:tabs>
          <w:tab w:val="clear" w:pos="360"/>
          <w:tab w:val="clear" w:pos="567"/>
        </w:tabs>
        <w:spacing w:after="120" w:line="240" w:lineRule="auto"/>
        <w:contextualSpacing/>
        <w:rPr>
          <w:bCs/>
          <w:color w:val="000000" w:themeColor="text1"/>
          <w:szCs w:val="24"/>
        </w:rPr>
      </w:pPr>
    </w:p>
    <w:p w:rsidR="003947DE" w:rsidRDefault="003947DE">
      <w:pPr>
        <w:spacing w:after="200" w:line="276" w:lineRule="auto"/>
        <w:rPr>
          <w:rFonts w:ascii="Times New Roman" w:eastAsia="Times New Roman" w:hAnsi="Times New Roman"/>
          <w:color w:val="000000" w:themeColor="text1"/>
          <w:sz w:val="24"/>
          <w:szCs w:val="24"/>
          <w:lang w:eastAsia="en-US"/>
        </w:rPr>
      </w:pPr>
      <w:r>
        <w:rPr>
          <w:color w:val="000000" w:themeColor="text1"/>
          <w:szCs w:val="24"/>
        </w:rPr>
        <w:br w:type="page"/>
      </w:r>
    </w:p>
    <w:p w:rsidR="006818C0" w:rsidRPr="00F7534E" w:rsidRDefault="006818C0" w:rsidP="006818C0">
      <w:pPr>
        <w:pStyle w:val="ParaNumbering"/>
        <w:tabs>
          <w:tab w:val="clear" w:pos="360"/>
          <w:tab w:val="clear" w:pos="567"/>
        </w:tabs>
        <w:spacing w:after="0" w:line="240" w:lineRule="auto"/>
        <w:contextualSpacing/>
        <w:rPr>
          <w:color w:val="000000" w:themeColor="text1"/>
          <w:szCs w:val="24"/>
        </w:rPr>
      </w:pPr>
      <w:r w:rsidRPr="00F7534E">
        <w:rPr>
          <w:color w:val="000000" w:themeColor="text1"/>
          <w:szCs w:val="24"/>
        </w:rPr>
        <w:lastRenderedPageBreak/>
        <w:t>The Regulation is a legislative instrument for the purposes of the</w:t>
      </w:r>
      <w:r w:rsidRPr="00F7534E">
        <w:rPr>
          <w:i/>
          <w:color w:val="000000" w:themeColor="text1"/>
          <w:szCs w:val="24"/>
        </w:rPr>
        <w:t xml:space="preserve"> L</w:t>
      </w:r>
      <w:r w:rsidR="00466769">
        <w:rPr>
          <w:i/>
          <w:color w:val="000000" w:themeColor="text1"/>
          <w:szCs w:val="24"/>
        </w:rPr>
        <w:t>egislation</w:t>
      </w:r>
      <w:r w:rsidRPr="00F7534E">
        <w:rPr>
          <w:i/>
          <w:color w:val="000000" w:themeColor="text1"/>
          <w:szCs w:val="24"/>
        </w:rPr>
        <w:t xml:space="preserve"> Act 2003.  </w:t>
      </w:r>
      <w:r w:rsidRPr="00F7534E">
        <w:rPr>
          <w:color w:val="000000" w:themeColor="text1"/>
          <w:szCs w:val="24"/>
        </w:rPr>
        <w:t xml:space="preserve">The Regulation commences on the day after registration on the Federal Register of </w:t>
      </w:r>
      <w:r w:rsidR="00BE740B">
        <w:rPr>
          <w:color w:val="000000" w:themeColor="text1"/>
          <w:szCs w:val="24"/>
        </w:rPr>
        <w:t>Legislation</w:t>
      </w:r>
      <w:r w:rsidRPr="00F7534E">
        <w:rPr>
          <w:color w:val="000000" w:themeColor="text1"/>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bCs/>
          <w:sz w:val="24"/>
          <w:szCs w:val="24"/>
        </w:rPr>
      </w:pPr>
      <w:r w:rsidRPr="009932DB">
        <w:rPr>
          <w:rFonts w:ascii="Times New Roman" w:hAnsi="Times New Roman"/>
          <w:b/>
          <w:bCs/>
          <w:sz w:val="24"/>
          <w:szCs w:val="24"/>
        </w:rPr>
        <w:t>Consultation</w:t>
      </w:r>
    </w:p>
    <w:p w:rsidR="006818C0" w:rsidRPr="009932DB" w:rsidRDefault="006818C0" w:rsidP="006818C0">
      <w:pPr>
        <w:spacing w:after="120"/>
        <w:contextualSpacing/>
        <w:rPr>
          <w:rFonts w:ascii="Times New Roman" w:hAnsi="Times New Roman"/>
          <w:b/>
          <w:bCs/>
          <w:sz w:val="24"/>
          <w:szCs w:val="24"/>
        </w:rPr>
      </w:pPr>
    </w:p>
    <w:p w:rsidR="006818C0" w:rsidRPr="009932DB" w:rsidRDefault="006818C0" w:rsidP="006818C0">
      <w:pPr>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In accordance with section 17 of the </w:t>
      </w:r>
      <w:r w:rsidR="00D32FC2">
        <w:rPr>
          <w:rFonts w:ascii="Times New Roman" w:hAnsi="Times New Roman"/>
          <w:i/>
          <w:iCs/>
          <w:color w:val="000000" w:themeColor="text1"/>
          <w:sz w:val="24"/>
          <w:szCs w:val="24"/>
        </w:rPr>
        <w:t>Legislation</w:t>
      </w:r>
      <w:r w:rsidRPr="009932DB">
        <w:rPr>
          <w:rFonts w:ascii="Times New Roman" w:hAnsi="Times New Roman"/>
          <w:i/>
          <w:iCs/>
          <w:color w:val="000000" w:themeColor="text1"/>
          <w:sz w:val="24"/>
          <w:szCs w:val="24"/>
        </w:rPr>
        <w:t xml:space="preserve"> Act 2003</w:t>
      </w:r>
      <w:r w:rsidRPr="009932DB">
        <w:rPr>
          <w:rFonts w:ascii="Times New Roman" w:hAnsi="Times New Roman"/>
          <w:color w:val="000000" w:themeColor="text1"/>
          <w:sz w:val="24"/>
          <w:szCs w:val="24"/>
        </w:rPr>
        <w:t xml:space="preserve">, consultation has taken place with the Department of </w:t>
      </w:r>
      <w:r w:rsidR="00D10B40">
        <w:rPr>
          <w:rFonts w:ascii="Times New Roman" w:hAnsi="Times New Roman"/>
          <w:color w:val="000000" w:themeColor="text1"/>
          <w:sz w:val="24"/>
          <w:szCs w:val="24"/>
        </w:rPr>
        <w:t>Education and Training</w:t>
      </w:r>
      <w:r w:rsidRPr="009932DB">
        <w:rPr>
          <w:rFonts w:ascii="Times New Roman" w:hAnsi="Times New Roman"/>
          <w:color w:val="000000" w:themeColor="text1"/>
          <w:sz w:val="24"/>
          <w:szCs w:val="24"/>
        </w:rPr>
        <w:t>.</w:t>
      </w:r>
    </w:p>
    <w:p w:rsidR="006818C0" w:rsidRPr="009932DB" w:rsidRDefault="006818C0" w:rsidP="006818C0">
      <w:pPr>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iCs/>
          <w:sz w:val="24"/>
          <w:szCs w:val="24"/>
        </w:rPr>
        <w:t>A regulation impact statement is not required as the Regulation only applies to non</w:t>
      </w:r>
      <w:r w:rsidRPr="009932DB">
        <w:rPr>
          <w:rFonts w:ascii="Times New Roman" w:hAnsi="Times New Roman"/>
          <w:iCs/>
          <w:sz w:val="24"/>
          <w:szCs w:val="24"/>
        </w:rPr>
        <w:noBreakHyphen/>
        <w:t xml:space="preserve">corporate Commonwealth entities and does not adversely affect the private sector.  </w:t>
      </w:r>
    </w:p>
    <w:p w:rsidR="006818C0" w:rsidRPr="009932DB" w:rsidRDefault="006818C0" w:rsidP="006818C0">
      <w:pPr>
        <w:spacing w:after="120"/>
        <w:contextualSpacing/>
        <w:rPr>
          <w:rFonts w:ascii="Times New Roman" w:hAnsi="Times New Roman"/>
          <w:color w:val="000000" w:themeColor="text1"/>
          <w:sz w:val="24"/>
          <w:szCs w:val="24"/>
        </w:rPr>
        <w:sectPr w:rsidR="006818C0" w:rsidRPr="009932DB" w:rsidSect="004D676F">
          <w:headerReference w:type="even" r:id="rId7"/>
          <w:headerReference w:type="default" r:id="rId8"/>
          <w:footerReference w:type="even" r:id="rId9"/>
          <w:footerReference w:type="default" r:id="rId10"/>
          <w:headerReference w:type="first" r:id="rId11"/>
          <w:footerReference w:type="first" r:id="rId12"/>
          <w:pgSz w:w="11906" w:h="16838"/>
          <w:pgMar w:top="1418" w:right="1440" w:bottom="1332" w:left="1440" w:header="709" w:footer="709" w:gutter="0"/>
          <w:pgNumType w:start="1"/>
          <w:cols w:space="708"/>
          <w:titlePg/>
          <w:docGrid w:linePitch="360"/>
        </w:sectPr>
      </w:pPr>
    </w:p>
    <w:p w:rsidR="006818C0" w:rsidRPr="009932DB" w:rsidRDefault="006818C0" w:rsidP="006818C0">
      <w:pPr>
        <w:spacing w:after="120"/>
        <w:contextualSpacing/>
        <w:rPr>
          <w:rFonts w:ascii="Times New Roman" w:hAnsi="Times New Roman"/>
          <w:b/>
          <w:bCs/>
          <w:i/>
          <w:color w:val="000000" w:themeColor="text1"/>
          <w:sz w:val="24"/>
          <w:szCs w:val="24"/>
          <w:u w:val="single"/>
        </w:rPr>
      </w:pPr>
      <w:r w:rsidRPr="009932DB">
        <w:rPr>
          <w:rFonts w:ascii="Times New Roman" w:hAnsi="Times New Roman"/>
          <w:b/>
          <w:bCs/>
          <w:color w:val="000000" w:themeColor="text1"/>
          <w:sz w:val="24"/>
          <w:szCs w:val="24"/>
          <w:u w:val="single"/>
        </w:rPr>
        <w:lastRenderedPageBreak/>
        <w:t xml:space="preserve">Details of the </w:t>
      </w:r>
      <w:r w:rsidRPr="009932DB">
        <w:rPr>
          <w:rFonts w:ascii="Times New Roman" w:hAnsi="Times New Roman"/>
          <w:b/>
          <w:bCs/>
          <w:i/>
          <w:color w:val="000000" w:themeColor="text1"/>
          <w:sz w:val="24"/>
          <w:szCs w:val="24"/>
          <w:u w:val="single"/>
        </w:rPr>
        <w:t>Financial Framework (Supplementary Powers) Amendment (</w:t>
      </w:r>
      <w:r w:rsidR="00D10B40">
        <w:rPr>
          <w:rFonts w:ascii="Times New Roman" w:hAnsi="Times New Roman"/>
          <w:b/>
          <w:bCs/>
          <w:i/>
          <w:iCs/>
          <w:color w:val="000000" w:themeColor="text1"/>
          <w:sz w:val="24"/>
          <w:szCs w:val="24"/>
          <w:u w:val="single"/>
        </w:rPr>
        <w:t>Education and Training</w:t>
      </w:r>
      <w:r>
        <w:rPr>
          <w:rFonts w:ascii="Times New Roman" w:hAnsi="Times New Roman"/>
          <w:b/>
          <w:bCs/>
          <w:i/>
          <w:iCs/>
          <w:color w:val="000000" w:themeColor="text1"/>
          <w:sz w:val="24"/>
          <w:szCs w:val="24"/>
          <w:u w:val="single"/>
        </w:rPr>
        <w:t xml:space="preserve"> </w:t>
      </w:r>
      <w:r w:rsidRPr="009932DB">
        <w:rPr>
          <w:rFonts w:ascii="Times New Roman" w:hAnsi="Times New Roman"/>
          <w:b/>
          <w:bCs/>
          <w:i/>
          <w:color w:val="000000" w:themeColor="text1"/>
          <w:sz w:val="24"/>
          <w:szCs w:val="24"/>
          <w:u w:val="single"/>
        </w:rPr>
        <w:t>Measures No. </w:t>
      </w:r>
      <w:r w:rsidR="00D10B40">
        <w:rPr>
          <w:rFonts w:ascii="Times New Roman" w:hAnsi="Times New Roman"/>
          <w:b/>
          <w:bCs/>
          <w:i/>
          <w:color w:val="000000" w:themeColor="text1"/>
          <w:sz w:val="24"/>
          <w:szCs w:val="24"/>
          <w:u w:val="single"/>
        </w:rPr>
        <w:t>4</w:t>
      </w:r>
      <w:r w:rsidR="00CD2C29">
        <w:rPr>
          <w:rFonts w:ascii="Times New Roman" w:hAnsi="Times New Roman"/>
          <w:b/>
          <w:bCs/>
          <w:i/>
          <w:color w:val="000000" w:themeColor="text1"/>
          <w:sz w:val="24"/>
          <w:szCs w:val="24"/>
          <w:u w:val="single"/>
        </w:rPr>
        <w:t>) Regulation 2016</w:t>
      </w:r>
    </w:p>
    <w:p w:rsidR="006818C0" w:rsidRPr="009932DB" w:rsidRDefault="006818C0" w:rsidP="006818C0">
      <w:pPr>
        <w:spacing w:after="120"/>
        <w:contextualSpacing/>
        <w:rPr>
          <w:rFonts w:ascii="Times New Roman" w:hAnsi="Times New Roman"/>
          <w:color w:val="000000" w:themeColor="text1"/>
          <w:sz w:val="24"/>
          <w:szCs w:val="24"/>
          <w:u w:val="single"/>
        </w:rPr>
      </w:pPr>
    </w:p>
    <w:p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 xml:space="preserve">Section 1 – Name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title of the Regulation </w:t>
      </w:r>
      <w:r w:rsidRPr="009932DB">
        <w:rPr>
          <w:rFonts w:ascii="Times New Roman" w:hAnsi="Times New Roman"/>
          <w:sz w:val="24"/>
          <w:szCs w:val="24"/>
        </w:rPr>
        <w:t>is</w:t>
      </w:r>
      <w:r w:rsidRPr="009932DB">
        <w:rPr>
          <w:rFonts w:ascii="Times New Roman" w:hAnsi="Times New Roman"/>
          <w:color w:val="000000" w:themeColor="text1"/>
          <w:sz w:val="24"/>
          <w:szCs w:val="24"/>
        </w:rPr>
        <w:t xml:space="preserve"> the </w:t>
      </w:r>
      <w:r w:rsidRPr="009932DB">
        <w:rPr>
          <w:rFonts w:ascii="Times New Roman" w:hAnsi="Times New Roman"/>
          <w:bCs/>
          <w:i/>
          <w:sz w:val="24"/>
          <w:szCs w:val="24"/>
        </w:rPr>
        <w:t>Financial Framework (Supplementary Powers) Amendment (</w:t>
      </w:r>
      <w:r w:rsidR="00D10B40">
        <w:rPr>
          <w:rFonts w:ascii="Times New Roman" w:hAnsi="Times New Roman"/>
          <w:bCs/>
          <w:i/>
          <w:iCs/>
          <w:sz w:val="24"/>
          <w:szCs w:val="24"/>
        </w:rPr>
        <w:t>Education and Training</w:t>
      </w:r>
      <w:r w:rsidRPr="009932DB">
        <w:rPr>
          <w:rFonts w:ascii="Times New Roman" w:hAnsi="Times New Roman"/>
          <w:bCs/>
          <w:i/>
          <w:sz w:val="24"/>
          <w:szCs w:val="24"/>
        </w:rPr>
        <w:t xml:space="preserve"> Measures No. </w:t>
      </w:r>
      <w:r w:rsidR="00D10B40">
        <w:rPr>
          <w:rFonts w:ascii="Times New Roman" w:hAnsi="Times New Roman"/>
          <w:bCs/>
          <w:i/>
          <w:sz w:val="24"/>
          <w:szCs w:val="24"/>
        </w:rPr>
        <w:t>4</w:t>
      </w:r>
      <w:r w:rsidRPr="009932DB">
        <w:rPr>
          <w:rFonts w:ascii="Times New Roman" w:hAnsi="Times New Roman"/>
          <w:bCs/>
          <w:i/>
          <w:sz w:val="24"/>
          <w:szCs w:val="24"/>
        </w:rPr>
        <w:t>) Regulation 201</w:t>
      </w:r>
      <w:r w:rsidR="008822FB">
        <w:rPr>
          <w:rFonts w:ascii="Times New Roman" w:hAnsi="Times New Roman"/>
          <w:bCs/>
          <w:i/>
          <w:sz w:val="24"/>
          <w:szCs w:val="24"/>
        </w:rPr>
        <w:t>6</w:t>
      </w:r>
      <w:r w:rsidRPr="009932DB">
        <w:rPr>
          <w:rFonts w:ascii="Times New Roman" w:hAnsi="Times New Roman"/>
          <w:bCs/>
          <w:sz w:val="24"/>
          <w:szCs w:val="24"/>
        </w:rPr>
        <w:t>.</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 xml:space="preserve">Section 2 – Commencement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Regulation commences on the day after it is registered on the Federal Register of </w:t>
      </w:r>
      <w:r w:rsidR="003D597E">
        <w:rPr>
          <w:rFonts w:ascii="Times New Roman" w:hAnsi="Times New Roman"/>
          <w:color w:val="000000" w:themeColor="text1"/>
          <w:sz w:val="24"/>
          <w:szCs w:val="24"/>
        </w:rPr>
        <w:t>Legislation</w:t>
      </w:r>
      <w:r w:rsidRPr="009932DB">
        <w:rPr>
          <w:rFonts w:ascii="Times New Roman" w:hAnsi="Times New Roman"/>
          <w:color w:val="000000" w:themeColor="text1"/>
          <w:sz w:val="24"/>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i/>
          <w:color w:val="000000" w:themeColor="text1"/>
          <w:sz w:val="24"/>
          <w:szCs w:val="24"/>
        </w:rPr>
      </w:pPr>
      <w:r w:rsidRPr="009932DB">
        <w:rPr>
          <w:rFonts w:ascii="Times New Roman" w:hAnsi="Times New Roman"/>
          <w:b/>
          <w:color w:val="000000" w:themeColor="text1"/>
          <w:sz w:val="24"/>
          <w:szCs w:val="24"/>
        </w:rPr>
        <w:t>Section 3 – Authority</w:t>
      </w:r>
      <w:r w:rsidRPr="009932DB">
        <w:rPr>
          <w:rFonts w:ascii="Times New Roman" w:hAnsi="Times New Roman"/>
          <w:b/>
          <w:i/>
          <w:color w:val="000000" w:themeColor="text1"/>
          <w:sz w:val="24"/>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Regulation is made under the </w:t>
      </w:r>
      <w:r w:rsidRPr="009932DB">
        <w:rPr>
          <w:rFonts w:ascii="Times New Roman" w:hAnsi="Times New Roman"/>
          <w:i/>
          <w:color w:val="000000" w:themeColor="text1"/>
          <w:sz w:val="24"/>
          <w:szCs w:val="24"/>
        </w:rPr>
        <w:t xml:space="preserve">Financial </w:t>
      </w:r>
      <w:r w:rsidRPr="009932DB">
        <w:rPr>
          <w:rFonts w:ascii="Times New Roman" w:hAnsi="Times New Roman"/>
          <w:bCs/>
          <w:i/>
          <w:sz w:val="24"/>
          <w:szCs w:val="24"/>
        </w:rPr>
        <w:t xml:space="preserve">Framework (Supplementary Powers) </w:t>
      </w:r>
      <w:r w:rsidRPr="009932DB">
        <w:rPr>
          <w:rFonts w:ascii="Times New Roman" w:hAnsi="Times New Roman"/>
          <w:i/>
          <w:color w:val="000000" w:themeColor="text1"/>
          <w:sz w:val="24"/>
          <w:szCs w:val="24"/>
        </w:rPr>
        <w:t>Act 1997</w:t>
      </w:r>
      <w:r w:rsidRPr="009932DB">
        <w:rPr>
          <w:rFonts w:ascii="Times New Roman" w:hAnsi="Times New Roman"/>
          <w:color w:val="000000" w:themeColor="text1"/>
          <w:sz w:val="24"/>
          <w:szCs w:val="24"/>
        </w:rPr>
        <w:t>.</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i/>
          <w:color w:val="000000" w:themeColor="text1"/>
          <w:sz w:val="24"/>
          <w:szCs w:val="24"/>
        </w:rPr>
      </w:pPr>
      <w:r w:rsidRPr="009932DB">
        <w:rPr>
          <w:rFonts w:ascii="Times New Roman" w:hAnsi="Times New Roman"/>
          <w:b/>
          <w:color w:val="000000" w:themeColor="text1"/>
          <w:sz w:val="24"/>
          <w:szCs w:val="24"/>
        </w:rPr>
        <w:t>Section 4 – Schedules</w:t>
      </w:r>
      <w:r w:rsidRPr="009932DB">
        <w:rPr>
          <w:rFonts w:ascii="Times New Roman" w:hAnsi="Times New Roman"/>
          <w:b/>
          <w:i/>
          <w:color w:val="000000" w:themeColor="text1"/>
          <w:sz w:val="24"/>
          <w:szCs w:val="24"/>
        </w:rPr>
        <w:t xml:space="preserve">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r w:rsidRPr="009932DB">
        <w:rPr>
          <w:rFonts w:ascii="Times New Roman" w:hAnsi="Times New Roman"/>
          <w:color w:val="000000" w:themeColor="text1"/>
          <w:sz w:val="24"/>
          <w:szCs w:val="24"/>
        </w:rPr>
        <w:t xml:space="preserve">This section provides that the </w:t>
      </w:r>
      <w:r w:rsidRPr="009932DB">
        <w:rPr>
          <w:rFonts w:ascii="Times New Roman" w:hAnsi="Times New Roman"/>
          <w:i/>
          <w:color w:val="000000" w:themeColor="text1"/>
          <w:sz w:val="24"/>
          <w:szCs w:val="24"/>
        </w:rPr>
        <w:t xml:space="preserve">Financial </w:t>
      </w:r>
      <w:r w:rsidRPr="009932DB">
        <w:rPr>
          <w:rFonts w:ascii="Times New Roman" w:hAnsi="Times New Roman"/>
          <w:bCs/>
          <w:i/>
          <w:sz w:val="24"/>
          <w:szCs w:val="24"/>
        </w:rPr>
        <w:t xml:space="preserve">Framework (Supplementary Powers) </w:t>
      </w:r>
      <w:r w:rsidRPr="009932DB">
        <w:rPr>
          <w:rFonts w:ascii="Times New Roman" w:hAnsi="Times New Roman"/>
          <w:i/>
          <w:color w:val="000000" w:themeColor="text1"/>
          <w:sz w:val="24"/>
          <w:szCs w:val="24"/>
        </w:rPr>
        <w:t>Regulations 1997</w:t>
      </w:r>
      <w:r w:rsidRPr="009932DB">
        <w:rPr>
          <w:rFonts w:ascii="Times New Roman" w:hAnsi="Times New Roman"/>
          <w:color w:val="000000" w:themeColor="text1"/>
          <w:sz w:val="24"/>
          <w:szCs w:val="24"/>
        </w:rPr>
        <w:t xml:space="preserve"> are amended as set out in the Schedules to the Regulation. </w:t>
      </w: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b/>
          <w:color w:val="000000" w:themeColor="text1"/>
          <w:sz w:val="24"/>
          <w:szCs w:val="24"/>
        </w:rPr>
      </w:pPr>
      <w:r w:rsidRPr="009932DB">
        <w:rPr>
          <w:rFonts w:ascii="Times New Roman" w:hAnsi="Times New Roman"/>
          <w:b/>
          <w:color w:val="000000" w:themeColor="text1"/>
          <w:sz w:val="24"/>
          <w:szCs w:val="24"/>
        </w:rPr>
        <w:t>Schedule 1 – Amendments</w:t>
      </w:r>
    </w:p>
    <w:p w:rsidR="00D10B40" w:rsidRPr="00D10B40" w:rsidRDefault="00D10B40" w:rsidP="006818C0">
      <w:pPr>
        <w:rPr>
          <w:rFonts w:ascii="Times New Roman" w:hAnsi="Times New Roman"/>
          <w:color w:val="000000" w:themeColor="text1"/>
          <w:sz w:val="24"/>
          <w:szCs w:val="24"/>
        </w:rPr>
      </w:pPr>
    </w:p>
    <w:p w:rsidR="006818C0" w:rsidRPr="009932DB" w:rsidRDefault="00D10B40" w:rsidP="006818C0">
      <w:pPr>
        <w:rPr>
          <w:rFonts w:ascii="Times New Roman" w:hAnsi="Times New Roman"/>
          <w:b/>
          <w:color w:val="000000" w:themeColor="text1"/>
          <w:sz w:val="24"/>
          <w:szCs w:val="24"/>
        </w:rPr>
      </w:pPr>
      <w:r>
        <w:rPr>
          <w:rFonts w:ascii="Times New Roman" w:hAnsi="Times New Roman"/>
          <w:b/>
          <w:color w:val="000000" w:themeColor="text1"/>
          <w:sz w:val="24"/>
          <w:szCs w:val="24"/>
        </w:rPr>
        <w:t>Item 1</w:t>
      </w:r>
      <w:r w:rsidR="006818C0" w:rsidRPr="009932DB">
        <w:rPr>
          <w:rFonts w:ascii="Times New Roman" w:hAnsi="Times New Roman"/>
          <w:b/>
          <w:color w:val="000000" w:themeColor="text1"/>
          <w:sz w:val="24"/>
          <w:szCs w:val="24"/>
        </w:rPr>
        <w:t xml:space="preserve"> – </w:t>
      </w:r>
      <w:r>
        <w:rPr>
          <w:rFonts w:ascii="Times New Roman" w:hAnsi="Times New Roman"/>
          <w:b/>
          <w:color w:val="000000" w:themeColor="text1"/>
          <w:sz w:val="24"/>
          <w:szCs w:val="24"/>
        </w:rPr>
        <w:t xml:space="preserve">In the </w:t>
      </w:r>
      <w:r w:rsidRPr="00453935">
        <w:rPr>
          <w:rFonts w:ascii="Times New Roman" w:hAnsi="Times New Roman"/>
          <w:b/>
          <w:color w:val="000000" w:themeColor="text1"/>
          <w:sz w:val="24"/>
          <w:szCs w:val="24"/>
        </w:rPr>
        <w:t xml:space="preserve">appropriate position in </w:t>
      </w:r>
      <w:r w:rsidR="006818C0" w:rsidRPr="009932DB">
        <w:rPr>
          <w:rFonts w:ascii="Times New Roman" w:hAnsi="Times New Roman"/>
          <w:b/>
          <w:color w:val="000000" w:themeColor="text1"/>
          <w:sz w:val="24"/>
          <w:szCs w:val="24"/>
        </w:rPr>
        <w:t xml:space="preserve">Part </w:t>
      </w:r>
      <w:r w:rsidR="006818C0" w:rsidRPr="006818C0">
        <w:rPr>
          <w:rFonts w:ascii="Times New Roman" w:hAnsi="Times New Roman"/>
          <w:b/>
          <w:color w:val="000000" w:themeColor="text1"/>
          <w:sz w:val="24"/>
          <w:szCs w:val="24"/>
        </w:rPr>
        <w:t>4</w:t>
      </w:r>
      <w:r w:rsidR="006818C0" w:rsidRPr="009932DB">
        <w:rPr>
          <w:rFonts w:ascii="Times New Roman" w:hAnsi="Times New Roman"/>
          <w:b/>
          <w:color w:val="000000" w:themeColor="text1"/>
          <w:sz w:val="24"/>
          <w:szCs w:val="24"/>
        </w:rPr>
        <w:t xml:space="preserve"> of Schedule 1AB (table)</w:t>
      </w:r>
    </w:p>
    <w:p w:rsidR="006818C0" w:rsidRPr="009932DB" w:rsidRDefault="006818C0" w:rsidP="006818C0">
      <w:pPr>
        <w:rPr>
          <w:rFonts w:ascii="Times New Roman" w:hAnsi="Times New Roman"/>
          <w:color w:val="000000" w:themeColor="text1"/>
          <w:sz w:val="24"/>
          <w:szCs w:val="24"/>
        </w:rPr>
      </w:pPr>
    </w:p>
    <w:p w:rsidR="006818C0" w:rsidRDefault="006818C0" w:rsidP="006818C0">
      <w:pPr>
        <w:rPr>
          <w:rFonts w:ascii="Times New Roman" w:eastAsia="Times New Roman" w:hAnsi="Times New Roman"/>
          <w:color w:val="000000" w:themeColor="text1"/>
          <w:sz w:val="24"/>
          <w:szCs w:val="24"/>
        </w:rPr>
      </w:pPr>
      <w:r w:rsidRPr="00B51BD4">
        <w:rPr>
          <w:rFonts w:ascii="Times New Roman" w:eastAsia="Times New Roman" w:hAnsi="Times New Roman"/>
          <w:color w:val="000000" w:themeColor="text1"/>
          <w:sz w:val="24"/>
          <w:szCs w:val="24"/>
        </w:rPr>
        <w:t xml:space="preserve">This item </w:t>
      </w:r>
      <w:r w:rsidRPr="00827B49">
        <w:rPr>
          <w:rFonts w:ascii="Times New Roman" w:eastAsia="Times New Roman" w:hAnsi="Times New Roman"/>
          <w:color w:val="000000" w:themeColor="text1"/>
          <w:sz w:val="24"/>
          <w:szCs w:val="24"/>
        </w:rPr>
        <w:t xml:space="preserve">adds </w:t>
      </w:r>
      <w:r w:rsidR="00D10B40" w:rsidRPr="00D10B40">
        <w:rPr>
          <w:rFonts w:ascii="Times New Roman" w:eastAsia="Times New Roman" w:hAnsi="Times New Roman"/>
          <w:color w:val="000000" w:themeColor="text1"/>
          <w:sz w:val="24"/>
          <w:szCs w:val="24"/>
        </w:rPr>
        <w:t>two</w:t>
      </w:r>
      <w:r w:rsidRPr="00D10B40">
        <w:rPr>
          <w:rFonts w:ascii="Times New Roman" w:eastAsia="Times New Roman" w:hAnsi="Times New Roman"/>
          <w:color w:val="000000" w:themeColor="text1"/>
          <w:sz w:val="24"/>
          <w:szCs w:val="24"/>
        </w:rPr>
        <w:t xml:space="preserve"> </w:t>
      </w:r>
      <w:r w:rsidR="00D10B40" w:rsidRPr="00D10B40">
        <w:rPr>
          <w:rFonts w:ascii="Times New Roman" w:eastAsia="Times New Roman" w:hAnsi="Times New Roman"/>
          <w:color w:val="000000" w:themeColor="text1"/>
          <w:sz w:val="24"/>
          <w:szCs w:val="24"/>
        </w:rPr>
        <w:t xml:space="preserve">new </w:t>
      </w:r>
      <w:r w:rsidRPr="00D10B40">
        <w:rPr>
          <w:rFonts w:ascii="Times New Roman" w:eastAsia="Times New Roman" w:hAnsi="Times New Roman"/>
          <w:color w:val="000000" w:themeColor="text1"/>
          <w:sz w:val="24"/>
          <w:szCs w:val="24"/>
        </w:rPr>
        <w:t>table item</w:t>
      </w:r>
      <w:r w:rsidR="00D10B40" w:rsidRPr="00D10B40">
        <w:rPr>
          <w:rFonts w:ascii="Times New Roman" w:eastAsia="Times New Roman" w:hAnsi="Times New Roman"/>
          <w:color w:val="000000" w:themeColor="text1"/>
          <w:sz w:val="24"/>
          <w:szCs w:val="24"/>
        </w:rPr>
        <w:t>s</w:t>
      </w:r>
      <w:r w:rsidRPr="00B51BD4">
        <w:rPr>
          <w:rFonts w:ascii="Times New Roman" w:eastAsia="Times New Roman" w:hAnsi="Times New Roman"/>
          <w:color w:val="000000" w:themeColor="text1"/>
          <w:sz w:val="24"/>
          <w:szCs w:val="24"/>
        </w:rPr>
        <w:t xml:space="preserve"> to Part 4 of Schedule 1AB to estab</w:t>
      </w:r>
      <w:r>
        <w:rPr>
          <w:rFonts w:ascii="Times New Roman" w:eastAsia="Times New Roman" w:hAnsi="Times New Roman"/>
          <w:color w:val="000000" w:themeColor="text1"/>
          <w:sz w:val="24"/>
          <w:szCs w:val="24"/>
        </w:rPr>
        <w:t>lish legislative authority for g</w:t>
      </w:r>
      <w:r w:rsidRPr="00B51BD4">
        <w:rPr>
          <w:rFonts w:ascii="Times New Roman" w:eastAsia="Times New Roman" w:hAnsi="Times New Roman"/>
          <w:color w:val="000000" w:themeColor="text1"/>
          <w:sz w:val="24"/>
          <w:szCs w:val="24"/>
        </w:rPr>
        <w:t xml:space="preserve">overnment spending for </w:t>
      </w:r>
      <w:r w:rsidR="00267A7C" w:rsidRPr="00D10B40">
        <w:rPr>
          <w:rFonts w:ascii="Times New Roman" w:eastAsia="Times New Roman" w:hAnsi="Times New Roman"/>
          <w:color w:val="000000" w:themeColor="text1"/>
          <w:sz w:val="24"/>
          <w:szCs w:val="24"/>
        </w:rPr>
        <w:t>certain activities</w:t>
      </w:r>
      <w:r w:rsidRPr="00B51BD4">
        <w:rPr>
          <w:rFonts w:ascii="Times New Roman" w:eastAsia="Times New Roman" w:hAnsi="Times New Roman"/>
          <w:color w:val="000000" w:themeColor="text1"/>
          <w:sz w:val="24"/>
          <w:szCs w:val="24"/>
        </w:rPr>
        <w:t xml:space="preserve"> administered by </w:t>
      </w:r>
      <w:r>
        <w:rPr>
          <w:rFonts w:ascii="Times New Roman" w:eastAsia="Times New Roman" w:hAnsi="Times New Roman"/>
          <w:color w:val="000000" w:themeColor="text1"/>
          <w:sz w:val="24"/>
          <w:szCs w:val="24"/>
        </w:rPr>
        <w:t xml:space="preserve">the </w:t>
      </w:r>
      <w:r w:rsidRPr="00D10B40">
        <w:rPr>
          <w:rFonts w:ascii="Times New Roman" w:eastAsia="Times New Roman" w:hAnsi="Times New Roman"/>
          <w:color w:val="000000" w:themeColor="text1"/>
          <w:sz w:val="24"/>
          <w:szCs w:val="24"/>
        </w:rPr>
        <w:t xml:space="preserve">Department of </w:t>
      </w:r>
      <w:r w:rsidR="00D10B40">
        <w:rPr>
          <w:rFonts w:ascii="Times New Roman" w:eastAsia="Times New Roman" w:hAnsi="Times New Roman"/>
          <w:color w:val="000000" w:themeColor="text1"/>
          <w:sz w:val="24"/>
          <w:szCs w:val="24"/>
        </w:rPr>
        <w:t>Education and Training</w:t>
      </w:r>
      <w:r w:rsidRPr="00827B49">
        <w:rPr>
          <w:rFonts w:ascii="Times New Roman" w:eastAsia="Times New Roman" w:hAnsi="Times New Roman"/>
          <w:color w:val="000000" w:themeColor="text1"/>
          <w:sz w:val="24"/>
          <w:szCs w:val="24"/>
        </w:rPr>
        <w:t>.</w:t>
      </w:r>
    </w:p>
    <w:p w:rsidR="006818C0" w:rsidRDefault="006818C0" w:rsidP="006818C0">
      <w:pPr>
        <w:rPr>
          <w:rFonts w:ascii="Times New Roman" w:hAnsi="Times New Roman"/>
          <w:color w:val="000000" w:themeColor="text1"/>
          <w:sz w:val="24"/>
          <w:szCs w:val="24"/>
        </w:rPr>
      </w:pPr>
    </w:p>
    <w:p w:rsidR="00D10B40" w:rsidRPr="00A32C2C" w:rsidRDefault="00D10B40" w:rsidP="00D10B40">
      <w:pPr>
        <w:rPr>
          <w:rFonts w:ascii="Times New Roman" w:hAnsi="Times New Roman"/>
          <w:sz w:val="24"/>
          <w:szCs w:val="24"/>
        </w:rPr>
      </w:pPr>
      <w:r w:rsidRPr="00A32C2C">
        <w:rPr>
          <w:rFonts w:ascii="Times New Roman" w:hAnsi="Times New Roman"/>
          <w:sz w:val="24"/>
          <w:szCs w:val="24"/>
        </w:rPr>
        <w:t xml:space="preserve">New </w:t>
      </w:r>
      <w:r w:rsidRPr="00A32C2C">
        <w:rPr>
          <w:rFonts w:ascii="Times New Roman" w:hAnsi="Times New Roman"/>
          <w:b/>
          <w:sz w:val="24"/>
          <w:szCs w:val="24"/>
        </w:rPr>
        <w:t xml:space="preserve">table item </w:t>
      </w:r>
      <w:r w:rsidR="009C0C8A">
        <w:rPr>
          <w:rFonts w:ascii="Times New Roman" w:hAnsi="Times New Roman"/>
          <w:b/>
          <w:sz w:val="24"/>
          <w:szCs w:val="24"/>
        </w:rPr>
        <w:t>168</w:t>
      </w:r>
      <w:r w:rsidRPr="00A32C2C">
        <w:rPr>
          <w:rFonts w:ascii="Times New Roman" w:hAnsi="Times New Roman"/>
          <w:sz w:val="24"/>
          <w:szCs w:val="24"/>
        </w:rPr>
        <w:t xml:space="preserve"> establishes legislative authority for government spending on the l</w:t>
      </w:r>
      <w:r w:rsidRPr="00A32C2C">
        <w:rPr>
          <w:rFonts w:ascii="Times New Roman" w:hAnsi="Times New Roman"/>
          <w:iCs/>
          <w:sz w:val="24"/>
          <w:szCs w:val="24"/>
        </w:rPr>
        <w:t>icensing of international vocational education and training courses</w:t>
      </w:r>
      <w:r w:rsidRPr="00A32C2C">
        <w:rPr>
          <w:rFonts w:ascii="Times New Roman" w:hAnsi="Times New Roman"/>
          <w:sz w:val="24"/>
          <w:szCs w:val="24"/>
        </w:rPr>
        <w:t>.</w:t>
      </w:r>
    </w:p>
    <w:p w:rsidR="00D10B40" w:rsidRPr="00A32C2C" w:rsidRDefault="00D10B40" w:rsidP="00D10B40">
      <w:pPr>
        <w:rPr>
          <w:rFonts w:ascii="Times New Roman" w:hAnsi="Times New Roman"/>
          <w:sz w:val="24"/>
          <w:szCs w:val="24"/>
        </w:rPr>
      </w:pPr>
    </w:p>
    <w:p w:rsidR="00D10B40" w:rsidRPr="00A32C2C" w:rsidRDefault="00D10B40" w:rsidP="00D10B40">
      <w:pPr>
        <w:rPr>
          <w:rFonts w:ascii="Times New Roman" w:hAnsi="Times New Roman"/>
          <w:sz w:val="24"/>
          <w:szCs w:val="24"/>
        </w:rPr>
      </w:pPr>
      <w:r w:rsidRPr="00A32C2C">
        <w:rPr>
          <w:rFonts w:ascii="Times New Roman" w:hAnsi="Times New Roman"/>
          <w:sz w:val="24"/>
          <w:szCs w:val="24"/>
        </w:rPr>
        <w:t xml:space="preserve">The Government will introduce a licensing fee for vocational education and training courses developed for delivery to international students offshore. </w:t>
      </w:r>
    </w:p>
    <w:p w:rsidR="00D10B40" w:rsidRPr="00A32C2C" w:rsidRDefault="00D10B40" w:rsidP="00D10B40">
      <w:pPr>
        <w:rPr>
          <w:rFonts w:ascii="Times New Roman" w:hAnsi="Times New Roman"/>
          <w:sz w:val="24"/>
          <w:szCs w:val="24"/>
        </w:rPr>
      </w:pPr>
    </w:p>
    <w:p w:rsidR="00D10B40" w:rsidRPr="00A32C2C" w:rsidRDefault="00D10B40" w:rsidP="00D10B40">
      <w:pPr>
        <w:rPr>
          <w:rFonts w:ascii="Times New Roman" w:hAnsi="Times New Roman"/>
          <w:sz w:val="24"/>
          <w:szCs w:val="24"/>
        </w:rPr>
      </w:pPr>
      <w:r w:rsidRPr="00A32C2C">
        <w:rPr>
          <w:rFonts w:ascii="Times New Roman" w:hAnsi="Times New Roman"/>
          <w:sz w:val="24"/>
          <w:szCs w:val="24"/>
        </w:rPr>
        <w:t>The measure will seek to grow Australia’s international technical vocational education and training (TVET) market activity offshore; address international workforce competency gaps and global skills demands; as well as support Australia’s bilateral and multilateral relations and capacity building efforts in relation to skills development and training.  The intention is to assist Australian registered training organisations (RTOs) in expanding their business operations in the international TVET market and Australian multinational businesses by enabling access to quality skilled labour.</w:t>
      </w:r>
    </w:p>
    <w:p w:rsidR="00D10B40" w:rsidRPr="00A32C2C" w:rsidRDefault="00D10B40" w:rsidP="00D10B40">
      <w:pPr>
        <w:rPr>
          <w:rFonts w:ascii="Times New Roman" w:hAnsi="Times New Roman"/>
          <w:sz w:val="24"/>
          <w:szCs w:val="24"/>
        </w:rPr>
      </w:pPr>
    </w:p>
    <w:p w:rsidR="00D10B40" w:rsidRPr="00A32C2C" w:rsidRDefault="00D10B40" w:rsidP="00D10B40">
      <w:pPr>
        <w:rPr>
          <w:rFonts w:ascii="Times New Roman" w:hAnsi="Times New Roman"/>
          <w:sz w:val="24"/>
          <w:szCs w:val="24"/>
        </w:rPr>
      </w:pPr>
      <w:r w:rsidRPr="00A32C2C">
        <w:rPr>
          <w:rFonts w:ascii="Times New Roman" w:hAnsi="Times New Roman"/>
          <w:sz w:val="24"/>
          <w:szCs w:val="24"/>
        </w:rPr>
        <w:t>Funding will be provided for the development of a series of courses and support materials (such as learner guides, assessment materials and an online assessment platform) which will form the products provided to RTOs under licence from the Commonwealth.</w:t>
      </w:r>
    </w:p>
    <w:p w:rsidR="00D10B40" w:rsidRPr="00A32C2C" w:rsidRDefault="00D10B40" w:rsidP="00D10B40">
      <w:pPr>
        <w:rPr>
          <w:rFonts w:ascii="Times New Roman" w:hAnsi="Times New Roman"/>
          <w:sz w:val="24"/>
          <w:szCs w:val="24"/>
        </w:rPr>
      </w:pPr>
    </w:p>
    <w:p w:rsidR="00D10B40" w:rsidRPr="00A32C2C" w:rsidRDefault="00D10B40" w:rsidP="00D10B40">
      <w:pPr>
        <w:rPr>
          <w:rFonts w:ascii="Times New Roman" w:hAnsi="Times New Roman"/>
          <w:sz w:val="24"/>
          <w:szCs w:val="24"/>
        </w:rPr>
      </w:pPr>
      <w:r w:rsidRPr="00A32C2C">
        <w:rPr>
          <w:rFonts w:ascii="Times New Roman" w:hAnsi="Times New Roman"/>
          <w:sz w:val="24"/>
          <w:szCs w:val="24"/>
        </w:rPr>
        <w:lastRenderedPageBreak/>
        <w:t xml:space="preserve">The measure will raise administered revenue through the collection of a licence fee.  This (per course) fee will be paid by RTOs which apply and are approved to deliver the courses.  The licence will entitle approved RTOs to access the course materials, support materials and product branding developed by the Department of Education and Training.  The fee will act as a cost recovery measure and will contribute to meeting the cost of the online assessment platform which supports the delivery of the courses in the medium- to long-term. </w:t>
      </w:r>
    </w:p>
    <w:p w:rsidR="00D10B40" w:rsidRPr="00A32C2C" w:rsidRDefault="00D10B40" w:rsidP="00D10B40">
      <w:pPr>
        <w:rPr>
          <w:rFonts w:ascii="Times New Roman" w:hAnsi="Times New Roman"/>
          <w:sz w:val="24"/>
          <w:szCs w:val="24"/>
        </w:rPr>
      </w:pPr>
    </w:p>
    <w:p w:rsidR="00D10B40" w:rsidRPr="00A32C2C" w:rsidRDefault="00D10B40" w:rsidP="00D10B40">
      <w:pPr>
        <w:rPr>
          <w:rFonts w:ascii="Times New Roman" w:eastAsia="Cambria" w:hAnsi="Times New Roman"/>
          <w:sz w:val="24"/>
          <w:szCs w:val="24"/>
        </w:rPr>
      </w:pPr>
      <w:r w:rsidRPr="00A32C2C">
        <w:rPr>
          <w:rFonts w:ascii="Times New Roman" w:eastAsia="Cambria" w:hAnsi="Times New Roman"/>
          <w:sz w:val="24"/>
          <w:szCs w:val="24"/>
        </w:rPr>
        <w:t>Further information about the measure can be found at:</w:t>
      </w:r>
    </w:p>
    <w:p w:rsidR="00D10B40" w:rsidRPr="00A32C2C" w:rsidRDefault="00D10B40" w:rsidP="00D10B40">
      <w:pPr>
        <w:rPr>
          <w:rFonts w:ascii="Times New Roman" w:eastAsia="Cambria" w:hAnsi="Times New Roman"/>
          <w:color w:val="000000" w:themeColor="text1"/>
          <w:sz w:val="24"/>
          <w:szCs w:val="24"/>
        </w:rPr>
      </w:pPr>
      <w:r w:rsidRPr="00A32C2C">
        <w:rPr>
          <w:rFonts w:ascii="Times New Roman" w:eastAsia="Cambria" w:hAnsi="Times New Roman"/>
          <w:sz w:val="24"/>
          <w:szCs w:val="24"/>
          <w:u w:val="single"/>
        </w:rPr>
        <w:t>www.education.gov.au/internationalskillstraining</w:t>
      </w:r>
      <w:r w:rsidRPr="00A32C2C">
        <w:rPr>
          <w:rFonts w:ascii="Times New Roman" w:eastAsia="Cambria" w:hAnsi="Times New Roman"/>
          <w:sz w:val="24"/>
          <w:szCs w:val="24"/>
        </w:rPr>
        <w:t xml:space="preserve"> or </w:t>
      </w:r>
      <w:hyperlink r:id="rId13" w:history="1">
        <w:r w:rsidRPr="00AD42A7">
          <w:rPr>
            <w:rStyle w:val="Hyperlink"/>
            <w:rFonts w:ascii="Times New Roman" w:eastAsia="Cambria" w:hAnsi="Times New Roman"/>
            <w:color w:val="000000" w:themeColor="text1"/>
            <w:sz w:val="24"/>
            <w:szCs w:val="24"/>
          </w:rPr>
          <w:t>www.education.gov.au/itac</w:t>
        </w:r>
      </w:hyperlink>
      <w:r w:rsidRPr="00AD42A7">
        <w:rPr>
          <w:rStyle w:val="Hyperlink"/>
          <w:rFonts w:ascii="Times New Roman" w:eastAsia="Cambria" w:hAnsi="Times New Roman"/>
          <w:color w:val="000000" w:themeColor="text1"/>
          <w:sz w:val="24"/>
          <w:szCs w:val="24"/>
        </w:rPr>
        <w:t>.</w:t>
      </w:r>
      <w:r w:rsidRPr="00A32C2C">
        <w:rPr>
          <w:rFonts w:ascii="Times New Roman" w:eastAsia="Cambria" w:hAnsi="Times New Roman"/>
          <w:color w:val="000000" w:themeColor="text1"/>
          <w:sz w:val="24"/>
          <w:szCs w:val="24"/>
        </w:rPr>
        <w:t xml:space="preserve">  </w:t>
      </w:r>
      <w:r w:rsidRPr="00A32C2C">
        <w:rPr>
          <w:rFonts w:ascii="Times New Roman" w:hAnsi="Times New Roman"/>
          <w:sz w:val="24"/>
          <w:szCs w:val="24"/>
        </w:rPr>
        <w:t>Information is also available in the joint media release of 6 April 2016 by the former Minister for International Education and Tourism, Senator the Hon Richard Colbeck, and the former Special Envoy for Trade, the Hon Andrew Robb AO MP.</w:t>
      </w:r>
    </w:p>
    <w:p w:rsidR="00D10B40" w:rsidRPr="00A32C2C" w:rsidRDefault="00D10B40" w:rsidP="00D10B40">
      <w:pPr>
        <w:rPr>
          <w:rFonts w:ascii="Times New Roman" w:hAnsi="Times New Roman"/>
          <w:sz w:val="24"/>
          <w:szCs w:val="24"/>
          <w:u w:val="single"/>
        </w:rPr>
      </w:pPr>
    </w:p>
    <w:p w:rsidR="00D10B40" w:rsidRPr="00A32C2C" w:rsidRDefault="00D10B40" w:rsidP="00D10B40">
      <w:pPr>
        <w:rPr>
          <w:rFonts w:ascii="Times New Roman" w:hAnsi="Times New Roman"/>
          <w:sz w:val="24"/>
          <w:szCs w:val="24"/>
        </w:rPr>
      </w:pPr>
      <w:r w:rsidRPr="00A32C2C">
        <w:rPr>
          <w:rFonts w:ascii="Times New Roman" w:hAnsi="Times New Roman"/>
          <w:sz w:val="24"/>
          <w:szCs w:val="24"/>
        </w:rPr>
        <w:t xml:space="preserve">The total budget for the measure of $5.4 million (2015-16 to 2018-19) was included in the </w:t>
      </w:r>
      <w:r w:rsidRPr="00A32C2C">
        <w:rPr>
          <w:rFonts w:ascii="Times New Roman" w:hAnsi="Times New Roman"/>
          <w:i/>
          <w:sz w:val="24"/>
          <w:szCs w:val="24"/>
        </w:rPr>
        <w:t>Mid-Year Economic and Fiscal Outlook</w:t>
      </w:r>
      <w:r w:rsidR="00E248C4">
        <w:rPr>
          <w:rFonts w:ascii="Times New Roman" w:hAnsi="Times New Roman"/>
          <w:i/>
          <w:sz w:val="24"/>
          <w:szCs w:val="24"/>
        </w:rPr>
        <w:t xml:space="preserve"> </w:t>
      </w:r>
      <w:r w:rsidR="00E248C4" w:rsidRPr="00A32C2C">
        <w:rPr>
          <w:rFonts w:ascii="Times New Roman" w:hAnsi="Times New Roman"/>
          <w:i/>
          <w:sz w:val="24"/>
          <w:szCs w:val="24"/>
        </w:rPr>
        <w:t>2015-16</w:t>
      </w:r>
      <w:r w:rsidRPr="00A32C2C">
        <w:rPr>
          <w:rFonts w:ascii="Times New Roman" w:hAnsi="Times New Roman"/>
          <w:sz w:val="24"/>
          <w:szCs w:val="24"/>
        </w:rPr>
        <w:t xml:space="preserve">, with details under the ‘Department of Education and Training – charging opportunities’ measure at page 108.  Of the total, $2.1 million (allocated to staffing) is to be sourced from existing departmental resourcing.  </w:t>
      </w:r>
    </w:p>
    <w:p w:rsidR="00D10B40" w:rsidRPr="00A32C2C" w:rsidRDefault="00D10B40" w:rsidP="00D10B40">
      <w:pPr>
        <w:rPr>
          <w:rFonts w:ascii="Times New Roman" w:hAnsi="Times New Roman"/>
          <w:sz w:val="24"/>
          <w:szCs w:val="24"/>
        </w:rPr>
      </w:pPr>
    </w:p>
    <w:p w:rsidR="00D10B40" w:rsidRPr="00A32C2C" w:rsidRDefault="00D10B40" w:rsidP="00D10B40">
      <w:pPr>
        <w:rPr>
          <w:rFonts w:ascii="Times New Roman" w:eastAsia="Cambria" w:hAnsi="Times New Roman"/>
          <w:sz w:val="24"/>
          <w:szCs w:val="24"/>
        </w:rPr>
      </w:pPr>
      <w:r w:rsidRPr="00A32C2C">
        <w:rPr>
          <w:rFonts w:ascii="Times New Roman" w:eastAsia="Cambria" w:hAnsi="Times New Roman"/>
          <w:sz w:val="24"/>
          <w:szCs w:val="24"/>
        </w:rPr>
        <w:t xml:space="preserve">Funding decisions will be made by officials of the Department of Education and Training holding relevant financial delegations from the Secretary.  Dependant on the level of expenditure, the relevant delegate will approve funding for developing the </w:t>
      </w:r>
      <w:r w:rsidRPr="00A32C2C">
        <w:rPr>
          <w:rFonts w:ascii="Times New Roman" w:hAnsi="Times New Roman"/>
          <w:sz w:val="24"/>
          <w:szCs w:val="24"/>
        </w:rPr>
        <w:t>series of courses and related support products under this initiative.</w:t>
      </w:r>
      <w:r w:rsidRPr="00A32C2C">
        <w:rPr>
          <w:rFonts w:ascii="Times New Roman" w:eastAsia="Cambria" w:hAnsi="Times New Roman"/>
          <w:sz w:val="24"/>
          <w:szCs w:val="24"/>
        </w:rPr>
        <w:t xml:space="preserve">  Funding decisions will be made in accordance with the Department of Education and Training’s Secretary Instructions and delegations on the expenditure of relevant monies in accordance with the </w:t>
      </w:r>
      <w:r w:rsidRPr="00A32C2C">
        <w:rPr>
          <w:rFonts w:ascii="Times New Roman" w:eastAsia="Cambria" w:hAnsi="Times New Roman"/>
          <w:i/>
          <w:sz w:val="24"/>
          <w:szCs w:val="24"/>
        </w:rPr>
        <w:t>Public Governance, Performance and Accountability Act</w:t>
      </w:r>
      <w:r w:rsidRPr="00A32C2C">
        <w:rPr>
          <w:rFonts w:ascii="Times New Roman" w:eastAsia="Cambria" w:hAnsi="Times New Roman"/>
          <w:sz w:val="24"/>
          <w:szCs w:val="24"/>
        </w:rPr>
        <w:t xml:space="preserve"> </w:t>
      </w:r>
      <w:r w:rsidRPr="00A32C2C">
        <w:rPr>
          <w:rFonts w:ascii="Times New Roman" w:eastAsia="Cambria" w:hAnsi="Times New Roman"/>
          <w:i/>
          <w:sz w:val="24"/>
          <w:szCs w:val="24"/>
        </w:rPr>
        <w:t>2013</w:t>
      </w:r>
      <w:r w:rsidRPr="00A32C2C">
        <w:rPr>
          <w:rFonts w:ascii="Times New Roman" w:eastAsia="Cambria" w:hAnsi="Times New Roman"/>
          <w:sz w:val="24"/>
          <w:szCs w:val="24"/>
        </w:rPr>
        <w:t xml:space="preserve">.  </w:t>
      </w:r>
    </w:p>
    <w:p w:rsidR="00D10B40" w:rsidRPr="00A32C2C" w:rsidRDefault="00D10B40" w:rsidP="00D10B40">
      <w:pPr>
        <w:rPr>
          <w:rFonts w:ascii="Times New Roman" w:eastAsia="Cambria" w:hAnsi="Times New Roman"/>
          <w:sz w:val="24"/>
          <w:szCs w:val="24"/>
        </w:rPr>
      </w:pPr>
    </w:p>
    <w:p w:rsidR="00D10B40" w:rsidRPr="00A32C2C" w:rsidRDefault="00D10B40" w:rsidP="00D10B40">
      <w:pPr>
        <w:rPr>
          <w:rFonts w:ascii="Times New Roman" w:eastAsia="Cambria" w:hAnsi="Times New Roman"/>
          <w:sz w:val="24"/>
          <w:szCs w:val="24"/>
        </w:rPr>
      </w:pPr>
      <w:r w:rsidRPr="00A32C2C">
        <w:rPr>
          <w:rFonts w:ascii="Times New Roman" w:eastAsia="Cambria" w:hAnsi="Times New Roman"/>
          <w:sz w:val="24"/>
          <w:szCs w:val="24"/>
        </w:rPr>
        <w:t>The Department intends to run a tender process for the development of the online assessment platform and course assessment materials under the measure.  The tender will be made available on Austender, and guidelines will be developed as part of this process.  The Department has not determined whether the tender will be an open or limited tender.  The resultant contract will be available to view on Austender after signing.</w:t>
      </w:r>
    </w:p>
    <w:p w:rsidR="00D10B40" w:rsidRPr="00A32C2C" w:rsidRDefault="00D10B40" w:rsidP="00D10B40">
      <w:pPr>
        <w:rPr>
          <w:rFonts w:ascii="Times New Roman" w:eastAsia="Cambria" w:hAnsi="Times New Roman"/>
          <w:sz w:val="24"/>
          <w:szCs w:val="24"/>
        </w:rPr>
      </w:pPr>
    </w:p>
    <w:p w:rsidR="00D10B40" w:rsidRPr="00A32C2C" w:rsidRDefault="00D10B40" w:rsidP="00D10B40">
      <w:pPr>
        <w:rPr>
          <w:rFonts w:ascii="Times New Roman" w:eastAsia="Cambria" w:hAnsi="Times New Roman"/>
          <w:sz w:val="24"/>
          <w:szCs w:val="24"/>
        </w:rPr>
      </w:pPr>
      <w:r w:rsidRPr="00A32C2C">
        <w:rPr>
          <w:rFonts w:ascii="Times New Roman" w:eastAsia="Cambria" w:hAnsi="Times New Roman"/>
          <w:sz w:val="24"/>
          <w:szCs w:val="24"/>
        </w:rPr>
        <w:t>Spending decisions regarding the course materials will not be made publicly available.  Due to the specialist expertise required to develop the course materials, the Department will likely source a supplier directly or through a limited tender process.  The resultant contract and approved supplier will be listed on Austender after signing.</w:t>
      </w:r>
    </w:p>
    <w:p w:rsidR="00D10B40" w:rsidRPr="00A32C2C" w:rsidRDefault="00D10B40" w:rsidP="00D10B40">
      <w:pPr>
        <w:rPr>
          <w:rFonts w:ascii="Times New Roman" w:eastAsia="Cambria" w:hAnsi="Times New Roman"/>
          <w:sz w:val="24"/>
          <w:szCs w:val="24"/>
        </w:rPr>
      </w:pPr>
    </w:p>
    <w:p w:rsidR="00D10B40" w:rsidRPr="00A32C2C" w:rsidRDefault="00D10B40" w:rsidP="00D10B40">
      <w:pPr>
        <w:rPr>
          <w:rFonts w:ascii="Times New Roman" w:hAnsi="Times New Roman"/>
          <w:sz w:val="24"/>
          <w:szCs w:val="24"/>
        </w:rPr>
      </w:pPr>
      <w:r w:rsidRPr="00A32C2C">
        <w:rPr>
          <w:rFonts w:ascii="Times New Roman" w:hAnsi="Times New Roman"/>
          <w:sz w:val="24"/>
          <w:szCs w:val="24"/>
        </w:rPr>
        <w:t xml:space="preserve">There will be no merits review of funding for the measure.  Merits review would be unsuitable as the Department will be running a tender process to provide the funding, in accordance with the </w:t>
      </w:r>
      <w:r w:rsidRPr="00A32C2C">
        <w:rPr>
          <w:rFonts w:ascii="Times New Roman" w:hAnsi="Times New Roman"/>
          <w:i/>
          <w:sz w:val="24"/>
          <w:szCs w:val="24"/>
        </w:rPr>
        <w:t>Commonwealth Procurement Rules</w:t>
      </w:r>
      <w:r w:rsidRPr="00A32C2C">
        <w:rPr>
          <w:rFonts w:ascii="Times New Roman" w:hAnsi="Times New Roman"/>
          <w:sz w:val="24"/>
          <w:szCs w:val="24"/>
        </w:rPr>
        <w:t xml:space="preserve">.  </w:t>
      </w:r>
    </w:p>
    <w:p w:rsidR="00D10B40" w:rsidRPr="00A32C2C" w:rsidRDefault="00D10B40" w:rsidP="00D10B40">
      <w:pPr>
        <w:rPr>
          <w:rFonts w:ascii="Times New Roman" w:hAnsi="Times New Roman"/>
          <w:sz w:val="24"/>
          <w:szCs w:val="24"/>
        </w:rPr>
      </w:pPr>
    </w:p>
    <w:p w:rsidR="00D10B40" w:rsidRPr="00A32C2C" w:rsidRDefault="00D10B40" w:rsidP="00D10B40">
      <w:pPr>
        <w:rPr>
          <w:rFonts w:ascii="Times New Roman" w:hAnsi="Times New Roman"/>
          <w:sz w:val="24"/>
          <w:szCs w:val="24"/>
        </w:rPr>
      </w:pPr>
      <w:r w:rsidRPr="00A32C2C">
        <w:rPr>
          <w:rFonts w:ascii="Times New Roman" w:hAnsi="Times New Roman"/>
          <w:sz w:val="24"/>
          <w:szCs w:val="24"/>
        </w:rPr>
        <w:t xml:space="preserve">The expenditure will be funded under Sub-program 2.8.4: Support for the National Training System, which is part of Program 2.8: Building Skills and Capability.  Program 2.8 comes under Outcome 2: Promote growth in economic productivity and social wellbeing through access to quality higher education, international education and international quality research, skills and training.  Details are set out in the </w:t>
      </w:r>
      <w:r w:rsidRPr="00A32C2C">
        <w:rPr>
          <w:rFonts w:ascii="Times New Roman" w:hAnsi="Times New Roman"/>
          <w:i/>
          <w:iCs/>
          <w:sz w:val="24"/>
          <w:szCs w:val="24"/>
        </w:rPr>
        <w:t>Portfolio Budget Statements 2016-17, Budget Related Paper No. 1.5, Education and Training Portfolio</w:t>
      </w:r>
      <w:r w:rsidRPr="00A32C2C">
        <w:rPr>
          <w:rFonts w:ascii="Times New Roman" w:hAnsi="Times New Roman"/>
          <w:sz w:val="24"/>
          <w:szCs w:val="24"/>
        </w:rPr>
        <w:t xml:space="preserve"> at page 75. </w:t>
      </w:r>
    </w:p>
    <w:p w:rsidR="00D10B40" w:rsidRPr="00A32C2C" w:rsidRDefault="00D10B40" w:rsidP="00D10B40">
      <w:pPr>
        <w:rPr>
          <w:rFonts w:ascii="Times New Roman" w:hAnsi="Times New Roman"/>
          <w:sz w:val="24"/>
          <w:szCs w:val="24"/>
        </w:rPr>
      </w:pPr>
    </w:p>
    <w:p w:rsidR="00ED4152" w:rsidRDefault="00ED4152">
      <w:pPr>
        <w:spacing w:after="200" w:line="276" w:lineRule="auto"/>
        <w:rPr>
          <w:rFonts w:ascii="Times New Roman" w:hAnsi="Times New Roman"/>
          <w:sz w:val="24"/>
          <w:szCs w:val="24"/>
        </w:rPr>
      </w:pPr>
      <w:r>
        <w:rPr>
          <w:rFonts w:ascii="Times New Roman" w:hAnsi="Times New Roman"/>
          <w:sz w:val="24"/>
          <w:szCs w:val="24"/>
        </w:rPr>
        <w:br w:type="page"/>
      </w:r>
    </w:p>
    <w:p w:rsidR="00D10B40" w:rsidRPr="00A32C2C" w:rsidRDefault="00D10B40" w:rsidP="00D10B40">
      <w:pPr>
        <w:rPr>
          <w:rFonts w:ascii="Times New Roman" w:hAnsi="Times New Roman"/>
          <w:sz w:val="24"/>
          <w:szCs w:val="24"/>
        </w:rPr>
      </w:pPr>
      <w:r w:rsidRPr="00A32C2C">
        <w:rPr>
          <w:rFonts w:ascii="Times New Roman" w:hAnsi="Times New Roman"/>
          <w:sz w:val="24"/>
          <w:szCs w:val="24"/>
        </w:rPr>
        <w:lastRenderedPageBreak/>
        <w:t xml:space="preserve">Noting that it is not a comprehensive statement of relevant constitutional considerations, the objective of the item references the following powers of the Constitution: </w:t>
      </w:r>
    </w:p>
    <w:p w:rsidR="00D10B40" w:rsidRPr="00A32C2C" w:rsidRDefault="00D10B40" w:rsidP="00D10B40">
      <w:pPr>
        <w:pStyle w:val="ListParagraph"/>
        <w:numPr>
          <w:ilvl w:val="0"/>
          <w:numId w:val="5"/>
        </w:numPr>
        <w:contextualSpacing w:val="0"/>
        <w:rPr>
          <w:rFonts w:cs="Times New Roman"/>
          <w:szCs w:val="24"/>
        </w:rPr>
      </w:pPr>
      <w:r w:rsidRPr="00A32C2C">
        <w:rPr>
          <w:rFonts w:cs="Times New Roman"/>
          <w:szCs w:val="24"/>
        </w:rPr>
        <w:t>the trade and commerce power (section 51(i)); and</w:t>
      </w:r>
    </w:p>
    <w:p w:rsidR="00D10B40" w:rsidRPr="00A32C2C" w:rsidRDefault="00D10B40" w:rsidP="00D10B40">
      <w:pPr>
        <w:pStyle w:val="ListParagraph"/>
        <w:numPr>
          <w:ilvl w:val="0"/>
          <w:numId w:val="5"/>
        </w:numPr>
        <w:contextualSpacing w:val="0"/>
        <w:rPr>
          <w:rFonts w:cs="Times New Roman"/>
          <w:szCs w:val="24"/>
        </w:rPr>
      </w:pPr>
      <w:r w:rsidRPr="00A32C2C">
        <w:rPr>
          <w:rFonts w:cs="Times New Roman"/>
          <w:szCs w:val="24"/>
        </w:rPr>
        <w:t>the external affairs power (section 51(xxix)).</w:t>
      </w:r>
    </w:p>
    <w:p w:rsidR="006818C0" w:rsidRDefault="006818C0" w:rsidP="006818C0">
      <w:pPr>
        <w:rPr>
          <w:rFonts w:ascii="Times New Roman" w:hAnsi="Times New Roman"/>
          <w:color w:val="000000" w:themeColor="text1"/>
          <w:sz w:val="24"/>
          <w:szCs w:val="24"/>
        </w:rPr>
      </w:pPr>
    </w:p>
    <w:p w:rsidR="00D10B40" w:rsidRPr="00D10B40" w:rsidRDefault="00D10B40" w:rsidP="00D10B40">
      <w:pPr>
        <w:rPr>
          <w:rFonts w:ascii="Times New Roman" w:hAnsi="Times New Roman"/>
          <w:color w:val="000000" w:themeColor="text1"/>
          <w:sz w:val="24"/>
          <w:szCs w:val="24"/>
        </w:rPr>
      </w:pPr>
      <w:r w:rsidRPr="00D10B40">
        <w:rPr>
          <w:rFonts w:ascii="Times New Roman" w:hAnsi="Times New Roman"/>
          <w:color w:val="000000" w:themeColor="text1"/>
          <w:sz w:val="24"/>
          <w:szCs w:val="24"/>
        </w:rPr>
        <w:t xml:space="preserve">New </w:t>
      </w:r>
      <w:r w:rsidRPr="00D10B40">
        <w:rPr>
          <w:rFonts w:ascii="Times New Roman" w:hAnsi="Times New Roman"/>
          <w:b/>
          <w:color w:val="000000" w:themeColor="text1"/>
          <w:sz w:val="24"/>
          <w:szCs w:val="24"/>
        </w:rPr>
        <w:t xml:space="preserve">table item </w:t>
      </w:r>
      <w:r w:rsidR="009C0C8A">
        <w:rPr>
          <w:rFonts w:ascii="Times New Roman" w:hAnsi="Times New Roman"/>
          <w:b/>
          <w:color w:val="000000" w:themeColor="text1"/>
          <w:sz w:val="24"/>
          <w:szCs w:val="24"/>
        </w:rPr>
        <w:t>169</w:t>
      </w:r>
      <w:bookmarkStart w:id="0" w:name="_GoBack"/>
      <w:bookmarkEnd w:id="0"/>
      <w:r w:rsidRPr="00D10B40">
        <w:rPr>
          <w:rFonts w:ascii="Times New Roman" w:hAnsi="Times New Roman"/>
          <w:color w:val="000000" w:themeColor="text1"/>
          <w:sz w:val="24"/>
          <w:szCs w:val="24"/>
        </w:rPr>
        <w:t xml:space="preserve"> establishes legislative authority for the Government to provide funding of $5.9 million over two years to make the Early Learning Languages Australia</w:t>
      </w:r>
      <w:r w:rsidRPr="00D10B40">
        <w:rPr>
          <w:rFonts w:ascii="Times New Roman" w:hAnsi="Times New Roman"/>
          <w:i/>
          <w:color w:val="000000" w:themeColor="text1"/>
          <w:sz w:val="24"/>
          <w:szCs w:val="24"/>
        </w:rPr>
        <w:t xml:space="preserve"> </w:t>
      </w:r>
      <w:r w:rsidRPr="00D10B40">
        <w:rPr>
          <w:rFonts w:ascii="Times New Roman" w:hAnsi="Times New Roman"/>
          <w:color w:val="000000" w:themeColor="text1"/>
          <w:sz w:val="24"/>
          <w:szCs w:val="24"/>
        </w:rPr>
        <w:t>(ELLA) initiative nationally available to early childhood education and care services.</w:t>
      </w:r>
    </w:p>
    <w:p w:rsidR="00D10B40" w:rsidRPr="00D10B40" w:rsidRDefault="00D10B40" w:rsidP="00D10B40">
      <w:pPr>
        <w:rPr>
          <w:rFonts w:ascii="Times New Roman" w:hAnsi="Times New Roman"/>
          <w:color w:val="000000" w:themeColor="text1"/>
          <w:sz w:val="24"/>
          <w:szCs w:val="24"/>
        </w:rPr>
      </w:pPr>
    </w:p>
    <w:p w:rsidR="00D10B40" w:rsidRPr="00D10B40" w:rsidRDefault="00D10B40" w:rsidP="00D10B40">
      <w:pPr>
        <w:rPr>
          <w:rFonts w:ascii="Times New Roman" w:hAnsi="Times New Roman"/>
          <w:color w:val="000000" w:themeColor="text1"/>
          <w:sz w:val="24"/>
          <w:szCs w:val="24"/>
        </w:rPr>
      </w:pPr>
      <w:r w:rsidRPr="00D10B40">
        <w:rPr>
          <w:rFonts w:ascii="Times New Roman" w:hAnsi="Times New Roman"/>
          <w:color w:val="000000" w:themeColor="text1"/>
          <w:sz w:val="24"/>
          <w:szCs w:val="24"/>
        </w:rPr>
        <w:t>The aim of ELLA is to provide preschool aged children with early experiences in language learning in order to encourage those children to pursue learning a language in primary and secondary schooling.  This supports the Government’s aim to better prepare students for a globalised world by increasing the number of students studying languages during schooling.</w:t>
      </w:r>
    </w:p>
    <w:p w:rsidR="00D10B40" w:rsidRPr="00D10B40" w:rsidRDefault="00D10B40" w:rsidP="00D10B40">
      <w:pPr>
        <w:rPr>
          <w:rFonts w:ascii="Times New Roman" w:hAnsi="Times New Roman"/>
          <w:color w:val="000000" w:themeColor="text1"/>
          <w:sz w:val="24"/>
          <w:szCs w:val="24"/>
        </w:rPr>
      </w:pPr>
    </w:p>
    <w:p w:rsidR="00D10B40" w:rsidRPr="00D10B40" w:rsidRDefault="00D10B40" w:rsidP="00D10B40">
      <w:pPr>
        <w:rPr>
          <w:rFonts w:ascii="Times New Roman" w:hAnsi="Times New Roman"/>
          <w:color w:val="000000" w:themeColor="text1"/>
          <w:sz w:val="24"/>
          <w:szCs w:val="24"/>
        </w:rPr>
      </w:pPr>
      <w:r w:rsidRPr="00D10B40">
        <w:rPr>
          <w:rFonts w:ascii="Times New Roman" w:hAnsi="Times New Roman"/>
          <w:color w:val="000000" w:themeColor="text1"/>
          <w:sz w:val="24"/>
          <w:szCs w:val="24"/>
        </w:rPr>
        <w:t>ELLA consists of a suite of play-based online applications (ELLA applications), designed for preschool aged children to experience languages learning.  The ELLA applications can be downloaded by participating early childhood education and care services onto tablet devices for use by children, with associated guidance provided to educators on using those applications.</w:t>
      </w:r>
    </w:p>
    <w:p w:rsidR="00D10B40" w:rsidRPr="00D10B40" w:rsidRDefault="00D10B40" w:rsidP="00D10B40">
      <w:pPr>
        <w:rPr>
          <w:rFonts w:ascii="Times New Roman" w:hAnsi="Times New Roman"/>
          <w:color w:val="000000" w:themeColor="text1"/>
          <w:sz w:val="24"/>
          <w:szCs w:val="24"/>
        </w:rPr>
      </w:pPr>
    </w:p>
    <w:p w:rsidR="00D10B40" w:rsidRPr="00D10B40" w:rsidRDefault="00D10B40" w:rsidP="00D10B40">
      <w:pPr>
        <w:rPr>
          <w:rFonts w:ascii="Times New Roman" w:hAnsi="Times New Roman"/>
          <w:color w:val="000000" w:themeColor="text1"/>
          <w:sz w:val="24"/>
          <w:szCs w:val="24"/>
        </w:rPr>
      </w:pPr>
      <w:r w:rsidRPr="00D10B40">
        <w:rPr>
          <w:rFonts w:ascii="Times New Roman" w:hAnsi="Times New Roman"/>
          <w:color w:val="000000" w:themeColor="text1"/>
          <w:sz w:val="24"/>
          <w:szCs w:val="24"/>
        </w:rPr>
        <w:t xml:space="preserve">Funding was included in the 2016-17 Budget and will be provided to Education Services Australia Limited (ESA) over two years to facilitate this process.  Further details about this initiative are set out in the measure ‘Early Learning Languages Australia – expansion’ in </w:t>
      </w:r>
      <w:r w:rsidRPr="00D10B40">
        <w:rPr>
          <w:rFonts w:ascii="Times New Roman" w:hAnsi="Times New Roman"/>
          <w:i/>
          <w:color w:val="000000" w:themeColor="text1"/>
          <w:sz w:val="24"/>
          <w:szCs w:val="24"/>
        </w:rPr>
        <w:t>Budget 2016-17</w:t>
      </w:r>
      <w:r w:rsidRPr="00D10B40">
        <w:rPr>
          <w:rFonts w:ascii="Times New Roman" w:hAnsi="Times New Roman"/>
          <w:color w:val="000000" w:themeColor="text1"/>
          <w:sz w:val="24"/>
          <w:szCs w:val="24"/>
        </w:rPr>
        <w:t xml:space="preserve">, </w:t>
      </w:r>
      <w:r w:rsidRPr="00D10B40">
        <w:rPr>
          <w:rFonts w:ascii="Times New Roman" w:hAnsi="Times New Roman"/>
          <w:i/>
          <w:color w:val="000000" w:themeColor="text1"/>
          <w:sz w:val="24"/>
          <w:szCs w:val="24"/>
        </w:rPr>
        <w:t>Budget Measures</w:t>
      </w:r>
      <w:r w:rsidRPr="00D10B40">
        <w:rPr>
          <w:rFonts w:ascii="Times New Roman" w:hAnsi="Times New Roman"/>
          <w:color w:val="000000" w:themeColor="text1"/>
          <w:sz w:val="24"/>
          <w:szCs w:val="24"/>
        </w:rPr>
        <w:t>,</w:t>
      </w:r>
      <w:r w:rsidRPr="00D10B40">
        <w:rPr>
          <w:rFonts w:ascii="Times New Roman" w:hAnsi="Times New Roman"/>
          <w:i/>
          <w:color w:val="000000" w:themeColor="text1"/>
          <w:sz w:val="24"/>
          <w:szCs w:val="24"/>
        </w:rPr>
        <w:t xml:space="preserve"> Budget Paper No. 2 2016-17</w:t>
      </w:r>
      <w:r w:rsidRPr="00D10B40">
        <w:rPr>
          <w:rFonts w:ascii="Times New Roman" w:hAnsi="Times New Roman"/>
          <w:color w:val="000000" w:themeColor="text1"/>
          <w:sz w:val="24"/>
          <w:szCs w:val="24"/>
        </w:rPr>
        <w:t>,</w:t>
      </w:r>
      <w:r w:rsidRPr="00D10B40">
        <w:rPr>
          <w:rFonts w:ascii="Times New Roman" w:hAnsi="Times New Roman"/>
          <w:i/>
          <w:color w:val="000000" w:themeColor="text1"/>
          <w:sz w:val="24"/>
          <w:szCs w:val="24"/>
        </w:rPr>
        <w:t xml:space="preserve"> </w:t>
      </w:r>
      <w:r w:rsidRPr="00D10B40">
        <w:rPr>
          <w:rFonts w:ascii="Times New Roman" w:hAnsi="Times New Roman"/>
          <w:color w:val="000000" w:themeColor="text1"/>
          <w:sz w:val="24"/>
          <w:szCs w:val="24"/>
        </w:rPr>
        <w:t>at page 76.</w:t>
      </w:r>
    </w:p>
    <w:p w:rsidR="00D10B40" w:rsidRPr="00D10B40" w:rsidRDefault="00D10B40" w:rsidP="00D10B40">
      <w:pPr>
        <w:rPr>
          <w:rFonts w:ascii="Times New Roman" w:hAnsi="Times New Roman"/>
          <w:color w:val="000000" w:themeColor="text1"/>
          <w:sz w:val="24"/>
          <w:szCs w:val="24"/>
        </w:rPr>
      </w:pPr>
    </w:p>
    <w:p w:rsidR="00D10B40" w:rsidRPr="00D10B40" w:rsidRDefault="00D10B40" w:rsidP="00D10B40">
      <w:pPr>
        <w:rPr>
          <w:rFonts w:ascii="Times New Roman" w:hAnsi="Times New Roman"/>
          <w:color w:val="000000" w:themeColor="text1"/>
          <w:sz w:val="24"/>
          <w:szCs w:val="24"/>
        </w:rPr>
      </w:pPr>
      <w:r w:rsidRPr="00D10B40">
        <w:rPr>
          <w:rFonts w:ascii="Times New Roman" w:hAnsi="Times New Roman"/>
          <w:color w:val="000000" w:themeColor="text1"/>
          <w:sz w:val="24"/>
          <w:szCs w:val="24"/>
        </w:rPr>
        <w:t>ELLA will be made available to early childhood education and care services nationally from 2017.  This will allow more preschool aged children, nationally, to access the ELLA applications and will further promote continued engagement in language learning.</w:t>
      </w:r>
    </w:p>
    <w:p w:rsidR="00D10B40" w:rsidRPr="00D10B40" w:rsidRDefault="00D10B40" w:rsidP="00D10B40">
      <w:pPr>
        <w:rPr>
          <w:rFonts w:ascii="Times New Roman" w:hAnsi="Times New Roman"/>
          <w:color w:val="000000" w:themeColor="text1"/>
          <w:sz w:val="24"/>
          <w:szCs w:val="24"/>
        </w:rPr>
      </w:pPr>
    </w:p>
    <w:p w:rsidR="00D10B40" w:rsidRPr="00D10B40" w:rsidRDefault="00D10B40" w:rsidP="00D10B40">
      <w:pPr>
        <w:rPr>
          <w:rFonts w:ascii="Times New Roman" w:hAnsi="Times New Roman"/>
          <w:color w:val="000000" w:themeColor="text1"/>
          <w:sz w:val="24"/>
          <w:szCs w:val="24"/>
        </w:rPr>
      </w:pPr>
      <w:r w:rsidRPr="00D10B40">
        <w:rPr>
          <w:rFonts w:ascii="Times New Roman" w:hAnsi="Times New Roman"/>
          <w:color w:val="000000" w:themeColor="text1"/>
          <w:sz w:val="24"/>
          <w:szCs w:val="24"/>
        </w:rPr>
        <w:t>Funding will also be provided to ESA to assist early childhood education and care services (located in low socio-economic regions throughout Australia) to access tablet devices so that those services can also be afforded the opportunity to participate in ELLA.</w:t>
      </w:r>
    </w:p>
    <w:p w:rsidR="00D10B40" w:rsidRPr="00D10B40" w:rsidRDefault="00D10B40" w:rsidP="00D10B40">
      <w:pPr>
        <w:rPr>
          <w:rFonts w:ascii="Times New Roman" w:hAnsi="Times New Roman"/>
          <w:color w:val="000000" w:themeColor="text1"/>
          <w:sz w:val="24"/>
          <w:szCs w:val="24"/>
        </w:rPr>
      </w:pPr>
    </w:p>
    <w:p w:rsidR="00D10B40" w:rsidRPr="00D10B40" w:rsidRDefault="00D10B40" w:rsidP="00D10B40">
      <w:pPr>
        <w:rPr>
          <w:rFonts w:ascii="Times New Roman" w:hAnsi="Times New Roman"/>
          <w:color w:val="000000" w:themeColor="text1"/>
          <w:sz w:val="24"/>
          <w:szCs w:val="24"/>
        </w:rPr>
      </w:pPr>
      <w:r w:rsidRPr="00D10B40">
        <w:rPr>
          <w:rFonts w:ascii="Times New Roman" w:hAnsi="Times New Roman"/>
          <w:color w:val="000000" w:themeColor="text1"/>
          <w:sz w:val="24"/>
          <w:szCs w:val="24"/>
        </w:rPr>
        <w:t xml:space="preserve">Funding will be expended in accordance with the </w:t>
      </w:r>
      <w:r w:rsidRPr="00D10B40">
        <w:rPr>
          <w:rFonts w:ascii="Times New Roman" w:hAnsi="Times New Roman"/>
          <w:i/>
          <w:color w:val="000000" w:themeColor="text1"/>
          <w:sz w:val="24"/>
          <w:szCs w:val="24"/>
        </w:rPr>
        <w:t>Commonwealth Grants Rules and Guidelines</w:t>
      </w:r>
      <w:r w:rsidRPr="00D10B40">
        <w:rPr>
          <w:rFonts w:ascii="Times New Roman" w:hAnsi="Times New Roman"/>
          <w:color w:val="000000" w:themeColor="text1"/>
          <w:sz w:val="24"/>
          <w:szCs w:val="24"/>
        </w:rPr>
        <w:t xml:space="preserve">, the Department’s Secretary Instructions and delegations on the expenditure of relevant monies, and in accordance with the </w:t>
      </w:r>
      <w:r w:rsidRPr="00D10B40">
        <w:rPr>
          <w:rFonts w:ascii="Times New Roman" w:hAnsi="Times New Roman"/>
          <w:i/>
          <w:color w:val="000000" w:themeColor="text1"/>
          <w:sz w:val="24"/>
          <w:szCs w:val="24"/>
        </w:rPr>
        <w:t>Public Governance, Performance and Accountability Act 2013</w:t>
      </w:r>
      <w:r w:rsidRPr="00D10B40">
        <w:rPr>
          <w:rFonts w:ascii="Times New Roman" w:hAnsi="Times New Roman"/>
          <w:color w:val="000000" w:themeColor="text1"/>
          <w:sz w:val="24"/>
          <w:szCs w:val="24"/>
        </w:rPr>
        <w:t>.</w:t>
      </w:r>
    </w:p>
    <w:p w:rsidR="00D10B40" w:rsidRPr="00D10B40" w:rsidRDefault="00D10B40" w:rsidP="00D10B40">
      <w:pPr>
        <w:rPr>
          <w:rFonts w:ascii="Times New Roman" w:hAnsi="Times New Roman"/>
          <w:color w:val="000000" w:themeColor="text1"/>
          <w:sz w:val="24"/>
          <w:szCs w:val="24"/>
        </w:rPr>
      </w:pPr>
    </w:p>
    <w:p w:rsidR="00D10B40" w:rsidRPr="00D10B40" w:rsidRDefault="00D10B40" w:rsidP="00D10B40">
      <w:pPr>
        <w:rPr>
          <w:rFonts w:ascii="Times New Roman" w:hAnsi="Times New Roman"/>
          <w:color w:val="000000" w:themeColor="text1"/>
          <w:sz w:val="24"/>
          <w:szCs w:val="24"/>
        </w:rPr>
      </w:pPr>
      <w:r w:rsidRPr="00D10B40">
        <w:rPr>
          <w:rFonts w:ascii="Times New Roman" w:hAnsi="Times New Roman"/>
          <w:color w:val="000000" w:themeColor="text1"/>
          <w:sz w:val="24"/>
          <w:szCs w:val="24"/>
        </w:rPr>
        <w:t>Merits review will not be available for any funding associated with ELLA, as it is not appropriate due to the non-competitive, targeted and discretionary nature of the funding being provided to ESA.</w:t>
      </w:r>
    </w:p>
    <w:p w:rsidR="00D10B40" w:rsidRPr="00D10B40" w:rsidRDefault="00D10B40" w:rsidP="00D10B40">
      <w:pPr>
        <w:rPr>
          <w:rFonts w:ascii="Times New Roman" w:hAnsi="Times New Roman"/>
          <w:color w:val="000000" w:themeColor="text1"/>
          <w:sz w:val="24"/>
          <w:szCs w:val="24"/>
        </w:rPr>
      </w:pPr>
    </w:p>
    <w:p w:rsidR="00D10B40" w:rsidRPr="00D10B40" w:rsidRDefault="00D10B40" w:rsidP="00D10B40">
      <w:pPr>
        <w:rPr>
          <w:rFonts w:ascii="Times New Roman" w:hAnsi="Times New Roman"/>
          <w:color w:val="000000" w:themeColor="text1"/>
          <w:sz w:val="24"/>
          <w:szCs w:val="24"/>
        </w:rPr>
      </w:pPr>
      <w:r w:rsidRPr="00D10B40">
        <w:rPr>
          <w:rFonts w:ascii="Times New Roman" w:hAnsi="Times New Roman"/>
          <w:color w:val="000000" w:themeColor="text1"/>
          <w:sz w:val="24"/>
          <w:szCs w:val="24"/>
        </w:rPr>
        <w:t xml:space="preserve">Funding will be drawn from Program 1.3: Early Learning and Schools Support, which is part of Outcome 1: Improved early learning, schooling, student educational outcomes and transitions to and from school through access to quality support, parent engagement, quality teaching and learning environments.  Funding details are set out in the </w:t>
      </w:r>
      <w:r w:rsidRPr="00D10B40">
        <w:rPr>
          <w:rFonts w:ascii="Times New Roman" w:hAnsi="Times New Roman"/>
          <w:i/>
          <w:color w:val="000000" w:themeColor="text1"/>
          <w:sz w:val="24"/>
          <w:szCs w:val="24"/>
        </w:rPr>
        <w:t>Portfolio Budget Statements 2016-2017</w:t>
      </w:r>
      <w:r w:rsidRPr="00D10B40">
        <w:rPr>
          <w:rFonts w:ascii="Times New Roman" w:hAnsi="Times New Roman"/>
          <w:color w:val="000000" w:themeColor="text1"/>
          <w:sz w:val="24"/>
          <w:szCs w:val="24"/>
        </w:rPr>
        <w:t xml:space="preserve">, </w:t>
      </w:r>
      <w:r w:rsidRPr="00D10B40">
        <w:rPr>
          <w:rFonts w:ascii="Times New Roman" w:hAnsi="Times New Roman"/>
          <w:i/>
          <w:color w:val="000000" w:themeColor="text1"/>
          <w:sz w:val="24"/>
          <w:szCs w:val="24"/>
        </w:rPr>
        <w:t>Budget Related Paper No. 1.5</w:t>
      </w:r>
      <w:r w:rsidRPr="00D10B40">
        <w:rPr>
          <w:rFonts w:ascii="Times New Roman" w:hAnsi="Times New Roman"/>
          <w:color w:val="000000" w:themeColor="text1"/>
          <w:sz w:val="24"/>
          <w:szCs w:val="24"/>
        </w:rPr>
        <w:t xml:space="preserve">, </w:t>
      </w:r>
      <w:r w:rsidRPr="00D10B40">
        <w:rPr>
          <w:rFonts w:ascii="Times New Roman" w:hAnsi="Times New Roman"/>
          <w:i/>
          <w:color w:val="000000" w:themeColor="text1"/>
          <w:sz w:val="24"/>
          <w:szCs w:val="24"/>
        </w:rPr>
        <w:t>Education and Training Portfolio</w:t>
      </w:r>
      <w:r w:rsidRPr="00D10B40">
        <w:rPr>
          <w:rFonts w:ascii="Times New Roman" w:hAnsi="Times New Roman"/>
          <w:color w:val="000000" w:themeColor="text1"/>
          <w:sz w:val="24"/>
          <w:szCs w:val="24"/>
        </w:rPr>
        <w:t xml:space="preserve"> at</w:t>
      </w:r>
      <w:r w:rsidRPr="00D10B40">
        <w:rPr>
          <w:rFonts w:ascii="Times New Roman" w:hAnsi="Times New Roman"/>
          <w:i/>
          <w:color w:val="000000" w:themeColor="text1"/>
          <w:sz w:val="24"/>
          <w:szCs w:val="24"/>
        </w:rPr>
        <w:t xml:space="preserve"> </w:t>
      </w:r>
      <w:r w:rsidRPr="00D10B40">
        <w:rPr>
          <w:rFonts w:ascii="Times New Roman" w:hAnsi="Times New Roman"/>
          <w:color w:val="000000" w:themeColor="text1"/>
          <w:sz w:val="24"/>
          <w:szCs w:val="24"/>
        </w:rPr>
        <w:t>pages 14 and 34.</w:t>
      </w:r>
    </w:p>
    <w:p w:rsidR="00D10B40" w:rsidRPr="00D10B40" w:rsidRDefault="00D10B40" w:rsidP="00D10B40">
      <w:pPr>
        <w:rPr>
          <w:rFonts w:ascii="Times New Roman" w:hAnsi="Times New Roman"/>
          <w:color w:val="000000" w:themeColor="text1"/>
          <w:sz w:val="24"/>
          <w:szCs w:val="24"/>
        </w:rPr>
      </w:pPr>
    </w:p>
    <w:p w:rsidR="00D10B40" w:rsidRPr="00D10B40" w:rsidRDefault="00D10B40" w:rsidP="00D10B40">
      <w:pPr>
        <w:rPr>
          <w:rFonts w:ascii="Times New Roman" w:hAnsi="Times New Roman"/>
          <w:color w:val="000000" w:themeColor="text1"/>
          <w:sz w:val="24"/>
          <w:szCs w:val="24"/>
        </w:rPr>
      </w:pPr>
      <w:r w:rsidRPr="00D10B40">
        <w:rPr>
          <w:rFonts w:ascii="Times New Roman" w:hAnsi="Times New Roman"/>
          <w:color w:val="000000" w:themeColor="text1"/>
          <w:sz w:val="24"/>
          <w:szCs w:val="24"/>
        </w:rPr>
        <w:lastRenderedPageBreak/>
        <w:t xml:space="preserve">Noting that it is not a comprehensive statement of relevant constitutional considerations, the objective of the item references the communications power (section 51(v)) of the Constitution. </w:t>
      </w:r>
    </w:p>
    <w:p w:rsidR="006818C0" w:rsidRDefault="006818C0" w:rsidP="006818C0">
      <w:pPr>
        <w:rPr>
          <w:rFonts w:ascii="Times New Roman" w:hAnsi="Times New Roman"/>
          <w:color w:val="000000" w:themeColor="text1"/>
          <w:sz w:val="24"/>
          <w:szCs w:val="24"/>
        </w:rPr>
      </w:pPr>
    </w:p>
    <w:p w:rsidR="006818C0" w:rsidRDefault="006818C0" w:rsidP="006818C0">
      <w:pPr>
        <w:rPr>
          <w:rFonts w:ascii="Times New Roman" w:hAnsi="Times New Roman"/>
          <w:color w:val="000000" w:themeColor="text1"/>
          <w:sz w:val="24"/>
          <w:szCs w:val="24"/>
        </w:rPr>
      </w:pPr>
    </w:p>
    <w:p w:rsidR="006818C0" w:rsidRPr="009932DB" w:rsidRDefault="006818C0" w:rsidP="006818C0">
      <w:pPr>
        <w:spacing w:after="120"/>
        <w:contextualSpacing/>
        <w:rPr>
          <w:rFonts w:ascii="Times New Roman" w:hAnsi="Times New Roman"/>
          <w:color w:val="000000" w:themeColor="text1"/>
          <w:sz w:val="24"/>
          <w:szCs w:val="24"/>
        </w:rPr>
      </w:pPr>
    </w:p>
    <w:p w:rsidR="006818C0" w:rsidRPr="009932DB" w:rsidRDefault="006818C0" w:rsidP="006818C0">
      <w:pPr>
        <w:pStyle w:val="ListParagraph"/>
        <w:numPr>
          <w:ilvl w:val="0"/>
          <w:numId w:val="1"/>
        </w:numPr>
        <w:spacing w:after="120"/>
        <w:ind w:left="0" w:right="-46" w:hanging="352"/>
        <w:rPr>
          <w:rFonts w:cs="Times New Roman"/>
          <w:i/>
          <w:szCs w:val="24"/>
        </w:rPr>
        <w:sectPr w:rsidR="006818C0" w:rsidRPr="009932DB" w:rsidSect="004D676F">
          <w:headerReference w:type="even" r:id="rId14"/>
          <w:headerReference w:type="default" r:id="rId15"/>
          <w:headerReference w:type="first" r:id="rId16"/>
          <w:pgSz w:w="11906" w:h="16838"/>
          <w:pgMar w:top="1440" w:right="1440" w:bottom="1440" w:left="1440" w:header="708" w:footer="708" w:gutter="0"/>
          <w:pgNumType w:start="1"/>
          <w:cols w:space="708"/>
          <w:titlePg/>
          <w:docGrid w:linePitch="360"/>
        </w:sectPr>
      </w:pPr>
    </w:p>
    <w:p w:rsidR="006818C0" w:rsidRPr="009932DB" w:rsidRDefault="006818C0" w:rsidP="006818C0">
      <w:pPr>
        <w:spacing w:after="120"/>
        <w:contextualSpacing/>
        <w:jc w:val="center"/>
        <w:rPr>
          <w:rFonts w:ascii="Times New Roman" w:eastAsia="Times New Roman" w:hAnsi="Times New Roman"/>
          <w:b/>
          <w:bCs/>
          <w:sz w:val="24"/>
          <w:szCs w:val="24"/>
        </w:rPr>
      </w:pPr>
      <w:r w:rsidRPr="009932DB">
        <w:rPr>
          <w:rFonts w:ascii="Times New Roman" w:eastAsia="Times New Roman" w:hAnsi="Times New Roman"/>
          <w:b/>
          <w:bCs/>
          <w:sz w:val="24"/>
          <w:szCs w:val="24"/>
        </w:rPr>
        <w:lastRenderedPageBreak/>
        <w:t>Statement of Compatibility with Human Rights</w:t>
      </w:r>
    </w:p>
    <w:p w:rsidR="006818C0" w:rsidRPr="009932DB" w:rsidRDefault="006818C0" w:rsidP="006818C0">
      <w:pPr>
        <w:pStyle w:val="paranumbering0"/>
        <w:spacing w:before="0" w:beforeAutospacing="0" w:after="120" w:afterAutospacing="0"/>
        <w:contextualSpacing/>
        <w:jc w:val="center"/>
      </w:pPr>
    </w:p>
    <w:p w:rsidR="006818C0" w:rsidRPr="009932DB" w:rsidRDefault="006818C0" w:rsidP="006818C0">
      <w:pPr>
        <w:pStyle w:val="paranumbering0"/>
        <w:spacing w:before="0" w:beforeAutospacing="0" w:after="120" w:afterAutospacing="0"/>
        <w:contextualSpacing/>
        <w:jc w:val="center"/>
      </w:pPr>
      <w:r w:rsidRPr="009932DB">
        <w:t xml:space="preserve">Prepared in accordance with Part 3 of the </w:t>
      </w:r>
      <w:r w:rsidRPr="009932DB">
        <w:rPr>
          <w:i/>
        </w:rPr>
        <w:t>Human Rights (Parliamentary Scrutiny) Act 2011</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rPr>
          <w:b/>
          <w:i/>
        </w:rPr>
      </w:pPr>
      <w:r w:rsidRPr="009932DB">
        <w:rPr>
          <w:b/>
          <w:i/>
        </w:rPr>
        <w:t xml:space="preserve">Financial Framework (Supplementary Powers) Amendment </w:t>
      </w:r>
      <w:r w:rsidRPr="009932DB">
        <w:rPr>
          <w:b/>
          <w:i/>
          <w:iCs/>
        </w:rPr>
        <w:t>(</w:t>
      </w:r>
      <w:r w:rsidR="00ED4152">
        <w:rPr>
          <w:b/>
          <w:i/>
          <w:iCs/>
        </w:rPr>
        <w:t>Education and Training</w:t>
      </w:r>
      <w:r w:rsidRPr="009932DB">
        <w:rPr>
          <w:b/>
          <w:i/>
          <w:iCs/>
        </w:rPr>
        <w:t xml:space="preserve"> Measures No. </w:t>
      </w:r>
      <w:r w:rsidR="00ED4152">
        <w:rPr>
          <w:b/>
          <w:i/>
          <w:iCs/>
        </w:rPr>
        <w:t>4</w:t>
      </w:r>
      <w:r w:rsidRPr="009932DB">
        <w:rPr>
          <w:b/>
          <w:i/>
          <w:iCs/>
        </w:rPr>
        <w:t xml:space="preserve">) </w:t>
      </w:r>
      <w:r w:rsidR="008822FB">
        <w:rPr>
          <w:b/>
          <w:i/>
        </w:rPr>
        <w:t>Regulation 2016</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r w:rsidRPr="009932DB">
        <w:t xml:space="preserve">This Regulation is compatible with the human rights and freedoms recognised or declared in the international instruments listed in section 3 of the </w:t>
      </w:r>
      <w:r w:rsidRPr="009932DB">
        <w:rPr>
          <w:i/>
        </w:rPr>
        <w:t>Human Rights (Parliamentary Scrutiny) Act 2011.</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rPr>
          <w:b/>
        </w:rPr>
      </w:pPr>
      <w:r w:rsidRPr="009932DB">
        <w:rPr>
          <w:b/>
        </w:rPr>
        <w:t>Overview of the Legislative Instrument</w:t>
      </w:r>
    </w:p>
    <w:p w:rsidR="006818C0" w:rsidRPr="009932DB" w:rsidRDefault="006818C0" w:rsidP="006818C0">
      <w:pPr>
        <w:pStyle w:val="paranumbering0"/>
        <w:spacing w:before="0" w:beforeAutospacing="0" w:after="0" w:afterAutospacing="0"/>
        <w:contextualSpacing/>
      </w:pPr>
    </w:p>
    <w:p w:rsidR="006818C0" w:rsidRPr="009932DB" w:rsidRDefault="006818C0" w:rsidP="006818C0">
      <w:pPr>
        <w:spacing w:after="120"/>
        <w:ind w:right="-188"/>
        <w:contextualSpacing/>
        <w:rPr>
          <w:rFonts w:ascii="Times New Roman" w:hAnsi="Times New Roman"/>
          <w:sz w:val="24"/>
          <w:szCs w:val="24"/>
        </w:rPr>
      </w:pPr>
      <w:r w:rsidRPr="009932DB">
        <w:rPr>
          <w:rFonts w:ascii="Times New Roman" w:hAnsi="Times New Roman"/>
          <w:sz w:val="24"/>
          <w:szCs w:val="24"/>
        </w:rPr>
        <w:t xml:space="preserve">Section 32B of the </w:t>
      </w:r>
      <w:r w:rsidRPr="009932DB">
        <w:rPr>
          <w:rFonts w:ascii="Times New Roman" w:hAnsi="Times New Roman"/>
          <w:i/>
          <w:sz w:val="24"/>
          <w:szCs w:val="24"/>
        </w:rPr>
        <w:t>Financial Framework (Supplementary Powers) Act 1997</w:t>
      </w:r>
      <w:r w:rsidRPr="009932DB">
        <w:rPr>
          <w:rFonts w:ascii="Times New Roman" w:hAnsi="Times New Roman"/>
          <w:sz w:val="24"/>
          <w:szCs w:val="24"/>
        </w:rPr>
        <w:t xml:space="preserve"> (the FF(SP) Act) authorises the Commonwealth to make, vary and administer arrangements and grants specified in the </w:t>
      </w:r>
      <w:r w:rsidRPr="009932DB">
        <w:rPr>
          <w:rFonts w:ascii="Times New Roman" w:hAnsi="Times New Roman"/>
          <w:i/>
          <w:sz w:val="24"/>
          <w:szCs w:val="24"/>
        </w:rPr>
        <w:t xml:space="preserve">Financial Framework (Supplementary Powers) Regulations 1997 </w:t>
      </w:r>
      <w:r w:rsidRPr="009932DB">
        <w:rPr>
          <w:rFonts w:ascii="Times New Roman" w:hAnsi="Times New Roman"/>
          <w:sz w:val="24"/>
          <w:szCs w:val="24"/>
        </w:rPr>
        <w:t>(the FF(SP) Regulations) and to make, vary and administer arrangements and gran</w:t>
      </w:r>
      <w:r w:rsidR="00466769">
        <w:rPr>
          <w:rFonts w:ascii="Times New Roman" w:hAnsi="Times New Roman"/>
          <w:sz w:val="24"/>
          <w:szCs w:val="24"/>
        </w:rPr>
        <w:t xml:space="preserve">ts for the purposes of </w:t>
      </w:r>
      <w:r w:rsidR="007C022B">
        <w:rPr>
          <w:rFonts w:ascii="Times New Roman" w:hAnsi="Times New Roman"/>
          <w:sz w:val="24"/>
          <w:szCs w:val="24"/>
        </w:rPr>
        <w:t>program</w:t>
      </w:r>
      <w:r w:rsidRPr="009932DB">
        <w:rPr>
          <w:rFonts w:ascii="Times New Roman" w:hAnsi="Times New Roman"/>
          <w:sz w:val="24"/>
          <w:szCs w:val="24"/>
        </w:rPr>
        <w:t>s specified in the Regulations.  Schedule 1AA and Schedule 1AB to the FF(SP) Regulations specify the ar</w:t>
      </w:r>
      <w:r w:rsidR="00466769">
        <w:rPr>
          <w:rFonts w:ascii="Times New Roman" w:hAnsi="Times New Roman"/>
          <w:sz w:val="24"/>
          <w:szCs w:val="24"/>
        </w:rPr>
        <w:t xml:space="preserve">rangements, grants and </w:t>
      </w:r>
      <w:r w:rsidR="007C022B">
        <w:rPr>
          <w:rFonts w:ascii="Times New Roman" w:hAnsi="Times New Roman"/>
          <w:sz w:val="24"/>
          <w:szCs w:val="24"/>
        </w:rPr>
        <w:t>program</w:t>
      </w:r>
      <w:r w:rsidRPr="009932DB">
        <w:rPr>
          <w:rFonts w:ascii="Times New Roman" w:hAnsi="Times New Roman"/>
          <w:sz w:val="24"/>
          <w:szCs w:val="24"/>
        </w:rPr>
        <w:t xml:space="preserve">s.  </w:t>
      </w:r>
    </w:p>
    <w:p w:rsidR="006818C0" w:rsidRPr="009932DB" w:rsidRDefault="006818C0" w:rsidP="006818C0">
      <w:pPr>
        <w:spacing w:after="120"/>
        <w:ind w:right="-188"/>
        <w:contextualSpacing/>
        <w:rPr>
          <w:rFonts w:ascii="Times New Roman" w:hAnsi="Times New Roman"/>
          <w:sz w:val="24"/>
          <w:szCs w:val="24"/>
        </w:rPr>
      </w:pPr>
    </w:p>
    <w:p w:rsidR="006818C0" w:rsidRPr="009932DB" w:rsidRDefault="006818C0" w:rsidP="006818C0">
      <w:pPr>
        <w:spacing w:after="120"/>
        <w:ind w:right="-188"/>
        <w:contextualSpacing/>
        <w:rPr>
          <w:rFonts w:ascii="Times New Roman" w:hAnsi="Times New Roman"/>
          <w:sz w:val="24"/>
          <w:szCs w:val="24"/>
        </w:rPr>
      </w:pPr>
      <w:r w:rsidRPr="009932DB">
        <w:rPr>
          <w:rFonts w:ascii="Times New Roman" w:hAnsi="Times New Roman"/>
          <w:sz w:val="24"/>
          <w:szCs w:val="24"/>
        </w:rPr>
        <w:t>The FF(SP) Act applies to Ministers and the accountable authorities of non</w:t>
      </w:r>
      <w:r w:rsidRPr="009932DB">
        <w:rPr>
          <w:rFonts w:ascii="Times New Roman" w:hAnsi="Times New Roman"/>
          <w:sz w:val="24"/>
          <w:szCs w:val="24"/>
        </w:rPr>
        <w:noBreakHyphen/>
        <w:t xml:space="preserve">corporate Commonwealth entities, as defined under section 12 of the </w:t>
      </w:r>
      <w:r w:rsidRPr="009932DB">
        <w:rPr>
          <w:rFonts w:ascii="Times New Roman" w:hAnsi="Times New Roman"/>
          <w:i/>
          <w:sz w:val="24"/>
          <w:szCs w:val="24"/>
        </w:rPr>
        <w:t>Public Governance, Performance and Accountability Act 2013</w:t>
      </w:r>
      <w:r w:rsidRPr="009932DB">
        <w:rPr>
          <w:rFonts w:ascii="Times New Roman" w:hAnsi="Times New Roman"/>
          <w:sz w:val="24"/>
          <w:szCs w:val="24"/>
        </w:rPr>
        <w:t xml:space="preserve">.  </w:t>
      </w:r>
    </w:p>
    <w:p w:rsidR="006818C0" w:rsidRDefault="006818C0" w:rsidP="006818C0">
      <w:pPr>
        <w:spacing w:line="276" w:lineRule="auto"/>
        <w:rPr>
          <w:rFonts w:ascii="Times New Roman" w:eastAsiaTheme="minorHAnsi" w:hAnsi="Times New Roman"/>
          <w:sz w:val="24"/>
          <w:szCs w:val="24"/>
        </w:rPr>
      </w:pPr>
    </w:p>
    <w:p w:rsidR="003947DE" w:rsidRPr="00D10B40" w:rsidRDefault="003947DE" w:rsidP="003947DE">
      <w:pPr>
        <w:ind w:right="-46"/>
        <w:rPr>
          <w:rFonts w:ascii="Times New Roman" w:hAnsi="Times New Roman"/>
          <w:sz w:val="24"/>
          <w:szCs w:val="24"/>
        </w:rPr>
      </w:pPr>
      <w:r w:rsidRPr="00D10B40">
        <w:rPr>
          <w:rFonts w:ascii="Times New Roman" w:hAnsi="Times New Roman"/>
          <w:sz w:val="24"/>
          <w:szCs w:val="24"/>
        </w:rPr>
        <w:t>Schedule 1 to the Regulation amend</w:t>
      </w:r>
      <w:r>
        <w:rPr>
          <w:rFonts w:ascii="Times New Roman" w:hAnsi="Times New Roman"/>
          <w:sz w:val="24"/>
          <w:szCs w:val="24"/>
        </w:rPr>
        <w:t>s</w:t>
      </w:r>
      <w:r w:rsidRPr="00D10B40">
        <w:rPr>
          <w:rFonts w:ascii="Times New Roman" w:hAnsi="Times New Roman"/>
          <w:sz w:val="24"/>
          <w:szCs w:val="24"/>
        </w:rPr>
        <w:t xml:space="preserve"> the Principal Regulations to establish legislative authority in Schedule 1AB for spending by the Government </w:t>
      </w:r>
      <w:r w:rsidRPr="003947DE">
        <w:rPr>
          <w:rFonts w:ascii="Times New Roman" w:hAnsi="Times New Roman"/>
          <w:sz w:val="24"/>
          <w:szCs w:val="24"/>
        </w:rPr>
        <w:t xml:space="preserve">on two initiatives which will be administered by the Department of Education and Training. </w:t>
      </w:r>
    </w:p>
    <w:p w:rsidR="003947DE" w:rsidRPr="003947DE" w:rsidRDefault="003947DE" w:rsidP="003947DE">
      <w:pPr>
        <w:contextualSpacing/>
        <w:rPr>
          <w:rFonts w:ascii="Times New Roman" w:hAnsi="Times New Roman"/>
          <w:sz w:val="24"/>
          <w:szCs w:val="24"/>
        </w:rPr>
      </w:pPr>
    </w:p>
    <w:p w:rsidR="003947DE" w:rsidRPr="003947DE" w:rsidRDefault="003947DE" w:rsidP="003947DE">
      <w:pPr>
        <w:contextualSpacing/>
        <w:rPr>
          <w:rFonts w:ascii="Times New Roman" w:hAnsi="Times New Roman"/>
          <w:sz w:val="24"/>
          <w:szCs w:val="24"/>
        </w:rPr>
      </w:pPr>
      <w:r w:rsidRPr="003947DE">
        <w:rPr>
          <w:rFonts w:ascii="Times New Roman" w:hAnsi="Times New Roman"/>
          <w:sz w:val="24"/>
          <w:szCs w:val="24"/>
        </w:rPr>
        <w:t xml:space="preserve">Funding will be provided for: </w:t>
      </w:r>
    </w:p>
    <w:p w:rsidR="003947DE" w:rsidRPr="003947DE" w:rsidRDefault="003947DE" w:rsidP="003947DE">
      <w:pPr>
        <w:numPr>
          <w:ilvl w:val="0"/>
          <w:numId w:val="4"/>
        </w:numPr>
        <w:contextualSpacing/>
        <w:rPr>
          <w:rFonts w:ascii="Times New Roman" w:hAnsi="Times New Roman"/>
          <w:sz w:val="24"/>
          <w:szCs w:val="24"/>
        </w:rPr>
      </w:pPr>
      <w:r w:rsidRPr="003947DE">
        <w:rPr>
          <w:rFonts w:ascii="Times New Roman" w:hAnsi="Times New Roman"/>
          <w:sz w:val="24"/>
          <w:szCs w:val="24"/>
        </w:rPr>
        <w:t>the licensing of vocational education and training courses developed for delivery to international students offshore; and</w:t>
      </w:r>
    </w:p>
    <w:p w:rsidR="003947DE" w:rsidRPr="003947DE" w:rsidRDefault="003947DE" w:rsidP="003947DE">
      <w:pPr>
        <w:numPr>
          <w:ilvl w:val="0"/>
          <w:numId w:val="4"/>
        </w:numPr>
        <w:contextualSpacing/>
        <w:rPr>
          <w:rFonts w:ascii="Times New Roman" w:hAnsi="Times New Roman"/>
          <w:sz w:val="24"/>
          <w:szCs w:val="24"/>
        </w:rPr>
      </w:pPr>
      <w:r w:rsidRPr="003947DE">
        <w:rPr>
          <w:rFonts w:ascii="Times New Roman" w:hAnsi="Times New Roman"/>
          <w:sz w:val="24"/>
          <w:szCs w:val="24"/>
        </w:rPr>
        <w:t>the expansion of the Early Learning Languages Australia</w:t>
      </w:r>
      <w:r w:rsidRPr="003947DE">
        <w:rPr>
          <w:rFonts w:ascii="Times New Roman" w:hAnsi="Times New Roman"/>
          <w:i/>
          <w:sz w:val="24"/>
          <w:szCs w:val="24"/>
        </w:rPr>
        <w:t xml:space="preserve"> </w:t>
      </w:r>
      <w:r w:rsidRPr="003947DE">
        <w:rPr>
          <w:rFonts w:ascii="Times New Roman" w:hAnsi="Times New Roman"/>
          <w:sz w:val="24"/>
          <w:szCs w:val="24"/>
        </w:rPr>
        <w:t>initiative nationally to early childhood education and care services, with the aim of providing preschool aged children with early experiences in language learning in order to encourage those children to pursue learning a language in primary and secondary schooling.</w:t>
      </w:r>
    </w:p>
    <w:p w:rsidR="003947DE" w:rsidRPr="003947DE" w:rsidRDefault="003947DE" w:rsidP="003947DE">
      <w:pPr>
        <w:contextualSpacing/>
        <w:rPr>
          <w:rFonts w:ascii="Times New Roman" w:hAnsi="Times New Roman"/>
          <w:sz w:val="24"/>
          <w:szCs w:val="24"/>
        </w:rPr>
      </w:pPr>
    </w:p>
    <w:p w:rsidR="003947DE" w:rsidRPr="003947DE" w:rsidRDefault="003947DE" w:rsidP="003947DE">
      <w:pPr>
        <w:contextualSpacing/>
        <w:rPr>
          <w:rFonts w:ascii="Times New Roman" w:hAnsi="Times New Roman"/>
          <w:sz w:val="24"/>
          <w:szCs w:val="24"/>
        </w:rPr>
      </w:pPr>
      <w:r w:rsidRPr="003947DE">
        <w:rPr>
          <w:rFonts w:ascii="Times New Roman" w:hAnsi="Times New Roman"/>
          <w:sz w:val="24"/>
          <w:szCs w:val="24"/>
        </w:rPr>
        <w:t xml:space="preserve">The vocational education and training initiative was included in the </w:t>
      </w:r>
      <w:r w:rsidRPr="003947DE">
        <w:rPr>
          <w:rFonts w:ascii="Times New Roman" w:hAnsi="Times New Roman"/>
          <w:i/>
          <w:sz w:val="24"/>
          <w:szCs w:val="24"/>
        </w:rPr>
        <w:t>Mid-Year Economic and Fiscal Outlook 2015-16</w:t>
      </w:r>
      <w:r>
        <w:rPr>
          <w:rFonts w:ascii="Times New Roman" w:hAnsi="Times New Roman"/>
          <w:sz w:val="24"/>
          <w:szCs w:val="24"/>
        </w:rPr>
        <w:t>, released on 15 December 2015</w:t>
      </w:r>
      <w:r w:rsidRPr="003947DE">
        <w:rPr>
          <w:rFonts w:ascii="Times New Roman" w:hAnsi="Times New Roman"/>
          <w:sz w:val="24"/>
          <w:szCs w:val="24"/>
        </w:rPr>
        <w:t>.  The expansion of the early learning languages initiative was</w:t>
      </w:r>
      <w:r>
        <w:rPr>
          <w:rFonts w:ascii="Times New Roman" w:hAnsi="Times New Roman"/>
          <w:sz w:val="24"/>
          <w:szCs w:val="24"/>
        </w:rPr>
        <w:t xml:space="preserve"> included in the 2016-17 Budget</w:t>
      </w:r>
      <w:r w:rsidRPr="003947DE">
        <w:rPr>
          <w:rFonts w:ascii="Times New Roman" w:hAnsi="Times New Roman"/>
          <w:sz w:val="24"/>
          <w:szCs w:val="24"/>
        </w:rPr>
        <w:t>.</w:t>
      </w:r>
    </w:p>
    <w:p w:rsidR="003A578D" w:rsidRDefault="003A578D" w:rsidP="003A578D">
      <w:pPr>
        <w:rPr>
          <w:rFonts w:ascii="Times New Roman" w:hAnsi="Times New Roman"/>
          <w:color w:val="000000" w:themeColor="text1"/>
          <w:sz w:val="24"/>
          <w:szCs w:val="24"/>
        </w:rPr>
      </w:pPr>
    </w:p>
    <w:p w:rsidR="003A578D" w:rsidRPr="006818C0" w:rsidRDefault="003A578D" w:rsidP="003A578D">
      <w:pPr>
        <w:rPr>
          <w:rFonts w:ascii="Times New Roman" w:hAnsi="Times New Roman"/>
          <w:sz w:val="24"/>
          <w:szCs w:val="24"/>
        </w:rPr>
      </w:pPr>
      <w:r w:rsidRPr="006818C0">
        <w:rPr>
          <w:rFonts w:ascii="Times New Roman" w:hAnsi="Times New Roman"/>
          <w:color w:val="000000" w:themeColor="text1"/>
          <w:sz w:val="24"/>
          <w:szCs w:val="24"/>
        </w:rPr>
        <w:t xml:space="preserve">The Minister for </w:t>
      </w:r>
      <w:r w:rsidR="003947DE">
        <w:rPr>
          <w:rFonts w:ascii="Times New Roman" w:hAnsi="Times New Roman"/>
          <w:color w:val="000000" w:themeColor="text1"/>
          <w:sz w:val="24"/>
          <w:szCs w:val="24"/>
        </w:rPr>
        <w:t>Education and Training</w:t>
      </w:r>
      <w:r w:rsidRPr="006818C0">
        <w:rPr>
          <w:rFonts w:ascii="Times New Roman" w:hAnsi="Times New Roman"/>
          <w:color w:val="000000" w:themeColor="text1"/>
          <w:sz w:val="24"/>
          <w:szCs w:val="24"/>
        </w:rPr>
        <w:t xml:space="preserve"> has portfolio r</w:t>
      </w:r>
      <w:r w:rsidR="00466769">
        <w:rPr>
          <w:rFonts w:ascii="Times New Roman" w:hAnsi="Times New Roman"/>
          <w:color w:val="000000" w:themeColor="text1"/>
          <w:sz w:val="24"/>
          <w:szCs w:val="24"/>
        </w:rPr>
        <w:t xml:space="preserve">esponsibility for </w:t>
      </w:r>
      <w:r w:rsidR="003947DE">
        <w:rPr>
          <w:rFonts w:ascii="Times New Roman" w:hAnsi="Times New Roman"/>
          <w:color w:val="000000" w:themeColor="text1"/>
          <w:sz w:val="24"/>
          <w:szCs w:val="24"/>
        </w:rPr>
        <w:t>these programs</w:t>
      </w:r>
      <w:r w:rsidRPr="006818C0">
        <w:rPr>
          <w:rFonts w:ascii="Times New Roman" w:hAnsi="Times New Roman"/>
          <w:color w:val="000000" w:themeColor="text1"/>
          <w:sz w:val="24"/>
          <w:szCs w:val="24"/>
        </w:rPr>
        <w:t>.</w:t>
      </w:r>
    </w:p>
    <w:p w:rsidR="006818C0" w:rsidRDefault="006818C0" w:rsidP="006818C0">
      <w:pPr>
        <w:rPr>
          <w:rFonts w:ascii="Times New Roman" w:hAnsi="Times New Roman"/>
          <w:sz w:val="24"/>
          <w:szCs w:val="24"/>
        </w:rPr>
      </w:pPr>
    </w:p>
    <w:p w:rsidR="006818C0" w:rsidRPr="009932DB" w:rsidRDefault="006818C0" w:rsidP="006818C0">
      <w:pPr>
        <w:pStyle w:val="paranumbering0"/>
        <w:spacing w:before="0" w:beforeAutospacing="0" w:after="0" w:afterAutospacing="0"/>
        <w:contextualSpacing/>
        <w:rPr>
          <w:b/>
        </w:rPr>
      </w:pPr>
      <w:r w:rsidRPr="009932DB">
        <w:rPr>
          <w:b/>
        </w:rPr>
        <w:t>Human rights implications</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0" w:afterAutospacing="0"/>
        <w:contextualSpacing/>
      </w:pPr>
      <w:r w:rsidRPr="009932DB">
        <w:t>The Regulation does not engage any of the applicable rights or freedoms.</w:t>
      </w:r>
    </w:p>
    <w:p w:rsidR="006818C0" w:rsidRPr="009932DB" w:rsidRDefault="006818C0" w:rsidP="006818C0">
      <w:pPr>
        <w:pStyle w:val="paranumbering0"/>
        <w:spacing w:before="0" w:beforeAutospacing="0" w:after="0" w:afterAutospacing="0"/>
        <w:contextualSpacing/>
      </w:pPr>
    </w:p>
    <w:p w:rsidR="003947DE" w:rsidRDefault="003947DE">
      <w:pPr>
        <w:spacing w:after="200" w:line="276" w:lineRule="auto"/>
        <w:rPr>
          <w:rFonts w:ascii="Times New Roman" w:hAnsi="Times New Roman"/>
          <w:b/>
          <w:sz w:val="24"/>
          <w:szCs w:val="24"/>
        </w:rPr>
      </w:pPr>
      <w:r>
        <w:rPr>
          <w:rFonts w:ascii="Times New Roman" w:hAnsi="Times New Roman"/>
          <w:b/>
          <w:sz w:val="24"/>
          <w:szCs w:val="24"/>
        </w:rPr>
        <w:br w:type="page"/>
      </w:r>
    </w:p>
    <w:p w:rsidR="006818C0" w:rsidRPr="009932DB" w:rsidRDefault="006818C0" w:rsidP="006818C0">
      <w:pPr>
        <w:contextualSpacing/>
        <w:rPr>
          <w:rFonts w:ascii="Times New Roman" w:hAnsi="Times New Roman"/>
          <w:b/>
          <w:sz w:val="24"/>
          <w:szCs w:val="24"/>
        </w:rPr>
      </w:pPr>
      <w:r w:rsidRPr="009932DB">
        <w:rPr>
          <w:rFonts w:ascii="Times New Roman" w:hAnsi="Times New Roman"/>
          <w:b/>
          <w:sz w:val="24"/>
          <w:szCs w:val="24"/>
        </w:rPr>
        <w:lastRenderedPageBreak/>
        <w:t>Conclusion</w:t>
      </w:r>
    </w:p>
    <w:p w:rsidR="006818C0" w:rsidRPr="009932DB" w:rsidRDefault="006818C0" w:rsidP="006818C0">
      <w:pPr>
        <w:pStyle w:val="paranumbering0"/>
        <w:spacing w:before="0" w:beforeAutospacing="0" w:after="0" w:afterAutospacing="0"/>
        <w:contextualSpacing/>
      </w:pPr>
    </w:p>
    <w:p w:rsidR="006818C0" w:rsidRPr="009932DB" w:rsidRDefault="006818C0" w:rsidP="006818C0">
      <w:pPr>
        <w:pStyle w:val="paranumbering0"/>
        <w:spacing w:before="0" w:beforeAutospacing="0" w:after="120" w:afterAutospacing="0"/>
        <w:contextualSpacing/>
      </w:pPr>
      <w:r w:rsidRPr="009932DB">
        <w:t>This Regulation is compatible with human rights as it does not raise any human rights issues.</w:t>
      </w: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pPr>
    </w:p>
    <w:p w:rsidR="006818C0" w:rsidRPr="009932DB" w:rsidRDefault="006818C0" w:rsidP="006818C0">
      <w:pPr>
        <w:pStyle w:val="paranumbering0"/>
        <w:spacing w:before="0" w:beforeAutospacing="0" w:after="120" w:afterAutospacing="0"/>
        <w:contextualSpacing/>
        <w:jc w:val="center"/>
        <w:rPr>
          <w:b/>
        </w:rPr>
      </w:pPr>
      <w:r w:rsidRPr="009932DB">
        <w:rPr>
          <w:b/>
        </w:rPr>
        <w:t>Senator the Hon Mathias Cormann</w:t>
      </w:r>
    </w:p>
    <w:p w:rsidR="006818C0" w:rsidRPr="009932DB" w:rsidRDefault="006818C0" w:rsidP="006818C0">
      <w:pPr>
        <w:pStyle w:val="paranumbering0"/>
        <w:spacing w:before="0" w:beforeAutospacing="0" w:after="120" w:afterAutospacing="0"/>
        <w:contextualSpacing/>
        <w:jc w:val="center"/>
      </w:pPr>
      <w:r w:rsidRPr="009932DB">
        <w:rPr>
          <w:b/>
        </w:rPr>
        <w:t>Minister for Finance</w:t>
      </w:r>
    </w:p>
    <w:p w:rsidR="00DA164C" w:rsidRDefault="00DA164C"/>
    <w:sectPr w:rsidR="00DA164C" w:rsidSect="004D676F">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76F" w:rsidRDefault="004D676F" w:rsidP="00A739E5">
      <w:r>
        <w:separator/>
      </w:r>
    </w:p>
  </w:endnote>
  <w:endnote w:type="continuationSeparator" w:id="0">
    <w:p w:rsidR="004D676F" w:rsidRDefault="004D676F"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69" w:rsidRDefault="003C7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69" w:rsidRDefault="003C7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69" w:rsidRDefault="003C7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76F" w:rsidRDefault="004D676F" w:rsidP="00A739E5">
      <w:r>
        <w:separator/>
      </w:r>
    </w:p>
  </w:footnote>
  <w:footnote w:type="continuationSeparator" w:id="0">
    <w:p w:rsidR="004D676F" w:rsidRDefault="004D676F"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69" w:rsidRDefault="003C7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6F" w:rsidRDefault="00D8390C">
    <w:pPr>
      <w:pStyle w:val="Header"/>
      <w:jc w:val="center"/>
    </w:pPr>
    <w:sdt>
      <w:sdtPr>
        <w:id w:val="8403760"/>
        <w:docPartObj>
          <w:docPartGallery w:val="Page Numbers (Top of Page)"/>
          <w:docPartUnique/>
        </w:docPartObj>
      </w:sdtPr>
      <w:sdtEndPr/>
      <w:sdtContent>
        <w:r w:rsidR="00AD42A7">
          <w:fldChar w:fldCharType="begin"/>
        </w:r>
        <w:r w:rsidR="00AD42A7">
          <w:instrText xml:space="preserve"> PAGE   \* MERGEFORMAT </w:instrText>
        </w:r>
        <w:r w:rsidR="00AD42A7">
          <w:fldChar w:fldCharType="separate"/>
        </w:r>
        <w:r>
          <w:rPr>
            <w:noProof/>
          </w:rPr>
          <w:t>2</w:t>
        </w:r>
        <w:r w:rsidR="00AD42A7">
          <w:rPr>
            <w:noProof/>
          </w:rPr>
          <w:fldChar w:fldCharType="end"/>
        </w:r>
      </w:sdtContent>
    </w:sdt>
  </w:p>
  <w:p w:rsidR="004D676F" w:rsidRDefault="004D6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6F" w:rsidRPr="00CA76CF" w:rsidRDefault="004D676F" w:rsidP="004D676F">
    <w:pPr>
      <w:pStyle w:val="Header"/>
      <w:jc w:val="right"/>
      <w:rPr>
        <w:b/>
        <w:u w:val="single"/>
      </w:rPr>
    </w:pPr>
  </w:p>
  <w:p w:rsidR="004D676F" w:rsidRDefault="004D676F">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69" w:rsidRDefault="003C71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6F" w:rsidRDefault="00D8390C">
    <w:pPr>
      <w:pStyle w:val="Header"/>
      <w:jc w:val="center"/>
    </w:pPr>
    <w:sdt>
      <w:sdtPr>
        <w:id w:val="8403761"/>
        <w:docPartObj>
          <w:docPartGallery w:val="Page Numbers (Top of Page)"/>
          <w:docPartUnique/>
        </w:docPartObj>
      </w:sdtPr>
      <w:sdtEndPr/>
      <w:sdtContent>
        <w:r w:rsidR="00AD42A7">
          <w:fldChar w:fldCharType="begin"/>
        </w:r>
        <w:r w:rsidR="00AD42A7">
          <w:instrText xml:space="preserve"> PAGE   \* MERGEFORMAT </w:instrText>
        </w:r>
        <w:r w:rsidR="00AD42A7">
          <w:fldChar w:fldCharType="separate"/>
        </w:r>
        <w:r>
          <w:rPr>
            <w:noProof/>
          </w:rPr>
          <w:t>3</w:t>
        </w:r>
        <w:r w:rsidR="00AD42A7">
          <w:rPr>
            <w:noProof/>
          </w:rPr>
          <w:fldChar w:fldCharType="end"/>
        </w:r>
      </w:sdtContent>
    </w:sdt>
  </w:p>
  <w:p w:rsidR="004D676F" w:rsidRDefault="004D6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6F" w:rsidRPr="00CA76CF" w:rsidRDefault="004D676F" w:rsidP="004D676F">
    <w:pPr>
      <w:pStyle w:val="Header"/>
      <w:jc w:val="right"/>
      <w:rPr>
        <w:b/>
        <w:u w:val="single"/>
      </w:rPr>
    </w:pPr>
    <w:r w:rsidRPr="0088187F">
      <w:rPr>
        <w:b/>
        <w:u w:val="single"/>
      </w:rPr>
      <w:t>Attachment A</w:t>
    </w:r>
  </w:p>
  <w:p w:rsidR="004D676F" w:rsidRDefault="004D676F">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69" w:rsidRDefault="003C71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6F" w:rsidRDefault="00D8390C">
    <w:pPr>
      <w:pStyle w:val="Header"/>
      <w:jc w:val="center"/>
    </w:pPr>
    <w:sdt>
      <w:sdtPr>
        <w:id w:val="8403763"/>
        <w:docPartObj>
          <w:docPartGallery w:val="Page Numbers (Top of Page)"/>
          <w:docPartUnique/>
        </w:docPartObj>
      </w:sdtPr>
      <w:sdtEndPr/>
      <w:sdtContent>
        <w:r w:rsidR="00AD42A7">
          <w:fldChar w:fldCharType="begin"/>
        </w:r>
        <w:r w:rsidR="00AD42A7">
          <w:instrText xml:space="preserve"> PAGE   \* MERGEFORMAT </w:instrText>
        </w:r>
        <w:r w:rsidR="00AD42A7">
          <w:fldChar w:fldCharType="separate"/>
        </w:r>
        <w:r>
          <w:rPr>
            <w:noProof/>
          </w:rPr>
          <w:t>2</w:t>
        </w:r>
        <w:r w:rsidR="00AD42A7">
          <w:rPr>
            <w:noProof/>
          </w:rPr>
          <w:fldChar w:fldCharType="end"/>
        </w:r>
      </w:sdtContent>
    </w:sdt>
  </w:p>
  <w:p w:rsidR="004D676F" w:rsidRDefault="004D67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6F" w:rsidRPr="00CA76CF" w:rsidRDefault="004D676F" w:rsidP="004D676F">
    <w:pPr>
      <w:pStyle w:val="Header"/>
      <w:jc w:val="right"/>
      <w:rPr>
        <w:b/>
        <w:u w:val="single"/>
      </w:rPr>
    </w:pPr>
    <w:r w:rsidRPr="0088187F">
      <w:rPr>
        <w:b/>
        <w:u w:val="single"/>
      </w:rPr>
      <w:t xml:space="preserve">Attachment </w:t>
    </w:r>
    <w:r>
      <w:rPr>
        <w:b/>
        <w:u w:val="single"/>
      </w:rPr>
      <w:t>B</w:t>
    </w:r>
  </w:p>
  <w:p w:rsidR="004D676F" w:rsidRDefault="004D67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094B09"/>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CC93C0A"/>
    <w:multiLevelType w:val="multilevel"/>
    <w:tmpl w:val="0C09001D"/>
    <w:numStyleLink w:val="Style1"/>
  </w:abstractNum>
  <w:abstractNum w:abstractNumId="4"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
  <w:rsids>
    <w:rsidRoot w:val="006818C0"/>
    <w:rsid w:val="0000138A"/>
    <w:rsid w:val="00002B20"/>
    <w:rsid w:val="0000354E"/>
    <w:rsid w:val="0000562B"/>
    <w:rsid w:val="00007DF9"/>
    <w:rsid w:val="00012CB9"/>
    <w:rsid w:val="00015510"/>
    <w:rsid w:val="00016690"/>
    <w:rsid w:val="00017136"/>
    <w:rsid w:val="000173B6"/>
    <w:rsid w:val="00017E5D"/>
    <w:rsid w:val="000209F7"/>
    <w:rsid w:val="00020BD0"/>
    <w:rsid w:val="000236C9"/>
    <w:rsid w:val="000241F5"/>
    <w:rsid w:val="00024813"/>
    <w:rsid w:val="00024D0A"/>
    <w:rsid w:val="00025954"/>
    <w:rsid w:val="00025D05"/>
    <w:rsid w:val="00027364"/>
    <w:rsid w:val="000274FF"/>
    <w:rsid w:val="00027A9C"/>
    <w:rsid w:val="00030505"/>
    <w:rsid w:val="000305FA"/>
    <w:rsid w:val="00031029"/>
    <w:rsid w:val="00031D99"/>
    <w:rsid w:val="0003356E"/>
    <w:rsid w:val="00034CEB"/>
    <w:rsid w:val="00035EF5"/>
    <w:rsid w:val="00036E07"/>
    <w:rsid w:val="00037964"/>
    <w:rsid w:val="000379B4"/>
    <w:rsid w:val="0004136D"/>
    <w:rsid w:val="00041918"/>
    <w:rsid w:val="00041CB2"/>
    <w:rsid w:val="000428F2"/>
    <w:rsid w:val="00043203"/>
    <w:rsid w:val="0004341B"/>
    <w:rsid w:val="000437A3"/>
    <w:rsid w:val="00044424"/>
    <w:rsid w:val="00045614"/>
    <w:rsid w:val="00046E11"/>
    <w:rsid w:val="000502DB"/>
    <w:rsid w:val="00050309"/>
    <w:rsid w:val="00052A24"/>
    <w:rsid w:val="00052A3D"/>
    <w:rsid w:val="00053970"/>
    <w:rsid w:val="000540D6"/>
    <w:rsid w:val="00055BA8"/>
    <w:rsid w:val="00061729"/>
    <w:rsid w:val="00061E47"/>
    <w:rsid w:val="00062673"/>
    <w:rsid w:val="000626E9"/>
    <w:rsid w:val="00062DC0"/>
    <w:rsid w:val="0006315A"/>
    <w:rsid w:val="00064EEB"/>
    <w:rsid w:val="0006530B"/>
    <w:rsid w:val="00066049"/>
    <w:rsid w:val="00070FB9"/>
    <w:rsid w:val="00070FD3"/>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F95"/>
    <w:rsid w:val="00085AB1"/>
    <w:rsid w:val="000917B1"/>
    <w:rsid w:val="00092C3A"/>
    <w:rsid w:val="000935B0"/>
    <w:rsid w:val="00093C26"/>
    <w:rsid w:val="00094AD1"/>
    <w:rsid w:val="00094AF3"/>
    <w:rsid w:val="00095F54"/>
    <w:rsid w:val="0009611E"/>
    <w:rsid w:val="000962A2"/>
    <w:rsid w:val="00097451"/>
    <w:rsid w:val="00097ABA"/>
    <w:rsid w:val="00097F1F"/>
    <w:rsid w:val="00097F3F"/>
    <w:rsid w:val="000A2A3A"/>
    <w:rsid w:val="000A2CE1"/>
    <w:rsid w:val="000A36D9"/>
    <w:rsid w:val="000A387D"/>
    <w:rsid w:val="000A3D7F"/>
    <w:rsid w:val="000A3DC8"/>
    <w:rsid w:val="000A54AE"/>
    <w:rsid w:val="000A6332"/>
    <w:rsid w:val="000A661F"/>
    <w:rsid w:val="000A7502"/>
    <w:rsid w:val="000A786A"/>
    <w:rsid w:val="000A7D59"/>
    <w:rsid w:val="000B06E3"/>
    <w:rsid w:val="000B100B"/>
    <w:rsid w:val="000B167E"/>
    <w:rsid w:val="000B19A3"/>
    <w:rsid w:val="000B438B"/>
    <w:rsid w:val="000B4396"/>
    <w:rsid w:val="000B4868"/>
    <w:rsid w:val="000B486E"/>
    <w:rsid w:val="000B4ED1"/>
    <w:rsid w:val="000B6EB5"/>
    <w:rsid w:val="000C1FE0"/>
    <w:rsid w:val="000C2A3C"/>
    <w:rsid w:val="000C33DA"/>
    <w:rsid w:val="000C5154"/>
    <w:rsid w:val="000C5AF4"/>
    <w:rsid w:val="000C62FE"/>
    <w:rsid w:val="000C6E0B"/>
    <w:rsid w:val="000D02E1"/>
    <w:rsid w:val="000D0BCE"/>
    <w:rsid w:val="000D1B54"/>
    <w:rsid w:val="000D2900"/>
    <w:rsid w:val="000D3732"/>
    <w:rsid w:val="000D3914"/>
    <w:rsid w:val="000D4820"/>
    <w:rsid w:val="000D5752"/>
    <w:rsid w:val="000D5E62"/>
    <w:rsid w:val="000D640B"/>
    <w:rsid w:val="000E148C"/>
    <w:rsid w:val="000E2880"/>
    <w:rsid w:val="000E2AE8"/>
    <w:rsid w:val="000E3253"/>
    <w:rsid w:val="000E42C5"/>
    <w:rsid w:val="000E4D7F"/>
    <w:rsid w:val="000E5B95"/>
    <w:rsid w:val="000E7EA8"/>
    <w:rsid w:val="000F1065"/>
    <w:rsid w:val="000F1448"/>
    <w:rsid w:val="000F1863"/>
    <w:rsid w:val="000F1883"/>
    <w:rsid w:val="000F2CB7"/>
    <w:rsid w:val="000F37EC"/>
    <w:rsid w:val="000F42A0"/>
    <w:rsid w:val="000F52A2"/>
    <w:rsid w:val="001000C4"/>
    <w:rsid w:val="00101F19"/>
    <w:rsid w:val="00102970"/>
    <w:rsid w:val="00103439"/>
    <w:rsid w:val="001048A8"/>
    <w:rsid w:val="0010579B"/>
    <w:rsid w:val="00105AD5"/>
    <w:rsid w:val="00105FB4"/>
    <w:rsid w:val="00107AA9"/>
    <w:rsid w:val="00110858"/>
    <w:rsid w:val="0011126F"/>
    <w:rsid w:val="001119CE"/>
    <w:rsid w:val="00111A6E"/>
    <w:rsid w:val="00111F31"/>
    <w:rsid w:val="00111FEC"/>
    <w:rsid w:val="001135BE"/>
    <w:rsid w:val="001168C2"/>
    <w:rsid w:val="001221AC"/>
    <w:rsid w:val="00122856"/>
    <w:rsid w:val="00125FF4"/>
    <w:rsid w:val="00130C06"/>
    <w:rsid w:val="00131C9C"/>
    <w:rsid w:val="00131E4E"/>
    <w:rsid w:val="00131FD7"/>
    <w:rsid w:val="00132218"/>
    <w:rsid w:val="00133007"/>
    <w:rsid w:val="00133362"/>
    <w:rsid w:val="001340F9"/>
    <w:rsid w:val="001340FA"/>
    <w:rsid w:val="00134890"/>
    <w:rsid w:val="0013533A"/>
    <w:rsid w:val="00135D7E"/>
    <w:rsid w:val="001367DE"/>
    <w:rsid w:val="001400F7"/>
    <w:rsid w:val="00141FE8"/>
    <w:rsid w:val="0014294F"/>
    <w:rsid w:val="00145E67"/>
    <w:rsid w:val="00147325"/>
    <w:rsid w:val="00147703"/>
    <w:rsid w:val="0014791A"/>
    <w:rsid w:val="00152C36"/>
    <w:rsid w:val="00155D89"/>
    <w:rsid w:val="00156676"/>
    <w:rsid w:val="00157054"/>
    <w:rsid w:val="00166488"/>
    <w:rsid w:val="00167DE0"/>
    <w:rsid w:val="0017031A"/>
    <w:rsid w:val="00171EF0"/>
    <w:rsid w:val="00172470"/>
    <w:rsid w:val="00174A68"/>
    <w:rsid w:val="00174A9E"/>
    <w:rsid w:val="00174BA7"/>
    <w:rsid w:val="0017524C"/>
    <w:rsid w:val="001758EE"/>
    <w:rsid w:val="001762E1"/>
    <w:rsid w:val="00176E66"/>
    <w:rsid w:val="00176FFE"/>
    <w:rsid w:val="00177828"/>
    <w:rsid w:val="001778AF"/>
    <w:rsid w:val="00180923"/>
    <w:rsid w:val="00182074"/>
    <w:rsid w:val="001820FC"/>
    <w:rsid w:val="00182A0F"/>
    <w:rsid w:val="00183372"/>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6B57"/>
    <w:rsid w:val="001A11F0"/>
    <w:rsid w:val="001A12D0"/>
    <w:rsid w:val="001A135A"/>
    <w:rsid w:val="001A14A8"/>
    <w:rsid w:val="001A1ABB"/>
    <w:rsid w:val="001A2E7A"/>
    <w:rsid w:val="001A2FB3"/>
    <w:rsid w:val="001A3CEF"/>
    <w:rsid w:val="001A4917"/>
    <w:rsid w:val="001A4F0D"/>
    <w:rsid w:val="001A59B4"/>
    <w:rsid w:val="001A5B13"/>
    <w:rsid w:val="001A6323"/>
    <w:rsid w:val="001A77C4"/>
    <w:rsid w:val="001B017E"/>
    <w:rsid w:val="001B0E11"/>
    <w:rsid w:val="001B1033"/>
    <w:rsid w:val="001B122D"/>
    <w:rsid w:val="001B2C4F"/>
    <w:rsid w:val="001B36A9"/>
    <w:rsid w:val="001B4646"/>
    <w:rsid w:val="001B473A"/>
    <w:rsid w:val="001B52F2"/>
    <w:rsid w:val="001B5B8E"/>
    <w:rsid w:val="001C00EC"/>
    <w:rsid w:val="001C0468"/>
    <w:rsid w:val="001C0DB3"/>
    <w:rsid w:val="001C0DE4"/>
    <w:rsid w:val="001C16D4"/>
    <w:rsid w:val="001C19D8"/>
    <w:rsid w:val="001C2194"/>
    <w:rsid w:val="001C2998"/>
    <w:rsid w:val="001C3839"/>
    <w:rsid w:val="001C6CDB"/>
    <w:rsid w:val="001D0C07"/>
    <w:rsid w:val="001D1390"/>
    <w:rsid w:val="001D1A63"/>
    <w:rsid w:val="001D3224"/>
    <w:rsid w:val="001D362C"/>
    <w:rsid w:val="001D419F"/>
    <w:rsid w:val="001D4D1B"/>
    <w:rsid w:val="001D5C68"/>
    <w:rsid w:val="001D66FE"/>
    <w:rsid w:val="001D7161"/>
    <w:rsid w:val="001D7A67"/>
    <w:rsid w:val="001E0BDF"/>
    <w:rsid w:val="001E1A6F"/>
    <w:rsid w:val="001E1B51"/>
    <w:rsid w:val="001E1C6F"/>
    <w:rsid w:val="001E2290"/>
    <w:rsid w:val="001E2495"/>
    <w:rsid w:val="001E3D9D"/>
    <w:rsid w:val="001E500D"/>
    <w:rsid w:val="001E604E"/>
    <w:rsid w:val="001E78EC"/>
    <w:rsid w:val="001F02A3"/>
    <w:rsid w:val="001F0675"/>
    <w:rsid w:val="001F0897"/>
    <w:rsid w:val="001F14AF"/>
    <w:rsid w:val="001F6815"/>
    <w:rsid w:val="002021CE"/>
    <w:rsid w:val="00202352"/>
    <w:rsid w:val="0020244E"/>
    <w:rsid w:val="00203112"/>
    <w:rsid w:val="002034DF"/>
    <w:rsid w:val="002038E5"/>
    <w:rsid w:val="0020679A"/>
    <w:rsid w:val="00210582"/>
    <w:rsid w:val="00210714"/>
    <w:rsid w:val="00211094"/>
    <w:rsid w:val="0021123D"/>
    <w:rsid w:val="00212BD9"/>
    <w:rsid w:val="002136D8"/>
    <w:rsid w:val="00213D7B"/>
    <w:rsid w:val="00214860"/>
    <w:rsid w:val="002149E8"/>
    <w:rsid w:val="00215279"/>
    <w:rsid w:val="00215EC2"/>
    <w:rsid w:val="0021681C"/>
    <w:rsid w:val="002169C1"/>
    <w:rsid w:val="00217B96"/>
    <w:rsid w:val="00217F16"/>
    <w:rsid w:val="00221032"/>
    <w:rsid w:val="00221768"/>
    <w:rsid w:val="002220E6"/>
    <w:rsid w:val="002225FB"/>
    <w:rsid w:val="002255DE"/>
    <w:rsid w:val="00227FDC"/>
    <w:rsid w:val="002307E1"/>
    <w:rsid w:val="002317C4"/>
    <w:rsid w:val="002346F4"/>
    <w:rsid w:val="002360E8"/>
    <w:rsid w:val="00237ACA"/>
    <w:rsid w:val="00241A02"/>
    <w:rsid w:val="00241A61"/>
    <w:rsid w:val="0024227E"/>
    <w:rsid w:val="002427DC"/>
    <w:rsid w:val="00242DCE"/>
    <w:rsid w:val="00243B3D"/>
    <w:rsid w:val="00244D35"/>
    <w:rsid w:val="002453AB"/>
    <w:rsid w:val="002459FF"/>
    <w:rsid w:val="00247151"/>
    <w:rsid w:val="0025195A"/>
    <w:rsid w:val="00252B4B"/>
    <w:rsid w:val="002539B4"/>
    <w:rsid w:val="00253D00"/>
    <w:rsid w:val="00254139"/>
    <w:rsid w:val="00254F43"/>
    <w:rsid w:val="002559BC"/>
    <w:rsid w:val="002573BB"/>
    <w:rsid w:val="002575F9"/>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5443"/>
    <w:rsid w:val="00275B02"/>
    <w:rsid w:val="00276C15"/>
    <w:rsid w:val="002800CE"/>
    <w:rsid w:val="00282AF7"/>
    <w:rsid w:val="002839F9"/>
    <w:rsid w:val="0028530A"/>
    <w:rsid w:val="00291511"/>
    <w:rsid w:val="002915A2"/>
    <w:rsid w:val="00291FBF"/>
    <w:rsid w:val="00293442"/>
    <w:rsid w:val="002936F2"/>
    <w:rsid w:val="00294B3F"/>
    <w:rsid w:val="00294FBA"/>
    <w:rsid w:val="00297FF0"/>
    <w:rsid w:val="002A0F8F"/>
    <w:rsid w:val="002A2651"/>
    <w:rsid w:val="002A2CB1"/>
    <w:rsid w:val="002A365B"/>
    <w:rsid w:val="002A3BC9"/>
    <w:rsid w:val="002A7EDE"/>
    <w:rsid w:val="002B005C"/>
    <w:rsid w:val="002B0D32"/>
    <w:rsid w:val="002B11A6"/>
    <w:rsid w:val="002B264E"/>
    <w:rsid w:val="002B4444"/>
    <w:rsid w:val="002B4B18"/>
    <w:rsid w:val="002B4F1E"/>
    <w:rsid w:val="002B531A"/>
    <w:rsid w:val="002C0748"/>
    <w:rsid w:val="002C20B7"/>
    <w:rsid w:val="002C2383"/>
    <w:rsid w:val="002C2AD3"/>
    <w:rsid w:val="002C34DF"/>
    <w:rsid w:val="002C534F"/>
    <w:rsid w:val="002C56CD"/>
    <w:rsid w:val="002C7B17"/>
    <w:rsid w:val="002D0977"/>
    <w:rsid w:val="002D130F"/>
    <w:rsid w:val="002D241B"/>
    <w:rsid w:val="002D45E6"/>
    <w:rsid w:val="002D5218"/>
    <w:rsid w:val="002D6705"/>
    <w:rsid w:val="002D76F1"/>
    <w:rsid w:val="002D7E6C"/>
    <w:rsid w:val="002E06CD"/>
    <w:rsid w:val="002E1499"/>
    <w:rsid w:val="002E26BB"/>
    <w:rsid w:val="002E4B31"/>
    <w:rsid w:val="002E4C10"/>
    <w:rsid w:val="002E4CAE"/>
    <w:rsid w:val="002E725A"/>
    <w:rsid w:val="002E7359"/>
    <w:rsid w:val="002F0593"/>
    <w:rsid w:val="002F0D29"/>
    <w:rsid w:val="002F0DB1"/>
    <w:rsid w:val="002F2A39"/>
    <w:rsid w:val="002F35FC"/>
    <w:rsid w:val="002F3E1A"/>
    <w:rsid w:val="002F3F7A"/>
    <w:rsid w:val="002F5B33"/>
    <w:rsid w:val="002F74CD"/>
    <w:rsid w:val="0030125B"/>
    <w:rsid w:val="00301A16"/>
    <w:rsid w:val="0030226A"/>
    <w:rsid w:val="00302CAB"/>
    <w:rsid w:val="0030381B"/>
    <w:rsid w:val="00304A1C"/>
    <w:rsid w:val="00305C2C"/>
    <w:rsid w:val="00306B69"/>
    <w:rsid w:val="00306F20"/>
    <w:rsid w:val="00307571"/>
    <w:rsid w:val="0031066F"/>
    <w:rsid w:val="00312786"/>
    <w:rsid w:val="00314EDE"/>
    <w:rsid w:val="00315045"/>
    <w:rsid w:val="00315D4B"/>
    <w:rsid w:val="00316F2F"/>
    <w:rsid w:val="003176C8"/>
    <w:rsid w:val="00320255"/>
    <w:rsid w:val="00320EF3"/>
    <w:rsid w:val="0032102D"/>
    <w:rsid w:val="0032123A"/>
    <w:rsid w:val="00321933"/>
    <w:rsid w:val="003221C0"/>
    <w:rsid w:val="00322DF1"/>
    <w:rsid w:val="003239EB"/>
    <w:rsid w:val="00324561"/>
    <w:rsid w:val="00324AF2"/>
    <w:rsid w:val="00324F39"/>
    <w:rsid w:val="00325624"/>
    <w:rsid w:val="00325FD5"/>
    <w:rsid w:val="003263B5"/>
    <w:rsid w:val="003264FB"/>
    <w:rsid w:val="00326E83"/>
    <w:rsid w:val="00327E9A"/>
    <w:rsid w:val="00330FB9"/>
    <w:rsid w:val="00331DA7"/>
    <w:rsid w:val="00332724"/>
    <w:rsid w:val="0033409E"/>
    <w:rsid w:val="00334D0B"/>
    <w:rsid w:val="00335A0A"/>
    <w:rsid w:val="0033726B"/>
    <w:rsid w:val="00337A28"/>
    <w:rsid w:val="00341976"/>
    <w:rsid w:val="0034206A"/>
    <w:rsid w:val="003426B7"/>
    <w:rsid w:val="00342CA2"/>
    <w:rsid w:val="00345585"/>
    <w:rsid w:val="0034564C"/>
    <w:rsid w:val="00346199"/>
    <w:rsid w:val="003463FF"/>
    <w:rsid w:val="00347E7B"/>
    <w:rsid w:val="0035011E"/>
    <w:rsid w:val="0035026F"/>
    <w:rsid w:val="00350579"/>
    <w:rsid w:val="003518AA"/>
    <w:rsid w:val="00352766"/>
    <w:rsid w:val="00354382"/>
    <w:rsid w:val="00354A02"/>
    <w:rsid w:val="003570EA"/>
    <w:rsid w:val="00357DEF"/>
    <w:rsid w:val="00360F30"/>
    <w:rsid w:val="003620B0"/>
    <w:rsid w:val="003625AD"/>
    <w:rsid w:val="00363243"/>
    <w:rsid w:val="003639EE"/>
    <w:rsid w:val="003661C2"/>
    <w:rsid w:val="003662F7"/>
    <w:rsid w:val="00367FBF"/>
    <w:rsid w:val="003708B8"/>
    <w:rsid w:val="003710CA"/>
    <w:rsid w:val="00371321"/>
    <w:rsid w:val="00371574"/>
    <w:rsid w:val="003715C9"/>
    <w:rsid w:val="00372C7B"/>
    <w:rsid w:val="003754B5"/>
    <w:rsid w:val="00375F2C"/>
    <w:rsid w:val="00376204"/>
    <w:rsid w:val="003765D9"/>
    <w:rsid w:val="003772E2"/>
    <w:rsid w:val="00380D28"/>
    <w:rsid w:val="00380E4B"/>
    <w:rsid w:val="003812EA"/>
    <w:rsid w:val="00381964"/>
    <w:rsid w:val="00383793"/>
    <w:rsid w:val="00383CF4"/>
    <w:rsid w:val="0038414B"/>
    <w:rsid w:val="003847EC"/>
    <w:rsid w:val="00385EF6"/>
    <w:rsid w:val="003875A7"/>
    <w:rsid w:val="00387766"/>
    <w:rsid w:val="00387CD3"/>
    <w:rsid w:val="00387F66"/>
    <w:rsid w:val="003900FF"/>
    <w:rsid w:val="00390B32"/>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7A5"/>
    <w:rsid w:val="003A084B"/>
    <w:rsid w:val="003A0A31"/>
    <w:rsid w:val="003A16BB"/>
    <w:rsid w:val="003A1787"/>
    <w:rsid w:val="003A2761"/>
    <w:rsid w:val="003A3516"/>
    <w:rsid w:val="003A36F3"/>
    <w:rsid w:val="003A4C51"/>
    <w:rsid w:val="003A578D"/>
    <w:rsid w:val="003A61F1"/>
    <w:rsid w:val="003A73FB"/>
    <w:rsid w:val="003A760B"/>
    <w:rsid w:val="003A7EF1"/>
    <w:rsid w:val="003B2D12"/>
    <w:rsid w:val="003B33F4"/>
    <w:rsid w:val="003B558E"/>
    <w:rsid w:val="003B670B"/>
    <w:rsid w:val="003B6D7E"/>
    <w:rsid w:val="003B6E5D"/>
    <w:rsid w:val="003B7F76"/>
    <w:rsid w:val="003C1231"/>
    <w:rsid w:val="003C1F37"/>
    <w:rsid w:val="003C2514"/>
    <w:rsid w:val="003C3251"/>
    <w:rsid w:val="003C4DF6"/>
    <w:rsid w:val="003C5FC3"/>
    <w:rsid w:val="003C7169"/>
    <w:rsid w:val="003C744C"/>
    <w:rsid w:val="003C76D7"/>
    <w:rsid w:val="003C7A02"/>
    <w:rsid w:val="003D00A7"/>
    <w:rsid w:val="003D2E45"/>
    <w:rsid w:val="003D4FC8"/>
    <w:rsid w:val="003D4FE0"/>
    <w:rsid w:val="003D5689"/>
    <w:rsid w:val="003D597E"/>
    <w:rsid w:val="003D6EA6"/>
    <w:rsid w:val="003D7B87"/>
    <w:rsid w:val="003E07D6"/>
    <w:rsid w:val="003E0C9C"/>
    <w:rsid w:val="003E1CF8"/>
    <w:rsid w:val="003E23A6"/>
    <w:rsid w:val="003E253F"/>
    <w:rsid w:val="003E331E"/>
    <w:rsid w:val="003E4FAE"/>
    <w:rsid w:val="003E6A13"/>
    <w:rsid w:val="003E6C4C"/>
    <w:rsid w:val="003E7942"/>
    <w:rsid w:val="003E7B14"/>
    <w:rsid w:val="003E7BB4"/>
    <w:rsid w:val="003E7C11"/>
    <w:rsid w:val="003F0270"/>
    <w:rsid w:val="003F0ECD"/>
    <w:rsid w:val="003F18BE"/>
    <w:rsid w:val="003F39D8"/>
    <w:rsid w:val="00400828"/>
    <w:rsid w:val="00401647"/>
    <w:rsid w:val="00401A60"/>
    <w:rsid w:val="00402881"/>
    <w:rsid w:val="004038DD"/>
    <w:rsid w:val="004043FA"/>
    <w:rsid w:val="00404DE6"/>
    <w:rsid w:val="004059E0"/>
    <w:rsid w:val="004061A6"/>
    <w:rsid w:val="0040786A"/>
    <w:rsid w:val="00410BA9"/>
    <w:rsid w:val="00410F2E"/>
    <w:rsid w:val="004124BB"/>
    <w:rsid w:val="00412E9A"/>
    <w:rsid w:val="0041410B"/>
    <w:rsid w:val="00415313"/>
    <w:rsid w:val="004172E6"/>
    <w:rsid w:val="00420558"/>
    <w:rsid w:val="00420B58"/>
    <w:rsid w:val="00421DA5"/>
    <w:rsid w:val="00422B59"/>
    <w:rsid w:val="00422DEC"/>
    <w:rsid w:val="004230A1"/>
    <w:rsid w:val="004238EE"/>
    <w:rsid w:val="004240D5"/>
    <w:rsid w:val="00424471"/>
    <w:rsid w:val="0042468B"/>
    <w:rsid w:val="0042615E"/>
    <w:rsid w:val="00427FD1"/>
    <w:rsid w:val="004307B6"/>
    <w:rsid w:val="004314EA"/>
    <w:rsid w:val="00431599"/>
    <w:rsid w:val="00431D96"/>
    <w:rsid w:val="00432AAB"/>
    <w:rsid w:val="00433FED"/>
    <w:rsid w:val="00434A2B"/>
    <w:rsid w:val="00435B5A"/>
    <w:rsid w:val="00435F84"/>
    <w:rsid w:val="004368A7"/>
    <w:rsid w:val="004403BB"/>
    <w:rsid w:val="00440464"/>
    <w:rsid w:val="00443662"/>
    <w:rsid w:val="00445E1A"/>
    <w:rsid w:val="0044615C"/>
    <w:rsid w:val="00446AEF"/>
    <w:rsid w:val="0044702A"/>
    <w:rsid w:val="00453C0E"/>
    <w:rsid w:val="00453D5E"/>
    <w:rsid w:val="00456099"/>
    <w:rsid w:val="00456A96"/>
    <w:rsid w:val="00457DD1"/>
    <w:rsid w:val="00460480"/>
    <w:rsid w:val="00460793"/>
    <w:rsid w:val="00461256"/>
    <w:rsid w:val="00461442"/>
    <w:rsid w:val="0046279E"/>
    <w:rsid w:val="00464E36"/>
    <w:rsid w:val="00466717"/>
    <w:rsid w:val="00466769"/>
    <w:rsid w:val="004668D5"/>
    <w:rsid w:val="004709BB"/>
    <w:rsid w:val="00470F90"/>
    <w:rsid w:val="004710C8"/>
    <w:rsid w:val="0047165B"/>
    <w:rsid w:val="004722A2"/>
    <w:rsid w:val="0047254D"/>
    <w:rsid w:val="00472F3F"/>
    <w:rsid w:val="00473262"/>
    <w:rsid w:val="004747CD"/>
    <w:rsid w:val="00474F8B"/>
    <w:rsid w:val="004754DE"/>
    <w:rsid w:val="0047573D"/>
    <w:rsid w:val="00475ED9"/>
    <w:rsid w:val="004768D0"/>
    <w:rsid w:val="004802E1"/>
    <w:rsid w:val="00480908"/>
    <w:rsid w:val="00481FA8"/>
    <w:rsid w:val="00482B16"/>
    <w:rsid w:val="00482C9F"/>
    <w:rsid w:val="00483E0D"/>
    <w:rsid w:val="00484C14"/>
    <w:rsid w:val="00486278"/>
    <w:rsid w:val="00486DEB"/>
    <w:rsid w:val="00486E2C"/>
    <w:rsid w:val="00487794"/>
    <w:rsid w:val="004877BB"/>
    <w:rsid w:val="00487A96"/>
    <w:rsid w:val="00487ED7"/>
    <w:rsid w:val="0049015A"/>
    <w:rsid w:val="004906AE"/>
    <w:rsid w:val="00491B5D"/>
    <w:rsid w:val="00493A8C"/>
    <w:rsid w:val="00496D4E"/>
    <w:rsid w:val="00496DED"/>
    <w:rsid w:val="00497454"/>
    <w:rsid w:val="004A0F06"/>
    <w:rsid w:val="004A15A6"/>
    <w:rsid w:val="004A32FF"/>
    <w:rsid w:val="004A5FBC"/>
    <w:rsid w:val="004A6CCC"/>
    <w:rsid w:val="004A7090"/>
    <w:rsid w:val="004B14CB"/>
    <w:rsid w:val="004B24D1"/>
    <w:rsid w:val="004B3077"/>
    <w:rsid w:val="004B3705"/>
    <w:rsid w:val="004B3BC6"/>
    <w:rsid w:val="004B412D"/>
    <w:rsid w:val="004B463A"/>
    <w:rsid w:val="004B4986"/>
    <w:rsid w:val="004B4BE0"/>
    <w:rsid w:val="004B5808"/>
    <w:rsid w:val="004B6664"/>
    <w:rsid w:val="004B68A9"/>
    <w:rsid w:val="004B6B5D"/>
    <w:rsid w:val="004B7A7B"/>
    <w:rsid w:val="004C1081"/>
    <w:rsid w:val="004C2503"/>
    <w:rsid w:val="004C4026"/>
    <w:rsid w:val="004C54ED"/>
    <w:rsid w:val="004C5856"/>
    <w:rsid w:val="004C6568"/>
    <w:rsid w:val="004C7FCD"/>
    <w:rsid w:val="004D059A"/>
    <w:rsid w:val="004D14CB"/>
    <w:rsid w:val="004D1ED2"/>
    <w:rsid w:val="004D23B2"/>
    <w:rsid w:val="004D4019"/>
    <w:rsid w:val="004D443F"/>
    <w:rsid w:val="004D4A74"/>
    <w:rsid w:val="004D5760"/>
    <w:rsid w:val="004D64BA"/>
    <w:rsid w:val="004D64BD"/>
    <w:rsid w:val="004D676F"/>
    <w:rsid w:val="004D6929"/>
    <w:rsid w:val="004D77BD"/>
    <w:rsid w:val="004D7CF4"/>
    <w:rsid w:val="004D7EB0"/>
    <w:rsid w:val="004E34E4"/>
    <w:rsid w:val="004E354F"/>
    <w:rsid w:val="004E3E72"/>
    <w:rsid w:val="004E494B"/>
    <w:rsid w:val="004E49B1"/>
    <w:rsid w:val="004E4AD1"/>
    <w:rsid w:val="004E56E2"/>
    <w:rsid w:val="004E6ED9"/>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7E9"/>
    <w:rsid w:val="00506B6A"/>
    <w:rsid w:val="005100A5"/>
    <w:rsid w:val="0051153F"/>
    <w:rsid w:val="00511CFF"/>
    <w:rsid w:val="00512A98"/>
    <w:rsid w:val="00515507"/>
    <w:rsid w:val="00515663"/>
    <w:rsid w:val="00517AE1"/>
    <w:rsid w:val="0052002F"/>
    <w:rsid w:val="00520D23"/>
    <w:rsid w:val="00522364"/>
    <w:rsid w:val="00523344"/>
    <w:rsid w:val="0052493C"/>
    <w:rsid w:val="00525CB3"/>
    <w:rsid w:val="00525F2D"/>
    <w:rsid w:val="00532DB2"/>
    <w:rsid w:val="00534B73"/>
    <w:rsid w:val="00534E27"/>
    <w:rsid w:val="00535D85"/>
    <w:rsid w:val="00535DF5"/>
    <w:rsid w:val="00541D81"/>
    <w:rsid w:val="00541E48"/>
    <w:rsid w:val="00541EE7"/>
    <w:rsid w:val="00542E7D"/>
    <w:rsid w:val="0054316D"/>
    <w:rsid w:val="00543DE0"/>
    <w:rsid w:val="00543E65"/>
    <w:rsid w:val="00545E3D"/>
    <w:rsid w:val="005461E1"/>
    <w:rsid w:val="005473A7"/>
    <w:rsid w:val="00547E92"/>
    <w:rsid w:val="00550720"/>
    <w:rsid w:val="005521B0"/>
    <w:rsid w:val="00553029"/>
    <w:rsid w:val="00555186"/>
    <w:rsid w:val="0055623C"/>
    <w:rsid w:val="00557342"/>
    <w:rsid w:val="00561302"/>
    <w:rsid w:val="00563508"/>
    <w:rsid w:val="005655C1"/>
    <w:rsid w:val="00565EC3"/>
    <w:rsid w:val="00566197"/>
    <w:rsid w:val="0056722B"/>
    <w:rsid w:val="0057022C"/>
    <w:rsid w:val="0057258D"/>
    <w:rsid w:val="005732B9"/>
    <w:rsid w:val="005733B9"/>
    <w:rsid w:val="00576B68"/>
    <w:rsid w:val="00577155"/>
    <w:rsid w:val="0057717E"/>
    <w:rsid w:val="00582963"/>
    <w:rsid w:val="00584763"/>
    <w:rsid w:val="0058552C"/>
    <w:rsid w:val="005863C0"/>
    <w:rsid w:val="00586C46"/>
    <w:rsid w:val="00586D7C"/>
    <w:rsid w:val="00590951"/>
    <w:rsid w:val="00591C93"/>
    <w:rsid w:val="005935B6"/>
    <w:rsid w:val="005935EE"/>
    <w:rsid w:val="0059381A"/>
    <w:rsid w:val="00594D11"/>
    <w:rsid w:val="0059541F"/>
    <w:rsid w:val="005959C1"/>
    <w:rsid w:val="00597C86"/>
    <w:rsid w:val="005A0D88"/>
    <w:rsid w:val="005A2A49"/>
    <w:rsid w:val="005A5762"/>
    <w:rsid w:val="005B1C52"/>
    <w:rsid w:val="005B1EA7"/>
    <w:rsid w:val="005B31A6"/>
    <w:rsid w:val="005B407C"/>
    <w:rsid w:val="005B4E77"/>
    <w:rsid w:val="005B4EC5"/>
    <w:rsid w:val="005B5998"/>
    <w:rsid w:val="005B789F"/>
    <w:rsid w:val="005C09AE"/>
    <w:rsid w:val="005C2442"/>
    <w:rsid w:val="005C24DE"/>
    <w:rsid w:val="005C3790"/>
    <w:rsid w:val="005C3EFF"/>
    <w:rsid w:val="005C43F4"/>
    <w:rsid w:val="005C5E00"/>
    <w:rsid w:val="005C6994"/>
    <w:rsid w:val="005C6B7F"/>
    <w:rsid w:val="005C7017"/>
    <w:rsid w:val="005D147D"/>
    <w:rsid w:val="005D312C"/>
    <w:rsid w:val="005D3CB9"/>
    <w:rsid w:val="005D63E3"/>
    <w:rsid w:val="005E08B2"/>
    <w:rsid w:val="005E11A0"/>
    <w:rsid w:val="005E26B6"/>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72CD"/>
    <w:rsid w:val="006012C1"/>
    <w:rsid w:val="006012CF"/>
    <w:rsid w:val="00602440"/>
    <w:rsid w:val="00602B88"/>
    <w:rsid w:val="00603853"/>
    <w:rsid w:val="006041E5"/>
    <w:rsid w:val="00605AC8"/>
    <w:rsid w:val="00606085"/>
    <w:rsid w:val="006068E2"/>
    <w:rsid w:val="00610743"/>
    <w:rsid w:val="00621407"/>
    <w:rsid w:val="0062181F"/>
    <w:rsid w:val="00622E16"/>
    <w:rsid w:val="00625AF4"/>
    <w:rsid w:val="006265DD"/>
    <w:rsid w:val="00626BFD"/>
    <w:rsid w:val="00627087"/>
    <w:rsid w:val="00627CE0"/>
    <w:rsid w:val="00630B73"/>
    <w:rsid w:val="006314AD"/>
    <w:rsid w:val="00631662"/>
    <w:rsid w:val="00633011"/>
    <w:rsid w:val="006356F1"/>
    <w:rsid w:val="00635CD2"/>
    <w:rsid w:val="0063630B"/>
    <w:rsid w:val="00636F71"/>
    <w:rsid w:val="00637B22"/>
    <w:rsid w:val="00637DF8"/>
    <w:rsid w:val="0064042E"/>
    <w:rsid w:val="00640DD8"/>
    <w:rsid w:val="006419D1"/>
    <w:rsid w:val="006438A8"/>
    <w:rsid w:val="0064390D"/>
    <w:rsid w:val="00645405"/>
    <w:rsid w:val="006466FC"/>
    <w:rsid w:val="00646723"/>
    <w:rsid w:val="0064758D"/>
    <w:rsid w:val="00647A9C"/>
    <w:rsid w:val="0065121B"/>
    <w:rsid w:val="0065144E"/>
    <w:rsid w:val="00653AD7"/>
    <w:rsid w:val="00653CFB"/>
    <w:rsid w:val="0065424E"/>
    <w:rsid w:val="00654E77"/>
    <w:rsid w:val="00655B79"/>
    <w:rsid w:val="00657B2C"/>
    <w:rsid w:val="00657D93"/>
    <w:rsid w:val="006609CE"/>
    <w:rsid w:val="0066107E"/>
    <w:rsid w:val="00662F91"/>
    <w:rsid w:val="00663E7B"/>
    <w:rsid w:val="006642C5"/>
    <w:rsid w:val="00664653"/>
    <w:rsid w:val="00664B42"/>
    <w:rsid w:val="006655BD"/>
    <w:rsid w:val="006656A0"/>
    <w:rsid w:val="00666BC6"/>
    <w:rsid w:val="00666FEC"/>
    <w:rsid w:val="00671D38"/>
    <w:rsid w:val="00672B7E"/>
    <w:rsid w:val="006737BD"/>
    <w:rsid w:val="00673C57"/>
    <w:rsid w:val="00674311"/>
    <w:rsid w:val="006749F9"/>
    <w:rsid w:val="00674F1F"/>
    <w:rsid w:val="00675CCC"/>
    <w:rsid w:val="0067666C"/>
    <w:rsid w:val="006802DC"/>
    <w:rsid w:val="006809C5"/>
    <w:rsid w:val="00680C17"/>
    <w:rsid w:val="00680ED8"/>
    <w:rsid w:val="006812F1"/>
    <w:rsid w:val="006816E2"/>
    <w:rsid w:val="006818C0"/>
    <w:rsid w:val="00682275"/>
    <w:rsid w:val="006822C0"/>
    <w:rsid w:val="006847E9"/>
    <w:rsid w:val="00684BDD"/>
    <w:rsid w:val="00686C58"/>
    <w:rsid w:val="00687D43"/>
    <w:rsid w:val="0069011E"/>
    <w:rsid w:val="00690B3B"/>
    <w:rsid w:val="0069161F"/>
    <w:rsid w:val="00692B91"/>
    <w:rsid w:val="00692DEA"/>
    <w:rsid w:val="00693275"/>
    <w:rsid w:val="006943B7"/>
    <w:rsid w:val="0069492C"/>
    <w:rsid w:val="00696D10"/>
    <w:rsid w:val="006970AD"/>
    <w:rsid w:val="006979BA"/>
    <w:rsid w:val="006A0BCB"/>
    <w:rsid w:val="006A0C4D"/>
    <w:rsid w:val="006A150A"/>
    <w:rsid w:val="006A1958"/>
    <w:rsid w:val="006A39E8"/>
    <w:rsid w:val="006A3A4A"/>
    <w:rsid w:val="006A3AB6"/>
    <w:rsid w:val="006A445C"/>
    <w:rsid w:val="006A6327"/>
    <w:rsid w:val="006A66BD"/>
    <w:rsid w:val="006A72D5"/>
    <w:rsid w:val="006B1218"/>
    <w:rsid w:val="006B1231"/>
    <w:rsid w:val="006B1BF7"/>
    <w:rsid w:val="006B1DDF"/>
    <w:rsid w:val="006B315E"/>
    <w:rsid w:val="006B5F38"/>
    <w:rsid w:val="006B607F"/>
    <w:rsid w:val="006B62FF"/>
    <w:rsid w:val="006B6C0B"/>
    <w:rsid w:val="006B7092"/>
    <w:rsid w:val="006B775A"/>
    <w:rsid w:val="006C0923"/>
    <w:rsid w:val="006C0B55"/>
    <w:rsid w:val="006C3F12"/>
    <w:rsid w:val="006C4985"/>
    <w:rsid w:val="006C5846"/>
    <w:rsid w:val="006C5847"/>
    <w:rsid w:val="006C5852"/>
    <w:rsid w:val="006C5EC9"/>
    <w:rsid w:val="006C6525"/>
    <w:rsid w:val="006C6D2E"/>
    <w:rsid w:val="006C7637"/>
    <w:rsid w:val="006D0C94"/>
    <w:rsid w:val="006D0CBB"/>
    <w:rsid w:val="006D0E83"/>
    <w:rsid w:val="006D2A1D"/>
    <w:rsid w:val="006D490C"/>
    <w:rsid w:val="006D5437"/>
    <w:rsid w:val="006E0058"/>
    <w:rsid w:val="006E332E"/>
    <w:rsid w:val="006E3865"/>
    <w:rsid w:val="006E3995"/>
    <w:rsid w:val="006E529E"/>
    <w:rsid w:val="006E671B"/>
    <w:rsid w:val="006E6A19"/>
    <w:rsid w:val="006F07D4"/>
    <w:rsid w:val="006F1336"/>
    <w:rsid w:val="006F3AB2"/>
    <w:rsid w:val="006F3EF7"/>
    <w:rsid w:val="006F3FDA"/>
    <w:rsid w:val="006F41BE"/>
    <w:rsid w:val="006F4803"/>
    <w:rsid w:val="006F5260"/>
    <w:rsid w:val="006F5331"/>
    <w:rsid w:val="006F6F86"/>
    <w:rsid w:val="006F7D5C"/>
    <w:rsid w:val="006F7F63"/>
    <w:rsid w:val="00702666"/>
    <w:rsid w:val="00702D11"/>
    <w:rsid w:val="007036DD"/>
    <w:rsid w:val="0070423D"/>
    <w:rsid w:val="00704D1B"/>
    <w:rsid w:val="00706594"/>
    <w:rsid w:val="007072D2"/>
    <w:rsid w:val="007072E4"/>
    <w:rsid w:val="0071005E"/>
    <w:rsid w:val="0071016D"/>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2EFA"/>
    <w:rsid w:val="00723832"/>
    <w:rsid w:val="00723F62"/>
    <w:rsid w:val="00724B4F"/>
    <w:rsid w:val="00725080"/>
    <w:rsid w:val="007276CA"/>
    <w:rsid w:val="00731751"/>
    <w:rsid w:val="00731E21"/>
    <w:rsid w:val="00733A11"/>
    <w:rsid w:val="00733E68"/>
    <w:rsid w:val="00734501"/>
    <w:rsid w:val="00736372"/>
    <w:rsid w:val="007403A3"/>
    <w:rsid w:val="00741793"/>
    <w:rsid w:val="00741A5A"/>
    <w:rsid w:val="00746A1F"/>
    <w:rsid w:val="00747C2E"/>
    <w:rsid w:val="00752BF6"/>
    <w:rsid w:val="007544A8"/>
    <w:rsid w:val="007553C2"/>
    <w:rsid w:val="0075565B"/>
    <w:rsid w:val="00755D9A"/>
    <w:rsid w:val="00756595"/>
    <w:rsid w:val="00756625"/>
    <w:rsid w:val="007568CD"/>
    <w:rsid w:val="007569C0"/>
    <w:rsid w:val="00760435"/>
    <w:rsid w:val="00760C65"/>
    <w:rsid w:val="00760F88"/>
    <w:rsid w:val="00761103"/>
    <w:rsid w:val="00762077"/>
    <w:rsid w:val="007620EB"/>
    <w:rsid w:val="00763CC6"/>
    <w:rsid w:val="00764C5A"/>
    <w:rsid w:val="00764C97"/>
    <w:rsid w:val="007659B6"/>
    <w:rsid w:val="007675DC"/>
    <w:rsid w:val="007678E9"/>
    <w:rsid w:val="00773832"/>
    <w:rsid w:val="00781635"/>
    <w:rsid w:val="00781B8C"/>
    <w:rsid w:val="007824B9"/>
    <w:rsid w:val="00782D4D"/>
    <w:rsid w:val="0078466E"/>
    <w:rsid w:val="0078650B"/>
    <w:rsid w:val="00787FC7"/>
    <w:rsid w:val="00790126"/>
    <w:rsid w:val="00790FFD"/>
    <w:rsid w:val="007923D8"/>
    <w:rsid w:val="0079285F"/>
    <w:rsid w:val="0079327D"/>
    <w:rsid w:val="00793559"/>
    <w:rsid w:val="00793E5B"/>
    <w:rsid w:val="00794988"/>
    <w:rsid w:val="007967FF"/>
    <w:rsid w:val="00796A68"/>
    <w:rsid w:val="00797B1F"/>
    <w:rsid w:val="007A0CCF"/>
    <w:rsid w:val="007A1645"/>
    <w:rsid w:val="007A1C7C"/>
    <w:rsid w:val="007A1F4E"/>
    <w:rsid w:val="007A1F66"/>
    <w:rsid w:val="007A2026"/>
    <w:rsid w:val="007A24A9"/>
    <w:rsid w:val="007A270C"/>
    <w:rsid w:val="007A2B1F"/>
    <w:rsid w:val="007A2C23"/>
    <w:rsid w:val="007A61A7"/>
    <w:rsid w:val="007A6F11"/>
    <w:rsid w:val="007B000E"/>
    <w:rsid w:val="007B0126"/>
    <w:rsid w:val="007B20CE"/>
    <w:rsid w:val="007B23A5"/>
    <w:rsid w:val="007B315B"/>
    <w:rsid w:val="007B3498"/>
    <w:rsid w:val="007B5451"/>
    <w:rsid w:val="007B573A"/>
    <w:rsid w:val="007B6140"/>
    <w:rsid w:val="007B6ACE"/>
    <w:rsid w:val="007B6F85"/>
    <w:rsid w:val="007B6FA8"/>
    <w:rsid w:val="007C022B"/>
    <w:rsid w:val="007C0693"/>
    <w:rsid w:val="007C0C1F"/>
    <w:rsid w:val="007C14A4"/>
    <w:rsid w:val="007C1E30"/>
    <w:rsid w:val="007C282E"/>
    <w:rsid w:val="007C297B"/>
    <w:rsid w:val="007C3B16"/>
    <w:rsid w:val="007C410C"/>
    <w:rsid w:val="007C5FCC"/>
    <w:rsid w:val="007C6BBA"/>
    <w:rsid w:val="007D0017"/>
    <w:rsid w:val="007D15F5"/>
    <w:rsid w:val="007D1725"/>
    <w:rsid w:val="007D239D"/>
    <w:rsid w:val="007D256C"/>
    <w:rsid w:val="007D2776"/>
    <w:rsid w:val="007D635B"/>
    <w:rsid w:val="007E0F33"/>
    <w:rsid w:val="007E2796"/>
    <w:rsid w:val="007E2D1E"/>
    <w:rsid w:val="007E3261"/>
    <w:rsid w:val="007E387C"/>
    <w:rsid w:val="007E4341"/>
    <w:rsid w:val="007E4456"/>
    <w:rsid w:val="007E5CF0"/>
    <w:rsid w:val="007E5D24"/>
    <w:rsid w:val="007F02AE"/>
    <w:rsid w:val="007F0D2E"/>
    <w:rsid w:val="007F13F7"/>
    <w:rsid w:val="007F1749"/>
    <w:rsid w:val="007F1B53"/>
    <w:rsid w:val="007F2602"/>
    <w:rsid w:val="007F4823"/>
    <w:rsid w:val="007F4DA7"/>
    <w:rsid w:val="007F5CCC"/>
    <w:rsid w:val="007F61A7"/>
    <w:rsid w:val="007F6750"/>
    <w:rsid w:val="00800372"/>
    <w:rsid w:val="00800651"/>
    <w:rsid w:val="00800AE8"/>
    <w:rsid w:val="00801400"/>
    <w:rsid w:val="008014C6"/>
    <w:rsid w:val="00802CE1"/>
    <w:rsid w:val="00802D0C"/>
    <w:rsid w:val="008038F4"/>
    <w:rsid w:val="00803BBA"/>
    <w:rsid w:val="00803C8E"/>
    <w:rsid w:val="008078E1"/>
    <w:rsid w:val="00812250"/>
    <w:rsid w:val="00813851"/>
    <w:rsid w:val="00814301"/>
    <w:rsid w:val="00817671"/>
    <w:rsid w:val="00817AB9"/>
    <w:rsid w:val="00820E8F"/>
    <w:rsid w:val="00820F76"/>
    <w:rsid w:val="0082359E"/>
    <w:rsid w:val="00824924"/>
    <w:rsid w:val="008250F8"/>
    <w:rsid w:val="0082577C"/>
    <w:rsid w:val="00826C73"/>
    <w:rsid w:val="00827235"/>
    <w:rsid w:val="00832125"/>
    <w:rsid w:val="00835499"/>
    <w:rsid w:val="00835A38"/>
    <w:rsid w:val="00835DFB"/>
    <w:rsid w:val="008363FC"/>
    <w:rsid w:val="008370D4"/>
    <w:rsid w:val="00842723"/>
    <w:rsid w:val="00842E86"/>
    <w:rsid w:val="0084304D"/>
    <w:rsid w:val="00844062"/>
    <w:rsid w:val="00844CDD"/>
    <w:rsid w:val="008459F0"/>
    <w:rsid w:val="00846260"/>
    <w:rsid w:val="0084707F"/>
    <w:rsid w:val="00847623"/>
    <w:rsid w:val="00850E18"/>
    <w:rsid w:val="0085292F"/>
    <w:rsid w:val="00853D6C"/>
    <w:rsid w:val="008571A1"/>
    <w:rsid w:val="00857665"/>
    <w:rsid w:val="008602E2"/>
    <w:rsid w:val="00861616"/>
    <w:rsid w:val="008624A0"/>
    <w:rsid w:val="008629E3"/>
    <w:rsid w:val="00865614"/>
    <w:rsid w:val="008666A3"/>
    <w:rsid w:val="00867E7A"/>
    <w:rsid w:val="0087101C"/>
    <w:rsid w:val="00871C6D"/>
    <w:rsid w:val="00872323"/>
    <w:rsid w:val="00872570"/>
    <w:rsid w:val="008728D5"/>
    <w:rsid w:val="00872B41"/>
    <w:rsid w:val="00872DA4"/>
    <w:rsid w:val="0087651A"/>
    <w:rsid w:val="00876756"/>
    <w:rsid w:val="008769C1"/>
    <w:rsid w:val="00877589"/>
    <w:rsid w:val="00881914"/>
    <w:rsid w:val="008822FB"/>
    <w:rsid w:val="00883C73"/>
    <w:rsid w:val="008854BF"/>
    <w:rsid w:val="00887F29"/>
    <w:rsid w:val="008901BF"/>
    <w:rsid w:val="00890C40"/>
    <w:rsid w:val="0089125E"/>
    <w:rsid w:val="00891D5D"/>
    <w:rsid w:val="008936C4"/>
    <w:rsid w:val="00893777"/>
    <w:rsid w:val="0089486B"/>
    <w:rsid w:val="008969A7"/>
    <w:rsid w:val="008A06F3"/>
    <w:rsid w:val="008A09E3"/>
    <w:rsid w:val="008A264E"/>
    <w:rsid w:val="008A2AEB"/>
    <w:rsid w:val="008A30D7"/>
    <w:rsid w:val="008A5B54"/>
    <w:rsid w:val="008A5EF9"/>
    <w:rsid w:val="008A6FAF"/>
    <w:rsid w:val="008A7F38"/>
    <w:rsid w:val="008B14D8"/>
    <w:rsid w:val="008B1B47"/>
    <w:rsid w:val="008B2A52"/>
    <w:rsid w:val="008B2F57"/>
    <w:rsid w:val="008B301A"/>
    <w:rsid w:val="008B37A6"/>
    <w:rsid w:val="008B3AB2"/>
    <w:rsid w:val="008B418F"/>
    <w:rsid w:val="008B4D54"/>
    <w:rsid w:val="008B5F1B"/>
    <w:rsid w:val="008B6818"/>
    <w:rsid w:val="008B6B7E"/>
    <w:rsid w:val="008C2308"/>
    <w:rsid w:val="008C3650"/>
    <w:rsid w:val="008C3861"/>
    <w:rsid w:val="008C5046"/>
    <w:rsid w:val="008C5145"/>
    <w:rsid w:val="008C61CB"/>
    <w:rsid w:val="008C62F5"/>
    <w:rsid w:val="008D325D"/>
    <w:rsid w:val="008D35CD"/>
    <w:rsid w:val="008D5B36"/>
    <w:rsid w:val="008D64AB"/>
    <w:rsid w:val="008D65B8"/>
    <w:rsid w:val="008D7980"/>
    <w:rsid w:val="008D7B7B"/>
    <w:rsid w:val="008E1301"/>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28BC"/>
    <w:rsid w:val="008F3157"/>
    <w:rsid w:val="008F34F9"/>
    <w:rsid w:val="008F4AFC"/>
    <w:rsid w:val="008F4B39"/>
    <w:rsid w:val="008F4FE0"/>
    <w:rsid w:val="008F59A8"/>
    <w:rsid w:val="008F628F"/>
    <w:rsid w:val="00900EF9"/>
    <w:rsid w:val="00902E6D"/>
    <w:rsid w:val="009033E6"/>
    <w:rsid w:val="00903C05"/>
    <w:rsid w:val="0090404E"/>
    <w:rsid w:val="00906338"/>
    <w:rsid w:val="00906409"/>
    <w:rsid w:val="0090689A"/>
    <w:rsid w:val="00907136"/>
    <w:rsid w:val="0091094D"/>
    <w:rsid w:val="009111CB"/>
    <w:rsid w:val="009117A9"/>
    <w:rsid w:val="009129D5"/>
    <w:rsid w:val="00914523"/>
    <w:rsid w:val="00914878"/>
    <w:rsid w:val="009148C0"/>
    <w:rsid w:val="00915153"/>
    <w:rsid w:val="009153AE"/>
    <w:rsid w:val="00915FB0"/>
    <w:rsid w:val="009167F8"/>
    <w:rsid w:val="00916DF0"/>
    <w:rsid w:val="0092016A"/>
    <w:rsid w:val="009217A0"/>
    <w:rsid w:val="00921836"/>
    <w:rsid w:val="00922147"/>
    <w:rsid w:val="009221E9"/>
    <w:rsid w:val="00922287"/>
    <w:rsid w:val="00922409"/>
    <w:rsid w:val="00922860"/>
    <w:rsid w:val="00923096"/>
    <w:rsid w:val="00924E9B"/>
    <w:rsid w:val="009254B2"/>
    <w:rsid w:val="0092586C"/>
    <w:rsid w:val="0093093F"/>
    <w:rsid w:val="0093158F"/>
    <w:rsid w:val="00931D93"/>
    <w:rsid w:val="00933199"/>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5282E"/>
    <w:rsid w:val="009531A0"/>
    <w:rsid w:val="0095357A"/>
    <w:rsid w:val="009539D5"/>
    <w:rsid w:val="00953D4D"/>
    <w:rsid w:val="00954E7F"/>
    <w:rsid w:val="00955368"/>
    <w:rsid w:val="0095610E"/>
    <w:rsid w:val="0095613B"/>
    <w:rsid w:val="009563C9"/>
    <w:rsid w:val="0095647D"/>
    <w:rsid w:val="0095740E"/>
    <w:rsid w:val="0096025D"/>
    <w:rsid w:val="00960D4E"/>
    <w:rsid w:val="00960F8F"/>
    <w:rsid w:val="00961727"/>
    <w:rsid w:val="009628BF"/>
    <w:rsid w:val="0096591C"/>
    <w:rsid w:val="00965D89"/>
    <w:rsid w:val="00966E1C"/>
    <w:rsid w:val="009670E1"/>
    <w:rsid w:val="0096752B"/>
    <w:rsid w:val="00967ED6"/>
    <w:rsid w:val="00970015"/>
    <w:rsid w:val="0097104F"/>
    <w:rsid w:val="009722E4"/>
    <w:rsid w:val="009736EB"/>
    <w:rsid w:val="0097395E"/>
    <w:rsid w:val="00974044"/>
    <w:rsid w:val="00981D5E"/>
    <w:rsid w:val="009851F5"/>
    <w:rsid w:val="00985A34"/>
    <w:rsid w:val="009877C5"/>
    <w:rsid w:val="009915BE"/>
    <w:rsid w:val="0099303C"/>
    <w:rsid w:val="00993B4D"/>
    <w:rsid w:val="009945E4"/>
    <w:rsid w:val="00996818"/>
    <w:rsid w:val="00996F99"/>
    <w:rsid w:val="0099755F"/>
    <w:rsid w:val="009A060D"/>
    <w:rsid w:val="009A1575"/>
    <w:rsid w:val="009A1AA9"/>
    <w:rsid w:val="009A35BF"/>
    <w:rsid w:val="009A64B4"/>
    <w:rsid w:val="009A6775"/>
    <w:rsid w:val="009A7C24"/>
    <w:rsid w:val="009B06E6"/>
    <w:rsid w:val="009B0DEA"/>
    <w:rsid w:val="009B16BA"/>
    <w:rsid w:val="009B1D75"/>
    <w:rsid w:val="009B20DE"/>
    <w:rsid w:val="009B2300"/>
    <w:rsid w:val="009B26B4"/>
    <w:rsid w:val="009B27D8"/>
    <w:rsid w:val="009B40FB"/>
    <w:rsid w:val="009B51F4"/>
    <w:rsid w:val="009C01DC"/>
    <w:rsid w:val="009C0C8A"/>
    <w:rsid w:val="009C1C87"/>
    <w:rsid w:val="009C2D6E"/>
    <w:rsid w:val="009C4366"/>
    <w:rsid w:val="009C44AE"/>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535"/>
    <w:rsid w:val="009E2864"/>
    <w:rsid w:val="009E30ED"/>
    <w:rsid w:val="009E455D"/>
    <w:rsid w:val="009E53CA"/>
    <w:rsid w:val="009E6A37"/>
    <w:rsid w:val="009E6BF4"/>
    <w:rsid w:val="009E7903"/>
    <w:rsid w:val="009E7EEC"/>
    <w:rsid w:val="009F017E"/>
    <w:rsid w:val="009F0220"/>
    <w:rsid w:val="009F15A1"/>
    <w:rsid w:val="009F1E43"/>
    <w:rsid w:val="009F25AA"/>
    <w:rsid w:val="009F2E6A"/>
    <w:rsid w:val="009F31C8"/>
    <w:rsid w:val="009F4EA3"/>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DCE"/>
    <w:rsid w:val="00A11EBD"/>
    <w:rsid w:val="00A13878"/>
    <w:rsid w:val="00A138C1"/>
    <w:rsid w:val="00A14D0F"/>
    <w:rsid w:val="00A16792"/>
    <w:rsid w:val="00A16AE1"/>
    <w:rsid w:val="00A2077F"/>
    <w:rsid w:val="00A21581"/>
    <w:rsid w:val="00A23678"/>
    <w:rsid w:val="00A23E50"/>
    <w:rsid w:val="00A24842"/>
    <w:rsid w:val="00A25D12"/>
    <w:rsid w:val="00A262B7"/>
    <w:rsid w:val="00A2651F"/>
    <w:rsid w:val="00A26C9E"/>
    <w:rsid w:val="00A315D0"/>
    <w:rsid w:val="00A326FB"/>
    <w:rsid w:val="00A331E1"/>
    <w:rsid w:val="00A33DED"/>
    <w:rsid w:val="00A3493E"/>
    <w:rsid w:val="00A355FC"/>
    <w:rsid w:val="00A36AB8"/>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1574"/>
    <w:rsid w:val="00A61740"/>
    <w:rsid w:val="00A623BB"/>
    <w:rsid w:val="00A650CC"/>
    <w:rsid w:val="00A6516F"/>
    <w:rsid w:val="00A6638C"/>
    <w:rsid w:val="00A672F7"/>
    <w:rsid w:val="00A675F5"/>
    <w:rsid w:val="00A676D0"/>
    <w:rsid w:val="00A71CED"/>
    <w:rsid w:val="00A72B84"/>
    <w:rsid w:val="00A72BAA"/>
    <w:rsid w:val="00A7316C"/>
    <w:rsid w:val="00A739E5"/>
    <w:rsid w:val="00A759C8"/>
    <w:rsid w:val="00A80343"/>
    <w:rsid w:val="00A81A21"/>
    <w:rsid w:val="00A82DBB"/>
    <w:rsid w:val="00A84608"/>
    <w:rsid w:val="00A84A7E"/>
    <w:rsid w:val="00A84E73"/>
    <w:rsid w:val="00A86D2A"/>
    <w:rsid w:val="00A9007D"/>
    <w:rsid w:val="00A919E0"/>
    <w:rsid w:val="00A91B21"/>
    <w:rsid w:val="00A92D77"/>
    <w:rsid w:val="00A93905"/>
    <w:rsid w:val="00A93BDC"/>
    <w:rsid w:val="00A94C54"/>
    <w:rsid w:val="00A95FCF"/>
    <w:rsid w:val="00AA0074"/>
    <w:rsid w:val="00AA2243"/>
    <w:rsid w:val="00AA3423"/>
    <w:rsid w:val="00AA359D"/>
    <w:rsid w:val="00AA3B8A"/>
    <w:rsid w:val="00AA3EBF"/>
    <w:rsid w:val="00AA606E"/>
    <w:rsid w:val="00AB0D21"/>
    <w:rsid w:val="00AB104B"/>
    <w:rsid w:val="00AB155D"/>
    <w:rsid w:val="00AB19E8"/>
    <w:rsid w:val="00AB27C4"/>
    <w:rsid w:val="00AB3260"/>
    <w:rsid w:val="00AB3E4A"/>
    <w:rsid w:val="00AB4C7A"/>
    <w:rsid w:val="00AB56DB"/>
    <w:rsid w:val="00AB57F4"/>
    <w:rsid w:val="00AB5A1F"/>
    <w:rsid w:val="00AB5ED6"/>
    <w:rsid w:val="00AC1BC7"/>
    <w:rsid w:val="00AC2169"/>
    <w:rsid w:val="00AC24E8"/>
    <w:rsid w:val="00AC425A"/>
    <w:rsid w:val="00AC4453"/>
    <w:rsid w:val="00AC4B18"/>
    <w:rsid w:val="00AC5A05"/>
    <w:rsid w:val="00AC6528"/>
    <w:rsid w:val="00AC6ED6"/>
    <w:rsid w:val="00AC7B95"/>
    <w:rsid w:val="00AD0D23"/>
    <w:rsid w:val="00AD42A7"/>
    <w:rsid w:val="00AD46E2"/>
    <w:rsid w:val="00AD5055"/>
    <w:rsid w:val="00AD5CC5"/>
    <w:rsid w:val="00AD6108"/>
    <w:rsid w:val="00AD641C"/>
    <w:rsid w:val="00AD717A"/>
    <w:rsid w:val="00AE171F"/>
    <w:rsid w:val="00AE1CC5"/>
    <w:rsid w:val="00AE1D9B"/>
    <w:rsid w:val="00AE3735"/>
    <w:rsid w:val="00AE5C2E"/>
    <w:rsid w:val="00AE7AC8"/>
    <w:rsid w:val="00AF1A1B"/>
    <w:rsid w:val="00AF1DE6"/>
    <w:rsid w:val="00AF2926"/>
    <w:rsid w:val="00AF4702"/>
    <w:rsid w:val="00AF58DD"/>
    <w:rsid w:val="00AF5B9A"/>
    <w:rsid w:val="00AF5FF2"/>
    <w:rsid w:val="00AF6DC7"/>
    <w:rsid w:val="00B007AA"/>
    <w:rsid w:val="00B00C60"/>
    <w:rsid w:val="00B01E4B"/>
    <w:rsid w:val="00B022B3"/>
    <w:rsid w:val="00B03CF8"/>
    <w:rsid w:val="00B03F9D"/>
    <w:rsid w:val="00B0463D"/>
    <w:rsid w:val="00B04DEA"/>
    <w:rsid w:val="00B05DE0"/>
    <w:rsid w:val="00B05F77"/>
    <w:rsid w:val="00B073A9"/>
    <w:rsid w:val="00B10B7E"/>
    <w:rsid w:val="00B10BB1"/>
    <w:rsid w:val="00B1126D"/>
    <w:rsid w:val="00B11BEB"/>
    <w:rsid w:val="00B126A7"/>
    <w:rsid w:val="00B12D16"/>
    <w:rsid w:val="00B131AB"/>
    <w:rsid w:val="00B13F16"/>
    <w:rsid w:val="00B14583"/>
    <w:rsid w:val="00B177EF"/>
    <w:rsid w:val="00B20237"/>
    <w:rsid w:val="00B21125"/>
    <w:rsid w:val="00B22324"/>
    <w:rsid w:val="00B22422"/>
    <w:rsid w:val="00B22E34"/>
    <w:rsid w:val="00B237AA"/>
    <w:rsid w:val="00B23890"/>
    <w:rsid w:val="00B268E8"/>
    <w:rsid w:val="00B307D7"/>
    <w:rsid w:val="00B31CD7"/>
    <w:rsid w:val="00B328BF"/>
    <w:rsid w:val="00B33EB3"/>
    <w:rsid w:val="00B341A9"/>
    <w:rsid w:val="00B37398"/>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91"/>
    <w:rsid w:val="00B54A8D"/>
    <w:rsid w:val="00B567E8"/>
    <w:rsid w:val="00B56948"/>
    <w:rsid w:val="00B576F8"/>
    <w:rsid w:val="00B57D33"/>
    <w:rsid w:val="00B60B04"/>
    <w:rsid w:val="00B6195F"/>
    <w:rsid w:val="00B62C2A"/>
    <w:rsid w:val="00B62E23"/>
    <w:rsid w:val="00B65208"/>
    <w:rsid w:val="00B65403"/>
    <w:rsid w:val="00B6636D"/>
    <w:rsid w:val="00B66569"/>
    <w:rsid w:val="00B67B45"/>
    <w:rsid w:val="00B7082C"/>
    <w:rsid w:val="00B7090F"/>
    <w:rsid w:val="00B70F54"/>
    <w:rsid w:val="00B74AD7"/>
    <w:rsid w:val="00B76DE0"/>
    <w:rsid w:val="00B76E0D"/>
    <w:rsid w:val="00B77445"/>
    <w:rsid w:val="00B77911"/>
    <w:rsid w:val="00B80CE1"/>
    <w:rsid w:val="00B8129E"/>
    <w:rsid w:val="00B81850"/>
    <w:rsid w:val="00B828F6"/>
    <w:rsid w:val="00B82A1D"/>
    <w:rsid w:val="00B82BA7"/>
    <w:rsid w:val="00B8461D"/>
    <w:rsid w:val="00B86CD5"/>
    <w:rsid w:val="00B87730"/>
    <w:rsid w:val="00B87986"/>
    <w:rsid w:val="00B87F88"/>
    <w:rsid w:val="00B923D7"/>
    <w:rsid w:val="00B96267"/>
    <w:rsid w:val="00B9723B"/>
    <w:rsid w:val="00B97E38"/>
    <w:rsid w:val="00BA0150"/>
    <w:rsid w:val="00BA38B7"/>
    <w:rsid w:val="00BA51BC"/>
    <w:rsid w:val="00BA584A"/>
    <w:rsid w:val="00BB0EAA"/>
    <w:rsid w:val="00BB1259"/>
    <w:rsid w:val="00BB23B4"/>
    <w:rsid w:val="00BB2ACA"/>
    <w:rsid w:val="00BB2F3C"/>
    <w:rsid w:val="00BB3627"/>
    <w:rsid w:val="00BB36EB"/>
    <w:rsid w:val="00BB48E0"/>
    <w:rsid w:val="00BB48F4"/>
    <w:rsid w:val="00BB4A65"/>
    <w:rsid w:val="00BB4CC3"/>
    <w:rsid w:val="00BB6555"/>
    <w:rsid w:val="00BB68ED"/>
    <w:rsid w:val="00BB6968"/>
    <w:rsid w:val="00BC0E65"/>
    <w:rsid w:val="00BC2223"/>
    <w:rsid w:val="00BC2BDF"/>
    <w:rsid w:val="00BC2D7F"/>
    <w:rsid w:val="00BC37ED"/>
    <w:rsid w:val="00BC5437"/>
    <w:rsid w:val="00BC564E"/>
    <w:rsid w:val="00BC5919"/>
    <w:rsid w:val="00BC5B33"/>
    <w:rsid w:val="00BC67F1"/>
    <w:rsid w:val="00BC69D7"/>
    <w:rsid w:val="00BC6E1F"/>
    <w:rsid w:val="00BC7D91"/>
    <w:rsid w:val="00BD0144"/>
    <w:rsid w:val="00BD0413"/>
    <w:rsid w:val="00BD0988"/>
    <w:rsid w:val="00BD3314"/>
    <w:rsid w:val="00BD4E3C"/>
    <w:rsid w:val="00BD5F20"/>
    <w:rsid w:val="00BD64D7"/>
    <w:rsid w:val="00BD652A"/>
    <w:rsid w:val="00BD6592"/>
    <w:rsid w:val="00BD6598"/>
    <w:rsid w:val="00BD6D11"/>
    <w:rsid w:val="00BD6D4C"/>
    <w:rsid w:val="00BD7068"/>
    <w:rsid w:val="00BE0C91"/>
    <w:rsid w:val="00BE1409"/>
    <w:rsid w:val="00BE24E7"/>
    <w:rsid w:val="00BE2A62"/>
    <w:rsid w:val="00BE349A"/>
    <w:rsid w:val="00BE3694"/>
    <w:rsid w:val="00BE4DD5"/>
    <w:rsid w:val="00BE740B"/>
    <w:rsid w:val="00BE79E8"/>
    <w:rsid w:val="00BF0216"/>
    <w:rsid w:val="00BF05BE"/>
    <w:rsid w:val="00BF2422"/>
    <w:rsid w:val="00BF4E9D"/>
    <w:rsid w:val="00BF5224"/>
    <w:rsid w:val="00BF550C"/>
    <w:rsid w:val="00BF55B1"/>
    <w:rsid w:val="00BF63E8"/>
    <w:rsid w:val="00BF6ADB"/>
    <w:rsid w:val="00BF6BA6"/>
    <w:rsid w:val="00C003C6"/>
    <w:rsid w:val="00C00410"/>
    <w:rsid w:val="00C00742"/>
    <w:rsid w:val="00C02474"/>
    <w:rsid w:val="00C03378"/>
    <w:rsid w:val="00C04451"/>
    <w:rsid w:val="00C053BA"/>
    <w:rsid w:val="00C0679A"/>
    <w:rsid w:val="00C06FF7"/>
    <w:rsid w:val="00C072B9"/>
    <w:rsid w:val="00C0779C"/>
    <w:rsid w:val="00C07BDB"/>
    <w:rsid w:val="00C07CA4"/>
    <w:rsid w:val="00C10F5A"/>
    <w:rsid w:val="00C114A3"/>
    <w:rsid w:val="00C117C5"/>
    <w:rsid w:val="00C13956"/>
    <w:rsid w:val="00C13D84"/>
    <w:rsid w:val="00C15743"/>
    <w:rsid w:val="00C162AD"/>
    <w:rsid w:val="00C16C9B"/>
    <w:rsid w:val="00C16D42"/>
    <w:rsid w:val="00C17A99"/>
    <w:rsid w:val="00C24316"/>
    <w:rsid w:val="00C26090"/>
    <w:rsid w:val="00C3030F"/>
    <w:rsid w:val="00C30423"/>
    <w:rsid w:val="00C3088C"/>
    <w:rsid w:val="00C32AEE"/>
    <w:rsid w:val="00C32FEC"/>
    <w:rsid w:val="00C33E58"/>
    <w:rsid w:val="00C359A1"/>
    <w:rsid w:val="00C36BAB"/>
    <w:rsid w:val="00C37508"/>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5113"/>
    <w:rsid w:val="00C5690E"/>
    <w:rsid w:val="00C5692C"/>
    <w:rsid w:val="00C5740A"/>
    <w:rsid w:val="00C57506"/>
    <w:rsid w:val="00C57FAB"/>
    <w:rsid w:val="00C60FD8"/>
    <w:rsid w:val="00C61FE2"/>
    <w:rsid w:val="00C63986"/>
    <w:rsid w:val="00C640F5"/>
    <w:rsid w:val="00C65BD7"/>
    <w:rsid w:val="00C662DF"/>
    <w:rsid w:val="00C670B3"/>
    <w:rsid w:val="00C701D1"/>
    <w:rsid w:val="00C70352"/>
    <w:rsid w:val="00C71E29"/>
    <w:rsid w:val="00C7327A"/>
    <w:rsid w:val="00C7376E"/>
    <w:rsid w:val="00C743CF"/>
    <w:rsid w:val="00C74CF1"/>
    <w:rsid w:val="00C75A77"/>
    <w:rsid w:val="00C76A6E"/>
    <w:rsid w:val="00C81C15"/>
    <w:rsid w:val="00C821BE"/>
    <w:rsid w:val="00C83B21"/>
    <w:rsid w:val="00C84245"/>
    <w:rsid w:val="00C8613C"/>
    <w:rsid w:val="00C86B26"/>
    <w:rsid w:val="00C86E3E"/>
    <w:rsid w:val="00C9030D"/>
    <w:rsid w:val="00C9094E"/>
    <w:rsid w:val="00C90E8A"/>
    <w:rsid w:val="00C911F1"/>
    <w:rsid w:val="00C91BAE"/>
    <w:rsid w:val="00C91E06"/>
    <w:rsid w:val="00C92FCB"/>
    <w:rsid w:val="00C937E5"/>
    <w:rsid w:val="00C93AFA"/>
    <w:rsid w:val="00C94465"/>
    <w:rsid w:val="00C94987"/>
    <w:rsid w:val="00C94E7B"/>
    <w:rsid w:val="00C9514F"/>
    <w:rsid w:val="00C95604"/>
    <w:rsid w:val="00C96595"/>
    <w:rsid w:val="00C96CB1"/>
    <w:rsid w:val="00CA0D8A"/>
    <w:rsid w:val="00CA16AF"/>
    <w:rsid w:val="00CA3625"/>
    <w:rsid w:val="00CA3DC4"/>
    <w:rsid w:val="00CA4058"/>
    <w:rsid w:val="00CA4888"/>
    <w:rsid w:val="00CA49F7"/>
    <w:rsid w:val="00CA4A88"/>
    <w:rsid w:val="00CA54EE"/>
    <w:rsid w:val="00CB0300"/>
    <w:rsid w:val="00CB136F"/>
    <w:rsid w:val="00CB17A6"/>
    <w:rsid w:val="00CB49AB"/>
    <w:rsid w:val="00CB4A1B"/>
    <w:rsid w:val="00CB50C4"/>
    <w:rsid w:val="00CB603F"/>
    <w:rsid w:val="00CB7196"/>
    <w:rsid w:val="00CB774E"/>
    <w:rsid w:val="00CC00C9"/>
    <w:rsid w:val="00CC02F6"/>
    <w:rsid w:val="00CC06A0"/>
    <w:rsid w:val="00CC1F0A"/>
    <w:rsid w:val="00CC240B"/>
    <w:rsid w:val="00CC2733"/>
    <w:rsid w:val="00CC33B3"/>
    <w:rsid w:val="00CC375D"/>
    <w:rsid w:val="00CC72D7"/>
    <w:rsid w:val="00CC7D6A"/>
    <w:rsid w:val="00CD0653"/>
    <w:rsid w:val="00CD1168"/>
    <w:rsid w:val="00CD15EE"/>
    <w:rsid w:val="00CD160B"/>
    <w:rsid w:val="00CD1CA9"/>
    <w:rsid w:val="00CD1EF2"/>
    <w:rsid w:val="00CD222E"/>
    <w:rsid w:val="00CD2C29"/>
    <w:rsid w:val="00CD2D4A"/>
    <w:rsid w:val="00CD4173"/>
    <w:rsid w:val="00CD4760"/>
    <w:rsid w:val="00CD6297"/>
    <w:rsid w:val="00CD6635"/>
    <w:rsid w:val="00CD674A"/>
    <w:rsid w:val="00CD685D"/>
    <w:rsid w:val="00CD6B80"/>
    <w:rsid w:val="00CE077E"/>
    <w:rsid w:val="00CE1B9C"/>
    <w:rsid w:val="00CE2743"/>
    <w:rsid w:val="00CE2B91"/>
    <w:rsid w:val="00CE4492"/>
    <w:rsid w:val="00CE49FB"/>
    <w:rsid w:val="00CE598E"/>
    <w:rsid w:val="00CE6389"/>
    <w:rsid w:val="00CE7BBB"/>
    <w:rsid w:val="00CF026E"/>
    <w:rsid w:val="00CF1100"/>
    <w:rsid w:val="00CF11EC"/>
    <w:rsid w:val="00CF1AB4"/>
    <w:rsid w:val="00CF45BA"/>
    <w:rsid w:val="00CF7CA5"/>
    <w:rsid w:val="00D02338"/>
    <w:rsid w:val="00D0440D"/>
    <w:rsid w:val="00D053C7"/>
    <w:rsid w:val="00D05492"/>
    <w:rsid w:val="00D05AFD"/>
    <w:rsid w:val="00D06934"/>
    <w:rsid w:val="00D06942"/>
    <w:rsid w:val="00D07DB9"/>
    <w:rsid w:val="00D07EE8"/>
    <w:rsid w:val="00D10B40"/>
    <w:rsid w:val="00D12877"/>
    <w:rsid w:val="00D132C5"/>
    <w:rsid w:val="00D15C23"/>
    <w:rsid w:val="00D15C3C"/>
    <w:rsid w:val="00D169C0"/>
    <w:rsid w:val="00D17613"/>
    <w:rsid w:val="00D20109"/>
    <w:rsid w:val="00D20779"/>
    <w:rsid w:val="00D224DB"/>
    <w:rsid w:val="00D23FD7"/>
    <w:rsid w:val="00D2425F"/>
    <w:rsid w:val="00D25025"/>
    <w:rsid w:val="00D26ADC"/>
    <w:rsid w:val="00D30CB1"/>
    <w:rsid w:val="00D3160C"/>
    <w:rsid w:val="00D32FC2"/>
    <w:rsid w:val="00D33928"/>
    <w:rsid w:val="00D33E30"/>
    <w:rsid w:val="00D340E0"/>
    <w:rsid w:val="00D35E52"/>
    <w:rsid w:val="00D35F0A"/>
    <w:rsid w:val="00D3619E"/>
    <w:rsid w:val="00D36274"/>
    <w:rsid w:val="00D3685A"/>
    <w:rsid w:val="00D3754F"/>
    <w:rsid w:val="00D4118C"/>
    <w:rsid w:val="00D422FD"/>
    <w:rsid w:val="00D43B4D"/>
    <w:rsid w:val="00D455BC"/>
    <w:rsid w:val="00D4572F"/>
    <w:rsid w:val="00D46A7A"/>
    <w:rsid w:val="00D475A1"/>
    <w:rsid w:val="00D47865"/>
    <w:rsid w:val="00D47D13"/>
    <w:rsid w:val="00D511EB"/>
    <w:rsid w:val="00D51958"/>
    <w:rsid w:val="00D536C5"/>
    <w:rsid w:val="00D54BAC"/>
    <w:rsid w:val="00D5539C"/>
    <w:rsid w:val="00D55858"/>
    <w:rsid w:val="00D5619C"/>
    <w:rsid w:val="00D56439"/>
    <w:rsid w:val="00D56DCC"/>
    <w:rsid w:val="00D56E70"/>
    <w:rsid w:val="00D56F7A"/>
    <w:rsid w:val="00D5708A"/>
    <w:rsid w:val="00D60714"/>
    <w:rsid w:val="00D60C6F"/>
    <w:rsid w:val="00D60C97"/>
    <w:rsid w:val="00D61588"/>
    <w:rsid w:val="00D61EF1"/>
    <w:rsid w:val="00D62A11"/>
    <w:rsid w:val="00D63101"/>
    <w:rsid w:val="00D63B14"/>
    <w:rsid w:val="00D63E0A"/>
    <w:rsid w:val="00D64361"/>
    <w:rsid w:val="00D6473D"/>
    <w:rsid w:val="00D64838"/>
    <w:rsid w:val="00D65FCD"/>
    <w:rsid w:val="00D67530"/>
    <w:rsid w:val="00D67709"/>
    <w:rsid w:val="00D67F41"/>
    <w:rsid w:val="00D70DB6"/>
    <w:rsid w:val="00D72AC1"/>
    <w:rsid w:val="00D73735"/>
    <w:rsid w:val="00D74927"/>
    <w:rsid w:val="00D74E8E"/>
    <w:rsid w:val="00D75483"/>
    <w:rsid w:val="00D77526"/>
    <w:rsid w:val="00D77A92"/>
    <w:rsid w:val="00D77FA8"/>
    <w:rsid w:val="00D81E36"/>
    <w:rsid w:val="00D82D56"/>
    <w:rsid w:val="00D8339E"/>
    <w:rsid w:val="00D8390C"/>
    <w:rsid w:val="00D83C22"/>
    <w:rsid w:val="00D85109"/>
    <w:rsid w:val="00D859E2"/>
    <w:rsid w:val="00D86D26"/>
    <w:rsid w:val="00D87553"/>
    <w:rsid w:val="00D901A0"/>
    <w:rsid w:val="00D9069A"/>
    <w:rsid w:val="00D914F0"/>
    <w:rsid w:val="00D91D21"/>
    <w:rsid w:val="00D92911"/>
    <w:rsid w:val="00D92992"/>
    <w:rsid w:val="00D94460"/>
    <w:rsid w:val="00D94EBE"/>
    <w:rsid w:val="00D960E8"/>
    <w:rsid w:val="00D97576"/>
    <w:rsid w:val="00D97C50"/>
    <w:rsid w:val="00DA043C"/>
    <w:rsid w:val="00DA05D8"/>
    <w:rsid w:val="00DA0872"/>
    <w:rsid w:val="00DA164C"/>
    <w:rsid w:val="00DA2A39"/>
    <w:rsid w:val="00DA2F2B"/>
    <w:rsid w:val="00DA3445"/>
    <w:rsid w:val="00DA3819"/>
    <w:rsid w:val="00DA4208"/>
    <w:rsid w:val="00DA4418"/>
    <w:rsid w:val="00DA5420"/>
    <w:rsid w:val="00DA6A95"/>
    <w:rsid w:val="00DA71FE"/>
    <w:rsid w:val="00DA7777"/>
    <w:rsid w:val="00DB0FB5"/>
    <w:rsid w:val="00DB2B95"/>
    <w:rsid w:val="00DB4883"/>
    <w:rsid w:val="00DC01C1"/>
    <w:rsid w:val="00DC25AA"/>
    <w:rsid w:val="00DC262C"/>
    <w:rsid w:val="00DC29C0"/>
    <w:rsid w:val="00DC2FF6"/>
    <w:rsid w:val="00DC398C"/>
    <w:rsid w:val="00DC3C41"/>
    <w:rsid w:val="00DC3E32"/>
    <w:rsid w:val="00DC4B8E"/>
    <w:rsid w:val="00DC57BF"/>
    <w:rsid w:val="00DC797F"/>
    <w:rsid w:val="00DC7A07"/>
    <w:rsid w:val="00DC7C2A"/>
    <w:rsid w:val="00DD0038"/>
    <w:rsid w:val="00DD0194"/>
    <w:rsid w:val="00DD0B56"/>
    <w:rsid w:val="00DD3981"/>
    <w:rsid w:val="00DD451B"/>
    <w:rsid w:val="00DE02F3"/>
    <w:rsid w:val="00DE15F4"/>
    <w:rsid w:val="00DE1674"/>
    <w:rsid w:val="00DE5335"/>
    <w:rsid w:val="00DE5DC5"/>
    <w:rsid w:val="00DE77D3"/>
    <w:rsid w:val="00DE7D88"/>
    <w:rsid w:val="00DF060D"/>
    <w:rsid w:val="00DF33A0"/>
    <w:rsid w:val="00DF42D8"/>
    <w:rsid w:val="00DF530E"/>
    <w:rsid w:val="00DF768B"/>
    <w:rsid w:val="00E006C8"/>
    <w:rsid w:val="00E01247"/>
    <w:rsid w:val="00E01841"/>
    <w:rsid w:val="00E02272"/>
    <w:rsid w:val="00E02A4B"/>
    <w:rsid w:val="00E032B1"/>
    <w:rsid w:val="00E0350D"/>
    <w:rsid w:val="00E03971"/>
    <w:rsid w:val="00E03E4C"/>
    <w:rsid w:val="00E047C6"/>
    <w:rsid w:val="00E057C4"/>
    <w:rsid w:val="00E05AFB"/>
    <w:rsid w:val="00E11245"/>
    <w:rsid w:val="00E129DD"/>
    <w:rsid w:val="00E12A13"/>
    <w:rsid w:val="00E12A8C"/>
    <w:rsid w:val="00E1404C"/>
    <w:rsid w:val="00E14623"/>
    <w:rsid w:val="00E15E69"/>
    <w:rsid w:val="00E16003"/>
    <w:rsid w:val="00E16CB0"/>
    <w:rsid w:val="00E173A8"/>
    <w:rsid w:val="00E212C2"/>
    <w:rsid w:val="00E215F9"/>
    <w:rsid w:val="00E21EB2"/>
    <w:rsid w:val="00E230D9"/>
    <w:rsid w:val="00E248C4"/>
    <w:rsid w:val="00E24D09"/>
    <w:rsid w:val="00E26CD2"/>
    <w:rsid w:val="00E26F4C"/>
    <w:rsid w:val="00E30155"/>
    <w:rsid w:val="00E307AC"/>
    <w:rsid w:val="00E308C9"/>
    <w:rsid w:val="00E30F3A"/>
    <w:rsid w:val="00E31DEC"/>
    <w:rsid w:val="00E31F7B"/>
    <w:rsid w:val="00E3252B"/>
    <w:rsid w:val="00E32947"/>
    <w:rsid w:val="00E32EBE"/>
    <w:rsid w:val="00E33902"/>
    <w:rsid w:val="00E35968"/>
    <w:rsid w:val="00E4090A"/>
    <w:rsid w:val="00E40B5A"/>
    <w:rsid w:val="00E42488"/>
    <w:rsid w:val="00E438FF"/>
    <w:rsid w:val="00E451DD"/>
    <w:rsid w:val="00E45EDA"/>
    <w:rsid w:val="00E45F2A"/>
    <w:rsid w:val="00E4672C"/>
    <w:rsid w:val="00E474B0"/>
    <w:rsid w:val="00E503ED"/>
    <w:rsid w:val="00E509D8"/>
    <w:rsid w:val="00E5123D"/>
    <w:rsid w:val="00E520BC"/>
    <w:rsid w:val="00E52B65"/>
    <w:rsid w:val="00E53821"/>
    <w:rsid w:val="00E53964"/>
    <w:rsid w:val="00E540CD"/>
    <w:rsid w:val="00E54461"/>
    <w:rsid w:val="00E5546D"/>
    <w:rsid w:val="00E5567A"/>
    <w:rsid w:val="00E5587E"/>
    <w:rsid w:val="00E57BD0"/>
    <w:rsid w:val="00E6032A"/>
    <w:rsid w:val="00E60365"/>
    <w:rsid w:val="00E60FE5"/>
    <w:rsid w:val="00E61A92"/>
    <w:rsid w:val="00E640F8"/>
    <w:rsid w:val="00E64FC2"/>
    <w:rsid w:val="00E65037"/>
    <w:rsid w:val="00E66B42"/>
    <w:rsid w:val="00E67DD3"/>
    <w:rsid w:val="00E7013A"/>
    <w:rsid w:val="00E70CEA"/>
    <w:rsid w:val="00E713DA"/>
    <w:rsid w:val="00E73932"/>
    <w:rsid w:val="00E7425F"/>
    <w:rsid w:val="00E7468A"/>
    <w:rsid w:val="00E74812"/>
    <w:rsid w:val="00E74E14"/>
    <w:rsid w:val="00E758D4"/>
    <w:rsid w:val="00E76E16"/>
    <w:rsid w:val="00E77A1D"/>
    <w:rsid w:val="00E77CA6"/>
    <w:rsid w:val="00E80375"/>
    <w:rsid w:val="00E80DE4"/>
    <w:rsid w:val="00E80EA4"/>
    <w:rsid w:val="00E82345"/>
    <w:rsid w:val="00E831EA"/>
    <w:rsid w:val="00E83498"/>
    <w:rsid w:val="00E83C9B"/>
    <w:rsid w:val="00E862C4"/>
    <w:rsid w:val="00E86EBE"/>
    <w:rsid w:val="00E8768D"/>
    <w:rsid w:val="00E9204D"/>
    <w:rsid w:val="00E9228A"/>
    <w:rsid w:val="00E94CA6"/>
    <w:rsid w:val="00E94F78"/>
    <w:rsid w:val="00E96000"/>
    <w:rsid w:val="00E976F6"/>
    <w:rsid w:val="00E9776D"/>
    <w:rsid w:val="00E97E45"/>
    <w:rsid w:val="00EA000A"/>
    <w:rsid w:val="00EA06E0"/>
    <w:rsid w:val="00EA1143"/>
    <w:rsid w:val="00EA162E"/>
    <w:rsid w:val="00EA3AB3"/>
    <w:rsid w:val="00EA4D94"/>
    <w:rsid w:val="00EA4ECB"/>
    <w:rsid w:val="00EA6C95"/>
    <w:rsid w:val="00EB0897"/>
    <w:rsid w:val="00EB18FE"/>
    <w:rsid w:val="00EB1AAB"/>
    <w:rsid w:val="00EB1B49"/>
    <w:rsid w:val="00EB201A"/>
    <w:rsid w:val="00EB2584"/>
    <w:rsid w:val="00EB3871"/>
    <w:rsid w:val="00EB47BA"/>
    <w:rsid w:val="00EB5309"/>
    <w:rsid w:val="00EB54F3"/>
    <w:rsid w:val="00EB6031"/>
    <w:rsid w:val="00EB674E"/>
    <w:rsid w:val="00EC14C2"/>
    <w:rsid w:val="00EC36AB"/>
    <w:rsid w:val="00EC3700"/>
    <w:rsid w:val="00EC43E4"/>
    <w:rsid w:val="00EC4730"/>
    <w:rsid w:val="00EC6CCE"/>
    <w:rsid w:val="00EC6FEB"/>
    <w:rsid w:val="00EC744F"/>
    <w:rsid w:val="00EC7CB9"/>
    <w:rsid w:val="00ED0120"/>
    <w:rsid w:val="00ED07BB"/>
    <w:rsid w:val="00ED095E"/>
    <w:rsid w:val="00ED0A66"/>
    <w:rsid w:val="00ED237A"/>
    <w:rsid w:val="00ED2585"/>
    <w:rsid w:val="00ED2C44"/>
    <w:rsid w:val="00ED2E25"/>
    <w:rsid w:val="00ED3645"/>
    <w:rsid w:val="00ED3A9C"/>
    <w:rsid w:val="00ED4152"/>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22F6"/>
    <w:rsid w:val="00EF28EC"/>
    <w:rsid w:val="00EF327E"/>
    <w:rsid w:val="00EF3B97"/>
    <w:rsid w:val="00EF4D9E"/>
    <w:rsid w:val="00EF538A"/>
    <w:rsid w:val="00EF5AB0"/>
    <w:rsid w:val="00EF5EA0"/>
    <w:rsid w:val="00EF5F06"/>
    <w:rsid w:val="00F00495"/>
    <w:rsid w:val="00F01CB2"/>
    <w:rsid w:val="00F01E43"/>
    <w:rsid w:val="00F03802"/>
    <w:rsid w:val="00F03921"/>
    <w:rsid w:val="00F04236"/>
    <w:rsid w:val="00F04E65"/>
    <w:rsid w:val="00F064E2"/>
    <w:rsid w:val="00F10456"/>
    <w:rsid w:val="00F11D1E"/>
    <w:rsid w:val="00F1298D"/>
    <w:rsid w:val="00F1354F"/>
    <w:rsid w:val="00F13FED"/>
    <w:rsid w:val="00F1452A"/>
    <w:rsid w:val="00F14958"/>
    <w:rsid w:val="00F15891"/>
    <w:rsid w:val="00F17BBA"/>
    <w:rsid w:val="00F200A4"/>
    <w:rsid w:val="00F200EA"/>
    <w:rsid w:val="00F207B2"/>
    <w:rsid w:val="00F21828"/>
    <w:rsid w:val="00F22664"/>
    <w:rsid w:val="00F22922"/>
    <w:rsid w:val="00F24D6C"/>
    <w:rsid w:val="00F251E9"/>
    <w:rsid w:val="00F25211"/>
    <w:rsid w:val="00F254E5"/>
    <w:rsid w:val="00F26AA7"/>
    <w:rsid w:val="00F272A5"/>
    <w:rsid w:val="00F32483"/>
    <w:rsid w:val="00F34189"/>
    <w:rsid w:val="00F35207"/>
    <w:rsid w:val="00F3560B"/>
    <w:rsid w:val="00F35D7E"/>
    <w:rsid w:val="00F3720E"/>
    <w:rsid w:val="00F374C3"/>
    <w:rsid w:val="00F43BB5"/>
    <w:rsid w:val="00F43C4E"/>
    <w:rsid w:val="00F458FA"/>
    <w:rsid w:val="00F45B28"/>
    <w:rsid w:val="00F4632A"/>
    <w:rsid w:val="00F469CA"/>
    <w:rsid w:val="00F500E0"/>
    <w:rsid w:val="00F508C6"/>
    <w:rsid w:val="00F51F87"/>
    <w:rsid w:val="00F5265D"/>
    <w:rsid w:val="00F54501"/>
    <w:rsid w:val="00F54B9D"/>
    <w:rsid w:val="00F550E4"/>
    <w:rsid w:val="00F563F5"/>
    <w:rsid w:val="00F57F49"/>
    <w:rsid w:val="00F57F79"/>
    <w:rsid w:val="00F607E4"/>
    <w:rsid w:val="00F61179"/>
    <w:rsid w:val="00F625DC"/>
    <w:rsid w:val="00F64C9E"/>
    <w:rsid w:val="00F66501"/>
    <w:rsid w:val="00F71B34"/>
    <w:rsid w:val="00F72560"/>
    <w:rsid w:val="00F72E79"/>
    <w:rsid w:val="00F7414C"/>
    <w:rsid w:val="00F7534E"/>
    <w:rsid w:val="00F7605B"/>
    <w:rsid w:val="00F77A66"/>
    <w:rsid w:val="00F803DB"/>
    <w:rsid w:val="00F80A17"/>
    <w:rsid w:val="00F81909"/>
    <w:rsid w:val="00F83821"/>
    <w:rsid w:val="00F85950"/>
    <w:rsid w:val="00F87E70"/>
    <w:rsid w:val="00F908DA"/>
    <w:rsid w:val="00F949D8"/>
    <w:rsid w:val="00F9610C"/>
    <w:rsid w:val="00F96A1F"/>
    <w:rsid w:val="00F97D28"/>
    <w:rsid w:val="00FA0619"/>
    <w:rsid w:val="00FA11B6"/>
    <w:rsid w:val="00FA3909"/>
    <w:rsid w:val="00FA401E"/>
    <w:rsid w:val="00FA40ED"/>
    <w:rsid w:val="00FA4A00"/>
    <w:rsid w:val="00FA4BC6"/>
    <w:rsid w:val="00FA4F52"/>
    <w:rsid w:val="00FA5224"/>
    <w:rsid w:val="00FA540D"/>
    <w:rsid w:val="00FA5469"/>
    <w:rsid w:val="00FA6B3B"/>
    <w:rsid w:val="00FA6D2D"/>
    <w:rsid w:val="00FA6E99"/>
    <w:rsid w:val="00FB445D"/>
    <w:rsid w:val="00FB55A1"/>
    <w:rsid w:val="00FB6C93"/>
    <w:rsid w:val="00FB7969"/>
    <w:rsid w:val="00FB7DEC"/>
    <w:rsid w:val="00FC2AD6"/>
    <w:rsid w:val="00FC2C59"/>
    <w:rsid w:val="00FC42B4"/>
    <w:rsid w:val="00FC5175"/>
    <w:rsid w:val="00FC52F4"/>
    <w:rsid w:val="00FC79D8"/>
    <w:rsid w:val="00FC7E65"/>
    <w:rsid w:val="00FD0288"/>
    <w:rsid w:val="00FD06EA"/>
    <w:rsid w:val="00FD1ED9"/>
    <w:rsid w:val="00FD1F6D"/>
    <w:rsid w:val="00FD1FA7"/>
    <w:rsid w:val="00FD6BF2"/>
    <w:rsid w:val="00FE0579"/>
    <w:rsid w:val="00FE073A"/>
    <w:rsid w:val="00FE0E3E"/>
    <w:rsid w:val="00FE2031"/>
    <w:rsid w:val="00FE231F"/>
    <w:rsid w:val="00FE2354"/>
    <w:rsid w:val="00FE2D10"/>
    <w:rsid w:val="00FE37FF"/>
    <w:rsid w:val="00FE436E"/>
    <w:rsid w:val="00FE44F8"/>
    <w:rsid w:val="00FE4588"/>
    <w:rsid w:val="00FE5098"/>
    <w:rsid w:val="00FE56A9"/>
    <w:rsid w:val="00FE6204"/>
    <w:rsid w:val="00FE6228"/>
    <w:rsid w:val="00FE645C"/>
    <w:rsid w:val="00FE67BA"/>
    <w:rsid w:val="00FE6EE9"/>
    <w:rsid w:val="00FE757F"/>
    <w:rsid w:val="00FF0EDC"/>
    <w:rsid w:val="00FF170A"/>
    <w:rsid w:val="00FF219D"/>
    <w:rsid w:val="00FF23AB"/>
    <w:rsid w:val="00FF3A71"/>
    <w:rsid w:val="00FF42B4"/>
    <w:rsid w:val="00FF449F"/>
    <w:rsid w:val="00FF5CBF"/>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B3AAB7B"/>
  <w15:docId w15:val="{D523EA5E-47FD-47B1-B2AC-6B750BD1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semiHidden/>
    <w:unhideWhenUsed/>
    <w:rsid w:val="00270F41"/>
    <w:rPr>
      <w:sz w:val="20"/>
      <w:szCs w:val="20"/>
    </w:rPr>
  </w:style>
  <w:style w:type="character" w:customStyle="1" w:styleId="CommentTextChar">
    <w:name w:val="Comment Text Char"/>
    <w:basedOn w:val="DefaultParagraphFont"/>
    <w:link w:val="CommentText"/>
    <w:uiPriority w:val="99"/>
    <w:semiHidden/>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ducation.gov.au/itac" TargetMode="Externa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E7769D90</Template>
  <TotalTime>39</TotalTime>
  <Pages>8</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Fenwick, Robyn</cp:lastModifiedBy>
  <cp:revision>11</cp:revision>
  <cp:lastPrinted>2016-09-14T05:03:00Z</cp:lastPrinted>
  <dcterms:created xsi:type="dcterms:W3CDTF">2016-09-07T23:28:00Z</dcterms:created>
  <dcterms:modified xsi:type="dcterms:W3CDTF">2016-09-14T05:04:00Z</dcterms:modified>
</cp:coreProperties>
</file>