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F4B" w:rsidRPr="00E61704" w:rsidRDefault="00031F4B" w:rsidP="00031F4B">
      <w:pPr>
        <w:ind w:left="284"/>
        <w:jc w:val="center"/>
        <w:rPr>
          <w:b/>
          <w:szCs w:val="24"/>
          <w:u w:val="single"/>
        </w:rPr>
      </w:pPr>
      <w:r>
        <w:rPr>
          <w:b/>
          <w:szCs w:val="24"/>
          <w:u w:val="single"/>
        </w:rPr>
        <w:t>EXPLANATORY STATEMENT</w:t>
      </w:r>
    </w:p>
    <w:p w:rsidR="00031F4B" w:rsidRPr="00B03BE4" w:rsidRDefault="00031F4B" w:rsidP="00031F4B">
      <w:pPr>
        <w:jc w:val="center"/>
        <w:rPr>
          <w:b/>
        </w:rPr>
      </w:pPr>
    </w:p>
    <w:p w:rsidR="00031F4B" w:rsidRDefault="00031F4B" w:rsidP="00031F4B">
      <w:pPr>
        <w:spacing w:after="120"/>
        <w:rPr>
          <w:i/>
        </w:rPr>
      </w:pPr>
    </w:p>
    <w:p w:rsidR="00031F4B" w:rsidRPr="00B03BE4" w:rsidRDefault="00B57A04" w:rsidP="00031F4B">
      <w:pPr>
        <w:spacing w:after="120"/>
        <w:jc w:val="center"/>
        <w:rPr>
          <w:i/>
        </w:rPr>
      </w:pPr>
      <w:r>
        <w:rPr>
          <w:i/>
        </w:rPr>
        <w:t>National Health Security Act 2007</w:t>
      </w:r>
    </w:p>
    <w:p w:rsidR="00031F4B" w:rsidRDefault="00031F4B" w:rsidP="00031F4B">
      <w:pPr>
        <w:pStyle w:val="ShortT"/>
        <w:jc w:val="center"/>
        <w:rPr>
          <w:b w:val="0"/>
          <w:i/>
          <w:sz w:val="24"/>
          <w:szCs w:val="24"/>
        </w:rPr>
      </w:pPr>
    </w:p>
    <w:p w:rsidR="00B57A04" w:rsidRPr="00B57A04" w:rsidRDefault="00B57A04" w:rsidP="00B57A04">
      <w:pPr>
        <w:spacing w:after="120"/>
        <w:jc w:val="center"/>
        <w:rPr>
          <w:i/>
        </w:rPr>
      </w:pPr>
      <w:r w:rsidRPr="00B57A04">
        <w:rPr>
          <w:i/>
        </w:rPr>
        <w:t>National Health Security (National Notifiable Disease List) Amendment Instrument 201</w:t>
      </w:r>
      <w:r w:rsidR="003C199E">
        <w:rPr>
          <w:i/>
        </w:rPr>
        <w:t>6</w:t>
      </w:r>
      <w:r w:rsidR="000B7648">
        <w:rPr>
          <w:i/>
        </w:rPr>
        <w:t xml:space="preserve"> (No. 1)</w:t>
      </w:r>
    </w:p>
    <w:p w:rsidR="006B70D4" w:rsidRPr="00155A04" w:rsidRDefault="006B70D4" w:rsidP="002F31CC">
      <w:pPr>
        <w:spacing w:before="100" w:beforeAutospacing="1" w:after="100" w:afterAutospacing="1"/>
        <w:rPr>
          <w:b/>
          <w:szCs w:val="24"/>
        </w:rPr>
      </w:pPr>
      <w:r>
        <w:rPr>
          <w:b/>
          <w:szCs w:val="24"/>
        </w:rPr>
        <w:t>Authority</w:t>
      </w:r>
    </w:p>
    <w:p w:rsidR="002F31CC" w:rsidRPr="00030FE0" w:rsidRDefault="00745173" w:rsidP="00155A04">
      <w:pPr>
        <w:tabs>
          <w:tab w:val="right" w:pos="8080"/>
        </w:tabs>
        <w:rPr>
          <w:szCs w:val="24"/>
        </w:rPr>
      </w:pPr>
      <w:r>
        <w:t>Subs</w:t>
      </w:r>
      <w:r w:rsidR="000540E6" w:rsidRPr="001353A1">
        <w:t>ection 11</w:t>
      </w:r>
      <w:r w:rsidR="006064CE">
        <w:t xml:space="preserve">(1) </w:t>
      </w:r>
      <w:r w:rsidR="000540E6" w:rsidRPr="001353A1">
        <w:t>of the</w:t>
      </w:r>
      <w:r w:rsidR="000540E6">
        <w:t xml:space="preserve"> </w:t>
      </w:r>
      <w:r w:rsidR="000540E6" w:rsidRPr="001353A1">
        <w:rPr>
          <w:i/>
        </w:rPr>
        <w:t>National Health Security Act 2007</w:t>
      </w:r>
      <w:r w:rsidR="006064CE">
        <w:rPr>
          <w:i/>
        </w:rPr>
        <w:t xml:space="preserve"> </w:t>
      </w:r>
      <w:r w:rsidR="00475955">
        <w:t xml:space="preserve">(the Act) </w:t>
      </w:r>
      <w:r w:rsidR="006064CE">
        <w:t>provides that the Minister must, by legislative instrument,</w:t>
      </w:r>
      <w:r w:rsidR="00623049">
        <w:t xml:space="preserve"> establish </w:t>
      </w:r>
      <w:r w:rsidR="006064CE">
        <w:t>a list of diseases</w:t>
      </w:r>
      <w:r w:rsidR="00466C7E">
        <w:t>, to be called t</w:t>
      </w:r>
      <w:r w:rsidR="00466C7E" w:rsidRPr="00030FE0">
        <w:rPr>
          <w:szCs w:val="24"/>
        </w:rPr>
        <w:t xml:space="preserve">he </w:t>
      </w:r>
      <w:r w:rsidR="00466C7E">
        <w:rPr>
          <w:szCs w:val="24"/>
        </w:rPr>
        <w:t>National Notifiable Disease List (</w:t>
      </w:r>
      <w:r w:rsidR="00466C7E" w:rsidRPr="00030FE0">
        <w:rPr>
          <w:szCs w:val="24"/>
        </w:rPr>
        <w:t>NNDL</w:t>
      </w:r>
      <w:r w:rsidR="00466C7E">
        <w:rPr>
          <w:szCs w:val="24"/>
        </w:rPr>
        <w:t>).  S</w:t>
      </w:r>
      <w:r>
        <w:rPr>
          <w:szCs w:val="24"/>
        </w:rPr>
        <w:t>ubs</w:t>
      </w:r>
      <w:r w:rsidR="00466C7E">
        <w:rPr>
          <w:szCs w:val="24"/>
        </w:rPr>
        <w:t xml:space="preserve">ection 11(3) provides that the Minister may vary the </w:t>
      </w:r>
      <w:r w:rsidR="002F31CC" w:rsidRPr="00030FE0">
        <w:rPr>
          <w:szCs w:val="24"/>
        </w:rPr>
        <w:t xml:space="preserve">NNDL by adding </w:t>
      </w:r>
      <w:r w:rsidR="00EA5B9F">
        <w:rPr>
          <w:szCs w:val="24"/>
        </w:rPr>
        <w:t>or removing a disease in certain circumstances</w:t>
      </w:r>
      <w:r w:rsidR="002F31CC" w:rsidRPr="00030FE0">
        <w:rPr>
          <w:szCs w:val="24"/>
        </w:rPr>
        <w:t xml:space="preserve">. </w:t>
      </w:r>
    </w:p>
    <w:p w:rsidR="00FB2F55" w:rsidRPr="00FB2F55" w:rsidRDefault="00FB2F55" w:rsidP="00FB2F55">
      <w:pPr>
        <w:spacing w:before="100" w:beforeAutospacing="1" w:after="100" w:afterAutospacing="1"/>
        <w:rPr>
          <w:szCs w:val="24"/>
          <w:u w:val="single"/>
        </w:rPr>
      </w:pPr>
      <w:r w:rsidRPr="00155A04">
        <w:rPr>
          <w:b/>
          <w:szCs w:val="24"/>
        </w:rPr>
        <w:t>Purpose</w:t>
      </w:r>
    </w:p>
    <w:p w:rsidR="00FB2F55" w:rsidRDefault="00FB2F55" w:rsidP="00FB2F55">
      <w:pPr>
        <w:spacing w:line="260" w:lineRule="exact"/>
        <w:rPr>
          <w:szCs w:val="24"/>
        </w:rPr>
      </w:pPr>
      <w:r>
        <w:rPr>
          <w:szCs w:val="24"/>
        </w:rPr>
        <w:t>T</w:t>
      </w:r>
      <w:r w:rsidRPr="00B73954">
        <w:rPr>
          <w:szCs w:val="24"/>
        </w:rPr>
        <w:t>h</w:t>
      </w:r>
      <w:r w:rsidR="002015A6">
        <w:rPr>
          <w:szCs w:val="24"/>
        </w:rPr>
        <w:t xml:space="preserve">e </w:t>
      </w:r>
      <w:r w:rsidR="002015A6">
        <w:rPr>
          <w:i/>
          <w:szCs w:val="24"/>
        </w:rPr>
        <w:t>National Health Security (National Notifiable Disease List) Amendment Instrument 201</w:t>
      </w:r>
      <w:r w:rsidR="003C199E">
        <w:rPr>
          <w:i/>
          <w:szCs w:val="24"/>
        </w:rPr>
        <w:t>6</w:t>
      </w:r>
      <w:r w:rsidR="002015A6">
        <w:rPr>
          <w:i/>
          <w:szCs w:val="24"/>
        </w:rPr>
        <w:t xml:space="preserve"> (No. 1)</w:t>
      </w:r>
      <w:r w:rsidRPr="00B73954">
        <w:rPr>
          <w:szCs w:val="24"/>
        </w:rPr>
        <w:t xml:space="preserve"> </w:t>
      </w:r>
      <w:r w:rsidR="006F5470">
        <w:rPr>
          <w:szCs w:val="24"/>
        </w:rPr>
        <w:t>makes</w:t>
      </w:r>
      <w:r w:rsidRPr="00B73954">
        <w:rPr>
          <w:szCs w:val="24"/>
        </w:rPr>
        <w:t xml:space="preserve"> </w:t>
      </w:r>
      <w:r w:rsidR="003C199E">
        <w:rPr>
          <w:szCs w:val="24"/>
        </w:rPr>
        <w:t>three</w:t>
      </w:r>
      <w:r w:rsidRPr="00B73954">
        <w:rPr>
          <w:szCs w:val="24"/>
        </w:rPr>
        <w:t xml:space="preserve"> var</w:t>
      </w:r>
      <w:r>
        <w:rPr>
          <w:szCs w:val="24"/>
        </w:rPr>
        <w:t>iations to</w:t>
      </w:r>
      <w:r w:rsidRPr="00B73954">
        <w:rPr>
          <w:szCs w:val="24"/>
        </w:rPr>
        <w:t xml:space="preserve"> the NNDL</w:t>
      </w:r>
      <w:r>
        <w:rPr>
          <w:szCs w:val="24"/>
        </w:rPr>
        <w:t>:</w:t>
      </w:r>
    </w:p>
    <w:p w:rsidR="00FB2F55" w:rsidRDefault="00FB2F55" w:rsidP="00FB2F55">
      <w:pPr>
        <w:spacing w:line="260" w:lineRule="exact"/>
        <w:rPr>
          <w:szCs w:val="24"/>
        </w:rPr>
      </w:pPr>
    </w:p>
    <w:p w:rsidR="00FB2F55" w:rsidRPr="003C199E" w:rsidRDefault="003C199E" w:rsidP="003C199E">
      <w:pPr>
        <w:pStyle w:val="ListParagraph"/>
        <w:numPr>
          <w:ilvl w:val="0"/>
          <w:numId w:val="3"/>
        </w:numPr>
        <w:spacing w:line="260" w:lineRule="exact"/>
        <w:ind w:left="709" w:hanging="709"/>
        <w:rPr>
          <w:rFonts w:cs="Times New Roman"/>
          <w:szCs w:val="24"/>
          <w:u w:val="single"/>
        </w:rPr>
      </w:pPr>
      <w:r w:rsidRPr="003C199E">
        <w:rPr>
          <w:rFonts w:cs="Times New Roman"/>
          <w:szCs w:val="24"/>
          <w:u w:val="single"/>
        </w:rPr>
        <w:t>Removal of Acquired immune deficiency syndrome (otherwise known as AIDS) from the NNDL</w:t>
      </w:r>
    </w:p>
    <w:p w:rsidR="003C199E" w:rsidRPr="007D3E64" w:rsidRDefault="003C199E" w:rsidP="003C199E">
      <w:pPr>
        <w:rPr>
          <w:szCs w:val="24"/>
        </w:rPr>
      </w:pPr>
      <w:r w:rsidRPr="007D3E64">
        <w:rPr>
          <w:szCs w:val="24"/>
        </w:rPr>
        <w:t xml:space="preserve">AIDS is a notifiable disease in Australia, as is human immunodeficiency virus (HIV), the virus that causes AIDS. The objective of national public health surveillance under the </w:t>
      </w:r>
      <w:r w:rsidRPr="007D3E64">
        <w:rPr>
          <w:i/>
          <w:szCs w:val="24"/>
        </w:rPr>
        <w:t>National Health Security Act 2007</w:t>
      </w:r>
      <w:r w:rsidRPr="007D3E64">
        <w:rPr>
          <w:szCs w:val="24"/>
        </w:rPr>
        <w:t xml:space="preserve"> is to monitor diseases that are considered a public health risk to enable the detection and response to outbreaks associated with the disease.  </w:t>
      </w:r>
    </w:p>
    <w:p w:rsidR="003C199E" w:rsidRPr="007D3E64" w:rsidRDefault="003C199E" w:rsidP="003C199E">
      <w:pPr>
        <w:rPr>
          <w:szCs w:val="24"/>
        </w:rPr>
      </w:pPr>
    </w:p>
    <w:p w:rsidR="003C199E" w:rsidRPr="007D3E64" w:rsidRDefault="003C199E" w:rsidP="003C199E">
      <w:pPr>
        <w:rPr>
          <w:szCs w:val="24"/>
        </w:rPr>
      </w:pPr>
      <w:r w:rsidRPr="007D3E64">
        <w:rPr>
          <w:szCs w:val="24"/>
        </w:rPr>
        <w:t>It is proposed to remove AIDS from the NNDL because since the introduction of antiretroviral therapy (ART) for HIV infections, AIDS notifications have decreased substantially and AIDS surveillance is no longer a reliable measure of the HIV epidemic.</w:t>
      </w:r>
    </w:p>
    <w:p w:rsidR="003C199E" w:rsidRPr="007D3E64" w:rsidRDefault="003C199E" w:rsidP="003C199E">
      <w:pPr>
        <w:rPr>
          <w:szCs w:val="24"/>
        </w:rPr>
      </w:pPr>
    </w:p>
    <w:p w:rsidR="003C199E" w:rsidRPr="007D3E64" w:rsidRDefault="003C199E" w:rsidP="003C199E">
      <w:pPr>
        <w:rPr>
          <w:szCs w:val="24"/>
        </w:rPr>
      </w:pPr>
      <w:r w:rsidRPr="007D3E64">
        <w:rPr>
          <w:szCs w:val="24"/>
        </w:rPr>
        <w:t>The national case definition for a confirmed AIDS case requires a definitive diagnosis of HIV infection and diagnosis of at least one of the 25 AIDS defining clinical conditions. Notification of AIDS, made after the initial HIV diagnosis, is a clinical diagnosis relying on doctor report only. Therefore, it is HIV that constitutes the key public health risk marker, with the transition to AIDS being more reflective of clinical and treatment importance.</w:t>
      </w:r>
    </w:p>
    <w:p w:rsidR="000577B1" w:rsidRPr="00C95BC8" w:rsidRDefault="003C199E" w:rsidP="003C199E">
      <w:pPr>
        <w:spacing w:before="100" w:beforeAutospacing="1" w:after="100" w:afterAutospacing="1"/>
        <w:rPr>
          <w:szCs w:val="24"/>
        </w:rPr>
      </w:pPr>
      <w:r w:rsidRPr="007D3E64">
        <w:rPr>
          <w:szCs w:val="24"/>
        </w:rPr>
        <w:t xml:space="preserve">The proposal to </w:t>
      </w:r>
      <w:r>
        <w:rPr>
          <w:szCs w:val="24"/>
        </w:rPr>
        <w:t>remove</w:t>
      </w:r>
      <w:r w:rsidRPr="007D3E64">
        <w:rPr>
          <w:szCs w:val="24"/>
        </w:rPr>
        <w:t xml:space="preserve"> AIDS does not mean that the condition is no longer important or that there should be changes in public messaging around HIV and AIDS.  Rather, the change in focus should indicate the public health importance of monitoring HIV infections and the clinical and immunological status of cases at their first HIV diagnosis.  The removal of AIDS as a notifiable disease will improve public health capacity to enable more complete reporting and analysis on HIV diagnoses, which is a much better indicator of the burden of the HIV/AIDS epidemic.</w:t>
      </w:r>
      <w:r w:rsidR="00623049">
        <w:rPr>
          <w:szCs w:val="24"/>
        </w:rPr>
        <w:t xml:space="preserve">        </w:t>
      </w:r>
    </w:p>
    <w:p w:rsidR="000577B1" w:rsidRPr="00C95BC8" w:rsidRDefault="000577B1" w:rsidP="000577B1">
      <w:pPr>
        <w:jc w:val="both"/>
        <w:rPr>
          <w:szCs w:val="24"/>
        </w:rPr>
      </w:pPr>
    </w:p>
    <w:p w:rsidR="00FB2F55" w:rsidRPr="00C95BC8" w:rsidRDefault="003C199E" w:rsidP="00FB2F55">
      <w:pPr>
        <w:pStyle w:val="ListParagraph"/>
        <w:numPr>
          <w:ilvl w:val="0"/>
          <w:numId w:val="3"/>
        </w:numPr>
        <w:spacing w:line="260" w:lineRule="exact"/>
        <w:ind w:left="709" w:hanging="709"/>
        <w:rPr>
          <w:rFonts w:cs="Times New Roman"/>
          <w:szCs w:val="24"/>
          <w:u w:val="single"/>
        </w:rPr>
      </w:pPr>
      <w:r>
        <w:rPr>
          <w:rFonts w:cs="Times New Roman"/>
          <w:szCs w:val="24"/>
          <w:u w:val="single"/>
        </w:rPr>
        <w:t>Listing of rotavirus on the NNDL</w:t>
      </w:r>
    </w:p>
    <w:p w:rsidR="003C199E" w:rsidRPr="007D3E64" w:rsidRDefault="003C199E" w:rsidP="003C199E">
      <w:pPr>
        <w:rPr>
          <w:szCs w:val="24"/>
        </w:rPr>
      </w:pPr>
      <w:r w:rsidRPr="007D3E64">
        <w:rPr>
          <w:szCs w:val="24"/>
        </w:rPr>
        <w:t>Rotavirus is the leading cause of severe gastroenteritis in infants and young children.  It is preventable through routine childhood vaccination and evidence indicates there are significantly higher rates of rotavirus in Indigenous populations compared with non-Indigenous.  The Commonwealth has made a significant financial investment in addressing rotavirus through the National Immunisation Program (NIP).</w:t>
      </w:r>
    </w:p>
    <w:p w:rsidR="003C199E" w:rsidRPr="007D3E64" w:rsidRDefault="003C199E" w:rsidP="003C199E">
      <w:pPr>
        <w:rPr>
          <w:szCs w:val="24"/>
        </w:rPr>
      </w:pPr>
    </w:p>
    <w:p w:rsidR="003C199E" w:rsidRPr="007D3E64" w:rsidRDefault="003C199E" w:rsidP="003C199E">
      <w:pPr>
        <w:rPr>
          <w:szCs w:val="24"/>
        </w:rPr>
      </w:pPr>
      <w:r w:rsidRPr="007D3E64">
        <w:rPr>
          <w:szCs w:val="24"/>
        </w:rPr>
        <w:t>A Joint Criteria Assessment Group (JCAG) was formed to assess whether rotavirus should be made nationally notifiable and considered the public health priority of rotavirus to be high.</w:t>
      </w:r>
      <w:r w:rsidRPr="007D3E64">
        <w:rPr>
          <w:rFonts w:ascii="Arial" w:eastAsia="Calibri" w:hAnsi="Arial" w:cs="Arial"/>
          <w:sz w:val="22"/>
          <w:szCs w:val="22"/>
        </w:rPr>
        <w:t xml:space="preserve"> </w:t>
      </w:r>
      <w:r w:rsidRPr="007D3E64">
        <w:rPr>
          <w:szCs w:val="24"/>
        </w:rPr>
        <w:t>The group advised that national surveillance of rotavirus is needed to monitor and evaluate the effectiveness of the NIP and provide information about changes in the epidemiology of rotavirus since the introduction of the vaccines in 2007, and trends in notifications over time.</w:t>
      </w:r>
    </w:p>
    <w:p w:rsidR="003C199E" w:rsidRPr="007D3E64" w:rsidRDefault="003C199E" w:rsidP="003C199E">
      <w:pPr>
        <w:rPr>
          <w:szCs w:val="24"/>
        </w:rPr>
      </w:pPr>
    </w:p>
    <w:p w:rsidR="003C199E" w:rsidRPr="007D3E64" w:rsidRDefault="003C199E" w:rsidP="003C199E">
      <w:pPr>
        <w:rPr>
          <w:szCs w:val="24"/>
        </w:rPr>
      </w:pPr>
      <w:r w:rsidRPr="007D3E64">
        <w:rPr>
          <w:szCs w:val="24"/>
        </w:rPr>
        <w:t>Making rotavirus nationally notifiable is a clear statement of intent about the public health priority of the disease. For some states and territories, the adding of rotavirus to the NNDL may facilitate the process of making the disease notifiable in that jurisdiction.</w:t>
      </w:r>
    </w:p>
    <w:p w:rsidR="00C95BC8" w:rsidRDefault="00C95BC8" w:rsidP="00031F4B">
      <w:pPr>
        <w:autoSpaceDE w:val="0"/>
        <w:autoSpaceDN w:val="0"/>
        <w:adjustRightInd w:val="0"/>
        <w:rPr>
          <w:color w:val="000000"/>
          <w:szCs w:val="24"/>
          <w:highlight w:val="yellow"/>
          <w:u w:val="single"/>
        </w:rPr>
      </w:pPr>
    </w:p>
    <w:p w:rsidR="003C199E" w:rsidRPr="00C95BC8" w:rsidRDefault="003C199E" w:rsidP="003C199E">
      <w:pPr>
        <w:pStyle w:val="ListParagraph"/>
        <w:numPr>
          <w:ilvl w:val="0"/>
          <w:numId w:val="3"/>
        </w:numPr>
        <w:spacing w:line="260" w:lineRule="exact"/>
        <w:ind w:left="709" w:hanging="709"/>
        <w:rPr>
          <w:rFonts w:cs="Times New Roman"/>
          <w:szCs w:val="24"/>
          <w:u w:val="single"/>
        </w:rPr>
      </w:pPr>
      <w:r w:rsidRPr="003C199E">
        <w:rPr>
          <w:rFonts w:cs="Times New Roman"/>
          <w:szCs w:val="24"/>
          <w:u w:val="single"/>
        </w:rPr>
        <w:t xml:space="preserve">Change of name for a disease listed on the </w:t>
      </w:r>
      <w:proofErr w:type="spellStart"/>
      <w:r w:rsidRPr="003C199E">
        <w:rPr>
          <w:rFonts w:cs="Times New Roman"/>
          <w:szCs w:val="24"/>
          <w:u w:val="single"/>
        </w:rPr>
        <w:t>NNDL</w:t>
      </w:r>
      <w:proofErr w:type="spellEnd"/>
      <w:r w:rsidRPr="003C199E">
        <w:rPr>
          <w:rFonts w:cs="Times New Roman"/>
          <w:szCs w:val="24"/>
          <w:u w:val="single"/>
        </w:rPr>
        <w:t xml:space="preserve"> from ‘</w:t>
      </w:r>
      <w:proofErr w:type="spellStart"/>
      <w:r w:rsidRPr="003C199E">
        <w:rPr>
          <w:rFonts w:cs="Times New Roman"/>
          <w:szCs w:val="24"/>
          <w:u w:val="single"/>
        </w:rPr>
        <w:t>Kunjin</w:t>
      </w:r>
      <w:proofErr w:type="spellEnd"/>
      <w:r w:rsidRPr="003C199E">
        <w:rPr>
          <w:rFonts w:cs="Times New Roman"/>
          <w:szCs w:val="24"/>
          <w:u w:val="single"/>
        </w:rPr>
        <w:t xml:space="preserve"> virus infection’ to ‘West Nile virus/</w:t>
      </w:r>
      <w:proofErr w:type="spellStart"/>
      <w:r w:rsidRPr="003C199E">
        <w:rPr>
          <w:rFonts w:cs="Times New Roman"/>
          <w:szCs w:val="24"/>
          <w:u w:val="single"/>
        </w:rPr>
        <w:t>Kunjin</w:t>
      </w:r>
      <w:proofErr w:type="spellEnd"/>
      <w:r w:rsidRPr="003C199E">
        <w:rPr>
          <w:rFonts w:cs="Times New Roman"/>
          <w:szCs w:val="24"/>
          <w:u w:val="single"/>
        </w:rPr>
        <w:t xml:space="preserve"> virus infection’</w:t>
      </w:r>
    </w:p>
    <w:p w:rsidR="003C199E" w:rsidRPr="003C199E" w:rsidRDefault="003C199E" w:rsidP="003C199E">
      <w:pPr>
        <w:autoSpaceDE w:val="0"/>
        <w:autoSpaceDN w:val="0"/>
        <w:adjustRightInd w:val="0"/>
        <w:rPr>
          <w:color w:val="000000"/>
          <w:szCs w:val="24"/>
        </w:rPr>
      </w:pPr>
      <w:r w:rsidRPr="003C199E">
        <w:rPr>
          <w:color w:val="000000"/>
          <w:szCs w:val="24"/>
        </w:rPr>
        <w:t xml:space="preserve">The </w:t>
      </w:r>
      <w:proofErr w:type="spellStart"/>
      <w:r w:rsidRPr="003C199E">
        <w:rPr>
          <w:color w:val="000000"/>
          <w:szCs w:val="24"/>
        </w:rPr>
        <w:t>NNDL</w:t>
      </w:r>
      <w:proofErr w:type="spellEnd"/>
      <w:r w:rsidRPr="003C199E">
        <w:rPr>
          <w:color w:val="000000"/>
          <w:szCs w:val="24"/>
        </w:rPr>
        <w:t xml:space="preserve"> currently lists </w:t>
      </w:r>
      <w:proofErr w:type="spellStart"/>
      <w:r w:rsidRPr="003C199E">
        <w:rPr>
          <w:color w:val="000000"/>
          <w:szCs w:val="24"/>
        </w:rPr>
        <w:t>Kunjin</w:t>
      </w:r>
      <w:proofErr w:type="spellEnd"/>
      <w:r w:rsidRPr="003C199E">
        <w:rPr>
          <w:color w:val="000000"/>
          <w:szCs w:val="24"/>
        </w:rPr>
        <w:t xml:space="preserve"> virus infection as being a notifiable vector borne disease.  This naming appears (without consideration of the case definition) to preclude the notification of West Nile virus infections other than the </w:t>
      </w:r>
      <w:proofErr w:type="spellStart"/>
      <w:r w:rsidRPr="003C199E">
        <w:rPr>
          <w:color w:val="000000"/>
          <w:szCs w:val="24"/>
        </w:rPr>
        <w:t>Kunjin</w:t>
      </w:r>
      <w:proofErr w:type="spellEnd"/>
      <w:r w:rsidRPr="003C199E">
        <w:rPr>
          <w:color w:val="000000"/>
          <w:szCs w:val="24"/>
        </w:rPr>
        <w:t xml:space="preserve"> strain.</w:t>
      </w:r>
    </w:p>
    <w:p w:rsidR="003C199E" w:rsidRPr="003C199E" w:rsidRDefault="003C199E" w:rsidP="003C199E">
      <w:pPr>
        <w:autoSpaceDE w:val="0"/>
        <w:autoSpaceDN w:val="0"/>
        <w:adjustRightInd w:val="0"/>
        <w:rPr>
          <w:color w:val="000000"/>
          <w:szCs w:val="24"/>
        </w:rPr>
      </w:pPr>
    </w:p>
    <w:p w:rsidR="003C199E" w:rsidRPr="003C199E" w:rsidRDefault="003C199E" w:rsidP="003C199E">
      <w:pPr>
        <w:autoSpaceDE w:val="0"/>
        <w:autoSpaceDN w:val="0"/>
        <w:adjustRightInd w:val="0"/>
        <w:rPr>
          <w:color w:val="000000"/>
          <w:szCs w:val="24"/>
        </w:rPr>
      </w:pPr>
      <w:r w:rsidRPr="003C199E">
        <w:rPr>
          <w:color w:val="000000"/>
          <w:szCs w:val="24"/>
        </w:rPr>
        <w:t>The Australian national surveillance case definition was renamed to West Nile virus/</w:t>
      </w:r>
      <w:proofErr w:type="spellStart"/>
      <w:r w:rsidRPr="003C199E">
        <w:rPr>
          <w:color w:val="000000"/>
          <w:szCs w:val="24"/>
        </w:rPr>
        <w:t>Kunjin</w:t>
      </w:r>
      <w:proofErr w:type="spellEnd"/>
      <w:r w:rsidRPr="003C199E">
        <w:rPr>
          <w:color w:val="000000"/>
          <w:szCs w:val="24"/>
        </w:rPr>
        <w:t xml:space="preserve"> virus infection and allows for notification of confirmed infections with any strain of West Nile virus infection. The National Notifiable Disease Surveillance System already contains notifications for West Nile infection that are not the </w:t>
      </w:r>
      <w:proofErr w:type="spellStart"/>
      <w:r w:rsidRPr="003C199E">
        <w:rPr>
          <w:color w:val="000000"/>
          <w:szCs w:val="24"/>
        </w:rPr>
        <w:t>Kunjin</w:t>
      </w:r>
      <w:proofErr w:type="spellEnd"/>
      <w:r w:rsidRPr="003C199E">
        <w:rPr>
          <w:color w:val="000000"/>
          <w:szCs w:val="24"/>
        </w:rPr>
        <w:t xml:space="preserve"> strain.</w:t>
      </w:r>
    </w:p>
    <w:p w:rsidR="003C199E" w:rsidRPr="003C199E" w:rsidRDefault="003C199E" w:rsidP="003C199E">
      <w:pPr>
        <w:autoSpaceDE w:val="0"/>
        <w:autoSpaceDN w:val="0"/>
        <w:adjustRightInd w:val="0"/>
        <w:rPr>
          <w:color w:val="000000"/>
          <w:szCs w:val="24"/>
        </w:rPr>
      </w:pPr>
    </w:p>
    <w:p w:rsidR="003C199E" w:rsidRPr="003C199E" w:rsidRDefault="003C199E" w:rsidP="003C199E">
      <w:pPr>
        <w:autoSpaceDE w:val="0"/>
        <w:autoSpaceDN w:val="0"/>
        <w:adjustRightInd w:val="0"/>
        <w:rPr>
          <w:color w:val="000000"/>
          <w:szCs w:val="24"/>
          <w:highlight w:val="yellow"/>
        </w:rPr>
      </w:pPr>
      <w:r w:rsidRPr="003C199E">
        <w:rPr>
          <w:color w:val="000000"/>
          <w:szCs w:val="24"/>
        </w:rPr>
        <w:t>It is recommended that the name ‘</w:t>
      </w:r>
      <w:proofErr w:type="spellStart"/>
      <w:r w:rsidRPr="003C199E">
        <w:rPr>
          <w:color w:val="000000"/>
          <w:szCs w:val="24"/>
        </w:rPr>
        <w:t>Kunjin</w:t>
      </w:r>
      <w:proofErr w:type="spellEnd"/>
      <w:r w:rsidRPr="003C199E">
        <w:rPr>
          <w:color w:val="000000"/>
          <w:szCs w:val="24"/>
        </w:rPr>
        <w:t xml:space="preserve"> virus infection’ listed on the NNDL is changed to ‘West Nile virus/</w:t>
      </w:r>
      <w:proofErr w:type="spellStart"/>
      <w:r w:rsidRPr="003C199E">
        <w:rPr>
          <w:color w:val="000000"/>
          <w:szCs w:val="24"/>
        </w:rPr>
        <w:t>Kunjin</w:t>
      </w:r>
      <w:proofErr w:type="spellEnd"/>
      <w:r w:rsidRPr="003C199E">
        <w:rPr>
          <w:color w:val="000000"/>
          <w:szCs w:val="24"/>
        </w:rPr>
        <w:t xml:space="preserve"> virus infection’.</w:t>
      </w:r>
    </w:p>
    <w:p w:rsidR="003C199E" w:rsidRDefault="003C199E" w:rsidP="00B87748">
      <w:pPr>
        <w:autoSpaceDE w:val="0"/>
        <w:autoSpaceDN w:val="0"/>
        <w:adjustRightInd w:val="0"/>
        <w:rPr>
          <w:b/>
          <w:color w:val="000000"/>
          <w:szCs w:val="24"/>
        </w:rPr>
      </w:pPr>
    </w:p>
    <w:p w:rsidR="00B87748" w:rsidRPr="00F22745" w:rsidRDefault="00031F4B" w:rsidP="00B87748">
      <w:pPr>
        <w:autoSpaceDE w:val="0"/>
        <w:autoSpaceDN w:val="0"/>
        <w:adjustRightInd w:val="0"/>
        <w:rPr>
          <w:b/>
          <w:color w:val="000000"/>
          <w:szCs w:val="24"/>
        </w:rPr>
      </w:pPr>
      <w:r w:rsidRPr="00F22745">
        <w:rPr>
          <w:b/>
          <w:color w:val="000000"/>
          <w:szCs w:val="24"/>
        </w:rPr>
        <w:t xml:space="preserve">Consultation </w:t>
      </w:r>
    </w:p>
    <w:p w:rsidR="00B87748" w:rsidRDefault="00B87748" w:rsidP="00B87748">
      <w:pPr>
        <w:autoSpaceDE w:val="0"/>
        <w:autoSpaceDN w:val="0"/>
        <w:adjustRightInd w:val="0"/>
        <w:rPr>
          <w:color w:val="000000"/>
          <w:szCs w:val="24"/>
          <w:u w:val="single"/>
        </w:rPr>
      </w:pPr>
    </w:p>
    <w:p w:rsidR="00EC6536" w:rsidRPr="00030FE0" w:rsidRDefault="00EC6536" w:rsidP="00B87748">
      <w:pPr>
        <w:autoSpaceDE w:val="0"/>
        <w:autoSpaceDN w:val="0"/>
        <w:adjustRightInd w:val="0"/>
        <w:rPr>
          <w:szCs w:val="24"/>
        </w:rPr>
      </w:pPr>
      <w:r w:rsidRPr="00030FE0">
        <w:rPr>
          <w:szCs w:val="24"/>
        </w:rPr>
        <w:t xml:space="preserve">Subsection 11(5) of the </w:t>
      </w:r>
      <w:r w:rsidR="00F74D69" w:rsidRPr="00F74D69">
        <w:rPr>
          <w:szCs w:val="24"/>
        </w:rPr>
        <w:t>Act</w:t>
      </w:r>
      <w:r w:rsidRPr="00030FE0">
        <w:rPr>
          <w:szCs w:val="24"/>
        </w:rPr>
        <w:t xml:space="preserve"> </w:t>
      </w:r>
      <w:r w:rsidR="00B87748">
        <w:rPr>
          <w:szCs w:val="24"/>
        </w:rPr>
        <w:t xml:space="preserve">provides that </w:t>
      </w:r>
      <w:r w:rsidRPr="00030FE0">
        <w:rPr>
          <w:szCs w:val="24"/>
        </w:rPr>
        <w:t xml:space="preserve">the Minister </w:t>
      </w:r>
      <w:r w:rsidR="00B87748">
        <w:rPr>
          <w:szCs w:val="24"/>
        </w:rPr>
        <w:t>must</w:t>
      </w:r>
      <w:r w:rsidRPr="00030FE0">
        <w:rPr>
          <w:szCs w:val="24"/>
        </w:rPr>
        <w:t xml:space="preserve"> consult with the Commonwealth Chief Medical Officer and each </w:t>
      </w:r>
      <w:r w:rsidR="00B87748">
        <w:rPr>
          <w:szCs w:val="24"/>
        </w:rPr>
        <w:t>S</w:t>
      </w:r>
      <w:r w:rsidRPr="00030FE0">
        <w:rPr>
          <w:szCs w:val="24"/>
        </w:rPr>
        <w:t xml:space="preserve">tate </w:t>
      </w:r>
      <w:r w:rsidR="00B87748">
        <w:rPr>
          <w:szCs w:val="24"/>
        </w:rPr>
        <w:t>or</w:t>
      </w:r>
      <w:r w:rsidRPr="00030FE0">
        <w:rPr>
          <w:szCs w:val="24"/>
        </w:rPr>
        <w:t xml:space="preserve"> </w:t>
      </w:r>
      <w:r w:rsidR="00B87748">
        <w:rPr>
          <w:szCs w:val="24"/>
        </w:rPr>
        <w:t>T</w:t>
      </w:r>
      <w:r w:rsidRPr="00030FE0">
        <w:rPr>
          <w:szCs w:val="24"/>
        </w:rPr>
        <w:t xml:space="preserve">erritory Health Minister in making or varying </w:t>
      </w:r>
      <w:r>
        <w:rPr>
          <w:szCs w:val="24"/>
        </w:rPr>
        <w:t>the NNDL</w:t>
      </w:r>
      <w:r w:rsidRPr="00030FE0">
        <w:rPr>
          <w:szCs w:val="24"/>
        </w:rPr>
        <w:t>.  Those consultations have been undertaken.</w:t>
      </w:r>
    </w:p>
    <w:p w:rsidR="003F72F7" w:rsidRDefault="005557CF" w:rsidP="005557CF">
      <w:pPr>
        <w:spacing w:before="100" w:beforeAutospacing="1" w:after="100" w:afterAutospacing="1"/>
        <w:rPr>
          <w:szCs w:val="24"/>
        </w:rPr>
      </w:pPr>
      <w:r>
        <w:rPr>
          <w:szCs w:val="24"/>
        </w:rPr>
        <w:t xml:space="preserve">This instrument is a legislative instrument for the purposes of </w:t>
      </w:r>
      <w:r w:rsidRPr="000E0869">
        <w:rPr>
          <w:szCs w:val="24"/>
        </w:rPr>
        <w:t>the</w:t>
      </w:r>
      <w:r w:rsidR="00FF73D7">
        <w:rPr>
          <w:i/>
          <w:szCs w:val="24"/>
        </w:rPr>
        <w:t xml:space="preserve"> Legislation</w:t>
      </w:r>
      <w:r w:rsidRPr="000E0869">
        <w:rPr>
          <w:i/>
          <w:szCs w:val="24"/>
        </w:rPr>
        <w:t xml:space="preserve"> Act 2003</w:t>
      </w:r>
      <w:r>
        <w:rPr>
          <w:szCs w:val="24"/>
        </w:rPr>
        <w:t xml:space="preserve">.  </w:t>
      </w:r>
    </w:p>
    <w:p w:rsidR="005557CF" w:rsidRPr="00C95BC8" w:rsidRDefault="005557CF" w:rsidP="005557CF">
      <w:pPr>
        <w:spacing w:before="100" w:beforeAutospacing="1" w:after="100" w:afterAutospacing="1"/>
        <w:rPr>
          <w:szCs w:val="24"/>
        </w:rPr>
      </w:pPr>
      <w:r>
        <w:rPr>
          <w:szCs w:val="24"/>
        </w:rPr>
        <w:t>The instrument will take effect on the day after it is registered on the</w:t>
      </w:r>
      <w:r w:rsidR="00FF73D7">
        <w:rPr>
          <w:szCs w:val="24"/>
        </w:rPr>
        <w:t xml:space="preserve"> Federal Register of Legislation</w:t>
      </w:r>
      <w:r>
        <w:rPr>
          <w:szCs w:val="24"/>
        </w:rPr>
        <w:t>.</w:t>
      </w:r>
    </w:p>
    <w:p w:rsidR="001353A1" w:rsidRDefault="001353A1" w:rsidP="001353A1">
      <w:pPr>
        <w:tabs>
          <w:tab w:val="right" w:pos="8080"/>
        </w:tabs>
        <w:jc w:val="center"/>
      </w:pPr>
      <w:r>
        <w:tab/>
      </w:r>
      <w:r w:rsidR="00BA3CEA" w:rsidRPr="001353A1">
        <w:t xml:space="preserve">Authority: </w:t>
      </w:r>
      <w:r w:rsidR="006F5470">
        <w:t>Subs</w:t>
      </w:r>
      <w:r w:rsidR="00BA3CEA" w:rsidRPr="001353A1">
        <w:t xml:space="preserve">ection </w:t>
      </w:r>
      <w:r w:rsidRPr="001353A1">
        <w:t xml:space="preserve">11(3) of </w:t>
      </w:r>
      <w:r w:rsidR="00BA3CEA" w:rsidRPr="001353A1">
        <w:t>the</w:t>
      </w:r>
    </w:p>
    <w:p w:rsidR="00BA3CEA" w:rsidRPr="001353A1" w:rsidRDefault="001353A1" w:rsidP="001353A1">
      <w:pPr>
        <w:tabs>
          <w:tab w:val="right" w:pos="8080"/>
        </w:tabs>
        <w:jc w:val="center"/>
        <w:rPr>
          <w:i/>
        </w:rPr>
      </w:pPr>
      <w:r>
        <w:rPr>
          <w:i/>
        </w:rPr>
        <w:tab/>
      </w:r>
      <w:r w:rsidR="00BA3CEA" w:rsidRPr="001353A1">
        <w:rPr>
          <w:i/>
        </w:rPr>
        <w:t>National Health Security Act 2007</w:t>
      </w:r>
    </w:p>
    <w:p w:rsidR="00031F4B" w:rsidRPr="00FB2F55" w:rsidRDefault="00031F4B" w:rsidP="00031F4B">
      <w:pPr>
        <w:jc w:val="right"/>
        <w:rPr>
          <w:b/>
          <w:highlight w:val="yellow"/>
          <w:u w:val="single"/>
        </w:rPr>
      </w:pPr>
      <w:r w:rsidRPr="00FB2F55">
        <w:rPr>
          <w:b/>
          <w:highlight w:val="yellow"/>
          <w:u w:val="single"/>
        </w:rPr>
        <w:br w:type="page"/>
      </w:r>
      <w:r w:rsidRPr="005D4E3A">
        <w:rPr>
          <w:b/>
          <w:u w:val="single"/>
        </w:rPr>
        <w:lastRenderedPageBreak/>
        <w:t>ATTACHMENT</w:t>
      </w:r>
    </w:p>
    <w:p w:rsidR="00031F4B" w:rsidRPr="00FB2F55" w:rsidRDefault="00031F4B" w:rsidP="00031F4B">
      <w:pPr>
        <w:rPr>
          <w:b/>
          <w:highlight w:val="yellow"/>
        </w:rPr>
      </w:pPr>
    </w:p>
    <w:p w:rsidR="005D4E3A" w:rsidRPr="00030FE0" w:rsidRDefault="005D4E3A" w:rsidP="005D4E3A">
      <w:pPr>
        <w:spacing w:before="100" w:beforeAutospacing="1" w:after="100" w:afterAutospacing="1"/>
        <w:rPr>
          <w:szCs w:val="24"/>
        </w:rPr>
      </w:pPr>
      <w:r w:rsidRPr="00030FE0">
        <w:rPr>
          <w:b/>
          <w:bCs/>
          <w:sz w:val="28"/>
          <w:szCs w:val="28"/>
        </w:rPr>
        <w:t>De</w:t>
      </w:r>
      <w:r w:rsidR="00A570E6">
        <w:rPr>
          <w:b/>
          <w:bCs/>
          <w:sz w:val="28"/>
          <w:szCs w:val="28"/>
        </w:rPr>
        <w:t xml:space="preserve">tails </w:t>
      </w:r>
      <w:r w:rsidRPr="00030FE0">
        <w:rPr>
          <w:b/>
          <w:bCs/>
          <w:sz w:val="28"/>
          <w:szCs w:val="28"/>
        </w:rPr>
        <w:t>of the Instrument</w:t>
      </w:r>
    </w:p>
    <w:p w:rsidR="005D4E3A" w:rsidRPr="00030FE0" w:rsidRDefault="005D4E3A" w:rsidP="005D4E3A">
      <w:pPr>
        <w:spacing w:before="100" w:beforeAutospacing="1" w:after="100" w:afterAutospacing="1"/>
        <w:rPr>
          <w:szCs w:val="24"/>
        </w:rPr>
      </w:pPr>
      <w:r w:rsidRPr="00030FE0">
        <w:rPr>
          <w:szCs w:val="24"/>
        </w:rPr>
        <w:t> </w:t>
      </w:r>
      <w:r w:rsidRPr="00030FE0">
        <w:rPr>
          <w:b/>
          <w:bCs/>
          <w:szCs w:val="24"/>
        </w:rPr>
        <w:t>1    Name of Instrument</w:t>
      </w:r>
    </w:p>
    <w:p w:rsidR="005D4E3A" w:rsidRPr="00030FE0" w:rsidRDefault="00853FA9" w:rsidP="005D4E3A">
      <w:pPr>
        <w:spacing w:before="100" w:beforeAutospacing="1" w:after="100" w:afterAutospacing="1"/>
        <w:rPr>
          <w:szCs w:val="24"/>
        </w:rPr>
      </w:pPr>
      <w:r>
        <w:rPr>
          <w:szCs w:val="24"/>
        </w:rPr>
        <w:t>This s</w:t>
      </w:r>
      <w:r w:rsidR="004304C2">
        <w:rPr>
          <w:szCs w:val="24"/>
        </w:rPr>
        <w:t xml:space="preserve">ection </w:t>
      </w:r>
      <w:r>
        <w:rPr>
          <w:szCs w:val="24"/>
        </w:rPr>
        <w:t>s</w:t>
      </w:r>
      <w:r w:rsidR="004304C2">
        <w:rPr>
          <w:szCs w:val="24"/>
        </w:rPr>
        <w:t xml:space="preserve">tates that the name of the amending instrument is the </w:t>
      </w:r>
      <w:r w:rsidR="005D4E3A" w:rsidRPr="00155A04">
        <w:rPr>
          <w:i/>
          <w:szCs w:val="24"/>
        </w:rPr>
        <w:t>National Health Security</w:t>
      </w:r>
      <w:r w:rsidR="00F22745">
        <w:rPr>
          <w:i/>
          <w:szCs w:val="24"/>
        </w:rPr>
        <w:t xml:space="preserve"> </w:t>
      </w:r>
      <w:r w:rsidR="005D4E3A" w:rsidRPr="00155A04">
        <w:rPr>
          <w:i/>
          <w:szCs w:val="24"/>
        </w:rPr>
        <w:t>(National Notifiable Disease List) Amendment Instrument 201</w:t>
      </w:r>
      <w:r w:rsidR="003C199E">
        <w:rPr>
          <w:i/>
          <w:szCs w:val="24"/>
        </w:rPr>
        <w:t>6</w:t>
      </w:r>
      <w:r w:rsidR="00F22745">
        <w:rPr>
          <w:i/>
          <w:szCs w:val="24"/>
        </w:rPr>
        <w:t xml:space="preserve"> (No. 1)</w:t>
      </w:r>
      <w:r w:rsidR="005D4E3A">
        <w:rPr>
          <w:szCs w:val="24"/>
        </w:rPr>
        <w:t>.</w:t>
      </w:r>
    </w:p>
    <w:p w:rsidR="005D4E3A" w:rsidRPr="00030FE0" w:rsidRDefault="005D4E3A" w:rsidP="005D4E3A">
      <w:pPr>
        <w:spacing w:before="100" w:beforeAutospacing="1" w:after="100" w:afterAutospacing="1"/>
        <w:rPr>
          <w:szCs w:val="24"/>
        </w:rPr>
      </w:pPr>
      <w:r w:rsidRPr="00030FE0">
        <w:rPr>
          <w:szCs w:val="24"/>
        </w:rPr>
        <w:t> </w:t>
      </w:r>
      <w:r w:rsidRPr="00030FE0">
        <w:rPr>
          <w:b/>
          <w:bCs/>
          <w:szCs w:val="24"/>
        </w:rPr>
        <w:t>2    Commencement</w:t>
      </w:r>
    </w:p>
    <w:p w:rsidR="005D4E3A" w:rsidRPr="00030FE0" w:rsidRDefault="00853FA9" w:rsidP="005D4E3A">
      <w:pPr>
        <w:spacing w:before="100" w:beforeAutospacing="1" w:after="100" w:afterAutospacing="1"/>
        <w:rPr>
          <w:szCs w:val="24"/>
        </w:rPr>
      </w:pPr>
      <w:r>
        <w:rPr>
          <w:szCs w:val="24"/>
        </w:rPr>
        <w:t>This s</w:t>
      </w:r>
      <w:r w:rsidR="004304C2">
        <w:rPr>
          <w:szCs w:val="24"/>
        </w:rPr>
        <w:t xml:space="preserve">ection states that the amendments </w:t>
      </w:r>
      <w:r w:rsidR="005D4E3A">
        <w:rPr>
          <w:szCs w:val="24"/>
        </w:rPr>
        <w:t xml:space="preserve">commence the day after </w:t>
      </w:r>
      <w:r w:rsidR="00A82603">
        <w:rPr>
          <w:szCs w:val="24"/>
        </w:rPr>
        <w:t>the instrument</w:t>
      </w:r>
      <w:r w:rsidR="005D4E3A">
        <w:rPr>
          <w:szCs w:val="24"/>
        </w:rPr>
        <w:t xml:space="preserve"> is registered.</w:t>
      </w:r>
    </w:p>
    <w:p w:rsidR="005D4E3A" w:rsidRPr="00B75A73" w:rsidRDefault="005D4E3A" w:rsidP="00B54413">
      <w:pPr>
        <w:spacing w:before="100" w:beforeAutospacing="1" w:after="100" w:afterAutospacing="1"/>
        <w:rPr>
          <w:b/>
          <w:bCs/>
          <w:szCs w:val="24"/>
        </w:rPr>
      </w:pPr>
      <w:r w:rsidRPr="00030FE0">
        <w:rPr>
          <w:szCs w:val="24"/>
        </w:rPr>
        <w:t> </w:t>
      </w:r>
      <w:r w:rsidRPr="00B75A73">
        <w:rPr>
          <w:b/>
          <w:bCs/>
          <w:szCs w:val="24"/>
        </w:rPr>
        <w:t>3</w:t>
      </w:r>
      <w:r w:rsidR="00B54413" w:rsidRPr="00030FE0">
        <w:rPr>
          <w:b/>
          <w:bCs/>
          <w:szCs w:val="24"/>
        </w:rPr>
        <w:t xml:space="preserve">    </w:t>
      </w:r>
      <w:r w:rsidRPr="00B75A73">
        <w:rPr>
          <w:b/>
          <w:bCs/>
          <w:szCs w:val="24"/>
        </w:rPr>
        <w:t>Authority</w:t>
      </w:r>
    </w:p>
    <w:p w:rsidR="005D4E3A" w:rsidRDefault="005D4E3A" w:rsidP="005D4E3A">
      <w:pPr>
        <w:spacing w:before="100" w:beforeAutospacing="1" w:after="100" w:afterAutospacing="1"/>
        <w:rPr>
          <w:szCs w:val="24"/>
        </w:rPr>
      </w:pPr>
      <w:r>
        <w:rPr>
          <w:szCs w:val="24"/>
        </w:rPr>
        <w:t xml:space="preserve">This </w:t>
      </w:r>
      <w:r w:rsidR="006F5470">
        <w:rPr>
          <w:szCs w:val="24"/>
        </w:rPr>
        <w:t xml:space="preserve">section states that the </w:t>
      </w:r>
      <w:r>
        <w:rPr>
          <w:szCs w:val="24"/>
        </w:rPr>
        <w:t xml:space="preserve">instrument is made under subsection 11(3) of the </w:t>
      </w:r>
      <w:r w:rsidRPr="00B75A73">
        <w:rPr>
          <w:i/>
          <w:szCs w:val="24"/>
        </w:rPr>
        <w:t>National Health Security Act 2007</w:t>
      </w:r>
      <w:r>
        <w:rPr>
          <w:szCs w:val="24"/>
        </w:rPr>
        <w:t>.</w:t>
      </w:r>
    </w:p>
    <w:p w:rsidR="005D4E3A" w:rsidRPr="00030FE0" w:rsidRDefault="005D4E3A" w:rsidP="0069662B">
      <w:pPr>
        <w:spacing w:before="100" w:beforeAutospacing="1" w:after="100" w:afterAutospacing="1"/>
        <w:rPr>
          <w:szCs w:val="24"/>
        </w:rPr>
      </w:pPr>
      <w:r w:rsidRPr="00030FE0">
        <w:rPr>
          <w:szCs w:val="24"/>
        </w:rPr>
        <w:t> </w:t>
      </w:r>
      <w:r w:rsidRPr="00030FE0">
        <w:rPr>
          <w:b/>
          <w:bCs/>
          <w:szCs w:val="24"/>
        </w:rPr>
        <w:t>4</w:t>
      </w:r>
      <w:r w:rsidR="00B54413" w:rsidRPr="00030FE0">
        <w:rPr>
          <w:b/>
          <w:bCs/>
          <w:szCs w:val="24"/>
        </w:rPr>
        <w:t>   </w:t>
      </w:r>
      <w:r>
        <w:rPr>
          <w:b/>
          <w:bCs/>
          <w:szCs w:val="24"/>
        </w:rPr>
        <w:t>Schedule</w:t>
      </w:r>
      <w:r w:rsidR="00F60505">
        <w:rPr>
          <w:b/>
          <w:bCs/>
          <w:szCs w:val="24"/>
        </w:rPr>
        <w:t xml:space="preserve"> 1 - Amendments</w:t>
      </w:r>
    </w:p>
    <w:p w:rsidR="00F60505" w:rsidRDefault="005D4E3A" w:rsidP="00F60505">
      <w:pPr>
        <w:spacing w:before="100" w:beforeAutospacing="1" w:after="100" w:afterAutospacing="1"/>
        <w:rPr>
          <w:szCs w:val="24"/>
        </w:rPr>
      </w:pPr>
      <w:r>
        <w:rPr>
          <w:szCs w:val="24"/>
        </w:rPr>
        <w:t xml:space="preserve">This section </w:t>
      </w:r>
      <w:r w:rsidR="00F60505">
        <w:rPr>
          <w:szCs w:val="24"/>
        </w:rPr>
        <w:t xml:space="preserve">provides for the amendment of the instrument as set out in Schedule 1. </w:t>
      </w:r>
    </w:p>
    <w:p w:rsidR="005D4E3A" w:rsidRDefault="005D4E3A" w:rsidP="005D4E3A">
      <w:pPr>
        <w:spacing w:before="100" w:beforeAutospacing="1" w:after="100" w:afterAutospacing="1"/>
        <w:rPr>
          <w:b/>
          <w:bCs/>
          <w:szCs w:val="24"/>
        </w:rPr>
      </w:pPr>
      <w:r w:rsidRPr="00030FE0">
        <w:rPr>
          <w:b/>
          <w:bCs/>
          <w:szCs w:val="24"/>
        </w:rPr>
        <w:t>SCHEDULE 1</w:t>
      </w:r>
      <w:r>
        <w:rPr>
          <w:b/>
          <w:bCs/>
          <w:szCs w:val="24"/>
        </w:rPr>
        <w:t xml:space="preserve"> - AMENDMENTS</w:t>
      </w:r>
    </w:p>
    <w:p w:rsidR="00FA5216" w:rsidRDefault="005D4E3A" w:rsidP="005D4E3A">
      <w:pPr>
        <w:spacing w:line="260" w:lineRule="exact"/>
        <w:rPr>
          <w:szCs w:val="24"/>
        </w:rPr>
      </w:pPr>
      <w:r w:rsidRPr="002E40C3">
        <w:rPr>
          <w:szCs w:val="24"/>
        </w:rPr>
        <w:t xml:space="preserve">Schedule 1 </w:t>
      </w:r>
      <w:r w:rsidR="002965B8">
        <w:rPr>
          <w:szCs w:val="24"/>
        </w:rPr>
        <w:t>repeals</w:t>
      </w:r>
      <w:r w:rsidRPr="002E40C3">
        <w:rPr>
          <w:szCs w:val="24"/>
        </w:rPr>
        <w:t xml:space="preserve"> Division 2.</w:t>
      </w:r>
      <w:r w:rsidR="003C199E">
        <w:rPr>
          <w:szCs w:val="24"/>
        </w:rPr>
        <w:t>5</w:t>
      </w:r>
      <w:r w:rsidRPr="002E40C3">
        <w:rPr>
          <w:szCs w:val="24"/>
        </w:rPr>
        <w:t xml:space="preserve"> of Schedule 1 </w:t>
      </w:r>
      <w:r w:rsidR="003C199E">
        <w:rPr>
          <w:szCs w:val="24"/>
        </w:rPr>
        <w:t xml:space="preserve">(table items 2.5.9 to 2.5.14) </w:t>
      </w:r>
      <w:r w:rsidRPr="002E40C3">
        <w:rPr>
          <w:szCs w:val="24"/>
        </w:rPr>
        <w:t xml:space="preserve">of the </w:t>
      </w:r>
      <w:r w:rsidR="00104F7D">
        <w:rPr>
          <w:i/>
          <w:szCs w:val="24"/>
        </w:rPr>
        <w:t>National Health Security (National</w:t>
      </w:r>
      <w:r w:rsidR="00155A04">
        <w:rPr>
          <w:i/>
          <w:szCs w:val="24"/>
        </w:rPr>
        <w:t xml:space="preserve"> </w:t>
      </w:r>
      <w:r w:rsidR="00104F7D">
        <w:rPr>
          <w:i/>
          <w:szCs w:val="24"/>
        </w:rPr>
        <w:t>Notifiable Disease List) I</w:t>
      </w:r>
      <w:r w:rsidRPr="00155A04">
        <w:rPr>
          <w:i/>
          <w:szCs w:val="24"/>
        </w:rPr>
        <w:t>nstrument</w:t>
      </w:r>
      <w:r w:rsidR="00104F7D">
        <w:rPr>
          <w:i/>
          <w:szCs w:val="24"/>
        </w:rPr>
        <w:t xml:space="preserve"> 2008</w:t>
      </w:r>
      <w:r w:rsidRPr="002E40C3">
        <w:rPr>
          <w:szCs w:val="24"/>
        </w:rPr>
        <w:t xml:space="preserve"> </w:t>
      </w:r>
      <w:r w:rsidR="0069662B">
        <w:rPr>
          <w:szCs w:val="24"/>
        </w:rPr>
        <w:t xml:space="preserve">and substitutes it </w:t>
      </w:r>
      <w:r w:rsidRPr="002E40C3">
        <w:rPr>
          <w:szCs w:val="24"/>
        </w:rPr>
        <w:t>with the new Division 2.</w:t>
      </w:r>
      <w:r w:rsidR="003C199E">
        <w:rPr>
          <w:szCs w:val="24"/>
        </w:rPr>
        <w:t>5</w:t>
      </w:r>
      <w:r w:rsidR="003B337F">
        <w:rPr>
          <w:szCs w:val="24"/>
        </w:rPr>
        <w:t xml:space="preserve"> </w:t>
      </w:r>
      <w:r w:rsidR="003C199E">
        <w:rPr>
          <w:szCs w:val="24"/>
        </w:rPr>
        <w:t>of Schedule 1 (table items 2.5.9 to 2.5.15)</w:t>
      </w:r>
      <w:r w:rsidR="002965B8">
        <w:rPr>
          <w:szCs w:val="24"/>
        </w:rPr>
        <w:t>,</w:t>
      </w:r>
      <w:r w:rsidR="00DB6D94">
        <w:rPr>
          <w:szCs w:val="24"/>
        </w:rPr>
        <w:t xml:space="preserve"> which includes the disease </w:t>
      </w:r>
      <w:r w:rsidR="003C199E">
        <w:rPr>
          <w:szCs w:val="24"/>
        </w:rPr>
        <w:t>Rotavirus</w:t>
      </w:r>
      <w:r w:rsidR="003B337F">
        <w:rPr>
          <w:szCs w:val="24"/>
        </w:rPr>
        <w:t xml:space="preserve">.  </w:t>
      </w:r>
    </w:p>
    <w:p w:rsidR="00FA5216" w:rsidRDefault="00FA5216" w:rsidP="005D4E3A">
      <w:pPr>
        <w:spacing w:line="260" w:lineRule="exact"/>
        <w:rPr>
          <w:szCs w:val="24"/>
        </w:rPr>
      </w:pPr>
    </w:p>
    <w:p w:rsidR="005D4E3A" w:rsidRDefault="00FA5216" w:rsidP="005D4E3A">
      <w:pPr>
        <w:spacing w:line="260" w:lineRule="exact"/>
      </w:pPr>
      <w:r>
        <w:rPr>
          <w:szCs w:val="24"/>
        </w:rPr>
        <w:t xml:space="preserve">Schedule 1 </w:t>
      </w:r>
      <w:r w:rsidR="00E148DF">
        <w:rPr>
          <w:szCs w:val="24"/>
        </w:rPr>
        <w:t>amends the</w:t>
      </w:r>
      <w:r w:rsidR="005D4E3A" w:rsidRPr="002E40C3">
        <w:rPr>
          <w:szCs w:val="24"/>
        </w:rPr>
        <w:t xml:space="preserve"> name </w:t>
      </w:r>
      <w:r w:rsidR="00AF5008">
        <w:rPr>
          <w:szCs w:val="24"/>
        </w:rPr>
        <w:t>to</w:t>
      </w:r>
      <w:r w:rsidR="005D4E3A" w:rsidRPr="002E40C3">
        <w:rPr>
          <w:szCs w:val="24"/>
        </w:rPr>
        <w:t xml:space="preserve"> a disease </w:t>
      </w:r>
      <w:r>
        <w:rPr>
          <w:szCs w:val="24"/>
        </w:rPr>
        <w:t>contained in Division 2.</w:t>
      </w:r>
      <w:r w:rsidR="003C199E">
        <w:rPr>
          <w:szCs w:val="24"/>
        </w:rPr>
        <w:t>6</w:t>
      </w:r>
      <w:r w:rsidR="00AF5008">
        <w:rPr>
          <w:szCs w:val="24"/>
        </w:rPr>
        <w:t xml:space="preserve"> of Schedule 1 </w:t>
      </w:r>
      <w:r w:rsidR="003C199E">
        <w:rPr>
          <w:szCs w:val="24"/>
        </w:rPr>
        <w:t xml:space="preserve">(table item 2.6.6) </w:t>
      </w:r>
      <w:r w:rsidR="00AF5008">
        <w:rPr>
          <w:szCs w:val="24"/>
        </w:rPr>
        <w:t xml:space="preserve">of the </w:t>
      </w:r>
      <w:r w:rsidR="00AF5008">
        <w:rPr>
          <w:i/>
          <w:szCs w:val="24"/>
        </w:rPr>
        <w:t>National Health Security (National Notifiable Disease List) I</w:t>
      </w:r>
      <w:r w:rsidR="00AF5008" w:rsidRPr="00155A04">
        <w:rPr>
          <w:i/>
          <w:szCs w:val="24"/>
        </w:rPr>
        <w:t>nstrument</w:t>
      </w:r>
      <w:r w:rsidR="00AF5008">
        <w:rPr>
          <w:i/>
          <w:szCs w:val="24"/>
        </w:rPr>
        <w:t xml:space="preserve"> 2008 </w:t>
      </w:r>
      <w:r w:rsidR="005D4E3A" w:rsidRPr="002E40C3">
        <w:rPr>
          <w:szCs w:val="24"/>
        </w:rPr>
        <w:t xml:space="preserve">from </w:t>
      </w:r>
      <w:r w:rsidR="003C199E" w:rsidRPr="003C199E">
        <w:t>“</w:t>
      </w:r>
      <w:proofErr w:type="spellStart"/>
      <w:r w:rsidR="003C199E" w:rsidRPr="003C199E">
        <w:t>Kunjin</w:t>
      </w:r>
      <w:proofErr w:type="spellEnd"/>
      <w:r w:rsidR="003C199E" w:rsidRPr="003C199E">
        <w:t xml:space="preserve"> virus infection”, </w:t>
      </w:r>
      <w:r w:rsidR="003C199E">
        <w:t>to</w:t>
      </w:r>
      <w:r w:rsidR="003C199E" w:rsidRPr="003C199E">
        <w:t xml:space="preserve"> “West Nil</w:t>
      </w:r>
      <w:r w:rsidR="003C199E">
        <w:t>e virus/</w:t>
      </w:r>
      <w:proofErr w:type="spellStart"/>
      <w:r w:rsidR="003C199E">
        <w:t>Kunjin</w:t>
      </w:r>
      <w:proofErr w:type="spellEnd"/>
      <w:r w:rsidR="003C199E">
        <w:t xml:space="preserve"> virus infection”</w:t>
      </w:r>
      <w:r w:rsidR="005D4E3A" w:rsidRPr="00FA5216">
        <w:t>.</w:t>
      </w:r>
    </w:p>
    <w:p w:rsidR="003C199E" w:rsidRDefault="003C199E" w:rsidP="005D4E3A">
      <w:pPr>
        <w:spacing w:line="260" w:lineRule="exact"/>
      </w:pPr>
    </w:p>
    <w:p w:rsidR="003C199E" w:rsidRDefault="003C199E" w:rsidP="005D4E3A">
      <w:pPr>
        <w:spacing w:line="260" w:lineRule="exact"/>
        <w:rPr>
          <w:szCs w:val="24"/>
        </w:rPr>
      </w:pPr>
      <w:r>
        <w:t xml:space="preserve">Schedule </w:t>
      </w:r>
      <w:r w:rsidR="00BF7337">
        <w:t xml:space="preserve">1 </w:t>
      </w:r>
      <w:r>
        <w:t xml:space="preserve">repeals Division 2.9 of Schedule 1 (table item 2.9.4) </w:t>
      </w:r>
      <w:r w:rsidRPr="002E40C3">
        <w:rPr>
          <w:szCs w:val="24"/>
        </w:rPr>
        <w:t xml:space="preserve">of the </w:t>
      </w:r>
      <w:r>
        <w:rPr>
          <w:i/>
          <w:szCs w:val="24"/>
        </w:rPr>
        <w:t>National Health Security (National Notifiable Disease List) I</w:t>
      </w:r>
      <w:r w:rsidRPr="00155A04">
        <w:rPr>
          <w:i/>
          <w:szCs w:val="24"/>
        </w:rPr>
        <w:t>nstrument</w:t>
      </w:r>
      <w:r>
        <w:rPr>
          <w:i/>
          <w:szCs w:val="24"/>
        </w:rPr>
        <w:t xml:space="preserve"> 2008, </w:t>
      </w:r>
      <w:r w:rsidRPr="003C199E">
        <w:rPr>
          <w:szCs w:val="24"/>
        </w:rPr>
        <w:t>which removes the disease AIDS.</w:t>
      </w:r>
    </w:p>
    <w:p w:rsidR="003C199E" w:rsidRDefault="003C199E" w:rsidP="005D4E3A">
      <w:pPr>
        <w:spacing w:line="260" w:lineRule="exact"/>
        <w:rPr>
          <w:szCs w:val="24"/>
        </w:rPr>
      </w:pPr>
    </w:p>
    <w:p w:rsidR="003C199E" w:rsidRPr="003C199E" w:rsidRDefault="003C199E" w:rsidP="005D4E3A">
      <w:pPr>
        <w:spacing w:line="260" w:lineRule="exact"/>
        <w:rPr>
          <w:u w:val="single"/>
        </w:rPr>
      </w:pPr>
      <w:r>
        <w:rPr>
          <w:szCs w:val="24"/>
        </w:rPr>
        <w:t xml:space="preserve">Schedule 1 also amends the name of the department in Division 2.9 (heading and note) of the </w:t>
      </w:r>
      <w:r>
        <w:rPr>
          <w:i/>
          <w:szCs w:val="24"/>
        </w:rPr>
        <w:t>National Health Security (National Notifiable Disease List) I</w:t>
      </w:r>
      <w:r w:rsidRPr="00155A04">
        <w:rPr>
          <w:i/>
          <w:szCs w:val="24"/>
        </w:rPr>
        <w:t>nstrument</w:t>
      </w:r>
      <w:r>
        <w:rPr>
          <w:i/>
          <w:szCs w:val="24"/>
        </w:rPr>
        <w:t xml:space="preserve"> 2008 </w:t>
      </w:r>
      <w:r w:rsidRPr="002E40C3">
        <w:rPr>
          <w:szCs w:val="24"/>
        </w:rPr>
        <w:t>f</w:t>
      </w:r>
      <w:r>
        <w:rPr>
          <w:szCs w:val="24"/>
        </w:rPr>
        <w:t>rom “Department of Health and Ageing” to “</w:t>
      </w:r>
      <w:r w:rsidR="00806600">
        <w:rPr>
          <w:szCs w:val="24"/>
        </w:rPr>
        <w:t xml:space="preserve">Department of </w:t>
      </w:r>
      <w:r>
        <w:rPr>
          <w:szCs w:val="24"/>
        </w:rPr>
        <w:t>Health”.</w:t>
      </w:r>
    </w:p>
    <w:p w:rsidR="003C199E" w:rsidRDefault="003C199E">
      <w:pPr>
        <w:spacing w:before="240" w:after="60"/>
      </w:pPr>
    </w:p>
    <w:p w:rsidR="005D4E3A" w:rsidRDefault="005D4E3A">
      <w:pPr>
        <w:spacing w:before="240" w:after="60"/>
      </w:pPr>
      <w:r>
        <w:br w:type="page"/>
      </w:r>
    </w:p>
    <w:p w:rsidR="00031F4B" w:rsidRPr="000C5D27" w:rsidRDefault="00031F4B" w:rsidP="00031F4B">
      <w:pPr>
        <w:spacing w:before="360" w:after="120"/>
        <w:jc w:val="center"/>
        <w:rPr>
          <w:b/>
          <w:sz w:val="28"/>
          <w:szCs w:val="28"/>
        </w:rPr>
      </w:pPr>
      <w:r w:rsidRPr="000C5D27">
        <w:rPr>
          <w:b/>
          <w:sz w:val="28"/>
          <w:szCs w:val="28"/>
        </w:rPr>
        <w:lastRenderedPageBreak/>
        <w:t>Statement of Compatibility with Human Rights</w:t>
      </w:r>
    </w:p>
    <w:p w:rsidR="00031F4B" w:rsidRPr="000C5D27" w:rsidRDefault="00031F4B" w:rsidP="00031F4B">
      <w:pPr>
        <w:spacing w:before="120" w:after="120"/>
        <w:jc w:val="center"/>
      </w:pPr>
      <w:r w:rsidRPr="000C5D27">
        <w:rPr>
          <w:i/>
        </w:rPr>
        <w:t>Prepared in accordance with Part 3 of the Human Rights (Parliamentary Scrutiny) Act 2011</w:t>
      </w:r>
    </w:p>
    <w:p w:rsidR="005D4E3A" w:rsidRPr="000C5D27" w:rsidRDefault="005D4E3A" w:rsidP="005D4E3A">
      <w:pPr>
        <w:spacing w:after="120"/>
        <w:jc w:val="center"/>
        <w:rPr>
          <w:b/>
          <w:i/>
        </w:rPr>
      </w:pPr>
      <w:r w:rsidRPr="000C5D27">
        <w:rPr>
          <w:b/>
          <w:i/>
        </w:rPr>
        <w:t xml:space="preserve">National Health Security (National Notifiable Disease List) Amendment </w:t>
      </w:r>
      <w:r w:rsidR="00AF5008">
        <w:rPr>
          <w:b/>
          <w:i/>
        </w:rPr>
        <w:t>Instrument 201</w:t>
      </w:r>
      <w:r w:rsidR="003C199E">
        <w:rPr>
          <w:b/>
          <w:i/>
        </w:rPr>
        <w:t>6</w:t>
      </w:r>
      <w:r w:rsidR="00AF5008">
        <w:rPr>
          <w:b/>
          <w:i/>
        </w:rPr>
        <w:t xml:space="preserve"> (No. 1)</w:t>
      </w:r>
    </w:p>
    <w:p w:rsidR="005D4E3A" w:rsidRPr="000C5D27" w:rsidRDefault="005D4E3A" w:rsidP="00031F4B">
      <w:pPr>
        <w:spacing w:before="120" w:after="120"/>
        <w:jc w:val="center"/>
      </w:pPr>
    </w:p>
    <w:p w:rsidR="00031F4B" w:rsidRPr="000C5D27" w:rsidRDefault="00031F4B" w:rsidP="00031F4B">
      <w:pPr>
        <w:spacing w:before="120" w:after="120"/>
        <w:jc w:val="center"/>
      </w:pPr>
      <w:r w:rsidRPr="000C5D27">
        <w:t>Th</w:t>
      </w:r>
      <w:r w:rsidR="00BD13B6">
        <w:t xml:space="preserve">e </w:t>
      </w:r>
      <w:bookmarkStart w:id="0" w:name="_GoBack"/>
      <w:r w:rsidR="00BD13B6">
        <w:rPr>
          <w:i/>
        </w:rPr>
        <w:t>National Health Security (National Notifiable Disease List) Amendment Instrument 201</w:t>
      </w:r>
      <w:r w:rsidR="003C199E">
        <w:rPr>
          <w:i/>
        </w:rPr>
        <w:t>6</w:t>
      </w:r>
      <w:r w:rsidR="00BD13B6">
        <w:rPr>
          <w:i/>
        </w:rPr>
        <w:t xml:space="preserve"> (No. 1) </w:t>
      </w:r>
      <w:bookmarkEnd w:id="0"/>
      <w:r w:rsidR="00BD13B6">
        <w:t xml:space="preserve">(the </w:t>
      </w:r>
      <w:r w:rsidR="006E62E8">
        <w:t>Amending</w:t>
      </w:r>
      <w:r w:rsidR="00BD13B6">
        <w:t xml:space="preserve"> Inst</w:t>
      </w:r>
      <w:r w:rsidRPr="000C5D27">
        <w:t>rument</w:t>
      </w:r>
      <w:r w:rsidR="00BD13B6">
        <w:t>)</w:t>
      </w:r>
      <w:r w:rsidRPr="000C5D27">
        <w:t xml:space="preserve"> is compatible with the human rights and freedoms recognised or declared in the international instruments listed in section 3 of the </w:t>
      </w:r>
      <w:r w:rsidRPr="000C5D27">
        <w:rPr>
          <w:i/>
        </w:rPr>
        <w:t>Human Rights (Parliamentary Scrutiny) Act 2011</w:t>
      </w:r>
      <w:r w:rsidRPr="000C5D27">
        <w:t>.</w:t>
      </w:r>
    </w:p>
    <w:p w:rsidR="00031F4B" w:rsidRPr="000C5D27" w:rsidRDefault="00031F4B" w:rsidP="00031F4B">
      <w:pPr>
        <w:spacing w:before="120" w:after="120"/>
        <w:jc w:val="both"/>
        <w:rPr>
          <w:b/>
        </w:rPr>
      </w:pPr>
      <w:r w:rsidRPr="000C5D27">
        <w:rPr>
          <w:b/>
        </w:rPr>
        <w:t xml:space="preserve">Overview of the </w:t>
      </w:r>
      <w:r w:rsidR="006E62E8">
        <w:rPr>
          <w:b/>
        </w:rPr>
        <w:t>Amending</w:t>
      </w:r>
      <w:r w:rsidRPr="000C5D27">
        <w:rPr>
          <w:b/>
        </w:rPr>
        <w:t xml:space="preserve"> Instrument</w:t>
      </w:r>
    </w:p>
    <w:p w:rsidR="00C72ABF" w:rsidRPr="000C5D27" w:rsidRDefault="00C72ABF" w:rsidP="00031F4B">
      <w:pPr>
        <w:spacing w:before="120" w:after="120"/>
      </w:pPr>
      <w:r w:rsidRPr="000C5D27">
        <w:t>Th</w:t>
      </w:r>
      <w:r w:rsidR="00E148DF">
        <w:t>e</w:t>
      </w:r>
      <w:r w:rsidRPr="000C5D27">
        <w:t xml:space="preserve"> </w:t>
      </w:r>
      <w:r w:rsidR="006E62E8">
        <w:t>Amending</w:t>
      </w:r>
      <w:r w:rsidRPr="000C5D27">
        <w:t xml:space="preserve"> Instrument amends the </w:t>
      </w:r>
      <w:r w:rsidR="00BD13B6">
        <w:rPr>
          <w:i/>
        </w:rPr>
        <w:t xml:space="preserve">National Health Security (National Notifiable Disease List) Instrument 2008 </w:t>
      </w:r>
      <w:r w:rsidR="00BD13B6">
        <w:t xml:space="preserve">(the Principle Instrument) </w:t>
      </w:r>
      <w:r w:rsidRPr="000C5D27">
        <w:t>to improve the national surveillance of two diseases</w:t>
      </w:r>
      <w:r w:rsidR="00FC62DD">
        <w:t xml:space="preserve"> and remove one disease</w:t>
      </w:r>
      <w:r w:rsidRPr="000C5D27">
        <w:t>.</w:t>
      </w:r>
    </w:p>
    <w:p w:rsidR="00B74D37" w:rsidRDefault="00C72ABF" w:rsidP="00FC62DD">
      <w:r w:rsidRPr="000C5D27">
        <w:t xml:space="preserve">There are </w:t>
      </w:r>
      <w:r w:rsidR="00FC62DD">
        <w:t>three</w:t>
      </w:r>
      <w:r w:rsidRPr="000C5D27">
        <w:t xml:space="preserve"> amendments.  The first amendment adds the disease </w:t>
      </w:r>
      <w:r w:rsidR="00FC62DD">
        <w:t>rotavirus</w:t>
      </w:r>
      <w:r w:rsidR="00CC78ED">
        <w:t xml:space="preserve"> t</w:t>
      </w:r>
      <w:r w:rsidRPr="000C5D27">
        <w:t xml:space="preserve">o the </w:t>
      </w:r>
      <w:r w:rsidR="00BD13B6">
        <w:t>Principle Instrument</w:t>
      </w:r>
      <w:r w:rsidRPr="000C5D27">
        <w:t xml:space="preserve">, making this disease nationally notifiable.  </w:t>
      </w:r>
      <w:r w:rsidR="00FC62DD">
        <w:t>This will make</w:t>
      </w:r>
      <w:r w:rsidR="00FC62DD" w:rsidRPr="00FC62DD">
        <w:t xml:space="preserve"> a clear statement of intent about the public health priority of the disease. </w:t>
      </w:r>
    </w:p>
    <w:p w:rsidR="00B74D37" w:rsidRDefault="00B74D37" w:rsidP="00FC62DD"/>
    <w:p w:rsidR="00B74D37" w:rsidRPr="003C199E" w:rsidRDefault="00C72ABF" w:rsidP="00B74D37">
      <w:pPr>
        <w:autoSpaceDE w:val="0"/>
        <w:autoSpaceDN w:val="0"/>
        <w:adjustRightInd w:val="0"/>
        <w:rPr>
          <w:color w:val="000000"/>
          <w:szCs w:val="24"/>
        </w:rPr>
      </w:pPr>
      <w:r w:rsidRPr="000C5D27">
        <w:t xml:space="preserve">The second amendment changes the name of a disease currently listed </w:t>
      </w:r>
      <w:r w:rsidR="00BD13B6">
        <w:t>in the Principle Instrument</w:t>
      </w:r>
      <w:r w:rsidRPr="000C5D27">
        <w:t xml:space="preserve"> from </w:t>
      </w:r>
      <w:r w:rsidR="00B74D37">
        <w:rPr>
          <w:szCs w:val="22"/>
        </w:rPr>
        <w:t>“</w:t>
      </w:r>
      <w:proofErr w:type="spellStart"/>
      <w:r w:rsidR="00B74D37">
        <w:rPr>
          <w:szCs w:val="22"/>
        </w:rPr>
        <w:t>Kunjin</w:t>
      </w:r>
      <w:proofErr w:type="spellEnd"/>
      <w:r w:rsidR="00B74D37">
        <w:rPr>
          <w:szCs w:val="22"/>
        </w:rPr>
        <w:t xml:space="preserve"> virus infection”, to “West Nile virus/</w:t>
      </w:r>
      <w:proofErr w:type="spellStart"/>
      <w:r w:rsidR="00B74D37">
        <w:rPr>
          <w:szCs w:val="22"/>
        </w:rPr>
        <w:t>Kunjin</w:t>
      </w:r>
      <w:proofErr w:type="spellEnd"/>
      <w:r w:rsidR="00B74D37">
        <w:rPr>
          <w:szCs w:val="22"/>
        </w:rPr>
        <w:t xml:space="preserve"> virus infection”.</w:t>
      </w:r>
      <w:r w:rsidR="00B74D37" w:rsidRPr="000C5D27">
        <w:t xml:space="preserve"> </w:t>
      </w:r>
      <w:r w:rsidR="00B74D37" w:rsidRPr="003C199E">
        <w:rPr>
          <w:color w:val="000000"/>
          <w:szCs w:val="24"/>
        </w:rPr>
        <w:t xml:space="preserve">The </w:t>
      </w:r>
      <w:proofErr w:type="spellStart"/>
      <w:r w:rsidR="00B74D37" w:rsidRPr="003C199E">
        <w:rPr>
          <w:color w:val="000000"/>
          <w:szCs w:val="24"/>
        </w:rPr>
        <w:t>NNDL</w:t>
      </w:r>
      <w:proofErr w:type="spellEnd"/>
      <w:r w:rsidR="00B74D37" w:rsidRPr="003C199E">
        <w:rPr>
          <w:color w:val="000000"/>
          <w:szCs w:val="24"/>
        </w:rPr>
        <w:t xml:space="preserve"> currently lists </w:t>
      </w:r>
      <w:proofErr w:type="spellStart"/>
      <w:r w:rsidR="00B74D37" w:rsidRPr="003C199E">
        <w:rPr>
          <w:color w:val="000000"/>
          <w:szCs w:val="24"/>
        </w:rPr>
        <w:t>Kunjin</w:t>
      </w:r>
      <w:proofErr w:type="spellEnd"/>
      <w:r w:rsidR="00B74D37" w:rsidRPr="003C199E">
        <w:rPr>
          <w:color w:val="000000"/>
          <w:szCs w:val="24"/>
        </w:rPr>
        <w:t xml:space="preserve"> virus infection as being a notifiable vector borne disease.  This naming appears (without consideration of the case definition) to preclude the notification of West Nile virus infections other than the </w:t>
      </w:r>
      <w:proofErr w:type="spellStart"/>
      <w:r w:rsidR="00B74D37" w:rsidRPr="003C199E">
        <w:rPr>
          <w:color w:val="000000"/>
          <w:szCs w:val="24"/>
        </w:rPr>
        <w:t>Kunjin</w:t>
      </w:r>
      <w:proofErr w:type="spellEnd"/>
      <w:r w:rsidR="00B74D37" w:rsidRPr="003C199E">
        <w:rPr>
          <w:color w:val="000000"/>
          <w:szCs w:val="24"/>
        </w:rPr>
        <w:t xml:space="preserve"> strain.</w:t>
      </w:r>
    </w:p>
    <w:p w:rsidR="00B74D37" w:rsidRPr="003C199E" w:rsidRDefault="00B74D37" w:rsidP="00B74D37">
      <w:pPr>
        <w:autoSpaceDE w:val="0"/>
        <w:autoSpaceDN w:val="0"/>
        <w:adjustRightInd w:val="0"/>
        <w:rPr>
          <w:color w:val="000000"/>
          <w:szCs w:val="24"/>
        </w:rPr>
      </w:pPr>
    </w:p>
    <w:p w:rsidR="00B74D37" w:rsidRDefault="00B74D37" w:rsidP="00B74D37">
      <w:pPr>
        <w:rPr>
          <w:color w:val="000000"/>
          <w:szCs w:val="24"/>
        </w:rPr>
      </w:pPr>
      <w:r w:rsidRPr="003C199E">
        <w:rPr>
          <w:color w:val="000000"/>
          <w:szCs w:val="24"/>
        </w:rPr>
        <w:t>The Australian national surveillance case definition was renamed to West Nile virus/</w:t>
      </w:r>
      <w:proofErr w:type="spellStart"/>
      <w:r w:rsidRPr="003C199E">
        <w:rPr>
          <w:color w:val="000000"/>
          <w:szCs w:val="24"/>
        </w:rPr>
        <w:t>Kunjin</w:t>
      </w:r>
      <w:proofErr w:type="spellEnd"/>
      <w:r w:rsidRPr="003C199E">
        <w:rPr>
          <w:color w:val="000000"/>
          <w:szCs w:val="24"/>
        </w:rPr>
        <w:t xml:space="preserve"> virus infection and allows for notification of confirmed infections with any strain of West Nile virus infection. </w:t>
      </w:r>
    </w:p>
    <w:p w:rsidR="00B74D37" w:rsidRDefault="00B74D37" w:rsidP="00B74D37">
      <w:pPr>
        <w:rPr>
          <w:color w:val="000000"/>
          <w:szCs w:val="24"/>
        </w:rPr>
      </w:pPr>
    </w:p>
    <w:p w:rsidR="00B74D37" w:rsidRPr="007D3E64" w:rsidRDefault="00B74D37" w:rsidP="00B74D37">
      <w:pPr>
        <w:rPr>
          <w:szCs w:val="24"/>
        </w:rPr>
      </w:pPr>
      <w:r>
        <w:rPr>
          <w:color w:val="000000"/>
          <w:szCs w:val="24"/>
        </w:rPr>
        <w:t>The third amendment</w:t>
      </w:r>
      <w:r w:rsidRPr="00B74D37">
        <w:rPr>
          <w:szCs w:val="24"/>
        </w:rPr>
        <w:t xml:space="preserve"> </w:t>
      </w:r>
      <w:r w:rsidRPr="007D3E64">
        <w:rPr>
          <w:szCs w:val="24"/>
        </w:rPr>
        <w:t>remove</w:t>
      </w:r>
      <w:r>
        <w:rPr>
          <w:szCs w:val="24"/>
        </w:rPr>
        <w:t>s</w:t>
      </w:r>
      <w:r w:rsidRPr="007D3E64">
        <w:rPr>
          <w:szCs w:val="24"/>
        </w:rPr>
        <w:t xml:space="preserve"> AIDS from the </w:t>
      </w:r>
      <w:r>
        <w:rPr>
          <w:szCs w:val="24"/>
        </w:rPr>
        <w:t>Principal Instrument</w:t>
      </w:r>
      <w:r w:rsidRPr="007D3E64">
        <w:rPr>
          <w:szCs w:val="24"/>
        </w:rPr>
        <w:t xml:space="preserve"> because since the introduction of antiretroviral therapy (ART) for HIV infections, AIDS notifications have decreased substantially and AIDS surveillance is no longer a reliable measure of the HIV epidemic.</w:t>
      </w:r>
      <w:r>
        <w:rPr>
          <w:szCs w:val="24"/>
        </w:rPr>
        <w:t xml:space="preserve"> </w:t>
      </w:r>
      <w:r w:rsidRPr="007D3E64">
        <w:rPr>
          <w:szCs w:val="24"/>
        </w:rPr>
        <w:t>The removal of AIDS as a notifiable disease will improve public health capacity to enable more complete reporting and analysis on HIV diagnoses, which is a much better indicator of the burden of the HIV/AIDS epidemic.</w:t>
      </w:r>
    </w:p>
    <w:p w:rsidR="00B74D37" w:rsidRDefault="00B74D37" w:rsidP="00B74D37">
      <w:pPr>
        <w:rPr>
          <w:color w:val="000000"/>
          <w:szCs w:val="24"/>
        </w:rPr>
      </w:pPr>
    </w:p>
    <w:p w:rsidR="00C72ABF" w:rsidRPr="000C5D27" w:rsidRDefault="00C63071" w:rsidP="00B74D37">
      <w:r w:rsidRPr="000C5D27">
        <w:t>These amendments do not make any substantive changes to the law.</w:t>
      </w:r>
    </w:p>
    <w:p w:rsidR="00031F4B" w:rsidRPr="000C5D27" w:rsidRDefault="00031F4B" w:rsidP="00031F4B">
      <w:pPr>
        <w:spacing w:before="120" w:after="120"/>
        <w:rPr>
          <w:b/>
        </w:rPr>
      </w:pPr>
      <w:r w:rsidRPr="000C5D27">
        <w:rPr>
          <w:b/>
        </w:rPr>
        <w:t>Human rights implications</w:t>
      </w:r>
    </w:p>
    <w:p w:rsidR="00031F4B" w:rsidRPr="000C5D27" w:rsidRDefault="00B855F4" w:rsidP="00031F4B">
      <w:pPr>
        <w:tabs>
          <w:tab w:val="num" w:pos="2289"/>
        </w:tabs>
        <w:rPr>
          <w:szCs w:val="24"/>
        </w:rPr>
      </w:pPr>
      <w:r w:rsidRPr="000C5D27">
        <w:rPr>
          <w:szCs w:val="24"/>
        </w:rPr>
        <w:t>Th</w:t>
      </w:r>
      <w:r w:rsidR="0069662B">
        <w:rPr>
          <w:szCs w:val="24"/>
        </w:rPr>
        <w:t xml:space="preserve">e Amending </w:t>
      </w:r>
      <w:r w:rsidRPr="000C5D27">
        <w:rPr>
          <w:szCs w:val="24"/>
        </w:rPr>
        <w:t>Instrument does not engage any of the applicable rights or freedoms.</w:t>
      </w:r>
    </w:p>
    <w:p w:rsidR="00B855F4" w:rsidRPr="00B74D37" w:rsidRDefault="00B855F4" w:rsidP="00B74D37">
      <w:pPr>
        <w:spacing w:before="120" w:after="120"/>
        <w:rPr>
          <w:b/>
        </w:rPr>
      </w:pPr>
      <w:r w:rsidRPr="00B74D37">
        <w:rPr>
          <w:b/>
        </w:rPr>
        <w:t>Conclusion</w:t>
      </w:r>
    </w:p>
    <w:p w:rsidR="00B855F4" w:rsidRPr="00B74D37" w:rsidRDefault="00B855F4" w:rsidP="00B74D37">
      <w:pPr>
        <w:spacing w:before="120" w:after="120"/>
      </w:pPr>
      <w:r w:rsidRPr="00B74D37">
        <w:t>Th</w:t>
      </w:r>
      <w:r w:rsidR="0069662B" w:rsidRPr="00B74D37">
        <w:t>e Amending</w:t>
      </w:r>
      <w:r w:rsidRPr="00B74D37">
        <w:t xml:space="preserve"> Instrument is compatible with human rights as it does not raise any human rights issues.</w:t>
      </w:r>
    </w:p>
    <w:p w:rsidR="00031F4B" w:rsidRPr="000C5D27" w:rsidRDefault="00031F4B" w:rsidP="00031F4B">
      <w:pPr>
        <w:jc w:val="center"/>
        <w:rPr>
          <w:b/>
        </w:rPr>
      </w:pPr>
      <w:r w:rsidRPr="000C5D27">
        <w:rPr>
          <w:b/>
        </w:rPr>
        <w:t xml:space="preserve">The Hon </w:t>
      </w:r>
      <w:proofErr w:type="spellStart"/>
      <w:r w:rsidR="00AF5008">
        <w:rPr>
          <w:b/>
        </w:rPr>
        <w:t>Sussan</w:t>
      </w:r>
      <w:proofErr w:type="spellEnd"/>
      <w:r w:rsidR="00AF5008">
        <w:rPr>
          <w:b/>
        </w:rPr>
        <w:t xml:space="preserve"> Ley</w:t>
      </w:r>
      <w:r w:rsidRPr="000C5D27">
        <w:rPr>
          <w:b/>
        </w:rPr>
        <w:t xml:space="preserve"> MP</w:t>
      </w:r>
    </w:p>
    <w:p w:rsidR="00031F4B" w:rsidRPr="000C5D27" w:rsidRDefault="00031F4B" w:rsidP="00031F4B">
      <w:pPr>
        <w:jc w:val="center"/>
        <w:rPr>
          <w:b/>
        </w:rPr>
      </w:pPr>
    </w:p>
    <w:p w:rsidR="00B42851" w:rsidRPr="0030786C" w:rsidRDefault="00B855F4" w:rsidP="00B74D37">
      <w:pPr>
        <w:jc w:val="center"/>
      </w:pPr>
      <w:r w:rsidRPr="000C5D27">
        <w:rPr>
          <w:b/>
        </w:rPr>
        <w:t>Minister for Health</w:t>
      </w:r>
    </w:p>
    <w:sectPr w:rsidR="00B42851" w:rsidRPr="0030786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8F2" w:rsidRDefault="00B568F2" w:rsidP="00EA49CD">
      <w:r>
        <w:separator/>
      </w:r>
    </w:p>
  </w:endnote>
  <w:endnote w:type="continuationSeparator" w:id="0">
    <w:p w:rsidR="00B568F2" w:rsidRDefault="00B568F2" w:rsidP="00EA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8F2" w:rsidRDefault="00B568F2" w:rsidP="00EA49CD">
      <w:r>
        <w:separator/>
      </w:r>
    </w:p>
  </w:footnote>
  <w:footnote w:type="continuationSeparator" w:id="0">
    <w:p w:rsidR="00B568F2" w:rsidRDefault="00B568F2" w:rsidP="00EA49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D0BE5"/>
    <w:multiLevelType w:val="hybridMultilevel"/>
    <w:tmpl w:val="198EA58E"/>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
    <w:nsid w:val="3E730E62"/>
    <w:multiLevelType w:val="hybridMultilevel"/>
    <w:tmpl w:val="E20EA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71A7B40"/>
    <w:multiLevelType w:val="hybridMultilevel"/>
    <w:tmpl w:val="CEFC0EB0"/>
    <w:lvl w:ilvl="0" w:tplc="C6CAC3A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4B"/>
    <w:rsid w:val="00007B7C"/>
    <w:rsid w:val="00021465"/>
    <w:rsid w:val="00031F4B"/>
    <w:rsid w:val="0003697E"/>
    <w:rsid w:val="000540E6"/>
    <w:rsid w:val="000577B1"/>
    <w:rsid w:val="000A4581"/>
    <w:rsid w:val="000B7648"/>
    <w:rsid w:val="000C5D27"/>
    <w:rsid w:val="000D0680"/>
    <w:rsid w:val="000E0869"/>
    <w:rsid w:val="00104F7D"/>
    <w:rsid w:val="001142F5"/>
    <w:rsid w:val="001353A1"/>
    <w:rsid w:val="00155A04"/>
    <w:rsid w:val="00156DF2"/>
    <w:rsid w:val="0016477A"/>
    <w:rsid w:val="00165BFC"/>
    <w:rsid w:val="0016689A"/>
    <w:rsid w:val="001B3443"/>
    <w:rsid w:val="00200DB4"/>
    <w:rsid w:val="002015A6"/>
    <w:rsid w:val="00204628"/>
    <w:rsid w:val="00205028"/>
    <w:rsid w:val="002176BC"/>
    <w:rsid w:val="002965B8"/>
    <w:rsid w:val="002B6757"/>
    <w:rsid w:val="002D7184"/>
    <w:rsid w:val="002F1F4E"/>
    <w:rsid w:val="002F31CC"/>
    <w:rsid w:val="0030786C"/>
    <w:rsid w:val="00382773"/>
    <w:rsid w:val="003B337F"/>
    <w:rsid w:val="003C199E"/>
    <w:rsid w:val="003F72E1"/>
    <w:rsid w:val="003F72F7"/>
    <w:rsid w:val="004304C2"/>
    <w:rsid w:val="00437F91"/>
    <w:rsid w:val="00441606"/>
    <w:rsid w:val="00451D80"/>
    <w:rsid w:val="00466C7E"/>
    <w:rsid w:val="00475955"/>
    <w:rsid w:val="004867E2"/>
    <w:rsid w:val="00517104"/>
    <w:rsid w:val="0054600A"/>
    <w:rsid w:val="00546C6E"/>
    <w:rsid w:val="005557CF"/>
    <w:rsid w:val="00590F61"/>
    <w:rsid w:val="005A1E07"/>
    <w:rsid w:val="005C49E0"/>
    <w:rsid w:val="005D4E3A"/>
    <w:rsid w:val="00604D8E"/>
    <w:rsid w:val="0060537A"/>
    <w:rsid w:val="006064CE"/>
    <w:rsid w:val="00623049"/>
    <w:rsid w:val="006722B1"/>
    <w:rsid w:val="006864AC"/>
    <w:rsid w:val="0069662B"/>
    <w:rsid w:val="006B70D4"/>
    <w:rsid w:val="006E62E8"/>
    <w:rsid w:val="006F5470"/>
    <w:rsid w:val="0070011F"/>
    <w:rsid w:val="00745173"/>
    <w:rsid w:val="0076412C"/>
    <w:rsid w:val="007C796A"/>
    <w:rsid w:val="00806600"/>
    <w:rsid w:val="00815C80"/>
    <w:rsid w:val="008264EB"/>
    <w:rsid w:val="00853FA9"/>
    <w:rsid w:val="00867616"/>
    <w:rsid w:val="00872751"/>
    <w:rsid w:val="008B3C82"/>
    <w:rsid w:val="008C3721"/>
    <w:rsid w:val="008D24F4"/>
    <w:rsid w:val="008D3D3F"/>
    <w:rsid w:val="00913C6F"/>
    <w:rsid w:val="00931A05"/>
    <w:rsid w:val="00985F79"/>
    <w:rsid w:val="009C6C58"/>
    <w:rsid w:val="00A236B3"/>
    <w:rsid w:val="00A570E6"/>
    <w:rsid w:val="00A60555"/>
    <w:rsid w:val="00A71930"/>
    <w:rsid w:val="00A82603"/>
    <w:rsid w:val="00AF5008"/>
    <w:rsid w:val="00B15590"/>
    <w:rsid w:val="00B42851"/>
    <w:rsid w:val="00B54413"/>
    <w:rsid w:val="00B568F2"/>
    <w:rsid w:val="00B56D3C"/>
    <w:rsid w:val="00B57A04"/>
    <w:rsid w:val="00B7488D"/>
    <w:rsid w:val="00B74D37"/>
    <w:rsid w:val="00B855F4"/>
    <w:rsid w:val="00B87748"/>
    <w:rsid w:val="00BA3CEA"/>
    <w:rsid w:val="00BA5ACA"/>
    <w:rsid w:val="00BD13B6"/>
    <w:rsid w:val="00BF0049"/>
    <w:rsid w:val="00BF7337"/>
    <w:rsid w:val="00C63071"/>
    <w:rsid w:val="00C72ABF"/>
    <w:rsid w:val="00C95BC8"/>
    <w:rsid w:val="00CA2BB4"/>
    <w:rsid w:val="00CB5B1A"/>
    <w:rsid w:val="00CC78ED"/>
    <w:rsid w:val="00D21E3D"/>
    <w:rsid w:val="00DB6D94"/>
    <w:rsid w:val="00E04264"/>
    <w:rsid w:val="00E148DF"/>
    <w:rsid w:val="00E60968"/>
    <w:rsid w:val="00EA49CD"/>
    <w:rsid w:val="00EA5B9F"/>
    <w:rsid w:val="00EC6536"/>
    <w:rsid w:val="00F22745"/>
    <w:rsid w:val="00F60505"/>
    <w:rsid w:val="00F74D69"/>
    <w:rsid w:val="00FA5216"/>
    <w:rsid w:val="00FB2F55"/>
    <w:rsid w:val="00FC62DD"/>
    <w:rsid w:val="00FD4B4B"/>
    <w:rsid w:val="00FF73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pPr>
        <w:spacing w:before="240" w:after="60"/>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F4B"/>
    <w:pPr>
      <w:spacing w:before="0" w:after="0"/>
    </w:pPr>
    <w:rPr>
      <w:sz w:val="24"/>
    </w:rPr>
  </w:style>
  <w:style w:type="paragraph" w:styleId="Heading1">
    <w:name w:val="heading 1"/>
    <w:basedOn w:val="Normal"/>
    <w:next w:val="Normal"/>
    <w:qFormat/>
    <w:rsid w:val="008264EB"/>
    <w:pPr>
      <w:keepNext/>
      <w:outlineLvl w:val="0"/>
    </w:pPr>
    <w:rPr>
      <w:rFonts w:cs="Arial"/>
      <w:b/>
      <w:bCs/>
      <w:kern w:val="32"/>
      <w:sz w:val="32"/>
      <w:szCs w:val="32"/>
    </w:rPr>
  </w:style>
  <w:style w:type="paragraph" w:styleId="Heading2">
    <w:name w:val="heading 2"/>
    <w:basedOn w:val="Normal"/>
    <w:next w:val="Normal"/>
    <w:qFormat/>
    <w:rsid w:val="008264EB"/>
    <w:pPr>
      <w:keepNext/>
      <w:outlineLvl w:val="1"/>
    </w:pPr>
    <w:rPr>
      <w:rFonts w:cs="Arial"/>
      <w:b/>
      <w:bCs/>
      <w:i/>
      <w:iCs/>
      <w:sz w:val="28"/>
      <w:szCs w:val="28"/>
    </w:rPr>
  </w:style>
  <w:style w:type="paragraph" w:styleId="Heading3">
    <w:name w:val="heading 3"/>
    <w:basedOn w:val="Normal"/>
    <w:next w:val="Normal"/>
    <w:qFormat/>
    <w:rsid w:val="008264EB"/>
    <w:pPr>
      <w:keepNext/>
      <w:outlineLvl w:val="2"/>
    </w:pPr>
    <w:rPr>
      <w:rFonts w:cs="Arial"/>
      <w:b/>
      <w:bCs/>
      <w:sz w:val="26"/>
      <w:szCs w:val="26"/>
    </w:rPr>
  </w:style>
  <w:style w:type="paragraph" w:styleId="Heading4">
    <w:name w:val="heading 4"/>
    <w:basedOn w:val="Normal"/>
    <w:next w:val="Normal"/>
    <w:qFormat/>
    <w:rsid w:val="00CB5B1A"/>
    <w:pPr>
      <w:keepNext/>
      <w:outlineLvl w:val="3"/>
    </w:pPr>
    <w:rPr>
      <w:b/>
      <w:bCs/>
      <w:i/>
      <w:sz w:val="26"/>
      <w:szCs w:val="28"/>
    </w:rPr>
  </w:style>
  <w:style w:type="paragraph" w:styleId="Heading5">
    <w:name w:val="heading 5"/>
    <w:basedOn w:val="Normal"/>
    <w:next w:val="Normal"/>
    <w:qFormat/>
    <w:rsid w:val="00CB5B1A"/>
    <w:pPr>
      <w:outlineLvl w:val="4"/>
    </w:pPr>
    <w:rPr>
      <w:b/>
      <w:bCs/>
      <w:iCs/>
      <w:sz w:val="26"/>
      <w:szCs w:val="26"/>
    </w:rPr>
  </w:style>
  <w:style w:type="paragraph" w:styleId="Heading6">
    <w:name w:val="heading 6"/>
    <w:basedOn w:val="Normal"/>
    <w:next w:val="Normal"/>
    <w:qFormat/>
    <w:rsid w:val="00CB5B1A"/>
    <w:pPr>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link w:val="AppendixCharChar"/>
    <w:rsid w:val="00031F4B"/>
    <w:pPr>
      <w:jc w:val="right"/>
    </w:pPr>
    <w:rPr>
      <w:b/>
    </w:rPr>
  </w:style>
  <w:style w:type="character" w:customStyle="1" w:styleId="AppendixCharChar">
    <w:name w:val="Appendix Char Char"/>
    <w:link w:val="Appendix"/>
    <w:rsid w:val="00031F4B"/>
    <w:rPr>
      <w:b/>
      <w:sz w:val="24"/>
    </w:rPr>
  </w:style>
  <w:style w:type="paragraph" w:styleId="BodyText">
    <w:name w:val="Body Text"/>
    <w:basedOn w:val="Normal"/>
    <w:link w:val="BodyTextChar"/>
    <w:rsid w:val="00031F4B"/>
    <w:rPr>
      <w:b/>
    </w:rPr>
  </w:style>
  <w:style w:type="character" w:customStyle="1" w:styleId="BodyTextChar">
    <w:name w:val="Body Text Char"/>
    <w:basedOn w:val="DefaultParagraphFont"/>
    <w:link w:val="BodyText"/>
    <w:rsid w:val="00031F4B"/>
    <w:rPr>
      <w:b/>
      <w:sz w:val="24"/>
    </w:rPr>
  </w:style>
  <w:style w:type="paragraph" w:customStyle="1" w:styleId="ShortT">
    <w:name w:val="ShortT"/>
    <w:basedOn w:val="Normal"/>
    <w:next w:val="Normal"/>
    <w:qFormat/>
    <w:rsid w:val="00031F4B"/>
    <w:rPr>
      <w:b/>
      <w:sz w:val="40"/>
    </w:rPr>
  </w:style>
  <w:style w:type="paragraph" w:styleId="ListParagraph">
    <w:name w:val="List Paragraph"/>
    <w:basedOn w:val="Normal"/>
    <w:uiPriority w:val="34"/>
    <w:qFormat/>
    <w:rsid w:val="00FB2F55"/>
    <w:pPr>
      <w:spacing w:after="200" w:line="276" w:lineRule="auto"/>
      <w:ind w:left="720"/>
      <w:contextualSpacing/>
    </w:pPr>
    <w:rPr>
      <w:rFonts w:eastAsiaTheme="minorHAnsi" w:cstheme="minorBidi"/>
      <w:szCs w:val="22"/>
      <w:lang w:eastAsia="en-US"/>
    </w:rPr>
  </w:style>
  <w:style w:type="character" w:styleId="CommentReference">
    <w:name w:val="annotation reference"/>
    <w:basedOn w:val="DefaultParagraphFont"/>
    <w:rsid w:val="00205028"/>
    <w:rPr>
      <w:sz w:val="16"/>
      <w:szCs w:val="16"/>
    </w:rPr>
  </w:style>
  <w:style w:type="paragraph" w:styleId="CommentText">
    <w:name w:val="annotation text"/>
    <w:basedOn w:val="Normal"/>
    <w:link w:val="CommentTextChar"/>
    <w:rsid w:val="00205028"/>
    <w:rPr>
      <w:sz w:val="20"/>
    </w:rPr>
  </w:style>
  <w:style w:type="character" w:customStyle="1" w:styleId="CommentTextChar">
    <w:name w:val="Comment Text Char"/>
    <w:basedOn w:val="DefaultParagraphFont"/>
    <w:link w:val="CommentText"/>
    <w:rsid w:val="00205028"/>
  </w:style>
  <w:style w:type="paragraph" w:styleId="CommentSubject">
    <w:name w:val="annotation subject"/>
    <w:basedOn w:val="CommentText"/>
    <w:next w:val="CommentText"/>
    <w:link w:val="CommentSubjectChar"/>
    <w:rsid w:val="00205028"/>
    <w:rPr>
      <w:b/>
      <w:bCs/>
    </w:rPr>
  </w:style>
  <w:style w:type="character" w:customStyle="1" w:styleId="CommentSubjectChar">
    <w:name w:val="Comment Subject Char"/>
    <w:basedOn w:val="CommentTextChar"/>
    <w:link w:val="CommentSubject"/>
    <w:rsid w:val="00205028"/>
    <w:rPr>
      <w:b/>
      <w:bCs/>
    </w:rPr>
  </w:style>
  <w:style w:type="paragraph" w:styleId="BalloonText">
    <w:name w:val="Balloon Text"/>
    <w:basedOn w:val="Normal"/>
    <w:link w:val="BalloonTextChar"/>
    <w:rsid w:val="00205028"/>
    <w:rPr>
      <w:rFonts w:ascii="Tahoma" w:hAnsi="Tahoma" w:cs="Tahoma"/>
      <w:sz w:val="16"/>
      <w:szCs w:val="16"/>
    </w:rPr>
  </w:style>
  <w:style w:type="character" w:customStyle="1" w:styleId="BalloonTextChar">
    <w:name w:val="Balloon Text Char"/>
    <w:basedOn w:val="DefaultParagraphFont"/>
    <w:link w:val="BalloonText"/>
    <w:rsid w:val="00205028"/>
    <w:rPr>
      <w:rFonts w:ascii="Tahoma" w:hAnsi="Tahoma" w:cs="Tahoma"/>
      <w:sz w:val="16"/>
      <w:szCs w:val="16"/>
    </w:rPr>
  </w:style>
  <w:style w:type="paragraph" w:styleId="Header">
    <w:name w:val="header"/>
    <w:basedOn w:val="Normal"/>
    <w:link w:val="HeaderChar"/>
    <w:rsid w:val="00EA49CD"/>
    <w:pPr>
      <w:tabs>
        <w:tab w:val="center" w:pos="4513"/>
        <w:tab w:val="right" w:pos="9026"/>
      </w:tabs>
    </w:pPr>
  </w:style>
  <w:style w:type="character" w:customStyle="1" w:styleId="HeaderChar">
    <w:name w:val="Header Char"/>
    <w:basedOn w:val="DefaultParagraphFont"/>
    <w:link w:val="Header"/>
    <w:rsid w:val="00EA49CD"/>
    <w:rPr>
      <w:sz w:val="24"/>
    </w:rPr>
  </w:style>
  <w:style w:type="paragraph" w:styleId="Footer">
    <w:name w:val="footer"/>
    <w:basedOn w:val="Normal"/>
    <w:link w:val="FooterChar"/>
    <w:rsid w:val="00EA49CD"/>
    <w:pPr>
      <w:tabs>
        <w:tab w:val="center" w:pos="4513"/>
        <w:tab w:val="right" w:pos="9026"/>
      </w:tabs>
    </w:pPr>
  </w:style>
  <w:style w:type="character" w:customStyle="1" w:styleId="FooterChar">
    <w:name w:val="Footer Char"/>
    <w:basedOn w:val="DefaultParagraphFont"/>
    <w:link w:val="Footer"/>
    <w:rsid w:val="00EA49C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pPr>
        <w:spacing w:before="240" w:after="60"/>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F4B"/>
    <w:pPr>
      <w:spacing w:before="0" w:after="0"/>
    </w:pPr>
    <w:rPr>
      <w:sz w:val="24"/>
    </w:rPr>
  </w:style>
  <w:style w:type="paragraph" w:styleId="Heading1">
    <w:name w:val="heading 1"/>
    <w:basedOn w:val="Normal"/>
    <w:next w:val="Normal"/>
    <w:qFormat/>
    <w:rsid w:val="008264EB"/>
    <w:pPr>
      <w:keepNext/>
      <w:outlineLvl w:val="0"/>
    </w:pPr>
    <w:rPr>
      <w:rFonts w:cs="Arial"/>
      <w:b/>
      <w:bCs/>
      <w:kern w:val="32"/>
      <w:sz w:val="32"/>
      <w:szCs w:val="32"/>
    </w:rPr>
  </w:style>
  <w:style w:type="paragraph" w:styleId="Heading2">
    <w:name w:val="heading 2"/>
    <w:basedOn w:val="Normal"/>
    <w:next w:val="Normal"/>
    <w:qFormat/>
    <w:rsid w:val="008264EB"/>
    <w:pPr>
      <w:keepNext/>
      <w:outlineLvl w:val="1"/>
    </w:pPr>
    <w:rPr>
      <w:rFonts w:cs="Arial"/>
      <w:b/>
      <w:bCs/>
      <w:i/>
      <w:iCs/>
      <w:sz w:val="28"/>
      <w:szCs w:val="28"/>
    </w:rPr>
  </w:style>
  <w:style w:type="paragraph" w:styleId="Heading3">
    <w:name w:val="heading 3"/>
    <w:basedOn w:val="Normal"/>
    <w:next w:val="Normal"/>
    <w:qFormat/>
    <w:rsid w:val="008264EB"/>
    <w:pPr>
      <w:keepNext/>
      <w:outlineLvl w:val="2"/>
    </w:pPr>
    <w:rPr>
      <w:rFonts w:cs="Arial"/>
      <w:b/>
      <w:bCs/>
      <w:sz w:val="26"/>
      <w:szCs w:val="26"/>
    </w:rPr>
  </w:style>
  <w:style w:type="paragraph" w:styleId="Heading4">
    <w:name w:val="heading 4"/>
    <w:basedOn w:val="Normal"/>
    <w:next w:val="Normal"/>
    <w:qFormat/>
    <w:rsid w:val="00CB5B1A"/>
    <w:pPr>
      <w:keepNext/>
      <w:outlineLvl w:val="3"/>
    </w:pPr>
    <w:rPr>
      <w:b/>
      <w:bCs/>
      <w:i/>
      <w:sz w:val="26"/>
      <w:szCs w:val="28"/>
    </w:rPr>
  </w:style>
  <w:style w:type="paragraph" w:styleId="Heading5">
    <w:name w:val="heading 5"/>
    <w:basedOn w:val="Normal"/>
    <w:next w:val="Normal"/>
    <w:qFormat/>
    <w:rsid w:val="00CB5B1A"/>
    <w:pPr>
      <w:outlineLvl w:val="4"/>
    </w:pPr>
    <w:rPr>
      <w:b/>
      <w:bCs/>
      <w:iCs/>
      <w:sz w:val="26"/>
      <w:szCs w:val="26"/>
    </w:rPr>
  </w:style>
  <w:style w:type="paragraph" w:styleId="Heading6">
    <w:name w:val="heading 6"/>
    <w:basedOn w:val="Normal"/>
    <w:next w:val="Normal"/>
    <w:qFormat/>
    <w:rsid w:val="00CB5B1A"/>
    <w:pPr>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link w:val="AppendixCharChar"/>
    <w:rsid w:val="00031F4B"/>
    <w:pPr>
      <w:jc w:val="right"/>
    </w:pPr>
    <w:rPr>
      <w:b/>
    </w:rPr>
  </w:style>
  <w:style w:type="character" w:customStyle="1" w:styleId="AppendixCharChar">
    <w:name w:val="Appendix Char Char"/>
    <w:link w:val="Appendix"/>
    <w:rsid w:val="00031F4B"/>
    <w:rPr>
      <w:b/>
      <w:sz w:val="24"/>
    </w:rPr>
  </w:style>
  <w:style w:type="paragraph" w:styleId="BodyText">
    <w:name w:val="Body Text"/>
    <w:basedOn w:val="Normal"/>
    <w:link w:val="BodyTextChar"/>
    <w:rsid w:val="00031F4B"/>
    <w:rPr>
      <w:b/>
    </w:rPr>
  </w:style>
  <w:style w:type="character" w:customStyle="1" w:styleId="BodyTextChar">
    <w:name w:val="Body Text Char"/>
    <w:basedOn w:val="DefaultParagraphFont"/>
    <w:link w:val="BodyText"/>
    <w:rsid w:val="00031F4B"/>
    <w:rPr>
      <w:b/>
      <w:sz w:val="24"/>
    </w:rPr>
  </w:style>
  <w:style w:type="paragraph" w:customStyle="1" w:styleId="ShortT">
    <w:name w:val="ShortT"/>
    <w:basedOn w:val="Normal"/>
    <w:next w:val="Normal"/>
    <w:qFormat/>
    <w:rsid w:val="00031F4B"/>
    <w:rPr>
      <w:b/>
      <w:sz w:val="40"/>
    </w:rPr>
  </w:style>
  <w:style w:type="paragraph" w:styleId="ListParagraph">
    <w:name w:val="List Paragraph"/>
    <w:basedOn w:val="Normal"/>
    <w:uiPriority w:val="34"/>
    <w:qFormat/>
    <w:rsid w:val="00FB2F55"/>
    <w:pPr>
      <w:spacing w:after="200" w:line="276" w:lineRule="auto"/>
      <w:ind w:left="720"/>
      <w:contextualSpacing/>
    </w:pPr>
    <w:rPr>
      <w:rFonts w:eastAsiaTheme="minorHAnsi" w:cstheme="minorBidi"/>
      <w:szCs w:val="22"/>
      <w:lang w:eastAsia="en-US"/>
    </w:rPr>
  </w:style>
  <w:style w:type="character" w:styleId="CommentReference">
    <w:name w:val="annotation reference"/>
    <w:basedOn w:val="DefaultParagraphFont"/>
    <w:rsid w:val="00205028"/>
    <w:rPr>
      <w:sz w:val="16"/>
      <w:szCs w:val="16"/>
    </w:rPr>
  </w:style>
  <w:style w:type="paragraph" w:styleId="CommentText">
    <w:name w:val="annotation text"/>
    <w:basedOn w:val="Normal"/>
    <w:link w:val="CommentTextChar"/>
    <w:rsid w:val="00205028"/>
    <w:rPr>
      <w:sz w:val="20"/>
    </w:rPr>
  </w:style>
  <w:style w:type="character" w:customStyle="1" w:styleId="CommentTextChar">
    <w:name w:val="Comment Text Char"/>
    <w:basedOn w:val="DefaultParagraphFont"/>
    <w:link w:val="CommentText"/>
    <w:rsid w:val="00205028"/>
  </w:style>
  <w:style w:type="paragraph" w:styleId="CommentSubject">
    <w:name w:val="annotation subject"/>
    <w:basedOn w:val="CommentText"/>
    <w:next w:val="CommentText"/>
    <w:link w:val="CommentSubjectChar"/>
    <w:rsid w:val="00205028"/>
    <w:rPr>
      <w:b/>
      <w:bCs/>
    </w:rPr>
  </w:style>
  <w:style w:type="character" w:customStyle="1" w:styleId="CommentSubjectChar">
    <w:name w:val="Comment Subject Char"/>
    <w:basedOn w:val="CommentTextChar"/>
    <w:link w:val="CommentSubject"/>
    <w:rsid w:val="00205028"/>
    <w:rPr>
      <w:b/>
      <w:bCs/>
    </w:rPr>
  </w:style>
  <w:style w:type="paragraph" w:styleId="BalloonText">
    <w:name w:val="Balloon Text"/>
    <w:basedOn w:val="Normal"/>
    <w:link w:val="BalloonTextChar"/>
    <w:rsid w:val="00205028"/>
    <w:rPr>
      <w:rFonts w:ascii="Tahoma" w:hAnsi="Tahoma" w:cs="Tahoma"/>
      <w:sz w:val="16"/>
      <w:szCs w:val="16"/>
    </w:rPr>
  </w:style>
  <w:style w:type="character" w:customStyle="1" w:styleId="BalloonTextChar">
    <w:name w:val="Balloon Text Char"/>
    <w:basedOn w:val="DefaultParagraphFont"/>
    <w:link w:val="BalloonText"/>
    <w:rsid w:val="00205028"/>
    <w:rPr>
      <w:rFonts w:ascii="Tahoma" w:hAnsi="Tahoma" w:cs="Tahoma"/>
      <w:sz w:val="16"/>
      <w:szCs w:val="16"/>
    </w:rPr>
  </w:style>
  <w:style w:type="paragraph" w:styleId="Header">
    <w:name w:val="header"/>
    <w:basedOn w:val="Normal"/>
    <w:link w:val="HeaderChar"/>
    <w:rsid w:val="00EA49CD"/>
    <w:pPr>
      <w:tabs>
        <w:tab w:val="center" w:pos="4513"/>
        <w:tab w:val="right" w:pos="9026"/>
      </w:tabs>
    </w:pPr>
  </w:style>
  <w:style w:type="character" w:customStyle="1" w:styleId="HeaderChar">
    <w:name w:val="Header Char"/>
    <w:basedOn w:val="DefaultParagraphFont"/>
    <w:link w:val="Header"/>
    <w:rsid w:val="00EA49CD"/>
    <w:rPr>
      <w:sz w:val="24"/>
    </w:rPr>
  </w:style>
  <w:style w:type="paragraph" w:styleId="Footer">
    <w:name w:val="footer"/>
    <w:basedOn w:val="Normal"/>
    <w:link w:val="FooterChar"/>
    <w:rsid w:val="00EA49CD"/>
    <w:pPr>
      <w:tabs>
        <w:tab w:val="center" w:pos="4513"/>
        <w:tab w:val="right" w:pos="9026"/>
      </w:tabs>
    </w:pPr>
  </w:style>
  <w:style w:type="character" w:customStyle="1" w:styleId="FooterChar">
    <w:name w:val="Footer Char"/>
    <w:basedOn w:val="DefaultParagraphFont"/>
    <w:link w:val="Footer"/>
    <w:rsid w:val="00EA49C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976271">
      <w:bodyDiv w:val="1"/>
      <w:marLeft w:val="0"/>
      <w:marRight w:val="0"/>
      <w:marTop w:val="0"/>
      <w:marBottom w:val="0"/>
      <w:divBdr>
        <w:top w:val="none" w:sz="0" w:space="0" w:color="auto"/>
        <w:left w:val="none" w:sz="0" w:space="0" w:color="auto"/>
        <w:bottom w:val="none" w:sz="0" w:space="0" w:color="auto"/>
        <w:right w:val="none" w:sz="0" w:space="0" w:color="auto"/>
      </w:divBdr>
      <w:divsChild>
        <w:div w:id="1138648216">
          <w:marLeft w:val="0"/>
          <w:marRight w:val="0"/>
          <w:marTop w:val="0"/>
          <w:marBottom w:val="0"/>
          <w:divBdr>
            <w:top w:val="none" w:sz="0" w:space="0" w:color="auto"/>
            <w:left w:val="none" w:sz="0" w:space="0" w:color="auto"/>
            <w:bottom w:val="none" w:sz="0" w:space="0" w:color="auto"/>
            <w:right w:val="none" w:sz="0" w:space="0" w:color="auto"/>
          </w:divBdr>
          <w:divsChild>
            <w:div w:id="1327175053">
              <w:marLeft w:val="0"/>
              <w:marRight w:val="0"/>
              <w:marTop w:val="0"/>
              <w:marBottom w:val="0"/>
              <w:divBdr>
                <w:top w:val="none" w:sz="0" w:space="0" w:color="auto"/>
                <w:left w:val="none" w:sz="0" w:space="0" w:color="auto"/>
                <w:bottom w:val="none" w:sz="0" w:space="0" w:color="auto"/>
                <w:right w:val="none" w:sz="0" w:space="0" w:color="auto"/>
              </w:divBdr>
              <w:divsChild>
                <w:div w:id="834347533">
                  <w:marLeft w:val="0"/>
                  <w:marRight w:val="0"/>
                  <w:marTop w:val="0"/>
                  <w:marBottom w:val="0"/>
                  <w:divBdr>
                    <w:top w:val="none" w:sz="0" w:space="0" w:color="auto"/>
                    <w:left w:val="none" w:sz="0" w:space="0" w:color="auto"/>
                    <w:bottom w:val="none" w:sz="0" w:space="0" w:color="auto"/>
                    <w:right w:val="none" w:sz="0" w:space="0" w:color="auto"/>
                  </w:divBdr>
                  <w:divsChild>
                    <w:div w:id="1527865582">
                      <w:marLeft w:val="0"/>
                      <w:marRight w:val="0"/>
                      <w:marTop w:val="0"/>
                      <w:marBottom w:val="0"/>
                      <w:divBdr>
                        <w:top w:val="none" w:sz="0" w:space="0" w:color="auto"/>
                        <w:left w:val="none" w:sz="0" w:space="0" w:color="auto"/>
                        <w:bottom w:val="none" w:sz="0" w:space="0" w:color="auto"/>
                        <w:right w:val="none" w:sz="0" w:space="0" w:color="auto"/>
                      </w:divBdr>
                      <w:divsChild>
                        <w:div w:id="1830168681">
                          <w:marLeft w:val="0"/>
                          <w:marRight w:val="0"/>
                          <w:marTop w:val="0"/>
                          <w:marBottom w:val="0"/>
                          <w:divBdr>
                            <w:top w:val="single" w:sz="6" w:space="0" w:color="828282"/>
                            <w:left w:val="single" w:sz="6" w:space="0" w:color="828282"/>
                            <w:bottom w:val="single" w:sz="6" w:space="0" w:color="828282"/>
                            <w:right w:val="single" w:sz="6" w:space="0" w:color="828282"/>
                          </w:divBdr>
                          <w:divsChild>
                            <w:div w:id="884566486">
                              <w:marLeft w:val="0"/>
                              <w:marRight w:val="0"/>
                              <w:marTop w:val="0"/>
                              <w:marBottom w:val="0"/>
                              <w:divBdr>
                                <w:top w:val="none" w:sz="0" w:space="0" w:color="auto"/>
                                <w:left w:val="none" w:sz="0" w:space="0" w:color="auto"/>
                                <w:bottom w:val="none" w:sz="0" w:space="0" w:color="auto"/>
                                <w:right w:val="none" w:sz="0" w:space="0" w:color="auto"/>
                              </w:divBdr>
                              <w:divsChild>
                                <w:div w:id="229080291">
                                  <w:marLeft w:val="0"/>
                                  <w:marRight w:val="0"/>
                                  <w:marTop w:val="0"/>
                                  <w:marBottom w:val="0"/>
                                  <w:divBdr>
                                    <w:top w:val="none" w:sz="0" w:space="0" w:color="auto"/>
                                    <w:left w:val="none" w:sz="0" w:space="0" w:color="auto"/>
                                    <w:bottom w:val="none" w:sz="0" w:space="0" w:color="auto"/>
                                    <w:right w:val="none" w:sz="0" w:space="0" w:color="auto"/>
                                  </w:divBdr>
                                  <w:divsChild>
                                    <w:div w:id="991450678">
                                      <w:marLeft w:val="0"/>
                                      <w:marRight w:val="0"/>
                                      <w:marTop w:val="0"/>
                                      <w:marBottom w:val="0"/>
                                      <w:divBdr>
                                        <w:top w:val="none" w:sz="0" w:space="0" w:color="auto"/>
                                        <w:left w:val="none" w:sz="0" w:space="0" w:color="auto"/>
                                        <w:bottom w:val="none" w:sz="0" w:space="0" w:color="auto"/>
                                        <w:right w:val="none" w:sz="0" w:space="0" w:color="auto"/>
                                      </w:divBdr>
                                      <w:divsChild>
                                        <w:div w:id="981160780">
                                          <w:marLeft w:val="0"/>
                                          <w:marRight w:val="0"/>
                                          <w:marTop w:val="0"/>
                                          <w:marBottom w:val="0"/>
                                          <w:divBdr>
                                            <w:top w:val="none" w:sz="0" w:space="0" w:color="auto"/>
                                            <w:left w:val="none" w:sz="0" w:space="0" w:color="auto"/>
                                            <w:bottom w:val="none" w:sz="0" w:space="0" w:color="auto"/>
                                            <w:right w:val="none" w:sz="0" w:space="0" w:color="auto"/>
                                          </w:divBdr>
                                          <w:divsChild>
                                            <w:div w:id="1303270157">
                                              <w:marLeft w:val="0"/>
                                              <w:marRight w:val="0"/>
                                              <w:marTop w:val="0"/>
                                              <w:marBottom w:val="0"/>
                                              <w:divBdr>
                                                <w:top w:val="none" w:sz="0" w:space="0" w:color="auto"/>
                                                <w:left w:val="none" w:sz="0" w:space="0" w:color="auto"/>
                                                <w:bottom w:val="none" w:sz="0" w:space="0" w:color="auto"/>
                                                <w:right w:val="none" w:sz="0" w:space="0" w:color="auto"/>
                                              </w:divBdr>
                                              <w:divsChild>
                                                <w:div w:id="196014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dms_Reason xmlns="C24EE59C-0C67-4756-BFD5-C34237F8D665" xsi:nil="true"/>
    <SecurityClassification xmlns="C24EE59C-0C67-4756-BFD5-C34237F8D665" xsi:nil="true"/>
    <pdms_DocumentType xmlns="C24EE59C-0C67-4756-BFD5-C34237F8D665" xsi:nil="true"/>
    <pdms_SecurityClassification xmlns="C24EE59C-0C67-4756-BFD5-C34237F8D665" xsi:nil="true"/>
    <pdms_AttachedBy xmlns="C24EE59C-0C67-4756-BFD5-C34237F8D6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59A1053DC2920640B715DE3CEE56BFF2" ma:contentTypeVersion="" ma:contentTypeDescription="PDMS Documentation Content Type" ma:contentTypeScope="" ma:versionID="95808fc39a4fd498d2ff226d0128213c">
  <xsd:schema xmlns:xsd="http://www.w3.org/2001/XMLSchema" xmlns:xs="http://www.w3.org/2001/XMLSchema" xmlns:p="http://schemas.microsoft.com/office/2006/metadata/properties" xmlns:ns2="C24EE59C-0C67-4756-BFD5-C34237F8D665" targetNamespace="http://schemas.microsoft.com/office/2006/metadata/properties" ma:root="true" ma:fieldsID="02fd61cc74855d5529c85bf83b442feb" ns2:_="">
    <xsd:import namespace="C24EE59C-0C67-4756-BFD5-C34237F8D665"/>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EE59C-0C67-4756-BFD5-C34237F8D66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9EF0E3-31B5-48D3-B0DD-DE24A0E4CC4F}">
  <ds:schemaRefs>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C24EE59C-0C67-4756-BFD5-C34237F8D665"/>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A3A9EA95-E21E-41CE-B209-A65710A9C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EE59C-0C67-4756-BFD5-C34237F8D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28FC0A-9F35-49A3-92A2-952815072E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1344</Words>
  <Characters>7607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Eleanor</dc:creator>
  <cp:lastModifiedBy>Ryan Damien</cp:lastModifiedBy>
  <cp:revision>2</cp:revision>
  <cp:lastPrinted>2016-06-27T00:31:00Z</cp:lastPrinted>
  <dcterms:created xsi:type="dcterms:W3CDTF">2016-10-10T03:34:00Z</dcterms:created>
  <dcterms:modified xsi:type="dcterms:W3CDTF">2016-10-10T03:34:00Z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0x010100266966F133664895A6EE3632470D45F5010059A1053DC2920640B715DE3CEE56BFF2</vt:lpwstr>
  </property>
</Properties>
</file>