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6D775D" w:rsidRDefault="00193461" w:rsidP="00C63713">
      <w:pPr>
        <w:rPr>
          <w:sz w:val="28"/>
        </w:rPr>
      </w:pPr>
      <w:r w:rsidRPr="006D775D">
        <w:rPr>
          <w:noProof/>
          <w:lang w:eastAsia="en-AU"/>
        </w:rPr>
        <w:drawing>
          <wp:inline distT="0" distB="0" distL="0" distR="0" wp14:anchorId="38750E7F" wp14:editId="7DB9FBB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6D775D" w:rsidRDefault="0048364F" w:rsidP="0048364F">
      <w:pPr>
        <w:rPr>
          <w:sz w:val="19"/>
        </w:rPr>
      </w:pPr>
    </w:p>
    <w:p w:rsidR="0048364F" w:rsidRPr="006D775D" w:rsidRDefault="00956E87" w:rsidP="0048364F">
      <w:pPr>
        <w:pStyle w:val="ShortT"/>
      </w:pPr>
      <w:r w:rsidRPr="006D775D">
        <w:t>Health Insurance Legislation Amendment (2016 Measures No.</w:t>
      </w:r>
      <w:r w:rsidR="006D775D" w:rsidRPr="006D775D">
        <w:t> </w:t>
      </w:r>
      <w:r w:rsidRPr="006D775D">
        <w:t>2) Regulation</w:t>
      </w:r>
      <w:r w:rsidR="006D775D" w:rsidRPr="006D775D">
        <w:t> </w:t>
      </w:r>
      <w:r w:rsidRPr="006D775D">
        <w:t>2016</w:t>
      </w:r>
    </w:p>
    <w:p w:rsidR="008152EC" w:rsidRPr="006D775D" w:rsidRDefault="008152EC" w:rsidP="008152EC">
      <w:pPr>
        <w:pStyle w:val="SignCoverPageStart"/>
        <w:spacing w:before="240"/>
        <w:rPr>
          <w:szCs w:val="22"/>
        </w:rPr>
      </w:pPr>
      <w:r w:rsidRPr="006D775D">
        <w:rPr>
          <w:szCs w:val="22"/>
        </w:rPr>
        <w:t xml:space="preserve">I, General the Honourable Sir Peter Cosgrove AK MC (Ret’d), </w:t>
      </w:r>
      <w:r w:rsidR="006D775D" w:rsidRPr="006D775D">
        <w:rPr>
          <w:szCs w:val="22"/>
        </w:rPr>
        <w:t>Governor</w:t>
      </w:r>
      <w:r w:rsidR="006D775D">
        <w:rPr>
          <w:szCs w:val="22"/>
        </w:rPr>
        <w:noBreakHyphen/>
      </w:r>
      <w:r w:rsidR="006D775D" w:rsidRPr="006D775D">
        <w:rPr>
          <w:szCs w:val="22"/>
        </w:rPr>
        <w:t>General</w:t>
      </w:r>
      <w:r w:rsidRPr="006D775D">
        <w:rPr>
          <w:szCs w:val="22"/>
        </w:rPr>
        <w:t xml:space="preserve"> of the Commonwealth of Australia, acting with the advice of the Federal Executive Council, make the following regulation.</w:t>
      </w:r>
    </w:p>
    <w:p w:rsidR="008152EC" w:rsidRPr="006D775D" w:rsidRDefault="008152EC" w:rsidP="008152EC">
      <w:pPr>
        <w:keepNext/>
        <w:spacing w:before="720" w:line="240" w:lineRule="atLeast"/>
        <w:ind w:right="397"/>
        <w:jc w:val="both"/>
        <w:rPr>
          <w:szCs w:val="22"/>
        </w:rPr>
      </w:pPr>
      <w:r w:rsidRPr="006D775D">
        <w:rPr>
          <w:szCs w:val="22"/>
        </w:rPr>
        <w:t xml:space="preserve">Dated </w:t>
      </w:r>
      <w:bookmarkStart w:id="0" w:name="BKCheck15B_1"/>
      <w:bookmarkEnd w:id="0"/>
      <w:r w:rsidRPr="006D775D">
        <w:rPr>
          <w:szCs w:val="22"/>
        </w:rPr>
        <w:fldChar w:fldCharType="begin"/>
      </w:r>
      <w:r w:rsidRPr="006D775D">
        <w:rPr>
          <w:szCs w:val="22"/>
        </w:rPr>
        <w:instrText xml:space="preserve"> DOCPROPERTY  DateMade </w:instrText>
      </w:r>
      <w:r w:rsidRPr="006D775D">
        <w:rPr>
          <w:szCs w:val="22"/>
        </w:rPr>
        <w:fldChar w:fldCharType="separate"/>
      </w:r>
      <w:r w:rsidR="0041272C">
        <w:rPr>
          <w:szCs w:val="22"/>
        </w:rPr>
        <w:t>13 October 2016</w:t>
      </w:r>
      <w:r w:rsidRPr="006D775D">
        <w:rPr>
          <w:szCs w:val="22"/>
        </w:rPr>
        <w:fldChar w:fldCharType="end"/>
      </w:r>
    </w:p>
    <w:p w:rsidR="008152EC" w:rsidRPr="006D775D" w:rsidRDefault="008152EC" w:rsidP="008152EC">
      <w:pPr>
        <w:keepNext/>
        <w:tabs>
          <w:tab w:val="left" w:pos="3402"/>
        </w:tabs>
        <w:spacing w:before="1080" w:line="300" w:lineRule="atLeast"/>
        <w:ind w:left="397" w:right="397"/>
        <w:jc w:val="right"/>
        <w:rPr>
          <w:szCs w:val="22"/>
        </w:rPr>
      </w:pPr>
      <w:r w:rsidRPr="006D775D">
        <w:rPr>
          <w:szCs w:val="22"/>
        </w:rPr>
        <w:t>Peter Cosgrove</w:t>
      </w:r>
    </w:p>
    <w:p w:rsidR="008152EC" w:rsidRPr="006D775D" w:rsidRDefault="006D775D" w:rsidP="008152EC">
      <w:pPr>
        <w:keepNext/>
        <w:tabs>
          <w:tab w:val="left" w:pos="3402"/>
        </w:tabs>
        <w:spacing w:line="300" w:lineRule="atLeast"/>
        <w:ind w:left="397" w:right="397"/>
        <w:jc w:val="right"/>
        <w:rPr>
          <w:szCs w:val="22"/>
        </w:rPr>
      </w:pPr>
      <w:r w:rsidRPr="006D775D">
        <w:rPr>
          <w:szCs w:val="22"/>
        </w:rPr>
        <w:t>Governor</w:t>
      </w:r>
      <w:r>
        <w:rPr>
          <w:szCs w:val="22"/>
        </w:rPr>
        <w:noBreakHyphen/>
      </w:r>
      <w:r w:rsidRPr="006D775D">
        <w:rPr>
          <w:szCs w:val="22"/>
        </w:rPr>
        <w:t>General</w:t>
      </w:r>
    </w:p>
    <w:p w:rsidR="008152EC" w:rsidRPr="006D775D" w:rsidRDefault="008152EC" w:rsidP="008152EC">
      <w:pPr>
        <w:keepNext/>
        <w:tabs>
          <w:tab w:val="left" w:pos="3402"/>
        </w:tabs>
        <w:spacing w:before="840" w:after="1080" w:line="300" w:lineRule="atLeast"/>
        <w:ind w:right="397"/>
        <w:rPr>
          <w:szCs w:val="22"/>
        </w:rPr>
      </w:pPr>
      <w:r w:rsidRPr="006D775D">
        <w:rPr>
          <w:szCs w:val="22"/>
        </w:rPr>
        <w:t>By His Excellency’s Command</w:t>
      </w:r>
    </w:p>
    <w:p w:rsidR="008152EC" w:rsidRPr="006D775D" w:rsidRDefault="008152EC" w:rsidP="008152EC">
      <w:pPr>
        <w:keepNext/>
        <w:tabs>
          <w:tab w:val="left" w:pos="3402"/>
        </w:tabs>
        <w:spacing w:before="480" w:line="300" w:lineRule="atLeast"/>
        <w:ind w:right="397"/>
        <w:rPr>
          <w:szCs w:val="22"/>
        </w:rPr>
      </w:pPr>
      <w:r w:rsidRPr="006D775D">
        <w:rPr>
          <w:szCs w:val="22"/>
        </w:rPr>
        <w:t>Sussan Ley</w:t>
      </w:r>
    </w:p>
    <w:p w:rsidR="008152EC" w:rsidRPr="006D775D" w:rsidRDefault="008152EC" w:rsidP="008152EC">
      <w:pPr>
        <w:pStyle w:val="SignCoverPageEnd"/>
        <w:rPr>
          <w:szCs w:val="22"/>
        </w:rPr>
      </w:pPr>
      <w:r w:rsidRPr="006D775D">
        <w:rPr>
          <w:szCs w:val="22"/>
        </w:rPr>
        <w:t>Minister for Health and Aged Care</w:t>
      </w:r>
    </w:p>
    <w:p w:rsidR="008152EC" w:rsidRPr="006D775D" w:rsidRDefault="008152EC" w:rsidP="008152EC"/>
    <w:p w:rsidR="008152EC" w:rsidRPr="006D775D" w:rsidRDefault="008152EC" w:rsidP="008152EC"/>
    <w:p w:rsidR="008152EC" w:rsidRPr="006D775D" w:rsidRDefault="008152EC" w:rsidP="008152EC"/>
    <w:p w:rsidR="008152EC" w:rsidRPr="006D775D" w:rsidRDefault="008152EC" w:rsidP="008152EC"/>
    <w:p w:rsidR="0048364F" w:rsidRPr="006D775D" w:rsidRDefault="0048364F" w:rsidP="0048364F">
      <w:pPr>
        <w:pStyle w:val="Header"/>
        <w:tabs>
          <w:tab w:val="clear" w:pos="4150"/>
          <w:tab w:val="clear" w:pos="8307"/>
        </w:tabs>
      </w:pPr>
      <w:r w:rsidRPr="006D775D">
        <w:rPr>
          <w:rStyle w:val="CharAmSchNo"/>
        </w:rPr>
        <w:t xml:space="preserve"> </w:t>
      </w:r>
      <w:r w:rsidRPr="006D775D">
        <w:rPr>
          <w:rStyle w:val="CharAmSchText"/>
        </w:rPr>
        <w:t xml:space="preserve"> </w:t>
      </w:r>
    </w:p>
    <w:p w:rsidR="0048364F" w:rsidRPr="006D775D" w:rsidRDefault="0048364F" w:rsidP="0048364F">
      <w:pPr>
        <w:pStyle w:val="Header"/>
        <w:tabs>
          <w:tab w:val="clear" w:pos="4150"/>
          <w:tab w:val="clear" w:pos="8307"/>
        </w:tabs>
      </w:pPr>
      <w:r w:rsidRPr="006D775D">
        <w:rPr>
          <w:rStyle w:val="CharAmPartNo"/>
        </w:rPr>
        <w:t xml:space="preserve"> </w:t>
      </w:r>
      <w:r w:rsidRPr="006D775D">
        <w:rPr>
          <w:rStyle w:val="CharAmPartText"/>
        </w:rPr>
        <w:t xml:space="preserve"> </w:t>
      </w:r>
    </w:p>
    <w:p w:rsidR="0048364F" w:rsidRPr="006D775D" w:rsidRDefault="0048364F" w:rsidP="0048364F">
      <w:pPr>
        <w:sectPr w:rsidR="0048364F" w:rsidRPr="006D775D" w:rsidSect="0066344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6D775D" w:rsidRDefault="0048364F" w:rsidP="0048184B">
      <w:pPr>
        <w:rPr>
          <w:sz w:val="36"/>
        </w:rPr>
      </w:pPr>
      <w:r w:rsidRPr="006D775D">
        <w:rPr>
          <w:sz w:val="36"/>
        </w:rPr>
        <w:lastRenderedPageBreak/>
        <w:t>Contents</w:t>
      </w:r>
    </w:p>
    <w:bookmarkStart w:id="1" w:name="BKCheck15B_2"/>
    <w:bookmarkEnd w:id="1"/>
    <w:p w:rsidR="00987110" w:rsidRPr="006D775D" w:rsidRDefault="00987110">
      <w:pPr>
        <w:pStyle w:val="TOC5"/>
        <w:rPr>
          <w:rFonts w:asciiTheme="minorHAnsi" w:eastAsiaTheme="minorEastAsia" w:hAnsiTheme="minorHAnsi" w:cstheme="minorBidi"/>
          <w:noProof/>
          <w:kern w:val="0"/>
          <w:sz w:val="22"/>
          <w:szCs w:val="22"/>
        </w:rPr>
      </w:pPr>
      <w:r w:rsidRPr="006D775D">
        <w:fldChar w:fldCharType="begin"/>
      </w:r>
      <w:r w:rsidRPr="006D775D">
        <w:instrText xml:space="preserve"> TOC \o "1-9" </w:instrText>
      </w:r>
      <w:r w:rsidRPr="006D775D">
        <w:fldChar w:fldCharType="separate"/>
      </w:r>
      <w:r w:rsidRPr="006D775D">
        <w:rPr>
          <w:noProof/>
        </w:rPr>
        <w:t>1</w:t>
      </w:r>
      <w:r w:rsidRPr="006D775D">
        <w:rPr>
          <w:noProof/>
        </w:rPr>
        <w:tab/>
        <w:t>Name</w:t>
      </w:r>
      <w:r w:rsidRPr="006D775D">
        <w:rPr>
          <w:noProof/>
        </w:rPr>
        <w:tab/>
      </w:r>
      <w:r w:rsidRPr="006D775D">
        <w:rPr>
          <w:noProof/>
        </w:rPr>
        <w:fldChar w:fldCharType="begin"/>
      </w:r>
      <w:r w:rsidRPr="006D775D">
        <w:rPr>
          <w:noProof/>
        </w:rPr>
        <w:instrText xml:space="preserve"> PAGEREF _Toc462386530 \h </w:instrText>
      </w:r>
      <w:r w:rsidRPr="006D775D">
        <w:rPr>
          <w:noProof/>
        </w:rPr>
      </w:r>
      <w:r w:rsidRPr="006D775D">
        <w:rPr>
          <w:noProof/>
        </w:rPr>
        <w:fldChar w:fldCharType="separate"/>
      </w:r>
      <w:r w:rsidR="0041272C">
        <w:rPr>
          <w:noProof/>
        </w:rPr>
        <w:t>1</w:t>
      </w:r>
      <w:r w:rsidRPr="006D775D">
        <w:rPr>
          <w:noProof/>
        </w:rPr>
        <w:fldChar w:fldCharType="end"/>
      </w:r>
    </w:p>
    <w:p w:rsidR="00987110" w:rsidRPr="006D775D" w:rsidRDefault="00987110">
      <w:pPr>
        <w:pStyle w:val="TOC5"/>
        <w:rPr>
          <w:rFonts w:asciiTheme="minorHAnsi" w:eastAsiaTheme="minorEastAsia" w:hAnsiTheme="minorHAnsi" w:cstheme="minorBidi"/>
          <w:noProof/>
          <w:kern w:val="0"/>
          <w:sz w:val="22"/>
          <w:szCs w:val="22"/>
        </w:rPr>
      </w:pPr>
      <w:r w:rsidRPr="006D775D">
        <w:rPr>
          <w:noProof/>
        </w:rPr>
        <w:t>2</w:t>
      </w:r>
      <w:r w:rsidRPr="006D775D">
        <w:rPr>
          <w:noProof/>
        </w:rPr>
        <w:tab/>
        <w:t>Commencement</w:t>
      </w:r>
      <w:r w:rsidRPr="006D775D">
        <w:rPr>
          <w:noProof/>
        </w:rPr>
        <w:tab/>
      </w:r>
      <w:r w:rsidRPr="006D775D">
        <w:rPr>
          <w:noProof/>
        </w:rPr>
        <w:fldChar w:fldCharType="begin"/>
      </w:r>
      <w:r w:rsidRPr="006D775D">
        <w:rPr>
          <w:noProof/>
        </w:rPr>
        <w:instrText xml:space="preserve"> PAGEREF _Toc462386531 \h </w:instrText>
      </w:r>
      <w:r w:rsidRPr="006D775D">
        <w:rPr>
          <w:noProof/>
        </w:rPr>
      </w:r>
      <w:r w:rsidRPr="006D775D">
        <w:rPr>
          <w:noProof/>
        </w:rPr>
        <w:fldChar w:fldCharType="separate"/>
      </w:r>
      <w:r w:rsidR="0041272C">
        <w:rPr>
          <w:noProof/>
        </w:rPr>
        <w:t>1</w:t>
      </w:r>
      <w:r w:rsidRPr="006D775D">
        <w:rPr>
          <w:noProof/>
        </w:rPr>
        <w:fldChar w:fldCharType="end"/>
      </w:r>
    </w:p>
    <w:p w:rsidR="00987110" w:rsidRPr="006D775D" w:rsidRDefault="00987110">
      <w:pPr>
        <w:pStyle w:val="TOC5"/>
        <w:rPr>
          <w:rFonts w:asciiTheme="minorHAnsi" w:eastAsiaTheme="minorEastAsia" w:hAnsiTheme="minorHAnsi" w:cstheme="minorBidi"/>
          <w:noProof/>
          <w:kern w:val="0"/>
          <w:sz w:val="22"/>
          <w:szCs w:val="22"/>
        </w:rPr>
      </w:pPr>
      <w:r w:rsidRPr="006D775D">
        <w:rPr>
          <w:noProof/>
        </w:rPr>
        <w:t>3</w:t>
      </w:r>
      <w:r w:rsidRPr="006D775D">
        <w:rPr>
          <w:noProof/>
        </w:rPr>
        <w:tab/>
        <w:t>Authority</w:t>
      </w:r>
      <w:r w:rsidRPr="006D775D">
        <w:rPr>
          <w:noProof/>
        </w:rPr>
        <w:tab/>
      </w:r>
      <w:r w:rsidRPr="006D775D">
        <w:rPr>
          <w:noProof/>
        </w:rPr>
        <w:fldChar w:fldCharType="begin"/>
      </w:r>
      <w:r w:rsidRPr="006D775D">
        <w:rPr>
          <w:noProof/>
        </w:rPr>
        <w:instrText xml:space="preserve"> PAGEREF _Toc462386532 \h </w:instrText>
      </w:r>
      <w:r w:rsidRPr="006D775D">
        <w:rPr>
          <w:noProof/>
        </w:rPr>
      </w:r>
      <w:r w:rsidRPr="006D775D">
        <w:rPr>
          <w:noProof/>
        </w:rPr>
        <w:fldChar w:fldCharType="separate"/>
      </w:r>
      <w:r w:rsidR="0041272C">
        <w:rPr>
          <w:noProof/>
        </w:rPr>
        <w:t>1</w:t>
      </w:r>
      <w:r w:rsidRPr="006D775D">
        <w:rPr>
          <w:noProof/>
        </w:rPr>
        <w:fldChar w:fldCharType="end"/>
      </w:r>
    </w:p>
    <w:p w:rsidR="00987110" w:rsidRPr="006D775D" w:rsidRDefault="00987110">
      <w:pPr>
        <w:pStyle w:val="TOC5"/>
        <w:rPr>
          <w:rFonts w:asciiTheme="minorHAnsi" w:eastAsiaTheme="minorEastAsia" w:hAnsiTheme="minorHAnsi" w:cstheme="minorBidi"/>
          <w:noProof/>
          <w:kern w:val="0"/>
          <w:sz w:val="22"/>
          <w:szCs w:val="22"/>
        </w:rPr>
      </w:pPr>
      <w:r w:rsidRPr="006D775D">
        <w:rPr>
          <w:noProof/>
        </w:rPr>
        <w:t>4</w:t>
      </w:r>
      <w:r w:rsidRPr="006D775D">
        <w:rPr>
          <w:noProof/>
        </w:rPr>
        <w:tab/>
        <w:t>Schedules</w:t>
      </w:r>
      <w:r w:rsidRPr="006D775D">
        <w:rPr>
          <w:noProof/>
        </w:rPr>
        <w:tab/>
      </w:r>
      <w:r w:rsidRPr="006D775D">
        <w:rPr>
          <w:noProof/>
        </w:rPr>
        <w:fldChar w:fldCharType="begin"/>
      </w:r>
      <w:r w:rsidRPr="006D775D">
        <w:rPr>
          <w:noProof/>
        </w:rPr>
        <w:instrText xml:space="preserve"> PAGEREF _Toc462386533 \h </w:instrText>
      </w:r>
      <w:r w:rsidRPr="006D775D">
        <w:rPr>
          <w:noProof/>
        </w:rPr>
      </w:r>
      <w:r w:rsidRPr="006D775D">
        <w:rPr>
          <w:noProof/>
        </w:rPr>
        <w:fldChar w:fldCharType="separate"/>
      </w:r>
      <w:r w:rsidR="0041272C">
        <w:rPr>
          <w:noProof/>
        </w:rPr>
        <w:t>1</w:t>
      </w:r>
      <w:r w:rsidRPr="006D775D">
        <w:rPr>
          <w:noProof/>
        </w:rPr>
        <w:fldChar w:fldCharType="end"/>
      </w:r>
    </w:p>
    <w:p w:rsidR="00987110" w:rsidRPr="006D775D" w:rsidRDefault="00987110">
      <w:pPr>
        <w:pStyle w:val="TOC6"/>
        <w:rPr>
          <w:rFonts w:asciiTheme="minorHAnsi" w:eastAsiaTheme="minorEastAsia" w:hAnsiTheme="minorHAnsi" w:cstheme="minorBidi"/>
          <w:b w:val="0"/>
          <w:noProof/>
          <w:kern w:val="0"/>
          <w:sz w:val="22"/>
          <w:szCs w:val="22"/>
        </w:rPr>
      </w:pPr>
      <w:r w:rsidRPr="006D775D">
        <w:rPr>
          <w:noProof/>
        </w:rPr>
        <w:t>Schedule</w:t>
      </w:r>
      <w:r w:rsidR="006D775D" w:rsidRPr="006D775D">
        <w:rPr>
          <w:noProof/>
        </w:rPr>
        <w:t> </w:t>
      </w:r>
      <w:r w:rsidRPr="006D775D">
        <w:rPr>
          <w:noProof/>
        </w:rPr>
        <w:t>1—Amendments</w:t>
      </w:r>
      <w:r w:rsidRPr="006D775D">
        <w:rPr>
          <w:b w:val="0"/>
          <w:noProof/>
          <w:sz w:val="18"/>
        </w:rPr>
        <w:tab/>
      </w:r>
      <w:r w:rsidRPr="006D775D">
        <w:rPr>
          <w:b w:val="0"/>
          <w:noProof/>
          <w:sz w:val="18"/>
        </w:rPr>
        <w:fldChar w:fldCharType="begin"/>
      </w:r>
      <w:r w:rsidRPr="006D775D">
        <w:rPr>
          <w:b w:val="0"/>
          <w:noProof/>
          <w:sz w:val="18"/>
        </w:rPr>
        <w:instrText xml:space="preserve"> PAGEREF _Toc462386534 \h </w:instrText>
      </w:r>
      <w:r w:rsidRPr="006D775D">
        <w:rPr>
          <w:b w:val="0"/>
          <w:noProof/>
          <w:sz w:val="18"/>
        </w:rPr>
      </w:r>
      <w:r w:rsidRPr="006D775D">
        <w:rPr>
          <w:b w:val="0"/>
          <w:noProof/>
          <w:sz w:val="18"/>
        </w:rPr>
        <w:fldChar w:fldCharType="separate"/>
      </w:r>
      <w:r w:rsidR="0041272C">
        <w:rPr>
          <w:b w:val="0"/>
          <w:noProof/>
          <w:sz w:val="18"/>
        </w:rPr>
        <w:t>2</w:t>
      </w:r>
      <w:r w:rsidRPr="006D775D">
        <w:rPr>
          <w:b w:val="0"/>
          <w:noProof/>
          <w:sz w:val="18"/>
        </w:rPr>
        <w:fldChar w:fldCharType="end"/>
      </w:r>
    </w:p>
    <w:p w:rsidR="00987110" w:rsidRPr="006D775D" w:rsidRDefault="00987110">
      <w:pPr>
        <w:pStyle w:val="TOC7"/>
        <w:rPr>
          <w:rFonts w:asciiTheme="minorHAnsi" w:eastAsiaTheme="minorEastAsia" w:hAnsiTheme="minorHAnsi" w:cstheme="minorBidi"/>
          <w:noProof/>
          <w:kern w:val="0"/>
          <w:sz w:val="22"/>
          <w:szCs w:val="22"/>
        </w:rPr>
      </w:pPr>
      <w:r w:rsidRPr="006D775D">
        <w:rPr>
          <w:noProof/>
        </w:rPr>
        <w:t>Part</w:t>
      </w:r>
      <w:r w:rsidR="006D775D" w:rsidRPr="006D775D">
        <w:rPr>
          <w:noProof/>
        </w:rPr>
        <w:t> </w:t>
      </w:r>
      <w:r w:rsidRPr="006D775D">
        <w:rPr>
          <w:noProof/>
        </w:rPr>
        <w:t>1—Main amendments</w:t>
      </w:r>
      <w:r w:rsidRPr="006D775D">
        <w:rPr>
          <w:noProof/>
          <w:sz w:val="18"/>
        </w:rPr>
        <w:tab/>
      </w:r>
      <w:r w:rsidRPr="006D775D">
        <w:rPr>
          <w:noProof/>
          <w:sz w:val="18"/>
        </w:rPr>
        <w:fldChar w:fldCharType="begin"/>
      </w:r>
      <w:r w:rsidRPr="006D775D">
        <w:rPr>
          <w:noProof/>
          <w:sz w:val="18"/>
        </w:rPr>
        <w:instrText xml:space="preserve"> PAGEREF _Toc462386535 \h </w:instrText>
      </w:r>
      <w:r w:rsidRPr="006D775D">
        <w:rPr>
          <w:noProof/>
          <w:sz w:val="18"/>
        </w:rPr>
      </w:r>
      <w:r w:rsidRPr="006D775D">
        <w:rPr>
          <w:noProof/>
          <w:sz w:val="18"/>
        </w:rPr>
        <w:fldChar w:fldCharType="separate"/>
      </w:r>
      <w:r w:rsidR="0041272C">
        <w:rPr>
          <w:noProof/>
          <w:sz w:val="18"/>
        </w:rPr>
        <w:t>2</w:t>
      </w:r>
      <w:r w:rsidRPr="006D775D">
        <w:rPr>
          <w:noProof/>
          <w:sz w:val="18"/>
        </w:rPr>
        <w:fldChar w:fldCharType="end"/>
      </w:r>
    </w:p>
    <w:p w:rsidR="00987110" w:rsidRPr="006D775D" w:rsidRDefault="00987110">
      <w:pPr>
        <w:pStyle w:val="TOC9"/>
        <w:rPr>
          <w:rFonts w:asciiTheme="minorHAnsi" w:eastAsiaTheme="minorEastAsia" w:hAnsiTheme="minorHAnsi" w:cstheme="minorBidi"/>
          <w:i w:val="0"/>
          <w:noProof/>
          <w:kern w:val="0"/>
          <w:sz w:val="22"/>
          <w:szCs w:val="22"/>
        </w:rPr>
      </w:pPr>
      <w:r w:rsidRPr="006D775D">
        <w:rPr>
          <w:noProof/>
        </w:rPr>
        <w:t>Health Insurance (Diagnostic Imaging Services Table) Regulation</w:t>
      </w:r>
      <w:r w:rsidR="006D775D" w:rsidRPr="006D775D">
        <w:rPr>
          <w:noProof/>
        </w:rPr>
        <w:t> </w:t>
      </w:r>
      <w:r w:rsidRPr="006D775D">
        <w:rPr>
          <w:noProof/>
        </w:rPr>
        <w:t>2016</w:t>
      </w:r>
      <w:r w:rsidRPr="006D775D">
        <w:rPr>
          <w:i w:val="0"/>
          <w:noProof/>
          <w:sz w:val="18"/>
        </w:rPr>
        <w:tab/>
      </w:r>
      <w:r w:rsidRPr="006D775D">
        <w:rPr>
          <w:i w:val="0"/>
          <w:noProof/>
          <w:sz w:val="18"/>
        </w:rPr>
        <w:fldChar w:fldCharType="begin"/>
      </w:r>
      <w:r w:rsidRPr="006D775D">
        <w:rPr>
          <w:i w:val="0"/>
          <w:noProof/>
          <w:sz w:val="18"/>
        </w:rPr>
        <w:instrText xml:space="preserve"> PAGEREF _Toc462386536 \h </w:instrText>
      </w:r>
      <w:r w:rsidRPr="006D775D">
        <w:rPr>
          <w:i w:val="0"/>
          <w:noProof/>
          <w:sz w:val="18"/>
        </w:rPr>
      </w:r>
      <w:r w:rsidRPr="006D775D">
        <w:rPr>
          <w:i w:val="0"/>
          <w:noProof/>
          <w:sz w:val="18"/>
        </w:rPr>
        <w:fldChar w:fldCharType="separate"/>
      </w:r>
      <w:r w:rsidR="0041272C">
        <w:rPr>
          <w:i w:val="0"/>
          <w:noProof/>
          <w:sz w:val="18"/>
        </w:rPr>
        <w:t>2</w:t>
      </w:r>
      <w:r w:rsidRPr="006D775D">
        <w:rPr>
          <w:i w:val="0"/>
          <w:noProof/>
          <w:sz w:val="18"/>
        </w:rPr>
        <w:fldChar w:fldCharType="end"/>
      </w:r>
    </w:p>
    <w:p w:rsidR="00987110" w:rsidRPr="006D775D" w:rsidRDefault="00987110">
      <w:pPr>
        <w:pStyle w:val="TOC9"/>
        <w:rPr>
          <w:rFonts w:asciiTheme="minorHAnsi" w:eastAsiaTheme="minorEastAsia" w:hAnsiTheme="minorHAnsi" w:cstheme="minorBidi"/>
          <w:i w:val="0"/>
          <w:noProof/>
          <w:kern w:val="0"/>
          <w:sz w:val="22"/>
          <w:szCs w:val="22"/>
        </w:rPr>
      </w:pPr>
      <w:r w:rsidRPr="006D775D">
        <w:rPr>
          <w:noProof/>
        </w:rPr>
        <w:t>Health Insurance (General Medical Services Table) Regulation</w:t>
      </w:r>
      <w:r w:rsidR="006D775D" w:rsidRPr="006D775D">
        <w:rPr>
          <w:noProof/>
        </w:rPr>
        <w:t> </w:t>
      </w:r>
      <w:r w:rsidRPr="006D775D">
        <w:rPr>
          <w:noProof/>
        </w:rPr>
        <w:t>2016</w:t>
      </w:r>
      <w:r w:rsidRPr="006D775D">
        <w:rPr>
          <w:i w:val="0"/>
          <w:noProof/>
          <w:sz w:val="18"/>
        </w:rPr>
        <w:tab/>
      </w:r>
      <w:r w:rsidRPr="006D775D">
        <w:rPr>
          <w:i w:val="0"/>
          <w:noProof/>
          <w:sz w:val="18"/>
        </w:rPr>
        <w:fldChar w:fldCharType="begin"/>
      </w:r>
      <w:r w:rsidRPr="006D775D">
        <w:rPr>
          <w:i w:val="0"/>
          <w:noProof/>
          <w:sz w:val="18"/>
        </w:rPr>
        <w:instrText xml:space="preserve"> PAGEREF _Toc462386537 \h </w:instrText>
      </w:r>
      <w:r w:rsidRPr="006D775D">
        <w:rPr>
          <w:i w:val="0"/>
          <w:noProof/>
          <w:sz w:val="18"/>
        </w:rPr>
      </w:r>
      <w:r w:rsidRPr="006D775D">
        <w:rPr>
          <w:i w:val="0"/>
          <w:noProof/>
          <w:sz w:val="18"/>
        </w:rPr>
        <w:fldChar w:fldCharType="separate"/>
      </w:r>
      <w:r w:rsidR="0041272C">
        <w:rPr>
          <w:i w:val="0"/>
          <w:noProof/>
          <w:sz w:val="18"/>
        </w:rPr>
        <w:t>3</w:t>
      </w:r>
      <w:r w:rsidRPr="006D775D">
        <w:rPr>
          <w:i w:val="0"/>
          <w:noProof/>
          <w:sz w:val="18"/>
        </w:rPr>
        <w:fldChar w:fldCharType="end"/>
      </w:r>
    </w:p>
    <w:p w:rsidR="00987110" w:rsidRPr="006D775D" w:rsidRDefault="00987110">
      <w:pPr>
        <w:pStyle w:val="TOC9"/>
        <w:rPr>
          <w:rFonts w:asciiTheme="minorHAnsi" w:eastAsiaTheme="minorEastAsia" w:hAnsiTheme="minorHAnsi" w:cstheme="minorBidi"/>
          <w:i w:val="0"/>
          <w:noProof/>
          <w:kern w:val="0"/>
          <w:sz w:val="22"/>
          <w:szCs w:val="22"/>
        </w:rPr>
      </w:pPr>
      <w:r w:rsidRPr="006D775D">
        <w:rPr>
          <w:noProof/>
        </w:rPr>
        <w:t>Health Insurance Regulations</w:t>
      </w:r>
      <w:r w:rsidR="006D775D" w:rsidRPr="006D775D">
        <w:rPr>
          <w:noProof/>
        </w:rPr>
        <w:t> </w:t>
      </w:r>
      <w:r w:rsidRPr="006D775D">
        <w:rPr>
          <w:noProof/>
        </w:rPr>
        <w:t>1975</w:t>
      </w:r>
      <w:r w:rsidRPr="006D775D">
        <w:rPr>
          <w:i w:val="0"/>
          <w:noProof/>
          <w:sz w:val="18"/>
        </w:rPr>
        <w:tab/>
      </w:r>
      <w:r w:rsidRPr="006D775D">
        <w:rPr>
          <w:i w:val="0"/>
          <w:noProof/>
          <w:sz w:val="18"/>
        </w:rPr>
        <w:fldChar w:fldCharType="begin"/>
      </w:r>
      <w:r w:rsidRPr="006D775D">
        <w:rPr>
          <w:i w:val="0"/>
          <w:noProof/>
          <w:sz w:val="18"/>
        </w:rPr>
        <w:instrText xml:space="preserve"> PAGEREF _Toc462386547 \h </w:instrText>
      </w:r>
      <w:r w:rsidRPr="006D775D">
        <w:rPr>
          <w:i w:val="0"/>
          <w:noProof/>
          <w:sz w:val="18"/>
        </w:rPr>
      </w:r>
      <w:r w:rsidRPr="006D775D">
        <w:rPr>
          <w:i w:val="0"/>
          <w:noProof/>
          <w:sz w:val="18"/>
        </w:rPr>
        <w:fldChar w:fldCharType="separate"/>
      </w:r>
      <w:r w:rsidR="0041272C">
        <w:rPr>
          <w:i w:val="0"/>
          <w:noProof/>
          <w:sz w:val="18"/>
        </w:rPr>
        <w:t>22</w:t>
      </w:r>
      <w:r w:rsidRPr="006D775D">
        <w:rPr>
          <w:i w:val="0"/>
          <w:noProof/>
          <w:sz w:val="18"/>
        </w:rPr>
        <w:fldChar w:fldCharType="end"/>
      </w:r>
    </w:p>
    <w:p w:rsidR="00987110" w:rsidRPr="006D775D" w:rsidRDefault="00987110">
      <w:pPr>
        <w:pStyle w:val="TOC7"/>
        <w:rPr>
          <w:rFonts w:asciiTheme="minorHAnsi" w:eastAsiaTheme="minorEastAsia" w:hAnsiTheme="minorHAnsi" w:cstheme="minorBidi"/>
          <w:noProof/>
          <w:kern w:val="0"/>
          <w:sz w:val="22"/>
          <w:szCs w:val="22"/>
        </w:rPr>
      </w:pPr>
      <w:r w:rsidRPr="006D775D">
        <w:rPr>
          <w:noProof/>
        </w:rPr>
        <w:t>Part</w:t>
      </w:r>
      <w:r w:rsidR="006D775D" w:rsidRPr="006D775D">
        <w:rPr>
          <w:noProof/>
        </w:rPr>
        <w:t> </w:t>
      </w:r>
      <w:r w:rsidRPr="006D775D">
        <w:rPr>
          <w:noProof/>
        </w:rPr>
        <w:t>2—Amendments relating to midwives</w:t>
      </w:r>
      <w:r w:rsidRPr="006D775D">
        <w:rPr>
          <w:noProof/>
          <w:sz w:val="18"/>
        </w:rPr>
        <w:tab/>
      </w:r>
      <w:r w:rsidRPr="006D775D">
        <w:rPr>
          <w:noProof/>
          <w:sz w:val="18"/>
        </w:rPr>
        <w:fldChar w:fldCharType="begin"/>
      </w:r>
      <w:r w:rsidRPr="006D775D">
        <w:rPr>
          <w:noProof/>
          <w:sz w:val="18"/>
        </w:rPr>
        <w:instrText xml:space="preserve"> PAGEREF _Toc462386548 \h </w:instrText>
      </w:r>
      <w:r w:rsidRPr="006D775D">
        <w:rPr>
          <w:noProof/>
          <w:sz w:val="18"/>
        </w:rPr>
      </w:r>
      <w:r w:rsidRPr="006D775D">
        <w:rPr>
          <w:noProof/>
          <w:sz w:val="18"/>
        </w:rPr>
        <w:fldChar w:fldCharType="separate"/>
      </w:r>
      <w:r w:rsidR="0041272C">
        <w:rPr>
          <w:noProof/>
          <w:sz w:val="18"/>
        </w:rPr>
        <w:t>23</w:t>
      </w:r>
      <w:r w:rsidRPr="006D775D">
        <w:rPr>
          <w:noProof/>
          <w:sz w:val="18"/>
        </w:rPr>
        <w:fldChar w:fldCharType="end"/>
      </w:r>
    </w:p>
    <w:p w:rsidR="00987110" w:rsidRPr="006D775D" w:rsidRDefault="00987110">
      <w:pPr>
        <w:pStyle w:val="TOC9"/>
        <w:rPr>
          <w:rFonts w:asciiTheme="minorHAnsi" w:eastAsiaTheme="minorEastAsia" w:hAnsiTheme="minorHAnsi" w:cstheme="minorBidi"/>
          <w:i w:val="0"/>
          <w:noProof/>
          <w:kern w:val="0"/>
          <w:sz w:val="22"/>
          <w:szCs w:val="22"/>
        </w:rPr>
      </w:pPr>
      <w:r w:rsidRPr="006D775D">
        <w:rPr>
          <w:noProof/>
        </w:rPr>
        <w:t>Health Insurance Regulations</w:t>
      </w:r>
      <w:r w:rsidR="006D775D" w:rsidRPr="006D775D">
        <w:rPr>
          <w:noProof/>
        </w:rPr>
        <w:t> </w:t>
      </w:r>
      <w:r w:rsidRPr="006D775D">
        <w:rPr>
          <w:noProof/>
        </w:rPr>
        <w:t>1975</w:t>
      </w:r>
      <w:r w:rsidRPr="006D775D">
        <w:rPr>
          <w:i w:val="0"/>
          <w:noProof/>
          <w:sz w:val="18"/>
        </w:rPr>
        <w:tab/>
      </w:r>
      <w:r w:rsidRPr="006D775D">
        <w:rPr>
          <w:i w:val="0"/>
          <w:noProof/>
          <w:sz w:val="18"/>
        </w:rPr>
        <w:fldChar w:fldCharType="begin"/>
      </w:r>
      <w:r w:rsidRPr="006D775D">
        <w:rPr>
          <w:i w:val="0"/>
          <w:noProof/>
          <w:sz w:val="18"/>
        </w:rPr>
        <w:instrText xml:space="preserve"> PAGEREF _Toc462386549 \h </w:instrText>
      </w:r>
      <w:r w:rsidRPr="006D775D">
        <w:rPr>
          <w:i w:val="0"/>
          <w:noProof/>
          <w:sz w:val="18"/>
        </w:rPr>
      </w:r>
      <w:r w:rsidRPr="006D775D">
        <w:rPr>
          <w:i w:val="0"/>
          <w:noProof/>
          <w:sz w:val="18"/>
        </w:rPr>
        <w:fldChar w:fldCharType="separate"/>
      </w:r>
      <w:r w:rsidR="0041272C">
        <w:rPr>
          <w:i w:val="0"/>
          <w:noProof/>
          <w:sz w:val="18"/>
        </w:rPr>
        <w:t>23</w:t>
      </w:r>
      <w:r w:rsidRPr="006D775D">
        <w:rPr>
          <w:i w:val="0"/>
          <w:noProof/>
          <w:sz w:val="18"/>
        </w:rPr>
        <w:fldChar w:fldCharType="end"/>
      </w:r>
    </w:p>
    <w:p w:rsidR="00833416" w:rsidRPr="006D775D" w:rsidRDefault="00987110" w:rsidP="0048364F">
      <w:r w:rsidRPr="006D775D">
        <w:fldChar w:fldCharType="end"/>
      </w:r>
    </w:p>
    <w:p w:rsidR="00722023" w:rsidRPr="006D775D" w:rsidRDefault="00722023" w:rsidP="0048364F">
      <w:pPr>
        <w:sectPr w:rsidR="00722023" w:rsidRPr="006D775D" w:rsidSect="0066344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6D775D" w:rsidRDefault="0048364F" w:rsidP="0048364F">
      <w:pPr>
        <w:pStyle w:val="ActHead5"/>
      </w:pPr>
      <w:bookmarkStart w:id="2" w:name="_Toc462386530"/>
      <w:r w:rsidRPr="006D775D">
        <w:rPr>
          <w:rStyle w:val="CharSectno"/>
        </w:rPr>
        <w:lastRenderedPageBreak/>
        <w:t>1</w:t>
      </w:r>
      <w:r w:rsidRPr="006D775D">
        <w:t xml:space="preserve">  </w:t>
      </w:r>
      <w:r w:rsidR="004F676E" w:rsidRPr="006D775D">
        <w:t>Name</w:t>
      </w:r>
      <w:bookmarkEnd w:id="2"/>
    </w:p>
    <w:p w:rsidR="0048364F" w:rsidRPr="006D775D" w:rsidRDefault="0048364F" w:rsidP="0048364F">
      <w:pPr>
        <w:pStyle w:val="subsection"/>
      </w:pPr>
      <w:r w:rsidRPr="006D775D">
        <w:tab/>
      </w:r>
      <w:r w:rsidRPr="006D775D">
        <w:tab/>
        <w:t>Th</w:t>
      </w:r>
      <w:r w:rsidR="00F24C35" w:rsidRPr="006D775D">
        <w:t>is</w:t>
      </w:r>
      <w:r w:rsidRPr="006D775D">
        <w:t xml:space="preserve"> </w:t>
      </w:r>
      <w:r w:rsidR="00F24C35" w:rsidRPr="006D775D">
        <w:t>is</w:t>
      </w:r>
      <w:r w:rsidR="003801D0" w:rsidRPr="006D775D">
        <w:t xml:space="preserve"> the</w:t>
      </w:r>
      <w:r w:rsidRPr="006D775D">
        <w:t xml:space="preserve"> </w:t>
      </w:r>
      <w:bookmarkStart w:id="3" w:name="BKCheck15B_3"/>
      <w:bookmarkEnd w:id="3"/>
      <w:r w:rsidR="00CB0180" w:rsidRPr="006D775D">
        <w:rPr>
          <w:i/>
        </w:rPr>
        <w:fldChar w:fldCharType="begin"/>
      </w:r>
      <w:r w:rsidR="00CB0180" w:rsidRPr="006D775D">
        <w:rPr>
          <w:i/>
        </w:rPr>
        <w:instrText xml:space="preserve"> STYLEREF  ShortT </w:instrText>
      </w:r>
      <w:r w:rsidR="00CB0180" w:rsidRPr="006D775D">
        <w:rPr>
          <w:i/>
        </w:rPr>
        <w:fldChar w:fldCharType="separate"/>
      </w:r>
      <w:r w:rsidR="0041272C">
        <w:rPr>
          <w:i/>
          <w:noProof/>
        </w:rPr>
        <w:t>Health Insurance Legislation Amendment (2016 Measures No. 2) Regulation 2016</w:t>
      </w:r>
      <w:r w:rsidR="00CB0180" w:rsidRPr="006D775D">
        <w:rPr>
          <w:i/>
        </w:rPr>
        <w:fldChar w:fldCharType="end"/>
      </w:r>
      <w:r w:rsidRPr="006D775D">
        <w:t>.</w:t>
      </w:r>
    </w:p>
    <w:p w:rsidR="0048364F" w:rsidRPr="006D775D" w:rsidRDefault="0048364F" w:rsidP="0048364F">
      <w:pPr>
        <w:pStyle w:val="ActHead5"/>
      </w:pPr>
      <w:bookmarkStart w:id="4" w:name="_Toc462386531"/>
      <w:r w:rsidRPr="006D775D">
        <w:rPr>
          <w:rStyle w:val="CharSectno"/>
        </w:rPr>
        <w:t>2</w:t>
      </w:r>
      <w:r w:rsidRPr="006D775D">
        <w:t xml:space="preserve">  Commencement</w:t>
      </w:r>
      <w:bookmarkEnd w:id="4"/>
    </w:p>
    <w:p w:rsidR="00956E87" w:rsidRPr="006D775D" w:rsidRDefault="00956E87" w:rsidP="006E53AF">
      <w:pPr>
        <w:pStyle w:val="subsection"/>
      </w:pPr>
      <w:bookmarkStart w:id="5" w:name="_GoBack"/>
      <w:r w:rsidRPr="006D775D">
        <w:tab/>
        <w:t>(1)</w:t>
      </w:r>
      <w:r w:rsidRPr="006D775D">
        <w:tab/>
        <w:t>Each provision of this instrument specified in column 1 of the table commences, or is taken to have commenced, in accordance with column 2 of the table. Any other statement in column 2 has effect according to its terms.</w:t>
      </w:r>
      <w:bookmarkEnd w:id="5"/>
    </w:p>
    <w:p w:rsidR="00956E87" w:rsidRPr="006D775D" w:rsidRDefault="00956E87" w:rsidP="006E53AF">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956E87" w:rsidRPr="006D775D" w:rsidTr="000938BD">
        <w:trPr>
          <w:tblHeader/>
        </w:trPr>
        <w:tc>
          <w:tcPr>
            <w:tcW w:w="5000" w:type="pct"/>
            <w:gridSpan w:val="3"/>
            <w:tcBorders>
              <w:top w:val="single" w:sz="12" w:space="0" w:color="auto"/>
              <w:bottom w:val="single" w:sz="6" w:space="0" w:color="auto"/>
            </w:tcBorders>
            <w:shd w:val="clear" w:color="auto" w:fill="auto"/>
            <w:hideMark/>
          </w:tcPr>
          <w:p w:rsidR="00956E87" w:rsidRPr="006D775D" w:rsidRDefault="00956E87" w:rsidP="006E53AF">
            <w:pPr>
              <w:pStyle w:val="TableHeading"/>
            </w:pPr>
            <w:r w:rsidRPr="006D775D">
              <w:t>Commencement information</w:t>
            </w:r>
          </w:p>
        </w:tc>
      </w:tr>
      <w:tr w:rsidR="00956E87" w:rsidRPr="006D775D" w:rsidTr="000938BD">
        <w:trPr>
          <w:tblHeader/>
        </w:trPr>
        <w:tc>
          <w:tcPr>
            <w:tcW w:w="1196" w:type="pct"/>
            <w:tcBorders>
              <w:top w:val="single" w:sz="6" w:space="0" w:color="auto"/>
              <w:bottom w:val="single" w:sz="6" w:space="0" w:color="auto"/>
            </w:tcBorders>
            <w:shd w:val="clear" w:color="auto" w:fill="auto"/>
            <w:hideMark/>
          </w:tcPr>
          <w:p w:rsidR="00956E87" w:rsidRPr="006D775D" w:rsidRDefault="00956E87" w:rsidP="006E53AF">
            <w:pPr>
              <w:pStyle w:val="TableHeading"/>
            </w:pPr>
            <w:r w:rsidRPr="006D775D">
              <w:t>Column 1</w:t>
            </w:r>
          </w:p>
        </w:tc>
        <w:tc>
          <w:tcPr>
            <w:tcW w:w="2692" w:type="pct"/>
            <w:tcBorders>
              <w:top w:val="single" w:sz="6" w:space="0" w:color="auto"/>
              <w:bottom w:val="single" w:sz="6" w:space="0" w:color="auto"/>
            </w:tcBorders>
            <w:shd w:val="clear" w:color="auto" w:fill="auto"/>
            <w:hideMark/>
          </w:tcPr>
          <w:p w:rsidR="00956E87" w:rsidRPr="006D775D" w:rsidRDefault="00956E87" w:rsidP="006E53AF">
            <w:pPr>
              <w:pStyle w:val="TableHeading"/>
            </w:pPr>
            <w:r w:rsidRPr="006D775D">
              <w:t>Column 2</w:t>
            </w:r>
          </w:p>
        </w:tc>
        <w:tc>
          <w:tcPr>
            <w:tcW w:w="1112" w:type="pct"/>
            <w:tcBorders>
              <w:top w:val="single" w:sz="6" w:space="0" w:color="auto"/>
              <w:bottom w:val="single" w:sz="6" w:space="0" w:color="auto"/>
            </w:tcBorders>
            <w:shd w:val="clear" w:color="auto" w:fill="auto"/>
            <w:hideMark/>
          </w:tcPr>
          <w:p w:rsidR="00956E87" w:rsidRPr="006D775D" w:rsidRDefault="00956E87" w:rsidP="006E53AF">
            <w:pPr>
              <w:pStyle w:val="TableHeading"/>
            </w:pPr>
            <w:r w:rsidRPr="006D775D">
              <w:t>Column 3</w:t>
            </w:r>
          </w:p>
        </w:tc>
      </w:tr>
      <w:tr w:rsidR="00956E87" w:rsidRPr="006D775D" w:rsidTr="000938BD">
        <w:trPr>
          <w:tblHeader/>
        </w:trPr>
        <w:tc>
          <w:tcPr>
            <w:tcW w:w="1196" w:type="pct"/>
            <w:tcBorders>
              <w:top w:val="single" w:sz="6" w:space="0" w:color="auto"/>
              <w:bottom w:val="single" w:sz="12" w:space="0" w:color="auto"/>
            </w:tcBorders>
            <w:shd w:val="clear" w:color="auto" w:fill="auto"/>
            <w:hideMark/>
          </w:tcPr>
          <w:p w:rsidR="00956E87" w:rsidRPr="006D775D" w:rsidRDefault="00956E87" w:rsidP="006E53AF">
            <w:pPr>
              <w:pStyle w:val="TableHeading"/>
            </w:pPr>
            <w:r w:rsidRPr="006D775D">
              <w:t>Provisions</w:t>
            </w:r>
          </w:p>
        </w:tc>
        <w:tc>
          <w:tcPr>
            <w:tcW w:w="2692" w:type="pct"/>
            <w:tcBorders>
              <w:top w:val="single" w:sz="6" w:space="0" w:color="auto"/>
              <w:bottom w:val="single" w:sz="12" w:space="0" w:color="auto"/>
            </w:tcBorders>
            <w:shd w:val="clear" w:color="auto" w:fill="auto"/>
            <w:hideMark/>
          </w:tcPr>
          <w:p w:rsidR="00956E87" w:rsidRPr="006D775D" w:rsidRDefault="00956E87" w:rsidP="006E53AF">
            <w:pPr>
              <w:pStyle w:val="TableHeading"/>
            </w:pPr>
            <w:r w:rsidRPr="006D775D">
              <w:t>Commencement</w:t>
            </w:r>
          </w:p>
        </w:tc>
        <w:tc>
          <w:tcPr>
            <w:tcW w:w="1112" w:type="pct"/>
            <w:tcBorders>
              <w:top w:val="single" w:sz="6" w:space="0" w:color="auto"/>
              <w:bottom w:val="single" w:sz="12" w:space="0" w:color="auto"/>
            </w:tcBorders>
            <w:shd w:val="clear" w:color="auto" w:fill="auto"/>
            <w:hideMark/>
          </w:tcPr>
          <w:p w:rsidR="00956E87" w:rsidRPr="006D775D" w:rsidRDefault="00956E87" w:rsidP="006E53AF">
            <w:pPr>
              <w:pStyle w:val="TableHeading"/>
            </w:pPr>
            <w:r w:rsidRPr="006D775D">
              <w:t>Date/Details</w:t>
            </w:r>
          </w:p>
        </w:tc>
      </w:tr>
      <w:tr w:rsidR="00956E87" w:rsidRPr="006D775D" w:rsidTr="000938BD">
        <w:tc>
          <w:tcPr>
            <w:tcW w:w="1196" w:type="pct"/>
            <w:tcBorders>
              <w:top w:val="single" w:sz="12" w:space="0" w:color="auto"/>
            </w:tcBorders>
            <w:shd w:val="clear" w:color="auto" w:fill="auto"/>
            <w:hideMark/>
          </w:tcPr>
          <w:p w:rsidR="00956E87" w:rsidRPr="006D775D" w:rsidRDefault="000938BD" w:rsidP="006E53AF">
            <w:pPr>
              <w:pStyle w:val="Tabletext"/>
            </w:pPr>
            <w:r w:rsidRPr="006D775D">
              <w:t>1.  Sections</w:t>
            </w:r>
            <w:r w:rsidR="006D775D" w:rsidRPr="006D775D">
              <w:t> </w:t>
            </w:r>
            <w:r w:rsidRPr="006D775D">
              <w:t>1 to 4 and anything in this instrument not elsewhere covered by this table</w:t>
            </w:r>
          </w:p>
        </w:tc>
        <w:tc>
          <w:tcPr>
            <w:tcW w:w="2692" w:type="pct"/>
            <w:tcBorders>
              <w:top w:val="single" w:sz="12" w:space="0" w:color="auto"/>
            </w:tcBorders>
            <w:shd w:val="clear" w:color="auto" w:fill="auto"/>
            <w:hideMark/>
          </w:tcPr>
          <w:p w:rsidR="00956E87" w:rsidRPr="006D775D" w:rsidRDefault="00956E87" w:rsidP="006E53AF">
            <w:pPr>
              <w:pStyle w:val="Tabletext"/>
            </w:pPr>
            <w:r w:rsidRPr="006D775D">
              <w:t>1</w:t>
            </w:r>
            <w:r w:rsidR="006D775D" w:rsidRPr="006D775D">
              <w:t> </w:t>
            </w:r>
            <w:r w:rsidRPr="006D775D">
              <w:t>November 2016.</w:t>
            </w:r>
          </w:p>
        </w:tc>
        <w:tc>
          <w:tcPr>
            <w:tcW w:w="1112" w:type="pct"/>
            <w:tcBorders>
              <w:top w:val="single" w:sz="12" w:space="0" w:color="auto"/>
            </w:tcBorders>
            <w:shd w:val="clear" w:color="auto" w:fill="auto"/>
          </w:tcPr>
          <w:p w:rsidR="00956E87" w:rsidRPr="006D775D" w:rsidRDefault="00956E87" w:rsidP="006E53AF">
            <w:pPr>
              <w:pStyle w:val="Tabletext"/>
            </w:pPr>
            <w:r w:rsidRPr="006D775D">
              <w:t>1</w:t>
            </w:r>
            <w:r w:rsidR="006D775D" w:rsidRPr="006D775D">
              <w:t> </w:t>
            </w:r>
            <w:r w:rsidRPr="006D775D">
              <w:t>November 2016</w:t>
            </w:r>
          </w:p>
        </w:tc>
      </w:tr>
      <w:tr w:rsidR="000938BD" w:rsidRPr="006D775D" w:rsidTr="000938BD">
        <w:tc>
          <w:tcPr>
            <w:tcW w:w="1196" w:type="pct"/>
            <w:tcBorders>
              <w:bottom w:val="single" w:sz="2" w:space="0" w:color="auto"/>
            </w:tcBorders>
            <w:shd w:val="clear" w:color="auto" w:fill="auto"/>
          </w:tcPr>
          <w:p w:rsidR="000938BD" w:rsidRPr="006D775D" w:rsidRDefault="000938BD" w:rsidP="006E53AF">
            <w:pPr>
              <w:pStyle w:val="Tabletext"/>
            </w:pPr>
            <w:r w:rsidRPr="006D775D">
              <w:t>2.  Schedule</w:t>
            </w:r>
            <w:r w:rsidR="006D775D" w:rsidRPr="006D775D">
              <w:t> </w:t>
            </w:r>
            <w:r w:rsidRPr="006D775D">
              <w:t>1, Part</w:t>
            </w:r>
            <w:r w:rsidR="006D775D" w:rsidRPr="006D775D">
              <w:t> </w:t>
            </w:r>
            <w:r w:rsidRPr="006D775D">
              <w:t>1</w:t>
            </w:r>
          </w:p>
        </w:tc>
        <w:tc>
          <w:tcPr>
            <w:tcW w:w="2692" w:type="pct"/>
            <w:tcBorders>
              <w:bottom w:val="single" w:sz="2" w:space="0" w:color="auto"/>
            </w:tcBorders>
            <w:shd w:val="clear" w:color="auto" w:fill="auto"/>
          </w:tcPr>
          <w:p w:rsidR="000938BD" w:rsidRPr="006D775D" w:rsidRDefault="000938BD" w:rsidP="006E53AF">
            <w:pPr>
              <w:pStyle w:val="Tabletext"/>
            </w:pPr>
            <w:r w:rsidRPr="006D775D">
              <w:t>1</w:t>
            </w:r>
            <w:r w:rsidR="006D775D" w:rsidRPr="006D775D">
              <w:t> </w:t>
            </w:r>
            <w:r w:rsidRPr="006D775D">
              <w:t>November 2016.</w:t>
            </w:r>
          </w:p>
        </w:tc>
        <w:tc>
          <w:tcPr>
            <w:tcW w:w="1112" w:type="pct"/>
            <w:tcBorders>
              <w:bottom w:val="single" w:sz="2" w:space="0" w:color="auto"/>
            </w:tcBorders>
            <w:shd w:val="clear" w:color="auto" w:fill="auto"/>
          </w:tcPr>
          <w:p w:rsidR="000938BD" w:rsidRPr="006D775D" w:rsidRDefault="000938BD" w:rsidP="006E53AF">
            <w:pPr>
              <w:pStyle w:val="Tabletext"/>
            </w:pPr>
            <w:r w:rsidRPr="006D775D">
              <w:t>1</w:t>
            </w:r>
            <w:r w:rsidR="006D775D" w:rsidRPr="006D775D">
              <w:t> </w:t>
            </w:r>
            <w:r w:rsidRPr="006D775D">
              <w:t>November 2016</w:t>
            </w:r>
          </w:p>
        </w:tc>
      </w:tr>
      <w:tr w:rsidR="000938BD" w:rsidRPr="006D775D" w:rsidTr="000938BD">
        <w:tc>
          <w:tcPr>
            <w:tcW w:w="1196" w:type="pct"/>
            <w:tcBorders>
              <w:top w:val="single" w:sz="2" w:space="0" w:color="auto"/>
              <w:bottom w:val="single" w:sz="12" w:space="0" w:color="auto"/>
            </w:tcBorders>
            <w:shd w:val="clear" w:color="auto" w:fill="auto"/>
          </w:tcPr>
          <w:p w:rsidR="000938BD" w:rsidRPr="006D775D" w:rsidRDefault="000938BD" w:rsidP="006E53AF">
            <w:pPr>
              <w:pStyle w:val="Tabletext"/>
            </w:pPr>
            <w:r w:rsidRPr="006D775D">
              <w:t>3.  Schedule</w:t>
            </w:r>
            <w:r w:rsidR="006D775D" w:rsidRPr="006D775D">
              <w:t> </w:t>
            </w:r>
            <w:r w:rsidRPr="006D775D">
              <w:t>1, Part</w:t>
            </w:r>
            <w:r w:rsidR="006D775D" w:rsidRPr="006D775D">
              <w:t> </w:t>
            </w:r>
            <w:r w:rsidRPr="006D775D">
              <w:t>2</w:t>
            </w:r>
          </w:p>
        </w:tc>
        <w:tc>
          <w:tcPr>
            <w:tcW w:w="2692" w:type="pct"/>
            <w:tcBorders>
              <w:top w:val="single" w:sz="2" w:space="0" w:color="auto"/>
              <w:bottom w:val="single" w:sz="12" w:space="0" w:color="auto"/>
            </w:tcBorders>
            <w:shd w:val="clear" w:color="auto" w:fill="auto"/>
          </w:tcPr>
          <w:p w:rsidR="000938BD" w:rsidRPr="006D775D" w:rsidRDefault="000938BD" w:rsidP="006E53AF">
            <w:pPr>
              <w:pStyle w:val="Tabletext"/>
            </w:pPr>
            <w:r w:rsidRPr="006D775D">
              <w:t>1</w:t>
            </w:r>
            <w:r w:rsidR="006D775D" w:rsidRPr="006D775D">
              <w:t> </w:t>
            </w:r>
            <w:r w:rsidRPr="006D775D">
              <w:t>January 2017</w:t>
            </w:r>
          </w:p>
        </w:tc>
        <w:tc>
          <w:tcPr>
            <w:tcW w:w="1112" w:type="pct"/>
            <w:tcBorders>
              <w:top w:val="single" w:sz="2" w:space="0" w:color="auto"/>
              <w:bottom w:val="single" w:sz="12" w:space="0" w:color="auto"/>
            </w:tcBorders>
            <w:shd w:val="clear" w:color="auto" w:fill="auto"/>
          </w:tcPr>
          <w:p w:rsidR="000938BD" w:rsidRPr="006D775D" w:rsidRDefault="000938BD" w:rsidP="006E53AF">
            <w:pPr>
              <w:pStyle w:val="Tabletext"/>
            </w:pPr>
            <w:r w:rsidRPr="006D775D">
              <w:t>1</w:t>
            </w:r>
            <w:r w:rsidR="006D775D" w:rsidRPr="006D775D">
              <w:t> </w:t>
            </w:r>
            <w:r w:rsidRPr="006D775D">
              <w:t>January 2017</w:t>
            </w:r>
          </w:p>
        </w:tc>
      </w:tr>
    </w:tbl>
    <w:p w:rsidR="00956E87" w:rsidRPr="006D775D" w:rsidRDefault="00956E87" w:rsidP="006E53AF">
      <w:pPr>
        <w:pStyle w:val="notetext"/>
      </w:pPr>
      <w:r w:rsidRPr="006D775D">
        <w:rPr>
          <w:snapToGrid w:val="0"/>
          <w:lang w:eastAsia="en-US"/>
        </w:rPr>
        <w:t>Note:</w:t>
      </w:r>
      <w:r w:rsidRPr="006D775D">
        <w:rPr>
          <w:snapToGrid w:val="0"/>
          <w:lang w:eastAsia="en-US"/>
        </w:rPr>
        <w:tab/>
        <w:t xml:space="preserve">This table relates only to the provisions of this </w:t>
      </w:r>
      <w:r w:rsidRPr="006D775D">
        <w:t xml:space="preserve">instrument </w:t>
      </w:r>
      <w:r w:rsidRPr="006D775D">
        <w:rPr>
          <w:snapToGrid w:val="0"/>
          <w:lang w:eastAsia="en-US"/>
        </w:rPr>
        <w:t xml:space="preserve">as originally made. It will not be amended to deal with any later amendments of this </w:t>
      </w:r>
      <w:r w:rsidRPr="006D775D">
        <w:t>instrument</w:t>
      </w:r>
      <w:r w:rsidRPr="006D775D">
        <w:rPr>
          <w:snapToGrid w:val="0"/>
          <w:lang w:eastAsia="en-US"/>
        </w:rPr>
        <w:t>.</w:t>
      </w:r>
    </w:p>
    <w:p w:rsidR="00956E87" w:rsidRPr="006D775D" w:rsidRDefault="00956E87" w:rsidP="006E53AF">
      <w:pPr>
        <w:pStyle w:val="subsection"/>
      </w:pPr>
      <w:r w:rsidRPr="006D775D">
        <w:tab/>
        <w:t>(2)</w:t>
      </w:r>
      <w:r w:rsidRPr="006D775D">
        <w:tab/>
        <w:t>Any information in column 3 of the table is not part of this instrument. Information may be inserted in this column, or information in it may be edited, in any published version of this instrument.</w:t>
      </w:r>
    </w:p>
    <w:p w:rsidR="007769D4" w:rsidRPr="006D775D" w:rsidRDefault="007769D4" w:rsidP="007769D4">
      <w:pPr>
        <w:pStyle w:val="ActHead5"/>
      </w:pPr>
      <w:bookmarkStart w:id="6" w:name="_Toc462386532"/>
      <w:r w:rsidRPr="006D775D">
        <w:rPr>
          <w:rStyle w:val="CharSectno"/>
        </w:rPr>
        <w:t>3</w:t>
      </w:r>
      <w:r w:rsidRPr="006D775D">
        <w:t xml:space="preserve">  Authority</w:t>
      </w:r>
      <w:bookmarkEnd w:id="6"/>
    </w:p>
    <w:p w:rsidR="007769D4" w:rsidRPr="006D775D" w:rsidRDefault="007769D4" w:rsidP="007769D4">
      <w:pPr>
        <w:pStyle w:val="subsection"/>
      </w:pPr>
      <w:r w:rsidRPr="006D775D">
        <w:tab/>
      </w:r>
      <w:r w:rsidRPr="006D775D">
        <w:tab/>
      </w:r>
      <w:r w:rsidR="00AF0336" w:rsidRPr="006D775D">
        <w:t xml:space="preserve">This </w:t>
      </w:r>
      <w:r w:rsidR="00956E87" w:rsidRPr="006D775D">
        <w:t>instrument</w:t>
      </w:r>
      <w:r w:rsidR="00AF0336" w:rsidRPr="006D775D">
        <w:t xml:space="preserve"> is made under the </w:t>
      </w:r>
      <w:r w:rsidR="00956E87" w:rsidRPr="006D775D">
        <w:rPr>
          <w:i/>
        </w:rPr>
        <w:t>Health Insurance Act 1973</w:t>
      </w:r>
      <w:r w:rsidR="00D83D21" w:rsidRPr="006D775D">
        <w:rPr>
          <w:i/>
        </w:rPr>
        <w:t>.</w:t>
      </w:r>
    </w:p>
    <w:p w:rsidR="00557C7A" w:rsidRPr="006D775D" w:rsidRDefault="007769D4" w:rsidP="00557C7A">
      <w:pPr>
        <w:pStyle w:val="ActHead5"/>
      </w:pPr>
      <w:bookmarkStart w:id="7" w:name="_Toc462386533"/>
      <w:r w:rsidRPr="006D775D">
        <w:rPr>
          <w:rStyle w:val="CharSectno"/>
        </w:rPr>
        <w:t>4</w:t>
      </w:r>
      <w:r w:rsidR="00557C7A" w:rsidRPr="006D775D">
        <w:t xml:space="preserve">  </w:t>
      </w:r>
      <w:r w:rsidR="00B332B8" w:rsidRPr="006D775D">
        <w:t>Schedules</w:t>
      </w:r>
      <w:bookmarkEnd w:id="7"/>
    </w:p>
    <w:p w:rsidR="000F6B02" w:rsidRPr="006D775D" w:rsidRDefault="00557C7A" w:rsidP="000F6B02">
      <w:pPr>
        <w:pStyle w:val="subsection"/>
      </w:pPr>
      <w:r w:rsidRPr="006D775D">
        <w:tab/>
      </w:r>
      <w:r w:rsidRPr="006D775D">
        <w:tab/>
      </w:r>
      <w:r w:rsidR="000F6B02" w:rsidRPr="006D775D">
        <w:t xml:space="preserve">Each instrument that is specified in a Schedule to </w:t>
      </w:r>
      <w:r w:rsidR="00956E87" w:rsidRPr="006D775D">
        <w:t>this instrument</w:t>
      </w:r>
      <w:r w:rsidR="000F6B02" w:rsidRPr="006D775D">
        <w:t xml:space="preserve"> is amended or repealed as set out in the applicable items in the Schedule concerned, and any other item in a Schedule to </w:t>
      </w:r>
      <w:r w:rsidR="00956E87" w:rsidRPr="006D775D">
        <w:t>this instrument</w:t>
      </w:r>
      <w:r w:rsidR="000F6B02" w:rsidRPr="006D775D">
        <w:t xml:space="preserve"> has effect according to its terms.</w:t>
      </w:r>
    </w:p>
    <w:p w:rsidR="0048364F" w:rsidRPr="006D775D" w:rsidRDefault="0048364F" w:rsidP="00FF3089">
      <w:pPr>
        <w:pStyle w:val="ActHead6"/>
        <w:pageBreakBefore/>
      </w:pPr>
      <w:bookmarkStart w:id="8" w:name="_Toc462386534"/>
      <w:bookmarkStart w:id="9" w:name="opcAmSched"/>
      <w:bookmarkStart w:id="10" w:name="opcCurrentFind"/>
      <w:r w:rsidRPr="006D775D">
        <w:rPr>
          <w:rStyle w:val="CharAmSchNo"/>
        </w:rPr>
        <w:t>Schedule</w:t>
      </w:r>
      <w:r w:rsidR="006D775D" w:rsidRPr="006D775D">
        <w:rPr>
          <w:rStyle w:val="CharAmSchNo"/>
        </w:rPr>
        <w:t> </w:t>
      </w:r>
      <w:r w:rsidRPr="006D775D">
        <w:rPr>
          <w:rStyle w:val="CharAmSchNo"/>
        </w:rPr>
        <w:t>1</w:t>
      </w:r>
      <w:r w:rsidRPr="006D775D">
        <w:t>—</w:t>
      </w:r>
      <w:r w:rsidR="00460499" w:rsidRPr="006D775D">
        <w:rPr>
          <w:rStyle w:val="CharAmSchText"/>
        </w:rPr>
        <w:t>Amendments</w:t>
      </w:r>
      <w:bookmarkEnd w:id="8"/>
    </w:p>
    <w:p w:rsidR="0004044E" w:rsidRPr="006D775D" w:rsidRDefault="00E2526E" w:rsidP="00E2526E">
      <w:pPr>
        <w:pStyle w:val="ActHead7"/>
      </w:pPr>
      <w:bookmarkStart w:id="11" w:name="_Toc462386535"/>
      <w:bookmarkEnd w:id="9"/>
      <w:bookmarkEnd w:id="10"/>
      <w:r w:rsidRPr="006D775D">
        <w:rPr>
          <w:rStyle w:val="CharAmPartNo"/>
        </w:rPr>
        <w:t>Part</w:t>
      </w:r>
      <w:r w:rsidR="006D775D" w:rsidRPr="006D775D">
        <w:rPr>
          <w:rStyle w:val="CharAmPartNo"/>
        </w:rPr>
        <w:t> </w:t>
      </w:r>
      <w:r w:rsidRPr="006D775D">
        <w:rPr>
          <w:rStyle w:val="CharAmPartNo"/>
        </w:rPr>
        <w:t>1</w:t>
      </w:r>
      <w:r w:rsidRPr="006D775D">
        <w:t>—</w:t>
      </w:r>
      <w:r w:rsidRPr="006D775D">
        <w:rPr>
          <w:rStyle w:val="CharAmPartText"/>
        </w:rPr>
        <w:t>Main amendments</w:t>
      </w:r>
      <w:bookmarkEnd w:id="11"/>
    </w:p>
    <w:p w:rsidR="00956E87" w:rsidRPr="006D775D" w:rsidRDefault="00956E87" w:rsidP="00956E87">
      <w:pPr>
        <w:pStyle w:val="ActHead9"/>
      </w:pPr>
      <w:bookmarkStart w:id="12" w:name="_Toc462386536"/>
      <w:r w:rsidRPr="006D775D">
        <w:t>Health Insurance (Diagnostic Imaging Services Table) Regulation</w:t>
      </w:r>
      <w:r w:rsidR="006D775D" w:rsidRPr="006D775D">
        <w:t> </w:t>
      </w:r>
      <w:r w:rsidRPr="006D775D">
        <w:t>2016</w:t>
      </w:r>
      <w:bookmarkEnd w:id="12"/>
    </w:p>
    <w:p w:rsidR="006E342E" w:rsidRPr="006D775D" w:rsidRDefault="00B25E9D" w:rsidP="006C2C12">
      <w:pPr>
        <w:pStyle w:val="ItemHead"/>
        <w:tabs>
          <w:tab w:val="left" w:pos="6663"/>
        </w:tabs>
      </w:pPr>
      <w:r w:rsidRPr="006D775D">
        <w:t>1</w:t>
      </w:r>
      <w:r w:rsidR="006E342E" w:rsidRPr="006D775D">
        <w:t xml:space="preserve">  Subclause</w:t>
      </w:r>
      <w:r w:rsidR="006D775D" w:rsidRPr="006D775D">
        <w:t> </w:t>
      </w:r>
      <w:r w:rsidR="006E342E" w:rsidRPr="006D775D">
        <w:t>2.5.1</w:t>
      </w:r>
      <w:r w:rsidR="00EA2110" w:rsidRPr="006D775D">
        <w:t>(1) of Schedule</w:t>
      </w:r>
      <w:r w:rsidR="006D775D" w:rsidRPr="006D775D">
        <w:t> </w:t>
      </w:r>
      <w:r w:rsidR="00EA2110" w:rsidRPr="006D775D">
        <w:t>1</w:t>
      </w:r>
    </w:p>
    <w:p w:rsidR="00EA2110" w:rsidRPr="006D775D" w:rsidRDefault="00EA2110" w:rsidP="00EA2110">
      <w:pPr>
        <w:pStyle w:val="Item"/>
      </w:pPr>
      <w:r w:rsidRPr="006D775D">
        <w:t>Omit “63486”, substitute “634</w:t>
      </w:r>
      <w:r w:rsidR="00C4035C" w:rsidRPr="006D775D">
        <w:t>67, 63487 to 63490, 63470 to 63486</w:t>
      </w:r>
      <w:r w:rsidRPr="006D775D">
        <w:t>”.</w:t>
      </w:r>
    </w:p>
    <w:p w:rsidR="00EA2110" w:rsidRPr="006D775D" w:rsidRDefault="00B25E9D" w:rsidP="00EA2110">
      <w:pPr>
        <w:pStyle w:val="ItemHead"/>
      </w:pPr>
      <w:r w:rsidRPr="006D775D">
        <w:t>2</w:t>
      </w:r>
      <w:r w:rsidR="00EA2110" w:rsidRPr="006D775D">
        <w:t xml:space="preserve">  Subclause</w:t>
      </w:r>
      <w:r w:rsidR="006D775D" w:rsidRPr="006D775D">
        <w:t> </w:t>
      </w:r>
      <w:r w:rsidR="00EA2110" w:rsidRPr="006D775D">
        <w:t>2.5.1(2) of Schedule</w:t>
      </w:r>
      <w:r w:rsidR="006D775D" w:rsidRPr="006D775D">
        <w:t> </w:t>
      </w:r>
      <w:r w:rsidR="00EA2110" w:rsidRPr="006D775D">
        <w:t>1</w:t>
      </w:r>
    </w:p>
    <w:p w:rsidR="00EA2110" w:rsidRPr="006D775D" w:rsidRDefault="00EA2110" w:rsidP="00EA2110">
      <w:pPr>
        <w:pStyle w:val="Item"/>
      </w:pPr>
      <w:r w:rsidRPr="006D775D">
        <w:t>Omit “63484”, substitute “634</w:t>
      </w:r>
      <w:r w:rsidR="00C4035C" w:rsidRPr="006D775D">
        <w:t>67</w:t>
      </w:r>
      <w:r w:rsidRPr="006D775D">
        <w:t>, 63487 to 63490</w:t>
      </w:r>
      <w:r w:rsidR="00C4035C" w:rsidRPr="006D775D">
        <w:t>, 63470 to 63484</w:t>
      </w:r>
      <w:r w:rsidRPr="006D775D">
        <w:t>”.</w:t>
      </w:r>
    </w:p>
    <w:p w:rsidR="006D3667" w:rsidRPr="006D775D" w:rsidRDefault="00B25E9D" w:rsidP="006C2C12">
      <w:pPr>
        <w:pStyle w:val="ItemHead"/>
        <w:tabs>
          <w:tab w:val="left" w:pos="6663"/>
        </w:tabs>
      </w:pPr>
      <w:r w:rsidRPr="006D775D">
        <w:t>3</w:t>
      </w:r>
      <w:r w:rsidR="00BB6E79" w:rsidRPr="006D775D">
        <w:t xml:space="preserve">  </w:t>
      </w:r>
      <w:r w:rsidR="00153C49" w:rsidRPr="006D775D">
        <w:t>Schedule</w:t>
      </w:r>
      <w:r w:rsidR="006D775D" w:rsidRPr="006D775D">
        <w:t> </w:t>
      </w:r>
      <w:r w:rsidR="00153C49" w:rsidRPr="006D775D">
        <w:t>1 (after item</w:t>
      </w:r>
      <w:r w:rsidR="006D775D" w:rsidRPr="006D775D">
        <w:t> </w:t>
      </w:r>
      <w:r w:rsidR="00153C49" w:rsidRPr="006D775D">
        <w:t>634</w:t>
      </w:r>
      <w:r w:rsidR="00DF0B07" w:rsidRPr="006D775D">
        <w:t>67</w:t>
      </w:r>
      <w:r w:rsidR="00153C49" w:rsidRPr="006D775D">
        <w:t>)</w:t>
      </w:r>
    </w:p>
    <w:p w:rsidR="00691251" w:rsidRPr="006D775D" w:rsidRDefault="00691251" w:rsidP="00691251">
      <w:pPr>
        <w:pStyle w:val="Item"/>
      </w:pPr>
      <w:r w:rsidRPr="006D775D">
        <w:t>Insert:</w:t>
      </w:r>
    </w:p>
    <w:p w:rsidR="00956E87" w:rsidRPr="006D775D" w:rsidRDefault="00956E87" w:rsidP="004A1402">
      <w:pPr>
        <w:pStyle w:val="Tabletext"/>
      </w:pPr>
    </w:p>
    <w:tbl>
      <w:tblPr>
        <w:tblW w:w="8080" w:type="dxa"/>
        <w:tblInd w:w="31" w:type="dxa"/>
        <w:tblBorders>
          <w:top w:val="single" w:sz="4" w:space="0" w:color="auto"/>
          <w:bottom w:val="single" w:sz="2" w:space="0" w:color="auto"/>
          <w:insideH w:val="single" w:sz="2" w:space="0" w:color="auto"/>
        </w:tblBorders>
        <w:tblLayout w:type="fixed"/>
        <w:tblCellMar>
          <w:left w:w="31" w:type="dxa"/>
          <w:right w:w="31" w:type="dxa"/>
        </w:tblCellMar>
        <w:tblLook w:val="04A0" w:firstRow="1" w:lastRow="0" w:firstColumn="1" w:lastColumn="0" w:noHBand="0" w:noVBand="1"/>
      </w:tblPr>
      <w:tblGrid>
        <w:gridCol w:w="709"/>
        <w:gridCol w:w="6095"/>
        <w:gridCol w:w="1276"/>
      </w:tblGrid>
      <w:tr w:rsidR="004A1402" w:rsidRPr="006D775D" w:rsidTr="00691251">
        <w:tc>
          <w:tcPr>
            <w:tcW w:w="709" w:type="dxa"/>
            <w:tcBorders>
              <w:top w:val="nil"/>
            </w:tcBorders>
            <w:shd w:val="clear" w:color="auto" w:fill="auto"/>
            <w:hideMark/>
          </w:tcPr>
          <w:p w:rsidR="004A1402" w:rsidRPr="006D775D" w:rsidRDefault="004A1402" w:rsidP="004A1402">
            <w:pPr>
              <w:pStyle w:val="Tabletext"/>
            </w:pPr>
            <w:r w:rsidRPr="006D775D">
              <w:t>63487</w:t>
            </w:r>
          </w:p>
        </w:tc>
        <w:tc>
          <w:tcPr>
            <w:tcW w:w="6095" w:type="dxa"/>
            <w:tcBorders>
              <w:top w:val="nil"/>
            </w:tcBorders>
            <w:shd w:val="clear" w:color="auto" w:fill="auto"/>
            <w:hideMark/>
          </w:tcPr>
          <w:p w:rsidR="008A45E5" w:rsidRPr="006D775D" w:rsidRDefault="004A1402" w:rsidP="004A1402">
            <w:pPr>
              <w:pStyle w:val="Tabletext"/>
            </w:pPr>
            <w:r w:rsidRPr="006D775D">
              <w:t>MRI—performed under the professional supervision of an eligible provider at an eligible location</w:t>
            </w:r>
            <w:r w:rsidR="009A2090" w:rsidRPr="006D775D">
              <w:t>, if</w:t>
            </w:r>
            <w:r w:rsidR="008A45E5" w:rsidRPr="006D775D">
              <w:t>:</w:t>
            </w:r>
          </w:p>
          <w:p w:rsidR="004A1402" w:rsidRPr="006D775D" w:rsidRDefault="008A45E5" w:rsidP="008A45E5">
            <w:pPr>
              <w:pStyle w:val="Tablea"/>
            </w:pPr>
            <w:r w:rsidRPr="006D775D">
              <w:t>(a)</w:t>
            </w:r>
            <w:r w:rsidR="004A1402" w:rsidRPr="006D775D">
              <w:t xml:space="preserve"> the patient is referred by a specialist or a consultant physician</w:t>
            </w:r>
            <w:r w:rsidRPr="006D775D">
              <w:t>;</w:t>
            </w:r>
            <w:r w:rsidR="004A1402" w:rsidRPr="006D775D">
              <w:t xml:space="preserve"> and</w:t>
            </w:r>
          </w:p>
          <w:p w:rsidR="004A1402" w:rsidRPr="006D775D" w:rsidRDefault="004A1402" w:rsidP="004A1402">
            <w:pPr>
              <w:pStyle w:val="Tablea"/>
            </w:pPr>
            <w:r w:rsidRPr="006D775D">
              <w:t>(</w:t>
            </w:r>
            <w:r w:rsidR="008A45E5" w:rsidRPr="006D775D">
              <w:t>b</w:t>
            </w:r>
            <w:r w:rsidRPr="006D775D">
              <w:t>) a dedicated breast coil is used; and</w:t>
            </w:r>
          </w:p>
          <w:p w:rsidR="005834C0" w:rsidRPr="006D775D" w:rsidRDefault="004A1402" w:rsidP="00C85778">
            <w:pPr>
              <w:pStyle w:val="Tablea"/>
            </w:pPr>
            <w:r w:rsidRPr="006D775D">
              <w:t>(</w:t>
            </w:r>
            <w:r w:rsidR="008A45E5" w:rsidRPr="006D775D">
              <w:t>c</w:t>
            </w:r>
            <w:r w:rsidRPr="006D775D">
              <w:t xml:space="preserve">) the request for </w:t>
            </w:r>
            <w:r w:rsidR="00C85778" w:rsidRPr="006D775D">
              <w:t xml:space="preserve">the </w:t>
            </w:r>
            <w:r w:rsidRPr="006D775D">
              <w:t>scan identifies that</w:t>
            </w:r>
            <w:r w:rsidR="005834C0" w:rsidRPr="006D775D">
              <w:t>:</w:t>
            </w:r>
          </w:p>
          <w:p w:rsidR="005834C0" w:rsidRPr="006D775D" w:rsidRDefault="005834C0" w:rsidP="005834C0">
            <w:pPr>
              <w:pStyle w:val="Tablei"/>
            </w:pPr>
            <w:r w:rsidRPr="006D775D">
              <w:t>(i) the patient has been diagnosed with metastatic cancer restricted to the regional lymph nodes; and</w:t>
            </w:r>
          </w:p>
          <w:p w:rsidR="004A1402" w:rsidRPr="006D775D" w:rsidRDefault="005834C0" w:rsidP="005834C0">
            <w:pPr>
              <w:pStyle w:val="Tablei"/>
            </w:pPr>
            <w:r w:rsidRPr="006D775D">
              <w:t>(ii) clinical examination and conventional imaging have failed to identify the primary cancer (R) (K) (Anaes)</w:t>
            </w:r>
          </w:p>
        </w:tc>
        <w:tc>
          <w:tcPr>
            <w:tcW w:w="1276" w:type="dxa"/>
            <w:tcBorders>
              <w:top w:val="nil"/>
            </w:tcBorders>
            <w:shd w:val="clear" w:color="auto" w:fill="auto"/>
            <w:hideMark/>
          </w:tcPr>
          <w:p w:rsidR="004A1402" w:rsidRPr="006D775D" w:rsidRDefault="004A1402" w:rsidP="006E53AF">
            <w:pPr>
              <w:pStyle w:val="Tabletext"/>
              <w:tabs>
                <w:tab w:val="decimal" w:pos="400"/>
              </w:tabs>
              <w:jc w:val="right"/>
            </w:pPr>
            <w:r w:rsidRPr="006D775D">
              <w:t>690</w:t>
            </w:r>
            <w:r w:rsidR="00FE4945" w:rsidRPr="006D775D">
              <w:t>.00</w:t>
            </w:r>
          </w:p>
        </w:tc>
      </w:tr>
      <w:tr w:rsidR="004A1402" w:rsidRPr="006D775D" w:rsidTr="00691251">
        <w:tblPrEx>
          <w:tblLook w:val="0000" w:firstRow="0" w:lastRow="0" w:firstColumn="0" w:lastColumn="0" w:noHBand="0" w:noVBand="0"/>
        </w:tblPrEx>
        <w:tc>
          <w:tcPr>
            <w:tcW w:w="709" w:type="dxa"/>
            <w:shd w:val="clear" w:color="auto" w:fill="auto"/>
          </w:tcPr>
          <w:p w:rsidR="004A1402" w:rsidRPr="006D775D" w:rsidRDefault="004A1402" w:rsidP="004A1402">
            <w:pPr>
              <w:pStyle w:val="Tabletext"/>
            </w:pPr>
            <w:r w:rsidRPr="006D775D">
              <w:t>63488</w:t>
            </w:r>
          </w:p>
        </w:tc>
        <w:tc>
          <w:tcPr>
            <w:tcW w:w="6095" w:type="dxa"/>
            <w:shd w:val="clear" w:color="auto" w:fill="auto"/>
          </w:tcPr>
          <w:p w:rsidR="008A45E5" w:rsidRPr="006D775D" w:rsidRDefault="004A1402" w:rsidP="004A1402">
            <w:pPr>
              <w:pStyle w:val="Tabletext"/>
            </w:pPr>
            <w:r w:rsidRPr="006D775D">
              <w:t>MRI—performed under the professional supervision of an eligible provider at an eligible location</w:t>
            </w:r>
            <w:r w:rsidR="009A2090" w:rsidRPr="006D775D">
              <w:t>, if</w:t>
            </w:r>
            <w:r w:rsidR="008A45E5" w:rsidRPr="006D775D">
              <w:t>:</w:t>
            </w:r>
          </w:p>
          <w:p w:rsidR="004A1402" w:rsidRPr="006D775D" w:rsidRDefault="008A45E5" w:rsidP="008A45E5">
            <w:pPr>
              <w:pStyle w:val="Tablea"/>
            </w:pPr>
            <w:r w:rsidRPr="006D775D">
              <w:t>(a)</w:t>
            </w:r>
            <w:r w:rsidR="004A1402" w:rsidRPr="006D775D">
              <w:t xml:space="preserve"> the patient is referred by a specialist or a consultant physician</w:t>
            </w:r>
            <w:r w:rsidRPr="006D775D">
              <w:t>;</w:t>
            </w:r>
            <w:r w:rsidR="004A1402" w:rsidRPr="006D775D">
              <w:t xml:space="preserve"> and</w:t>
            </w:r>
          </w:p>
          <w:p w:rsidR="004A1402" w:rsidRPr="006D775D" w:rsidRDefault="004A1402" w:rsidP="004A1402">
            <w:pPr>
              <w:pStyle w:val="Tablea"/>
            </w:pPr>
            <w:r w:rsidRPr="006D775D">
              <w:t>(</w:t>
            </w:r>
            <w:r w:rsidR="008A45E5" w:rsidRPr="006D775D">
              <w:t>b</w:t>
            </w:r>
            <w:r w:rsidRPr="006D775D">
              <w:t>) a dedicated breast coil is used; and</w:t>
            </w:r>
          </w:p>
          <w:p w:rsidR="005834C0" w:rsidRPr="006D775D" w:rsidRDefault="005834C0" w:rsidP="005834C0">
            <w:pPr>
              <w:pStyle w:val="Tablea"/>
            </w:pPr>
            <w:r w:rsidRPr="006D775D">
              <w:t>(c) the request for the scan identifies that:</w:t>
            </w:r>
          </w:p>
          <w:p w:rsidR="005834C0" w:rsidRPr="006D775D" w:rsidRDefault="005834C0" w:rsidP="005834C0">
            <w:pPr>
              <w:pStyle w:val="Tablei"/>
            </w:pPr>
            <w:r w:rsidRPr="006D775D">
              <w:t>(i) the patient has been diagnosed with metastatic cancer restricted to the regional lymph nodes; and</w:t>
            </w:r>
          </w:p>
          <w:p w:rsidR="004A1402" w:rsidRPr="006D775D" w:rsidRDefault="005834C0" w:rsidP="005834C0">
            <w:pPr>
              <w:pStyle w:val="Tablei"/>
            </w:pPr>
            <w:r w:rsidRPr="006D775D">
              <w:t>(ii) clinical examination and conventional imaging have failed to identify the primary cancer (R) (NK) (Anaes)</w:t>
            </w:r>
          </w:p>
        </w:tc>
        <w:tc>
          <w:tcPr>
            <w:tcW w:w="1276" w:type="dxa"/>
            <w:shd w:val="clear" w:color="auto" w:fill="auto"/>
          </w:tcPr>
          <w:p w:rsidR="004A1402" w:rsidRPr="006D775D" w:rsidRDefault="004A1402" w:rsidP="006E53AF">
            <w:pPr>
              <w:pStyle w:val="Tabletext"/>
              <w:tabs>
                <w:tab w:val="decimal" w:pos="400"/>
              </w:tabs>
              <w:jc w:val="right"/>
            </w:pPr>
            <w:r w:rsidRPr="006D775D">
              <w:t>345</w:t>
            </w:r>
            <w:r w:rsidR="00FE4945" w:rsidRPr="006D775D">
              <w:t>.00</w:t>
            </w:r>
          </w:p>
        </w:tc>
      </w:tr>
      <w:tr w:rsidR="004A1402" w:rsidRPr="006D775D" w:rsidTr="00691251">
        <w:tblPrEx>
          <w:tblLook w:val="0000" w:firstRow="0" w:lastRow="0" w:firstColumn="0" w:lastColumn="0" w:noHBand="0" w:noVBand="0"/>
        </w:tblPrEx>
        <w:tc>
          <w:tcPr>
            <w:tcW w:w="709" w:type="dxa"/>
            <w:tcBorders>
              <w:bottom w:val="single" w:sz="2" w:space="0" w:color="auto"/>
            </w:tcBorders>
            <w:shd w:val="clear" w:color="auto" w:fill="auto"/>
          </w:tcPr>
          <w:p w:rsidR="004A1402" w:rsidRPr="006D775D" w:rsidRDefault="004A1402" w:rsidP="006E53AF">
            <w:pPr>
              <w:pStyle w:val="Tabletext"/>
            </w:pPr>
            <w:r w:rsidRPr="006D775D">
              <w:t>63489</w:t>
            </w:r>
          </w:p>
        </w:tc>
        <w:tc>
          <w:tcPr>
            <w:tcW w:w="6095" w:type="dxa"/>
            <w:tcBorders>
              <w:bottom w:val="single" w:sz="2" w:space="0" w:color="auto"/>
            </w:tcBorders>
            <w:shd w:val="clear" w:color="auto" w:fill="auto"/>
          </w:tcPr>
          <w:p w:rsidR="008A45E5" w:rsidRPr="006D775D" w:rsidRDefault="009A2090" w:rsidP="004A1402">
            <w:pPr>
              <w:pStyle w:val="Tabletext"/>
            </w:pPr>
            <w:r w:rsidRPr="006D775D">
              <w:t>MRI—</w:t>
            </w:r>
            <w:r w:rsidR="004A1402" w:rsidRPr="006D775D">
              <w:t>guided biopsy, performed under the professional supervision of an eligible provider at an eligible location</w:t>
            </w:r>
            <w:r w:rsidRPr="006D775D">
              <w:t>, if</w:t>
            </w:r>
            <w:r w:rsidR="008A45E5" w:rsidRPr="006D775D">
              <w:t>:</w:t>
            </w:r>
          </w:p>
          <w:p w:rsidR="004A1402" w:rsidRPr="006D775D" w:rsidRDefault="008A45E5" w:rsidP="005834C0">
            <w:pPr>
              <w:pStyle w:val="Tablea"/>
            </w:pPr>
            <w:r w:rsidRPr="006D775D">
              <w:t>(a)</w:t>
            </w:r>
            <w:r w:rsidR="004A1402" w:rsidRPr="006D775D">
              <w:t xml:space="preserve"> the patient is referred by a specialist or a consultant physician</w:t>
            </w:r>
            <w:r w:rsidRPr="006D775D">
              <w:t>;</w:t>
            </w:r>
            <w:r w:rsidR="004A1402" w:rsidRPr="006D775D">
              <w:t xml:space="preserve"> and</w:t>
            </w:r>
          </w:p>
          <w:p w:rsidR="004A1402" w:rsidRPr="006D775D" w:rsidRDefault="004A1402" w:rsidP="004A1402">
            <w:pPr>
              <w:pStyle w:val="Tablea"/>
            </w:pPr>
            <w:r w:rsidRPr="006D775D">
              <w:t>(</w:t>
            </w:r>
            <w:r w:rsidR="008A45E5" w:rsidRPr="006D775D">
              <w:t>b</w:t>
            </w:r>
            <w:r w:rsidRPr="006D775D">
              <w:t>) a dedicated breast coil is used; and</w:t>
            </w:r>
          </w:p>
          <w:p w:rsidR="005834C0" w:rsidRPr="006D775D" w:rsidRDefault="004A1402" w:rsidP="004A1402">
            <w:pPr>
              <w:pStyle w:val="Tablea"/>
            </w:pPr>
            <w:r w:rsidRPr="006D775D">
              <w:t>(</w:t>
            </w:r>
            <w:r w:rsidR="008A45E5" w:rsidRPr="006D775D">
              <w:t>c</w:t>
            </w:r>
            <w:r w:rsidRPr="006D775D">
              <w:t xml:space="preserve">) the request for </w:t>
            </w:r>
            <w:r w:rsidR="00C85778" w:rsidRPr="006D775D">
              <w:t xml:space="preserve">the </w:t>
            </w:r>
            <w:r w:rsidRPr="006D775D">
              <w:t>scan identifies that</w:t>
            </w:r>
            <w:r w:rsidR="005834C0" w:rsidRPr="006D775D">
              <w:t>:</w:t>
            </w:r>
          </w:p>
          <w:p w:rsidR="005834C0" w:rsidRPr="006D775D" w:rsidRDefault="005834C0" w:rsidP="005834C0">
            <w:pPr>
              <w:pStyle w:val="Tablei"/>
            </w:pPr>
            <w:r w:rsidRPr="006D775D">
              <w:t>(i) the patient has a suspicious lesion seen on MRI but not on conventional imaging; and</w:t>
            </w:r>
          </w:p>
          <w:p w:rsidR="005834C0" w:rsidRPr="006D775D" w:rsidRDefault="005834C0" w:rsidP="005834C0">
            <w:pPr>
              <w:pStyle w:val="Tablei"/>
            </w:pPr>
            <w:r w:rsidRPr="006D775D">
              <w:t>(ii) the lesion is not amenable to biopsy guided by conventional imaging; and</w:t>
            </w:r>
          </w:p>
          <w:p w:rsidR="005834C0" w:rsidRPr="006D775D" w:rsidRDefault="008A45E5" w:rsidP="008A45E5">
            <w:pPr>
              <w:pStyle w:val="Tablea"/>
            </w:pPr>
            <w:r w:rsidRPr="006D775D">
              <w:t>(</w:t>
            </w:r>
            <w:r w:rsidR="005834C0" w:rsidRPr="006D775D">
              <w:t>d</w:t>
            </w:r>
            <w:r w:rsidRPr="006D775D">
              <w:t>) a</w:t>
            </w:r>
            <w:r w:rsidR="00874658" w:rsidRPr="006D775D">
              <w:t xml:space="preserve"> repeat</w:t>
            </w:r>
            <w:r w:rsidR="004A1402" w:rsidRPr="006D775D">
              <w:t xml:space="preserve"> ultrasound </w:t>
            </w:r>
            <w:r w:rsidR="00E71C91" w:rsidRPr="006D775D">
              <w:t xml:space="preserve">scan </w:t>
            </w:r>
            <w:r w:rsidR="004A1402" w:rsidRPr="006D775D">
              <w:t xml:space="preserve">of the affected breast </w:t>
            </w:r>
            <w:r w:rsidRPr="006D775D">
              <w:t xml:space="preserve">is </w:t>
            </w:r>
            <w:r w:rsidR="004A1402" w:rsidRPr="006D775D">
              <w:t>performed</w:t>
            </w:r>
            <w:r w:rsidR="005834C0" w:rsidRPr="006D775D">
              <w:t>:</w:t>
            </w:r>
          </w:p>
          <w:p w:rsidR="005834C0" w:rsidRPr="006D775D" w:rsidRDefault="005834C0" w:rsidP="005834C0">
            <w:pPr>
              <w:pStyle w:val="Tablei"/>
            </w:pPr>
            <w:r w:rsidRPr="006D775D">
              <w:t>(i) before the guided biopsy is performed; and</w:t>
            </w:r>
          </w:p>
          <w:p w:rsidR="004A1402" w:rsidRPr="006D775D" w:rsidRDefault="005834C0" w:rsidP="005834C0">
            <w:pPr>
              <w:pStyle w:val="Tablei"/>
            </w:pPr>
            <w:r w:rsidRPr="006D775D">
              <w:t>(ii) as part of the service under this item (R) (K) (Anaes.)</w:t>
            </w:r>
          </w:p>
        </w:tc>
        <w:tc>
          <w:tcPr>
            <w:tcW w:w="1276" w:type="dxa"/>
            <w:tcBorders>
              <w:bottom w:val="single" w:sz="2" w:space="0" w:color="auto"/>
            </w:tcBorders>
            <w:shd w:val="clear" w:color="auto" w:fill="auto"/>
          </w:tcPr>
          <w:p w:rsidR="004A1402" w:rsidRPr="006D775D" w:rsidRDefault="004A1402" w:rsidP="006E53AF">
            <w:pPr>
              <w:pStyle w:val="Tabletext"/>
              <w:tabs>
                <w:tab w:val="decimal" w:pos="400"/>
              </w:tabs>
              <w:jc w:val="right"/>
            </w:pPr>
            <w:r w:rsidRPr="006D775D">
              <w:t>1440</w:t>
            </w:r>
            <w:r w:rsidR="00FE4945" w:rsidRPr="006D775D">
              <w:t>.00</w:t>
            </w:r>
          </w:p>
        </w:tc>
      </w:tr>
      <w:tr w:rsidR="004A1402" w:rsidRPr="006D775D" w:rsidTr="00691251">
        <w:tblPrEx>
          <w:tblLook w:val="0000" w:firstRow="0" w:lastRow="0" w:firstColumn="0" w:lastColumn="0" w:noHBand="0" w:noVBand="0"/>
        </w:tblPrEx>
        <w:tc>
          <w:tcPr>
            <w:tcW w:w="709" w:type="dxa"/>
            <w:tcBorders>
              <w:top w:val="single" w:sz="2" w:space="0" w:color="auto"/>
              <w:bottom w:val="nil"/>
            </w:tcBorders>
            <w:shd w:val="clear" w:color="auto" w:fill="auto"/>
          </w:tcPr>
          <w:p w:rsidR="004A1402" w:rsidRPr="006D775D" w:rsidRDefault="004A1402" w:rsidP="006E53AF">
            <w:pPr>
              <w:pStyle w:val="Tabletext"/>
            </w:pPr>
            <w:r w:rsidRPr="006D775D">
              <w:t>63490</w:t>
            </w:r>
          </w:p>
        </w:tc>
        <w:tc>
          <w:tcPr>
            <w:tcW w:w="6095" w:type="dxa"/>
            <w:tcBorders>
              <w:top w:val="single" w:sz="2" w:space="0" w:color="auto"/>
              <w:bottom w:val="nil"/>
            </w:tcBorders>
            <w:shd w:val="clear" w:color="auto" w:fill="auto"/>
          </w:tcPr>
          <w:p w:rsidR="00DF0B07" w:rsidRPr="006D775D" w:rsidRDefault="00DF0B07" w:rsidP="00DF0B07">
            <w:pPr>
              <w:pStyle w:val="Tabletext"/>
            </w:pPr>
            <w:r w:rsidRPr="006D775D">
              <w:t>MRI—guided biopsy</w:t>
            </w:r>
            <w:r w:rsidR="00DD4554" w:rsidRPr="006D775D">
              <w:t xml:space="preserve"> </w:t>
            </w:r>
            <w:r w:rsidRPr="006D775D">
              <w:t>performed under the professional supervision of an eligible provider at an eligible location, if:</w:t>
            </w:r>
          </w:p>
          <w:p w:rsidR="00DF0B07" w:rsidRPr="006D775D" w:rsidRDefault="00DF0B07" w:rsidP="00DF0B07">
            <w:pPr>
              <w:pStyle w:val="Tablea"/>
            </w:pPr>
            <w:r w:rsidRPr="006D775D">
              <w:t>(a) the patient is referred by a specialist or a consultant physician; and</w:t>
            </w:r>
          </w:p>
          <w:p w:rsidR="00DF0B07" w:rsidRPr="006D775D" w:rsidRDefault="00DF0B07" w:rsidP="00DF0B07">
            <w:pPr>
              <w:pStyle w:val="Tablea"/>
            </w:pPr>
            <w:r w:rsidRPr="006D775D">
              <w:t>(b) a dedicated breast coil is used; and</w:t>
            </w:r>
          </w:p>
          <w:p w:rsidR="00E31BED" w:rsidRPr="006D775D" w:rsidRDefault="00E31BED" w:rsidP="00E31BED">
            <w:pPr>
              <w:pStyle w:val="Tablea"/>
            </w:pPr>
            <w:r w:rsidRPr="006D775D">
              <w:t>(c) the request for the scan identifies that:</w:t>
            </w:r>
          </w:p>
          <w:p w:rsidR="00E31BED" w:rsidRPr="006D775D" w:rsidRDefault="00E31BED" w:rsidP="00E31BED">
            <w:pPr>
              <w:pStyle w:val="Tablei"/>
            </w:pPr>
            <w:r w:rsidRPr="006D775D">
              <w:t>(i) the patient has a suspicious lesion seen on MRI but not on conventional imaging; and</w:t>
            </w:r>
          </w:p>
          <w:p w:rsidR="00E31BED" w:rsidRPr="006D775D" w:rsidRDefault="00E31BED" w:rsidP="00E31BED">
            <w:pPr>
              <w:pStyle w:val="Tablei"/>
            </w:pPr>
            <w:r w:rsidRPr="006D775D">
              <w:t>(ii) the lesion is not amenable to biopsy guided by conventional imaging; and</w:t>
            </w:r>
          </w:p>
          <w:p w:rsidR="00E31BED" w:rsidRPr="006D775D" w:rsidRDefault="00E31BED" w:rsidP="00E31BED">
            <w:pPr>
              <w:pStyle w:val="Tablea"/>
            </w:pPr>
            <w:r w:rsidRPr="006D775D">
              <w:t xml:space="preserve">(d) </w:t>
            </w:r>
            <w:r w:rsidR="00874658" w:rsidRPr="006D775D">
              <w:t>a repeat</w:t>
            </w:r>
            <w:r w:rsidRPr="006D775D">
              <w:t xml:space="preserve"> ultrasound scan of the affected breast is performed:</w:t>
            </w:r>
          </w:p>
          <w:p w:rsidR="00E31BED" w:rsidRPr="006D775D" w:rsidRDefault="00E31BED" w:rsidP="00E31BED">
            <w:pPr>
              <w:pStyle w:val="Tablei"/>
            </w:pPr>
            <w:r w:rsidRPr="006D775D">
              <w:t>(i) before the guided biopsy is performed; and</w:t>
            </w:r>
          </w:p>
          <w:p w:rsidR="004A1402" w:rsidRPr="006D775D" w:rsidRDefault="00E31BED" w:rsidP="00E31BED">
            <w:pPr>
              <w:pStyle w:val="Tablei"/>
            </w:pPr>
            <w:r w:rsidRPr="006D775D">
              <w:t>(ii) as part of the service under this item (R) (NK) (Anaes.)</w:t>
            </w:r>
          </w:p>
        </w:tc>
        <w:tc>
          <w:tcPr>
            <w:tcW w:w="1276" w:type="dxa"/>
            <w:tcBorders>
              <w:top w:val="single" w:sz="2" w:space="0" w:color="auto"/>
              <w:bottom w:val="nil"/>
            </w:tcBorders>
            <w:shd w:val="clear" w:color="auto" w:fill="auto"/>
          </w:tcPr>
          <w:p w:rsidR="004A1402" w:rsidRPr="006D775D" w:rsidRDefault="004A1402" w:rsidP="006E53AF">
            <w:pPr>
              <w:pStyle w:val="Tabletext"/>
              <w:tabs>
                <w:tab w:val="decimal" w:pos="400"/>
              </w:tabs>
              <w:jc w:val="right"/>
            </w:pPr>
            <w:r w:rsidRPr="006D775D">
              <w:t>720</w:t>
            </w:r>
            <w:r w:rsidR="00FE4945" w:rsidRPr="006D775D">
              <w:t>.00</w:t>
            </w:r>
          </w:p>
        </w:tc>
      </w:tr>
    </w:tbl>
    <w:p w:rsidR="00956E87" w:rsidRPr="006D775D" w:rsidRDefault="00956E87" w:rsidP="00956E87">
      <w:pPr>
        <w:pStyle w:val="ActHead9"/>
      </w:pPr>
      <w:bookmarkStart w:id="13" w:name="_Toc462386537"/>
      <w:r w:rsidRPr="006D775D">
        <w:t>Health Insurance (General Medical Services Table) Regulation</w:t>
      </w:r>
      <w:r w:rsidR="006D775D" w:rsidRPr="006D775D">
        <w:t> </w:t>
      </w:r>
      <w:r w:rsidRPr="006D775D">
        <w:t>2016</w:t>
      </w:r>
      <w:bookmarkEnd w:id="13"/>
    </w:p>
    <w:p w:rsidR="00C775BB" w:rsidRPr="006D775D" w:rsidRDefault="00B25E9D" w:rsidP="00077136">
      <w:pPr>
        <w:pStyle w:val="ItemHead"/>
        <w:tabs>
          <w:tab w:val="left" w:pos="6663"/>
        </w:tabs>
      </w:pPr>
      <w:r w:rsidRPr="006D775D">
        <w:t>4</w:t>
      </w:r>
      <w:r w:rsidR="00C775BB" w:rsidRPr="006D775D">
        <w:t xml:space="preserve">  Subparagraph 1.1.3(1)(b)(i)</w:t>
      </w:r>
      <w:r w:rsidR="006E342E" w:rsidRPr="006D775D">
        <w:t xml:space="preserve"> of Schedule</w:t>
      </w:r>
      <w:r w:rsidR="006D775D" w:rsidRPr="006D775D">
        <w:t> </w:t>
      </w:r>
      <w:r w:rsidR="006E342E" w:rsidRPr="006D775D">
        <w:t>1</w:t>
      </w:r>
    </w:p>
    <w:p w:rsidR="00C775BB" w:rsidRPr="006D775D" w:rsidRDefault="00C775BB" w:rsidP="00C775BB">
      <w:pPr>
        <w:pStyle w:val="Item"/>
      </w:pPr>
      <w:r w:rsidRPr="006D775D">
        <w:t>Repeal the subparagraph, substitute:</w:t>
      </w:r>
    </w:p>
    <w:p w:rsidR="00C775BB" w:rsidRPr="006D775D" w:rsidRDefault="00C775BB" w:rsidP="00C775BB">
      <w:pPr>
        <w:pStyle w:val="paragraphsub"/>
      </w:pPr>
      <w:r w:rsidRPr="006D775D">
        <w:tab/>
        <w:t>(i)</w:t>
      </w:r>
      <w:r w:rsidRPr="006D775D">
        <w:tab/>
        <w:t>for items</w:t>
      </w:r>
      <w:r w:rsidR="006D775D" w:rsidRPr="006D775D">
        <w:t> </w:t>
      </w:r>
      <w:r w:rsidRPr="006D775D">
        <w:t>735 to 758, 825 to 828, 855 to 858</w:t>
      </w:r>
      <w:r w:rsidR="00AB673C" w:rsidRPr="006D775D">
        <w:t xml:space="preserve">, </w:t>
      </w:r>
      <w:r w:rsidRPr="006D775D">
        <w:t>6029 to 6042</w:t>
      </w:r>
      <w:r w:rsidR="00AB673C" w:rsidRPr="006D775D">
        <w:t xml:space="preserve"> and 6064 to 6075</w:t>
      </w:r>
      <w:r w:rsidRPr="006D775D">
        <w:t>—includes at least 2 other members; or</w:t>
      </w:r>
    </w:p>
    <w:p w:rsidR="009E42F1" w:rsidRPr="006D775D" w:rsidRDefault="00B25E9D" w:rsidP="00077136">
      <w:pPr>
        <w:pStyle w:val="ItemHead"/>
        <w:tabs>
          <w:tab w:val="left" w:pos="6663"/>
        </w:tabs>
      </w:pPr>
      <w:r w:rsidRPr="006D775D">
        <w:t>5</w:t>
      </w:r>
      <w:r w:rsidR="009E42F1" w:rsidRPr="006D775D">
        <w:t xml:space="preserve">  Subclause</w:t>
      </w:r>
      <w:r w:rsidR="006D775D" w:rsidRPr="006D775D">
        <w:t> </w:t>
      </w:r>
      <w:r w:rsidR="009E42F1" w:rsidRPr="006D775D">
        <w:t>1.1.4(1)</w:t>
      </w:r>
      <w:r w:rsidR="006E342E" w:rsidRPr="006D775D">
        <w:t xml:space="preserve"> of Schedule</w:t>
      </w:r>
      <w:r w:rsidR="006D775D" w:rsidRPr="006D775D">
        <w:t> </w:t>
      </w:r>
      <w:r w:rsidR="006E342E" w:rsidRPr="006D775D">
        <w:t>1</w:t>
      </w:r>
    </w:p>
    <w:p w:rsidR="009E42F1" w:rsidRPr="006D775D" w:rsidRDefault="009E42F1" w:rsidP="009E42F1">
      <w:pPr>
        <w:pStyle w:val="Item"/>
      </w:pPr>
      <w:r w:rsidRPr="006D775D">
        <w:t>After “6015,”, insert “6018, 6019, 6024, 6025, 6026,</w:t>
      </w:r>
      <w:r w:rsidR="00203039" w:rsidRPr="006D775D">
        <w:t xml:space="preserve"> 6051, 6052, </w:t>
      </w:r>
      <w:r w:rsidR="004C1D8A" w:rsidRPr="006D775D">
        <w:t xml:space="preserve">6058, </w:t>
      </w:r>
      <w:r w:rsidR="00203039" w:rsidRPr="006D775D">
        <w:t>6059,</w:t>
      </w:r>
      <w:r w:rsidR="003936D7" w:rsidRPr="006D775D">
        <w:t xml:space="preserve"> 6060,</w:t>
      </w:r>
      <w:r w:rsidR="00203039" w:rsidRPr="006D775D">
        <w:t xml:space="preserve"> 6062, 6063,</w:t>
      </w:r>
      <w:r w:rsidRPr="006D775D">
        <w:t>”.</w:t>
      </w:r>
    </w:p>
    <w:p w:rsidR="00ED2F36" w:rsidRPr="006D775D" w:rsidRDefault="00B25E9D" w:rsidP="009E42F1">
      <w:pPr>
        <w:pStyle w:val="ItemHead"/>
      </w:pPr>
      <w:r w:rsidRPr="006D775D">
        <w:t>6</w:t>
      </w:r>
      <w:r w:rsidR="00ED2F36" w:rsidRPr="006D775D">
        <w:t xml:space="preserve">  Subclause</w:t>
      </w:r>
      <w:r w:rsidR="006D775D" w:rsidRPr="006D775D">
        <w:t> </w:t>
      </w:r>
      <w:r w:rsidR="00ED2F36" w:rsidRPr="006D775D">
        <w:t>1.2.2(</w:t>
      </w:r>
      <w:r w:rsidR="00296FCA" w:rsidRPr="006D775D">
        <w:t>1</w:t>
      </w:r>
      <w:r w:rsidR="00ED2F36" w:rsidRPr="006D775D">
        <w:t>)</w:t>
      </w:r>
      <w:r w:rsidR="006E342E" w:rsidRPr="006D775D">
        <w:t xml:space="preserve"> of Schedule</w:t>
      </w:r>
      <w:r w:rsidR="006D775D" w:rsidRPr="006D775D">
        <w:t> </w:t>
      </w:r>
      <w:r w:rsidR="006E342E" w:rsidRPr="006D775D">
        <w:t>1</w:t>
      </w:r>
    </w:p>
    <w:p w:rsidR="00ED2F36" w:rsidRPr="006D775D" w:rsidRDefault="00ED2F36" w:rsidP="00ED2F36">
      <w:pPr>
        <w:pStyle w:val="Item"/>
      </w:pPr>
      <w:r w:rsidRPr="006D775D">
        <w:t>After “6016,”, insert “</w:t>
      </w:r>
      <w:r w:rsidR="007362F4" w:rsidRPr="006D775D">
        <w:t>6018</w:t>
      </w:r>
      <w:r w:rsidR="00296FCA" w:rsidRPr="006D775D">
        <w:t xml:space="preserve"> to</w:t>
      </w:r>
      <w:r w:rsidR="007362F4" w:rsidRPr="006D775D">
        <w:t xml:space="preserve"> 6028, </w:t>
      </w:r>
      <w:r w:rsidRPr="006D775D">
        <w:t>6051</w:t>
      </w:r>
      <w:r w:rsidR="00296FCA" w:rsidRPr="006D775D">
        <w:t xml:space="preserve"> to</w:t>
      </w:r>
      <w:r w:rsidRPr="006D775D">
        <w:t xml:space="preserve"> 6063,”.</w:t>
      </w:r>
    </w:p>
    <w:p w:rsidR="00ED2F36" w:rsidRPr="006D775D" w:rsidRDefault="00B25E9D" w:rsidP="00ED2F36">
      <w:pPr>
        <w:pStyle w:val="ItemHead"/>
      </w:pPr>
      <w:r w:rsidRPr="006D775D">
        <w:t>7</w:t>
      </w:r>
      <w:r w:rsidR="00ED2F36" w:rsidRPr="006D775D">
        <w:t xml:space="preserve">  Subclause</w:t>
      </w:r>
      <w:r w:rsidR="006D775D" w:rsidRPr="006D775D">
        <w:t> </w:t>
      </w:r>
      <w:r w:rsidR="00ED2F36" w:rsidRPr="006D775D">
        <w:t>1.2.3(1)</w:t>
      </w:r>
      <w:r w:rsidR="006E342E" w:rsidRPr="006D775D">
        <w:t xml:space="preserve"> of Schedule</w:t>
      </w:r>
      <w:r w:rsidR="006D775D" w:rsidRPr="006D775D">
        <w:t> </w:t>
      </w:r>
      <w:r w:rsidR="006E342E" w:rsidRPr="006D775D">
        <w:t>1</w:t>
      </w:r>
    </w:p>
    <w:p w:rsidR="00ED2F36" w:rsidRPr="006D775D" w:rsidRDefault="00ED2F36" w:rsidP="00ED2F36">
      <w:pPr>
        <w:pStyle w:val="Item"/>
      </w:pPr>
      <w:r w:rsidRPr="006D775D">
        <w:t>After “6016,”, insert “</w:t>
      </w:r>
      <w:r w:rsidR="007362F4" w:rsidRPr="006D775D">
        <w:t>6018</w:t>
      </w:r>
      <w:r w:rsidR="00296FCA" w:rsidRPr="006D775D">
        <w:t xml:space="preserve"> to</w:t>
      </w:r>
      <w:r w:rsidR="007362F4" w:rsidRPr="006D775D">
        <w:t xml:space="preserve"> 602</w:t>
      </w:r>
      <w:r w:rsidR="003936D7" w:rsidRPr="006D775D">
        <w:t>6</w:t>
      </w:r>
      <w:r w:rsidR="007362F4" w:rsidRPr="006D775D">
        <w:t xml:space="preserve">, </w:t>
      </w:r>
      <w:r w:rsidRPr="006D775D">
        <w:t>6051</w:t>
      </w:r>
      <w:r w:rsidR="00296FCA" w:rsidRPr="006D775D">
        <w:t xml:space="preserve"> to</w:t>
      </w:r>
      <w:r w:rsidRPr="006D775D">
        <w:t xml:space="preserve"> 6063,”.</w:t>
      </w:r>
    </w:p>
    <w:p w:rsidR="007362F4" w:rsidRPr="006D775D" w:rsidRDefault="00B25E9D" w:rsidP="007362F4">
      <w:pPr>
        <w:pStyle w:val="ItemHead"/>
      </w:pPr>
      <w:r w:rsidRPr="006D775D">
        <w:t>8</w:t>
      </w:r>
      <w:r w:rsidR="007362F4" w:rsidRPr="006D775D">
        <w:t xml:space="preserve">  Subclause</w:t>
      </w:r>
      <w:r w:rsidR="006D775D" w:rsidRPr="006D775D">
        <w:t> </w:t>
      </w:r>
      <w:r w:rsidR="007362F4" w:rsidRPr="006D775D">
        <w:t>1.2.4(1)</w:t>
      </w:r>
      <w:r w:rsidR="006E342E" w:rsidRPr="006D775D">
        <w:t xml:space="preserve"> of Schedule</w:t>
      </w:r>
      <w:r w:rsidR="006D775D" w:rsidRPr="006D775D">
        <w:t> </w:t>
      </w:r>
      <w:r w:rsidR="006E342E" w:rsidRPr="006D775D">
        <w:t>1</w:t>
      </w:r>
    </w:p>
    <w:p w:rsidR="007362F4" w:rsidRPr="006D775D" w:rsidRDefault="007362F4" w:rsidP="007362F4">
      <w:pPr>
        <w:pStyle w:val="Item"/>
      </w:pPr>
      <w:r w:rsidRPr="006D775D">
        <w:t>Omit “4001 to 10816</w:t>
      </w:r>
      <w:r w:rsidR="00691251" w:rsidRPr="006D775D">
        <w:t>,</w:t>
      </w:r>
      <w:r w:rsidRPr="006D775D">
        <w:t xml:space="preserve">”, substitute “4001 to 6016, </w:t>
      </w:r>
      <w:r w:rsidR="00296FCA" w:rsidRPr="006D775D">
        <w:t>6018 to 6024,</w:t>
      </w:r>
      <w:r w:rsidRPr="006D775D">
        <w:t xml:space="preserve"> 6051</w:t>
      </w:r>
      <w:r w:rsidR="00296FCA" w:rsidRPr="006D775D">
        <w:t xml:space="preserve"> to</w:t>
      </w:r>
      <w:r w:rsidRPr="006D775D">
        <w:t xml:space="preserve"> 605</w:t>
      </w:r>
      <w:r w:rsidR="00296FCA" w:rsidRPr="006D775D">
        <w:t>8</w:t>
      </w:r>
      <w:r w:rsidRPr="006D775D">
        <w:t>, 6062, 6063, 10801 to 10816,”.</w:t>
      </w:r>
    </w:p>
    <w:p w:rsidR="009E42F1" w:rsidRPr="006D775D" w:rsidRDefault="00B25E9D" w:rsidP="009E42F1">
      <w:pPr>
        <w:pStyle w:val="ItemHead"/>
      </w:pPr>
      <w:r w:rsidRPr="006D775D">
        <w:t>9</w:t>
      </w:r>
      <w:r w:rsidR="009E42F1" w:rsidRPr="006D775D">
        <w:t xml:space="preserve">  Paragraph 1.2.4(3)(c)</w:t>
      </w:r>
      <w:r w:rsidR="006E342E" w:rsidRPr="006D775D">
        <w:t xml:space="preserve"> of Schedule</w:t>
      </w:r>
      <w:r w:rsidR="006D775D" w:rsidRPr="006D775D">
        <w:t> </w:t>
      </w:r>
      <w:r w:rsidR="006E342E" w:rsidRPr="006D775D">
        <w:t>1</w:t>
      </w:r>
    </w:p>
    <w:p w:rsidR="009E42F1" w:rsidRPr="006D775D" w:rsidRDefault="009E42F1" w:rsidP="009E42F1">
      <w:pPr>
        <w:pStyle w:val="Item"/>
      </w:pPr>
      <w:r w:rsidRPr="006D775D">
        <w:t>After “6016,”, insert “6025, 6026</w:t>
      </w:r>
      <w:r w:rsidR="00203039" w:rsidRPr="006D775D">
        <w:t>, 6059, 6060,</w:t>
      </w:r>
      <w:r w:rsidRPr="006D775D">
        <w:t>”.</w:t>
      </w:r>
    </w:p>
    <w:p w:rsidR="007362F4" w:rsidRPr="006D775D" w:rsidRDefault="00B25E9D" w:rsidP="007362F4">
      <w:pPr>
        <w:pStyle w:val="ItemHead"/>
      </w:pPr>
      <w:r w:rsidRPr="006D775D">
        <w:t>10</w:t>
      </w:r>
      <w:r w:rsidR="007362F4" w:rsidRPr="006D775D">
        <w:t xml:space="preserve">  Subclause</w:t>
      </w:r>
      <w:r w:rsidR="006D775D" w:rsidRPr="006D775D">
        <w:t> </w:t>
      </w:r>
      <w:r w:rsidR="007362F4" w:rsidRPr="006D775D">
        <w:t>1.2.5(1)</w:t>
      </w:r>
      <w:r w:rsidR="006E342E" w:rsidRPr="006D775D">
        <w:t xml:space="preserve"> of Schedule</w:t>
      </w:r>
      <w:r w:rsidR="006D775D" w:rsidRPr="006D775D">
        <w:t> </w:t>
      </w:r>
      <w:r w:rsidR="006E342E" w:rsidRPr="006D775D">
        <w:t>1</w:t>
      </w:r>
    </w:p>
    <w:p w:rsidR="007362F4" w:rsidRPr="006D775D" w:rsidRDefault="007362F4" w:rsidP="007362F4">
      <w:pPr>
        <w:pStyle w:val="Item"/>
      </w:pPr>
      <w:r w:rsidRPr="006D775D">
        <w:t>Omit “900 to 10816</w:t>
      </w:r>
      <w:r w:rsidR="00691251" w:rsidRPr="006D775D">
        <w:t>,</w:t>
      </w:r>
      <w:r w:rsidRPr="006D775D">
        <w:t>”, substitute “900 to 6016, 6018</w:t>
      </w:r>
      <w:r w:rsidR="00296FCA" w:rsidRPr="006D775D">
        <w:t xml:space="preserve"> to</w:t>
      </w:r>
      <w:r w:rsidRPr="006D775D">
        <w:t xml:space="preserve"> 6024, 6028, 6051</w:t>
      </w:r>
      <w:r w:rsidR="00296FCA" w:rsidRPr="006D775D">
        <w:t xml:space="preserve"> to</w:t>
      </w:r>
      <w:r w:rsidRPr="006D775D">
        <w:t xml:space="preserve"> 605</w:t>
      </w:r>
      <w:r w:rsidR="00296FCA" w:rsidRPr="006D775D">
        <w:t>8</w:t>
      </w:r>
      <w:r w:rsidRPr="006D775D">
        <w:t>, 6062, 6063, 10801 to 10816,”.</w:t>
      </w:r>
    </w:p>
    <w:p w:rsidR="007362F4" w:rsidRPr="006D775D" w:rsidRDefault="00B25E9D" w:rsidP="007362F4">
      <w:pPr>
        <w:pStyle w:val="ItemHead"/>
      </w:pPr>
      <w:r w:rsidRPr="006D775D">
        <w:t>11</w:t>
      </w:r>
      <w:r w:rsidR="007362F4" w:rsidRPr="006D775D">
        <w:t xml:space="preserve">  Paragraph 1.2.5(4)(c)</w:t>
      </w:r>
      <w:r w:rsidR="006E342E" w:rsidRPr="006D775D">
        <w:t xml:space="preserve"> of Schedule</w:t>
      </w:r>
      <w:r w:rsidR="006D775D" w:rsidRPr="006D775D">
        <w:t> </w:t>
      </w:r>
      <w:r w:rsidR="006E342E" w:rsidRPr="006D775D">
        <w:t>1</w:t>
      </w:r>
    </w:p>
    <w:p w:rsidR="007362F4" w:rsidRPr="006D775D" w:rsidRDefault="007362F4" w:rsidP="007362F4">
      <w:pPr>
        <w:pStyle w:val="Item"/>
      </w:pPr>
      <w:r w:rsidRPr="006D775D">
        <w:t>After “6016,”, insert “6025, 6026, 6059, 6060,”.</w:t>
      </w:r>
    </w:p>
    <w:p w:rsidR="00077136" w:rsidRPr="006D775D" w:rsidRDefault="00B25E9D" w:rsidP="00077136">
      <w:pPr>
        <w:pStyle w:val="ItemHead"/>
        <w:tabs>
          <w:tab w:val="left" w:pos="6663"/>
        </w:tabs>
      </w:pPr>
      <w:r w:rsidRPr="006D775D">
        <w:t>12</w:t>
      </w:r>
      <w:r w:rsidR="00077136" w:rsidRPr="006D775D">
        <w:t xml:space="preserve">  Subclause</w:t>
      </w:r>
      <w:r w:rsidR="006D775D" w:rsidRPr="006D775D">
        <w:t> </w:t>
      </w:r>
      <w:r w:rsidR="00077136" w:rsidRPr="006D775D">
        <w:t>1.2.8(1)</w:t>
      </w:r>
      <w:r w:rsidR="006E342E" w:rsidRPr="006D775D">
        <w:t xml:space="preserve"> of Schedule</w:t>
      </w:r>
      <w:r w:rsidR="006D775D" w:rsidRPr="006D775D">
        <w:t> </w:t>
      </w:r>
      <w:r w:rsidR="006E342E" w:rsidRPr="006D775D">
        <w:t>1</w:t>
      </w:r>
    </w:p>
    <w:p w:rsidR="00077136" w:rsidRPr="006D775D" w:rsidRDefault="00077136" w:rsidP="00077136">
      <w:pPr>
        <w:pStyle w:val="Item"/>
      </w:pPr>
      <w:r w:rsidRPr="006D775D">
        <w:t>Omit “12015, 12018, 12021,”, substitute “12017, 12021, 12022, 12024,”.</w:t>
      </w:r>
    </w:p>
    <w:p w:rsidR="00AC146F" w:rsidRPr="006D775D" w:rsidRDefault="00B25E9D" w:rsidP="00AC146F">
      <w:pPr>
        <w:pStyle w:val="ItemHead"/>
      </w:pPr>
      <w:r w:rsidRPr="006D775D">
        <w:t>13</w:t>
      </w:r>
      <w:r w:rsidR="00AC146F" w:rsidRPr="006D775D">
        <w:t xml:space="preserve">  Schedule</w:t>
      </w:r>
      <w:r w:rsidR="006D775D" w:rsidRPr="006D775D">
        <w:t> </w:t>
      </w:r>
      <w:r w:rsidR="00AC146F" w:rsidRPr="006D775D">
        <w:t>1 (cell at item</w:t>
      </w:r>
      <w:r w:rsidR="006D775D" w:rsidRPr="006D775D">
        <w:t> </w:t>
      </w:r>
      <w:r w:rsidR="00AC146F" w:rsidRPr="006D775D">
        <w:t>825, column headed “Description”)</w:t>
      </w:r>
    </w:p>
    <w:p w:rsidR="00AC146F" w:rsidRPr="006D775D" w:rsidRDefault="00AC146F" w:rsidP="00AC146F">
      <w:pPr>
        <w:pStyle w:val="Item"/>
      </w:pPr>
      <w:r w:rsidRPr="006D775D">
        <w:t>Repeal the cell, substitute:</w:t>
      </w:r>
    </w:p>
    <w:p w:rsidR="00AC146F" w:rsidRPr="006D775D" w:rsidRDefault="00AC146F" w:rsidP="00AC146F">
      <w:pPr>
        <w:pStyle w:val="Tabletext"/>
      </w:pPr>
    </w:p>
    <w:tbl>
      <w:tblPr>
        <w:tblW w:w="6237" w:type="dxa"/>
        <w:tblInd w:w="816" w:type="dxa"/>
        <w:tblLayout w:type="fixed"/>
        <w:tblCellMar>
          <w:left w:w="107" w:type="dxa"/>
          <w:right w:w="107" w:type="dxa"/>
        </w:tblCellMar>
        <w:tblLook w:val="04A0" w:firstRow="1" w:lastRow="0" w:firstColumn="1" w:lastColumn="0" w:noHBand="0" w:noVBand="1"/>
      </w:tblPr>
      <w:tblGrid>
        <w:gridCol w:w="6237"/>
      </w:tblGrid>
      <w:tr w:rsidR="00AC146F" w:rsidRPr="006D775D" w:rsidTr="00277B4A">
        <w:tc>
          <w:tcPr>
            <w:tcW w:w="6237" w:type="dxa"/>
            <w:shd w:val="clear" w:color="auto" w:fill="auto"/>
          </w:tcPr>
          <w:p w:rsidR="00AC146F" w:rsidRPr="006D775D" w:rsidRDefault="00AC146F" w:rsidP="00501726">
            <w:pPr>
              <w:pStyle w:val="Tabletext"/>
            </w:pPr>
            <w:r w:rsidRPr="006D775D">
              <w:rPr>
                <w:snapToGrid w:val="0"/>
              </w:rPr>
              <w:t>Attendance by a consultant physician in the practice of his or her specialty, as a member of a multidisciplinary case conference team</w:t>
            </w:r>
            <w:r w:rsidR="00501726" w:rsidRPr="006D775D">
              <w:rPr>
                <w:snapToGrid w:val="0"/>
              </w:rPr>
              <w:t xml:space="preserve"> of at least 2 other formal care providers of different disciplines</w:t>
            </w:r>
            <w:r w:rsidRPr="006D775D">
              <w:rPr>
                <w:snapToGrid w:val="0"/>
              </w:rPr>
              <w:t>, to participate in a community case conference (other than to organise and coordinate the conference) of at least 15 minutes but less than 30 minutes, with the multidisciplinary case conference team</w:t>
            </w:r>
            <w:r w:rsidR="00193D4E" w:rsidRPr="006D775D">
              <w:rPr>
                <w:snapToGrid w:val="0"/>
              </w:rPr>
              <w:t xml:space="preserve"> </w:t>
            </w:r>
          </w:p>
        </w:tc>
      </w:tr>
    </w:tbl>
    <w:p w:rsidR="00AC146F" w:rsidRPr="006D775D" w:rsidRDefault="00B25E9D" w:rsidP="00AC146F">
      <w:pPr>
        <w:pStyle w:val="ItemHead"/>
      </w:pPr>
      <w:r w:rsidRPr="006D775D">
        <w:t>14</w:t>
      </w:r>
      <w:r w:rsidR="00AC146F" w:rsidRPr="006D775D">
        <w:t xml:space="preserve">  Schedule</w:t>
      </w:r>
      <w:r w:rsidR="006D775D" w:rsidRPr="006D775D">
        <w:t> </w:t>
      </w:r>
      <w:r w:rsidR="00AC146F" w:rsidRPr="006D775D">
        <w:t>1 (cell at item</w:t>
      </w:r>
      <w:r w:rsidR="006D775D" w:rsidRPr="006D775D">
        <w:t> </w:t>
      </w:r>
      <w:r w:rsidR="00AC146F" w:rsidRPr="006D775D">
        <w:t>826, column headed “Description”)</w:t>
      </w:r>
    </w:p>
    <w:p w:rsidR="00AC146F" w:rsidRPr="006D775D" w:rsidRDefault="00AC146F" w:rsidP="00AC146F">
      <w:pPr>
        <w:pStyle w:val="Item"/>
      </w:pPr>
      <w:r w:rsidRPr="006D775D">
        <w:t>Repeal the cell, substitute:</w:t>
      </w:r>
    </w:p>
    <w:p w:rsidR="00AC146F" w:rsidRPr="006D775D" w:rsidRDefault="00AC146F" w:rsidP="00AC146F">
      <w:pPr>
        <w:pStyle w:val="Tabletext"/>
      </w:pPr>
    </w:p>
    <w:tbl>
      <w:tblPr>
        <w:tblW w:w="6237" w:type="dxa"/>
        <w:tblInd w:w="816" w:type="dxa"/>
        <w:tblLayout w:type="fixed"/>
        <w:tblCellMar>
          <w:left w:w="107" w:type="dxa"/>
          <w:right w:w="107" w:type="dxa"/>
        </w:tblCellMar>
        <w:tblLook w:val="04A0" w:firstRow="1" w:lastRow="0" w:firstColumn="1" w:lastColumn="0" w:noHBand="0" w:noVBand="1"/>
      </w:tblPr>
      <w:tblGrid>
        <w:gridCol w:w="6237"/>
      </w:tblGrid>
      <w:tr w:rsidR="00AC146F" w:rsidRPr="006D775D" w:rsidTr="00277B4A">
        <w:tc>
          <w:tcPr>
            <w:tcW w:w="6237" w:type="dxa"/>
            <w:shd w:val="clear" w:color="auto" w:fill="auto"/>
          </w:tcPr>
          <w:p w:rsidR="00AC146F" w:rsidRPr="006D775D" w:rsidRDefault="00AC146F" w:rsidP="00501726">
            <w:pPr>
              <w:pStyle w:val="Tabletext"/>
            </w:pPr>
            <w:r w:rsidRPr="006D775D">
              <w:rPr>
                <w:snapToGrid w:val="0"/>
              </w:rPr>
              <w:t>Attendance by a consultant physician in the practice of his or her specialty, as a member of a multidisciplinary case conference team</w:t>
            </w:r>
            <w:r w:rsidR="00501726" w:rsidRPr="006D775D">
              <w:rPr>
                <w:snapToGrid w:val="0"/>
              </w:rPr>
              <w:t xml:space="preserve"> of at least 2 other formal care providers of different disciplines</w:t>
            </w:r>
            <w:r w:rsidRPr="006D775D">
              <w:rPr>
                <w:snapToGrid w:val="0"/>
              </w:rPr>
              <w:t>, to participate in a community case conference (other than to organise and coordinate the conference) of at least 30 minutes but less than 45 minutes, with the multidisciplinary case conference team</w:t>
            </w:r>
            <w:r w:rsidR="00193D4E" w:rsidRPr="006D775D">
              <w:rPr>
                <w:snapToGrid w:val="0"/>
              </w:rPr>
              <w:t xml:space="preserve"> </w:t>
            </w:r>
          </w:p>
        </w:tc>
      </w:tr>
    </w:tbl>
    <w:p w:rsidR="00AC146F" w:rsidRPr="006D775D" w:rsidRDefault="00B25E9D" w:rsidP="00AC146F">
      <w:pPr>
        <w:pStyle w:val="ItemHead"/>
      </w:pPr>
      <w:r w:rsidRPr="006D775D">
        <w:t>15</w:t>
      </w:r>
      <w:r w:rsidR="00AC146F" w:rsidRPr="006D775D">
        <w:t xml:space="preserve">  Schedule</w:t>
      </w:r>
      <w:r w:rsidR="006D775D" w:rsidRPr="006D775D">
        <w:t> </w:t>
      </w:r>
      <w:r w:rsidR="00AC146F" w:rsidRPr="006D775D">
        <w:t>1 (cell at item</w:t>
      </w:r>
      <w:r w:rsidR="006D775D" w:rsidRPr="006D775D">
        <w:t> </w:t>
      </w:r>
      <w:r w:rsidR="00AC146F" w:rsidRPr="006D775D">
        <w:t>828, column headed “Description”)</w:t>
      </w:r>
    </w:p>
    <w:p w:rsidR="00AC146F" w:rsidRPr="006D775D" w:rsidRDefault="00AC146F" w:rsidP="00AC146F">
      <w:pPr>
        <w:pStyle w:val="Item"/>
      </w:pPr>
      <w:r w:rsidRPr="006D775D">
        <w:t>Repeal the cell, substitute:</w:t>
      </w:r>
    </w:p>
    <w:p w:rsidR="00AC146F" w:rsidRPr="006D775D" w:rsidRDefault="00AC146F" w:rsidP="00AC146F">
      <w:pPr>
        <w:pStyle w:val="Tabletext"/>
      </w:pPr>
    </w:p>
    <w:tbl>
      <w:tblPr>
        <w:tblW w:w="6237" w:type="dxa"/>
        <w:tblInd w:w="816" w:type="dxa"/>
        <w:tblLayout w:type="fixed"/>
        <w:tblCellMar>
          <w:left w:w="107" w:type="dxa"/>
          <w:right w:w="107" w:type="dxa"/>
        </w:tblCellMar>
        <w:tblLook w:val="04A0" w:firstRow="1" w:lastRow="0" w:firstColumn="1" w:lastColumn="0" w:noHBand="0" w:noVBand="1"/>
      </w:tblPr>
      <w:tblGrid>
        <w:gridCol w:w="6237"/>
      </w:tblGrid>
      <w:tr w:rsidR="00AC146F" w:rsidRPr="006D775D" w:rsidTr="00277B4A">
        <w:tc>
          <w:tcPr>
            <w:tcW w:w="6237" w:type="dxa"/>
            <w:shd w:val="clear" w:color="auto" w:fill="auto"/>
          </w:tcPr>
          <w:p w:rsidR="00AC146F" w:rsidRPr="006D775D" w:rsidRDefault="00AC146F" w:rsidP="00501726">
            <w:pPr>
              <w:pStyle w:val="Tabletext"/>
            </w:pPr>
            <w:r w:rsidRPr="006D775D">
              <w:rPr>
                <w:snapToGrid w:val="0"/>
              </w:rPr>
              <w:t>Attendance by a consultant physician in the practice of his or her specialty, as a member of a multidisciplinary case conference team</w:t>
            </w:r>
            <w:r w:rsidR="00501726" w:rsidRPr="006D775D">
              <w:rPr>
                <w:snapToGrid w:val="0"/>
              </w:rPr>
              <w:t xml:space="preserve"> of at least 2 other formal care providers of different disciplines</w:t>
            </w:r>
            <w:r w:rsidRPr="006D775D">
              <w:rPr>
                <w:snapToGrid w:val="0"/>
              </w:rPr>
              <w:t>, to participate in a community case conference (other than to organise and coordinate the conference) of at least 45 minutes, with the multidisciplinary case conference team</w:t>
            </w:r>
          </w:p>
        </w:tc>
      </w:tr>
    </w:tbl>
    <w:p w:rsidR="00AC146F" w:rsidRPr="006D775D" w:rsidRDefault="00B25E9D" w:rsidP="00AC146F">
      <w:pPr>
        <w:pStyle w:val="ItemHead"/>
      </w:pPr>
      <w:r w:rsidRPr="006D775D">
        <w:t>16</w:t>
      </w:r>
      <w:r w:rsidR="00AC146F" w:rsidRPr="006D775D">
        <w:t xml:space="preserve">  Schedule</w:t>
      </w:r>
      <w:r w:rsidR="006D775D" w:rsidRPr="006D775D">
        <w:t> </w:t>
      </w:r>
      <w:r w:rsidR="00AC146F" w:rsidRPr="006D775D">
        <w:t>1 (cell at item</w:t>
      </w:r>
      <w:r w:rsidR="006D775D" w:rsidRPr="006D775D">
        <w:t> </w:t>
      </w:r>
      <w:r w:rsidR="00AC146F" w:rsidRPr="006D775D">
        <w:t>855, column headed “Description”)</w:t>
      </w:r>
    </w:p>
    <w:p w:rsidR="00AC146F" w:rsidRPr="006D775D" w:rsidRDefault="00AC146F" w:rsidP="00AC146F">
      <w:pPr>
        <w:pStyle w:val="Item"/>
      </w:pPr>
      <w:r w:rsidRPr="006D775D">
        <w:t>Repeal the cell, substitute:</w:t>
      </w:r>
    </w:p>
    <w:p w:rsidR="00AC146F" w:rsidRPr="006D775D" w:rsidRDefault="00AC146F" w:rsidP="00AC146F">
      <w:pPr>
        <w:pStyle w:val="Tabletext"/>
      </w:pPr>
    </w:p>
    <w:tbl>
      <w:tblPr>
        <w:tblW w:w="6237" w:type="dxa"/>
        <w:tblInd w:w="816" w:type="dxa"/>
        <w:tblLayout w:type="fixed"/>
        <w:tblCellMar>
          <w:left w:w="107" w:type="dxa"/>
          <w:right w:w="107" w:type="dxa"/>
        </w:tblCellMar>
        <w:tblLook w:val="04A0" w:firstRow="1" w:lastRow="0" w:firstColumn="1" w:lastColumn="0" w:noHBand="0" w:noVBand="1"/>
      </w:tblPr>
      <w:tblGrid>
        <w:gridCol w:w="6237"/>
      </w:tblGrid>
      <w:tr w:rsidR="00AC146F" w:rsidRPr="006D775D" w:rsidTr="00277B4A">
        <w:tc>
          <w:tcPr>
            <w:tcW w:w="6237" w:type="dxa"/>
            <w:shd w:val="clear" w:color="auto" w:fill="auto"/>
          </w:tcPr>
          <w:p w:rsidR="00AC146F" w:rsidRPr="006D775D" w:rsidRDefault="00AC146F" w:rsidP="00501726">
            <w:pPr>
              <w:pStyle w:val="Tabletext"/>
            </w:pPr>
            <w:r w:rsidRPr="006D775D">
              <w:rPr>
                <w:snapToGrid w:val="0"/>
              </w:rPr>
              <w:t>Attendance by a consultant physician in the practice of his or her specialty of psychiatry, as a member of a multidisciplinary case conference team</w:t>
            </w:r>
            <w:r w:rsidR="00501726" w:rsidRPr="006D775D">
              <w:rPr>
                <w:snapToGrid w:val="0"/>
              </w:rPr>
              <w:t xml:space="preserve"> of at least 2 other formal care providers of different disciplines</w:t>
            </w:r>
            <w:r w:rsidRPr="006D775D">
              <w:rPr>
                <w:snapToGrid w:val="0"/>
              </w:rPr>
              <w:t>, to organise and coordinate a community case conference of at least 15 minutes but less than 30 minutes, with the multidisciplinary case conference team</w:t>
            </w:r>
          </w:p>
        </w:tc>
      </w:tr>
    </w:tbl>
    <w:p w:rsidR="00AC146F" w:rsidRPr="006D775D" w:rsidRDefault="00B25E9D" w:rsidP="00AC146F">
      <w:pPr>
        <w:pStyle w:val="ItemHead"/>
      </w:pPr>
      <w:r w:rsidRPr="006D775D">
        <w:t>17</w:t>
      </w:r>
      <w:r w:rsidR="00AC146F" w:rsidRPr="006D775D">
        <w:t xml:space="preserve">  Schedule</w:t>
      </w:r>
      <w:r w:rsidR="006D775D" w:rsidRPr="006D775D">
        <w:t> </w:t>
      </w:r>
      <w:r w:rsidR="00AC146F" w:rsidRPr="006D775D">
        <w:t>1 (cell at item</w:t>
      </w:r>
      <w:r w:rsidR="006D775D" w:rsidRPr="006D775D">
        <w:t> </w:t>
      </w:r>
      <w:r w:rsidR="00AC146F" w:rsidRPr="006D775D">
        <w:t>857, column headed “Description”)</w:t>
      </w:r>
    </w:p>
    <w:p w:rsidR="00AC146F" w:rsidRPr="006D775D" w:rsidRDefault="00AC146F" w:rsidP="00AC146F">
      <w:pPr>
        <w:pStyle w:val="Item"/>
      </w:pPr>
      <w:r w:rsidRPr="006D775D">
        <w:t>Repeal the cell, substitute:</w:t>
      </w:r>
    </w:p>
    <w:p w:rsidR="00AC146F" w:rsidRPr="006D775D" w:rsidRDefault="00AC146F" w:rsidP="00AC146F">
      <w:pPr>
        <w:pStyle w:val="Tabletext"/>
      </w:pPr>
    </w:p>
    <w:tbl>
      <w:tblPr>
        <w:tblW w:w="6237" w:type="dxa"/>
        <w:tblInd w:w="816" w:type="dxa"/>
        <w:tblLayout w:type="fixed"/>
        <w:tblCellMar>
          <w:left w:w="107" w:type="dxa"/>
          <w:right w:w="107" w:type="dxa"/>
        </w:tblCellMar>
        <w:tblLook w:val="04A0" w:firstRow="1" w:lastRow="0" w:firstColumn="1" w:lastColumn="0" w:noHBand="0" w:noVBand="1"/>
      </w:tblPr>
      <w:tblGrid>
        <w:gridCol w:w="6237"/>
      </w:tblGrid>
      <w:tr w:rsidR="00AC146F" w:rsidRPr="006D775D" w:rsidTr="00277B4A">
        <w:tc>
          <w:tcPr>
            <w:tcW w:w="6237" w:type="dxa"/>
            <w:shd w:val="clear" w:color="auto" w:fill="auto"/>
          </w:tcPr>
          <w:p w:rsidR="00AC146F" w:rsidRPr="006D775D" w:rsidRDefault="00AC146F" w:rsidP="00501726">
            <w:pPr>
              <w:pStyle w:val="Tabletext"/>
            </w:pPr>
            <w:r w:rsidRPr="006D775D">
              <w:rPr>
                <w:snapToGrid w:val="0"/>
              </w:rPr>
              <w:t>Attendance by a consultant physician in the practice of his or her specialty of psychiatry, as a member of a multidisciplinary case conference team</w:t>
            </w:r>
            <w:r w:rsidR="00501726" w:rsidRPr="006D775D">
              <w:rPr>
                <w:snapToGrid w:val="0"/>
              </w:rPr>
              <w:t xml:space="preserve"> of at least 2 other formal care providers of different disciplines</w:t>
            </w:r>
            <w:r w:rsidRPr="006D775D">
              <w:rPr>
                <w:snapToGrid w:val="0"/>
              </w:rPr>
              <w:t>, to organise and coordinate a community case conference of at least 30 minutes but less than 45 minutes, with the multidisciplinary case conference team</w:t>
            </w:r>
          </w:p>
        </w:tc>
      </w:tr>
    </w:tbl>
    <w:p w:rsidR="00AC146F" w:rsidRPr="006D775D" w:rsidRDefault="00B25E9D" w:rsidP="00AC146F">
      <w:pPr>
        <w:pStyle w:val="ItemHead"/>
      </w:pPr>
      <w:r w:rsidRPr="006D775D">
        <w:t>18</w:t>
      </w:r>
      <w:r w:rsidR="00AC146F" w:rsidRPr="006D775D">
        <w:t xml:space="preserve">  Schedule</w:t>
      </w:r>
      <w:r w:rsidR="006D775D" w:rsidRPr="006D775D">
        <w:t> </w:t>
      </w:r>
      <w:r w:rsidR="00AC146F" w:rsidRPr="006D775D">
        <w:t>1 (cell at item</w:t>
      </w:r>
      <w:r w:rsidR="006D775D" w:rsidRPr="006D775D">
        <w:t> </w:t>
      </w:r>
      <w:r w:rsidR="00AC146F" w:rsidRPr="006D775D">
        <w:t>85</w:t>
      </w:r>
      <w:r w:rsidR="007320A7" w:rsidRPr="006D775D">
        <w:t>8</w:t>
      </w:r>
      <w:r w:rsidR="00AC146F" w:rsidRPr="006D775D">
        <w:t>, column headed “Description”)</w:t>
      </w:r>
    </w:p>
    <w:p w:rsidR="00AC146F" w:rsidRPr="006D775D" w:rsidRDefault="00AC146F" w:rsidP="00AC146F">
      <w:pPr>
        <w:pStyle w:val="Item"/>
      </w:pPr>
      <w:r w:rsidRPr="006D775D">
        <w:t>Repeal the cell, substitute:</w:t>
      </w:r>
    </w:p>
    <w:p w:rsidR="00AC146F" w:rsidRPr="006D775D" w:rsidRDefault="00AC146F" w:rsidP="00AC146F">
      <w:pPr>
        <w:pStyle w:val="Tabletext"/>
      </w:pPr>
    </w:p>
    <w:tbl>
      <w:tblPr>
        <w:tblW w:w="6237" w:type="dxa"/>
        <w:tblInd w:w="816" w:type="dxa"/>
        <w:tblLayout w:type="fixed"/>
        <w:tblCellMar>
          <w:left w:w="107" w:type="dxa"/>
          <w:right w:w="107" w:type="dxa"/>
        </w:tblCellMar>
        <w:tblLook w:val="04A0" w:firstRow="1" w:lastRow="0" w:firstColumn="1" w:lastColumn="0" w:noHBand="0" w:noVBand="1"/>
      </w:tblPr>
      <w:tblGrid>
        <w:gridCol w:w="6237"/>
      </w:tblGrid>
      <w:tr w:rsidR="00AC146F" w:rsidRPr="006D775D" w:rsidTr="00277B4A">
        <w:tc>
          <w:tcPr>
            <w:tcW w:w="6237" w:type="dxa"/>
            <w:shd w:val="clear" w:color="auto" w:fill="auto"/>
          </w:tcPr>
          <w:p w:rsidR="00AC146F" w:rsidRPr="006D775D" w:rsidRDefault="00AC146F" w:rsidP="00501726">
            <w:pPr>
              <w:pStyle w:val="Tabletext"/>
            </w:pPr>
            <w:r w:rsidRPr="006D775D">
              <w:rPr>
                <w:snapToGrid w:val="0"/>
              </w:rPr>
              <w:t>Attendance by a consultant physician in the practice of his or her specialty of psychiatry, as a member of a multidisciplinary case conference team</w:t>
            </w:r>
            <w:r w:rsidR="00501726" w:rsidRPr="006D775D">
              <w:rPr>
                <w:snapToGrid w:val="0"/>
              </w:rPr>
              <w:t xml:space="preserve"> of at least 2 other formal care providers of different disciplines</w:t>
            </w:r>
            <w:r w:rsidRPr="006D775D">
              <w:rPr>
                <w:snapToGrid w:val="0"/>
              </w:rPr>
              <w:t xml:space="preserve">, to organise and coordinate a community case conference </w:t>
            </w:r>
            <w:r w:rsidR="007320A7" w:rsidRPr="006D775D">
              <w:rPr>
                <w:snapToGrid w:val="0"/>
              </w:rPr>
              <w:t>of at least 45 minutes,</w:t>
            </w:r>
            <w:r w:rsidRPr="006D775D">
              <w:rPr>
                <w:snapToGrid w:val="0"/>
              </w:rPr>
              <w:t xml:space="preserve"> with the multidisciplinary case conference team</w:t>
            </w:r>
          </w:p>
        </w:tc>
      </w:tr>
    </w:tbl>
    <w:p w:rsidR="00956E87" w:rsidRPr="006D775D" w:rsidRDefault="00B25E9D" w:rsidP="00956E87">
      <w:pPr>
        <w:pStyle w:val="ItemHead"/>
      </w:pPr>
      <w:r w:rsidRPr="006D775D">
        <w:t>19</w:t>
      </w:r>
      <w:r w:rsidR="007B4B17" w:rsidRPr="006D775D">
        <w:t xml:space="preserve">  After Division</w:t>
      </w:r>
      <w:r w:rsidR="006D775D" w:rsidRPr="006D775D">
        <w:t> </w:t>
      </w:r>
      <w:r w:rsidR="007B4B17" w:rsidRPr="006D775D">
        <w:t>2.2</w:t>
      </w:r>
      <w:r w:rsidR="00E7461F" w:rsidRPr="006D775D">
        <w:t>1</w:t>
      </w:r>
      <w:r w:rsidR="007B4B17" w:rsidRPr="006D775D">
        <w:t xml:space="preserve"> of Schedule</w:t>
      </w:r>
      <w:r w:rsidR="006D775D" w:rsidRPr="006D775D">
        <w:t> </w:t>
      </w:r>
      <w:r w:rsidR="007B4B17" w:rsidRPr="006D775D">
        <w:t>1</w:t>
      </w:r>
    </w:p>
    <w:p w:rsidR="007B4B17" w:rsidRPr="006D775D" w:rsidRDefault="007B4B17" w:rsidP="007B4B17">
      <w:pPr>
        <w:pStyle w:val="Item"/>
      </w:pPr>
      <w:r w:rsidRPr="006D775D">
        <w:t>Insert:</w:t>
      </w:r>
    </w:p>
    <w:p w:rsidR="00956E87" w:rsidRPr="006D775D" w:rsidRDefault="007B4B17" w:rsidP="007740BF">
      <w:pPr>
        <w:pStyle w:val="ActHead3"/>
      </w:pPr>
      <w:bookmarkStart w:id="14" w:name="_Toc462386538"/>
      <w:r w:rsidRPr="006D775D">
        <w:rPr>
          <w:rStyle w:val="CharDivNo"/>
        </w:rPr>
        <w:t>Division</w:t>
      </w:r>
      <w:r w:rsidR="006D775D" w:rsidRPr="006D775D">
        <w:rPr>
          <w:rStyle w:val="CharDivNo"/>
        </w:rPr>
        <w:t> </w:t>
      </w:r>
      <w:r w:rsidRPr="006D775D">
        <w:rPr>
          <w:rStyle w:val="CharDivNo"/>
        </w:rPr>
        <w:t>2.2</w:t>
      </w:r>
      <w:r w:rsidR="00E7461F" w:rsidRPr="006D775D">
        <w:rPr>
          <w:rStyle w:val="CharDivNo"/>
        </w:rPr>
        <w:t>1</w:t>
      </w:r>
      <w:r w:rsidRPr="006D775D">
        <w:rPr>
          <w:rStyle w:val="CharDivNo"/>
        </w:rPr>
        <w:t>A</w:t>
      </w:r>
      <w:r w:rsidRPr="006D775D">
        <w:t>—</w:t>
      </w:r>
      <w:r w:rsidRPr="006D775D">
        <w:rPr>
          <w:rStyle w:val="CharDivText"/>
        </w:rPr>
        <w:t xml:space="preserve">Group A31: </w:t>
      </w:r>
      <w:r w:rsidR="009929DC" w:rsidRPr="006D775D">
        <w:rPr>
          <w:rStyle w:val="CharDivText"/>
        </w:rPr>
        <w:t>Addiction medicine</w:t>
      </w:r>
      <w:bookmarkEnd w:id="14"/>
    </w:p>
    <w:p w:rsidR="008D37A1" w:rsidRPr="006D775D" w:rsidRDefault="008D37A1" w:rsidP="008D37A1">
      <w:pPr>
        <w:pStyle w:val="ActHead5"/>
      </w:pPr>
      <w:bookmarkStart w:id="15" w:name="_Toc462386539"/>
      <w:r w:rsidRPr="006D775D">
        <w:rPr>
          <w:rStyle w:val="CharSectno"/>
        </w:rPr>
        <w:t>2.21A.1</w:t>
      </w:r>
      <w:r w:rsidRPr="006D775D">
        <w:t xml:space="preserve">  Meaning of organise and coordinate</w:t>
      </w:r>
      <w:bookmarkEnd w:id="15"/>
    </w:p>
    <w:p w:rsidR="008D37A1" w:rsidRPr="006D775D" w:rsidRDefault="008D37A1" w:rsidP="008D37A1">
      <w:pPr>
        <w:pStyle w:val="subsection"/>
      </w:pPr>
      <w:r w:rsidRPr="006D775D">
        <w:tab/>
      </w:r>
      <w:r w:rsidRPr="006D775D">
        <w:tab/>
        <w:t>In items</w:t>
      </w:r>
      <w:r w:rsidR="006D775D" w:rsidRPr="006D775D">
        <w:t> </w:t>
      </w:r>
      <w:r w:rsidRPr="006D775D">
        <w:t>6029 to 6042:</w:t>
      </w:r>
    </w:p>
    <w:p w:rsidR="008D37A1" w:rsidRPr="006D775D" w:rsidRDefault="008D37A1" w:rsidP="008D37A1">
      <w:pPr>
        <w:pStyle w:val="Definition"/>
      </w:pPr>
      <w:r w:rsidRPr="006D775D">
        <w:rPr>
          <w:b/>
          <w:i/>
          <w:lang w:eastAsia="en-US"/>
        </w:rPr>
        <w:t>organise and coordinate</w:t>
      </w:r>
      <w:r w:rsidRPr="006D775D">
        <w:t>, for a conference mentioned in the item, means undertaking all of the following activities:</w:t>
      </w:r>
    </w:p>
    <w:p w:rsidR="008D37A1" w:rsidRPr="006D775D" w:rsidRDefault="008D37A1" w:rsidP="008D37A1">
      <w:pPr>
        <w:pStyle w:val="paragraph"/>
      </w:pPr>
      <w:r w:rsidRPr="006D775D">
        <w:tab/>
        <w:t>(a)</w:t>
      </w:r>
      <w:r w:rsidRPr="006D775D">
        <w:tab/>
        <w:t>explaining to the patient the nature of the conference;</w:t>
      </w:r>
    </w:p>
    <w:p w:rsidR="008D37A1" w:rsidRPr="006D775D" w:rsidRDefault="008D37A1" w:rsidP="008D37A1">
      <w:pPr>
        <w:pStyle w:val="paragraph"/>
      </w:pPr>
      <w:r w:rsidRPr="006D775D">
        <w:tab/>
        <w:t>(b)</w:t>
      </w:r>
      <w:r w:rsidRPr="006D775D">
        <w:tab/>
        <w:t>asking the patient whether the patient agrees to the conference taking place;</w:t>
      </w:r>
    </w:p>
    <w:p w:rsidR="008D37A1" w:rsidRPr="006D775D" w:rsidRDefault="008D37A1" w:rsidP="008D37A1">
      <w:pPr>
        <w:pStyle w:val="paragraph"/>
      </w:pPr>
      <w:r w:rsidRPr="006D775D">
        <w:tab/>
        <w:t>(c)</w:t>
      </w:r>
      <w:r w:rsidRPr="006D775D">
        <w:tab/>
        <w:t>recording the patient’s agreement to the conference;</w:t>
      </w:r>
    </w:p>
    <w:p w:rsidR="008D37A1" w:rsidRPr="006D775D" w:rsidRDefault="008D37A1" w:rsidP="008D37A1">
      <w:pPr>
        <w:pStyle w:val="paragraph"/>
      </w:pPr>
      <w:r w:rsidRPr="006D775D">
        <w:tab/>
        <w:t>(d)</w:t>
      </w:r>
      <w:r w:rsidRPr="006D775D">
        <w:tab/>
        <w:t>recording the day the conference was held and the times the conference started and ended;</w:t>
      </w:r>
    </w:p>
    <w:p w:rsidR="008D37A1" w:rsidRPr="006D775D" w:rsidRDefault="008D37A1" w:rsidP="008D37A1">
      <w:pPr>
        <w:pStyle w:val="paragraph"/>
      </w:pPr>
      <w:r w:rsidRPr="006D775D">
        <w:tab/>
        <w:t>(e)</w:t>
      </w:r>
      <w:r w:rsidRPr="006D775D">
        <w:tab/>
        <w:t>recording the names of the participants;</w:t>
      </w:r>
    </w:p>
    <w:p w:rsidR="008D37A1" w:rsidRPr="006D775D" w:rsidRDefault="008D37A1" w:rsidP="008D37A1">
      <w:pPr>
        <w:pStyle w:val="paragraph"/>
      </w:pPr>
      <w:r w:rsidRPr="006D775D">
        <w:tab/>
        <w:t>(f)</w:t>
      </w:r>
      <w:r w:rsidRPr="006D775D">
        <w:tab/>
        <w:t xml:space="preserve">recording the activities mentioned in the definition of </w:t>
      </w:r>
      <w:r w:rsidRPr="006D775D">
        <w:rPr>
          <w:b/>
          <w:i/>
        </w:rPr>
        <w:t>multidisciplinary case conference</w:t>
      </w:r>
      <w:r w:rsidRPr="006D775D">
        <w:t xml:space="preserve"> in clause</w:t>
      </w:r>
      <w:r w:rsidR="006D775D" w:rsidRPr="006D775D">
        <w:t> </w:t>
      </w:r>
      <w:r w:rsidRPr="006D775D">
        <w:t>1.1.2 and putting a copy of that record in the patient’s medical records;</w:t>
      </w:r>
    </w:p>
    <w:p w:rsidR="008D37A1" w:rsidRPr="006D775D" w:rsidRDefault="008D37A1" w:rsidP="008D37A1">
      <w:pPr>
        <w:pStyle w:val="paragraph"/>
      </w:pPr>
      <w:r w:rsidRPr="006D775D">
        <w:tab/>
        <w:t>(g)</w:t>
      </w:r>
      <w:r w:rsidRPr="006D775D">
        <w:tab/>
        <w:t>offering the patient and the patient’s carer (if any and if the practitioner considers appropriate and the patient agrees), and giving each other member of the team, a summary of the conference;</w:t>
      </w:r>
    </w:p>
    <w:p w:rsidR="008D37A1" w:rsidRPr="006D775D" w:rsidRDefault="008D37A1" w:rsidP="008D37A1">
      <w:pPr>
        <w:pStyle w:val="paragraph"/>
      </w:pPr>
      <w:r w:rsidRPr="006D775D">
        <w:tab/>
        <w:t>(h)</w:t>
      </w:r>
      <w:r w:rsidRPr="006D775D">
        <w:tab/>
        <w:t>discussing the outcomes of the conference with the patient and the patient’s carer (if any and if the practitioner considers appropriate and the patient agrees).</w:t>
      </w:r>
    </w:p>
    <w:p w:rsidR="008D37A1" w:rsidRPr="006D775D" w:rsidRDefault="008D37A1" w:rsidP="008D37A1">
      <w:pPr>
        <w:pStyle w:val="ActHead5"/>
      </w:pPr>
      <w:bookmarkStart w:id="16" w:name="_Toc462386540"/>
      <w:r w:rsidRPr="006D775D">
        <w:rPr>
          <w:rStyle w:val="CharSectno"/>
        </w:rPr>
        <w:t>2.21A.2</w:t>
      </w:r>
      <w:r w:rsidRPr="006D775D">
        <w:t xml:space="preserve">  Meaning of participate</w:t>
      </w:r>
      <w:bookmarkEnd w:id="16"/>
    </w:p>
    <w:p w:rsidR="008D37A1" w:rsidRPr="006D775D" w:rsidRDefault="008D37A1" w:rsidP="008D37A1">
      <w:pPr>
        <w:pStyle w:val="subsection"/>
      </w:pPr>
      <w:r w:rsidRPr="006D775D">
        <w:tab/>
      </w:r>
      <w:r w:rsidRPr="006D775D">
        <w:tab/>
        <w:t>In items</w:t>
      </w:r>
      <w:r w:rsidR="006D775D" w:rsidRPr="006D775D">
        <w:t> </w:t>
      </w:r>
      <w:r w:rsidRPr="006D775D">
        <w:t>6035 to 6042:</w:t>
      </w:r>
    </w:p>
    <w:p w:rsidR="008D37A1" w:rsidRPr="006D775D" w:rsidRDefault="008D37A1" w:rsidP="008D37A1">
      <w:pPr>
        <w:pStyle w:val="Definition"/>
      </w:pPr>
      <w:r w:rsidRPr="006D775D">
        <w:rPr>
          <w:b/>
          <w:i/>
          <w:lang w:eastAsia="en-US"/>
        </w:rPr>
        <w:t>participate</w:t>
      </w:r>
      <w:r w:rsidRPr="006D775D">
        <w:t>, for a conference mentioned in the item, means participation that:</w:t>
      </w:r>
    </w:p>
    <w:p w:rsidR="00B110DE" w:rsidRPr="006D775D" w:rsidRDefault="00B110DE" w:rsidP="00B110DE">
      <w:pPr>
        <w:pStyle w:val="paragraph"/>
      </w:pPr>
      <w:r w:rsidRPr="006D775D">
        <w:tab/>
        <w:t>(a)</w:t>
      </w:r>
      <w:r w:rsidRPr="006D775D">
        <w:tab/>
        <w:t>does not include organising and coordinating the conference; and</w:t>
      </w:r>
    </w:p>
    <w:p w:rsidR="008D37A1" w:rsidRPr="006D775D" w:rsidRDefault="008D37A1" w:rsidP="008D37A1">
      <w:pPr>
        <w:pStyle w:val="paragraph"/>
      </w:pPr>
      <w:r w:rsidRPr="006D775D">
        <w:tab/>
        <w:t>(</w:t>
      </w:r>
      <w:r w:rsidR="00B110DE" w:rsidRPr="006D775D">
        <w:t>b</w:t>
      </w:r>
      <w:r w:rsidRPr="006D775D">
        <w:t>)</w:t>
      </w:r>
      <w:r w:rsidRPr="006D775D">
        <w:tab/>
        <w:t>involves undertaking all of the following activities in relation to the conference:</w:t>
      </w:r>
    </w:p>
    <w:p w:rsidR="008D37A1" w:rsidRPr="006D775D" w:rsidRDefault="008D37A1" w:rsidP="008D37A1">
      <w:pPr>
        <w:pStyle w:val="paragraphsub"/>
      </w:pPr>
      <w:r w:rsidRPr="006D775D">
        <w:tab/>
        <w:t>(i)</w:t>
      </w:r>
      <w:r w:rsidRPr="006D775D">
        <w:tab/>
        <w:t>explaining to the patient the nature of the conference;</w:t>
      </w:r>
    </w:p>
    <w:p w:rsidR="008D37A1" w:rsidRPr="006D775D" w:rsidRDefault="008D37A1" w:rsidP="008D37A1">
      <w:pPr>
        <w:pStyle w:val="paragraphsub"/>
      </w:pPr>
      <w:r w:rsidRPr="006D775D">
        <w:tab/>
        <w:t>(ii)</w:t>
      </w:r>
      <w:r w:rsidRPr="006D775D">
        <w:tab/>
        <w:t>asking the patient whether the patient agrees to the practitioner’s participation in the conference;</w:t>
      </w:r>
    </w:p>
    <w:p w:rsidR="008D37A1" w:rsidRPr="006D775D" w:rsidRDefault="008D37A1" w:rsidP="008D37A1">
      <w:pPr>
        <w:pStyle w:val="paragraphsub"/>
      </w:pPr>
      <w:r w:rsidRPr="006D775D">
        <w:tab/>
        <w:t>(iii)</w:t>
      </w:r>
      <w:r w:rsidRPr="006D775D">
        <w:tab/>
        <w:t>recording the patient’s agreement to the practitioner’s participation in the conference;</w:t>
      </w:r>
    </w:p>
    <w:p w:rsidR="008D37A1" w:rsidRPr="006D775D" w:rsidRDefault="008D37A1" w:rsidP="008D37A1">
      <w:pPr>
        <w:pStyle w:val="paragraphsub"/>
      </w:pPr>
      <w:r w:rsidRPr="006D775D">
        <w:tab/>
        <w:t>(iv)</w:t>
      </w:r>
      <w:r w:rsidRPr="006D775D">
        <w:tab/>
        <w:t>recording the day the conference was held and the times the conference started and ended;</w:t>
      </w:r>
    </w:p>
    <w:p w:rsidR="008D37A1" w:rsidRPr="006D775D" w:rsidRDefault="008D37A1" w:rsidP="008D37A1">
      <w:pPr>
        <w:pStyle w:val="paragraphsub"/>
      </w:pPr>
      <w:r w:rsidRPr="006D775D">
        <w:tab/>
        <w:t>(v)</w:t>
      </w:r>
      <w:r w:rsidRPr="006D775D">
        <w:tab/>
        <w:t>recording the names of the participants;</w:t>
      </w:r>
    </w:p>
    <w:p w:rsidR="008D37A1" w:rsidRPr="006D775D" w:rsidRDefault="008D37A1" w:rsidP="00B110DE">
      <w:pPr>
        <w:pStyle w:val="paragraphsub"/>
      </w:pPr>
      <w:r w:rsidRPr="006D775D">
        <w:tab/>
        <w:t>(vi)</w:t>
      </w:r>
      <w:r w:rsidRPr="006D775D">
        <w:tab/>
        <w:t xml:space="preserve">recording the activities mentioned in the definition of </w:t>
      </w:r>
      <w:r w:rsidRPr="006D775D">
        <w:rPr>
          <w:b/>
          <w:i/>
        </w:rPr>
        <w:t>multidisciplinary case conference</w:t>
      </w:r>
      <w:r w:rsidRPr="006D775D">
        <w:rPr>
          <w:i/>
        </w:rPr>
        <w:t xml:space="preserve"> </w:t>
      </w:r>
      <w:r w:rsidRPr="006D775D">
        <w:t>in clause</w:t>
      </w:r>
      <w:r w:rsidR="006D775D" w:rsidRPr="006D775D">
        <w:t> </w:t>
      </w:r>
      <w:r w:rsidRPr="006D775D">
        <w:t>1.1.2 and putting a copy of that record in the patient’s medical records</w:t>
      </w:r>
      <w:r w:rsidR="00B110DE" w:rsidRPr="006D775D">
        <w:t>.</w:t>
      </w:r>
    </w:p>
    <w:p w:rsidR="009D1E93" w:rsidRPr="006D775D" w:rsidRDefault="009D1E93" w:rsidP="009D1E93">
      <w:pPr>
        <w:pStyle w:val="ActHead5"/>
      </w:pPr>
      <w:bookmarkStart w:id="17" w:name="_Toc462386541"/>
      <w:r w:rsidRPr="006D775D">
        <w:rPr>
          <w:rStyle w:val="CharSectno"/>
        </w:rPr>
        <w:t>2.21A.</w:t>
      </w:r>
      <w:r w:rsidR="008D37A1" w:rsidRPr="006D775D">
        <w:rPr>
          <w:rStyle w:val="CharSectno"/>
        </w:rPr>
        <w:t>3</w:t>
      </w:r>
      <w:r w:rsidRPr="006D775D">
        <w:t xml:space="preserve">  Limitation of items</w:t>
      </w:r>
      <w:r w:rsidR="006D775D" w:rsidRPr="006D775D">
        <w:t> </w:t>
      </w:r>
      <w:r w:rsidRPr="006D775D">
        <w:t>6025 and 6026</w:t>
      </w:r>
      <w:bookmarkEnd w:id="17"/>
    </w:p>
    <w:p w:rsidR="009D1E93" w:rsidRPr="006D775D" w:rsidRDefault="009D1E93" w:rsidP="009D1E93">
      <w:pPr>
        <w:pStyle w:val="subsection"/>
      </w:pPr>
      <w:r w:rsidRPr="006D775D">
        <w:tab/>
      </w:r>
      <w:r w:rsidR="0009254A" w:rsidRPr="006D775D">
        <w:t>(1)</w:t>
      </w:r>
      <w:r w:rsidRPr="006D775D">
        <w:tab/>
        <w:t>Item</w:t>
      </w:r>
      <w:r w:rsidR="006D775D" w:rsidRPr="006D775D">
        <w:t> </w:t>
      </w:r>
      <w:r w:rsidRPr="006D775D">
        <w:t>6025 do</w:t>
      </w:r>
      <w:r w:rsidR="0009254A" w:rsidRPr="006D775D">
        <w:t>es</w:t>
      </w:r>
      <w:r w:rsidRPr="006D775D">
        <w:t xml:space="preserve"> not apply if the patient</w:t>
      </w:r>
      <w:r w:rsidR="007E68DE" w:rsidRPr="006D775D">
        <w:t xml:space="preserve"> </w:t>
      </w:r>
      <w:r w:rsidRPr="006D775D">
        <w:t xml:space="preserve">or </w:t>
      </w:r>
      <w:r w:rsidR="007E68DE" w:rsidRPr="006D775D">
        <w:t>addiction medicine specialist</w:t>
      </w:r>
      <w:r w:rsidRPr="006D775D">
        <w:t xml:space="preserve"> travels to a place </w:t>
      </w:r>
      <w:r w:rsidR="0009254A" w:rsidRPr="006D775D">
        <w:t xml:space="preserve">to satisfy the requirement in </w:t>
      </w:r>
      <w:r w:rsidR="006D775D" w:rsidRPr="006D775D">
        <w:t>sub</w:t>
      </w:r>
      <w:r w:rsidR="006D775D">
        <w:noBreakHyphen/>
      </w:r>
      <w:r w:rsidR="006D775D" w:rsidRPr="006D775D">
        <w:t>subparagraph (</w:t>
      </w:r>
      <w:r w:rsidR="0009254A" w:rsidRPr="006D775D">
        <w:t>c)(i)(B) of the item.</w:t>
      </w:r>
    </w:p>
    <w:p w:rsidR="0009254A" w:rsidRPr="006D775D" w:rsidRDefault="0009254A" w:rsidP="009D1E93">
      <w:pPr>
        <w:pStyle w:val="subsection"/>
      </w:pPr>
      <w:r w:rsidRPr="006D775D">
        <w:tab/>
        <w:t>(2)</w:t>
      </w:r>
      <w:r w:rsidRPr="006D775D">
        <w:tab/>
        <w:t>Item</w:t>
      </w:r>
      <w:r w:rsidR="006D775D" w:rsidRPr="006D775D">
        <w:t> </w:t>
      </w:r>
      <w:r w:rsidRPr="006D775D">
        <w:t xml:space="preserve">6026 does not apply if the patient or addiction medicine specialist travels to a place to satisfy the requirement in </w:t>
      </w:r>
      <w:r w:rsidR="006D775D" w:rsidRPr="006D775D">
        <w:t>sub</w:t>
      </w:r>
      <w:r w:rsidR="006D775D">
        <w:noBreakHyphen/>
      </w:r>
      <w:r w:rsidR="006D775D" w:rsidRPr="006D775D">
        <w:t>subparagraph (</w:t>
      </w:r>
      <w:r w:rsidRPr="006D775D">
        <w:t>d)(i)(B) of the item.</w:t>
      </w:r>
    </w:p>
    <w:p w:rsidR="009D1E93" w:rsidRPr="006D775D" w:rsidRDefault="009D1E93" w:rsidP="009D1E93">
      <w:pPr>
        <w:pStyle w:val="ActHead5"/>
      </w:pPr>
      <w:bookmarkStart w:id="18" w:name="_Toc462386542"/>
      <w:r w:rsidRPr="006D775D">
        <w:rPr>
          <w:rStyle w:val="CharSectno"/>
        </w:rPr>
        <w:t>2.21A.</w:t>
      </w:r>
      <w:r w:rsidR="008D37A1" w:rsidRPr="006D775D">
        <w:rPr>
          <w:rStyle w:val="CharSectno"/>
        </w:rPr>
        <w:t>4</w:t>
      </w:r>
      <w:r w:rsidRPr="006D775D">
        <w:t xml:space="preserve">  Application of item</w:t>
      </w:r>
      <w:r w:rsidR="006D775D" w:rsidRPr="006D775D">
        <w:t> </w:t>
      </w:r>
      <w:r w:rsidRPr="006D775D">
        <w:t>6028</w:t>
      </w:r>
      <w:bookmarkEnd w:id="18"/>
    </w:p>
    <w:p w:rsidR="009D1E93" w:rsidRPr="006D775D" w:rsidRDefault="009D1E93" w:rsidP="009D1E93">
      <w:pPr>
        <w:pStyle w:val="subsection"/>
      </w:pPr>
      <w:r w:rsidRPr="006D775D">
        <w:tab/>
      </w:r>
      <w:r w:rsidRPr="006D775D">
        <w:tab/>
        <w:t>Item</w:t>
      </w:r>
      <w:r w:rsidR="006D775D" w:rsidRPr="006D775D">
        <w:t> </w:t>
      </w:r>
      <w:r w:rsidRPr="006D775D">
        <w:t xml:space="preserve">6028 applies only to a service provided in the course of a personal attendance by a single </w:t>
      </w:r>
      <w:r w:rsidR="007E68DE" w:rsidRPr="006D775D">
        <w:t>addiction medicine specialist</w:t>
      </w:r>
      <w:r w:rsidRPr="006D775D">
        <w:t>.</w:t>
      </w:r>
    </w:p>
    <w:p w:rsidR="009929DC" w:rsidRPr="006D775D" w:rsidRDefault="009929DC" w:rsidP="009929DC">
      <w:pPr>
        <w:pStyle w:val="Tabletext"/>
      </w:pPr>
    </w:p>
    <w:tbl>
      <w:tblPr>
        <w:tblW w:w="808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710"/>
        <w:gridCol w:w="5250"/>
        <w:gridCol w:w="2120"/>
      </w:tblGrid>
      <w:tr w:rsidR="009929DC" w:rsidRPr="006D775D" w:rsidTr="00864710">
        <w:trPr>
          <w:tblHeader/>
        </w:trPr>
        <w:tc>
          <w:tcPr>
            <w:tcW w:w="8080" w:type="dxa"/>
            <w:gridSpan w:val="3"/>
            <w:tcBorders>
              <w:top w:val="single" w:sz="12" w:space="0" w:color="auto"/>
              <w:bottom w:val="single" w:sz="6" w:space="0" w:color="auto"/>
            </w:tcBorders>
            <w:shd w:val="clear" w:color="auto" w:fill="auto"/>
            <w:hideMark/>
          </w:tcPr>
          <w:p w:rsidR="009929DC" w:rsidRPr="006D775D" w:rsidRDefault="009929DC" w:rsidP="00E31BED">
            <w:pPr>
              <w:pStyle w:val="TableHeading"/>
            </w:pPr>
            <w:bookmarkStart w:id="19" w:name="CB_S4P85L86C87"/>
            <w:r w:rsidRPr="006D775D">
              <w:t>Group A31—Addiction medicine</w:t>
            </w:r>
          </w:p>
        </w:tc>
      </w:tr>
      <w:tr w:rsidR="009929DC" w:rsidRPr="006D775D" w:rsidTr="00864710">
        <w:trPr>
          <w:tblHeader/>
        </w:trPr>
        <w:tc>
          <w:tcPr>
            <w:tcW w:w="710" w:type="dxa"/>
            <w:tcBorders>
              <w:top w:val="single" w:sz="6" w:space="0" w:color="auto"/>
              <w:bottom w:val="single" w:sz="12" w:space="0" w:color="auto"/>
            </w:tcBorders>
            <w:shd w:val="clear" w:color="auto" w:fill="auto"/>
            <w:hideMark/>
          </w:tcPr>
          <w:p w:rsidR="009929DC" w:rsidRPr="006D775D" w:rsidRDefault="009929DC" w:rsidP="006E53AF">
            <w:pPr>
              <w:pStyle w:val="TableHeading"/>
            </w:pPr>
            <w:r w:rsidRPr="006D775D">
              <w:t>Item</w:t>
            </w:r>
          </w:p>
        </w:tc>
        <w:tc>
          <w:tcPr>
            <w:tcW w:w="5250" w:type="dxa"/>
            <w:tcBorders>
              <w:top w:val="single" w:sz="6" w:space="0" w:color="auto"/>
              <w:bottom w:val="single" w:sz="12" w:space="0" w:color="auto"/>
            </w:tcBorders>
            <w:shd w:val="clear" w:color="auto" w:fill="auto"/>
            <w:hideMark/>
          </w:tcPr>
          <w:p w:rsidR="009929DC" w:rsidRPr="006D775D" w:rsidRDefault="009929DC" w:rsidP="006E53AF">
            <w:pPr>
              <w:pStyle w:val="TableHeading"/>
            </w:pPr>
            <w:r w:rsidRPr="006D775D">
              <w:t>Description</w:t>
            </w:r>
          </w:p>
        </w:tc>
        <w:tc>
          <w:tcPr>
            <w:tcW w:w="2120" w:type="dxa"/>
            <w:tcBorders>
              <w:top w:val="single" w:sz="6" w:space="0" w:color="auto"/>
              <w:bottom w:val="single" w:sz="12" w:space="0" w:color="auto"/>
            </w:tcBorders>
            <w:shd w:val="clear" w:color="auto" w:fill="auto"/>
            <w:hideMark/>
          </w:tcPr>
          <w:p w:rsidR="009929DC" w:rsidRPr="006D775D" w:rsidRDefault="009929DC" w:rsidP="006E53AF">
            <w:pPr>
              <w:pStyle w:val="TableHeading"/>
              <w:jc w:val="right"/>
            </w:pPr>
            <w:r w:rsidRPr="006D775D">
              <w:t>Fee ($)</w:t>
            </w:r>
          </w:p>
        </w:tc>
      </w:tr>
      <w:tr w:rsidR="009929DC" w:rsidRPr="006D775D" w:rsidTr="00864710">
        <w:tc>
          <w:tcPr>
            <w:tcW w:w="8080" w:type="dxa"/>
            <w:gridSpan w:val="3"/>
            <w:tcBorders>
              <w:top w:val="single" w:sz="12" w:space="0" w:color="auto"/>
            </w:tcBorders>
            <w:shd w:val="clear" w:color="auto" w:fill="auto"/>
            <w:hideMark/>
          </w:tcPr>
          <w:p w:rsidR="009929DC" w:rsidRPr="006D775D" w:rsidRDefault="009929DC" w:rsidP="006E53AF">
            <w:pPr>
              <w:pStyle w:val="TableHeading"/>
            </w:pPr>
            <w:r w:rsidRPr="006D775D">
              <w:t>Subgroup 1—Addiction medicine attendances</w:t>
            </w:r>
          </w:p>
        </w:tc>
      </w:tr>
      <w:tr w:rsidR="009929DC" w:rsidRPr="006D775D" w:rsidTr="00864710">
        <w:tc>
          <w:tcPr>
            <w:tcW w:w="710" w:type="dxa"/>
            <w:shd w:val="clear" w:color="auto" w:fill="auto"/>
            <w:hideMark/>
          </w:tcPr>
          <w:p w:rsidR="009929DC" w:rsidRPr="006D775D" w:rsidRDefault="009929DC" w:rsidP="006E53AF">
            <w:pPr>
              <w:pStyle w:val="Tabletext"/>
              <w:rPr>
                <w:snapToGrid w:val="0"/>
              </w:rPr>
            </w:pPr>
            <w:r w:rsidRPr="006D775D">
              <w:rPr>
                <w:snapToGrid w:val="0"/>
              </w:rPr>
              <w:t>6018</w:t>
            </w:r>
          </w:p>
        </w:tc>
        <w:tc>
          <w:tcPr>
            <w:tcW w:w="5250" w:type="dxa"/>
            <w:shd w:val="clear" w:color="auto" w:fill="auto"/>
            <w:hideMark/>
          </w:tcPr>
          <w:p w:rsidR="00996ACC" w:rsidRPr="006D775D" w:rsidRDefault="009929DC" w:rsidP="009929DC">
            <w:pPr>
              <w:pStyle w:val="Tabletext"/>
            </w:pPr>
            <w:r w:rsidRPr="006D775D">
              <w:t xml:space="preserve">Professional attendance by an addiction medicine specialist in the practice of </w:t>
            </w:r>
            <w:r w:rsidR="00047147" w:rsidRPr="006D775D">
              <w:t>his or her</w:t>
            </w:r>
            <w:r w:rsidRPr="006D775D">
              <w:t xml:space="preserve"> specialty</w:t>
            </w:r>
            <w:r w:rsidR="00996ACC" w:rsidRPr="006D775D">
              <w:t xml:space="preserve"> following referral of the patient to him or her by</w:t>
            </w:r>
            <w:r w:rsidRPr="006D775D">
              <w:t xml:space="preserve"> a referring practitioner</w:t>
            </w:r>
            <w:r w:rsidR="00996ACC" w:rsidRPr="006D775D">
              <w:t>, if</w:t>
            </w:r>
            <w:r w:rsidR="004C5712" w:rsidRPr="006D775D">
              <w:t xml:space="preserve"> the attendance</w:t>
            </w:r>
            <w:r w:rsidR="00996ACC" w:rsidRPr="006D775D">
              <w:t>:</w:t>
            </w:r>
          </w:p>
          <w:p w:rsidR="00996ACC" w:rsidRPr="006D775D" w:rsidRDefault="00996ACC" w:rsidP="00996ACC">
            <w:pPr>
              <w:pStyle w:val="Tablea"/>
            </w:pPr>
            <w:r w:rsidRPr="006D775D">
              <w:t>(a) includes a comprehensive assessment; and</w:t>
            </w:r>
          </w:p>
          <w:p w:rsidR="009929DC" w:rsidRPr="006D775D" w:rsidRDefault="00996ACC" w:rsidP="00874658">
            <w:pPr>
              <w:pStyle w:val="Tablea"/>
              <w:rPr>
                <w:snapToGrid w:val="0"/>
              </w:rPr>
            </w:pPr>
            <w:r w:rsidRPr="006D775D">
              <w:t xml:space="preserve">(b) </w:t>
            </w:r>
            <w:r w:rsidR="00E31BED" w:rsidRPr="006D775D">
              <w:t>is the first or only time in a single course of treatment that a comprehensive assessment is provided</w:t>
            </w:r>
          </w:p>
        </w:tc>
        <w:tc>
          <w:tcPr>
            <w:tcW w:w="2120" w:type="dxa"/>
            <w:shd w:val="clear" w:color="auto" w:fill="auto"/>
            <w:hideMark/>
          </w:tcPr>
          <w:p w:rsidR="009929DC" w:rsidRPr="006D775D" w:rsidRDefault="00996ACC" w:rsidP="006E53AF">
            <w:pPr>
              <w:pStyle w:val="Tabletext"/>
              <w:jc w:val="right"/>
            </w:pPr>
            <w:r w:rsidRPr="006D775D">
              <w:t>150.90</w:t>
            </w:r>
          </w:p>
        </w:tc>
      </w:tr>
      <w:tr w:rsidR="009929DC" w:rsidRPr="006D775D" w:rsidTr="00864710">
        <w:tc>
          <w:tcPr>
            <w:tcW w:w="710" w:type="dxa"/>
            <w:shd w:val="clear" w:color="auto" w:fill="auto"/>
          </w:tcPr>
          <w:p w:rsidR="009929DC" w:rsidRPr="006D775D" w:rsidRDefault="009929DC" w:rsidP="006E53AF">
            <w:pPr>
              <w:pStyle w:val="Tabletext"/>
              <w:rPr>
                <w:snapToGrid w:val="0"/>
              </w:rPr>
            </w:pPr>
            <w:r w:rsidRPr="006D775D">
              <w:rPr>
                <w:snapToGrid w:val="0"/>
              </w:rPr>
              <w:t>601</w:t>
            </w:r>
            <w:r w:rsidR="004C5712" w:rsidRPr="006D775D">
              <w:rPr>
                <w:snapToGrid w:val="0"/>
              </w:rPr>
              <w:t>9</w:t>
            </w:r>
          </w:p>
          <w:p w:rsidR="009929DC" w:rsidRPr="006D775D" w:rsidRDefault="009929DC" w:rsidP="006E53AF">
            <w:pPr>
              <w:keepNext/>
              <w:keepLines/>
              <w:jc w:val="right"/>
            </w:pPr>
          </w:p>
        </w:tc>
        <w:tc>
          <w:tcPr>
            <w:tcW w:w="5250" w:type="dxa"/>
            <w:shd w:val="clear" w:color="auto" w:fill="auto"/>
            <w:hideMark/>
          </w:tcPr>
          <w:p w:rsidR="00C854C2" w:rsidRPr="006D775D" w:rsidRDefault="009929DC" w:rsidP="009929DC">
            <w:pPr>
              <w:pStyle w:val="Tabletext"/>
            </w:pPr>
            <w:r w:rsidRPr="006D775D">
              <w:t xml:space="preserve">Professional attendance by an addiction medicine specialist in the practice of </w:t>
            </w:r>
            <w:r w:rsidR="00047147" w:rsidRPr="006D775D">
              <w:t>his or her</w:t>
            </w:r>
            <w:r w:rsidRPr="006D775D">
              <w:t xml:space="preserve"> specialty following referral of the patient to </w:t>
            </w:r>
            <w:r w:rsidR="00C854C2" w:rsidRPr="006D775D">
              <w:t>him or her</w:t>
            </w:r>
            <w:r w:rsidRPr="006D775D">
              <w:t xml:space="preserve"> by a referring practitioner</w:t>
            </w:r>
            <w:r w:rsidR="00C854C2" w:rsidRPr="006D775D">
              <w:t>, if</w:t>
            </w:r>
            <w:r w:rsidR="00A60E8F" w:rsidRPr="006D775D">
              <w:t xml:space="preserve"> the attendance</w:t>
            </w:r>
            <w:r w:rsidR="00E31BED" w:rsidRPr="006D775D">
              <w:t xml:space="preserve"> is a patient assessment</w:t>
            </w:r>
            <w:r w:rsidR="00C854C2" w:rsidRPr="006D775D">
              <w:t>:</w:t>
            </w:r>
          </w:p>
          <w:p w:rsidR="00C854C2" w:rsidRPr="006D775D" w:rsidRDefault="00C854C2" w:rsidP="00C854C2">
            <w:pPr>
              <w:pStyle w:val="Tablea"/>
            </w:pPr>
            <w:r w:rsidRPr="006D775D">
              <w:t xml:space="preserve">(a) </w:t>
            </w:r>
            <w:r w:rsidR="00047147" w:rsidRPr="006D775D">
              <w:t>before or after</w:t>
            </w:r>
            <w:r w:rsidRPr="006D775D">
              <w:t xml:space="preserve"> a comprehensive assessment under item</w:t>
            </w:r>
            <w:r w:rsidR="006D775D" w:rsidRPr="006D775D">
              <w:t> </w:t>
            </w:r>
            <w:r w:rsidRPr="006D775D">
              <w:t>6018 in a single course of treatment; or</w:t>
            </w:r>
          </w:p>
          <w:p w:rsidR="00B659C6" w:rsidRPr="006D775D" w:rsidRDefault="00B659C6" w:rsidP="00047147">
            <w:pPr>
              <w:pStyle w:val="Tablea"/>
            </w:pPr>
            <w:r w:rsidRPr="006D775D">
              <w:t>(</w:t>
            </w:r>
            <w:r w:rsidR="00047147" w:rsidRPr="006D775D">
              <w:t>b</w:t>
            </w:r>
            <w:r w:rsidRPr="006D775D">
              <w:t xml:space="preserve">) </w:t>
            </w:r>
            <w:r w:rsidR="00D9129A" w:rsidRPr="006D775D">
              <w:t xml:space="preserve">that </w:t>
            </w:r>
            <w:r w:rsidRPr="006D775D">
              <w:t xml:space="preserve">follows an initial </w:t>
            </w:r>
            <w:r w:rsidR="00D9129A" w:rsidRPr="006D775D">
              <w:t>assessment</w:t>
            </w:r>
            <w:r w:rsidRPr="006D775D">
              <w:t xml:space="preserve"> under item</w:t>
            </w:r>
            <w:r w:rsidR="006D775D" w:rsidRPr="006D775D">
              <w:t> </w:t>
            </w:r>
            <w:r w:rsidRPr="006D775D">
              <w:t>6023</w:t>
            </w:r>
            <w:r w:rsidR="00D9129A" w:rsidRPr="006D775D">
              <w:t xml:space="preserve"> in a single course of treatment;</w:t>
            </w:r>
            <w:r w:rsidRPr="006D775D">
              <w:t xml:space="preserve"> or</w:t>
            </w:r>
          </w:p>
          <w:p w:rsidR="009929DC" w:rsidRPr="006D775D" w:rsidRDefault="00B659C6" w:rsidP="00D9129A">
            <w:pPr>
              <w:pStyle w:val="Tablea"/>
              <w:rPr>
                <w:snapToGrid w:val="0"/>
              </w:rPr>
            </w:pPr>
            <w:r w:rsidRPr="006D775D">
              <w:t>(</w:t>
            </w:r>
            <w:r w:rsidR="00047147" w:rsidRPr="006D775D">
              <w:t>c</w:t>
            </w:r>
            <w:r w:rsidRPr="006D775D">
              <w:t xml:space="preserve">) </w:t>
            </w:r>
            <w:r w:rsidR="00D9129A" w:rsidRPr="006D775D">
              <w:t xml:space="preserve">that </w:t>
            </w:r>
            <w:r w:rsidRPr="006D775D">
              <w:t>follows a review under item</w:t>
            </w:r>
            <w:r w:rsidR="006D775D" w:rsidRPr="006D775D">
              <w:t> </w:t>
            </w:r>
            <w:r w:rsidRPr="006D775D">
              <w:t>6024 in a single course of treatment</w:t>
            </w:r>
          </w:p>
        </w:tc>
        <w:tc>
          <w:tcPr>
            <w:tcW w:w="2120" w:type="dxa"/>
            <w:shd w:val="clear" w:color="auto" w:fill="auto"/>
            <w:hideMark/>
          </w:tcPr>
          <w:p w:rsidR="009929DC" w:rsidRPr="006D775D" w:rsidRDefault="00047147" w:rsidP="006E53AF">
            <w:pPr>
              <w:pStyle w:val="Tabletext"/>
              <w:jc w:val="right"/>
            </w:pPr>
            <w:r w:rsidRPr="006D775D">
              <w:t>75.50</w:t>
            </w:r>
          </w:p>
          <w:p w:rsidR="00B659C6" w:rsidRPr="006D775D" w:rsidRDefault="00B659C6" w:rsidP="006E53AF">
            <w:pPr>
              <w:pStyle w:val="Tabletext"/>
              <w:jc w:val="right"/>
            </w:pPr>
          </w:p>
        </w:tc>
      </w:tr>
      <w:tr w:rsidR="009929DC" w:rsidRPr="006D775D" w:rsidTr="00864710">
        <w:tc>
          <w:tcPr>
            <w:tcW w:w="710" w:type="dxa"/>
            <w:shd w:val="clear" w:color="auto" w:fill="auto"/>
            <w:hideMark/>
          </w:tcPr>
          <w:p w:rsidR="009929DC" w:rsidRPr="006D775D" w:rsidRDefault="00B659C6" w:rsidP="006E53AF">
            <w:pPr>
              <w:pStyle w:val="Tabletext"/>
              <w:rPr>
                <w:snapToGrid w:val="0"/>
              </w:rPr>
            </w:pPr>
            <w:bookmarkStart w:id="20" w:name="CU_6259609"/>
            <w:bookmarkStart w:id="21" w:name="CU_6261653"/>
            <w:bookmarkEnd w:id="20"/>
            <w:bookmarkEnd w:id="21"/>
            <w:r w:rsidRPr="006D775D">
              <w:rPr>
                <w:snapToGrid w:val="0"/>
              </w:rPr>
              <w:t>6023</w:t>
            </w:r>
          </w:p>
        </w:tc>
        <w:tc>
          <w:tcPr>
            <w:tcW w:w="5250" w:type="dxa"/>
            <w:shd w:val="clear" w:color="auto" w:fill="auto"/>
            <w:hideMark/>
          </w:tcPr>
          <w:p w:rsidR="00912446" w:rsidRPr="006D775D" w:rsidRDefault="00912446" w:rsidP="00912446">
            <w:pPr>
              <w:pStyle w:val="Tabletext"/>
            </w:pPr>
            <w:r w:rsidRPr="006D775D">
              <w:t xml:space="preserve">Professional attendance by an addiction medicine specialist in the practice of </w:t>
            </w:r>
            <w:r w:rsidR="00A60E8F" w:rsidRPr="006D775D">
              <w:t>his or her</w:t>
            </w:r>
            <w:r w:rsidRPr="006D775D">
              <w:t xml:space="preserve"> specialty of at least 45 minutes for an initial assessment of a patient with at least </w:t>
            </w:r>
            <w:r w:rsidR="000064C3" w:rsidRPr="006D775D">
              <w:t>2</w:t>
            </w:r>
            <w:r w:rsidRPr="006D775D">
              <w:t xml:space="preserve"> morbidities, </w:t>
            </w:r>
            <w:r w:rsidR="00BB325B" w:rsidRPr="006D775D">
              <w:t>following referral of the patient to him or her</w:t>
            </w:r>
            <w:r w:rsidRPr="006D775D">
              <w:t xml:space="preserve"> by a referring practitioner</w:t>
            </w:r>
            <w:r w:rsidR="00BB325B" w:rsidRPr="006D775D">
              <w:t>, if</w:t>
            </w:r>
            <w:r w:rsidRPr="006D775D">
              <w:t>:</w:t>
            </w:r>
          </w:p>
          <w:p w:rsidR="00912446" w:rsidRPr="006D775D" w:rsidRDefault="00912446" w:rsidP="00912446">
            <w:pPr>
              <w:pStyle w:val="Tablea"/>
            </w:pPr>
            <w:r w:rsidRPr="006D775D">
              <w:t xml:space="preserve">(a) </w:t>
            </w:r>
            <w:r w:rsidR="00BB325B" w:rsidRPr="006D775D">
              <w:t xml:space="preserve">an </w:t>
            </w:r>
            <w:r w:rsidRPr="006D775D">
              <w:t>assessment is undertaken that covers:</w:t>
            </w:r>
          </w:p>
          <w:p w:rsidR="00912446" w:rsidRPr="006D775D" w:rsidRDefault="00912446" w:rsidP="00912446">
            <w:pPr>
              <w:pStyle w:val="Tablei"/>
            </w:pPr>
            <w:r w:rsidRPr="006D775D">
              <w:t xml:space="preserve">(i) a comprehensive history, including psychosocial history and medication review; </w:t>
            </w:r>
            <w:r w:rsidR="00A60E8F" w:rsidRPr="006D775D">
              <w:t>and</w:t>
            </w:r>
          </w:p>
          <w:p w:rsidR="00912446" w:rsidRPr="006D775D" w:rsidRDefault="00912446" w:rsidP="00912446">
            <w:pPr>
              <w:pStyle w:val="Tablei"/>
            </w:pPr>
            <w:r w:rsidRPr="006D775D">
              <w:t xml:space="preserve">(ii) </w:t>
            </w:r>
            <w:r w:rsidR="006A2EA6" w:rsidRPr="006D775D">
              <w:t xml:space="preserve">a </w:t>
            </w:r>
            <w:r w:rsidRPr="006D775D">
              <w:t xml:space="preserve">comprehensive multi or detailed single organ system assessment; </w:t>
            </w:r>
            <w:r w:rsidR="00A60E8F" w:rsidRPr="006D775D">
              <w:t>and</w:t>
            </w:r>
          </w:p>
          <w:p w:rsidR="00912446" w:rsidRPr="006D775D" w:rsidRDefault="00912446" w:rsidP="00912446">
            <w:pPr>
              <w:pStyle w:val="Tablei"/>
            </w:pPr>
            <w:r w:rsidRPr="006D775D">
              <w:t>(iii) the formulation of differential diagnoses; and</w:t>
            </w:r>
          </w:p>
          <w:p w:rsidR="00912446" w:rsidRPr="006D775D" w:rsidRDefault="00912446" w:rsidP="00912446">
            <w:pPr>
              <w:pStyle w:val="Tablea"/>
            </w:pPr>
            <w:r w:rsidRPr="006D775D">
              <w:t>(b) an addiction medicine specialist treatment and management</w:t>
            </w:r>
            <w:r w:rsidR="00081F86" w:rsidRPr="006D775D">
              <w:t xml:space="preserve"> plan of significant complexity</w:t>
            </w:r>
            <w:r w:rsidRPr="006D775D">
              <w:t xml:space="preserve"> that </w:t>
            </w:r>
            <w:r w:rsidR="00081F86" w:rsidRPr="006D775D">
              <w:t>includes</w:t>
            </w:r>
            <w:r w:rsidR="00D9129A" w:rsidRPr="006D775D">
              <w:t xml:space="preserve"> the following is prepared and provided to the referring practitioner</w:t>
            </w:r>
            <w:r w:rsidRPr="006D775D">
              <w:t>:</w:t>
            </w:r>
          </w:p>
          <w:p w:rsidR="00912446" w:rsidRPr="006D775D" w:rsidRDefault="00912446" w:rsidP="00912446">
            <w:pPr>
              <w:pStyle w:val="Tablei"/>
            </w:pPr>
            <w:r w:rsidRPr="006D775D">
              <w:t>(i) an opinion on diagnosis and risk assessment</w:t>
            </w:r>
            <w:r w:rsidR="009B3146" w:rsidRPr="006D775D">
              <w:t>;</w:t>
            </w:r>
          </w:p>
          <w:p w:rsidR="00912446" w:rsidRPr="006D775D" w:rsidRDefault="00912446" w:rsidP="00912446">
            <w:pPr>
              <w:pStyle w:val="Tablei"/>
            </w:pPr>
            <w:r w:rsidRPr="006D775D">
              <w:t>(ii) treatment options and decisions</w:t>
            </w:r>
            <w:r w:rsidR="00BB325B" w:rsidRPr="006D775D">
              <w:t>;</w:t>
            </w:r>
          </w:p>
          <w:p w:rsidR="00912446" w:rsidRPr="006D775D" w:rsidRDefault="00912446" w:rsidP="00912446">
            <w:pPr>
              <w:pStyle w:val="Tablei"/>
            </w:pPr>
            <w:r w:rsidRPr="006D775D">
              <w:t>(iii) medication recommendations</w:t>
            </w:r>
            <w:r w:rsidR="00081F86" w:rsidRPr="006D775D">
              <w:t>;</w:t>
            </w:r>
            <w:r w:rsidR="00D9129A" w:rsidRPr="006D775D">
              <w:t xml:space="preserve"> and</w:t>
            </w:r>
          </w:p>
          <w:p w:rsidR="00BB325B" w:rsidRPr="006D775D" w:rsidRDefault="00BB325B" w:rsidP="00BB325B">
            <w:pPr>
              <w:pStyle w:val="Tablea"/>
            </w:pPr>
            <w:r w:rsidRPr="006D775D">
              <w:t>(c) an attendance</w:t>
            </w:r>
            <w:r w:rsidR="000064C3" w:rsidRPr="006D775D">
              <w:t xml:space="preserve"> on the patient </w:t>
            </w:r>
            <w:r w:rsidRPr="006D775D">
              <w:t>to which</w:t>
            </w:r>
            <w:r w:rsidR="00912446" w:rsidRPr="006D775D">
              <w:t xml:space="preserve"> item</w:t>
            </w:r>
            <w:r w:rsidR="006D775D" w:rsidRPr="006D775D">
              <w:t> </w:t>
            </w:r>
            <w:r w:rsidR="00912446" w:rsidRPr="006D775D">
              <w:t xml:space="preserve">104, 105, 110, 116, 119, 132, 133, 6018 or 6019 </w:t>
            </w:r>
            <w:r w:rsidR="000064C3" w:rsidRPr="006D775D">
              <w:t xml:space="preserve">applies </w:t>
            </w:r>
            <w:r w:rsidRPr="006D775D">
              <w:t>did not take place</w:t>
            </w:r>
            <w:r w:rsidR="00912446" w:rsidRPr="006D775D">
              <w:t xml:space="preserve"> on the same day by the same addiction medicine specialist</w:t>
            </w:r>
            <w:r w:rsidRPr="006D775D">
              <w:t>;</w:t>
            </w:r>
            <w:r w:rsidR="00D5531B" w:rsidRPr="006D775D">
              <w:t xml:space="preserve"> </w:t>
            </w:r>
            <w:r w:rsidRPr="006D775D">
              <w:t>and</w:t>
            </w:r>
          </w:p>
          <w:p w:rsidR="009929DC" w:rsidRPr="006D775D" w:rsidRDefault="00BB325B" w:rsidP="006A2EA6">
            <w:pPr>
              <w:pStyle w:val="Tablea"/>
              <w:rPr>
                <w:snapToGrid w:val="0"/>
              </w:rPr>
            </w:pPr>
            <w:r w:rsidRPr="006D775D">
              <w:t>(d)</w:t>
            </w:r>
            <w:r w:rsidR="00912446" w:rsidRPr="006D775D">
              <w:t xml:space="preserve"> </w:t>
            </w:r>
            <w:r w:rsidRPr="006D775D">
              <w:t>neither this item nor item</w:t>
            </w:r>
            <w:r w:rsidR="006D775D" w:rsidRPr="006D775D">
              <w:t> </w:t>
            </w:r>
            <w:r w:rsidRPr="006D775D">
              <w:t xml:space="preserve">132 has applied to an attendance on the patient </w:t>
            </w:r>
            <w:r w:rsidR="00912446" w:rsidRPr="006D775D">
              <w:t>in the preceding 12 months</w:t>
            </w:r>
            <w:r w:rsidRPr="006D775D">
              <w:t xml:space="preserve"> </w:t>
            </w:r>
            <w:r w:rsidR="00912446" w:rsidRPr="006D775D">
              <w:t>by the same addiction medicine specialist</w:t>
            </w:r>
          </w:p>
        </w:tc>
        <w:tc>
          <w:tcPr>
            <w:tcW w:w="2120" w:type="dxa"/>
            <w:shd w:val="clear" w:color="auto" w:fill="auto"/>
            <w:hideMark/>
          </w:tcPr>
          <w:p w:rsidR="009929DC" w:rsidRPr="006D775D" w:rsidRDefault="00912446" w:rsidP="006E53AF">
            <w:pPr>
              <w:pStyle w:val="Tabletext"/>
              <w:jc w:val="right"/>
            </w:pPr>
            <w:r w:rsidRPr="006D775D">
              <w:t>263.90</w:t>
            </w:r>
          </w:p>
        </w:tc>
      </w:tr>
      <w:tr w:rsidR="009929DC" w:rsidRPr="006D775D" w:rsidTr="00864710">
        <w:tc>
          <w:tcPr>
            <w:tcW w:w="710" w:type="dxa"/>
            <w:shd w:val="clear" w:color="auto" w:fill="auto"/>
            <w:hideMark/>
          </w:tcPr>
          <w:p w:rsidR="009929DC" w:rsidRPr="006D775D" w:rsidRDefault="00912446" w:rsidP="006E53AF">
            <w:pPr>
              <w:pStyle w:val="Tabletext"/>
              <w:rPr>
                <w:snapToGrid w:val="0"/>
              </w:rPr>
            </w:pPr>
            <w:r w:rsidRPr="006D775D">
              <w:rPr>
                <w:snapToGrid w:val="0"/>
              </w:rPr>
              <w:t>6024</w:t>
            </w:r>
          </w:p>
        </w:tc>
        <w:tc>
          <w:tcPr>
            <w:tcW w:w="5250" w:type="dxa"/>
            <w:shd w:val="clear" w:color="auto" w:fill="auto"/>
            <w:hideMark/>
          </w:tcPr>
          <w:p w:rsidR="00912446" w:rsidRPr="006D775D" w:rsidRDefault="00912446" w:rsidP="00912446">
            <w:pPr>
              <w:pStyle w:val="Tabletext"/>
            </w:pPr>
            <w:r w:rsidRPr="006D775D">
              <w:t xml:space="preserve">Professional attendance by an addiction medicine specialist in the practice of </w:t>
            </w:r>
            <w:r w:rsidR="00A60E8F" w:rsidRPr="006D775D">
              <w:t>his or her</w:t>
            </w:r>
            <w:r w:rsidRPr="006D775D">
              <w:t xml:space="preserve"> specialty of at least 20 </w:t>
            </w:r>
            <w:r w:rsidR="00F921F0" w:rsidRPr="006D775D">
              <w:t>minutes after the first attendance in a single course of treatment for a review of a patient with at least 2 morbidities if</w:t>
            </w:r>
            <w:r w:rsidRPr="006D775D">
              <w:t>:</w:t>
            </w:r>
          </w:p>
          <w:p w:rsidR="00912446" w:rsidRPr="006D775D" w:rsidRDefault="00912446" w:rsidP="00912446">
            <w:pPr>
              <w:pStyle w:val="Tablea"/>
            </w:pPr>
            <w:r w:rsidRPr="006D775D">
              <w:t>(a) a review is undertaken that covers:</w:t>
            </w:r>
          </w:p>
          <w:p w:rsidR="00912446" w:rsidRPr="006D775D" w:rsidRDefault="00912446" w:rsidP="00912446">
            <w:pPr>
              <w:pStyle w:val="Tablei"/>
            </w:pPr>
            <w:r w:rsidRPr="006D775D">
              <w:t>(i)</w:t>
            </w:r>
            <w:r w:rsidR="00F921F0" w:rsidRPr="006D775D">
              <w:t xml:space="preserve"> review of initial presenting problems and results of diagnostic investigations; and</w:t>
            </w:r>
          </w:p>
          <w:p w:rsidR="000064C3" w:rsidRPr="006D775D" w:rsidRDefault="00912446" w:rsidP="00912446">
            <w:pPr>
              <w:pStyle w:val="Tablei"/>
            </w:pPr>
            <w:r w:rsidRPr="006D775D">
              <w:t xml:space="preserve">(ii) </w:t>
            </w:r>
            <w:r w:rsidR="00F921F0" w:rsidRPr="006D775D">
              <w:t>review of responses to treatment and medication plans initiated at time of initial consultation; and</w:t>
            </w:r>
          </w:p>
          <w:p w:rsidR="00912446" w:rsidRPr="006D775D" w:rsidRDefault="000064C3" w:rsidP="000064C3">
            <w:pPr>
              <w:pStyle w:val="Tablei"/>
            </w:pPr>
            <w:r w:rsidRPr="006D775D">
              <w:t>(iii)</w:t>
            </w:r>
            <w:r w:rsidR="00912446" w:rsidRPr="006D775D">
              <w:t xml:space="preserve"> </w:t>
            </w:r>
            <w:r w:rsidR="00F921F0" w:rsidRPr="006D775D">
              <w:t>comprehensive multi or detailed single organ system assessment; and</w:t>
            </w:r>
          </w:p>
          <w:p w:rsidR="00912446" w:rsidRPr="006D775D" w:rsidRDefault="00912446" w:rsidP="00912446">
            <w:pPr>
              <w:pStyle w:val="Tablei"/>
            </w:pPr>
            <w:r w:rsidRPr="006D775D">
              <w:t>(i</w:t>
            </w:r>
            <w:r w:rsidR="000064C3" w:rsidRPr="006D775D">
              <w:t>v</w:t>
            </w:r>
            <w:r w:rsidRPr="006D775D">
              <w:t>) review of original and differential diagnoses; and</w:t>
            </w:r>
          </w:p>
          <w:p w:rsidR="00912446" w:rsidRPr="006D775D" w:rsidRDefault="00912446" w:rsidP="00912446">
            <w:pPr>
              <w:pStyle w:val="Tablea"/>
            </w:pPr>
            <w:r w:rsidRPr="006D775D">
              <w:t xml:space="preserve">(b) </w:t>
            </w:r>
            <w:r w:rsidR="00F921F0" w:rsidRPr="006D775D">
              <w:t>the</w:t>
            </w:r>
            <w:r w:rsidRPr="006D775D">
              <w:t xml:space="preserve"> modified addiction medicine specialist </w:t>
            </w:r>
            <w:r w:rsidR="00B30A5F" w:rsidRPr="006D775D">
              <w:t>treatment and management plan</w:t>
            </w:r>
            <w:r w:rsidRPr="006D775D">
              <w:t xml:space="preserve"> </w:t>
            </w:r>
            <w:r w:rsidR="00F921F0" w:rsidRPr="006D775D">
              <w:t>is provided to the referring practitioner, which involves, if appropriate</w:t>
            </w:r>
            <w:r w:rsidRPr="006D775D">
              <w:t>:</w:t>
            </w:r>
          </w:p>
          <w:p w:rsidR="00912446" w:rsidRPr="006D775D" w:rsidRDefault="00912446" w:rsidP="00912446">
            <w:pPr>
              <w:pStyle w:val="Tablei"/>
            </w:pPr>
            <w:r w:rsidRPr="006D775D">
              <w:t>(i) a revised opinion on diagnosis and risk assessment</w:t>
            </w:r>
            <w:r w:rsidR="004364FA" w:rsidRPr="006D775D">
              <w:t>;</w:t>
            </w:r>
            <w:r w:rsidR="00F921F0" w:rsidRPr="006D775D">
              <w:t xml:space="preserve"> and</w:t>
            </w:r>
          </w:p>
          <w:p w:rsidR="00912446" w:rsidRPr="006D775D" w:rsidRDefault="00912446" w:rsidP="00912446">
            <w:pPr>
              <w:pStyle w:val="Tablei"/>
            </w:pPr>
            <w:r w:rsidRPr="006D775D">
              <w:t>(ii) treatment options and decisions</w:t>
            </w:r>
            <w:r w:rsidR="004364FA" w:rsidRPr="006D775D">
              <w:t>;</w:t>
            </w:r>
            <w:r w:rsidR="00F921F0" w:rsidRPr="006D775D">
              <w:t xml:space="preserve"> and</w:t>
            </w:r>
          </w:p>
          <w:p w:rsidR="00912446" w:rsidRPr="006D775D" w:rsidRDefault="00912446" w:rsidP="00912446">
            <w:pPr>
              <w:pStyle w:val="Tablei"/>
            </w:pPr>
            <w:r w:rsidRPr="006D775D">
              <w:t>(iii) revised medication recommendations</w:t>
            </w:r>
            <w:r w:rsidR="004364FA" w:rsidRPr="006D775D">
              <w:t>;</w:t>
            </w:r>
            <w:r w:rsidR="00996004" w:rsidRPr="006D775D">
              <w:t xml:space="preserve"> and</w:t>
            </w:r>
          </w:p>
          <w:p w:rsidR="004364FA" w:rsidRPr="006D775D" w:rsidRDefault="004364FA" w:rsidP="004364FA">
            <w:pPr>
              <w:pStyle w:val="Tablea"/>
            </w:pPr>
            <w:r w:rsidRPr="006D775D">
              <w:t>(c) an attendance on the patient to which item</w:t>
            </w:r>
            <w:r w:rsidR="006D775D" w:rsidRPr="006D775D">
              <w:t> </w:t>
            </w:r>
            <w:r w:rsidRPr="006D775D">
              <w:t>104, 105, 110, 116, 119, 132, 133, 6018 or 6019 applies</w:t>
            </w:r>
            <w:r w:rsidR="00081F86" w:rsidRPr="006D775D">
              <w:t xml:space="preserve"> </w:t>
            </w:r>
            <w:r w:rsidRPr="006D775D">
              <w:t xml:space="preserve">did not take place on the same day by the same </w:t>
            </w:r>
            <w:r w:rsidR="007A1861" w:rsidRPr="006D775D">
              <w:t>addiction medicine specialist</w:t>
            </w:r>
            <w:r w:rsidRPr="006D775D">
              <w:t>; and</w:t>
            </w:r>
          </w:p>
          <w:p w:rsidR="00F921F0" w:rsidRPr="006D775D" w:rsidRDefault="004364FA" w:rsidP="004364FA">
            <w:pPr>
              <w:pStyle w:val="Tablea"/>
            </w:pPr>
            <w:r w:rsidRPr="006D775D">
              <w:t>(d) item</w:t>
            </w:r>
            <w:r w:rsidR="006D775D" w:rsidRPr="006D775D">
              <w:t> </w:t>
            </w:r>
            <w:r w:rsidRPr="006D775D">
              <w:t xml:space="preserve">6023 </w:t>
            </w:r>
            <w:r w:rsidR="00F921F0" w:rsidRPr="006D775D">
              <w:t>applied to an attendance claimed in the preceding 12 months; and</w:t>
            </w:r>
          </w:p>
          <w:p w:rsidR="004364FA" w:rsidRPr="006D775D" w:rsidRDefault="00F921F0" w:rsidP="00F921F0">
            <w:pPr>
              <w:pStyle w:val="Tablea"/>
            </w:pPr>
            <w:r w:rsidRPr="006D775D">
              <w:t xml:space="preserve">(e) the attendance under this item is claimed by the same </w:t>
            </w:r>
            <w:r w:rsidR="00996004" w:rsidRPr="006D775D">
              <w:t>addiction medicine specialist</w:t>
            </w:r>
            <w:r w:rsidRPr="006D775D">
              <w:t xml:space="preserve"> who claimed item</w:t>
            </w:r>
            <w:r w:rsidR="006D775D" w:rsidRPr="006D775D">
              <w:t> </w:t>
            </w:r>
            <w:r w:rsidRPr="006D775D">
              <w:t>6023</w:t>
            </w:r>
            <w:r w:rsidR="00996004" w:rsidRPr="006D775D">
              <w:t xml:space="preserve"> or by </w:t>
            </w:r>
            <w:r w:rsidR="001F3EEE" w:rsidRPr="006D775D">
              <w:t>a locum tenens</w:t>
            </w:r>
            <w:r w:rsidR="004364FA" w:rsidRPr="006D775D">
              <w:t>; and</w:t>
            </w:r>
          </w:p>
          <w:p w:rsidR="009929DC" w:rsidRPr="006D775D" w:rsidRDefault="004364FA" w:rsidP="00F921F0">
            <w:pPr>
              <w:pStyle w:val="Tablea"/>
              <w:rPr>
                <w:snapToGrid w:val="0"/>
              </w:rPr>
            </w:pPr>
            <w:r w:rsidRPr="006D775D">
              <w:t>(</w:t>
            </w:r>
            <w:r w:rsidR="00F921F0" w:rsidRPr="006D775D">
              <w:t>f</w:t>
            </w:r>
            <w:r w:rsidRPr="006D775D">
              <w:t>) this item has not applied more than twice in any 12 month period</w:t>
            </w:r>
          </w:p>
        </w:tc>
        <w:tc>
          <w:tcPr>
            <w:tcW w:w="2120" w:type="dxa"/>
            <w:shd w:val="clear" w:color="auto" w:fill="auto"/>
            <w:hideMark/>
          </w:tcPr>
          <w:p w:rsidR="009929DC" w:rsidRPr="006D775D" w:rsidRDefault="006A2EA6" w:rsidP="006E53AF">
            <w:pPr>
              <w:pStyle w:val="Tabletext"/>
              <w:jc w:val="right"/>
            </w:pPr>
            <w:r w:rsidRPr="006D775D">
              <w:t>132.10</w:t>
            </w:r>
          </w:p>
        </w:tc>
      </w:tr>
      <w:tr w:rsidR="009929DC" w:rsidRPr="006D775D" w:rsidTr="00864710">
        <w:tc>
          <w:tcPr>
            <w:tcW w:w="710" w:type="dxa"/>
            <w:shd w:val="clear" w:color="auto" w:fill="auto"/>
            <w:hideMark/>
          </w:tcPr>
          <w:p w:rsidR="009929DC" w:rsidRPr="006D775D" w:rsidRDefault="00912446" w:rsidP="006E53AF">
            <w:pPr>
              <w:pStyle w:val="Tabletext"/>
            </w:pPr>
            <w:r w:rsidRPr="006D775D">
              <w:t>6025</w:t>
            </w:r>
          </w:p>
        </w:tc>
        <w:tc>
          <w:tcPr>
            <w:tcW w:w="5250" w:type="dxa"/>
            <w:shd w:val="clear" w:color="auto" w:fill="auto"/>
            <w:hideMark/>
          </w:tcPr>
          <w:p w:rsidR="00912446" w:rsidRPr="006D775D" w:rsidRDefault="00912446" w:rsidP="00912446">
            <w:pPr>
              <w:pStyle w:val="Tabletext"/>
            </w:pPr>
            <w:r w:rsidRPr="006D775D">
              <w:t xml:space="preserve">Initial professional attendance of 10 minutes or less, on a patient by an addiction medicine specialist </w:t>
            </w:r>
            <w:r w:rsidR="00996004" w:rsidRPr="006D775D">
              <w:t xml:space="preserve">in the practice of </w:t>
            </w:r>
            <w:r w:rsidR="006E2CBD" w:rsidRPr="006D775D">
              <w:t>his or her</w:t>
            </w:r>
            <w:r w:rsidR="004364FA" w:rsidRPr="006D775D">
              <w:t xml:space="preserve"> specialty</w:t>
            </w:r>
            <w:r w:rsidR="007A1861" w:rsidRPr="006D775D">
              <w:t>,</w:t>
            </w:r>
            <w:r w:rsidR="004364FA" w:rsidRPr="006D775D">
              <w:t xml:space="preserve"> if:</w:t>
            </w:r>
          </w:p>
          <w:p w:rsidR="00912446" w:rsidRPr="006D775D" w:rsidRDefault="00912446" w:rsidP="00912446">
            <w:pPr>
              <w:pStyle w:val="Tablea"/>
            </w:pPr>
            <w:r w:rsidRPr="006D775D">
              <w:t>(a) the attenda</w:t>
            </w:r>
            <w:r w:rsidR="004364FA" w:rsidRPr="006D775D">
              <w:t>nce is by video conference; and</w:t>
            </w:r>
          </w:p>
          <w:p w:rsidR="00912446" w:rsidRPr="006D775D" w:rsidRDefault="00912446" w:rsidP="00912446">
            <w:pPr>
              <w:pStyle w:val="Tablea"/>
            </w:pPr>
            <w:r w:rsidRPr="006D775D">
              <w:t xml:space="preserve">(b) the patient </w:t>
            </w:r>
            <w:r w:rsidR="004364FA" w:rsidRPr="006D775D">
              <w:t>is not an admitted patient; and</w:t>
            </w:r>
          </w:p>
          <w:p w:rsidR="00912446" w:rsidRPr="006D775D" w:rsidRDefault="004364FA" w:rsidP="00912446">
            <w:pPr>
              <w:pStyle w:val="Tablea"/>
            </w:pPr>
            <w:r w:rsidRPr="006D775D">
              <w:t>(c) the patient:</w:t>
            </w:r>
          </w:p>
          <w:p w:rsidR="00912446" w:rsidRPr="006D775D" w:rsidRDefault="00912446" w:rsidP="00912446">
            <w:pPr>
              <w:pStyle w:val="Tablei"/>
            </w:pPr>
            <w:r w:rsidRPr="006D775D">
              <w:t>(i) is located both:</w:t>
            </w:r>
          </w:p>
          <w:p w:rsidR="00912446" w:rsidRPr="006D775D" w:rsidRDefault="00912446" w:rsidP="00912446">
            <w:pPr>
              <w:pStyle w:val="TableAA"/>
            </w:pPr>
            <w:r w:rsidRPr="006D775D">
              <w:t>(A) within a telehealth eligible area; and</w:t>
            </w:r>
          </w:p>
          <w:p w:rsidR="00912446" w:rsidRPr="006D775D" w:rsidRDefault="00912446" w:rsidP="00912446">
            <w:pPr>
              <w:pStyle w:val="TableAA"/>
            </w:pPr>
            <w:r w:rsidRPr="006D775D">
              <w:t>(B) at the time of the attendance</w:t>
            </w:r>
            <w:r w:rsidR="004364FA" w:rsidRPr="006D775D">
              <w:t>—</w:t>
            </w:r>
            <w:r w:rsidR="00996004" w:rsidRPr="006D775D">
              <w:t>at least 15 km</w:t>
            </w:r>
            <w:r w:rsidRPr="006D775D">
              <w:t xml:space="preserve"> by road from the addiction medicine specialist; or</w:t>
            </w:r>
          </w:p>
          <w:p w:rsidR="00912446" w:rsidRPr="006D775D" w:rsidRDefault="00912446" w:rsidP="00912446">
            <w:pPr>
              <w:pStyle w:val="Tablei"/>
            </w:pPr>
            <w:r w:rsidRPr="006D775D">
              <w:t>(ii) is a care recipient in a residential care service; or</w:t>
            </w:r>
          </w:p>
          <w:p w:rsidR="00912446" w:rsidRPr="006D775D" w:rsidRDefault="00912446" w:rsidP="00912446">
            <w:pPr>
              <w:pStyle w:val="Tablei"/>
            </w:pPr>
            <w:r w:rsidRPr="006D775D">
              <w:t>(iii) is a patient of:</w:t>
            </w:r>
          </w:p>
          <w:p w:rsidR="00912446" w:rsidRPr="006D775D" w:rsidRDefault="00912446" w:rsidP="00912446">
            <w:pPr>
              <w:pStyle w:val="TableAA"/>
            </w:pPr>
            <w:r w:rsidRPr="006D775D">
              <w:t>(A) an Aboriginal Medical Service; or</w:t>
            </w:r>
          </w:p>
          <w:p w:rsidR="00912446" w:rsidRPr="006D775D" w:rsidRDefault="00912446" w:rsidP="00912446">
            <w:pPr>
              <w:pStyle w:val="TableAA"/>
            </w:pPr>
            <w:r w:rsidRPr="006D775D">
              <w:t>(B) an Aboriginal Community Controlled Health Service;</w:t>
            </w:r>
          </w:p>
          <w:p w:rsidR="00912446" w:rsidRPr="006D775D" w:rsidRDefault="00912446" w:rsidP="00912446">
            <w:pPr>
              <w:pStyle w:val="Tablei"/>
            </w:pPr>
            <w:r w:rsidRPr="006D775D">
              <w:tab/>
              <w:t>for which a direction made under subsection</w:t>
            </w:r>
            <w:r w:rsidR="006D775D" w:rsidRPr="006D775D">
              <w:t> </w:t>
            </w:r>
            <w:r w:rsidRPr="006D775D">
              <w:t>19(2) of the Act applies; and</w:t>
            </w:r>
          </w:p>
          <w:p w:rsidR="009929DC" w:rsidRPr="006D775D" w:rsidRDefault="00912446" w:rsidP="0019152D">
            <w:pPr>
              <w:pStyle w:val="Tablea"/>
            </w:pPr>
            <w:r w:rsidRPr="006D775D">
              <w:t>(d) no other initial consultation has taken place for a single course of treatment</w:t>
            </w:r>
          </w:p>
        </w:tc>
        <w:tc>
          <w:tcPr>
            <w:tcW w:w="2120" w:type="dxa"/>
            <w:shd w:val="clear" w:color="auto" w:fill="auto"/>
            <w:hideMark/>
          </w:tcPr>
          <w:p w:rsidR="009929DC" w:rsidRPr="006D775D" w:rsidRDefault="00912446" w:rsidP="0019152D">
            <w:pPr>
              <w:pStyle w:val="Tabletext"/>
              <w:jc w:val="right"/>
            </w:pPr>
            <w:r w:rsidRPr="006D775D">
              <w:rPr>
                <w:szCs w:val="22"/>
              </w:rPr>
              <w:t>113.20</w:t>
            </w:r>
          </w:p>
        </w:tc>
      </w:tr>
      <w:tr w:rsidR="009929DC" w:rsidRPr="006D775D" w:rsidTr="00864710">
        <w:tc>
          <w:tcPr>
            <w:tcW w:w="710" w:type="dxa"/>
            <w:shd w:val="clear" w:color="auto" w:fill="auto"/>
            <w:hideMark/>
          </w:tcPr>
          <w:p w:rsidR="009929DC" w:rsidRPr="006D775D" w:rsidRDefault="00912446" w:rsidP="006E53AF">
            <w:pPr>
              <w:pStyle w:val="Tabletext"/>
              <w:rPr>
                <w:snapToGrid w:val="0"/>
              </w:rPr>
            </w:pPr>
            <w:bookmarkStart w:id="22" w:name="CU_9263172"/>
            <w:bookmarkEnd w:id="22"/>
            <w:r w:rsidRPr="006D775D">
              <w:rPr>
                <w:snapToGrid w:val="0"/>
              </w:rPr>
              <w:t>6026</w:t>
            </w:r>
          </w:p>
        </w:tc>
        <w:tc>
          <w:tcPr>
            <w:tcW w:w="5250" w:type="dxa"/>
            <w:shd w:val="clear" w:color="auto" w:fill="auto"/>
            <w:hideMark/>
          </w:tcPr>
          <w:p w:rsidR="00912446" w:rsidRPr="006D775D" w:rsidRDefault="00912446" w:rsidP="00912446">
            <w:pPr>
              <w:pStyle w:val="Tabletext"/>
            </w:pPr>
            <w:r w:rsidRPr="006D775D">
              <w:t xml:space="preserve">Professional attendance on a patient by an addiction medicine specialist </w:t>
            </w:r>
            <w:r w:rsidR="00996004" w:rsidRPr="006D775D">
              <w:t xml:space="preserve">in the practice of </w:t>
            </w:r>
            <w:r w:rsidR="006E2CBD" w:rsidRPr="006D775D">
              <w:t>his or her</w:t>
            </w:r>
            <w:r w:rsidR="004364FA" w:rsidRPr="006D775D">
              <w:t xml:space="preserve"> specialty</w:t>
            </w:r>
            <w:r w:rsidR="0019152D" w:rsidRPr="006D775D">
              <w:t>,</w:t>
            </w:r>
            <w:r w:rsidR="004364FA" w:rsidRPr="006D775D">
              <w:t xml:space="preserve"> if:</w:t>
            </w:r>
          </w:p>
          <w:p w:rsidR="00912446" w:rsidRPr="006D775D" w:rsidRDefault="00912446" w:rsidP="00912446">
            <w:pPr>
              <w:pStyle w:val="Tablea"/>
            </w:pPr>
            <w:r w:rsidRPr="006D775D">
              <w:t>(a) the attenda</w:t>
            </w:r>
            <w:r w:rsidR="004364FA" w:rsidRPr="006D775D">
              <w:t>nce is by video conference; and</w:t>
            </w:r>
          </w:p>
          <w:p w:rsidR="00912446" w:rsidRPr="006D775D" w:rsidRDefault="00912446" w:rsidP="00912446">
            <w:pPr>
              <w:pStyle w:val="Tablea"/>
            </w:pPr>
            <w:r w:rsidRPr="006D775D">
              <w:t>(b) t</w:t>
            </w:r>
            <w:r w:rsidR="004364FA" w:rsidRPr="006D775D">
              <w:t>he attendance is for a service:</w:t>
            </w:r>
          </w:p>
          <w:p w:rsidR="00912446" w:rsidRPr="006D775D" w:rsidRDefault="00912446" w:rsidP="00912446">
            <w:pPr>
              <w:pStyle w:val="Tablei"/>
            </w:pPr>
            <w:r w:rsidRPr="006D775D">
              <w:t>(i) provided with item</w:t>
            </w:r>
            <w:r w:rsidR="006D775D" w:rsidRPr="006D775D">
              <w:t> </w:t>
            </w:r>
            <w:r w:rsidRPr="006D775D">
              <w:t xml:space="preserve">6018 or 6019 </w:t>
            </w:r>
            <w:r w:rsidR="00996004" w:rsidRPr="006D775D">
              <w:t xml:space="preserve">and </w:t>
            </w:r>
            <w:r w:rsidRPr="006D775D">
              <w:t>lasting more than 10 minutes; or</w:t>
            </w:r>
          </w:p>
          <w:p w:rsidR="00912446" w:rsidRPr="006D775D" w:rsidRDefault="00912446" w:rsidP="00912446">
            <w:pPr>
              <w:pStyle w:val="Tablei"/>
            </w:pPr>
            <w:r w:rsidRPr="006D775D">
              <w:t>(ii) provi</w:t>
            </w:r>
            <w:r w:rsidR="004364FA" w:rsidRPr="006D775D">
              <w:t>ded with item</w:t>
            </w:r>
            <w:r w:rsidR="006D775D" w:rsidRPr="006D775D">
              <w:t> </w:t>
            </w:r>
            <w:r w:rsidR="004364FA" w:rsidRPr="006D775D">
              <w:t>6023 or 6024; and</w:t>
            </w:r>
          </w:p>
          <w:p w:rsidR="00912446" w:rsidRPr="006D775D" w:rsidRDefault="00912446" w:rsidP="00912446">
            <w:pPr>
              <w:pStyle w:val="Tablea"/>
            </w:pPr>
            <w:r w:rsidRPr="006D775D">
              <w:t xml:space="preserve">(c) the patient </w:t>
            </w:r>
            <w:r w:rsidR="004364FA" w:rsidRPr="006D775D">
              <w:t>is not an admitted patient; and</w:t>
            </w:r>
          </w:p>
          <w:p w:rsidR="00912446" w:rsidRPr="006D775D" w:rsidRDefault="004364FA" w:rsidP="00912446">
            <w:pPr>
              <w:pStyle w:val="Tablea"/>
            </w:pPr>
            <w:r w:rsidRPr="006D775D">
              <w:t>(d) the patient:</w:t>
            </w:r>
          </w:p>
          <w:p w:rsidR="00912446" w:rsidRPr="006D775D" w:rsidRDefault="004364FA" w:rsidP="00864710">
            <w:pPr>
              <w:pStyle w:val="Tablei"/>
            </w:pPr>
            <w:r w:rsidRPr="006D775D">
              <w:t>(i) is located both:</w:t>
            </w:r>
          </w:p>
          <w:p w:rsidR="00912446" w:rsidRPr="006D775D" w:rsidRDefault="00912446" w:rsidP="00864710">
            <w:pPr>
              <w:pStyle w:val="TableAA"/>
            </w:pPr>
            <w:r w:rsidRPr="006D775D">
              <w:t>(A) within a telehealth eligible area; and</w:t>
            </w:r>
          </w:p>
          <w:p w:rsidR="00912446" w:rsidRPr="006D775D" w:rsidRDefault="00912446" w:rsidP="00864710">
            <w:pPr>
              <w:pStyle w:val="TableAA"/>
            </w:pPr>
            <w:r w:rsidRPr="006D775D">
              <w:t>(B) at the time of the attendance</w:t>
            </w:r>
            <w:r w:rsidR="004364FA" w:rsidRPr="006D775D">
              <w:t>—</w:t>
            </w:r>
            <w:r w:rsidR="00996004" w:rsidRPr="006D775D">
              <w:t>at least 15 km</w:t>
            </w:r>
            <w:r w:rsidRPr="006D775D">
              <w:t xml:space="preserve"> by road from the </w:t>
            </w:r>
            <w:r w:rsidRPr="006D775D">
              <w:rPr>
                <w:rFonts w:cs="Calibri"/>
              </w:rPr>
              <w:t xml:space="preserve">addiction </w:t>
            </w:r>
            <w:r w:rsidR="004364FA" w:rsidRPr="006D775D">
              <w:t>medicine specialist; or</w:t>
            </w:r>
          </w:p>
          <w:p w:rsidR="00912446" w:rsidRPr="006D775D" w:rsidRDefault="00912446" w:rsidP="00864710">
            <w:pPr>
              <w:pStyle w:val="Tablei"/>
            </w:pPr>
            <w:r w:rsidRPr="006D775D">
              <w:t xml:space="preserve">(ii) is a care recipient in </w:t>
            </w:r>
            <w:r w:rsidR="004364FA" w:rsidRPr="006D775D">
              <w:t>a residential care service; or</w:t>
            </w:r>
          </w:p>
          <w:p w:rsidR="00912446" w:rsidRPr="006D775D" w:rsidRDefault="00912446" w:rsidP="00864710">
            <w:pPr>
              <w:pStyle w:val="Tablei"/>
            </w:pPr>
            <w:r w:rsidRPr="006D775D">
              <w:t>(iii) is a patient of:</w:t>
            </w:r>
          </w:p>
          <w:p w:rsidR="00912446" w:rsidRPr="006D775D" w:rsidRDefault="00912446" w:rsidP="00864710">
            <w:pPr>
              <w:pStyle w:val="TableAA"/>
            </w:pPr>
            <w:r w:rsidRPr="006D775D">
              <w:t>(A) an Aboriginal Medical Service; or</w:t>
            </w:r>
          </w:p>
          <w:p w:rsidR="00912446" w:rsidRPr="006D775D" w:rsidRDefault="00912446" w:rsidP="00864710">
            <w:pPr>
              <w:pStyle w:val="TableAA"/>
            </w:pPr>
            <w:r w:rsidRPr="006D775D">
              <w:t>(B) an Aboriginal Community Controlled Health Service;</w:t>
            </w:r>
          </w:p>
          <w:p w:rsidR="009929DC" w:rsidRPr="006D775D" w:rsidRDefault="00864710" w:rsidP="004364FA">
            <w:pPr>
              <w:pStyle w:val="Tablei"/>
              <w:rPr>
                <w:snapToGrid w:val="0"/>
              </w:rPr>
            </w:pPr>
            <w:r w:rsidRPr="006D775D">
              <w:tab/>
            </w:r>
            <w:r w:rsidR="00912446" w:rsidRPr="006D775D">
              <w:t>for which a direction made under subsection</w:t>
            </w:r>
            <w:r w:rsidR="006D775D" w:rsidRPr="006D775D">
              <w:t> </w:t>
            </w:r>
            <w:r w:rsidR="00912446" w:rsidRPr="006D775D">
              <w:t>19 (2) of the Act applies</w:t>
            </w:r>
          </w:p>
        </w:tc>
        <w:tc>
          <w:tcPr>
            <w:tcW w:w="2120" w:type="dxa"/>
            <w:shd w:val="clear" w:color="auto" w:fill="auto"/>
            <w:hideMark/>
          </w:tcPr>
          <w:p w:rsidR="009929DC" w:rsidRPr="006D775D" w:rsidRDefault="00EC131C" w:rsidP="00EC131C">
            <w:pPr>
              <w:pStyle w:val="Tabletext"/>
            </w:pPr>
            <w:r w:rsidRPr="006D775D">
              <w:t>50% of the fee for item</w:t>
            </w:r>
            <w:r w:rsidR="006D775D" w:rsidRPr="006D775D">
              <w:t> </w:t>
            </w:r>
            <w:r w:rsidRPr="006D775D">
              <w:t xml:space="preserve">6018, 6019, 6023 or 6024 </w:t>
            </w:r>
          </w:p>
        </w:tc>
      </w:tr>
      <w:tr w:rsidR="009929DC" w:rsidRPr="006D775D" w:rsidTr="00864710">
        <w:tc>
          <w:tcPr>
            <w:tcW w:w="8080" w:type="dxa"/>
            <w:gridSpan w:val="3"/>
            <w:shd w:val="clear" w:color="auto" w:fill="auto"/>
            <w:hideMark/>
          </w:tcPr>
          <w:p w:rsidR="009929DC" w:rsidRPr="006D775D" w:rsidRDefault="009929DC" w:rsidP="00864710">
            <w:pPr>
              <w:pStyle w:val="TableHeading"/>
            </w:pPr>
            <w:bookmarkStart w:id="23" w:name="CU_10261442"/>
            <w:bookmarkEnd w:id="23"/>
            <w:r w:rsidRPr="006D775D">
              <w:t>Subgroup 2—</w:t>
            </w:r>
            <w:r w:rsidR="00864710" w:rsidRPr="006D775D">
              <w:t>Group therapy</w:t>
            </w:r>
          </w:p>
        </w:tc>
      </w:tr>
      <w:tr w:rsidR="009929DC" w:rsidRPr="006D775D" w:rsidTr="00864710">
        <w:tc>
          <w:tcPr>
            <w:tcW w:w="710" w:type="dxa"/>
            <w:shd w:val="clear" w:color="auto" w:fill="auto"/>
            <w:hideMark/>
          </w:tcPr>
          <w:p w:rsidR="009929DC" w:rsidRPr="006D775D" w:rsidRDefault="00864710" w:rsidP="006E53AF">
            <w:pPr>
              <w:pStyle w:val="Tabletext"/>
              <w:rPr>
                <w:snapToGrid w:val="0"/>
              </w:rPr>
            </w:pPr>
            <w:r w:rsidRPr="006D775D">
              <w:rPr>
                <w:snapToGrid w:val="0"/>
              </w:rPr>
              <w:t>6028</w:t>
            </w:r>
          </w:p>
        </w:tc>
        <w:tc>
          <w:tcPr>
            <w:tcW w:w="5250" w:type="dxa"/>
            <w:shd w:val="clear" w:color="auto" w:fill="auto"/>
            <w:hideMark/>
          </w:tcPr>
          <w:p w:rsidR="009929DC" w:rsidRPr="006D775D" w:rsidRDefault="00864710" w:rsidP="00F726C4">
            <w:pPr>
              <w:pStyle w:val="Tabletext"/>
            </w:pPr>
            <w:r w:rsidRPr="006D775D">
              <w:t xml:space="preserve">Group therapy (including any associated consultation with a patient taking place on the same occasion and relating to the condition for which </w:t>
            </w:r>
            <w:r w:rsidR="00120392" w:rsidRPr="006D775D">
              <w:t>g</w:t>
            </w:r>
            <w:r w:rsidRPr="006D775D">
              <w:t xml:space="preserve">roup therapy is conducted) of not less than 1 hour, given under the continuous direct supervision of an addiction medicine specialist in the practice of </w:t>
            </w:r>
            <w:r w:rsidR="006E2CBD" w:rsidRPr="006D775D">
              <w:t>his or her</w:t>
            </w:r>
            <w:r w:rsidRPr="006D775D">
              <w:t xml:space="preserve"> s</w:t>
            </w:r>
            <w:r w:rsidR="00A96254" w:rsidRPr="006D775D">
              <w:t>pecialty</w:t>
            </w:r>
            <w:r w:rsidR="00120392" w:rsidRPr="006D775D">
              <w:t xml:space="preserve"> for</w:t>
            </w:r>
            <w:r w:rsidR="00A96254" w:rsidRPr="006D775D">
              <w:t xml:space="preserve"> a group of 2 to 9 unrelated patients, or a family group of more than 2 patients, each of whom is referred to the addiction medicine specialist by a referring practitioner—</w:t>
            </w:r>
            <w:r w:rsidR="00120392" w:rsidRPr="006D775D">
              <w:t xml:space="preserve">for </w:t>
            </w:r>
            <w:r w:rsidR="00A96254" w:rsidRPr="006D775D">
              <w:t>each patient</w:t>
            </w:r>
          </w:p>
        </w:tc>
        <w:tc>
          <w:tcPr>
            <w:tcW w:w="2120" w:type="dxa"/>
            <w:shd w:val="clear" w:color="auto" w:fill="auto"/>
            <w:hideMark/>
          </w:tcPr>
          <w:p w:rsidR="009929DC" w:rsidRPr="006D775D" w:rsidRDefault="00864710" w:rsidP="006E53AF">
            <w:pPr>
              <w:pStyle w:val="Tabletext"/>
              <w:jc w:val="right"/>
            </w:pPr>
            <w:r w:rsidRPr="006D775D">
              <w:t>49.30</w:t>
            </w:r>
          </w:p>
        </w:tc>
      </w:tr>
      <w:tr w:rsidR="009929DC" w:rsidRPr="006D775D" w:rsidTr="00864710">
        <w:tc>
          <w:tcPr>
            <w:tcW w:w="8080" w:type="dxa"/>
            <w:gridSpan w:val="3"/>
            <w:shd w:val="clear" w:color="auto" w:fill="auto"/>
            <w:hideMark/>
          </w:tcPr>
          <w:p w:rsidR="009929DC" w:rsidRPr="006D775D" w:rsidRDefault="009929DC" w:rsidP="00864710">
            <w:pPr>
              <w:pStyle w:val="TableHeading"/>
            </w:pPr>
            <w:r w:rsidRPr="006D775D">
              <w:t xml:space="preserve">Subgroup </w:t>
            </w:r>
            <w:r w:rsidR="00864710" w:rsidRPr="006D775D">
              <w:t>3</w:t>
            </w:r>
            <w:r w:rsidRPr="006D775D">
              <w:t>—</w:t>
            </w:r>
            <w:r w:rsidR="00864710" w:rsidRPr="006D775D">
              <w:t>Addiction</w:t>
            </w:r>
            <w:r w:rsidRPr="006D775D">
              <w:t xml:space="preserve"> medicine case conferences</w:t>
            </w:r>
          </w:p>
        </w:tc>
      </w:tr>
      <w:tr w:rsidR="009929DC" w:rsidRPr="006D775D" w:rsidTr="00864710">
        <w:tc>
          <w:tcPr>
            <w:tcW w:w="710" w:type="dxa"/>
            <w:shd w:val="clear" w:color="auto" w:fill="auto"/>
            <w:hideMark/>
          </w:tcPr>
          <w:p w:rsidR="009929DC" w:rsidRPr="006D775D" w:rsidRDefault="00864710" w:rsidP="006E53AF">
            <w:pPr>
              <w:pStyle w:val="Tabletext"/>
              <w:rPr>
                <w:snapToGrid w:val="0"/>
              </w:rPr>
            </w:pPr>
            <w:r w:rsidRPr="006D775D">
              <w:rPr>
                <w:snapToGrid w:val="0"/>
              </w:rPr>
              <w:t>6029</w:t>
            </w:r>
          </w:p>
        </w:tc>
        <w:tc>
          <w:tcPr>
            <w:tcW w:w="5250" w:type="dxa"/>
            <w:shd w:val="clear" w:color="auto" w:fill="auto"/>
            <w:hideMark/>
          </w:tcPr>
          <w:p w:rsidR="009929DC" w:rsidRPr="006D775D" w:rsidRDefault="00864710" w:rsidP="00F726C4">
            <w:pPr>
              <w:pStyle w:val="Tabletext"/>
            </w:pPr>
            <w:r w:rsidRPr="006D775D">
              <w:t xml:space="preserve">Attendance by an addiction medicine specialist in the practice of </w:t>
            </w:r>
            <w:r w:rsidR="00BA1299" w:rsidRPr="006D775D">
              <w:t>his or her</w:t>
            </w:r>
            <w:r w:rsidR="00A96254" w:rsidRPr="006D775D">
              <w:t xml:space="preserve"> specialty, as a member of a</w:t>
            </w:r>
            <w:r w:rsidR="0048262F" w:rsidRPr="006D775D">
              <w:t xml:space="preserve"> </w:t>
            </w:r>
            <w:r w:rsidR="007203F1" w:rsidRPr="006D775D">
              <w:t xml:space="preserve">multidisciplinary </w:t>
            </w:r>
            <w:r w:rsidRPr="006D775D">
              <w:t>case conference team</w:t>
            </w:r>
            <w:r w:rsidR="00501726" w:rsidRPr="006D775D">
              <w:t xml:space="preserve"> of at least 2 other formal care providers of different disciplines</w:t>
            </w:r>
            <w:r w:rsidR="00A96254" w:rsidRPr="006D775D">
              <w:t>,</w:t>
            </w:r>
            <w:r w:rsidR="0048262F" w:rsidRPr="006D775D">
              <w:t xml:space="preserve"> </w:t>
            </w:r>
            <w:r w:rsidRPr="006D775D">
              <w:t xml:space="preserve">to </w:t>
            </w:r>
            <w:r w:rsidR="006E53AF" w:rsidRPr="006D775D">
              <w:rPr>
                <w:bCs/>
              </w:rPr>
              <w:t>organise and coordinate a community case conference</w:t>
            </w:r>
            <w:r w:rsidR="006E53AF" w:rsidRPr="006D775D">
              <w:rPr>
                <w:b/>
                <w:bCs/>
              </w:rPr>
              <w:t xml:space="preserve"> </w:t>
            </w:r>
            <w:r w:rsidRPr="006D775D">
              <w:t xml:space="preserve">of </w:t>
            </w:r>
            <w:r w:rsidR="000753FA" w:rsidRPr="006D775D">
              <w:t>less than</w:t>
            </w:r>
            <w:r w:rsidRPr="006D775D">
              <w:t xml:space="preserve"> 15 minutes</w:t>
            </w:r>
            <w:r w:rsidR="00A96254" w:rsidRPr="006D775D">
              <w:t xml:space="preserve">, with </w:t>
            </w:r>
            <w:r w:rsidR="00ED65A9" w:rsidRPr="006D775D">
              <w:t>the</w:t>
            </w:r>
            <w:r w:rsidR="00A96254" w:rsidRPr="006D775D">
              <w:t xml:space="preserve"> </w:t>
            </w:r>
            <w:r w:rsidR="00AB673C" w:rsidRPr="006D775D">
              <w:t>multidisciplinary case conference team</w:t>
            </w:r>
          </w:p>
        </w:tc>
        <w:tc>
          <w:tcPr>
            <w:tcW w:w="2120" w:type="dxa"/>
            <w:shd w:val="clear" w:color="auto" w:fill="auto"/>
            <w:hideMark/>
          </w:tcPr>
          <w:p w:rsidR="009929DC" w:rsidRPr="006D775D" w:rsidRDefault="00864710" w:rsidP="006E53AF">
            <w:pPr>
              <w:pStyle w:val="Tabletext"/>
              <w:jc w:val="right"/>
            </w:pPr>
            <w:r w:rsidRPr="006D775D">
              <w:t>42.70</w:t>
            </w:r>
          </w:p>
        </w:tc>
      </w:tr>
      <w:tr w:rsidR="009929DC" w:rsidRPr="006D775D" w:rsidTr="00864710">
        <w:tc>
          <w:tcPr>
            <w:tcW w:w="710" w:type="dxa"/>
            <w:shd w:val="clear" w:color="auto" w:fill="auto"/>
            <w:hideMark/>
          </w:tcPr>
          <w:p w:rsidR="009929DC" w:rsidRPr="006D775D" w:rsidRDefault="00864710" w:rsidP="006E53AF">
            <w:pPr>
              <w:pStyle w:val="Tabletext"/>
              <w:rPr>
                <w:snapToGrid w:val="0"/>
              </w:rPr>
            </w:pPr>
            <w:r w:rsidRPr="006D775D">
              <w:rPr>
                <w:snapToGrid w:val="0"/>
              </w:rPr>
              <w:t>6031</w:t>
            </w:r>
          </w:p>
        </w:tc>
        <w:tc>
          <w:tcPr>
            <w:tcW w:w="5250" w:type="dxa"/>
            <w:shd w:val="clear" w:color="auto" w:fill="auto"/>
            <w:hideMark/>
          </w:tcPr>
          <w:p w:rsidR="009929DC" w:rsidRPr="006D775D" w:rsidRDefault="00864710" w:rsidP="00F726C4">
            <w:pPr>
              <w:pStyle w:val="Tabletext"/>
            </w:pPr>
            <w:r w:rsidRPr="006D775D">
              <w:t xml:space="preserve">Attendance by an addiction medicine specialist in the practice of </w:t>
            </w:r>
            <w:r w:rsidR="000753FA" w:rsidRPr="006D775D">
              <w:t>his or her</w:t>
            </w:r>
            <w:r w:rsidRPr="006D775D">
              <w:t xml:space="preserve"> specialty, as a member of a </w:t>
            </w:r>
            <w:r w:rsidR="00AB673C" w:rsidRPr="006D775D">
              <w:t>multidisciplinary case conference team</w:t>
            </w:r>
            <w:r w:rsidR="00501726" w:rsidRPr="006D775D">
              <w:t xml:space="preserve"> of at least 2 other formal care providers of different disciplines</w:t>
            </w:r>
            <w:r w:rsidR="00A96254" w:rsidRPr="006D775D">
              <w:t>,</w:t>
            </w:r>
            <w:r w:rsidRPr="006D775D">
              <w:t xml:space="preserve"> to </w:t>
            </w:r>
            <w:r w:rsidR="006E53AF" w:rsidRPr="006D775D">
              <w:rPr>
                <w:bCs/>
              </w:rPr>
              <w:t>organise and coordinate a community case conference</w:t>
            </w:r>
            <w:r w:rsidRPr="006D775D">
              <w:t xml:space="preserve"> of at least 15 minutes but less than 30 minutes</w:t>
            </w:r>
            <w:r w:rsidR="00A96254" w:rsidRPr="006D775D">
              <w:t xml:space="preserve">, with </w:t>
            </w:r>
            <w:r w:rsidR="003936D7" w:rsidRPr="006D775D">
              <w:t>the</w:t>
            </w:r>
            <w:r w:rsidR="00A96254" w:rsidRPr="006D775D">
              <w:t xml:space="preserve"> </w:t>
            </w:r>
            <w:r w:rsidR="00AB673C" w:rsidRPr="006D775D">
              <w:t>multidisciplinary case conference team</w:t>
            </w:r>
          </w:p>
        </w:tc>
        <w:tc>
          <w:tcPr>
            <w:tcW w:w="2120" w:type="dxa"/>
            <w:shd w:val="clear" w:color="auto" w:fill="auto"/>
            <w:hideMark/>
          </w:tcPr>
          <w:p w:rsidR="009929DC" w:rsidRPr="006D775D" w:rsidRDefault="00864710" w:rsidP="006E53AF">
            <w:pPr>
              <w:pStyle w:val="Tabletext"/>
              <w:jc w:val="right"/>
            </w:pPr>
            <w:r w:rsidRPr="006D775D">
              <w:t>75.50</w:t>
            </w:r>
          </w:p>
        </w:tc>
      </w:tr>
      <w:tr w:rsidR="009929DC" w:rsidRPr="006D775D" w:rsidTr="00864710">
        <w:tc>
          <w:tcPr>
            <w:tcW w:w="710" w:type="dxa"/>
            <w:shd w:val="clear" w:color="auto" w:fill="auto"/>
            <w:hideMark/>
          </w:tcPr>
          <w:p w:rsidR="009929DC" w:rsidRPr="006D775D" w:rsidRDefault="00864710" w:rsidP="006E53AF">
            <w:pPr>
              <w:pStyle w:val="Tabletext"/>
              <w:rPr>
                <w:snapToGrid w:val="0"/>
              </w:rPr>
            </w:pPr>
            <w:r w:rsidRPr="006D775D">
              <w:rPr>
                <w:snapToGrid w:val="0"/>
              </w:rPr>
              <w:t>6032</w:t>
            </w:r>
          </w:p>
        </w:tc>
        <w:tc>
          <w:tcPr>
            <w:tcW w:w="5250" w:type="dxa"/>
            <w:shd w:val="clear" w:color="auto" w:fill="auto"/>
            <w:hideMark/>
          </w:tcPr>
          <w:p w:rsidR="009929DC" w:rsidRPr="006D775D" w:rsidRDefault="00864710" w:rsidP="00F726C4">
            <w:pPr>
              <w:pStyle w:val="Tabletext"/>
            </w:pPr>
            <w:r w:rsidRPr="006D775D">
              <w:t xml:space="preserve">Attendance by an addiction medicine specialist in the practice of his or her specialty, as a member of a </w:t>
            </w:r>
            <w:r w:rsidR="00AB673C" w:rsidRPr="006D775D">
              <w:t>multidisciplinary case conference team</w:t>
            </w:r>
            <w:r w:rsidR="00501726" w:rsidRPr="006D775D">
              <w:t xml:space="preserve"> of at least 2 other formal care providers of different disciplines</w:t>
            </w:r>
            <w:r w:rsidR="00A96254" w:rsidRPr="006D775D">
              <w:t>,</w:t>
            </w:r>
            <w:r w:rsidRPr="006D775D">
              <w:t xml:space="preserve"> to </w:t>
            </w:r>
            <w:r w:rsidR="006E53AF" w:rsidRPr="006D775D">
              <w:rPr>
                <w:bCs/>
              </w:rPr>
              <w:t>organise and coordinate a community case conference</w:t>
            </w:r>
            <w:r w:rsidRPr="006D775D">
              <w:t xml:space="preserve"> of at least 30 minutes but less than 45 minutes</w:t>
            </w:r>
            <w:r w:rsidR="00A96254" w:rsidRPr="006D775D">
              <w:t xml:space="preserve">, with </w:t>
            </w:r>
            <w:r w:rsidR="00ED65A9" w:rsidRPr="006D775D">
              <w:t>the</w:t>
            </w:r>
            <w:r w:rsidR="00A96254" w:rsidRPr="006D775D">
              <w:t xml:space="preserve"> </w:t>
            </w:r>
            <w:r w:rsidR="00AB673C" w:rsidRPr="006D775D">
              <w:t>multidisciplinary case conference team</w:t>
            </w:r>
          </w:p>
        </w:tc>
        <w:tc>
          <w:tcPr>
            <w:tcW w:w="2120" w:type="dxa"/>
            <w:shd w:val="clear" w:color="auto" w:fill="auto"/>
            <w:hideMark/>
          </w:tcPr>
          <w:p w:rsidR="009929DC" w:rsidRPr="006D775D" w:rsidRDefault="00864710" w:rsidP="006E53AF">
            <w:pPr>
              <w:pStyle w:val="Tabletext"/>
              <w:jc w:val="right"/>
            </w:pPr>
            <w:r w:rsidRPr="006D775D">
              <w:t>113.30</w:t>
            </w:r>
          </w:p>
        </w:tc>
      </w:tr>
      <w:tr w:rsidR="009929DC" w:rsidRPr="006D775D" w:rsidTr="00864710">
        <w:tc>
          <w:tcPr>
            <w:tcW w:w="710" w:type="dxa"/>
            <w:shd w:val="clear" w:color="auto" w:fill="auto"/>
            <w:hideMark/>
          </w:tcPr>
          <w:p w:rsidR="009929DC" w:rsidRPr="006D775D" w:rsidRDefault="00864710" w:rsidP="006E53AF">
            <w:pPr>
              <w:pStyle w:val="Tabletext"/>
              <w:rPr>
                <w:snapToGrid w:val="0"/>
              </w:rPr>
            </w:pPr>
            <w:r w:rsidRPr="006D775D">
              <w:rPr>
                <w:snapToGrid w:val="0"/>
              </w:rPr>
              <w:t>6034</w:t>
            </w:r>
          </w:p>
        </w:tc>
        <w:tc>
          <w:tcPr>
            <w:tcW w:w="5250" w:type="dxa"/>
            <w:shd w:val="clear" w:color="auto" w:fill="auto"/>
            <w:hideMark/>
          </w:tcPr>
          <w:p w:rsidR="009929DC" w:rsidRPr="006D775D" w:rsidRDefault="00864710" w:rsidP="00DD146C">
            <w:pPr>
              <w:pStyle w:val="Tabletext"/>
            </w:pPr>
            <w:r w:rsidRPr="006D775D">
              <w:t xml:space="preserve">Attendance by an addiction medicine specialist in the practice of </w:t>
            </w:r>
            <w:r w:rsidR="00E7461F" w:rsidRPr="006D775D">
              <w:t>his or her</w:t>
            </w:r>
            <w:r w:rsidRPr="006D775D">
              <w:t xml:space="preserve"> specialty, as a member of a </w:t>
            </w:r>
            <w:r w:rsidR="00F0221F" w:rsidRPr="006D775D">
              <w:t>multidisciplinary case</w:t>
            </w:r>
            <w:r w:rsidRPr="006D775D">
              <w:t xml:space="preserve"> conference team</w:t>
            </w:r>
            <w:r w:rsidR="00501726" w:rsidRPr="006D775D">
              <w:t xml:space="preserve"> of at least 2 other formal care providers of different disciplines</w:t>
            </w:r>
            <w:r w:rsidR="00A96254" w:rsidRPr="006D775D">
              <w:t>,</w:t>
            </w:r>
            <w:r w:rsidRPr="006D775D">
              <w:t xml:space="preserve"> to </w:t>
            </w:r>
            <w:r w:rsidR="006E53AF" w:rsidRPr="006D775D">
              <w:rPr>
                <w:bCs/>
              </w:rPr>
              <w:t xml:space="preserve">organise and coordinate </w:t>
            </w:r>
            <w:r w:rsidR="00F0221F" w:rsidRPr="006D775D">
              <w:rPr>
                <w:bCs/>
              </w:rPr>
              <w:t>the</w:t>
            </w:r>
            <w:r w:rsidR="006E53AF" w:rsidRPr="006D775D">
              <w:rPr>
                <w:bCs/>
              </w:rPr>
              <w:t xml:space="preserve"> </w:t>
            </w:r>
            <w:r w:rsidR="00F0221F" w:rsidRPr="006D775D">
              <w:t>multidisciplinary</w:t>
            </w:r>
            <w:r w:rsidR="006E53AF" w:rsidRPr="006D775D">
              <w:rPr>
                <w:bCs/>
              </w:rPr>
              <w:t xml:space="preserve"> case conference</w:t>
            </w:r>
            <w:r w:rsidRPr="006D775D">
              <w:t xml:space="preserve"> of at least 45 minutes</w:t>
            </w:r>
            <w:r w:rsidR="00A96254" w:rsidRPr="006D775D">
              <w:t xml:space="preserve">, with </w:t>
            </w:r>
            <w:r w:rsidR="003936D7" w:rsidRPr="006D775D">
              <w:t>the</w:t>
            </w:r>
            <w:r w:rsidR="00A96254" w:rsidRPr="006D775D">
              <w:t xml:space="preserve"> </w:t>
            </w:r>
            <w:r w:rsidR="00DD146C" w:rsidRPr="006D775D">
              <w:t>multidisciplinary</w:t>
            </w:r>
            <w:r w:rsidR="00A96254" w:rsidRPr="006D775D">
              <w:t xml:space="preserve"> </w:t>
            </w:r>
            <w:r w:rsidR="00DD146C" w:rsidRPr="006D775D">
              <w:t xml:space="preserve">case conference </w:t>
            </w:r>
            <w:r w:rsidR="00A96254" w:rsidRPr="006D775D">
              <w:t>team</w:t>
            </w:r>
          </w:p>
        </w:tc>
        <w:tc>
          <w:tcPr>
            <w:tcW w:w="2120" w:type="dxa"/>
            <w:shd w:val="clear" w:color="auto" w:fill="auto"/>
            <w:hideMark/>
          </w:tcPr>
          <w:p w:rsidR="009929DC" w:rsidRPr="006D775D" w:rsidRDefault="00864710" w:rsidP="006E53AF">
            <w:pPr>
              <w:pStyle w:val="Tabletext"/>
              <w:jc w:val="right"/>
            </w:pPr>
            <w:r w:rsidRPr="006D775D">
              <w:t>150</w:t>
            </w:r>
            <w:r w:rsidR="00E7461F" w:rsidRPr="006D775D">
              <w:t>.90</w:t>
            </w:r>
          </w:p>
        </w:tc>
      </w:tr>
      <w:tr w:rsidR="009929DC" w:rsidRPr="006D775D" w:rsidTr="00864710">
        <w:tc>
          <w:tcPr>
            <w:tcW w:w="710" w:type="dxa"/>
            <w:shd w:val="clear" w:color="auto" w:fill="auto"/>
            <w:hideMark/>
          </w:tcPr>
          <w:p w:rsidR="009929DC" w:rsidRPr="006D775D" w:rsidRDefault="00864710" w:rsidP="006E53AF">
            <w:pPr>
              <w:pStyle w:val="Tabletext"/>
              <w:rPr>
                <w:snapToGrid w:val="0"/>
              </w:rPr>
            </w:pPr>
            <w:bookmarkStart w:id="24" w:name="CU_39273116"/>
            <w:bookmarkEnd w:id="24"/>
            <w:r w:rsidRPr="006D775D">
              <w:rPr>
                <w:snapToGrid w:val="0"/>
              </w:rPr>
              <w:t>6035</w:t>
            </w:r>
          </w:p>
        </w:tc>
        <w:tc>
          <w:tcPr>
            <w:tcW w:w="5250" w:type="dxa"/>
            <w:shd w:val="clear" w:color="auto" w:fill="auto"/>
            <w:hideMark/>
          </w:tcPr>
          <w:p w:rsidR="009929DC" w:rsidRPr="006D775D" w:rsidRDefault="00864710" w:rsidP="00F726C4">
            <w:pPr>
              <w:pStyle w:val="Tabletext"/>
            </w:pPr>
            <w:r w:rsidRPr="006D775D">
              <w:t xml:space="preserve">Attendance by an addiction medicine specialist in the practice of </w:t>
            </w:r>
            <w:r w:rsidR="00E7461F" w:rsidRPr="006D775D">
              <w:t>his or her</w:t>
            </w:r>
            <w:r w:rsidRPr="006D775D">
              <w:t xml:space="preserve"> specialty, as a member of a </w:t>
            </w:r>
            <w:r w:rsidR="00AB673C" w:rsidRPr="006D775D">
              <w:t>multidisciplinary case conference team</w:t>
            </w:r>
            <w:r w:rsidR="00501726" w:rsidRPr="006D775D">
              <w:t xml:space="preserve"> of at least 2 other formal care providers of different disciplines</w:t>
            </w:r>
            <w:r w:rsidRPr="006D775D">
              <w:t xml:space="preserve">, to </w:t>
            </w:r>
            <w:r w:rsidR="006E53AF" w:rsidRPr="006D775D">
              <w:rPr>
                <w:bCs/>
              </w:rPr>
              <w:t>participate in a community case conference</w:t>
            </w:r>
            <w:r w:rsidRPr="006D775D">
              <w:t xml:space="preserve"> (other than to organise and coordinate the conference) of </w:t>
            </w:r>
            <w:r w:rsidR="00E7461F" w:rsidRPr="006D775D">
              <w:t>less than</w:t>
            </w:r>
            <w:r w:rsidRPr="006D775D">
              <w:t xml:space="preserve"> 15 minutes, with </w:t>
            </w:r>
            <w:r w:rsidR="00ED65A9" w:rsidRPr="006D775D">
              <w:t>the</w:t>
            </w:r>
            <w:r w:rsidRPr="006D775D">
              <w:t xml:space="preserve"> </w:t>
            </w:r>
            <w:r w:rsidR="00AB673C" w:rsidRPr="006D775D">
              <w:t>multidisciplinary case conference team</w:t>
            </w:r>
          </w:p>
        </w:tc>
        <w:tc>
          <w:tcPr>
            <w:tcW w:w="2120" w:type="dxa"/>
            <w:shd w:val="clear" w:color="auto" w:fill="auto"/>
            <w:hideMark/>
          </w:tcPr>
          <w:p w:rsidR="009929DC" w:rsidRPr="006D775D" w:rsidRDefault="00864710" w:rsidP="006E53AF">
            <w:pPr>
              <w:pStyle w:val="Tabletext"/>
              <w:jc w:val="right"/>
            </w:pPr>
            <w:r w:rsidRPr="006D775D">
              <w:t>34.15</w:t>
            </w:r>
          </w:p>
        </w:tc>
      </w:tr>
      <w:tr w:rsidR="009929DC" w:rsidRPr="006D775D" w:rsidTr="00864710">
        <w:tc>
          <w:tcPr>
            <w:tcW w:w="710" w:type="dxa"/>
            <w:shd w:val="clear" w:color="auto" w:fill="auto"/>
            <w:hideMark/>
          </w:tcPr>
          <w:p w:rsidR="009929DC" w:rsidRPr="006D775D" w:rsidRDefault="00864710" w:rsidP="006E53AF">
            <w:pPr>
              <w:pStyle w:val="Tabletext"/>
              <w:rPr>
                <w:snapToGrid w:val="0"/>
              </w:rPr>
            </w:pPr>
            <w:bookmarkStart w:id="25" w:name="CU_40271506"/>
            <w:bookmarkEnd w:id="25"/>
            <w:r w:rsidRPr="006D775D">
              <w:rPr>
                <w:snapToGrid w:val="0"/>
              </w:rPr>
              <w:t>6037</w:t>
            </w:r>
          </w:p>
        </w:tc>
        <w:tc>
          <w:tcPr>
            <w:tcW w:w="5250" w:type="dxa"/>
            <w:shd w:val="clear" w:color="auto" w:fill="auto"/>
            <w:hideMark/>
          </w:tcPr>
          <w:p w:rsidR="009929DC" w:rsidRPr="006D775D" w:rsidRDefault="00864710" w:rsidP="00F726C4">
            <w:pPr>
              <w:pStyle w:val="Tabletext"/>
            </w:pPr>
            <w:r w:rsidRPr="006D775D">
              <w:t xml:space="preserve">Attendance by an addiction medicine specialist in the practice of </w:t>
            </w:r>
            <w:r w:rsidR="00E7461F" w:rsidRPr="006D775D">
              <w:t>his or her</w:t>
            </w:r>
            <w:r w:rsidRPr="006D775D">
              <w:t xml:space="preserve"> specialty, as a member of a </w:t>
            </w:r>
            <w:r w:rsidR="00AB673C" w:rsidRPr="006D775D">
              <w:t>multidisciplinary case conference team</w:t>
            </w:r>
            <w:r w:rsidR="00501726" w:rsidRPr="006D775D">
              <w:t xml:space="preserve"> of at least 2 other formal care providers of different disciplines</w:t>
            </w:r>
            <w:r w:rsidR="00120392" w:rsidRPr="006D775D">
              <w:t>,</w:t>
            </w:r>
            <w:r w:rsidRPr="006D775D">
              <w:t xml:space="preserve"> to </w:t>
            </w:r>
            <w:r w:rsidR="006E53AF" w:rsidRPr="006D775D">
              <w:rPr>
                <w:bCs/>
              </w:rPr>
              <w:t>participate in a community case conference</w:t>
            </w:r>
            <w:r w:rsidRPr="006D775D">
              <w:t xml:space="preserve"> (other than to organise and coordinate the conference) of at least 15 minutes but less than 30 minutes</w:t>
            </w:r>
            <w:r w:rsidR="00A96254" w:rsidRPr="006D775D">
              <w:t xml:space="preserve">, with </w:t>
            </w:r>
            <w:r w:rsidR="00ED65A9" w:rsidRPr="006D775D">
              <w:t>the</w:t>
            </w:r>
            <w:r w:rsidR="00A96254" w:rsidRPr="006D775D">
              <w:t xml:space="preserve"> </w:t>
            </w:r>
            <w:r w:rsidR="00AB673C" w:rsidRPr="006D775D">
              <w:t>multidisciplinary case conference team</w:t>
            </w:r>
          </w:p>
        </w:tc>
        <w:tc>
          <w:tcPr>
            <w:tcW w:w="2120" w:type="dxa"/>
            <w:shd w:val="clear" w:color="auto" w:fill="auto"/>
            <w:hideMark/>
          </w:tcPr>
          <w:p w:rsidR="009929DC" w:rsidRPr="006D775D" w:rsidRDefault="00864710" w:rsidP="006E53AF">
            <w:pPr>
              <w:pStyle w:val="Tabletext"/>
              <w:jc w:val="right"/>
            </w:pPr>
            <w:r w:rsidRPr="006D775D">
              <w:t>60.40</w:t>
            </w:r>
          </w:p>
        </w:tc>
      </w:tr>
      <w:tr w:rsidR="009929DC" w:rsidRPr="006D775D" w:rsidTr="00864710">
        <w:tc>
          <w:tcPr>
            <w:tcW w:w="710" w:type="dxa"/>
            <w:tcBorders>
              <w:bottom w:val="single" w:sz="2" w:space="0" w:color="auto"/>
            </w:tcBorders>
            <w:shd w:val="clear" w:color="auto" w:fill="auto"/>
            <w:hideMark/>
          </w:tcPr>
          <w:p w:rsidR="009929DC" w:rsidRPr="006D775D" w:rsidRDefault="00864710" w:rsidP="006E53AF">
            <w:pPr>
              <w:pStyle w:val="Tabletext"/>
              <w:rPr>
                <w:snapToGrid w:val="0"/>
              </w:rPr>
            </w:pPr>
            <w:r w:rsidRPr="006D775D">
              <w:rPr>
                <w:snapToGrid w:val="0"/>
              </w:rPr>
              <w:t>6038</w:t>
            </w:r>
          </w:p>
        </w:tc>
        <w:tc>
          <w:tcPr>
            <w:tcW w:w="5250" w:type="dxa"/>
            <w:tcBorders>
              <w:bottom w:val="single" w:sz="2" w:space="0" w:color="auto"/>
            </w:tcBorders>
            <w:shd w:val="clear" w:color="auto" w:fill="auto"/>
            <w:hideMark/>
          </w:tcPr>
          <w:p w:rsidR="009929DC" w:rsidRPr="006D775D" w:rsidRDefault="00864710" w:rsidP="00F726C4">
            <w:pPr>
              <w:pStyle w:val="Tabletext"/>
            </w:pPr>
            <w:r w:rsidRPr="006D775D">
              <w:t xml:space="preserve">Attendance by an addiction medicine specialist in the practice of </w:t>
            </w:r>
            <w:r w:rsidR="00E7461F" w:rsidRPr="006D775D">
              <w:t>his or her</w:t>
            </w:r>
            <w:r w:rsidRPr="006D775D">
              <w:t xml:space="preserve"> specialty, as a member of a </w:t>
            </w:r>
            <w:r w:rsidR="00AB673C" w:rsidRPr="006D775D">
              <w:t>multidisciplinary case conference team</w:t>
            </w:r>
            <w:r w:rsidR="00501726" w:rsidRPr="006D775D">
              <w:t xml:space="preserve"> of at least 2 other formal care providers of different disciplines</w:t>
            </w:r>
            <w:r w:rsidRPr="006D775D">
              <w:t xml:space="preserve">, to </w:t>
            </w:r>
            <w:r w:rsidR="006E53AF" w:rsidRPr="006D775D">
              <w:rPr>
                <w:bCs/>
              </w:rPr>
              <w:t>participate in a community case conference</w:t>
            </w:r>
            <w:r w:rsidRPr="006D775D">
              <w:rPr>
                <w:b/>
                <w:bCs/>
              </w:rPr>
              <w:t xml:space="preserve"> </w:t>
            </w:r>
            <w:r w:rsidRPr="006D775D">
              <w:t>(other than to organise and coordinate the conference) of at least 30 minutes but less than 45 minutes</w:t>
            </w:r>
            <w:r w:rsidR="00EB0562" w:rsidRPr="006D775D">
              <w:t xml:space="preserve">, with </w:t>
            </w:r>
            <w:r w:rsidR="003936D7" w:rsidRPr="006D775D">
              <w:t>the</w:t>
            </w:r>
            <w:r w:rsidR="00EB0562" w:rsidRPr="006D775D">
              <w:t xml:space="preserve"> </w:t>
            </w:r>
            <w:r w:rsidR="00AB673C" w:rsidRPr="006D775D">
              <w:t>multidisciplinary case conference team</w:t>
            </w:r>
          </w:p>
        </w:tc>
        <w:tc>
          <w:tcPr>
            <w:tcW w:w="2120" w:type="dxa"/>
            <w:tcBorders>
              <w:bottom w:val="single" w:sz="2" w:space="0" w:color="auto"/>
            </w:tcBorders>
            <w:shd w:val="clear" w:color="auto" w:fill="auto"/>
            <w:hideMark/>
          </w:tcPr>
          <w:p w:rsidR="009929DC" w:rsidRPr="006D775D" w:rsidRDefault="00864710" w:rsidP="006E53AF">
            <w:pPr>
              <w:pStyle w:val="Tabletext"/>
              <w:jc w:val="right"/>
            </w:pPr>
            <w:r w:rsidRPr="006D775D">
              <w:t>90.65</w:t>
            </w:r>
          </w:p>
        </w:tc>
      </w:tr>
      <w:tr w:rsidR="009929DC" w:rsidRPr="006D775D" w:rsidTr="00864710">
        <w:tc>
          <w:tcPr>
            <w:tcW w:w="710" w:type="dxa"/>
            <w:tcBorders>
              <w:top w:val="single" w:sz="2" w:space="0" w:color="auto"/>
              <w:bottom w:val="single" w:sz="12" w:space="0" w:color="auto"/>
            </w:tcBorders>
            <w:shd w:val="clear" w:color="auto" w:fill="auto"/>
            <w:hideMark/>
          </w:tcPr>
          <w:p w:rsidR="009929DC" w:rsidRPr="006D775D" w:rsidRDefault="00864710" w:rsidP="006E53AF">
            <w:pPr>
              <w:pStyle w:val="Tabletext"/>
              <w:rPr>
                <w:snapToGrid w:val="0"/>
              </w:rPr>
            </w:pPr>
            <w:r w:rsidRPr="006D775D">
              <w:rPr>
                <w:snapToGrid w:val="0"/>
              </w:rPr>
              <w:t>6042</w:t>
            </w:r>
          </w:p>
        </w:tc>
        <w:tc>
          <w:tcPr>
            <w:tcW w:w="5250" w:type="dxa"/>
            <w:tcBorders>
              <w:top w:val="single" w:sz="2" w:space="0" w:color="auto"/>
              <w:bottom w:val="single" w:sz="12" w:space="0" w:color="auto"/>
            </w:tcBorders>
            <w:shd w:val="clear" w:color="auto" w:fill="auto"/>
            <w:hideMark/>
          </w:tcPr>
          <w:p w:rsidR="009929DC" w:rsidRPr="006D775D" w:rsidRDefault="00864710" w:rsidP="00F726C4">
            <w:pPr>
              <w:pStyle w:val="Tabletext"/>
            </w:pPr>
            <w:r w:rsidRPr="006D775D">
              <w:t xml:space="preserve">Attendance by an addiction medicine specialist in the practice of </w:t>
            </w:r>
            <w:r w:rsidR="00E7461F" w:rsidRPr="006D775D">
              <w:t>his or her</w:t>
            </w:r>
            <w:r w:rsidRPr="006D775D">
              <w:t xml:space="preserve"> specialty, as a member of a </w:t>
            </w:r>
            <w:r w:rsidR="00AB673C" w:rsidRPr="006D775D">
              <w:t>multidisciplinary case conference team</w:t>
            </w:r>
            <w:r w:rsidR="00501726" w:rsidRPr="006D775D">
              <w:t xml:space="preserve"> of at least 2 other formal care providers of different disciplines</w:t>
            </w:r>
            <w:r w:rsidRPr="006D775D">
              <w:t xml:space="preserve">, to </w:t>
            </w:r>
            <w:r w:rsidR="006E53AF" w:rsidRPr="006D775D">
              <w:rPr>
                <w:bCs/>
              </w:rPr>
              <w:t>participate in a community case conference</w:t>
            </w:r>
            <w:r w:rsidRPr="006D775D">
              <w:t xml:space="preserve"> (other than to organise and coordinate the conference) of at least 45 minutes</w:t>
            </w:r>
            <w:r w:rsidR="00EB0562" w:rsidRPr="006D775D">
              <w:t xml:space="preserve">, with </w:t>
            </w:r>
            <w:r w:rsidR="00ED65A9" w:rsidRPr="006D775D">
              <w:t>the</w:t>
            </w:r>
            <w:r w:rsidR="00EB0562" w:rsidRPr="006D775D">
              <w:t xml:space="preserve"> </w:t>
            </w:r>
            <w:r w:rsidR="00AB673C" w:rsidRPr="006D775D">
              <w:t>multidisciplinary case conference team</w:t>
            </w:r>
          </w:p>
        </w:tc>
        <w:tc>
          <w:tcPr>
            <w:tcW w:w="2120" w:type="dxa"/>
            <w:tcBorders>
              <w:top w:val="single" w:sz="2" w:space="0" w:color="auto"/>
              <w:bottom w:val="single" w:sz="12" w:space="0" w:color="auto"/>
            </w:tcBorders>
            <w:shd w:val="clear" w:color="auto" w:fill="auto"/>
            <w:hideMark/>
          </w:tcPr>
          <w:p w:rsidR="009929DC" w:rsidRPr="006D775D" w:rsidRDefault="00864710" w:rsidP="006E53AF">
            <w:pPr>
              <w:pStyle w:val="Tabletext"/>
              <w:jc w:val="right"/>
            </w:pPr>
            <w:r w:rsidRPr="006D775D">
              <w:t>120.75</w:t>
            </w:r>
          </w:p>
        </w:tc>
      </w:tr>
    </w:tbl>
    <w:p w:rsidR="006E53AF" w:rsidRPr="006D775D" w:rsidRDefault="006E53AF" w:rsidP="007740BF">
      <w:pPr>
        <w:pStyle w:val="ActHead3"/>
      </w:pPr>
      <w:bookmarkStart w:id="26" w:name="CU_46273567"/>
      <w:bookmarkStart w:id="27" w:name="CU_46275611"/>
      <w:bookmarkStart w:id="28" w:name="_Toc462386543"/>
      <w:bookmarkEnd w:id="26"/>
      <w:bookmarkEnd w:id="27"/>
      <w:bookmarkEnd w:id="19"/>
      <w:r w:rsidRPr="006D775D">
        <w:rPr>
          <w:rStyle w:val="CharDivNo"/>
        </w:rPr>
        <w:t>Division</w:t>
      </w:r>
      <w:r w:rsidR="006D775D" w:rsidRPr="006D775D">
        <w:rPr>
          <w:rStyle w:val="CharDivNo"/>
        </w:rPr>
        <w:t> </w:t>
      </w:r>
      <w:r w:rsidRPr="006D775D">
        <w:rPr>
          <w:rStyle w:val="CharDivNo"/>
        </w:rPr>
        <w:t>2.2</w:t>
      </w:r>
      <w:r w:rsidR="00120392" w:rsidRPr="006D775D">
        <w:rPr>
          <w:rStyle w:val="CharDivNo"/>
        </w:rPr>
        <w:t>1</w:t>
      </w:r>
      <w:r w:rsidRPr="006D775D">
        <w:rPr>
          <w:rStyle w:val="CharDivNo"/>
        </w:rPr>
        <w:t>B</w:t>
      </w:r>
      <w:r w:rsidRPr="006D775D">
        <w:t>—</w:t>
      </w:r>
      <w:r w:rsidRPr="006D775D">
        <w:rPr>
          <w:rStyle w:val="CharDivText"/>
        </w:rPr>
        <w:t>Group A32: Sexual health medicine</w:t>
      </w:r>
      <w:bookmarkEnd w:id="28"/>
    </w:p>
    <w:p w:rsidR="008D37A1" w:rsidRPr="006D775D" w:rsidRDefault="008D37A1" w:rsidP="008D37A1">
      <w:pPr>
        <w:pStyle w:val="ActHead5"/>
      </w:pPr>
      <w:bookmarkStart w:id="29" w:name="_Toc462386544"/>
      <w:r w:rsidRPr="006D775D">
        <w:rPr>
          <w:rStyle w:val="CharSectno"/>
        </w:rPr>
        <w:t>2.21B.1</w:t>
      </w:r>
      <w:r w:rsidRPr="006D775D">
        <w:t xml:space="preserve">  Meaning of organise and coordinate</w:t>
      </w:r>
      <w:bookmarkEnd w:id="29"/>
    </w:p>
    <w:p w:rsidR="008D37A1" w:rsidRPr="006D775D" w:rsidRDefault="008D37A1" w:rsidP="008D37A1">
      <w:pPr>
        <w:pStyle w:val="subsection"/>
      </w:pPr>
      <w:r w:rsidRPr="006D775D">
        <w:tab/>
      </w:r>
      <w:r w:rsidRPr="006D775D">
        <w:tab/>
        <w:t>In items</w:t>
      </w:r>
      <w:r w:rsidR="006D775D" w:rsidRPr="006D775D">
        <w:t> </w:t>
      </w:r>
      <w:r w:rsidRPr="006D775D">
        <w:t>6064 to 6075:</w:t>
      </w:r>
    </w:p>
    <w:p w:rsidR="008D37A1" w:rsidRPr="006D775D" w:rsidRDefault="008D37A1" w:rsidP="008D37A1">
      <w:pPr>
        <w:pStyle w:val="Definition"/>
      </w:pPr>
      <w:r w:rsidRPr="006D775D">
        <w:rPr>
          <w:b/>
          <w:i/>
          <w:lang w:eastAsia="en-US"/>
        </w:rPr>
        <w:t>organise and coordinate</w:t>
      </w:r>
      <w:r w:rsidRPr="006D775D">
        <w:t>, for a conference mentioned in the item, means undertaking all of the following activities:</w:t>
      </w:r>
    </w:p>
    <w:p w:rsidR="008D37A1" w:rsidRPr="006D775D" w:rsidRDefault="008D37A1" w:rsidP="008D37A1">
      <w:pPr>
        <w:pStyle w:val="paragraph"/>
      </w:pPr>
      <w:r w:rsidRPr="006D775D">
        <w:tab/>
        <w:t>(a)</w:t>
      </w:r>
      <w:r w:rsidRPr="006D775D">
        <w:tab/>
        <w:t>explaining to the patient the nature of the conference;</w:t>
      </w:r>
    </w:p>
    <w:p w:rsidR="008D37A1" w:rsidRPr="006D775D" w:rsidRDefault="008D37A1" w:rsidP="008D37A1">
      <w:pPr>
        <w:pStyle w:val="paragraph"/>
      </w:pPr>
      <w:r w:rsidRPr="006D775D">
        <w:tab/>
        <w:t>(b)</w:t>
      </w:r>
      <w:r w:rsidRPr="006D775D">
        <w:tab/>
        <w:t>asking the patient whether the patient agrees to the conference taking place;</w:t>
      </w:r>
    </w:p>
    <w:p w:rsidR="008D37A1" w:rsidRPr="006D775D" w:rsidRDefault="008D37A1" w:rsidP="008D37A1">
      <w:pPr>
        <w:pStyle w:val="paragraph"/>
      </w:pPr>
      <w:r w:rsidRPr="006D775D">
        <w:tab/>
        <w:t>(c)</w:t>
      </w:r>
      <w:r w:rsidRPr="006D775D">
        <w:tab/>
        <w:t>recording the patient’s agreement to the conference;</w:t>
      </w:r>
    </w:p>
    <w:p w:rsidR="008D37A1" w:rsidRPr="006D775D" w:rsidRDefault="008D37A1" w:rsidP="008D37A1">
      <w:pPr>
        <w:pStyle w:val="paragraph"/>
      </w:pPr>
      <w:r w:rsidRPr="006D775D">
        <w:tab/>
        <w:t>(d)</w:t>
      </w:r>
      <w:r w:rsidRPr="006D775D">
        <w:tab/>
        <w:t>recording the day the conference was held and the times the conference started and ended;</w:t>
      </w:r>
    </w:p>
    <w:p w:rsidR="008D37A1" w:rsidRPr="006D775D" w:rsidRDefault="008D37A1" w:rsidP="008D37A1">
      <w:pPr>
        <w:pStyle w:val="paragraph"/>
      </w:pPr>
      <w:r w:rsidRPr="006D775D">
        <w:tab/>
        <w:t>(e)</w:t>
      </w:r>
      <w:r w:rsidRPr="006D775D">
        <w:tab/>
        <w:t>recording the names of the participants;</w:t>
      </w:r>
    </w:p>
    <w:p w:rsidR="008D37A1" w:rsidRPr="006D775D" w:rsidRDefault="008D37A1" w:rsidP="008D37A1">
      <w:pPr>
        <w:pStyle w:val="paragraph"/>
      </w:pPr>
      <w:r w:rsidRPr="006D775D">
        <w:tab/>
        <w:t>(f)</w:t>
      </w:r>
      <w:r w:rsidRPr="006D775D">
        <w:tab/>
        <w:t xml:space="preserve">recording the activities mentioned in the definition of </w:t>
      </w:r>
      <w:r w:rsidRPr="006D775D">
        <w:rPr>
          <w:b/>
          <w:i/>
        </w:rPr>
        <w:t>multidisciplinary case conference</w:t>
      </w:r>
      <w:r w:rsidRPr="006D775D">
        <w:t xml:space="preserve"> in clause</w:t>
      </w:r>
      <w:r w:rsidR="006D775D" w:rsidRPr="006D775D">
        <w:t> </w:t>
      </w:r>
      <w:r w:rsidRPr="006D775D">
        <w:t>1.1.2 and putting a copy of that record in the patient’s medical records;</w:t>
      </w:r>
    </w:p>
    <w:p w:rsidR="008D37A1" w:rsidRPr="006D775D" w:rsidRDefault="008D37A1" w:rsidP="008D37A1">
      <w:pPr>
        <w:pStyle w:val="paragraph"/>
      </w:pPr>
      <w:r w:rsidRPr="006D775D">
        <w:tab/>
        <w:t>(g)</w:t>
      </w:r>
      <w:r w:rsidRPr="006D775D">
        <w:tab/>
        <w:t>offering the patient and the patient’s carer (if any and if the practitioner considers appropriate and the patient agrees), and giving each other member of the team, a summary of the conference;</w:t>
      </w:r>
    </w:p>
    <w:p w:rsidR="008D37A1" w:rsidRPr="006D775D" w:rsidRDefault="008D37A1" w:rsidP="008D37A1">
      <w:pPr>
        <w:pStyle w:val="paragraph"/>
      </w:pPr>
      <w:r w:rsidRPr="006D775D">
        <w:tab/>
        <w:t>(h)</w:t>
      </w:r>
      <w:r w:rsidRPr="006D775D">
        <w:tab/>
        <w:t>discussing the outcomes of the conference with the patient and the patient’s carer (if any and if the practitioner considers appropriate and the patient agrees).</w:t>
      </w:r>
    </w:p>
    <w:p w:rsidR="008D37A1" w:rsidRPr="006D775D" w:rsidRDefault="008D37A1" w:rsidP="008D37A1">
      <w:pPr>
        <w:pStyle w:val="ActHead5"/>
      </w:pPr>
      <w:bookmarkStart w:id="30" w:name="_Toc462386545"/>
      <w:r w:rsidRPr="006D775D">
        <w:rPr>
          <w:rStyle w:val="CharSectno"/>
        </w:rPr>
        <w:t>2.21B.2</w:t>
      </w:r>
      <w:r w:rsidRPr="006D775D">
        <w:t xml:space="preserve">  Meaning of participate</w:t>
      </w:r>
      <w:bookmarkEnd w:id="30"/>
    </w:p>
    <w:p w:rsidR="008D37A1" w:rsidRPr="006D775D" w:rsidRDefault="008D37A1" w:rsidP="008D37A1">
      <w:pPr>
        <w:pStyle w:val="subsection"/>
      </w:pPr>
      <w:r w:rsidRPr="006D775D">
        <w:tab/>
      </w:r>
      <w:r w:rsidRPr="006D775D">
        <w:tab/>
        <w:t>In items</w:t>
      </w:r>
      <w:r w:rsidR="006D775D" w:rsidRPr="006D775D">
        <w:t> </w:t>
      </w:r>
      <w:r w:rsidRPr="006D775D">
        <w:t>6071 to 6075:</w:t>
      </w:r>
    </w:p>
    <w:p w:rsidR="008D37A1" w:rsidRPr="006D775D" w:rsidRDefault="008D37A1" w:rsidP="008D37A1">
      <w:pPr>
        <w:pStyle w:val="Definition"/>
      </w:pPr>
      <w:r w:rsidRPr="006D775D">
        <w:rPr>
          <w:b/>
          <w:i/>
          <w:lang w:eastAsia="en-US"/>
        </w:rPr>
        <w:t>participate</w:t>
      </w:r>
      <w:r w:rsidRPr="006D775D">
        <w:t>, for a conference mentioned in the item, means participation that:</w:t>
      </w:r>
    </w:p>
    <w:p w:rsidR="00C5614B" w:rsidRPr="006D775D" w:rsidRDefault="008D37A1" w:rsidP="00C5614B">
      <w:pPr>
        <w:pStyle w:val="paragraph"/>
      </w:pPr>
      <w:r w:rsidRPr="006D775D">
        <w:tab/>
      </w:r>
      <w:r w:rsidR="00C5614B" w:rsidRPr="006D775D">
        <w:t>(a)</w:t>
      </w:r>
      <w:r w:rsidR="00C5614B" w:rsidRPr="006D775D">
        <w:tab/>
        <w:t>does not include organising and coordinating the conference; and</w:t>
      </w:r>
    </w:p>
    <w:p w:rsidR="00C5614B" w:rsidRPr="006D775D" w:rsidRDefault="00C5614B" w:rsidP="00C5614B">
      <w:pPr>
        <w:pStyle w:val="paragraph"/>
      </w:pPr>
      <w:r w:rsidRPr="006D775D">
        <w:tab/>
        <w:t>(b)</w:t>
      </w:r>
      <w:r w:rsidRPr="006D775D">
        <w:tab/>
        <w:t>involves undertaking all of the following activities in relation to the conference:</w:t>
      </w:r>
    </w:p>
    <w:p w:rsidR="00C5614B" w:rsidRPr="006D775D" w:rsidRDefault="00C5614B" w:rsidP="00C5614B">
      <w:pPr>
        <w:pStyle w:val="paragraphsub"/>
      </w:pPr>
      <w:r w:rsidRPr="006D775D">
        <w:tab/>
        <w:t>(i)</w:t>
      </w:r>
      <w:r w:rsidRPr="006D775D">
        <w:tab/>
        <w:t>explaining to the patient the nature of the conference;</w:t>
      </w:r>
    </w:p>
    <w:p w:rsidR="00C5614B" w:rsidRPr="006D775D" w:rsidRDefault="00C5614B" w:rsidP="00C5614B">
      <w:pPr>
        <w:pStyle w:val="paragraphsub"/>
      </w:pPr>
      <w:r w:rsidRPr="006D775D">
        <w:tab/>
        <w:t>(ii)</w:t>
      </w:r>
      <w:r w:rsidRPr="006D775D">
        <w:tab/>
        <w:t>asking the patient whether the patient agrees to the practitioner’s participation in the conference;</w:t>
      </w:r>
    </w:p>
    <w:p w:rsidR="00C5614B" w:rsidRPr="006D775D" w:rsidRDefault="00C5614B" w:rsidP="00C5614B">
      <w:pPr>
        <w:pStyle w:val="paragraphsub"/>
      </w:pPr>
      <w:r w:rsidRPr="006D775D">
        <w:tab/>
        <w:t>(iii)</w:t>
      </w:r>
      <w:r w:rsidRPr="006D775D">
        <w:tab/>
        <w:t>recording the patient’s agreement to the practitioner’s participation in the conference;</w:t>
      </w:r>
    </w:p>
    <w:p w:rsidR="00C5614B" w:rsidRPr="006D775D" w:rsidRDefault="00C5614B" w:rsidP="00C5614B">
      <w:pPr>
        <w:pStyle w:val="paragraphsub"/>
      </w:pPr>
      <w:r w:rsidRPr="006D775D">
        <w:tab/>
        <w:t>(iv)</w:t>
      </w:r>
      <w:r w:rsidRPr="006D775D">
        <w:tab/>
        <w:t>recording the day the conference was held and the times the conference started and ended;</w:t>
      </w:r>
    </w:p>
    <w:p w:rsidR="00C5614B" w:rsidRPr="006D775D" w:rsidRDefault="00C5614B" w:rsidP="00C5614B">
      <w:pPr>
        <w:pStyle w:val="paragraphsub"/>
      </w:pPr>
      <w:r w:rsidRPr="006D775D">
        <w:tab/>
        <w:t>(v)</w:t>
      </w:r>
      <w:r w:rsidRPr="006D775D">
        <w:tab/>
        <w:t>recording the names of the participants;</w:t>
      </w:r>
    </w:p>
    <w:p w:rsidR="008D37A1" w:rsidRPr="006D775D" w:rsidRDefault="00C5614B" w:rsidP="00C5614B">
      <w:pPr>
        <w:pStyle w:val="paragraphsub"/>
      </w:pPr>
      <w:r w:rsidRPr="006D775D">
        <w:tab/>
        <w:t>(vi)</w:t>
      </w:r>
      <w:r w:rsidRPr="006D775D">
        <w:tab/>
        <w:t xml:space="preserve">recording the activities mentioned in the definition of </w:t>
      </w:r>
      <w:r w:rsidRPr="006D775D">
        <w:rPr>
          <w:b/>
          <w:i/>
        </w:rPr>
        <w:t>multidisciplinary case conference</w:t>
      </w:r>
      <w:r w:rsidRPr="006D775D">
        <w:rPr>
          <w:i/>
        </w:rPr>
        <w:t xml:space="preserve"> </w:t>
      </w:r>
      <w:r w:rsidRPr="006D775D">
        <w:t>in clause</w:t>
      </w:r>
      <w:r w:rsidR="006D775D" w:rsidRPr="006D775D">
        <w:t> </w:t>
      </w:r>
      <w:r w:rsidRPr="006D775D">
        <w:t>1.1.2 and putting a copy of that record in the patient’s medical records.</w:t>
      </w:r>
    </w:p>
    <w:p w:rsidR="009D1E93" w:rsidRPr="006D775D" w:rsidRDefault="009D1E93" w:rsidP="009D1E93">
      <w:pPr>
        <w:pStyle w:val="ActHead5"/>
      </w:pPr>
      <w:bookmarkStart w:id="31" w:name="_Toc462386546"/>
      <w:r w:rsidRPr="006D775D">
        <w:rPr>
          <w:rStyle w:val="CharSectno"/>
        </w:rPr>
        <w:t>2.21B.</w:t>
      </w:r>
      <w:r w:rsidR="008D37A1" w:rsidRPr="006D775D">
        <w:rPr>
          <w:rStyle w:val="CharSectno"/>
        </w:rPr>
        <w:t>3</w:t>
      </w:r>
      <w:r w:rsidRPr="006D775D">
        <w:t xml:space="preserve">  Limitation of items</w:t>
      </w:r>
      <w:r w:rsidR="006D775D" w:rsidRPr="006D775D">
        <w:t> </w:t>
      </w:r>
      <w:r w:rsidRPr="006D775D">
        <w:t>6059 and 6060</w:t>
      </w:r>
      <w:bookmarkEnd w:id="31"/>
    </w:p>
    <w:p w:rsidR="009D1E93" w:rsidRPr="006D775D" w:rsidRDefault="009D1E93" w:rsidP="009D1E93">
      <w:pPr>
        <w:pStyle w:val="subsection"/>
      </w:pPr>
      <w:r w:rsidRPr="006D775D">
        <w:tab/>
      </w:r>
      <w:r w:rsidR="0009254A" w:rsidRPr="006D775D">
        <w:t>(1)</w:t>
      </w:r>
      <w:r w:rsidRPr="006D775D">
        <w:tab/>
        <w:t>Item</w:t>
      </w:r>
      <w:r w:rsidR="006D775D" w:rsidRPr="006D775D">
        <w:t> </w:t>
      </w:r>
      <w:r w:rsidRPr="006D775D">
        <w:t>6059 do</w:t>
      </w:r>
      <w:r w:rsidR="0009254A" w:rsidRPr="006D775D">
        <w:t>es</w:t>
      </w:r>
      <w:r w:rsidRPr="006D775D">
        <w:t xml:space="preserve"> not apply if the patient or </w:t>
      </w:r>
      <w:r w:rsidR="00985001" w:rsidRPr="006D775D">
        <w:t>sexual health medicine specialist</w:t>
      </w:r>
      <w:r w:rsidRPr="006D775D">
        <w:t xml:space="preserve"> travels to a place to satisfy the requirement in </w:t>
      </w:r>
      <w:r w:rsidR="006D775D" w:rsidRPr="006D775D">
        <w:t>sub</w:t>
      </w:r>
      <w:r w:rsidR="006D775D">
        <w:noBreakHyphen/>
      </w:r>
      <w:r w:rsidR="006D775D" w:rsidRPr="006D775D">
        <w:t>subparagraph (</w:t>
      </w:r>
      <w:r w:rsidR="003936D7" w:rsidRPr="006D775D">
        <w:t xml:space="preserve">c)(i)(B) </w:t>
      </w:r>
      <w:r w:rsidR="0009254A" w:rsidRPr="006D775D">
        <w:t>of the item</w:t>
      </w:r>
      <w:r w:rsidR="003936D7" w:rsidRPr="006D775D">
        <w:t>.</w:t>
      </w:r>
    </w:p>
    <w:p w:rsidR="0009254A" w:rsidRPr="006D775D" w:rsidRDefault="0009254A" w:rsidP="009D1E93">
      <w:pPr>
        <w:pStyle w:val="subsection"/>
      </w:pPr>
      <w:r w:rsidRPr="006D775D">
        <w:tab/>
        <w:t>(2)</w:t>
      </w:r>
      <w:r w:rsidRPr="006D775D">
        <w:tab/>
        <w:t>Item</w:t>
      </w:r>
      <w:r w:rsidR="006D775D" w:rsidRPr="006D775D">
        <w:t> </w:t>
      </w:r>
      <w:r w:rsidRPr="006D775D">
        <w:t xml:space="preserve">6060 does not apply if the patient or sexual health medicine specialist travels to a place to satisfy the requirement in </w:t>
      </w:r>
      <w:r w:rsidR="006D775D" w:rsidRPr="006D775D">
        <w:t>sub</w:t>
      </w:r>
      <w:r w:rsidR="006D775D">
        <w:noBreakHyphen/>
      </w:r>
      <w:r w:rsidR="006D775D" w:rsidRPr="006D775D">
        <w:t>subparagraph (</w:t>
      </w:r>
      <w:r w:rsidRPr="006D775D">
        <w:t>d)(i)(B) of the item.</w:t>
      </w:r>
    </w:p>
    <w:p w:rsidR="006E53AF" w:rsidRPr="006D775D" w:rsidRDefault="006E53AF" w:rsidP="009D1E93">
      <w:pPr>
        <w:pStyle w:val="Tabletext"/>
      </w:pPr>
    </w:p>
    <w:tbl>
      <w:tblPr>
        <w:tblW w:w="808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710"/>
        <w:gridCol w:w="5249"/>
        <w:gridCol w:w="845"/>
        <w:gridCol w:w="1276"/>
      </w:tblGrid>
      <w:tr w:rsidR="006E53AF" w:rsidRPr="006D775D" w:rsidTr="006E53AF">
        <w:trPr>
          <w:tblHeader/>
        </w:trPr>
        <w:tc>
          <w:tcPr>
            <w:tcW w:w="8080" w:type="dxa"/>
            <w:gridSpan w:val="4"/>
            <w:tcBorders>
              <w:top w:val="single" w:sz="12" w:space="0" w:color="auto"/>
              <w:bottom w:val="single" w:sz="6" w:space="0" w:color="auto"/>
            </w:tcBorders>
            <w:shd w:val="clear" w:color="auto" w:fill="auto"/>
            <w:hideMark/>
          </w:tcPr>
          <w:p w:rsidR="006E53AF" w:rsidRPr="006D775D" w:rsidRDefault="006E53AF" w:rsidP="006E53AF">
            <w:pPr>
              <w:pStyle w:val="TableHeading"/>
              <w:rPr>
                <w:highlight w:val="yellow"/>
              </w:rPr>
            </w:pPr>
            <w:r w:rsidRPr="006D775D">
              <w:t>Group A32—Sexual health medicine</w:t>
            </w:r>
          </w:p>
        </w:tc>
      </w:tr>
      <w:tr w:rsidR="006E53AF" w:rsidRPr="006D775D" w:rsidTr="00985001">
        <w:trPr>
          <w:tblHeader/>
        </w:trPr>
        <w:tc>
          <w:tcPr>
            <w:tcW w:w="710" w:type="dxa"/>
            <w:tcBorders>
              <w:top w:val="single" w:sz="6" w:space="0" w:color="auto"/>
              <w:bottom w:val="single" w:sz="12" w:space="0" w:color="auto"/>
            </w:tcBorders>
            <w:shd w:val="clear" w:color="auto" w:fill="auto"/>
            <w:hideMark/>
          </w:tcPr>
          <w:p w:rsidR="006E53AF" w:rsidRPr="006D775D" w:rsidRDefault="006E53AF" w:rsidP="006E53AF">
            <w:pPr>
              <w:pStyle w:val="TableHeading"/>
            </w:pPr>
            <w:r w:rsidRPr="006D775D">
              <w:t>Item</w:t>
            </w:r>
          </w:p>
        </w:tc>
        <w:tc>
          <w:tcPr>
            <w:tcW w:w="5249" w:type="dxa"/>
            <w:tcBorders>
              <w:top w:val="single" w:sz="6" w:space="0" w:color="auto"/>
              <w:bottom w:val="single" w:sz="12" w:space="0" w:color="auto"/>
            </w:tcBorders>
            <w:shd w:val="clear" w:color="auto" w:fill="auto"/>
            <w:hideMark/>
          </w:tcPr>
          <w:p w:rsidR="006E53AF" w:rsidRPr="006D775D" w:rsidRDefault="006E53AF" w:rsidP="006E53AF">
            <w:pPr>
              <w:pStyle w:val="TableHeading"/>
            </w:pPr>
            <w:r w:rsidRPr="006D775D">
              <w:t>Description</w:t>
            </w:r>
          </w:p>
        </w:tc>
        <w:tc>
          <w:tcPr>
            <w:tcW w:w="2121" w:type="dxa"/>
            <w:gridSpan w:val="2"/>
            <w:tcBorders>
              <w:top w:val="single" w:sz="6" w:space="0" w:color="auto"/>
              <w:bottom w:val="single" w:sz="12" w:space="0" w:color="auto"/>
            </w:tcBorders>
            <w:shd w:val="clear" w:color="auto" w:fill="auto"/>
            <w:hideMark/>
          </w:tcPr>
          <w:p w:rsidR="006E53AF" w:rsidRPr="006D775D" w:rsidRDefault="006E53AF" w:rsidP="006E53AF">
            <w:pPr>
              <w:pStyle w:val="TableHeading"/>
              <w:jc w:val="right"/>
              <w:rPr>
                <w:highlight w:val="yellow"/>
              </w:rPr>
            </w:pPr>
            <w:r w:rsidRPr="006D775D">
              <w:t>Fee ($)</w:t>
            </w:r>
          </w:p>
        </w:tc>
      </w:tr>
      <w:tr w:rsidR="006E53AF" w:rsidRPr="006D775D" w:rsidTr="006E53AF">
        <w:tc>
          <w:tcPr>
            <w:tcW w:w="8080" w:type="dxa"/>
            <w:gridSpan w:val="4"/>
            <w:tcBorders>
              <w:top w:val="single" w:sz="12" w:space="0" w:color="auto"/>
            </w:tcBorders>
            <w:shd w:val="clear" w:color="auto" w:fill="auto"/>
            <w:hideMark/>
          </w:tcPr>
          <w:p w:rsidR="006E53AF" w:rsidRPr="006D775D" w:rsidRDefault="006E53AF" w:rsidP="006E53AF">
            <w:pPr>
              <w:pStyle w:val="TableHeading"/>
              <w:rPr>
                <w:highlight w:val="yellow"/>
              </w:rPr>
            </w:pPr>
            <w:r w:rsidRPr="006D775D">
              <w:t>Subgroup 1—Sexual health medicine attendances</w:t>
            </w:r>
          </w:p>
        </w:tc>
      </w:tr>
      <w:tr w:rsidR="006E53AF" w:rsidRPr="006D775D" w:rsidTr="00293B87">
        <w:tc>
          <w:tcPr>
            <w:tcW w:w="710" w:type="dxa"/>
            <w:shd w:val="clear" w:color="auto" w:fill="auto"/>
            <w:hideMark/>
          </w:tcPr>
          <w:p w:rsidR="006E53AF" w:rsidRPr="006D775D" w:rsidRDefault="006E53AF" w:rsidP="006E53AF">
            <w:pPr>
              <w:pStyle w:val="Tabletext"/>
              <w:rPr>
                <w:snapToGrid w:val="0"/>
                <w:highlight w:val="yellow"/>
              </w:rPr>
            </w:pPr>
            <w:r w:rsidRPr="006D775D">
              <w:rPr>
                <w:snapToGrid w:val="0"/>
              </w:rPr>
              <w:t>6051</w:t>
            </w:r>
          </w:p>
        </w:tc>
        <w:tc>
          <w:tcPr>
            <w:tcW w:w="6094" w:type="dxa"/>
            <w:gridSpan w:val="2"/>
            <w:shd w:val="clear" w:color="auto" w:fill="auto"/>
            <w:hideMark/>
          </w:tcPr>
          <w:p w:rsidR="00120392" w:rsidRPr="006D775D" w:rsidRDefault="00B659C6" w:rsidP="00120392">
            <w:pPr>
              <w:pStyle w:val="Tabletext"/>
            </w:pPr>
            <w:r w:rsidRPr="006D775D">
              <w:t xml:space="preserve">Professional attendance by a sexual health medicine specialist in the practice of </w:t>
            </w:r>
            <w:r w:rsidR="00621F99" w:rsidRPr="006D775D">
              <w:t>his or her</w:t>
            </w:r>
            <w:r w:rsidRPr="006D775D">
              <w:t xml:space="preserve"> specialty following referral of the patient to him or her by a referring practitioner, </w:t>
            </w:r>
            <w:r w:rsidR="00120392" w:rsidRPr="006D775D">
              <w:t>if the attendance:</w:t>
            </w:r>
          </w:p>
          <w:p w:rsidR="00120392" w:rsidRPr="006D775D" w:rsidRDefault="00120392" w:rsidP="00120392">
            <w:pPr>
              <w:pStyle w:val="Tablea"/>
            </w:pPr>
            <w:r w:rsidRPr="006D775D">
              <w:t>(a) includes a comprehensive assessment; and</w:t>
            </w:r>
          </w:p>
          <w:p w:rsidR="006E53AF" w:rsidRPr="006D775D" w:rsidRDefault="00120392" w:rsidP="00A20E7E">
            <w:pPr>
              <w:pStyle w:val="Tablea"/>
              <w:rPr>
                <w:snapToGrid w:val="0"/>
                <w:highlight w:val="yellow"/>
              </w:rPr>
            </w:pPr>
            <w:r w:rsidRPr="006D775D">
              <w:t>(b) is the first or only time in a single course of treatment that a comprehensive assessment is provided</w:t>
            </w:r>
          </w:p>
        </w:tc>
        <w:tc>
          <w:tcPr>
            <w:tcW w:w="1276" w:type="dxa"/>
            <w:shd w:val="clear" w:color="auto" w:fill="auto"/>
            <w:hideMark/>
          </w:tcPr>
          <w:p w:rsidR="006E53AF" w:rsidRPr="006D775D" w:rsidRDefault="006E53AF" w:rsidP="006E53AF">
            <w:pPr>
              <w:pStyle w:val="Tabletext"/>
              <w:jc w:val="right"/>
            </w:pPr>
            <w:r w:rsidRPr="006D775D">
              <w:t>150.90</w:t>
            </w:r>
          </w:p>
        </w:tc>
      </w:tr>
      <w:tr w:rsidR="006E53AF" w:rsidRPr="006D775D" w:rsidTr="00293B87">
        <w:tc>
          <w:tcPr>
            <w:tcW w:w="710" w:type="dxa"/>
            <w:shd w:val="clear" w:color="auto" w:fill="auto"/>
          </w:tcPr>
          <w:p w:rsidR="006E53AF" w:rsidRPr="006D775D" w:rsidRDefault="002563E9" w:rsidP="006E53AF">
            <w:pPr>
              <w:pStyle w:val="Tabletext"/>
              <w:rPr>
                <w:snapToGrid w:val="0"/>
              </w:rPr>
            </w:pPr>
            <w:r w:rsidRPr="006D775D">
              <w:rPr>
                <w:snapToGrid w:val="0"/>
              </w:rPr>
              <w:t>6052</w:t>
            </w:r>
          </w:p>
          <w:p w:rsidR="006E53AF" w:rsidRPr="006D775D" w:rsidRDefault="006E53AF" w:rsidP="006E53AF">
            <w:pPr>
              <w:keepNext/>
              <w:keepLines/>
              <w:jc w:val="right"/>
            </w:pPr>
          </w:p>
        </w:tc>
        <w:tc>
          <w:tcPr>
            <w:tcW w:w="6094" w:type="dxa"/>
            <w:gridSpan w:val="2"/>
            <w:shd w:val="clear" w:color="auto" w:fill="auto"/>
            <w:hideMark/>
          </w:tcPr>
          <w:p w:rsidR="00FA7E53" w:rsidRPr="006D775D" w:rsidRDefault="00B659C6" w:rsidP="00FA7E53">
            <w:pPr>
              <w:pStyle w:val="Tabletext"/>
            </w:pPr>
            <w:r w:rsidRPr="006D775D">
              <w:t xml:space="preserve">Professional attendance by a sexual health medicine specialist in the practice of </w:t>
            </w:r>
            <w:r w:rsidR="00554577" w:rsidRPr="006D775D">
              <w:t>his or her</w:t>
            </w:r>
            <w:r w:rsidRPr="006D775D">
              <w:t xml:space="preserve"> specialty following referral of the patient to him or her by a referring practitioner, </w:t>
            </w:r>
            <w:r w:rsidR="00FA7E53" w:rsidRPr="006D775D">
              <w:t>if the attendance is a patient assessment:</w:t>
            </w:r>
          </w:p>
          <w:p w:rsidR="00FA7E53" w:rsidRPr="006D775D" w:rsidRDefault="00FA7E53" w:rsidP="00FA7E53">
            <w:pPr>
              <w:pStyle w:val="Tablea"/>
            </w:pPr>
            <w:r w:rsidRPr="006D775D">
              <w:t>(a) before or after a comprehensive assessment under item</w:t>
            </w:r>
            <w:r w:rsidR="006D775D" w:rsidRPr="006D775D">
              <w:t> </w:t>
            </w:r>
            <w:r w:rsidRPr="006D775D">
              <w:t>6051 in a single course of treatment; or</w:t>
            </w:r>
          </w:p>
          <w:p w:rsidR="00FA7E53" w:rsidRPr="006D775D" w:rsidRDefault="00FA7E53" w:rsidP="00FA7E53">
            <w:pPr>
              <w:pStyle w:val="Tablea"/>
            </w:pPr>
            <w:r w:rsidRPr="006D775D">
              <w:t>(b) that follows an initial assessment under item</w:t>
            </w:r>
            <w:r w:rsidR="006D775D" w:rsidRPr="006D775D">
              <w:t> </w:t>
            </w:r>
            <w:r w:rsidRPr="006D775D">
              <w:t>6057 in a single course of treatment; or</w:t>
            </w:r>
          </w:p>
          <w:p w:rsidR="006E53AF" w:rsidRPr="006D775D" w:rsidRDefault="00FA7E53" w:rsidP="00FA7E53">
            <w:pPr>
              <w:pStyle w:val="Tablea"/>
              <w:rPr>
                <w:snapToGrid w:val="0"/>
              </w:rPr>
            </w:pPr>
            <w:r w:rsidRPr="006D775D">
              <w:t>(c) that follows a review under item</w:t>
            </w:r>
            <w:r w:rsidR="006D775D" w:rsidRPr="006D775D">
              <w:t> </w:t>
            </w:r>
            <w:r w:rsidRPr="006D775D">
              <w:t>6058 in a single course of treatment</w:t>
            </w:r>
          </w:p>
        </w:tc>
        <w:tc>
          <w:tcPr>
            <w:tcW w:w="1276" w:type="dxa"/>
            <w:shd w:val="clear" w:color="auto" w:fill="auto"/>
            <w:hideMark/>
          </w:tcPr>
          <w:p w:rsidR="006E53AF" w:rsidRPr="006D775D" w:rsidRDefault="006E53AF" w:rsidP="006E53AF">
            <w:pPr>
              <w:pStyle w:val="Tabletext"/>
              <w:jc w:val="right"/>
            </w:pPr>
            <w:r w:rsidRPr="006D775D">
              <w:t>75.50</w:t>
            </w:r>
          </w:p>
        </w:tc>
      </w:tr>
      <w:tr w:rsidR="006E53AF" w:rsidRPr="006D775D" w:rsidTr="00293B87">
        <w:tc>
          <w:tcPr>
            <w:tcW w:w="710" w:type="dxa"/>
            <w:shd w:val="clear" w:color="auto" w:fill="auto"/>
            <w:hideMark/>
          </w:tcPr>
          <w:p w:rsidR="006E53AF" w:rsidRPr="006D775D" w:rsidRDefault="006E53AF" w:rsidP="007F7562">
            <w:pPr>
              <w:pStyle w:val="Tabletext"/>
              <w:rPr>
                <w:snapToGrid w:val="0"/>
              </w:rPr>
            </w:pPr>
            <w:r w:rsidRPr="006D775D">
              <w:rPr>
                <w:snapToGrid w:val="0"/>
              </w:rPr>
              <w:t>60</w:t>
            </w:r>
            <w:r w:rsidR="007F7562" w:rsidRPr="006D775D">
              <w:rPr>
                <w:snapToGrid w:val="0"/>
              </w:rPr>
              <w:t>57</w:t>
            </w:r>
          </w:p>
        </w:tc>
        <w:tc>
          <w:tcPr>
            <w:tcW w:w="6094" w:type="dxa"/>
            <w:gridSpan w:val="2"/>
            <w:shd w:val="clear" w:color="auto" w:fill="auto"/>
            <w:hideMark/>
          </w:tcPr>
          <w:p w:rsidR="00B659C6" w:rsidRPr="006D775D" w:rsidRDefault="00B659C6" w:rsidP="00B659C6">
            <w:pPr>
              <w:pStyle w:val="Tabletext"/>
            </w:pPr>
            <w:r w:rsidRPr="006D775D">
              <w:t xml:space="preserve">Professional attendance by a sexual health medicine specialist in the practice of </w:t>
            </w:r>
            <w:r w:rsidR="00554577" w:rsidRPr="006D775D">
              <w:t>his or her</w:t>
            </w:r>
            <w:r w:rsidRPr="006D775D">
              <w:t xml:space="preserve"> specialty of at least 45 minutes for an initial assessment of a patient with at least 2 morbidities, following referral of the patient to him or her by a referring practitioner, if:</w:t>
            </w:r>
          </w:p>
          <w:p w:rsidR="00B659C6" w:rsidRPr="006D775D" w:rsidRDefault="00B659C6" w:rsidP="00B659C6">
            <w:pPr>
              <w:pStyle w:val="Tablea"/>
            </w:pPr>
            <w:r w:rsidRPr="006D775D">
              <w:t>(a) an assessment is undertaken that covers:</w:t>
            </w:r>
          </w:p>
          <w:p w:rsidR="00B659C6" w:rsidRPr="006D775D" w:rsidRDefault="00B659C6" w:rsidP="00B659C6">
            <w:pPr>
              <w:pStyle w:val="Tablei"/>
            </w:pPr>
            <w:r w:rsidRPr="006D775D">
              <w:t xml:space="preserve">(i) a comprehensive history, including psychosocial history and medication review; </w:t>
            </w:r>
            <w:r w:rsidR="00EA57DF" w:rsidRPr="006D775D">
              <w:t>and</w:t>
            </w:r>
          </w:p>
          <w:p w:rsidR="00B659C6" w:rsidRPr="006D775D" w:rsidRDefault="00B659C6" w:rsidP="00B659C6">
            <w:pPr>
              <w:pStyle w:val="Tablei"/>
            </w:pPr>
            <w:r w:rsidRPr="006D775D">
              <w:t xml:space="preserve">(ii) </w:t>
            </w:r>
            <w:r w:rsidR="00FA7E53" w:rsidRPr="006D775D">
              <w:t xml:space="preserve">a </w:t>
            </w:r>
            <w:r w:rsidRPr="006D775D">
              <w:t xml:space="preserve">comprehensive multi or detailed single organ system assessment; </w:t>
            </w:r>
            <w:r w:rsidR="00EA57DF" w:rsidRPr="006D775D">
              <w:t>and</w:t>
            </w:r>
          </w:p>
          <w:p w:rsidR="00B659C6" w:rsidRPr="006D775D" w:rsidRDefault="00B659C6" w:rsidP="00B659C6">
            <w:pPr>
              <w:pStyle w:val="Tablei"/>
            </w:pPr>
            <w:r w:rsidRPr="006D775D">
              <w:t>(iii) the formulation of differential diagnoses; and</w:t>
            </w:r>
          </w:p>
          <w:p w:rsidR="00B659C6" w:rsidRPr="006D775D" w:rsidRDefault="00B659C6" w:rsidP="00B659C6">
            <w:pPr>
              <w:pStyle w:val="Tablea"/>
            </w:pPr>
            <w:r w:rsidRPr="006D775D">
              <w:t xml:space="preserve">(b) a sexual health medicine specialist treatment and management plan of significant complexity </w:t>
            </w:r>
            <w:r w:rsidR="00FA7E53" w:rsidRPr="006D775D">
              <w:t>that includes the following is prepared and provided to the referring practitioner:</w:t>
            </w:r>
          </w:p>
          <w:p w:rsidR="00B659C6" w:rsidRPr="006D775D" w:rsidRDefault="00B659C6" w:rsidP="00B659C6">
            <w:pPr>
              <w:pStyle w:val="Tablei"/>
            </w:pPr>
            <w:r w:rsidRPr="006D775D">
              <w:t>(i) an opinion on diagnosis and risk assessment;</w:t>
            </w:r>
          </w:p>
          <w:p w:rsidR="00B659C6" w:rsidRPr="006D775D" w:rsidRDefault="00B659C6" w:rsidP="00B659C6">
            <w:pPr>
              <w:pStyle w:val="Tablei"/>
            </w:pPr>
            <w:r w:rsidRPr="006D775D">
              <w:t>(ii) treatment options and decisions;</w:t>
            </w:r>
          </w:p>
          <w:p w:rsidR="00B659C6" w:rsidRPr="006D775D" w:rsidRDefault="00B659C6" w:rsidP="00B659C6">
            <w:pPr>
              <w:pStyle w:val="Tablei"/>
            </w:pPr>
            <w:r w:rsidRPr="006D775D">
              <w:t>(iii) medication recommendations;</w:t>
            </w:r>
            <w:r w:rsidR="00FA7E53" w:rsidRPr="006D775D">
              <w:t xml:space="preserve"> and</w:t>
            </w:r>
          </w:p>
          <w:p w:rsidR="00B659C6" w:rsidRPr="006D775D" w:rsidRDefault="00B659C6" w:rsidP="00B659C6">
            <w:pPr>
              <w:pStyle w:val="Tablea"/>
            </w:pPr>
            <w:r w:rsidRPr="006D775D">
              <w:t>(c) an attendance on the patient</w:t>
            </w:r>
            <w:r w:rsidR="00FA7E53" w:rsidRPr="006D775D">
              <w:t xml:space="preserve"> </w:t>
            </w:r>
            <w:r w:rsidRPr="006D775D">
              <w:t>to which item</w:t>
            </w:r>
            <w:r w:rsidR="006D775D" w:rsidRPr="006D775D">
              <w:t> </w:t>
            </w:r>
            <w:r w:rsidRPr="006D775D">
              <w:t>104, 105, 110, 116, 119, 132, 133, 60</w:t>
            </w:r>
            <w:r w:rsidR="00554577" w:rsidRPr="006D775D">
              <w:t>51</w:t>
            </w:r>
            <w:r w:rsidRPr="006D775D">
              <w:t xml:space="preserve"> or 60</w:t>
            </w:r>
            <w:r w:rsidR="00554577" w:rsidRPr="006D775D">
              <w:t>52</w:t>
            </w:r>
            <w:r w:rsidRPr="006D775D">
              <w:t xml:space="preserve"> applies did not take place on the same day by the same sexual health medicine specialist; and</w:t>
            </w:r>
          </w:p>
          <w:p w:rsidR="006E53AF" w:rsidRPr="006D775D" w:rsidRDefault="00B659C6" w:rsidP="008166DF">
            <w:pPr>
              <w:pStyle w:val="Tablea"/>
              <w:rPr>
                <w:snapToGrid w:val="0"/>
              </w:rPr>
            </w:pPr>
            <w:r w:rsidRPr="006D775D">
              <w:t>(d) neither this item nor item</w:t>
            </w:r>
            <w:r w:rsidR="006D775D" w:rsidRPr="006D775D">
              <w:t> </w:t>
            </w:r>
            <w:r w:rsidRPr="006D775D">
              <w:t>132 has applied to an attendance on the patient in the preceding 12 months by the same sexual health medicine specialist</w:t>
            </w:r>
          </w:p>
        </w:tc>
        <w:tc>
          <w:tcPr>
            <w:tcW w:w="1276" w:type="dxa"/>
            <w:shd w:val="clear" w:color="auto" w:fill="auto"/>
            <w:hideMark/>
          </w:tcPr>
          <w:p w:rsidR="006E53AF" w:rsidRPr="006D775D" w:rsidRDefault="006E53AF" w:rsidP="006E53AF">
            <w:pPr>
              <w:pStyle w:val="Tabletext"/>
              <w:jc w:val="right"/>
            </w:pPr>
            <w:r w:rsidRPr="006D775D">
              <w:t>263.90</w:t>
            </w:r>
          </w:p>
        </w:tc>
      </w:tr>
      <w:tr w:rsidR="006E53AF" w:rsidRPr="006D775D" w:rsidTr="00293B87">
        <w:tc>
          <w:tcPr>
            <w:tcW w:w="710" w:type="dxa"/>
            <w:shd w:val="clear" w:color="auto" w:fill="auto"/>
            <w:hideMark/>
          </w:tcPr>
          <w:p w:rsidR="006E53AF" w:rsidRPr="006D775D" w:rsidRDefault="006E53AF" w:rsidP="007F7562">
            <w:pPr>
              <w:pStyle w:val="Tabletext"/>
              <w:rPr>
                <w:snapToGrid w:val="0"/>
              </w:rPr>
            </w:pPr>
            <w:r w:rsidRPr="006D775D">
              <w:rPr>
                <w:snapToGrid w:val="0"/>
              </w:rPr>
              <w:t>60</w:t>
            </w:r>
            <w:r w:rsidR="007F7562" w:rsidRPr="006D775D">
              <w:rPr>
                <w:snapToGrid w:val="0"/>
              </w:rPr>
              <w:t>58</w:t>
            </w:r>
          </w:p>
        </w:tc>
        <w:tc>
          <w:tcPr>
            <w:tcW w:w="6094" w:type="dxa"/>
            <w:gridSpan w:val="2"/>
            <w:shd w:val="clear" w:color="auto" w:fill="auto"/>
            <w:hideMark/>
          </w:tcPr>
          <w:p w:rsidR="00F921F0" w:rsidRPr="006D775D" w:rsidRDefault="00F921F0" w:rsidP="00F921F0">
            <w:pPr>
              <w:pStyle w:val="Tabletext"/>
            </w:pPr>
            <w:r w:rsidRPr="006D775D">
              <w:t>Professional attendance by sexual health medicine specialist in the practice of his or her specialty of at least 20 minutes after the first attendance in a single course of treatment for a review of a patient with at least 2 morbidities</w:t>
            </w:r>
            <w:r w:rsidR="001A6441" w:rsidRPr="006D775D">
              <w:t xml:space="preserve"> </w:t>
            </w:r>
            <w:r w:rsidRPr="006D775D">
              <w:t>if:</w:t>
            </w:r>
          </w:p>
          <w:p w:rsidR="00F921F0" w:rsidRPr="006D775D" w:rsidRDefault="00F921F0" w:rsidP="00F921F0">
            <w:pPr>
              <w:pStyle w:val="Tablea"/>
            </w:pPr>
            <w:r w:rsidRPr="006D775D">
              <w:t>(a) a review is undertaken that covers:</w:t>
            </w:r>
          </w:p>
          <w:p w:rsidR="00F921F0" w:rsidRPr="006D775D" w:rsidRDefault="00F921F0" w:rsidP="00F921F0">
            <w:pPr>
              <w:pStyle w:val="Tablei"/>
            </w:pPr>
            <w:r w:rsidRPr="006D775D">
              <w:t>(i) review of initial presenting problems and results of diagnostic investigations; and</w:t>
            </w:r>
          </w:p>
          <w:p w:rsidR="00F921F0" w:rsidRPr="006D775D" w:rsidRDefault="00F921F0" w:rsidP="00F921F0">
            <w:pPr>
              <w:pStyle w:val="Tablei"/>
            </w:pPr>
            <w:r w:rsidRPr="006D775D">
              <w:t>(ii) review of responses to treatment and medication plans initiated at time of initial consultation; and</w:t>
            </w:r>
          </w:p>
          <w:p w:rsidR="00F921F0" w:rsidRPr="006D775D" w:rsidRDefault="00F921F0" w:rsidP="00F921F0">
            <w:pPr>
              <w:pStyle w:val="Tablei"/>
            </w:pPr>
            <w:r w:rsidRPr="006D775D">
              <w:t>(iii) comprehensive multi or detailed single organ system assessment; and</w:t>
            </w:r>
          </w:p>
          <w:p w:rsidR="00F921F0" w:rsidRPr="006D775D" w:rsidRDefault="00F921F0" w:rsidP="00F921F0">
            <w:pPr>
              <w:pStyle w:val="Tablei"/>
            </w:pPr>
            <w:r w:rsidRPr="006D775D">
              <w:t>(iv) review of original and differential diagnoses; and</w:t>
            </w:r>
          </w:p>
          <w:p w:rsidR="00F921F0" w:rsidRPr="006D775D" w:rsidRDefault="00F921F0" w:rsidP="00F921F0">
            <w:pPr>
              <w:pStyle w:val="Tablea"/>
            </w:pPr>
            <w:r w:rsidRPr="006D775D">
              <w:t>(b) the modified sexual health medicine specialist treatment and management plan is provided to the referring practitioner, which involves, if appropriate:</w:t>
            </w:r>
          </w:p>
          <w:p w:rsidR="00F921F0" w:rsidRPr="006D775D" w:rsidRDefault="00F921F0" w:rsidP="00F921F0">
            <w:pPr>
              <w:pStyle w:val="Tablei"/>
            </w:pPr>
            <w:r w:rsidRPr="006D775D">
              <w:t>(i) a revised opinion on diagnosis and risk assessment; and</w:t>
            </w:r>
          </w:p>
          <w:p w:rsidR="00F921F0" w:rsidRPr="006D775D" w:rsidRDefault="00F921F0" w:rsidP="00F921F0">
            <w:pPr>
              <w:pStyle w:val="Tablei"/>
            </w:pPr>
            <w:r w:rsidRPr="006D775D">
              <w:t>(ii) treatment options and decisions; and</w:t>
            </w:r>
          </w:p>
          <w:p w:rsidR="00B659C6" w:rsidRPr="006D775D" w:rsidRDefault="00F921F0" w:rsidP="00F921F0">
            <w:pPr>
              <w:pStyle w:val="Tablei"/>
            </w:pPr>
            <w:r w:rsidRPr="006D775D">
              <w:t>(iii) revised medication recommendations; and</w:t>
            </w:r>
          </w:p>
          <w:p w:rsidR="00B659C6" w:rsidRPr="006D775D" w:rsidRDefault="00B659C6" w:rsidP="00B659C6">
            <w:pPr>
              <w:pStyle w:val="Tablea"/>
            </w:pPr>
            <w:r w:rsidRPr="006D775D">
              <w:t>(c) an attendance on the patient</w:t>
            </w:r>
            <w:r w:rsidR="00304055" w:rsidRPr="006D775D">
              <w:t>, being an attendance</w:t>
            </w:r>
            <w:r w:rsidRPr="006D775D">
              <w:t xml:space="preserve"> to which item</w:t>
            </w:r>
            <w:r w:rsidR="006D775D" w:rsidRPr="006D775D">
              <w:t> </w:t>
            </w:r>
            <w:r w:rsidRPr="006D775D">
              <w:t>104, 105, 110, 116, 119, 132, 133, 60</w:t>
            </w:r>
            <w:r w:rsidR="008166DF" w:rsidRPr="006D775D">
              <w:t>51</w:t>
            </w:r>
            <w:r w:rsidRPr="006D775D">
              <w:t xml:space="preserve"> or 60</w:t>
            </w:r>
            <w:r w:rsidR="008166DF" w:rsidRPr="006D775D">
              <w:t>52</w:t>
            </w:r>
            <w:r w:rsidRPr="006D775D">
              <w:t xml:space="preserve"> applies did not take place on the same day by the same </w:t>
            </w:r>
            <w:r w:rsidR="00304055" w:rsidRPr="006D775D">
              <w:t>sexual health medicine specialist</w:t>
            </w:r>
            <w:r w:rsidRPr="006D775D">
              <w:t>; and</w:t>
            </w:r>
          </w:p>
          <w:p w:rsidR="00B25E9D" w:rsidRPr="006D775D" w:rsidRDefault="00B25E9D" w:rsidP="00B25E9D">
            <w:pPr>
              <w:pStyle w:val="Tablea"/>
            </w:pPr>
            <w:r w:rsidRPr="006D775D">
              <w:t>(d) item</w:t>
            </w:r>
            <w:r w:rsidR="006D775D" w:rsidRPr="006D775D">
              <w:t> </w:t>
            </w:r>
            <w:r w:rsidRPr="006D775D">
              <w:t>6057 applied to an attendance claimed in the preceding 12 months; and</w:t>
            </w:r>
          </w:p>
          <w:p w:rsidR="00B25E9D" w:rsidRPr="006D775D" w:rsidRDefault="00B25E9D" w:rsidP="00B25E9D">
            <w:pPr>
              <w:pStyle w:val="Tablea"/>
            </w:pPr>
            <w:r w:rsidRPr="006D775D">
              <w:t xml:space="preserve">(e) the attendance under this item is claimed by the same </w:t>
            </w:r>
            <w:r w:rsidR="000631A6" w:rsidRPr="006D775D">
              <w:t>sexual health</w:t>
            </w:r>
            <w:r w:rsidRPr="006D775D">
              <w:t xml:space="preserve"> medicine specialist who claimed item</w:t>
            </w:r>
            <w:r w:rsidR="006D775D" w:rsidRPr="006D775D">
              <w:t> </w:t>
            </w:r>
            <w:r w:rsidRPr="006D775D">
              <w:t>6057 or by a locum tenens; and</w:t>
            </w:r>
          </w:p>
          <w:p w:rsidR="006E53AF" w:rsidRPr="006D775D" w:rsidRDefault="00B25E9D" w:rsidP="00B25E9D">
            <w:pPr>
              <w:pStyle w:val="Tablea"/>
              <w:rPr>
                <w:snapToGrid w:val="0"/>
              </w:rPr>
            </w:pPr>
            <w:r w:rsidRPr="006D775D">
              <w:t>(f) this item has not applied more than twice in any 12 month period</w:t>
            </w:r>
          </w:p>
        </w:tc>
        <w:tc>
          <w:tcPr>
            <w:tcW w:w="1276" w:type="dxa"/>
            <w:shd w:val="clear" w:color="auto" w:fill="auto"/>
            <w:hideMark/>
          </w:tcPr>
          <w:p w:rsidR="006E53AF" w:rsidRPr="006D775D" w:rsidRDefault="006E53AF" w:rsidP="006E53AF">
            <w:pPr>
              <w:pStyle w:val="Tabletext"/>
              <w:jc w:val="right"/>
            </w:pPr>
            <w:r w:rsidRPr="006D775D">
              <w:t>132.10</w:t>
            </w:r>
          </w:p>
        </w:tc>
      </w:tr>
      <w:tr w:rsidR="006E53AF" w:rsidRPr="006D775D" w:rsidTr="00293B87">
        <w:tc>
          <w:tcPr>
            <w:tcW w:w="710" w:type="dxa"/>
            <w:shd w:val="clear" w:color="auto" w:fill="auto"/>
            <w:hideMark/>
          </w:tcPr>
          <w:p w:rsidR="006E53AF" w:rsidRPr="006D775D" w:rsidRDefault="006E53AF" w:rsidP="007F7562">
            <w:pPr>
              <w:pStyle w:val="Tabletext"/>
            </w:pPr>
            <w:r w:rsidRPr="006D775D">
              <w:t>60</w:t>
            </w:r>
            <w:r w:rsidR="007F7562" w:rsidRPr="006D775D">
              <w:t>59</w:t>
            </w:r>
          </w:p>
        </w:tc>
        <w:tc>
          <w:tcPr>
            <w:tcW w:w="6094" w:type="dxa"/>
            <w:gridSpan w:val="2"/>
            <w:shd w:val="clear" w:color="auto" w:fill="auto"/>
            <w:hideMark/>
          </w:tcPr>
          <w:p w:rsidR="00B659C6" w:rsidRPr="006D775D" w:rsidRDefault="00B659C6" w:rsidP="00B659C6">
            <w:pPr>
              <w:pStyle w:val="Tabletext"/>
            </w:pPr>
            <w:r w:rsidRPr="006D775D">
              <w:t xml:space="preserve">Initial professional attendance of 10 minutes or less, on a patient by a sexual health medicine specialist </w:t>
            </w:r>
            <w:r w:rsidR="00FA7E53" w:rsidRPr="006D775D">
              <w:t xml:space="preserve">in the practice of </w:t>
            </w:r>
            <w:r w:rsidR="008166DF" w:rsidRPr="006D775D">
              <w:t>his or her</w:t>
            </w:r>
            <w:r w:rsidRPr="006D775D">
              <w:t xml:space="preserve"> specialty</w:t>
            </w:r>
            <w:r w:rsidR="008166DF" w:rsidRPr="006D775D">
              <w:t>,</w:t>
            </w:r>
            <w:r w:rsidRPr="006D775D">
              <w:t xml:space="preserve"> if:</w:t>
            </w:r>
          </w:p>
          <w:p w:rsidR="00B659C6" w:rsidRPr="006D775D" w:rsidRDefault="00B659C6" w:rsidP="00B659C6">
            <w:pPr>
              <w:pStyle w:val="Tablea"/>
            </w:pPr>
            <w:r w:rsidRPr="006D775D">
              <w:t>(a) the attendance is by video conference; and</w:t>
            </w:r>
          </w:p>
          <w:p w:rsidR="00B659C6" w:rsidRPr="006D775D" w:rsidRDefault="00B659C6" w:rsidP="00B659C6">
            <w:pPr>
              <w:pStyle w:val="Tablea"/>
            </w:pPr>
            <w:r w:rsidRPr="006D775D">
              <w:t>(b) the patient is not an admitted patient; and</w:t>
            </w:r>
          </w:p>
          <w:p w:rsidR="00B659C6" w:rsidRPr="006D775D" w:rsidRDefault="00B659C6" w:rsidP="00B659C6">
            <w:pPr>
              <w:pStyle w:val="Tablea"/>
            </w:pPr>
            <w:r w:rsidRPr="006D775D">
              <w:t>(c) the patient:</w:t>
            </w:r>
          </w:p>
          <w:p w:rsidR="00B659C6" w:rsidRPr="006D775D" w:rsidRDefault="00B659C6" w:rsidP="00B659C6">
            <w:pPr>
              <w:pStyle w:val="Tablei"/>
            </w:pPr>
            <w:r w:rsidRPr="006D775D">
              <w:t>(i) is located both:</w:t>
            </w:r>
          </w:p>
          <w:p w:rsidR="00B659C6" w:rsidRPr="006D775D" w:rsidRDefault="00B659C6" w:rsidP="00B659C6">
            <w:pPr>
              <w:pStyle w:val="TableAA"/>
            </w:pPr>
            <w:r w:rsidRPr="006D775D">
              <w:t>(A) within a telehealth eligible area; and</w:t>
            </w:r>
          </w:p>
          <w:p w:rsidR="00B659C6" w:rsidRPr="006D775D" w:rsidRDefault="00B659C6" w:rsidP="00B659C6">
            <w:pPr>
              <w:pStyle w:val="TableAA"/>
            </w:pPr>
            <w:r w:rsidRPr="006D775D">
              <w:t>(B) at the time of the attendance—at least 15 km by road from the sexual health medicine specialist; or</w:t>
            </w:r>
          </w:p>
          <w:p w:rsidR="00B659C6" w:rsidRPr="006D775D" w:rsidRDefault="00B659C6" w:rsidP="00B659C6">
            <w:pPr>
              <w:pStyle w:val="Tablei"/>
            </w:pPr>
            <w:r w:rsidRPr="006D775D">
              <w:t>(ii) is a care recipient in a residential care service; or</w:t>
            </w:r>
          </w:p>
          <w:p w:rsidR="00B659C6" w:rsidRPr="006D775D" w:rsidRDefault="00B659C6" w:rsidP="00B659C6">
            <w:pPr>
              <w:pStyle w:val="Tablei"/>
            </w:pPr>
            <w:r w:rsidRPr="006D775D">
              <w:t>(iii) is a patient of:</w:t>
            </w:r>
          </w:p>
          <w:p w:rsidR="00B659C6" w:rsidRPr="006D775D" w:rsidRDefault="00B659C6" w:rsidP="00B659C6">
            <w:pPr>
              <w:pStyle w:val="TableAA"/>
            </w:pPr>
            <w:r w:rsidRPr="006D775D">
              <w:t>(A) an Aboriginal Medical Service; or</w:t>
            </w:r>
          </w:p>
          <w:p w:rsidR="00B659C6" w:rsidRPr="006D775D" w:rsidRDefault="00B659C6" w:rsidP="00B659C6">
            <w:pPr>
              <w:pStyle w:val="TableAA"/>
            </w:pPr>
            <w:r w:rsidRPr="006D775D">
              <w:t>(B) an Aboriginal Community Controlled Health Service;</w:t>
            </w:r>
          </w:p>
          <w:p w:rsidR="00B659C6" w:rsidRPr="006D775D" w:rsidRDefault="00B659C6" w:rsidP="00B659C6">
            <w:pPr>
              <w:pStyle w:val="Tablei"/>
            </w:pPr>
            <w:r w:rsidRPr="006D775D">
              <w:tab/>
              <w:t>for which a direction made under subsection</w:t>
            </w:r>
            <w:r w:rsidR="006D775D" w:rsidRPr="006D775D">
              <w:t> </w:t>
            </w:r>
            <w:r w:rsidRPr="006D775D">
              <w:t>19(2) of the Act applies; and</w:t>
            </w:r>
          </w:p>
          <w:p w:rsidR="006E53AF" w:rsidRPr="006D775D" w:rsidRDefault="00B659C6" w:rsidP="008166DF">
            <w:pPr>
              <w:pStyle w:val="Tablea"/>
            </w:pPr>
            <w:r w:rsidRPr="006D775D">
              <w:t>(d) no other initial consultation has taken place for a single course of treatment</w:t>
            </w:r>
          </w:p>
        </w:tc>
        <w:tc>
          <w:tcPr>
            <w:tcW w:w="1276" w:type="dxa"/>
            <w:shd w:val="clear" w:color="auto" w:fill="auto"/>
            <w:hideMark/>
          </w:tcPr>
          <w:p w:rsidR="006E53AF" w:rsidRPr="006D775D" w:rsidRDefault="006E53AF" w:rsidP="00293B87">
            <w:pPr>
              <w:pStyle w:val="Tabletext"/>
              <w:jc w:val="right"/>
            </w:pPr>
            <w:r w:rsidRPr="006D775D">
              <w:rPr>
                <w:szCs w:val="22"/>
              </w:rPr>
              <w:t>113.20</w:t>
            </w:r>
          </w:p>
        </w:tc>
      </w:tr>
      <w:tr w:rsidR="006E53AF" w:rsidRPr="006D775D" w:rsidTr="00293B87">
        <w:tc>
          <w:tcPr>
            <w:tcW w:w="710" w:type="dxa"/>
            <w:shd w:val="clear" w:color="auto" w:fill="auto"/>
            <w:hideMark/>
          </w:tcPr>
          <w:p w:rsidR="006E53AF" w:rsidRPr="006D775D" w:rsidRDefault="006E53AF" w:rsidP="00EC131C">
            <w:pPr>
              <w:pStyle w:val="Tabletext"/>
              <w:rPr>
                <w:snapToGrid w:val="0"/>
              </w:rPr>
            </w:pPr>
            <w:r w:rsidRPr="006D775D">
              <w:rPr>
                <w:snapToGrid w:val="0"/>
              </w:rPr>
              <w:t>60</w:t>
            </w:r>
            <w:r w:rsidR="00EC131C" w:rsidRPr="006D775D">
              <w:rPr>
                <w:snapToGrid w:val="0"/>
              </w:rPr>
              <w:t>60</w:t>
            </w:r>
          </w:p>
        </w:tc>
        <w:tc>
          <w:tcPr>
            <w:tcW w:w="6094" w:type="dxa"/>
            <w:gridSpan w:val="2"/>
            <w:shd w:val="clear" w:color="auto" w:fill="auto"/>
            <w:hideMark/>
          </w:tcPr>
          <w:p w:rsidR="00B659C6" w:rsidRPr="006D775D" w:rsidRDefault="00B659C6" w:rsidP="00B659C6">
            <w:pPr>
              <w:pStyle w:val="Tabletext"/>
            </w:pPr>
            <w:r w:rsidRPr="006D775D">
              <w:t xml:space="preserve">Professional attendance on a patient by a sexual health medicine specialist </w:t>
            </w:r>
            <w:r w:rsidR="00FA7E53" w:rsidRPr="006D775D">
              <w:t xml:space="preserve">in the practice of </w:t>
            </w:r>
            <w:r w:rsidR="008166DF" w:rsidRPr="006D775D">
              <w:t>his or her</w:t>
            </w:r>
            <w:r w:rsidRPr="006D775D">
              <w:t xml:space="preserve"> specialty if:</w:t>
            </w:r>
          </w:p>
          <w:p w:rsidR="00B659C6" w:rsidRPr="006D775D" w:rsidRDefault="00B659C6" w:rsidP="00B659C6">
            <w:pPr>
              <w:pStyle w:val="Tablea"/>
            </w:pPr>
            <w:r w:rsidRPr="006D775D">
              <w:t>(a) the attendance is by video conference; and</w:t>
            </w:r>
          </w:p>
          <w:p w:rsidR="00B659C6" w:rsidRPr="006D775D" w:rsidRDefault="00B659C6" w:rsidP="00B659C6">
            <w:pPr>
              <w:pStyle w:val="Tablea"/>
            </w:pPr>
            <w:r w:rsidRPr="006D775D">
              <w:t>(b) the attendance is for a service:</w:t>
            </w:r>
          </w:p>
          <w:p w:rsidR="00B659C6" w:rsidRPr="006D775D" w:rsidRDefault="00B659C6" w:rsidP="00B659C6">
            <w:pPr>
              <w:pStyle w:val="Tablei"/>
            </w:pPr>
            <w:r w:rsidRPr="006D775D">
              <w:t>(i) provided with item</w:t>
            </w:r>
            <w:r w:rsidR="006D775D" w:rsidRPr="006D775D">
              <w:t> </w:t>
            </w:r>
            <w:r w:rsidRPr="006D775D">
              <w:t>60</w:t>
            </w:r>
            <w:r w:rsidR="008166DF" w:rsidRPr="006D775D">
              <w:t>51</w:t>
            </w:r>
            <w:r w:rsidRPr="006D775D">
              <w:t xml:space="preserve"> or 60</w:t>
            </w:r>
            <w:r w:rsidR="008166DF" w:rsidRPr="006D775D">
              <w:t>52</w:t>
            </w:r>
            <w:r w:rsidRPr="006D775D">
              <w:t xml:space="preserve"> </w:t>
            </w:r>
            <w:r w:rsidR="00FA7E53" w:rsidRPr="006D775D">
              <w:t xml:space="preserve">and </w:t>
            </w:r>
            <w:r w:rsidRPr="006D775D">
              <w:t>lasting more than 10 minutes; or</w:t>
            </w:r>
          </w:p>
          <w:p w:rsidR="00B659C6" w:rsidRPr="006D775D" w:rsidRDefault="00B659C6" w:rsidP="00B659C6">
            <w:pPr>
              <w:pStyle w:val="Tablei"/>
            </w:pPr>
            <w:r w:rsidRPr="006D775D">
              <w:t>(ii) provided with item</w:t>
            </w:r>
            <w:r w:rsidR="006D775D" w:rsidRPr="006D775D">
              <w:t> </w:t>
            </w:r>
            <w:r w:rsidRPr="006D775D">
              <w:t>60</w:t>
            </w:r>
            <w:r w:rsidR="008166DF" w:rsidRPr="006D775D">
              <w:t>57</w:t>
            </w:r>
            <w:r w:rsidRPr="006D775D">
              <w:t xml:space="preserve"> or 60</w:t>
            </w:r>
            <w:r w:rsidR="008166DF" w:rsidRPr="006D775D">
              <w:t>58</w:t>
            </w:r>
            <w:r w:rsidRPr="006D775D">
              <w:t>; and</w:t>
            </w:r>
          </w:p>
          <w:p w:rsidR="00B659C6" w:rsidRPr="006D775D" w:rsidRDefault="00B659C6" w:rsidP="00B659C6">
            <w:pPr>
              <w:pStyle w:val="Tablea"/>
            </w:pPr>
            <w:r w:rsidRPr="006D775D">
              <w:t>(c) the patient is not an admitted patient; and</w:t>
            </w:r>
          </w:p>
          <w:p w:rsidR="00B659C6" w:rsidRPr="006D775D" w:rsidRDefault="00B659C6" w:rsidP="00B659C6">
            <w:pPr>
              <w:pStyle w:val="Tablea"/>
            </w:pPr>
            <w:r w:rsidRPr="006D775D">
              <w:t>(d) the patient:</w:t>
            </w:r>
          </w:p>
          <w:p w:rsidR="00B659C6" w:rsidRPr="006D775D" w:rsidRDefault="00B659C6" w:rsidP="00B659C6">
            <w:pPr>
              <w:pStyle w:val="Tablei"/>
            </w:pPr>
            <w:r w:rsidRPr="006D775D">
              <w:t>(i) is located both:</w:t>
            </w:r>
          </w:p>
          <w:p w:rsidR="00B659C6" w:rsidRPr="006D775D" w:rsidRDefault="00B659C6" w:rsidP="00B659C6">
            <w:pPr>
              <w:pStyle w:val="TableAA"/>
            </w:pPr>
            <w:r w:rsidRPr="006D775D">
              <w:t>(A) within a telehealth eligible area; and</w:t>
            </w:r>
          </w:p>
          <w:p w:rsidR="00B659C6" w:rsidRPr="006D775D" w:rsidRDefault="00B659C6" w:rsidP="00B659C6">
            <w:pPr>
              <w:pStyle w:val="TableAA"/>
            </w:pPr>
            <w:r w:rsidRPr="006D775D">
              <w:t xml:space="preserve">(B) at the time of the attendance—at least 15 km by road from the </w:t>
            </w:r>
            <w:r w:rsidR="00704358" w:rsidRPr="006D775D">
              <w:t>sexual health</w:t>
            </w:r>
            <w:r w:rsidRPr="006D775D">
              <w:rPr>
                <w:rFonts w:cs="Calibri"/>
              </w:rPr>
              <w:t xml:space="preserve"> </w:t>
            </w:r>
            <w:r w:rsidRPr="006D775D">
              <w:t>medicine specialist; or</w:t>
            </w:r>
          </w:p>
          <w:p w:rsidR="00B659C6" w:rsidRPr="006D775D" w:rsidRDefault="00B659C6" w:rsidP="00B659C6">
            <w:pPr>
              <w:pStyle w:val="Tablei"/>
            </w:pPr>
            <w:r w:rsidRPr="006D775D">
              <w:t>(ii) is a care recipient in a residential care service; or</w:t>
            </w:r>
          </w:p>
          <w:p w:rsidR="00B659C6" w:rsidRPr="006D775D" w:rsidRDefault="00B659C6" w:rsidP="00B659C6">
            <w:pPr>
              <w:pStyle w:val="Tablei"/>
            </w:pPr>
            <w:r w:rsidRPr="006D775D">
              <w:t>(iii) is a patient of:</w:t>
            </w:r>
          </w:p>
          <w:p w:rsidR="00B659C6" w:rsidRPr="006D775D" w:rsidRDefault="00B659C6" w:rsidP="00B659C6">
            <w:pPr>
              <w:pStyle w:val="TableAA"/>
            </w:pPr>
            <w:r w:rsidRPr="006D775D">
              <w:t>(A) an Aboriginal Medical Service; or</w:t>
            </w:r>
          </w:p>
          <w:p w:rsidR="00B659C6" w:rsidRPr="006D775D" w:rsidRDefault="00B659C6" w:rsidP="00B659C6">
            <w:pPr>
              <w:pStyle w:val="TableAA"/>
            </w:pPr>
            <w:r w:rsidRPr="006D775D">
              <w:t>(B) an Aboriginal Community Controlled Health Service;</w:t>
            </w:r>
          </w:p>
          <w:p w:rsidR="006E53AF" w:rsidRPr="006D775D" w:rsidRDefault="00B659C6" w:rsidP="00B659C6">
            <w:pPr>
              <w:pStyle w:val="Tablei"/>
              <w:rPr>
                <w:snapToGrid w:val="0"/>
              </w:rPr>
            </w:pPr>
            <w:r w:rsidRPr="006D775D">
              <w:tab/>
              <w:t>for which a direction made under subsection</w:t>
            </w:r>
            <w:r w:rsidR="006D775D" w:rsidRPr="006D775D">
              <w:t> </w:t>
            </w:r>
            <w:r w:rsidRPr="006D775D">
              <w:t>19 (2) of the Act applies</w:t>
            </w:r>
          </w:p>
        </w:tc>
        <w:tc>
          <w:tcPr>
            <w:tcW w:w="1276" w:type="dxa"/>
            <w:shd w:val="clear" w:color="auto" w:fill="auto"/>
            <w:hideMark/>
          </w:tcPr>
          <w:p w:rsidR="006E53AF" w:rsidRPr="006D775D" w:rsidRDefault="00EC131C" w:rsidP="00EC131C">
            <w:pPr>
              <w:pStyle w:val="Tabletext"/>
            </w:pPr>
            <w:r w:rsidRPr="006D775D">
              <w:t>50% of the fee for item</w:t>
            </w:r>
            <w:r w:rsidR="006D775D" w:rsidRPr="006D775D">
              <w:t> </w:t>
            </w:r>
            <w:r w:rsidRPr="006D775D">
              <w:t>6051, 6052, 6057 or 6058</w:t>
            </w:r>
          </w:p>
        </w:tc>
      </w:tr>
      <w:tr w:rsidR="006E53AF" w:rsidRPr="006D775D" w:rsidTr="006E53AF">
        <w:tc>
          <w:tcPr>
            <w:tcW w:w="8080" w:type="dxa"/>
            <w:gridSpan w:val="4"/>
            <w:shd w:val="clear" w:color="auto" w:fill="auto"/>
            <w:hideMark/>
          </w:tcPr>
          <w:p w:rsidR="006E53AF" w:rsidRPr="006D775D" w:rsidRDefault="006E53AF" w:rsidP="00EC131C">
            <w:pPr>
              <w:pStyle w:val="TableHeading"/>
            </w:pPr>
            <w:r w:rsidRPr="006D775D">
              <w:t>Subgroup 2—</w:t>
            </w:r>
            <w:r w:rsidR="00EC131C" w:rsidRPr="006D775D">
              <w:t>Home visits</w:t>
            </w:r>
          </w:p>
        </w:tc>
      </w:tr>
      <w:tr w:rsidR="006E53AF" w:rsidRPr="006D775D" w:rsidTr="00293B87">
        <w:tc>
          <w:tcPr>
            <w:tcW w:w="710" w:type="dxa"/>
            <w:shd w:val="clear" w:color="auto" w:fill="auto"/>
            <w:hideMark/>
          </w:tcPr>
          <w:p w:rsidR="006E53AF" w:rsidRPr="006D775D" w:rsidRDefault="006E53AF" w:rsidP="00EC131C">
            <w:pPr>
              <w:pStyle w:val="Tabletext"/>
              <w:rPr>
                <w:snapToGrid w:val="0"/>
              </w:rPr>
            </w:pPr>
            <w:r w:rsidRPr="006D775D">
              <w:rPr>
                <w:snapToGrid w:val="0"/>
              </w:rPr>
              <w:t>60</w:t>
            </w:r>
            <w:r w:rsidR="00EC131C" w:rsidRPr="006D775D">
              <w:rPr>
                <w:snapToGrid w:val="0"/>
              </w:rPr>
              <w:t>62</w:t>
            </w:r>
          </w:p>
        </w:tc>
        <w:tc>
          <w:tcPr>
            <w:tcW w:w="6094" w:type="dxa"/>
            <w:gridSpan w:val="2"/>
            <w:shd w:val="clear" w:color="auto" w:fill="auto"/>
            <w:hideMark/>
          </w:tcPr>
          <w:p w:rsidR="006E53AF" w:rsidRPr="006D775D" w:rsidRDefault="00EC131C" w:rsidP="008166DF">
            <w:pPr>
              <w:pStyle w:val="Tabletext"/>
            </w:pPr>
            <w:r w:rsidRPr="006D775D">
              <w:t xml:space="preserve">Professional attendance at a place other than consulting rooms or </w:t>
            </w:r>
            <w:r w:rsidR="00304055" w:rsidRPr="006D775D">
              <w:t xml:space="preserve">a </w:t>
            </w:r>
            <w:r w:rsidRPr="006D775D">
              <w:t xml:space="preserve">hospital by a sexual health medicine specialist in the practice of </w:t>
            </w:r>
            <w:r w:rsidR="008166DF" w:rsidRPr="006D775D">
              <w:t>his or her</w:t>
            </w:r>
            <w:r w:rsidRPr="006D775D">
              <w:t xml:space="preserve"> specialty</w:t>
            </w:r>
            <w:r w:rsidR="00F439DA" w:rsidRPr="006D775D">
              <w:t xml:space="preserve"> following referral of the patient to him or her by a referring practitioner—</w:t>
            </w:r>
            <w:r w:rsidRPr="006D775D">
              <w:t>initial attendance in a single course of treatment</w:t>
            </w:r>
          </w:p>
        </w:tc>
        <w:tc>
          <w:tcPr>
            <w:tcW w:w="1276" w:type="dxa"/>
            <w:shd w:val="clear" w:color="auto" w:fill="auto"/>
            <w:hideMark/>
          </w:tcPr>
          <w:p w:rsidR="006E53AF" w:rsidRPr="006D775D" w:rsidRDefault="00EC131C" w:rsidP="006E53AF">
            <w:pPr>
              <w:pStyle w:val="Tabletext"/>
              <w:jc w:val="right"/>
            </w:pPr>
            <w:r w:rsidRPr="006D775D">
              <w:t>183.10</w:t>
            </w:r>
          </w:p>
        </w:tc>
      </w:tr>
      <w:tr w:rsidR="00EC131C" w:rsidRPr="006D775D" w:rsidTr="00293B87">
        <w:tc>
          <w:tcPr>
            <w:tcW w:w="710" w:type="dxa"/>
            <w:shd w:val="clear" w:color="auto" w:fill="auto"/>
          </w:tcPr>
          <w:p w:rsidR="00EC131C" w:rsidRPr="006D775D" w:rsidRDefault="00EC131C" w:rsidP="00EC131C">
            <w:pPr>
              <w:pStyle w:val="Tabletext"/>
              <w:rPr>
                <w:snapToGrid w:val="0"/>
              </w:rPr>
            </w:pPr>
            <w:r w:rsidRPr="006D775D">
              <w:rPr>
                <w:snapToGrid w:val="0"/>
              </w:rPr>
              <w:t>6063</w:t>
            </w:r>
          </w:p>
        </w:tc>
        <w:tc>
          <w:tcPr>
            <w:tcW w:w="6094" w:type="dxa"/>
            <w:gridSpan w:val="2"/>
            <w:shd w:val="clear" w:color="auto" w:fill="auto"/>
          </w:tcPr>
          <w:p w:rsidR="00EC131C" w:rsidRPr="006D775D" w:rsidRDefault="00F439DA" w:rsidP="008166DF">
            <w:pPr>
              <w:pStyle w:val="Tabletext"/>
            </w:pPr>
            <w:r w:rsidRPr="006D775D">
              <w:t xml:space="preserve">Professional attendance at a place other than consulting rooms or </w:t>
            </w:r>
            <w:r w:rsidR="00304055" w:rsidRPr="006D775D">
              <w:t xml:space="preserve">a </w:t>
            </w:r>
            <w:r w:rsidRPr="006D775D">
              <w:t xml:space="preserve">hospital by a sexual health medicine specialist in the practice of </w:t>
            </w:r>
            <w:r w:rsidR="008166DF" w:rsidRPr="006D775D">
              <w:t>his or her</w:t>
            </w:r>
            <w:r w:rsidRPr="006D775D">
              <w:t xml:space="preserve"> specialty following referral of the patient to him or her by a referring practitioner—e</w:t>
            </w:r>
            <w:r w:rsidR="00EC131C" w:rsidRPr="006D775D">
              <w:t xml:space="preserve">ach </w:t>
            </w:r>
            <w:r w:rsidRPr="006D775D">
              <w:t>attendance after the attendance under item</w:t>
            </w:r>
            <w:r w:rsidR="006D775D" w:rsidRPr="006D775D">
              <w:t> </w:t>
            </w:r>
            <w:r w:rsidRPr="006D775D">
              <w:t>6062</w:t>
            </w:r>
            <w:r w:rsidR="00EC131C" w:rsidRPr="006D775D">
              <w:t xml:space="preserve"> in a single course of treatment</w:t>
            </w:r>
          </w:p>
        </w:tc>
        <w:tc>
          <w:tcPr>
            <w:tcW w:w="1276" w:type="dxa"/>
            <w:shd w:val="clear" w:color="auto" w:fill="auto"/>
          </w:tcPr>
          <w:p w:rsidR="00EC131C" w:rsidRPr="006D775D" w:rsidRDefault="00EC131C" w:rsidP="006E53AF">
            <w:pPr>
              <w:pStyle w:val="Tabletext"/>
              <w:jc w:val="right"/>
            </w:pPr>
            <w:r w:rsidRPr="006D775D">
              <w:t>110.75</w:t>
            </w:r>
          </w:p>
        </w:tc>
      </w:tr>
      <w:tr w:rsidR="006E53AF" w:rsidRPr="006D775D" w:rsidTr="006E53AF">
        <w:tc>
          <w:tcPr>
            <w:tcW w:w="8080" w:type="dxa"/>
            <w:gridSpan w:val="4"/>
            <w:shd w:val="clear" w:color="auto" w:fill="auto"/>
            <w:hideMark/>
          </w:tcPr>
          <w:p w:rsidR="006E53AF" w:rsidRPr="006D775D" w:rsidRDefault="006E53AF" w:rsidP="00BA1299">
            <w:pPr>
              <w:pStyle w:val="TableHeading"/>
            </w:pPr>
            <w:r w:rsidRPr="006D775D">
              <w:t>Subgroup 3—</w:t>
            </w:r>
            <w:r w:rsidR="00BA1299" w:rsidRPr="006D775D">
              <w:t>Sexual health</w:t>
            </w:r>
            <w:r w:rsidRPr="006D775D">
              <w:t xml:space="preserve"> medicine case conferences</w:t>
            </w:r>
          </w:p>
        </w:tc>
      </w:tr>
      <w:tr w:rsidR="006E53AF" w:rsidRPr="006D775D" w:rsidTr="00293B87">
        <w:tc>
          <w:tcPr>
            <w:tcW w:w="710" w:type="dxa"/>
            <w:shd w:val="clear" w:color="auto" w:fill="auto"/>
            <w:hideMark/>
          </w:tcPr>
          <w:p w:rsidR="006E53AF" w:rsidRPr="006D775D" w:rsidRDefault="006E53AF" w:rsidP="00BA1299">
            <w:pPr>
              <w:pStyle w:val="Tabletext"/>
              <w:rPr>
                <w:snapToGrid w:val="0"/>
              </w:rPr>
            </w:pPr>
            <w:r w:rsidRPr="006D775D">
              <w:rPr>
                <w:snapToGrid w:val="0"/>
              </w:rPr>
              <w:t>60</w:t>
            </w:r>
            <w:r w:rsidR="00BA1299" w:rsidRPr="006D775D">
              <w:rPr>
                <w:snapToGrid w:val="0"/>
              </w:rPr>
              <w:t>64</w:t>
            </w:r>
          </w:p>
        </w:tc>
        <w:tc>
          <w:tcPr>
            <w:tcW w:w="6094" w:type="dxa"/>
            <w:gridSpan w:val="2"/>
            <w:shd w:val="clear" w:color="auto" w:fill="auto"/>
            <w:hideMark/>
          </w:tcPr>
          <w:p w:rsidR="006E53AF" w:rsidRPr="006D775D" w:rsidRDefault="00F439DA" w:rsidP="00F726C4">
            <w:pPr>
              <w:pStyle w:val="Tabletext"/>
            </w:pPr>
            <w:r w:rsidRPr="006D775D">
              <w:t xml:space="preserve">Attendance by a sexual health medicine specialist in the practice of his or her specialty, as a member of a </w:t>
            </w:r>
            <w:r w:rsidR="00AB673C" w:rsidRPr="006D775D">
              <w:t>multidisciplinary case conference team</w:t>
            </w:r>
            <w:r w:rsidR="00501726" w:rsidRPr="006D775D">
              <w:t xml:space="preserve"> of at least 2 other formal care providers of different disciplines</w:t>
            </w:r>
            <w:r w:rsidRPr="006D775D">
              <w:t xml:space="preserve">, to </w:t>
            </w:r>
            <w:r w:rsidRPr="006D775D">
              <w:rPr>
                <w:bCs/>
              </w:rPr>
              <w:t>organise and coordinate a community case conference</w:t>
            </w:r>
            <w:r w:rsidRPr="006D775D">
              <w:rPr>
                <w:b/>
                <w:bCs/>
              </w:rPr>
              <w:t xml:space="preserve"> </w:t>
            </w:r>
            <w:r w:rsidRPr="006D775D">
              <w:t xml:space="preserve">of </w:t>
            </w:r>
            <w:r w:rsidR="008166DF" w:rsidRPr="006D775D">
              <w:t>less than</w:t>
            </w:r>
            <w:r w:rsidRPr="006D775D">
              <w:t xml:space="preserve"> 15 minutes, with </w:t>
            </w:r>
            <w:r w:rsidR="00985001" w:rsidRPr="006D775D">
              <w:t>the</w:t>
            </w:r>
            <w:r w:rsidRPr="006D775D">
              <w:t xml:space="preserve"> </w:t>
            </w:r>
            <w:r w:rsidR="00AB673C" w:rsidRPr="006D775D">
              <w:t>multidisciplinary case conference team</w:t>
            </w:r>
          </w:p>
        </w:tc>
        <w:tc>
          <w:tcPr>
            <w:tcW w:w="1276" w:type="dxa"/>
            <w:shd w:val="clear" w:color="auto" w:fill="auto"/>
            <w:hideMark/>
          </w:tcPr>
          <w:p w:rsidR="006E53AF" w:rsidRPr="006D775D" w:rsidRDefault="006E53AF" w:rsidP="006E53AF">
            <w:pPr>
              <w:pStyle w:val="Tabletext"/>
              <w:jc w:val="right"/>
            </w:pPr>
            <w:r w:rsidRPr="006D775D">
              <w:t>42.70</w:t>
            </w:r>
          </w:p>
        </w:tc>
      </w:tr>
      <w:tr w:rsidR="006E53AF" w:rsidRPr="006D775D" w:rsidTr="00293B87">
        <w:tc>
          <w:tcPr>
            <w:tcW w:w="710" w:type="dxa"/>
            <w:shd w:val="clear" w:color="auto" w:fill="auto"/>
            <w:hideMark/>
          </w:tcPr>
          <w:p w:rsidR="006E53AF" w:rsidRPr="006D775D" w:rsidRDefault="006E53AF" w:rsidP="00BA1299">
            <w:pPr>
              <w:pStyle w:val="Tabletext"/>
              <w:rPr>
                <w:snapToGrid w:val="0"/>
              </w:rPr>
            </w:pPr>
            <w:r w:rsidRPr="006D775D">
              <w:rPr>
                <w:snapToGrid w:val="0"/>
              </w:rPr>
              <w:t>60</w:t>
            </w:r>
            <w:r w:rsidR="00BA1299" w:rsidRPr="006D775D">
              <w:rPr>
                <w:snapToGrid w:val="0"/>
              </w:rPr>
              <w:t>65</w:t>
            </w:r>
          </w:p>
        </w:tc>
        <w:tc>
          <w:tcPr>
            <w:tcW w:w="6094" w:type="dxa"/>
            <w:gridSpan w:val="2"/>
            <w:shd w:val="clear" w:color="auto" w:fill="auto"/>
            <w:hideMark/>
          </w:tcPr>
          <w:p w:rsidR="006E53AF" w:rsidRPr="006D775D" w:rsidRDefault="00F439DA" w:rsidP="00F726C4">
            <w:pPr>
              <w:pStyle w:val="Tabletext"/>
            </w:pPr>
            <w:r w:rsidRPr="006D775D">
              <w:t xml:space="preserve">Attendance by a sexual health medicine specialist in the practice of </w:t>
            </w:r>
            <w:r w:rsidR="00BC6946" w:rsidRPr="006D775D">
              <w:t>his or her</w:t>
            </w:r>
            <w:r w:rsidRPr="006D775D">
              <w:t xml:space="preserve"> specialty, as a member of a </w:t>
            </w:r>
            <w:r w:rsidR="00AB673C" w:rsidRPr="006D775D">
              <w:t>multidisciplinary case conference team</w:t>
            </w:r>
            <w:r w:rsidR="00501726" w:rsidRPr="006D775D">
              <w:t xml:space="preserve"> of at least 2 other formal care providers of different disciplines</w:t>
            </w:r>
            <w:r w:rsidRPr="006D775D">
              <w:t xml:space="preserve">, to </w:t>
            </w:r>
            <w:r w:rsidRPr="006D775D">
              <w:rPr>
                <w:bCs/>
              </w:rPr>
              <w:t>organise and coordinate a community case conference</w:t>
            </w:r>
            <w:r w:rsidRPr="006D775D">
              <w:t xml:space="preserve"> of at least 15 minutes but less than 30 minutes, with </w:t>
            </w:r>
            <w:r w:rsidR="00985001" w:rsidRPr="006D775D">
              <w:t>the</w:t>
            </w:r>
            <w:r w:rsidRPr="006D775D">
              <w:t xml:space="preserve"> </w:t>
            </w:r>
            <w:r w:rsidR="00AB673C" w:rsidRPr="006D775D">
              <w:t>multidisciplinary case conference team</w:t>
            </w:r>
          </w:p>
        </w:tc>
        <w:tc>
          <w:tcPr>
            <w:tcW w:w="1276" w:type="dxa"/>
            <w:shd w:val="clear" w:color="auto" w:fill="auto"/>
            <w:hideMark/>
          </w:tcPr>
          <w:p w:rsidR="006E53AF" w:rsidRPr="006D775D" w:rsidRDefault="006E53AF" w:rsidP="006E53AF">
            <w:pPr>
              <w:pStyle w:val="Tabletext"/>
              <w:jc w:val="right"/>
            </w:pPr>
            <w:r w:rsidRPr="006D775D">
              <w:t>75.50</w:t>
            </w:r>
          </w:p>
        </w:tc>
      </w:tr>
      <w:tr w:rsidR="006E53AF" w:rsidRPr="006D775D" w:rsidTr="00293B87">
        <w:tc>
          <w:tcPr>
            <w:tcW w:w="710" w:type="dxa"/>
            <w:shd w:val="clear" w:color="auto" w:fill="auto"/>
            <w:hideMark/>
          </w:tcPr>
          <w:p w:rsidR="006E53AF" w:rsidRPr="006D775D" w:rsidRDefault="006E53AF" w:rsidP="00BA1299">
            <w:pPr>
              <w:pStyle w:val="Tabletext"/>
              <w:rPr>
                <w:snapToGrid w:val="0"/>
              </w:rPr>
            </w:pPr>
            <w:r w:rsidRPr="006D775D">
              <w:rPr>
                <w:snapToGrid w:val="0"/>
              </w:rPr>
              <w:t>60</w:t>
            </w:r>
            <w:r w:rsidR="00BA1299" w:rsidRPr="006D775D">
              <w:rPr>
                <w:snapToGrid w:val="0"/>
              </w:rPr>
              <w:t>67</w:t>
            </w:r>
          </w:p>
        </w:tc>
        <w:tc>
          <w:tcPr>
            <w:tcW w:w="6094" w:type="dxa"/>
            <w:gridSpan w:val="2"/>
            <w:shd w:val="clear" w:color="auto" w:fill="auto"/>
            <w:hideMark/>
          </w:tcPr>
          <w:p w:rsidR="006E53AF" w:rsidRPr="006D775D" w:rsidRDefault="00F439DA" w:rsidP="004D2708">
            <w:pPr>
              <w:pStyle w:val="Tabletext"/>
            </w:pPr>
            <w:r w:rsidRPr="006D775D">
              <w:t xml:space="preserve">Attendance by a sexual health medicine specialist in the practice of his or her specialty, as a member of a </w:t>
            </w:r>
            <w:r w:rsidR="00AB673C" w:rsidRPr="006D775D">
              <w:t>multidisciplinary case conference team</w:t>
            </w:r>
            <w:r w:rsidR="00501726" w:rsidRPr="006D775D">
              <w:t xml:space="preserve"> </w:t>
            </w:r>
            <w:r w:rsidR="004D2708" w:rsidRPr="006D775D">
              <w:t>of at least 2 other formal care providers of different disciplines</w:t>
            </w:r>
            <w:r w:rsidRPr="006D775D">
              <w:t xml:space="preserve">, to </w:t>
            </w:r>
            <w:r w:rsidRPr="006D775D">
              <w:rPr>
                <w:bCs/>
              </w:rPr>
              <w:t>organise and coordinate a community case conference</w:t>
            </w:r>
            <w:r w:rsidRPr="006D775D">
              <w:t xml:space="preserve"> of at least 30 minutes but less than 45 minutes, with </w:t>
            </w:r>
            <w:r w:rsidR="00985001" w:rsidRPr="006D775D">
              <w:t>the</w:t>
            </w:r>
            <w:r w:rsidRPr="006D775D">
              <w:t xml:space="preserve"> </w:t>
            </w:r>
            <w:r w:rsidR="00AB673C" w:rsidRPr="006D775D">
              <w:t>multidisciplinary case conference team</w:t>
            </w:r>
          </w:p>
        </w:tc>
        <w:tc>
          <w:tcPr>
            <w:tcW w:w="1276" w:type="dxa"/>
            <w:shd w:val="clear" w:color="auto" w:fill="auto"/>
            <w:hideMark/>
          </w:tcPr>
          <w:p w:rsidR="006E53AF" w:rsidRPr="006D775D" w:rsidRDefault="006E53AF" w:rsidP="006E53AF">
            <w:pPr>
              <w:pStyle w:val="Tabletext"/>
              <w:jc w:val="right"/>
            </w:pPr>
            <w:r w:rsidRPr="006D775D">
              <w:t>113.30</w:t>
            </w:r>
          </w:p>
        </w:tc>
      </w:tr>
      <w:tr w:rsidR="00F439DA" w:rsidRPr="006D775D" w:rsidTr="00293B87">
        <w:tc>
          <w:tcPr>
            <w:tcW w:w="710" w:type="dxa"/>
            <w:shd w:val="clear" w:color="auto" w:fill="auto"/>
            <w:hideMark/>
          </w:tcPr>
          <w:p w:rsidR="00F439DA" w:rsidRPr="006D775D" w:rsidRDefault="00F439DA" w:rsidP="00BA1299">
            <w:pPr>
              <w:pStyle w:val="Tabletext"/>
              <w:rPr>
                <w:snapToGrid w:val="0"/>
              </w:rPr>
            </w:pPr>
            <w:r w:rsidRPr="006D775D">
              <w:rPr>
                <w:snapToGrid w:val="0"/>
              </w:rPr>
              <w:t>6068</w:t>
            </w:r>
          </w:p>
        </w:tc>
        <w:tc>
          <w:tcPr>
            <w:tcW w:w="6094" w:type="dxa"/>
            <w:gridSpan w:val="2"/>
            <w:shd w:val="clear" w:color="auto" w:fill="auto"/>
            <w:hideMark/>
          </w:tcPr>
          <w:p w:rsidR="00F439DA" w:rsidRPr="006D775D" w:rsidRDefault="00F439DA" w:rsidP="004D2708">
            <w:pPr>
              <w:pStyle w:val="Tabletext"/>
            </w:pPr>
            <w:r w:rsidRPr="006D775D">
              <w:t xml:space="preserve">Attendance by a sexual health medicine specialist in the practice of </w:t>
            </w:r>
            <w:r w:rsidR="00BC6946" w:rsidRPr="006D775D">
              <w:t>his or her</w:t>
            </w:r>
            <w:r w:rsidRPr="006D775D">
              <w:t xml:space="preserve"> specialty, as a member of a </w:t>
            </w:r>
            <w:r w:rsidR="00F0221F" w:rsidRPr="006D775D">
              <w:t>multidisciplinary case</w:t>
            </w:r>
            <w:r w:rsidRPr="006D775D">
              <w:t xml:space="preserve"> conference team</w:t>
            </w:r>
            <w:r w:rsidR="004D2708" w:rsidRPr="006D775D">
              <w:t xml:space="preserve"> of at least 2 other formal care providers of different disciplines</w:t>
            </w:r>
            <w:r w:rsidRPr="006D775D">
              <w:t xml:space="preserve">, to </w:t>
            </w:r>
            <w:r w:rsidRPr="006D775D">
              <w:rPr>
                <w:bCs/>
              </w:rPr>
              <w:t xml:space="preserve">organise and coordinate a </w:t>
            </w:r>
            <w:r w:rsidR="00F0221F" w:rsidRPr="006D775D">
              <w:t>community case</w:t>
            </w:r>
            <w:r w:rsidRPr="006D775D">
              <w:rPr>
                <w:bCs/>
              </w:rPr>
              <w:t xml:space="preserve"> conference</w:t>
            </w:r>
            <w:r w:rsidRPr="006D775D">
              <w:t xml:space="preserve"> of at least</w:t>
            </w:r>
            <w:r w:rsidR="00501726" w:rsidRPr="006D775D">
              <w:t xml:space="preserve"> </w:t>
            </w:r>
            <w:r w:rsidRPr="006D775D">
              <w:t xml:space="preserve">45 minutes, with </w:t>
            </w:r>
            <w:r w:rsidR="00985001" w:rsidRPr="006D775D">
              <w:t>the</w:t>
            </w:r>
            <w:r w:rsidRPr="006D775D">
              <w:t xml:space="preserve"> multidisciplinary </w:t>
            </w:r>
            <w:r w:rsidR="00F0221F" w:rsidRPr="006D775D">
              <w:t xml:space="preserve">case conference </w:t>
            </w:r>
            <w:r w:rsidRPr="006D775D">
              <w:t>team</w:t>
            </w:r>
          </w:p>
        </w:tc>
        <w:tc>
          <w:tcPr>
            <w:tcW w:w="1276" w:type="dxa"/>
            <w:shd w:val="clear" w:color="auto" w:fill="auto"/>
            <w:hideMark/>
          </w:tcPr>
          <w:p w:rsidR="00F439DA" w:rsidRPr="006D775D" w:rsidRDefault="00F439DA" w:rsidP="006E53AF">
            <w:pPr>
              <w:pStyle w:val="Tabletext"/>
              <w:jc w:val="right"/>
            </w:pPr>
            <w:r w:rsidRPr="006D775D">
              <w:t>150</w:t>
            </w:r>
            <w:r w:rsidR="00FA7E53" w:rsidRPr="006D775D">
              <w:t>.90</w:t>
            </w:r>
          </w:p>
        </w:tc>
      </w:tr>
      <w:tr w:rsidR="006E53AF" w:rsidRPr="006D775D" w:rsidTr="00293B87">
        <w:tc>
          <w:tcPr>
            <w:tcW w:w="710" w:type="dxa"/>
            <w:shd w:val="clear" w:color="auto" w:fill="auto"/>
            <w:hideMark/>
          </w:tcPr>
          <w:p w:rsidR="006E53AF" w:rsidRPr="006D775D" w:rsidRDefault="006E53AF" w:rsidP="00BA1299">
            <w:pPr>
              <w:pStyle w:val="Tabletext"/>
              <w:rPr>
                <w:snapToGrid w:val="0"/>
              </w:rPr>
            </w:pPr>
            <w:r w:rsidRPr="006D775D">
              <w:rPr>
                <w:snapToGrid w:val="0"/>
              </w:rPr>
              <w:t>60</w:t>
            </w:r>
            <w:r w:rsidR="00BA1299" w:rsidRPr="006D775D">
              <w:rPr>
                <w:snapToGrid w:val="0"/>
              </w:rPr>
              <w:t>71</w:t>
            </w:r>
          </w:p>
        </w:tc>
        <w:tc>
          <w:tcPr>
            <w:tcW w:w="6094" w:type="dxa"/>
            <w:gridSpan w:val="2"/>
            <w:shd w:val="clear" w:color="auto" w:fill="auto"/>
            <w:hideMark/>
          </w:tcPr>
          <w:p w:rsidR="006E53AF" w:rsidRPr="006D775D" w:rsidRDefault="00F439DA" w:rsidP="004D2708">
            <w:pPr>
              <w:pStyle w:val="Tabletext"/>
            </w:pPr>
            <w:r w:rsidRPr="006D775D">
              <w:t xml:space="preserve">Attendance by a sexual health medicine specialist in the practice of </w:t>
            </w:r>
            <w:r w:rsidR="00BC6946" w:rsidRPr="006D775D">
              <w:t>his or her</w:t>
            </w:r>
            <w:r w:rsidRPr="006D775D">
              <w:t xml:space="preserve"> specialty, as a member of a </w:t>
            </w:r>
            <w:r w:rsidR="00AB673C" w:rsidRPr="006D775D">
              <w:t>multidisciplinary case conference team</w:t>
            </w:r>
            <w:r w:rsidR="004D2708" w:rsidRPr="006D775D">
              <w:t xml:space="preserve"> of at least 2 other formal care providers of different disciplines</w:t>
            </w:r>
            <w:r w:rsidRPr="006D775D">
              <w:t xml:space="preserve">, to </w:t>
            </w:r>
            <w:r w:rsidRPr="006D775D">
              <w:rPr>
                <w:bCs/>
              </w:rPr>
              <w:t>participate in a community case conference</w:t>
            </w:r>
            <w:r w:rsidRPr="006D775D">
              <w:t xml:space="preserve"> (other than to organise and coordinate the conference) of </w:t>
            </w:r>
            <w:r w:rsidR="00BC6946" w:rsidRPr="006D775D">
              <w:t>less than</w:t>
            </w:r>
            <w:r w:rsidRPr="006D775D">
              <w:t xml:space="preserve"> 15 minutes, with </w:t>
            </w:r>
            <w:r w:rsidR="00985001" w:rsidRPr="006D775D">
              <w:t>the</w:t>
            </w:r>
            <w:r w:rsidRPr="006D775D">
              <w:t xml:space="preserve"> </w:t>
            </w:r>
            <w:r w:rsidR="00AB673C" w:rsidRPr="006D775D">
              <w:t>multidisciplinary case conference team</w:t>
            </w:r>
          </w:p>
        </w:tc>
        <w:tc>
          <w:tcPr>
            <w:tcW w:w="1276" w:type="dxa"/>
            <w:shd w:val="clear" w:color="auto" w:fill="auto"/>
            <w:hideMark/>
          </w:tcPr>
          <w:p w:rsidR="006E53AF" w:rsidRPr="006D775D" w:rsidRDefault="006E53AF" w:rsidP="006E53AF">
            <w:pPr>
              <w:pStyle w:val="Tabletext"/>
              <w:jc w:val="right"/>
            </w:pPr>
            <w:r w:rsidRPr="006D775D">
              <w:t>34.15</w:t>
            </w:r>
          </w:p>
        </w:tc>
      </w:tr>
      <w:tr w:rsidR="006E53AF" w:rsidRPr="006D775D" w:rsidTr="00293B87">
        <w:tc>
          <w:tcPr>
            <w:tcW w:w="710" w:type="dxa"/>
            <w:shd w:val="clear" w:color="auto" w:fill="auto"/>
            <w:hideMark/>
          </w:tcPr>
          <w:p w:rsidR="006E53AF" w:rsidRPr="006D775D" w:rsidRDefault="006E53AF" w:rsidP="00BA1299">
            <w:pPr>
              <w:pStyle w:val="Tabletext"/>
              <w:rPr>
                <w:snapToGrid w:val="0"/>
              </w:rPr>
            </w:pPr>
            <w:r w:rsidRPr="006D775D">
              <w:rPr>
                <w:snapToGrid w:val="0"/>
              </w:rPr>
              <w:t>60</w:t>
            </w:r>
            <w:r w:rsidR="00BA1299" w:rsidRPr="006D775D">
              <w:rPr>
                <w:snapToGrid w:val="0"/>
              </w:rPr>
              <w:t>72</w:t>
            </w:r>
          </w:p>
        </w:tc>
        <w:tc>
          <w:tcPr>
            <w:tcW w:w="6094" w:type="dxa"/>
            <w:gridSpan w:val="2"/>
            <w:shd w:val="clear" w:color="auto" w:fill="auto"/>
            <w:hideMark/>
          </w:tcPr>
          <w:p w:rsidR="006E53AF" w:rsidRPr="006D775D" w:rsidRDefault="00F439DA" w:rsidP="00F726C4">
            <w:pPr>
              <w:pStyle w:val="Tabletext"/>
            </w:pPr>
            <w:r w:rsidRPr="006D775D">
              <w:t xml:space="preserve">Attendance by a sexual health medicine specialist in the practice of </w:t>
            </w:r>
            <w:r w:rsidR="00BC6946" w:rsidRPr="006D775D">
              <w:t>his or her</w:t>
            </w:r>
            <w:r w:rsidRPr="006D775D">
              <w:t xml:space="preserve"> specialty, as a member of a </w:t>
            </w:r>
            <w:r w:rsidR="00AB673C" w:rsidRPr="006D775D">
              <w:t>multidisciplinary case conference team</w:t>
            </w:r>
            <w:r w:rsidR="00501726" w:rsidRPr="006D775D">
              <w:t xml:space="preserve"> of at least 2 other formal care providers of different disciplines</w:t>
            </w:r>
            <w:r w:rsidR="00E72897" w:rsidRPr="006D775D">
              <w:t>,</w:t>
            </w:r>
            <w:r w:rsidRPr="006D775D">
              <w:t xml:space="preserve"> to </w:t>
            </w:r>
            <w:r w:rsidRPr="006D775D">
              <w:rPr>
                <w:bCs/>
              </w:rPr>
              <w:t>participate in a community case conference</w:t>
            </w:r>
            <w:r w:rsidRPr="006D775D">
              <w:t xml:space="preserve"> (other than to organise and coordinate the conference) of at least 15 minutes but less than 30 minutes, with </w:t>
            </w:r>
            <w:r w:rsidR="00985001" w:rsidRPr="006D775D">
              <w:t>the</w:t>
            </w:r>
            <w:r w:rsidRPr="006D775D">
              <w:t xml:space="preserve"> </w:t>
            </w:r>
            <w:r w:rsidR="00AB673C" w:rsidRPr="006D775D">
              <w:t>multidisciplinary case conference team</w:t>
            </w:r>
          </w:p>
        </w:tc>
        <w:tc>
          <w:tcPr>
            <w:tcW w:w="1276" w:type="dxa"/>
            <w:shd w:val="clear" w:color="auto" w:fill="auto"/>
            <w:hideMark/>
          </w:tcPr>
          <w:p w:rsidR="006E53AF" w:rsidRPr="006D775D" w:rsidRDefault="006E53AF" w:rsidP="006E53AF">
            <w:pPr>
              <w:pStyle w:val="Tabletext"/>
              <w:jc w:val="right"/>
            </w:pPr>
            <w:r w:rsidRPr="006D775D">
              <w:t>60.40</w:t>
            </w:r>
          </w:p>
        </w:tc>
      </w:tr>
      <w:tr w:rsidR="006E53AF" w:rsidRPr="006D775D" w:rsidTr="00293B87">
        <w:tc>
          <w:tcPr>
            <w:tcW w:w="710" w:type="dxa"/>
            <w:tcBorders>
              <w:bottom w:val="single" w:sz="2" w:space="0" w:color="auto"/>
            </w:tcBorders>
            <w:shd w:val="clear" w:color="auto" w:fill="auto"/>
            <w:hideMark/>
          </w:tcPr>
          <w:p w:rsidR="006E53AF" w:rsidRPr="006D775D" w:rsidRDefault="006E53AF" w:rsidP="00BA1299">
            <w:pPr>
              <w:pStyle w:val="Tabletext"/>
              <w:rPr>
                <w:snapToGrid w:val="0"/>
              </w:rPr>
            </w:pPr>
            <w:r w:rsidRPr="006D775D">
              <w:rPr>
                <w:snapToGrid w:val="0"/>
              </w:rPr>
              <w:t>60</w:t>
            </w:r>
            <w:r w:rsidR="00BA1299" w:rsidRPr="006D775D">
              <w:rPr>
                <w:snapToGrid w:val="0"/>
              </w:rPr>
              <w:t>74</w:t>
            </w:r>
          </w:p>
        </w:tc>
        <w:tc>
          <w:tcPr>
            <w:tcW w:w="6094" w:type="dxa"/>
            <w:gridSpan w:val="2"/>
            <w:tcBorders>
              <w:bottom w:val="single" w:sz="2" w:space="0" w:color="auto"/>
            </w:tcBorders>
            <w:shd w:val="clear" w:color="auto" w:fill="auto"/>
            <w:hideMark/>
          </w:tcPr>
          <w:p w:rsidR="006E53AF" w:rsidRPr="006D775D" w:rsidRDefault="00F439DA" w:rsidP="00F726C4">
            <w:pPr>
              <w:pStyle w:val="Tabletext"/>
            </w:pPr>
            <w:r w:rsidRPr="006D775D">
              <w:t xml:space="preserve">Attendance by a sexual health medicine specialist in the practice of </w:t>
            </w:r>
            <w:r w:rsidR="00BC6946" w:rsidRPr="006D775D">
              <w:t>his or her</w:t>
            </w:r>
            <w:r w:rsidRPr="006D775D">
              <w:t xml:space="preserve"> specialty, as a member of a </w:t>
            </w:r>
            <w:r w:rsidR="00AB673C" w:rsidRPr="006D775D">
              <w:t>multidisciplinary case conference team</w:t>
            </w:r>
            <w:r w:rsidR="00501726" w:rsidRPr="006D775D">
              <w:t xml:space="preserve"> of at least 2 other formal care providers of different disciplines</w:t>
            </w:r>
            <w:r w:rsidRPr="006D775D">
              <w:t xml:space="preserve">, to </w:t>
            </w:r>
            <w:r w:rsidRPr="006D775D">
              <w:rPr>
                <w:bCs/>
              </w:rPr>
              <w:t>participate in a community case conference</w:t>
            </w:r>
            <w:r w:rsidRPr="006D775D">
              <w:rPr>
                <w:b/>
                <w:bCs/>
              </w:rPr>
              <w:t xml:space="preserve"> </w:t>
            </w:r>
            <w:r w:rsidRPr="006D775D">
              <w:t xml:space="preserve">(other than to organise and coordinate the conference) of at least 30 minutes but less than 45 minutes, with </w:t>
            </w:r>
            <w:r w:rsidR="00985001" w:rsidRPr="006D775D">
              <w:t>the</w:t>
            </w:r>
            <w:r w:rsidRPr="006D775D">
              <w:t xml:space="preserve"> </w:t>
            </w:r>
            <w:r w:rsidR="00AB673C" w:rsidRPr="006D775D">
              <w:t>multidisciplinary case conference team</w:t>
            </w:r>
          </w:p>
        </w:tc>
        <w:tc>
          <w:tcPr>
            <w:tcW w:w="1276" w:type="dxa"/>
            <w:tcBorders>
              <w:bottom w:val="single" w:sz="2" w:space="0" w:color="auto"/>
            </w:tcBorders>
            <w:shd w:val="clear" w:color="auto" w:fill="auto"/>
            <w:hideMark/>
          </w:tcPr>
          <w:p w:rsidR="006E53AF" w:rsidRPr="006D775D" w:rsidRDefault="006E53AF" w:rsidP="006E53AF">
            <w:pPr>
              <w:pStyle w:val="Tabletext"/>
              <w:jc w:val="right"/>
            </w:pPr>
            <w:r w:rsidRPr="006D775D">
              <w:t>90.65</w:t>
            </w:r>
          </w:p>
        </w:tc>
      </w:tr>
      <w:tr w:rsidR="006E53AF" w:rsidRPr="006D775D" w:rsidTr="00985001">
        <w:tc>
          <w:tcPr>
            <w:tcW w:w="710" w:type="dxa"/>
            <w:tcBorders>
              <w:top w:val="single" w:sz="2" w:space="0" w:color="auto"/>
              <w:bottom w:val="single" w:sz="12" w:space="0" w:color="auto"/>
            </w:tcBorders>
            <w:shd w:val="clear" w:color="auto" w:fill="auto"/>
            <w:hideMark/>
          </w:tcPr>
          <w:p w:rsidR="006E53AF" w:rsidRPr="006D775D" w:rsidRDefault="006E53AF" w:rsidP="00BA1299">
            <w:pPr>
              <w:pStyle w:val="Tabletext"/>
              <w:rPr>
                <w:snapToGrid w:val="0"/>
              </w:rPr>
            </w:pPr>
            <w:r w:rsidRPr="006D775D">
              <w:rPr>
                <w:snapToGrid w:val="0"/>
              </w:rPr>
              <w:t>60</w:t>
            </w:r>
            <w:r w:rsidR="00BA1299" w:rsidRPr="006D775D">
              <w:rPr>
                <w:snapToGrid w:val="0"/>
              </w:rPr>
              <w:t>75</w:t>
            </w:r>
          </w:p>
        </w:tc>
        <w:tc>
          <w:tcPr>
            <w:tcW w:w="6094" w:type="dxa"/>
            <w:gridSpan w:val="2"/>
            <w:tcBorders>
              <w:top w:val="single" w:sz="2" w:space="0" w:color="auto"/>
              <w:bottom w:val="single" w:sz="12" w:space="0" w:color="auto"/>
            </w:tcBorders>
            <w:shd w:val="clear" w:color="auto" w:fill="auto"/>
            <w:hideMark/>
          </w:tcPr>
          <w:p w:rsidR="006E53AF" w:rsidRPr="006D775D" w:rsidRDefault="00F439DA" w:rsidP="00F726C4">
            <w:pPr>
              <w:pStyle w:val="Tabletext"/>
            </w:pPr>
            <w:r w:rsidRPr="006D775D">
              <w:t xml:space="preserve">Attendance by a sexual health medicine specialist in the practice of </w:t>
            </w:r>
            <w:r w:rsidR="00EA57DF" w:rsidRPr="006D775D">
              <w:t>his or her</w:t>
            </w:r>
            <w:r w:rsidRPr="006D775D">
              <w:t xml:space="preserve"> specialty, as a member of a </w:t>
            </w:r>
            <w:r w:rsidR="00AB673C" w:rsidRPr="006D775D">
              <w:t>multidisciplinary case conference team</w:t>
            </w:r>
            <w:r w:rsidR="00501726" w:rsidRPr="006D775D">
              <w:t xml:space="preserve"> of at least 2 other formal care providers of different disciplines</w:t>
            </w:r>
            <w:r w:rsidRPr="006D775D">
              <w:t xml:space="preserve">, to </w:t>
            </w:r>
            <w:r w:rsidRPr="006D775D">
              <w:rPr>
                <w:bCs/>
              </w:rPr>
              <w:t>participate in a community case conference</w:t>
            </w:r>
            <w:r w:rsidRPr="006D775D">
              <w:t xml:space="preserve"> (other than to organise and coordinate the conference) of at least 45 minutes, with </w:t>
            </w:r>
            <w:r w:rsidR="00985001" w:rsidRPr="006D775D">
              <w:t>the</w:t>
            </w:r>
            <w:r w:rsidRPr="006D775D">
              <w:t xml:space="preserve"> </w:t>
            </w:r>
            <w:r w:rsidR="00AB673C" w:rsidRPr="006D775D">
              <w:t>multidisciplinary case conference team</w:t>
            </w:r>
          </w:p>
        </w:tc>
        <w:tc>
          <w:tcPr>
            <w:tcW w:w="1276" w:type="dxa"/>
            <w:tcBorders>
              <w:top w:val="single" w:sz="2" w:space="0" w:color="auto"/>
              <w:bottom w:val="single" w:sz="12" w:space="0" w:color="auto"/>
            </w:tcBorders>
            <w:shd w:val="clear" w:color="auto" w:fill="auto"/>
            <w:hideMark/>
          </w:tcPr>
          <w:p w:rsidR="006E53AF" w:rsidRPr="006D775D" w:rsidRDefault="006E53AF" w:rsidP="006E53AF">
            <w:pPr>
              <w:pStyle w:val="Tabletext"/>
              <w:jc w:val="right"/>
            </w:pPr>
            <w:r w:rsidRPr="006D775D">
              <w:t>120.75</w:t>
            </w:r>
          </w:p>
        </w:tc>
      </w:tr>
    </w:tbl>
    <w:p w:rsidR="00EA57DF" w:rsidRPr="006D775D" w:rsidRDefault="00B25E9D" w:rsidP="00EA57DF">
      <w:pPr>
        <w:pStyle w:val="ItemHead"/>
      </w:pPr>
      <w:r w:rsidRPr="006D775D">
        <w:t>20</w:t>
      </w:r>
      <w:r w:rsidR="00EA57DF" w:rsidRPr="006D775D">
        <w:t xml:space="preserve">  Schedule</w:t>
      </w:r>
      <w:r w:rsidR="006D775D" w:rsidRPr="006D775D">
        <w:t> </w:t>
      </w:r>
      <w:r w:rsidR="00EA57DF" w:rsidRPr="006D775D">
        <w:t>1 (items</w:t>
      </w:r>
      <w:r w:rsidR="006D775D" w:rsidRPr="006D775D">
        <w:t> </w:t>
      </w:r>
      <w:r w:rsidR="00EA57DF" w:rsidRPr="006D775D">
        <w:t>11215 and 11218, column headed “Description”)</w:t>
      </w:r>
    </w:p>
    <w:p w:rsidR="00EA57DF" w:rsidRPr="006D775D" w:rsidRDefault="00EA57DF" w:rsidP="00EA57DF">
      <w:pPr>
        <w:pStyle w:val="Item"/>
      </w:pPr>
      <w:r w:rsidRPr="006D775D">
        <w:t>Omit “photography”, substitute “angiography”.</w:t>
      </w:r>
    </w:p>
    <w:p w:rsidR="00875721" w:rsidRPr="006D775D" w:rsidRDefault="00B25E9D" w:rsidP="00293B87">
      <w:pPr>
        <w:pStyle w:val="ItemHead"/>
      </w:pPr>
      <w:r w:rsidRPr="006D775D">
        <w:t>21</w:t>
      </w:r>
      <w:r w:rsidR="00875721" w:rsidRPr="006D775D">
        <w:t xml:space="preserve">  Schedule</w:t>
      </w:r>
      <w:r w:rsidR="006D775D" w:rsidRPr="006D775D">
        <w:t> </w:t>
      </w:r>
      <w:r w:rsidR="00875721" w:rsidRPr="006D775D">
        <w:t>1 (items</w:t>
      </w:r>
      <w:r w:rsidR="006D775D" w:rsidRPr="006D775D">
        <w:t> </w:t>
      </w:r>
      <w:r w:rsidR="00875721" w:rsidRPr="006D775D">
        <w:t>1200</w:t>
      </w:r>
      <w:r w:rsidR="00C03C11" w:rsidRPr="006D775D">
        <w:t>0</w:t>
      </w:r>
      <w:r w:rsidR="00875721" w:rsidRPr="006D775D">
        <w:t xml:space="preserve"> and 12003</w:t>
      </w:r>
      <w:r w:rsidR="00ED2F36" w:rsidRPr="006D775D">
        <w:t>, column headed “Description”</w:t>
      </w:r>
      <w:r w:rsidR="00875721" w:rsidRPr="006D775D">
        <w:t>)</w:t>
      </w:r>
    </w:p>
    <w:p w:rsidR="00875721" w:rsidRPr="006D775D" w:rsidRDefault="00875721" w:rsidP="00875721">
      <w:pPr>
        <w:pStyle w:val="Item"/>
      </w:pPr>
      <w:r w:rsidRPr="006D775D">
        <w:t>Omit “12015, 12018 or 12021”, substitute “12017, 12021, 12022 or 12024”.</w:t>
      </w:r>
    </w:p>
    <w:p w:rsidR="009929DC" w:rsidRPr="006D775D" w:rsidRDefault="00B25E9D" w:rsidP="00293B87">
      <w:pPr>
        <w:pStyle w:val="ItemHead"/>
      </w:pPr>
      <w:r w:rsidRPr="006D775D">
        <w:t>22</w:t>
      </w:r>
      <w:r w:rsidR="00293B87" w:rsidRPr="006D775D">
        <w:t xml:space="preserve">  Schedule</w:t>
      </w:r>
      <w:r w:rsidR="006D775D" w:rsidRPr="006D775D">
        <w:t> </w:t>
      </w:r>
      <w:r w:rsidR="00293B87" w:rsidRPr="006D775D">
        <w:t>1 (items</w:t>
      </w:r>
      <w:r w:rsidR="006D775D" w:rsidRPr="006D775D">
        <w:t> </w:t>
      </w:r>
      <w:r w:rsidR="00293B87" w:rsidRPr="006D775D">
        <w:t>12012, 12015, 12018 and 12021)</w:t>
      </w:r>
    </w:p>
    <w:p w:rsidR="00293B87" w:rsidRPr="006D775D" w:rsidRDefault="00293B87" w:rsidP="00293B87">
      <w:pPr>
        <w:pStyle w:val="Item"/>
      </w:pPr>
      <w:r w:rsidRPr="006D775D">
        <w:t>Repeal the items, substitute:</w:t>
      </w:r>
    </w:p>
    <w:p w:rsidR="00293B87" w:rsidRPr="006D775D" w:rsidRDefault="00293B87" w:rsidP="00293B87">
      <w:pPr>
        <w:pStyle w:val="Tabletext"/>
      </w:pPr>
    </w:p>
    <w:tbl>
      <w:tblPr>
        <w:tblW w:w="808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851"/>
        <w:gridCol w:w="5953"/>
        <w:gridCol w:w="1276"/>
      </w:tblGrid>
      <w:tr w:rsidR="00293B87" w:rsidRPr="006D775D" w:rsidTr="00EE3080">
        <w:tc>
          <w:tcPr>
            <w:tcW w:w="851" w:type="dxa"/>
            <w:tcBorders>
              <w:top w:val="nil"/>
            </w:tcBorders>
            <w:shd w:val="clear" w:color="auto" w:fill="auto"/>
            <w:hideMark/>
          </w:tcPr>
          <w:p w:rsidR="00293B87" w:rsidRPr="006D775D" w:rsidRDefault="00293B87" w:rsidP="00B65633">
            <w:pPr>
              <w:pStyle w:val="Tabletext"/>
              <w:rPr>
                <w:snapToGrid w:val="0"/>
              </w:rPr>
            </w:pPr>
            <w:r w:rsidRPr="006D775D">
              <w:rPr>
                <w:snapToGrid w:val="0"/>
              </w:rPr>
              <w:t>12012</w:t>
            </w:r>
          </w:p>
        </w:tc>
        <w:tc>
          <w:tcPr>
            <w:tcW w:w="5953" w:type="dxa"/>
            <w:tcBorders>
              <w:top w:val="nil"/>
            </w:tcBorders>
            <w:shd w:val="clear" w:color="auto" w:fill="auto"/>
            <w:hideMark/>
          </w:tcPr>
          <w:p w:rsidR="00293B87" w:rsidRPr="006D775D" w:rsidRDefault="00293B87" w:rsidP="00C03C11">
            <w:pPr>
              <w:pStyle w:val="Tabletext"/>
            </w:pPr>
            <w:r w:rsidRPr="006D775D">
              <w:t xml:space="preserve">Epicutaneous patch testing in the investigation of allergic dermatitis using </w:t>
            </w:r>
            <w:r w:rsidR="00C03C11" w:rsidRPr="006D775D">
              <w:t>not more</w:t>
            </w:r>
            <w:r w:rsidRPr="006D775D">
              <w:t xml:space="preserve"> than 2</w:t>
            </w:r>
            <w:r w:rsidR="00C03C11" w:rsidRPr="006D775D">
              <w:t>5</w:t>
            </w:r>
            <w:r w:rsidRPr="006D775D">
              <w:t xml:space="preserve"> allergens</w:t>
            </w:r>
          </w:p>
        </w:tc>
        <w:tc>
          <w:tcPr>
            <w:tcW w:w="1276" w:type="dxa"/>
            <w:tcBorders>
              <w:top w:val="nil"/>
            </w:tcBorders>
            <w:shd w:val="clear" w:color="auto" w:fill="auto"/>
            <w:hideMark/>
          </w:tcPr>
          <w:p w:rsidR="00293B87" w:rsidRPr="006D775D" w:rsidRDefault="00293B87" w:rsidP="00A92FD1">
            <w:pPr>
              <w:pStyle w:val="Tabletext"/>
              <w:jc w:val="right"/>
            </w:pPr>
            <w:r w:rsidRPr="006D775D">
              <w:t>2</w:t>
            </w:r>
            <w:r w:rsidR="00A92FD1" w:rsidRPr="006D775D">
              <w:t>0</w:t>
            </w:r>
            <w:r w:rsidRPr="006D775D">
              <w:t>.80</w:t>
            </w:r>
          </w:p>
        </w:tc>
      </w:tr>
      <w:tr w:rsidR="00293B87" w:rsidRPr="006D775D" w:rsidTr="00EE3080">
        <w:tc>
          <w:tcPr>
            <w:tcW w:w="851" w:type="dxa"/>
            <w:shd w:val="clear" w:color="auto" w:fill="auto"/>
            <w:hideMark/>
          </w:tcPr>
          <w:p w:rsidR="00293B87" w:rsidRPr="006D775D" w:rsidRDefault="00293B87" w:rsidP="00B65633">
            <w:pPr>
              <w:pStyle w:val="Tabletext"/>
              <w:rPr>
                <w:snapToGrid w:val="0"/>
              </w:rPr>
            </w:pPr>
            <w:r w:rsidRPr="006D775D">
              <w:rPr>
                <w:snapToGrid w:val="0"/>
              </w:rPr>
              <w:t>12017</w:t>
            </w:r>
          </w:p>
        </w:tc>
        <w:tc>
          <w:tcPr>
            <w:tcW w:w="5953" w:type="dxa"/>
            <w:shd w:val="clear" w:color="auto" w:fill="auto"/>
            <w:hideMark/>
          </w:tcPr>
          <w:p w:rsidR="00293B87" w:rsidRPr="006D775D" w:rsidRDefault="00293B87" w:rsidP="00C03C11">
            <w:pPr>
              <w:pStyle w:val="Tabletext"/>
            </w:pPr>
            <w:r w:rsidRPr="006D775D">
              <w:t xml:space="preserve">Epicutaneous patch testing in the investigation of allergic dermatitis using </w:t>
            </w:r>
            <w:r w:rsidR="00C03C11" w:rsidRPr="006D775D">
              <w:t xml:space="preserve">more than </w:t>
            </w:r>
            <w:r w:rsidRPr="006D775D">
              <w:t>2</w:t>
            </w:r>
            <w:r w:rsidR="00C03C11" w:rsidRPr="006D775D">
              <w:t>5</w:t>
            </w:r>
            <w:r w:rsidR="008064A5" w:rsidRPr="006D775D">
              <w:t xml:space="preserve"> allergens but </w:t>
            </w:r>
            <w:r w:rsidR="00C03C11" w:rsidRPr="006D775D">
              <w:t xml:space="preserve">not more </w:t>
            </w:r>
            <w:r w:rsidR="008064A5" w:rsidRPr="006D775D">
              <w:t xml:space="preserve">than </w:t>
            </w:r>
            <w:r w:rsidRPr="006D775D">
              <w:t>5</w:t>
            </w:r>
            <w:r w:rsidR="00C03C11" w:rsidRPr="006D775D">
              <w:t>0</w:t>
            </w:r>
            <w:r w:rsidRPr="006D775D">
              <w:t xml:space="preserve"> allergens</w:t>
            </w:r>
          </w:p>
        </w:tc>
        <w:tc>
          <w:tcPr>
            <w:tcW w:w="1276" w:type="dxa"/>
            <w:shd w:val="clear" w:color="auto" w:fill="auto"/>
            <w:hideMark/>
          </w:tcPr>
          <w:p w:rsidR="00293B87" w:rsidRPr="006D775D" w:rsidRDefault="00EE3080" w:rsidP="00B65633">
            <w:pPr>
              <w:pStyle w:val="Tabletext"/>
              <w:jc w:val="right"/>
            </w:pPr>
            <w:r w:rsidRPr="006D775D">
              <w:t>70.30</w:t>
            </w:r>
          </w:p>
        </w:tc>
      </w:tr>
      <w:tr w:rsidR="00293B87" w:rsidRPr="006D775D" w:rsidTr="00EE3080">
        <w:tc>
          <w:tcPr>
            <w:tcW w:w="851" w:type="dxa"/>
            <w:shd w:val="clear" w:color="auto" w:fill="auto"/>
            <w:hideMark/>
          </w:tcPr>
          <w:p w:rsidR="00293B87" w:rsidRPr="006D775D" w:rsidRDefault="00293B87" w:rsidP="00B65633">
            <w:pPr>
              <w:pStyle w:val="Tabletext"/>
              <w:rPr>
                <w:snapToGrid w:val="0"/>
              </w:rPr>
            </w:pPr>
            <w:r w:rsidRPr="006D775D">
              <w:rPr>
                <w:snapToGrid w:val="0"/>
              </w:rPr>
              <w:t>12021</w:t>
            </w:r>
          </w:p>
        </w:tc>
        <w:tc>
          <w:tcPr>
            <w:tcW w:w="5953" w:type="dxa"/>
            <w:shd w:val="clear" w:color="auto" w:fill="auto"/>
            <w:hideMark/>
          </w:tcPr>
          <w:p w:rsidR="00293B87" w:rsidRPr="006D775D" w:rsidRDefault="00293B87" w:rsidP="00C03C11">
            <w:pPr>
              <w:pStyle w:val="Tabletext"/>
            </w:pPr>
            <w:r w:rsidRPr="006D775D">
              <w:t xml:space="preserve">Epicutaneous patch testing in the investigation of allergic dermatitis, performed by or on behalf of a specialist in the practice of his or her specialty, using </w:t>
            </w:r>
            <w:r w:rsidR="00C03C11" w:rsidRPr="006D775D">
              <w:t xml:space="preserve">more than </w:t>
            </w:r>
            <w:r w:rsidRPr="006D775D">
              <w:t>5</w:t>
            </w:r>
            <w:r w:rsidR="00C03C11" w:rsidRPr="006D775D">
              <w:t>0</w:t>
            </w:r>
            <w:r w:rsidRPr="006D775D">
              <w:t xml:space="preserve"> </w:t>
            </w:r>
            <w:r w:rsidR="00B03DAC" w:rsidRPr="006D775D">
              <w:t xml:space="preserve">allergens but </w:t>
            </w:r>
            <w:r w:rsidR="00C03C11" w:rsidRPr="006D775D">
              <w:t xml:space="preserve">not more than </w:t>
            </w:r>
            <w:r w:rsidRPr="006D775D">
              <w:t>7</w:t>
            </w:r>
            <w:r w:rsidR="00C03C11" w:rsidRPr="006D775D">
              <w:t>5</w:t>
            </w:r>
            <w:r w:rsidRPr="006D775D">
              <w:t xml:space="preserve"> allergens</w:t>
            </w:r>
          </w:p>
        </w:tc>
        <w:tc>
          <w:tcPr>
            <w:tcW w:w="1276" w:type="dxa"/>
            <w:shd w:val="clear" w:color="auto" w:fill="auto"/>
            <w:hideMark/>
          </w:tcPr>
          <w:p w:rsidR="00293B87" w:rsidRPr="006D775D" w:rsidRDefault="00EE3080" w:rsidP="00B65633">
            <w:pPr>
              <w:pStyle w:val="Tabletext"/>
              <w:jc w:val="right"/>
            </w:pPr>
            <w:r w:rsidRPr="006D775D">
              <w:t>115.50</w:t>
            </w:r>
          </w:p>
        </w:tc>
      </w:tr>
      <w:tr w:rsidR="00293B87" w:rsidRPr="006D775D" w:rsidTr="00EE3080">
        <w:tc>
          <w:tcPr>
            <w:tcW w:w="851" w:type="dxa"/>
            <w:tcBorders>
              <w:bottom w:val="single" w:sz="2" w:space="0" w:color="auto"/>
            </w:tcBorders>
            <w:shd w:val="clear" w:color="auto" w:fill="auto"/>
          </w:tcPr>
          <w:p w:rsidR="00293B87" w:rsidRPr="006D775D" w:rsidRDefault="00293B87" w:rsidP="00B65633">
            <w:pPr>
              <w:pStyle w:val="Tabletext"/>
              <w:rPr>
                <w:snapToGrid w:val="0"/>
              </w:rPr>
            </w:pPr>
            <w:r w:rsidRPr="006D775D">
              <w:rPr>
                <w:snapToGrid w:val="0"/>
              </w:rPr>
              <w:t>12022</w:t>
            </w:r>
          </w:p>
        </w:tc>
        <w:tc>
          <w:tcPr>
            <w:tcW w:w="5953" w:type="dxa"/>
            <w:tcBorders>
              <w:bottom w:val="single" w:sz="2" w:space="0" w:color="auto"/>
            </w:tcBorders>
            <w:shd w:val="clear" w:color="auto" w:fill="auto"/>
          </w:tcPr>
          <w:p w:rsidR="00293B87" w:rsidRPr="006D775D" w:rsidRDefault="00293B87" w:rsidP="00F05C64">
            <w:pPr>
              <w:pStyle w:val="Tabletext"/>
            </w:pPr>
            <w:r w:rsidRPr="006D775D">
              <w:t xml:space="preserve">Epicutaneous patch testing in the investigation of allergic dermatitis, performed by or on behalf of a specialist in the practice of his or her specialty, using </w:t>
            </w:r>
            <w:r w:rsidR="00C03C11" w:rsidRPr="006D775D">
              <w:t>more than</w:t>
            </w:r>
            <w:r w:rsidR="00E72897" w:rsidRPr="006D775D">
              <w:t xml:space="preserve"> </w:t>
            </w:r>
            <w:r w:rsidRPr="006D775D">
              <w:t>7</w:t>
            </w:r>
            <w:r w:rsidR="00F05C64" w:rsidRPr="006D775D">
              <w:t>5</w:t>
            </w:r>
            <w:r w:rsidRPr="006D775D">
              <w:t xml:space="preserve"> </w:t>
            </w:r>
            <w:r w:rsidR="00B03DAC" w:rsidRPr="006D775D">
              <w:t xml:space="preserve">allergens but </w:t>
            </w:r>
            <w:r w:rsidR="00C03C11" w:rsidRPr="006D775D">
              <w:t>not more</w:t>
            </w:r>
            <w:r w:rsidR="00B03DAC" w:rsidRPr="006D775D">
              <w:t xml:space="preserve"> than </w:t>
            </w:r>
            <w:r w:rsidRPr="006D775D">
              <w:t>100 allergens</w:t>
            </w:r>
          </w:p>
        </w:tc>
        <w:tc>
          <w:tcPr>
            <w:tcW w:w="1276" w:type="dxa"/>
            <w:tcBorders>
              <w:bottom w:val="single" w:sz="2" w:space="0" w:color="auto"/>
            </w:tcBorders>
            <w:shd w:val="clear" w:color="auto" w:fill="auto"/>
          </w:tcPr>
          <w:p w:rsidR="00293B87" w:rsidRPr="006D775D" w:rsidRDefault="00EE3080" w:rsidP="00B65633">
            <w:pPr>
              <w:pStyle w:val="Tabletext"/>
              <w:jc w:val="right"/>
            </w:pPr>
            <w:r w:rsidRPr="006D775D">
              <w:t>135.65</w:t>
            </w:r>
          </w:p>
        </w:tc>
      </w:tr>
      <w:tr w:rsidR="00293B87" w:rsidRPr="006D775D" w:rsidTr="00EE3080">
        <w:tc>
          <w:tcPr>
            <w:tcW w:w="851" w:type="dxa"/>
            <w:tcBorders>
              <w:top w:val="single" w:sz="2" w:space="0" w:color="auto"/>
              <w:bottom w:val="nil"/>
            </w:tcBorders>
            <w:shd w:val="clear" w:color="auto" w:fill="auto"/>
          </w:tcPr>
          <w:p w:rsidR="00293B87" w:rsidRPr="006D775D" w:rsidRDefault="00293B87" w:rsidP="00B65633">
            <w:pPr>
              <w:pStyle w:val="Tabletext"/>
              <w:rPr>
                <w:snapToGrid w:val="0"/>
              </w:rPr>
            </w:pPr>
            <w:r w:rsidRPr="006D775D">
              <w:rPr>
                <w:snapToGrid w:val="0"/>
              </w:rPr>
              <w:t>12024</w:t>
            </w:r>
          </w:p>
        </w:tc>
        <w:tc>
          <w:tcPr>
            <w:tcW w:w="5953" w:type="dxa"/>
            <w:tcBorders>
              <w:top w:val="single" w:sz="2" w:space="0" w:color="auto"/>
              <w:bottom w:val="nil"/>
            </w:tcBorders>
            <w:shd w:val="clear" w:color="auto" w:fill="auto"/>
          </w:tcPr>
          <w:p w:rsidR="00293B87" w:rsidRPr="006D775D" w:rsidRDefault="00293B87" w:rsidP="00B65633">
            <w:pPr>
              <w:pStyle w:val="Tabletext"/>
            </w:pPr>
            <w:r w:rsidRPr="006D775D">
              <w:t>Epicutaneous patch testing in the investigation of allergic dermatitis, performed by or on behalf of a specialist in the practice of his or her specialty, using more than 100 allergens</w:t>
            </w:r>
          </w:p>
        </w:tc>
        <w:tc>
          <w:tcPr>
            <w:tcW w:w="1276" w:type="dxa"/>
            <w:tcBorders>
              <w:top w:val="single" w:sz="2" w:space="0" w:color="auto"/>
              <w:bottom w:val="nil"/>
            </w:tcBorders>
            <w:shd w:val="clear" w:color="auto" w:fill="auto"/>
          </w:tcPr>
          <w:p w:rsidR="00293B87" w:rsidRPr="006D775D" w:rsidRDefault="00EE3080" w:rsidP="00B65633">
            <w:pPr>
              <w:pStyle w:val="Tabletext"/>
              <w:jc w:val="right"/>
            </w:pPr>
            <w:r w:rsidRPr="006D775D">
              <w:t>154.50</w:t>
            </w:r>
          </w:p>
        </w:tc>
      </w:tr>
    </w:tbl>
    <w:p w:rsidR="00956E87" w:rsidRPr="006D775D" w:rsidRDefault="00B25E9D" w:rsidP="00956E87">
      <w:pPr>
        <w:pStyle w:val="ItemHead"/>
      </w:pPr>
      <w:r w:rsidRPr="006D775D">
        <w:t>23</w:t>
      </w:r>
      <w:r w:rsidR="00EE3080" w:rsidRPr="006D775D">
        <w:t xml:space="preserve">  Schedule</w:t>
      </w:r>
      <w:r w:rsidR="006D775D" w:rsidRPr="006D775D">
        <w:t> </w:t>
      </w:r>
      <w:r w:rsidR="00EE3080" w:rsidRPr="006D775D">
        <w:t>1 (after item</w:t>
      </w:r>
      <w:r w:rsidR="006D775D" w:rsidRPr="006D775D">
        <w:t> </w:t>
      </w:r>
      <w:r w:rsidR="00EE3080" w:rsidRPr="006D775D">
        <w:t>12250)</w:t>
      </w:r>
    </w:p>
    <w:p w:rsidR="00956E87" w:rsidRPr="006D775D" w:rsidRDefault="00EE3080" w:rsidP="00956E87">
      <w:pPr>
        <w:pStyle w:val="Item"/>
      </w:pPr>
      <w:r w:rsidRPr="006D775D">
        <w:t>Insert:</w:t>
      </w:r>
    </w:p>
    <w:p w:rsidR="00EE3080" w:rsidRPr="006D775D" w:rsidRDefault="00EE3080" w:rsidP="00EE3080">
      <w:pPr>
        <w:pStyle w:val="Tabletext"/>
      </w:pPr>
    </w:p>
    <w:tbl>
      <w:tblPr>
        <w:tblW w:w="808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851"/>
        <w:gridCol w:w="5953"/>
        <w:gridCol w:w="1276"/>
      </w:tblGrid>
      <w:tr w:rsidR="00EE3080" w:rsidRPr="006D775D" w:rsidTr="000730BA">
        <w:tc>
          <w:tcPr>
            <w:tcW w:w="851" w:type="dxa"/>
            <w:tcBorders>
              <w:top w:val="nil"/>
              <w:bottom w:val="single" w:sz="2" w:space="0" w:color="auto"/>
            </w:tcBorders>
            <w:shd w:val="clear" w:color="auto" w:fill="auto"/>
            <w:hideMark/>
          </w:tcPr>
          <w:p w:rsidR="00EE3080" w:rsidRPr="006D775D" w:rsidRDefault="00EE3080" w:rsidP="00EE3080">
            <w:pPr>
              <w:pStyle w:val="Tabletext"/>
              <w:rPr>
                <w:snapToGrid w:val="0"/>
              </w:rPr>
            </w:pPr>
            <w:r w:rsidRPr="006D775D">
              <w:rPr>
                <w:snapToGrid w:val="0"/>
              </w:rPr>
              <w:t>12325</w:t>
            </w:r>
          </w:p>
        </w:tc>
        <w:tc>
          <w:tcPr>
            <w:tcW w:w="5953" w:type="dxa"/>
            <w:tcBorders>
              <w:top w:val="nil"/>
              <w:bottom w:val="single" w:sz="2" w:space="0" w:color="auto"/>
            </w:tcBorders>
            <w:shd w:val="clear" w:color="auto" w:fill="auto"/>
            <w:hideMark/>
          </w:tcPr>
          <w:p w:rsidR="00595B99" w:rsidRPr="006D775D" w:rsidRDefault="00925920" w:rsidP="00925920">
            <w:pPr>
              <w:pStyle w:val="Tabletext"/>
              <w:rPr>
                <w:rFonts w:eastAsia="SimSun"/>
              </w:rPr>
            </w:pPr>
            <w:r w:rsidRPr="006D775D">
              <w:rPr>
                <w:rFonts w:eastAsia="SimSun"/>
              </w:rPr>
              <w:t xml:space="preserve">Assessment of visual acuity and bilateral retinal photography with a </w:t>
            </w:r>
            <w:r w:rsidR="00E90675" w:rsidRPr="006D775D">
              <w:t>non</w:t>
            </w:r>
            <w:r w:rsidR="006D775D">
              <w:noBreakHyphen/>
            </w:r>
            <w:r w:rsidRPr="006D775D">
              <w:rPr>
                <w:rFonts w:eastAsia="SimSun"/>
              </w:rPr>
              <w:t>mydriatic retinal camera, including analysis and reporting of the images for initial or repeat assessment for presence or absence of diabetic retinopathy</w:t>
            </w:r>
            <w:r w:rsidR="00BF3B2A" w:rsidRPr="006D775D">
              <w:rPr>
                <w:rFonts w:eastAsia="SimSun"/>
              </w:rPr>
              <w:t>,</w:t>
            </w:r>
            <w:r w:rsidRPr="006D775D">
              <w:rPr>
                <w:rFonts w:eastAsia="SimSun"/>
              </w:rPr>
              <w:t xml:space="preserve"> in a </w:t>
            </w:r>
            <w:r w:rsidR="00C03C11" w:rsidRPr="006D775D">
              <w:rPr>
                <w:rFonts w:eastAsia="SimSun"/>
              </w:rPr>
              <w:t>patient</w:t>
            </w:r>
            <w:r w:rsidRPr="006D775D">
              <w:rPr>
                <w:rFonts w:eastAsia="SimSun"/>
              </w:rPr>
              <w:t xml:space="preserve"> with medically diagnosed diabetes</w:t>
            </w:r>
            <w:r w:rsidR="00E9570C" w:rsidRPr="006D775D">
              <w:rPr>
                <w:rFonts w:eastAsia="SimSun"/>
              </w:rPr>
              <w:t>,</w:t>
            </w:r>
            <w:r w:rsidRPr="006D775D">
              <w:rPr>
                <w:rFonts w:eastAsia="SimSun"/>
              </w:rPr>
              <w:t xml:space="preserve"> if</w:t>
            </w:r>
            <w:r w:rsidR="007805CF" w:rsidRPr="006D775D">
              <w:rPr>
                <w:rFonts w:eastAsia="SimSun"/>
              </w:rPr>
              <w:t>:</w:t>
            </w:r>
          </w:p>
          <w:p w:rsidR="00B65633" w:rsidRPr="006D775D" w:rsidRDefault="00B65633" w:rsidP="00B65633">
            <w:pPr>
              <w:pStyle w:val="Tablea"/>
              <w:rPr>
                <w:rFonts w:eastAsia="SimSun"/>
              </w:rPr>
            </w:pPr>
            <w:r w:rsidRPr="006D775D">
              <w:rPr>
                <w:rFonts w:eastAsia="SimSun"/>
              </w:rPr>
              <w:t xml:space="preserve">(a) the </w:t>
            </w:r>
            <w:r w:rsidR="00C03C11" w:rsidRPr="006D775D">
              <w:rPr>
                <w:rFonts w:eastAsia="SimSun"/>
              </w:rPr>
              <w:t>patient</w:t>
            </w:r>
            <w:r w:rsidRPr="006D775D">
              <w:rPr>
                <w:rFonts w:eastAsia="SimSun"/>
              </w:rPr>
              <w:t xml:space="preserve"> is of Aboriginal and Torres Strait Islander descent; and</w:t>
            </w:r>
          </w:p>
          <w:p w:rsidR="00595B99" w:rsidRPr="006D775D" w:rsidRDefault="00595B99" w:rsidP="00595B99">
            <w:pPr>
              <w:pStyle w:val="Tablea"/>
              <w:rPr>
                <w:rFonts w:eastAsia="SimSun"/>
              </w:rPr>
            </w:pPr>
            <w:r w:rsidRPr="006D775D">
              <w:rPr>
                <w:rFonts w:eastAsia="SimSun"/>
              </w:rPr>
              <w:t>(</w:t>
            </w:r>
            <w:r w:rsidR="00E72897" w:rsidRPr="006D775D">
              <w:rPr>
                <w:rFonts w:eastAsia="SimSun"/>
              </w:rPr>
              <w:t>b</w:t>
            </w:r>
            <w:r w:rsidRPr="006D775D">
              <w:rPr>
                <w:rFonts w:eastAsia="SimSun"/>
              </w:rPr>
              <w:t xml:space="preserve">) the assessment is performed by the medical practitioner </w:t>
            </w:r>
            <w:r w:rsidR="00A535EE" w:rsidRPr="006D775D">
              <w:rPr>
                <w:rFonts w:eastAsia="SimSun"/>
              </w:rPr>
              <w:t xml:space="preserve">(other than an optometrist or ophthalmologist) </w:t>
            </w:r>
            <w:r w:rsidRPr="006D775D">
              <w:rPr>
                <w:rFonts w:eastAsia="SimSun"/>
              </w:rPr>
              <w:t xml:space="preserve">providing the primary glycaemic management of the </w:t>
            </w:r>
            <w:r w:rsidR="00E72897" w:rsidRPr="006D775D">
              <w:rPr>
                <w:rFonts w:eastAsia="SimSun"/>
              </w:rPr>
              <w:t>patient</w:t>
            </w:r>
            <w:r w:rsidR="0009604F" w:rsidRPr="006D775D">
              <w:rPr>
                <w:rFonts w:eastAsia="SimSun"/>
              </w:rPr>
              <w:t>’s</w:t>
            </w:r>
            <w:r w:rsidRPr="006D775D">
              <w:rPr>
                <w:rFonts w:eastAsia="SimSun"/>
              </w:rPr>
              <w:t xml:space="preserve"> diabetes; and</w:t>
            </w:r>
          </w:p>
          <w:p w:rsidR="00595B99" w:rsidRPr="006D775D" w:rsidRDefault="00595B99" w:rsidP="00595B99">
            <w:pPr>
              <w:pStyle w:val="Tablea"/>
              <w:rPr>
                <w:rFonts w:eastAsia="SimSun"/>
              </w:rPr>
            </w:pPr>
            <w:r w:rsidRPr="006D775D">
              <w:rPr>
                <w:rFonts w:eastAsia="SimSun"/>
              </w:rPr>
              <w:t>(</w:t>
            </w:r>
            <w:r w:rsidR="00E72897" w:rsidRPr="006D775D">
              <w:rPr>
                <w:rFonts w:eastAsia="SimSun"/>
              </w:rPr>
              <w:t>c</w:t>
            </w:r>
            <w:r w:rsidRPr="006D775D">
              <w:rPr>
                <w:rFonts w:eastAsia="SimSun"/>
              </w:rPr>
              <w:t>) t</w:t>
            </w:r>
            <w:r w:rsidR="00C03C11" w:rsidRPr="006D775D">
              <w:rPr>
                <w:rFonts w:eastAsia="SimSun"/>
              </w:rPr>
              <w:t xml:space="preserve">his item </w:t>
            </w:r>
            <w:r w:rsidR="00A92FD1" w:rsidRPr="006D775D">
              <w:rPr>
                <w:rFonts w:eastAsia="SimSun"/>
              </w:rPr>
              <w:t>and item</w:t>
            </w:r>
            <w:r w:rsidR="006D775D" w:rsidRPr="006D775D">
              <w:rPr>
                <w:rFonts w:eastAsia="SimSun"/>
              </w:rPr>
              <w:t> </w:t>
            </w:r>
            <w:r w:rsidR="00A92FD1" w:rsidRPr="006D775D">
              <w:rPr>
                <w:rFonts w:eastAsia="SimSun"/>
              </w:rPr>
              <w:t xml:space="preserve">12326 </w:t>
            </w:r>
            <w:r w:rsidR="00C03C11" w:rsidRPr="006D775D">
              <w:rPr>
                <w:rFonts w:eastAsia="SimSun"/>
              </w:rPr>
              <w:t>ha</w:t>
            </w:r>
            <w:r w:rsidR="00A92FD1" w:rsidRPr="006D775D">
              <w:rPr>
                <w:rFonts w:eastAsia="SimSun"/>
              </w:rPr>
              <w:t>ve</w:t>
            </w:r>
            <w:r w:rsidR="00C03C11" w:rsidRPr="006D775D">
              <w:rPr>
                <w:rFonts w:eastAsia="SimSun"/>
              </w:rPr>
              <w:t xml:space="preserve"> not applied to the patient in the preceding</w:t>
            </w:r>
            <w:r w:rsidRPr="006D775D">
              <w:rPr>
                <w:rFonts w:eastAsia="SimSun"/>
              </w:rPr>
              <w:t xml:space="preserve"> 12 months; and</w:t>
            </w:r>
          </w:p>
          <w:p w:rsidR="00595B99" w:rsidRPr="006D775D" w:rsidRDefault="00595B99" w:rsidP="00595B99">
            <w:pPr>
              <w:pStyle w:val="Tablea"/>
              <w:rPr>
                <w:rFonts w:eastAsia="SimSun"/>
              </w:rPr>
            </w:pPr>
            <w:r w:rsidRPr="006D775D">
              <w:rPr>
                <w:rFonts w:eastAsia="SimSun"/>
              </w:rPr>
              <w:t>(</w:t>
            </w:r>
            <w:r w:rsidR="00E72897" w:rsidRPr="006D775D">
              <w:rPr>
                <w:rFonts w:eastAsia="SimSun"/>
              </w:rPr>
              <w:t>d</w:t>
            </w:r>
            <w:r w:rsidRPr="006D775D">
              <w:rPr>
                <w:rFonts w:eastAsia="SimSun"/>
              </w:rPr>
              <w:t xml:space="preserve">) the </w:t>
            </w:r>
            <w:r w:rsidR="00C03C11" w:rsidRPr="006D775D">
              <w:rPr>
                <w:rFonts w:eastAsia="SimSun"/>
              </w:rPr>
              <w:t>patient</w:t>
            </w:r>
            <w:r w:rsidRPr="006D775D">
              <w:rPr>
                <w:rFonts w:eastAsia="SimSun"/>
              </w:rPr>
              <w:t xml:space="preserve"> does not have:</w:t>
            </w:r>
          </w:p>
          <w:p w:rsidR="00595B99" w:rsidRPr="006D775D" w:rsidRDefault="00595B99" w:rsidP="00595B99">
            <w:pPr>
              <w:pStyle w:val="Tablei"/>
              <w:rPr>
                <w:rFonts w:eastAsia="SimSun"/>
              </w:rPr>
            </w:pPr>
            <w:r w:rsidRPr="006D775D">
              <w:rPr>
                <w:rFonts w:eastAsia="SimSun"/>
              </w:rPr>
              <w:t>(i) an existing diagnosis of diabetic retinopathy; or</w:t>
            </w:r>
          </w:p>
          <w:p w:rsidR="00A535EE" w:rsidRPr="006D775D" w:rsidRDefault="00595B99" w:rsidP="00595B99">
            <w:pPr>
              <w:pStyle w:val="Tablei"/>
              <w:rPr>
                <w:rFonts w:eastAsia="SimSun"/>
              </w:rPr>
            </w:pPr>
            <w:r w:rsidRPr="006D775D">
              <w:rPr>
                <w:rFonts w:eastAsia="SimSun"/>
              </w:rPr>
              <w:t>(ii) visual acuity of less than 6/12 in either eye</w:t>
            </w:r>
            <w:r w:rsidR="00A535EE" w:rsidRPr="006D775D">
              <w:rPr>
                <w:rFonts w:eastAsia="SimSun"/>
              </w:rPr>
              <w:t>;</w:t>
            </w:r>
            <w:r w:rsidRPr="006D775D">
              <w:rPr>
                <w:rFonts w:eastAsia="SimSun"/>
              </w:rPr>
              <w:t xml:space="preserve"> or</w:t>
            </w:r>
          </w:p>
          <w:p w:rsidR="00EE3080" w:rsidRPr="006D775D" w:rsidRDefault="00A535EE" w:rsidP="00C03C11">
            <w:pPr>
              <w:pStyle w:val="Tablei"/>
            </w:pPr>
            <w:r w:rsidRPr="006D775D">
              <w:rPr>
                <w:rFonts w:eastAsia="SimSun"/>
              </w:rPr>
              <w:t xml:space="preserve">(iii) </w:t>
            </w:r>
            <w:r w:rsidR="00595B99" w:rsidRPr="006D775D">
              <w:rPr>
                <w:rFonts w:eastAsia="SimSun"/>
              </w:rPr>
              <w:t xml:space="preserve">a difference of more than </w:t>
            </w:r>
            <w:r w:rsidR="00304055" w:rsidRPr="006D775D">
              <w:rPr>
                <w:rFonts w:eastAsia="SimSun"/>
              </w:rPr>
              <w:t>2</w:t>
            </w:r>
            <w:r w:rsidR="00595B99" w:rsidRPr="006D775D">
              <w:rPr>
                <w:rFonts w:eastAsia="SimSun"/>
              </w:rPr>
              <w:t xml:space="preserve"> lines of vision between the </w:t>
            </w:r>
            <w:r w:rsidR="00304055" w:rsidRPr="006D775D">
              <w:rPr>
                <w:rFonts w:eastAsia="SimSun"/>
              </w:rPr>
              <w:t>2</w:t>
            </w:r>
            <w:r w:rsidR="00595B99" w:rsidRPr="006D775D">
              <w:rPr>
                <w:rFonts w:eastAsia="SimSun"/>
              </w:rPr>
              <w:t xml:space="preserve"> eyes at the time of presentation</w:t>
            </w:r>
          </w:p>
        </w:tc>
        <w:tc>
          <w:tcPr>
            <w:tcW w:w="1276" w:type="dxa"/>
            <w:tcBorders>
              <w:top w:val="nil"/>
              <w:bottom w:val="single" w:sz="2" w:space="0" w:color="auto"/>
            </w:tcBorders>
            <w:shd w:val="clear" w:color="auto" w:fill="auto"/>
            <w:hideMark/>
          </w:tcPr>
          <w:p w:rsidR="00EE3080" w:rsidRPr="006D775D" w:rsidRDefault="00925920" w:rsidP="00B65633">
            <w:pPr>
              <w:pStyle w:val="Tabletext"/>
              <w:jc w:val="right"/>
            </w:pPr>
            <w:r w:rsidRPr="006D775D">
              <w:t>50.00</w:t>
            </w:r>
          </w:p>
        </w:tc>
      </w:tr>
      <w:tr w:rsidR="00EE3080" w:rsidRPr="006D775D" w:rsidTr="000730BA">
        <w:tc>
          <w:tcPr>
            <w:tcW w:w="851" w:type="dxa"/>
            <w:tcBorders>
              <w:top w:val="single" w:sz="2" w:space="0" w:color="auto"/>
              <w:bottom w:val="nil"/>
            </w:tcBorders>
            <w:shd w:val="clear" w:color="auto" w:fill="auto"/>
            <w:hideMark/>
          </w:tcPr>
          <w:p w:rsidR="00EE3080" w:rsidRPr="006D775D" w:rsidRDefault="00EE3080" w:rsidP="00925920">
            <w:pPr>
              <w:pStyle w:val="Tabletext"/>
              <w:rPr>
                <w:snapToGrid w:val="0"/>
              </w:rPr>
            </w:pPr>
            <w:r w:rsidRPr="006D775D">
              <w:rPr>
                <w:snapToGrid w:val="0"/>
              </w:rPr>
              <w:t>12</w:t>
            </w:r>
            <w:r w:rsidR="00925920" w:rsidRPr="006D775D">
              <w:rPr>
                <w:snapToGrid w:val="0"/>
              </w:rPr>
              <w:t>326</w:t>
            </w:r>
          </w:p>
        </w:tc>
        <w:tc>
          <w:tcPr>
            <w:tcW w:w="5953" w:type="dxa"/>
            <w:tcBorders>
              <w:top w:val="single" w:sz="2" w:space="0" w:color="auto"/>
              <w:bottom w:val="nil"/>
            </w:tcBorders>
            <w:shd w:val="clear" w:color="auto" w:fill="auto"/>
            <w:hideMark/>
          </w:tcPr>
          <w:p w:rsidR="00925920" w:rsidRPr="006D775D" w:rsidRDefault="00925920" w:rsidP="00591700">
            <w:pPr>
              <w:pStyle w:val="DataEntry"/>
              <w:spacing w:afterLines="40" w:after="96"/>
              <w:rPr>
                <w:rFonts w:ascii="Times New Roman" w:eastAsia="SimSun" w:hAnsi="Times New Roman"/>
                <w:b w:val="0"/>
                <w:color w:val="auto"/>
                <w:sz w:val="20"/>
                <w:szCs w:val="20"/>
                <w:lang w:val="en-AU" w:eastAsia="ja-JP"/>
              </w:rPr>
            </w:pPr>
            <w:r w:rsidRPr="006D775D">
              <w:rPr>
                <w:rFonts w:ascii="Times New Roman" w:eastAsia="SimSun" w:hAnsi="Times New Roman"/>
                <w:b w:val="0"/>
                <w:color w:val="auto"/>
                <w:sz w:val="20"/>
                <w:szCs w:val="20"/>
                <w:lang w:val="en-AU" w:eastAsia="ja-JP"/>
              </w:rPr>
              <w:t>Assessment of visual acuity and bilateral retinal photography with a non</w:t>
            </w:r>
            <w:r w:rsidR="006D775D">
              <w:rPr>
                <w:rFonts w:ascii="Times New Roman" w:eastAsia="SimSun" w:hAnsi="Times New Roman"/>
                <w:b w:val="0"/>
                <w:color w:val="auto"/>
                <w:sz w:val="20"/>
                <w:szCs w:val="20"/>
                <w:lang w:val="en-AU" w:eastAsia="ja-JP"/>
              </w:rPr>
              <w:noBreakHyphen/>
            </w:r>
            <w:r w:rsidRPr="006D775D">
              <w:rPr>
                <w:rFonts w:ascii="Times New Roman" w:eastAsia="SimSun" w:hAnsi="Times New Roman"/>
                <w:b w:val="0"/>
                <w:color w:val="auto"/>
                <w:sz w:val="20"/>
                <w:szCs w:val="20"/>
                <w:lang w:val="en-AU" w:eastAsia="ja-JP"/>
              </w:rPr>
              <w:t>mydriatic retinal camera, including analysis and reporting of the images for initial or repeat assessment for presence or absence of diabetic retinopathy</w:t>
            </w:r>
            <w:r w:rsidR="00BF3B2A" w:rsidRPr="006D775D">
              <w:rPr>
                <w:rFonts w:ascii="Times New Roman" w:eastAsia="SimSun" w:hAnsi="Times New Roman"/>
                <w:b w:val="0"/>
                <w:color w:val="auto"/>
                <w:sz w:val="20"/>
                <w:szCs w:val="20"/>
                <w:lang w:val="en-AU" w:eastAsia="ja-JP"/>
              </w:rPr>
              <w:t>,</w:t>
            </w:r>
            <w:r w:rsidRPr="006D775D">
              <w:rPr>
                <w:rFonts w:ascii="Times New Roman" w:eastAsia="SimSun" w:hAnsi="Times New Roman"/>
                <w:b w:val="0"/>
                <w:color w:val="auto"/>
                <w:sz w:val="20"/>
                <w:szCs w:val="20"/>
                <w:lang w:val="en-AU" w:eastAsia="ja-JP"/>
              </w:rPr>
              <w:t xml:space="preserve"> in a </w:t>
            </w:r>
            <w:r w:rsidR="00E72897" w:rsidRPr="006D775D">
              <w:rPr>
                <w:rFonts w:ascii="Times New Roman" w:eastAsia="SimSun" w:hAnsi="Times New Roman"/>
                <w:b w:val="0"/>
                <w:color w:val="auto"/>
                <w:sz w:val="20"/>
                <w:szCs w:val="20"/>
                <w:lang w:val="en-AU" w:eastAsia="ja-JP"/>
              </w:rPr>
              <w:t>patient</w:t>
            </w:r>
            <w:r w:rsidRPr="006D775D">
              <w:rPr>
                <w:rFonts w:ascii="Times New Roman" w:eastAsia="SimSun" w:hAnsi="Times New Roman"/>
                <w:b w:val="0"/>
                <w:color w:val="auto"/>
                <w:sz w:val="20"/>
                <w:szCs w:val="20"/>
                <w:lang w:val="en-AU" w:eastAsia="ja-JP"/>
              </w:rPr>
              <w:t xml:space="preserve"> with medically diagnosed diabetes</w:t>
            </w:r>
            <w:r w:rsidR="00E9570C" w:rsidRPr="006D775D">
              <w:rPr>
                <w:rFonts w:ascii="Times New Roman" w:eastAsia="SimSun" w:hAnsi="Times New Roman"/>
                <w:b w:val="0"/>
                <w:color w:val="auto"/>
                <w:sz w:val="20"/>
                <w:szCs w:val="20"/>
                <w:lang w:val="en-AU" w:eastAsia="ja-JP"/>
              </w:rPr>
              <w:t>,</w:t>
            </w:r>
            <w:r w:rsidRPr="006D775D">
              <w:rPr>
                <w:rFonts w:ascii="Times New Roman" w:eastAsia="SimSun" w:hAnsi="Times New Roman"/>
                <w:b w:val="0"/>
                <w:color w:val="auto"/>
                <w:sz w:val="20"/>
                <w:szCs w:val="20"/>
                <w:lang w:val="en-AU" w:eastAsia="ja-JP"/>
              </w:rPr>
              <w:t xml:space="preserve"> if:</w:t>
            </w:r>
          </w:p>
          <w:p w:rsidR="00925920" w:rsidRPr="006D775D" w:rsidRDefault="00925920" w:rsidP="00925920">
            <w:pPr>
              <w:pStyle w:val="Tablea"/>
              <w:rPr>
                <w:rFonts w:eastAsia="SimSun"/>
              </w:rPr>
            </w:pPr>
            <w:r w:rsidRPr="006D775D">
              <w:rPr>
                <w:rFonts w:eastAsia="SimSun"/>
              </w:rPr>
              <w:t>(</w:t>
            </w:r>
            <w:r w:rsidR="00A92FD1" w:rsidRPr="006D775D">
              <w:rPr>
                <w:rFonts w:eastAsia="SimSun"/>
              </w:rPr>
              <w:t>a</w:t>
            </w:r>
            <w:r w:rsidRPr="006D775D">
              <w:rPr>
                <w:rFonts w:eastAsia="SimSun"/>
              </w:rPr>
              <w:t xml:space="preserve">) the assessment is performed by the medical practitioner </w:t>
            </w:r>
            <w:r w:rsidR="00A535EE" w:rsidRPr="006D775D">
              <w:rPr>
                <w:rFonts w:eastAsia="SimSun"/>
              </w:rPr>
              <w:t xml:space="preserve">(other than an optometrist or ophthalmologist) </w:t>
            </w:r>
            <w:r w:rsidRPr="006D775D">
              <w:rPr>
                <w:rFonts w:eastAsia="SimSun"/>
              </w:rPr>
              <w:t xml:space="preserve">providing the primary glycaemic management of the </w:t>
            </w:r>
            <w:r w:rsidR="00C03C11" w:rsidRPr="006D775D">
              <w:rPr>
                <w:rFonts w:eastAsia="SimSun"/>
              </w:rPr>
              <w:t>patient</w:t>
            </w:r>
            <w:r w:rsidR="0009604F" w:rsidRPr="006D775D">
              <w:rPr>
                <w:rFonts w:eastAsia="SimSun"/>
              </w:rPr>
              <w:t>’s</w:t>
            </w:r>
            <w:r w:rsidR="00A535EE" w:rsidRPr="006D775D">
              <w:rPr>
                <w:rFonts w:eastAsia="SimSun"/>
              </w:rPr>
              <w:t xml:space="preserve"> diabetes</w:t>
            </w:r>
            <w:r w:rsidRPr="006D775D">
              <w:rPr>
                <w:rFonts w:eastAsia="SimSun"/>
              </w:rPr>
              <w:t>;</w:t>
            </w:r>
            <w:r w:rsidR="00595B99" w:rsidRPr="006D775D">
              <w:rPr>
                <w:rFonts w:eastAsia="SimSun"/>
              </w:rPr>
              <w:t xml:space="preserve"> and</w:t>
            </w:r>
          </w:p>
          <w:p w:rsidR="00595B99" w:rsidRPr="006D775D" w:rsidRDefault="00595B99" w:rsidP="00925920">
            <w:pPr>
              <w:pStyle w:val="Tablea"/>
              <w:rPr>
                <w:rFonts w:eastAsia="SimSun"/>
              </w:rPr>
            </w:pPr>
            <w:r w:rsidRPr="006D775D">
              <w:rPr>
                <w:rFonts w:eastAsia="SimSun"/>
              </w:rPr>
              <w:t>(</w:t>
            </w:r>
            <w:r w:rsidR="00A92FD1" w:rsidRPr="006D775D">
              <w:rPr>
                <w:rFonts w:eastAsia="SimSun"/>
              </w:rPr>
              <w:t>b</w:t>
            </w:r>
            <w:r w:rsidRPr="006D775D">
              <w:rPr>
                <w:rFonts w:eastAsia="SimSun"/>
              </w:rPr>
              <w:t xml:space="preserve">) </w:t>
            </w:r>
            <w:r w:rsidR="00C03C11" w:rsidRPr="006D775D">
              <w:rPr>
                <w:rFonts w:eastAsia="SimSun"/>
              </w:rPr>
              <w:t xml:space="preserve">this item </w:t>
            </w:r>
            <w:r w:rsidR="00A92FD1" w:rsidRPr="006D775D">
              <w:rPr>
                <w:rFonts w:eastAsia="SimSun"/>
              </w:rPr>
              <w:t>and item</w:t>
            </w:r>
            <w:r w:rsidR="006D775D" w:rsidRPr="006D775D">
              <w:rPr>
                <w:rFonts w:eastAsia="SimSun"/>
              </w:rPr>
              <w:t> </w:t>
            </w:r>
            <w:r w:rsidR="00A92FD1" w:rsidRPr="006D775D">
              <w:rPr>
                <w:rFonts w:eastAsia="SimSun"/>
              </w:rPr>
              <w:t>12325 have</w:t>
            </w:r>
            <w:r w:rsidR="00C03C11" w:rsidRPr="006D775D">
              <w:rPr>
                <w:rFonts w:eastAsia="SimSun"/>
              </w:rPr>
              <w:t xml:space="preserve"> not applied to the patient in the preceding</w:t>
            </w:r>
            <w:r w:rsidRPr="006D775D">
              <w:rPr>
                <w:rFonts w:eastAsia="SimSun"/>
              </w:rPr>
              <w:t xml:space="preserve"> 24 months; and</w:t>
            </w:r>
          </w:p>
          <w:p w:rsidR="00595B99" w:rsidRPr="006D775D" w:rsidRDefault="00595B99" w:rsidP="00925920">
            <w:pPr>
              <w:pStyle w:val="Tablea"/>
              <w:rPr>
                <w:rFonts w:eastAsia="SimSun"/>
              </w:rPr>
            </w:pPr>
            <w:r w:rsidRPr="006D775D">
              <w:rPr>
                <w:rFonts w:eastAsia="SimSun"/>
              </w:rPr>
              <w:t>(</w:t>
            </w:r>
            <w:r w:rsidR="00A92FD1" w:rsidRPr="006D775D">
              <w:rPr>
                <w:rFonts w:eastAsia="SimSun"/>
              </w:rPr>
              <w:t>c</w:t>
            </w:r>
            <w:r w:rsidRPr="006D775D">
              <w:rPr>
                <w:rFonts w:eastAsia="SimSun"/>
              </w:rPr>
              <w:t xml:space="preserve">) the </w:t>
            </w:r>
            <w:r w:rsidR="00C03C11" w:rsidRPr="006D775D">
              <w:rPr>
                <w:rFonts w:eastAsia="SimSun"/>
              </w:rPr>
              <w:t>patient</w:t>
            </w:r>
            <w:r w:rsidR="00A535EE" w:rsidRPr="006D775D">
              <w:rPr>
                <w:rFonts w:eastAsia="SimSun"/>
              </w:rPr>
              <w:t xml:space="preserve"> </w:t>
            </w:r>
            <w:r w:rsidRPr="006D775D">
              <w:rPr>
                <w:rFonts w:eastAsia="SimSun"/>
              </w:rPr>
              <w:t>does not have:</w:t>
            </w:r>
          </w:p>
          <w:p w:rsidR="00595B99" w:rsidRPr="006D775D" w:rsidRDefault="00595B99" w:rsidP="00595B99">
            <w:pPr>
              <w:pStyle w:val="Tablei"/>
              <w:rPr>
                <w:rFonts w:eastAsia="SimSun"/>
              </w:rPr>
            </w:pPr>
            <w:r w:rsidRPr="006D775D">
              <w:rPr>
                <w:rFonts w:eastAsia="SimSun"/>
              </w:rPr>
              <w:t>(i) an existing diagnosis of diabetic retinopathy; or</w:t>
            </w:r>
          </w:p>
          <w:p w:rsidR="00A535EE" w:rsidRPr="006D775D" w:rsidRDefault="00595B99" w:rsidP="00595B99">
            <w:pPr>
              <w:pStyle w:val="Tablei"/>
              <w:rPr>
                <w:rFonts w:eastAsia="SimSun"/>
              </w:rPr>
            </w:pPr>
            <w:r w:rsidRPr="006D775D">
              <w:rPr>
                <w:rFonts w:eastAsia="SimSun"/>
              </w:rPr>
              <w:t>(ii) visual acuity of less than 6/12 in either eye</w:t>
            </w:r>
            <w:r w:rsidR="00A535EE" w:rsidRPr="006D775D">
              <w:rPr>
                <w:rFonts w:eastAsia="SimSun"/>
              </w:rPr>
              <w:t>;</w:t>
            </w:r>
            <w:r w:rsidRPr="006D775D">
              <w:rPr>
                <w:rFonts w:eastAsia="SimSun"/>
              </w:rPr>
              <w:t xml:space="preserve"> or</w:t>
            </w:r>
          </w:p>
          <w:p w:rsidR="00EE3080" w:rsidRPr="006D775D" w:rsidRDefault="00A535EE" w:rsidP="00C03C11">
            <w:pPr>
              <w:pStyle w:val="Tablei"/>
            </w:pPr>
            <w:r w:rsidRPr="006D775D">
              <w:rPr>
                <w:rFonts w:eastAsia="SimSun"/>
              </w:rPr>
              <w:t xml:space="preserve">(iii) </w:t>
            </w:r>
            <w:r w:rsidR="00595B99" w:rsidRPr="006D775D">
              <w:rPr>
                <w:rFonts w:eastAsia="SimSun"/>
              </w:rPr>
              <w:t xml:space="preserve">a difference of more than </w:t>
            </w:r>
            <w:r w:rsidR="00304055" w:rsidRPr="006D775D">
              <w:rPr>
                <w:rFonts w:eastAsia="SimSun"/>
              </w:rPr>
              <w:t>2</w:t>
            </w:r>
            <w:r w:rsidR="00595B99" w:rsidRPr="006D775D">
              <w:rPr>
                <w:rFonts w:eastAsia="SimSun"/>
              </w:rPr>
              <w:t xml:space="preserve"> lines of vision between the </w:t>
            </w:r>
            <w:r w:rsidR="00304055" w:rsidRPr="006D775D">
              <w:rPr>
                <w:rFonts w:eastAsia="SimSun"/>
              </w:rPr>
              <w:t>2</w:t>
            </w:r>
            <w:r w:rsidR="00595B99" w:rsidRPr="006D775D">
              <w:rPr>
                <w:rFonts w:eastAsia="SimSun"/>
              </w:rPr>
              <w:t xml:space="preserve"> eyes at the time of presentation</w:t>
            </w:r>
          </w:p>
        </w:tc>
        <w:tc>
          <w:tcPr>
            <w:tcW w:w="1276" w:type="dxa"/>
            <w:tcBorders>
              <w:top w:val="single" w:sz="2" w:space="0" w:color="auto"/>
              <w:bottom w:val="nil"/>
            </w:tcBorders>
            <w:shd w:val="clear" w:color="auto" w:fill="auto"/>
            <w:hideMark/>
          </w:tcPr>
          <w:p w:rsidR="00EE3080" w:rsidRPr="006D775D" w:rsidRDefault="00925920" w:rsidP="00B65633">
            <w:pPr>
              <w:pStyle w:val="Tabletext"/>
              <w:jc w:val="right"/>
            </w:pPr>
            <w:r w:rsidRPr="006D775D">
              <w:t>50.00</w:t>
            </w:r>
          </w:p>
        </w:tc>
      </w:tr>
    </w:tbl>
    <w:p w:rsidR="00956E87" w:rsidRPr="006D775D" w:rsidRDefault="00B25E9D" w:rsidP="00956E87">
      <w:pPr>
        <w:pStyle w:val="ItemHead"/>
      </w:pPr>
      <w:r w:rsidRPr="006D775D">
        <w:t>24</w:t>
      </w:r>
      <w:r w:rsidR="0009604F" w:rsidRPr="006D775D">
        <w:t xml:space="preserve">  Schedule</w:t>
      </w:r>
      <w:r w:rsidR="006D775D" w:rsidRPr="006D775D">
        <w:t> </w:t>
      </w:r>
      <w:r w:rsidR="0009604F" w:rsidRPr="006D775D">
        <w:t>1 (item</w:t>
      </w:r>
      <w:r w:rsidR="006D775D" w:rsidRPr="006D775D">
        <w:t> </w:t>
      </w:r>
      <w:r w:rsidR="0009604F" w:rsidRPr="006D775D">
        <w:t>30071, column headed “Description”)</w:t>
      </w:r>
    </w:p>
    <w:p w:rsidR="00956E87" w:rsidRPr="006D775D" w:rsidRDefault="0009604F" w:rsidP="00956E87">
      <w:pPr>
        <w:pStyle w:val="Item"/>
      </w:pPr>
      <w:r w:rsidRPr="006D775D">
        <w:t>Omit “or mucous membrane”.</w:t>
      </w:r>
    </w:p>
    <w:p w:rsidR="00956E87" w:rsidRPr="006D775D" w:rsidRDefault="00B25E9D" w:rsidP="00956E87">
      <w:pPr>
        <w:pStyle w:val="ItemHead"/>
      </w:pPr>
      <w:r w:rsidRPr="006D775D">
        <w:t>25</w:t>
      </w:r>
      <w:r w:rsidR="0009604F" w:rsidRPr="006D775D">
        <w:t xml:space="preserve">  Schedule</w:t>
      </w:r>
      <w:r w:rsidR="006D775D" w:rsidRPr="006D775D">
        <w:t> </w:t>
      </w:r>
      <w:r w:rsidR="0009604F" w:rsidRPr="006D775D">
        <w:t>1 (after item</w:t>
      </w:r>
      <w:r w:rsidR="006D775D" w:rsidRPr="006D775D">
        <w:t> </w:t>
      </w:r>
      <w:r w:rsidR="0009604F" w:rsidRPr="006D775D">
        <w:t>30071)</w:t>
      </w:r>
    </w:p>
    <w:p w:rsidR="0009604F" w:rsidRPr="006D775D" w:rsidRDefault="0009604F" w:rsidP="0009604F">
      <w:pPr>
        <w:pStyle w:val="Item"/>
      </w:pPr>
      <w:r w:rsidRPr="006D775D">
        <w:t>Insert:</w:t>
      </w:r>
    </w:p>
    <w:p w:rsidR="0009604F" w:rsidRPr="006D775D" w:rsidRDefault="0009604F" w:rsidP="0009604F">
      <w:pPr>
        <w:pStyle w:val="Tabletext"/>
      </w:pPr>
    </w:p>
    <w:tbl>
      <w:tblPr>
        <w:tblW w:w="8080" w:type="dxa"/>
        <w:tblInd w:w="107" w:type="dxa"/>
        <w:tblLayout w:type="fixed"/>
        <w:tblCellMar>
          <w:left w:w="107" w:type="dxa"/>
          <w:right w:w="107" w:type="dxa"/>
        </w:tblCellMar>
        <w:tblLook w:val="04A0" w:firstRow="1" w:lastRow="0" w:firstColumn="1" w:lastColumn="0" w:noHBand="0" w:noVBand="1"/>
      </w:tblPr>
      <w:tblGrid>
        <w:gridCol w:w="851"/>
        <w:gridCol w:w="5953"/>
        <w:gridCol w:w="1276"/>
      </w:tblGrid>
      <w:tr w:rsidR="0009604F" w:rsidRPr="006D775D" w:rsidTr="00A16C9E">
        <w:tc>
          <w:tcPr>
            <w:tcW w:w="851" w:type="dxa"/>
            <w:shd w:val="clear" w:color="auto" w:fill="auto"/>
            <w:hideMark/>
          </w:tcPr>
          <w:p w:rsidR="0009604F" w:rsidRPr="006D775D" w:rsidRDefault="0009604F" w:rsidP="00EF5C81">
            <w:pPr>
              <w:pStyle w:val="Tabletext"/>
              <w:rPr>
                <w:snapToGrid w:val="0"/>
              </w:rPr>
            </w:pPr>
            <w:r w:rsidRPr="006D775D">
              <w:rPr>
                <w:snapToGrid w:val="0"/>
              </w:rPr>
              <w:t>30072</w:t>
            </w:r>
          </w:p>
        </w:tc>
        <w:tc>
          <w:tcPr>
            <w:tcW w:w="5953" w:type="dxa"/>
            <w:shd w:val="clear" w:color="auto" w:fill="auto"/>
            <w:hideMark/>
          </w:tcPr>
          <w:p w:rsidR="0009604F" w:rsidRPr="006D775D" w:rsidRDefault="0009604F" w:rsidP="00EB594A">
            <w:pPr>
              <w:pStyle w:val="Tabletext"/>
            </w:pPr>
            <w:r w:rsidRPr="006D775D">
              <w:rPr>
                <w:rFonts w:eastAsia="SimSun"/>
              </w:rPr>
              <w:t>Diagnostic biopsy of mucous membrane, as an independent procedure, if the biopsy specimen is sent for pathological examination (Anaes.)</w:t>
            </w:r>
          </w:p>
        </w:tc>
        <w:tc>
          <w:tcPr>
            <w:tcW w:w="1276" w:type="dxa"/>
            <w:shd w:val="clear" w:color="auto" w:fill="auto"/>
            <w:hideMark/>
          </w:tcPr>
          <w:p w:rsidR="0009604F" w:rsidRPr="006D775D" w:rsidRDefault="0009604F" w:rsidP="0009604F">
            <w:pPr>
              <w:pStyle w:val="Tabletext"/>
              <w:jc w:val="right"/>
            </w:pPr>
            <w:r w:rsidRPr="006D775D">
              <w:t>52.20</w:t>
            </w:r>
          </w:p>
        </w:tc>
      </w:tr>
    </w:tbl>
    <w:p w:rsidR="00577FB6" w:rsidRPr="006D775D" w:rsidRDefault="00B25E9D" w:rsidP="00374E30">
      <w:pPr>
        <w:pStyle w:val="ItemHead"/>
      </w:pPr>
      <w:r w:rsidRPr="006D775D">
        <w:t>26</w:t>
      </w:r>
      <w:r w:rsidR="00577FB6" w:rsidRPr="006D775D">
        <w:t xml:space="preserve">  Schedule</w:t>
      </w:r>
      <w:r w:rsidR="006D775D" w:rsidRPr="006D775D">
        <w:t> </w:t>
      </w:r>
      <w:r w:rsidR="00577FB6" w:rsidRPr="006D775D">
        <w:t>1 (items</w:t>
      </w:r>
      <w:r w:rsidR="006D775D" w:rsidRPr="006D775D">
        <w:t> </w:t>
      </w:r>
      <w:r w:rsidR="00577FB6" w:rsidRPr="006D775D">
        <w:t>30653, 30656, 30659 and 30660)</w:t>
      </w:r>
    </w:p>
    <w:p w:rsidR="00577FB6" w:rsidRPr="006D775D" w:rsidRDefault="00577FB6" w:rsidP="00577FB6">
      <w:pPr>
        <w:pStyle w:val="Item"/>
      </w:pPr>
      <w:r w:rsidRPr="006D775D">
        <w:t>Repeal the items, substitute:</w:t>
      </w:r>
    </w:p>
    <w:p w:rsidR="00577FB6" w:rsidRPr="006D775D" w:rsidRDefault="00577FB6" w:rsidP="00577FB6">
      <w:pPr>
        <w:pStyle w:val="Tabletext"/>
      </w:pPr>
    </w:p>
    <w:tbl>
      <w:tblPr>
        <w:tblW w:w="808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851"/>
        <w:gridCol w:w="5953"/>
        <w:gridCol w:w="1276"/>
      </w:tblGrid>
      <w:tr w:rsidR="00577FB6" w:rsidRPr="006D775D" w:rsidTr="00992125">
        <w:tc>
          <w:tcPr>
            <w:tcW w:w="851" w:type="dxa"/>
            <w:tcBorders>
              <w:top w:val="nil"/>
              <w:bottom w:val="single" w:sz="2" w:space="0" w:color="auto"/>
            </w:tcBorders>
            <w:shd w:val="clear" w:color="auto" w:fill="auto"/>
            <w:hideMark/>
          </w:tcPr>
          <w:p w:rsidR="00577FB6" w:rsidRPr="006D775D" w:rsidRDefault="00577FB6" w:rsidP="00F340C2">
            <w:pPr>
              <w:pStyle w:val="Tabletext"/>
              <w:rPr>
                <w:snapToGrid w:val="0"/>
              </w:rPr>
            </w:pPr>
            <w:r w:rsidRPr="006D775D">
              <w:rPr>
                <w:snapToGrid w:val="0"/>
              </w:rPr>
              <w:t>30654</w:t>
            </w:r>
          </w:p>
        </w:tc>
        <w:tc>
          <w:tcPr>
            <w:tcW w:w="5953" w:type="dxa"/>
            <w:tcBorders>
              <w:top w:val="nil"/>
              <w:bottom w:val="single" w:sz="2" w:space="0" w:color="auto"/>
            </w:tcBorders>
            <w:shd w:val="clear" w:color="auto" w:fill="auto"/>
            <w:hideMark/>
          </w:tcPr>
          <w:p w:rsidR="00577FB6" w:rsidRPr="006D775D" w:rsidRDefault="00577FB6" w:rsidP="00F340C2">
            <w:pPr>
              <w:pStyle w:val="Tabletext"/>
            </w:pPr>
            <w:r w:rsidRPr="006D775D">
              <w:t>Circumcision of the penis</w:t>
            </w:r>
            <w:r w:rsidR="00C03C11" w:rsidRPr="006D775D">
              <w:t xml:space="preserve"> (other than a service to which item</w:t>
            </w:r>
            <w:r w:rsidR="006D775D" w:rsidRPr="006D775D">
              <w:t> </w:t>
            </w:r>
            <w:r w:rsidR="00C03C11" w:rsidRPr="006D775D">
              <w:t>30658 applies)</w:t>
            </w:r>
          </w:p>
        </w:tc>
        <w:tc>
          <w:tcPr>
            <w:tcW w:w="1276" w:type="dxa"/>
            <w:tcBorders>
              <w:top w:val="nil"/>
              <w:bottom w:val="single" w:sz="2" w:space="0" w:color="auto"/>
            </w:tcBorders>
            <w:shd w:val="clear" w:color="auto" w:fill="auto"/>
            <w:hideMark/>
          </w:tcPr>
          <w:p w:rsidR="00577FB6" w:rsidRPr="006D775D" w:rsidRDefault="00577FB6" w:rsidP="00F340C2">
            <w:pPr>
              <w:pStyle w:val="Tabletext"/>
              <w:jc w:val="right"/>
            </w:pPr>
            <w:r w:rsidRPr="006D775D">
              <w:t>46.50</w:t>
            </w:r>
          </w:p>
        </w:tc>
      </w:tr>
      <w:tr w:rsidR="00577FB6" w:rsidRPr="006D775D" w:rsidTr="00992125">
        <w:tc>
          <w:tcPr>
            <w:tcW w:w="851" w:type="dxa"/>
            <w:tcBorders>
              <w:top w:val="single" w:sz="2" w:space="0" w:color="auto"/>
              <w:bottom w:val="nil"/>
            </w:tcBorders>
            <w:shd w:val="clear" w:color="auto" w:fill="auto"/>
          </w:tcPr>
          <w:p w:rsidR="00577FB6" w:rsidRPr="006D775D" w:rsidRDefault="00577FB6" w:rsidP="00F340C2">
            <w:pPr>
              <w:pStyle w:val="Tabletext"/>
              <w:rPr>
                <w:snapToGrid w:val="0"/>
              </w:rPr>
            </w:pPr>
            <w:r w:rsidRPr="006D775D">
              <w:rPr>
                <w:snapToGrid w:val="0"/>
              </w:rPr>
              <w:t>30658</w:t>
            </w:r>
          </w:p>
        </w:tc>
        <w:tc>
          <w:tcPr>
            <w:tcW w:w="5953" w:type="dxa"/>
            <w:tcBorders>
              <w:top w:val="single" w:sz="2" w:space="0" w:color="auto"/>
              <w:bottom w:val="nil"/>
            </w:tcBorders>
            <w:shd w:val="clear" w:color="auto" w:fill="auto"/>
          </w:tcPr>
          <w:p w:rsidR="00577FB6" w:rsidRPr="006D775D" w:rsidRDefault="00577FB6" w:rsidP="00F340C2">
            <w:pPr>
              <w:pStyle w:val="Tabletext"/>
              <w:rPr>
                <w:rFonts w:eastAsia="SimSun"/>
              </w:rPr>
            </w:pPr>
            <w:r w:rsidRPr="006D775D">
              <w:t>Circumcision of the penis, when performed in conjunction with a service to which an item in Group T7 or Group T10 applies (Anaes.)</w:t>
            </w:r>
          </w:p>
        </w:tc>
        <w:tc>
          <w:tcPr>
            <w:tcW w:w="1276" w:type="dxa"/>
            <w:tcBorders>
              <w:top w:val="single" w:sz="2" w:space="0" w:color="auto"/>
              <w:bottom w:val="nil"/>
            </w:tcBorders>
            <w:shd w:val="clear" w:color="auto" w:fill="auto"/>
          </w:tcPr>
          <w:p w:rsidR="00577FB6" w:rsidRPr="006D775D" w:rsidRDefault="00577FB6" w:rsidP="00F340C2">
            <w:pPr>
              <w:pStyle w:val="Tabletext"/>
              <w:jc w:val="right"/>
            </w:pPr>
            <w:r w:rsidRPr="006D775D">
              <w:t>142.00</w:t>
            </w:r>
          </w:p>
        </w:tc>
      </w:tr>
    </w:tbl>
    <w:p w:rsidR="009118CA" w:rsidRPr="006D775D" w:rsidRDefault="00B25E9D" w:rsidP="00374E30">
      <w:pPr>
        <w:pStyle w:val="ItemHead"/>
      </w:pPr>
      <w:r w:rsidRPr="006D775D">
        <w:t>27</w:t>
      </w:r>
      <w:r w:rsidR="009118CA" w:rsidRPr="006D775D">
        <w:t xml:space="preserve">  Schedule</w:t>
      </w:r>
      <w:r w:rsidR="006D775D" w:rsidRPr="006D775D">
        <w:t> </w:t>
      </w:r>
      <w:r w:rsidR="009118CA" w:rsidRPr="006D775D">
        <w:t>1 (item</w:t>
      </w:r>
      <w:r w:rsidR="00E052A1" w:rsidRPr="006D775D">
        <w:t>s</w:t>
      </w:r>
      <w:r w:rsidR="006D775D" w:rsidRPr="006D775D">
        <w:t> </w:t>
      </w:r>
      <w:r w:rsidR="009118CA" w:rsidRPr="006D775D">
        <w:t>31200</w:t>
      </w:r>
      <w:r w:rsidR="005B2780" w:rsidRPr="006D775D">
        <w:t xml:space="preserve"> to 31</w:t>
      </w:r>
      <w:r w:rsidR="00BC3AF7" w:rsidRPr="006D775D">
        <w:t>240</w:t>
      </w:r>
      <w:r w:rsidR="009118CA" w:rsidRPr="006D775D">
        <w:t>)</w:t>
      </w:r>
    </w:p>
    <w:p w:rsidR="009118CA" w:rsidRPr="006D775D" w:rsidRDefault="009118CA" w:rsidP="009118CA">
      <w:pPr>
        <w:pStyle w:val="Item"/>
      </w:pPr>
      <w:r w:rsidRPr="006D775D">
        <w:t>Repeal the items</w:t>
      </w:r>
      <w:r w:rsidR="00E052A1" w:rsidRPr="006D775D">
        <w:t>, substitute:</w:t>
      </w:r>
    </w:p>
    <w:p w:rsidR="00BD1B53" w:rsidRPr="006D775D" w:rsidRDefault="00BD1B53" w:rsidP="00BD1B53">
      <w:pPr>
        <w:pStyle w:val="Tabletext"/>
      </w:pPr>
    </w:p>
    <w:tbl>
      <w:tblPr>
        <w:tblW w:w="808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851"/>
        <w:gridCol w:w="6095"/>
        <w:gridCol w:w="1134"/>
      </w:tblGrid>
      <w:tr w:rsidR="00BD1B53" w:rsidRPr="006D775D" w:rsidTr="004903CF">
        <w:tc>
          <w:tcPr>
            <w:tcW w:w="851" w:type="dxa"/>
            <w:tcBorders>
              <w:top w:val="nil"/>
            </w:tcBorders>
            <w:shd w:val="clear" w:color="auto" w:fill="auto"/>
            <w:hideMark/>
          </w:tcPr>
          <w:p w:rsidR="00BD1B53" w:rsidRPr="006D775D" w:rsidRDefault="00BD1B53" w:rsidP="00EF5C81">
            <w:pPr>
              <w:pStyle w:val="Tabletext"/>
              <w:rPr>
                <w:snapToGrid w:val="0"/>
              </w:rPr>
            </w:pPr>
            <w:r w:rsidRPr="006D775D">
              <w:rPr>
                <w:snapToGrid w:val="0"/>
              </w:rPr>
              <w:t>31206</w:t>
            </w:r>
          </w:p>
        </w:tc>
        <w:tc>
          <w:tcPr>
            <w:tcW w:w="6095" w:type="dxa"/>
            <w:tcBorders>
              <w:top w:val="nil"/>
            </w:tcBorders>
            <w:shd w:val="clear" w:color="auto" w:fill="auto"/>
            <w:hideMark/>
          </w:tcPr>
          <w:p w:rsidR="00BD1B53" w:rsidRPr="006D775D" w:rsidRDefault="00BD1B53" w:rsidP="00BD1B53">
            <w:pPr>
              <w:pStyle w:val="Tabletext"/>
            </w:pPr>
            <w:r w:rsidRPr="006D775D">
              <w:t>Tumour, cyst, ulcer or scar (other than a scar removed during the surgical approach at an operation), removal of and suture, if:</w:t>
            </w:r>
          </w:p>
          <w:p w:rsidR="00BD1B53" w:rsidRPr="006D775D" w:rsidRDefault="00BD1B53" w:rsidP="00BD1B53">
            <w:pPr>
              <w:pStyle w:val="Tablea"/>
            </w:pPr>
            <w:r w:rsidRPr="006D775D">
              <w:t xml:space="preserve">(a) the lesion size is </w:t>
            </w:r>
            <w:r w:rsidR="0057382D" w:rsidRPr="006D775D">
              <w:t>not more</w:t>
            </w:r>
            <w:r w:rsidRPr="006D775D">
              <w:t xml:space="preserve"> than 10 mm in diameter; and</w:t>
            </w:r>
          </w:p>
          <w:p w:rsidR="00BD1B53" w:rsidRPr="006D775D" w:rsidRDefault="00BD1B53" w:rsidP="00BD1B53">
            <w:pPr>
              <w:pStyle w:val="Tablea"/>
            </w:pPr>
            <w:r w:rsidRPr="006D775D">
              <w:t>(b) the removal is from a mucous membrane by surgical excision (other than by shave excision); and</w:t>
            </w:r>
          </w:p>
          <w:p w:rsidR="00BD1B53" w:rsidRPr="006D775D" w:rsidRDefault="00BD1B53" w:rsidP="00F65E31">
            <w:pPr>
              <w:pStyle w:val="Tablea"/>
            </w:pPr>
            <w:r w:rsidRPr="006D775D">
              <w:t>(c) the specimen excised is sent for histological examination</w:t>
            </w:r>
            <w:r w:rsidR="00A92FD1" w:rsidRPr="006D775D">
              <w:t xml:space="preserve"> (Anaes</w:t>
            </w:r>
            <w:r w:rsidR="00E35EB8" w:rsidRPr="006D775D">
              <w:t>.</w:t>
            </w:r>
            <w:r w:rsidR="00A92FD1" w:rsidRPr="006D775D">
              <w:t>)</w:t>
            </w:r>
          </w:p>
        </w:tc>
        <w:tc>
          <w:tcPr>
            <w:tcW w:w="1134" w:type="dxa"/>
            <w:tcBorders>
              <w:top w:val="nil"/>
            </w:tcBorders>
            <w:shd w:val="clear" w:color="auto" w:fill="auto"/>
            <w:hideMark/>
          </w:tcPr>
          <w:p w:rsidR="00BD1B53" w:rsidRPr="006D775D" w:rsidRDefault="00BD1B53" w:rsidP="00EF5C81">
            <w:pPr>
              <w:pStyle w:val="Tabletext"/>
              <w:jc w:val="right"/>
            </w:pPr>
            <w:r w:rsidRPr="006D775D">
              <w:t>95.45</w:t>
            </w:r>
          </w:p>
        </w:tc>
      </w:tr>
      <w:tr w:rsidR="0002616A" w:rsidRPr="006D775D" w:rsidTr="004903CF">
        <w:tc>
          <w:tcPr>
            <w:tcW w:w="851" w:type="dxa"/>
            <w:shd w:val="clear" w:color="auto" w:fill="auto"/>
          </w:tcPr>
          <w:p w:rsidR="0002616A" w:rsidRPr="006D775D" w:rsidRDefault="0002616A" w:rsidP="00EF5C81">
            <w:pPr>
              <w:pStyle w:val="Tabletext"/>
              <w:rPr>
                <w:snapToGrid w:val="0"/>
              </w:rPr>
            </w:pPr>
            <w:r w:rsidRPr="006D775D">
              <w:rPr>
                <w:snapToGrid w:val="0"/>
              </w:rPr>
              <w:t>31211</w:t>
            </w:r>
          </w:p>
        </w:tc>
        <w:tc>
          <w:tcPr>
            <w:tcW w:w="6095" w:type="dxa"/>
            <w:shd w:val="clear" w:color="auto" w:fill="auto"/>
          </w:tcPr>
          <w:p w:rsidR="0002616A" w:rsidRPr="006D775D" w:rsidRDefault="0002616A" w:rsidP="0002616A">
            <w:pPr>
              <w:pStyle w:val="Tabletext"/>
            </w:pPr>
            <w:r w:rsidRPr="006D775D">
              <w:t>Tumour, cyst, ulcer or scar (other than a scar removed during the surgical approach at an operation), removal of and suture, if:</w:t>
            </w:r>
          </w:p>
          <w:p w:rsidR="0002616A" w:rsidRPr="006D775D" w:rsidRDefault="0002616A" w:rsidP="0002616A">
            <w:pPr>
              <w:pStyle w:val="Tablea"/>
            </w:pPr>
            <w:r w:rsidRPr="006D775D">
              <w:t>(a) the lesion size is more than 10 mm</w:t>
            </w:r>
            <w:r w:rsidR="0057382D" w:rsidRPr="006D775D">
              <w:t xml:space="preserve">, </w:t>
            </w:r>
            <w:r w:rsidRPr="006D775D">
              <w:t>but not more than 20 mm</w:t>
            </w:r>
            <w:r w:rsidR="0057382D" w:rsidRPr="006D775D">
              <w:t>,</w:t>
            </w:r>
            <w:r w:rsidRPr="006D775D">
              <w:t xml:space="preserve"> in diameter; and</w:t>
            </w:r>
          </w:p>
          <w:p w:rsidR="0002616A" w:rsidRPr="006D775D" w:rsidRDefault="0002616A" w:rsidP="0002616A">
            <w:pPr>
              <w:pStyle w:val="Tablea"/>
            </w:pPr>
            <w:r w:rsidRPr="006D775D">
              <w:t>(b) the removal is from a mucous membrane by surgical excision (other than by shave excision); and</w:t>
            </w:r>
          </w:p>
          <w:p w:rsidR="0002616A" w:rsidRPr="006D775D" w:rsidRDefault="0002616A" w:rsidP="00F65E31">
            <w:pPr>
              <w:pStyle w:val="Tablea"/>
            </w:pPr>
            <w:r w:rsidRPr="006D775D">
              <w:t>(c) the specimen excised is sent for histological examination</w:t>
            </w:r>
            <w:r w:rsidR="00A92FD1" w:rsidRPr="006D775D">
              <w:t xml:space="preserve"> (Anaes</w:t>
            </w:r>
            <w:r w:rsidR="00E35EB8" w:rsidRPr="006D775D">
              <w:t>.</w:t>
            </w:r>
            <w:r w:rsidR="00A92FD1" w:rsidRPr="006D775D">
              <w:t>)</w:t>
            </w:r>
          </w:p>
        </w:tc>
        <w:tc>
          <w:tcPr>
            <w:tcW w:w="1134" w:type="dxa"/>
            <w:shd w:val="clear" w:color="auto" w:fill="auto"/>
          </w:tcPr>
          <w:p w:rsidR="0002616A" w:rsidRPr="006D775D" w:rsidRDefault="0002616A" w:rsidP="00EF5C81">
            <w:pPr>
              <w:pStyle w:val="Tabletext"/>
              <w:jc w:val="right"/>
            </w:pPr>
            <w:r w:rsidRPr="006D775D">
              <w:t>123.10</w:t>
            </w:r>
          </w:p>
        </w:tc>
      </w:tr>
      <w:tr w:rsidR="0002616A" w:rsidRPr="006D775D" w:rsidTr="004903CF">
        <w:tc>
          <w:tcPr>
            <w:tcW w:w="851" w:type="dxa"/>
            <w:shd w:val="clear" w:color="auto" w:fill="auto"/>
          </w:tcPr>
          <w:p w:rsidR="0002616A" w:rsidRPr="006D775D" w:rsidRDefault="0002616A" w:rsidP="00EF5C81">
            <w:pPr>
              <w:pStyle w:val="Tabletext"/>
              <w:rPr>
                <w:snapToGrid w:val="0"/>
              </w:rPr>
            </w:pPr>
            <w:r w:rsidRPr="006D775D">
              <w:rPr>
                <w:snapToGrid w:val="0"/>
              </w:rPr>
              <w:t>31216</w:t>
            </w:r>
          </w:p>
        </w:tc>
        <w:tc>
          <w:tcPr>
            <w:tcW w:w="6095" w:type="dxa"/>
            <w:shd w:val="clear" w:color="auto" w:fill="auto"/>
          </w:tcPr>
          <w:p w:rsidR="0002616A" w:rsidRPr="006D775D" w:rsidRDefault="0002616A" w:rsidP="0002616A">
            <w:pPr>
              <w:pStyle w:val="Tabletext"/>
            </w:pPr>
            <w:r w:rsidRPr="006D775D">
              <w:t>Tumour, cyst, ulcer or scar (other than a scar removed during the surgical approach at an operation), removal of and suture, if:</w:t>
            </w:r>
          </w:p>
          <w:p w:rsidR="0002616A" w:rsidRPr="006D775D" w:rsidRDefault="0002616A" w:rsidP="0002616A">
            <w:pPr>
              <w:pStyle w:val="Tablea"/>
            </w:pPr>
            <w:r w:rsidRPr="006D775D">
              <w:t>(a) the lesion size is more than 20 mm in diameter; and</w:t>
            </w:r>
          </w:p>
          <w:p w:rsidR="0002616A" w:rsidRPr="006D775D" w:rsidRDefault="0002616A" w:rsidP="0002616A">
            <w:pPr>
              <w:pStyle w:val="Tablea"/>
            </w:pPr>
            <w:r w:rsidRPr="006D775D">
              <w:t>(b) the removal is from a mucous membrane by surgical excision (other than by shave excision); and</w:t>
            </w:r>
          </w:p>
          <w:p w:rsidR="0002616A" w:rsidRPr="006D775D" w:rsidRDefault="0002616A" w:rsidP="00F65E31">
            <w:pPr>
              <w:pStyle w:val="Tablea"/>
            </w:pPr>
            <w:r w:rsidRPr="006D775D">
              <w:t>(c) the specimen excised is sent for histological examination</w:t>
            </w:r>
            <w:r w:rsidR="00A92FD1" w:rsidRPr="006D775D">
              <w:t xml:space="preserve"> (Anaes</w:t>
            </w:r>
            <w:r w:rsidR="00E35EB8" w:rsidRPr="006D775D">
              <w:t>.</w:t>
            </w:r>
            <w:r w:rsidR="00A92FD1" w:rsidRPr="006D775D">
              <w:t>)</w:t>
            </w:r>
          </w:p>
        </w:tc>
        <w:tc>
          <w:tcPr>
            <w:tcW w:w="1134" w:type="dxa"/>
            <w:shd w:val="clear" w:color="auto" w:fill="auto"/>
          </w:tcPr>
          <w:p w:rsidR="0002616A" w:rsidRPr="006D775D" w:rsidRDefault="0002616A" w:rsidP="00EF5C81">
            <w:pPr>
              <w:pStyle w:val="Tabletext"/>
              <w:jc w:val="right"/>
            </w:pPr>
            <w:r w:rsidRPr="006D775D">
              <w:t>143.55</w:t>
            </w:r>
          </w:p>
        </w:tc>
      </w:tr>
      <w:tr w:rsidR="0002616A" w:rsidRPr="006D775D" w:rsidTr="004903CF">
        <w:tc>
          <w:tcPr>
            <w:tcW w:w="851" w:type="dxa"/>
            <w:shd w:val="clear" w:color="auto" w:fill="auto"/>
          </w:tcPr>
          <w:p w:rsidR="0002616A" w:rsidRPr="006D775D" w:rsidRDefault="0002616A" w:rsidP="00EF5C81">
            <w:pPr>
              <w:pStyle w:val="Tabletext"/>
              <w:rPr>
                <w:snapToGrid w:val="0"/>
              </w:rPr>
            </w:pPr>
            <w:r w:rsidRPr="006D775D">
              <w:rPr>
                <w:snapToGrid w:val="0"/>
              </w:rPr>
              <w:t>31220</w:t>
            </w:r>
          </w:p>
        </w:tc>
        <w:tc>
          <w:tcPr>
            <w:tcW w:w="6095" w:type="dxa"/>
            <w:shd w:val="clear" w:color="auto" w:fill="auto"/>
          </w:tcPr>
          <w:p w:rsidR="0002616A" w:rsidRPr="006D775D" w:rsidRDefault="0002616A" w:rsidP="0002616A">
            <w:pPr>
              <w:pStyle w:val="Tabletext"/>
            </w:pPr>
            <w:r w:rsidRPr="006D775D">
              <w:t>Tumours (other than viral verrucae (common warts) and seborrheic keratoses), cysts, ulcers or scars (other than scars removed during the surgical approach at an operation), removal of 4 to 10 lesions and suture, if:</w:t>
            </w:r>
          </w:p>
          <w:p w:rsidR="0002616A" w:rsidRPr="006D775D" w:rsidRDefault="0002616A" w:rsidP="0002616A">
            <w:pPr>
              <w:pStyle w:val="Tablea"/>
            </w:pPr>
            <w:r w:rsidRPr="006D775D">
              <w:t xml:space="preserve">(a) the size of each lesion is not more </w:t>
            </w:r>
            <w:r w:rsidR="00C03C11" w:rsidRPr="006D775D">
              <w:t xml:space="preserve">than </w:t>
            </w:r>
            <w:r w:rsidRPr="006D775D">
              <w:t>10 mm in diameter; and</w:t>
            </w:r>
          </w:p>
          <w:p w:rsidR="0002616A" w:rsidRPr="006D775D" w:rsidRDefault="0002616A" w:rsidP="0002616A">
            <w:pPr>
              <w:pStyle w:val="Tablea"/>
            </w:pPr>
            <w:r w:rsidRPr="006D775D">
              <w:t xml:space="preserve">(b) each removal is from cutaneous </w:t>
            </w:r>
            <w:r w:rsidR="004903CF" w:rsidRPr="006D775D">
              <w:t>or</w:t>
            </w:r>
            <w:r w:rsidRPr="006D775D">
              <w:t xml:space="preserve"> subcutaneous tissue by surgical excision (other than by shave excision); and</w:t>
            </w:r>
          </w:p>
          <w:p w:rsidR="0002616A" w:rsidRPr="006D775D" w:rsidRDefault="0002616A" w:rsidP="0002616A">
            <w:pPr>
              <w:pStyle w:val="Tablea"/>
            </w:pPr>
            <w:r w:rsidRPr="006D775D">
              <w:t>(c) all of the specimens excised are sent for histological examination</w:t>
            </w:r>
          </w:p>
          <w:p w:rsidR="00E72897" w:rsidRPr="006D775D" w:rsidRDefault="0002616A" w:rsidP="000F172D">
            <w:pPr>
              <w:pStyle w:val="Tabletext"/>
              <w:rPr>
                <w:i/>
              </w:rPr>
            </w:pPr>
            <w:r w:rsidRPr="006D775D">
              <w:t>(Anaes.)</w:t>
            </w:r>
          </w:p>
        </w:tc>
        <w:tc>
          <w:tcPr>
            <w:tcW w:w="1134" w:type="dxa"/>
            <w:shd w:val="clear" w:color="auto" w:fill="auto"/>
          </w:tcPr>
          <w:p w:rsidR="0002616A" w:rsidRPr="006D775D" w:rsidRDefault="0002616A" w:rsidP="00EF5C81">
            <w:pPr>
              <w:pStyle w:val="Tabletext"/>
              <w:jc w:val="right"/>
            </w:pPr>
            <w:r w:rsidRPr="006D775D">
              <w:t>214.55</w:t>
            </w:r>
          </w:p>
        </w:tc>
      </w:tr>
      <w:tr w:rsidR="0002616A" w:rsidRPr="006D775D" w:rsidTr="004903CF">
        <w:tc>
          <w:tcPr>
            <w:tcW w:w="851" w:type="dxa"/>
            <w:tcBorders>
              <w:bottom w:val="single" w:sz="2" w:space="0" w:color="auto"/>
            </w:tcBorders>
            <w:shd w:val="clear" w:color="auto" w:fill="auto"/>
          </w:tcPr>
          <w:p w:rsidR="0002616A" w:rsidRPr="006D775D" w:rsidRDefault="0002616A" w:rsidP="00EF5C81">
            <w:pPr>
              <w:pStyle w:val="Tabletext"/>
              <w:rPr>
                <w:snapToGrid w:val="0"/>
              </w:rPr>
            </w:pPr>
            <w:r w:rsidRPr="006D775D">
              <w:rPr>
                <w:snapToGrid w:val="0"/>
              </w:rPr>
              <w:t>31221</w:t>
            </w:r>
          </w:p>
        </w:tc>
        <w:tc>
          <w:tcPr>
            <w:tcW w:w="6095" w:type="dxa"/>
            <w:tcBorders>
              <w:bottom w:val="single" w:sz="2" w:space="0" w:color="auto"/>
            </w:tcBorders>
            <w:shd w:val="clear" w:color="auto" w:fill="auto"/>
          </w:tcPr>
          <w:p w:rsidR="0002616A" w:rsidRPr="006D775D" w:rsidRDefault="0002616A" w:rsidP="0002616A">
            <w:pPr>
              <w:pStyle w:val="Tabletext"/>
            </w:pPr>
            <w:r w:rsidRPr="006D775D">
              <w:t>Tumours, cysts, ulcers or scars (other than scars removed during the surgical approach at an operation), removal of 4 to 10 lesions, if:</w:t>
            </w:r>
          </w:p>
          <w:p w:rsidR="0002616A" w:rsidRPr="006D775D" w:rsidRDefault="0002616A" w:rsidP="0002616A">
            <w:pPr>
              <w:pStyle w:val="Tablea"/>
            </w:pPr>
            <w:r w:rsidRPr="006D775D">
              <w:t xml:space="preserve">(a) the size of each lesion is not more </w:t>
            </w:r>
            <w:r w:rsidR="00C03C11" w:rsidRPr="006D775D">
              <w:t xml:space="preserve">than </w:t>
            </w:r>
            <w:r w:rsidRPr="006D775D">
              <w:t>10 mm in diameter; and</w:t>
            </w:r>
          </w:p>
          <w:p w:rsidR="0002616A" w:rsidRPr="006D775D" w:rsidRDefault="0002616A" w:rsidP="0002616A">
            <w:pPr>
              <w:pStyle w:val="Tablea"/>
            </w:pPr>
            <w:r w:rsidRPr="006D775D">
              <w:t>(b) each removal is from a mucous membrane by surgical excision (other than by shave excision); and</w:t>
            </w:r>
          </w:p>
          <w:p w:rsidR="0002616A" w:rsidRPr="006D775D" w:rsidRDefault="0002616A" w:rsidP="0002616A">
            <w:pPr>
              <w:pStyle w:val="Tablea"/>
            </w:pPr>
            <w:r w:rsidRPr="006D775D">
              <w:t>(c) each site of excision is closed by suture; and</w:t>
            </w:r>
          </w:p>
          <w:p w:rsidR="0002616A" w:rsidRPr="006D775D" w:rsidRDefault="0002616A" w:rsidP="00F65E31">
            <w:pPr>
              <w:pStyle w:val="Tablea"/>
            </w:pPr>
            <w:r w:rsidRPr="006D775D">
              <w:t>(d) all of the specimens excised are sent for histological examination</w:t>
            </w:r>
            <w:r w:rsidR="00A92FD1" w:rsidRPr="006D775D">
              <w:t xml:space="preserve"> (Anaes</w:t>
            </w:r>
            <w:r w:rsidR="00E35EB8" w:rsidRPr="006D775D">
              <w:t>.</w:t>
            </w:r>
            <w:r w:rsidR="00A92FD1" w:rsidRPr="006D775D">
              <w:t>)</w:t>
            </w:r>
          </w:p>
        </w:tc>
        <w:tc>
          <w:tcPr>
            <w:tcW w:w="1134" w:type="dxa"/>
            <w:tcBorders>
              <w:bottom w:val="single" w:sz="2" w:space="0" w:color="auto"/>
            </w:tcBorders>
            <w:shd w:val="clear" w:color="auto" w:fill="auto"/>
          </w:tcPr>
          <w:p w:rsidR="0002616A" w:rsidRPr="006D775D" w:rsidRDefault="0002616A" w:rsidP="00EF5C81">
            <w:pPr>
              <w:pStyle w:val="Tabletext"/>
              <w:jc w:val="right"/>
            </w:pPr>
            <w:r w:rsidRPr="006D775D">
              <w:t>214.55</w:t>
            </w:r>
          </w:p>
        </w:tc>
      </w:tr>
      <w:tr w:rsidR="0002616A" w:rsidRPr="006D775D" w:rsidTr="004903CF">
        <w:tc>
          <w:tcPr>
            <w:tcW w:w="851" w:type="dxa"/>
            <w:tcBorders>
              <w:top w:val="single" w:sz="2" w:space="0" w:color="auto"/>
              <w:bottom w:val="nil"/>
            </w:tcBorders>
            <w:shd w:val="clear" w:color="auto" w:fill="auto"/>
          </w:tcPr>
          <w:p w:rsidR="0002616A" w:rsidRPr="006D775D" w:rsidRDefault="0002616A" w:rsidP="00EF5C81">
            <w:pPr>
              <w:pStyle w:val="Tabletext"/>
              <w:rPr>
                <w:snapToGrid w:val="0"/>
              </w:rPr>
            </w:pPr>
            <w:r w:rsidRPr="006D775D">
              <w:rPr>
                <w:snapToGrid w:val="0"/>
              </w:rPr>
              <w:t>31225</w:t>
            </w:r>
          </w:p>
        </w:tc>
        <w:tc>
          <w:tcPr>
            <w:tcW w:w="6095" w:type="dxa"/>
            <w:tcBorders>
              <w:top w:val="single" w:sz="2" w:space="0" w:color="auto"/>
              <w:bottom w:val="nil"/>
            </w:tcBorders>
            <w:shd w:val="clear" w:color="auto" w:fill="auto"/>
          </w:tcPr>
          <w:p w:rsidR="004903CF" w:rsidRPr="006D775D" w:rsidRDefault="004903CF" w:rsidP="004903CF">
            <w:pPr>
              <w:pStyle w:val="Tabletext"/>
            </w:pPr>
            <w:r w:rsidRPr="006D775D">
              <w:t>Tumours (other than viral verrucae (common warts) and seborrheic keratoses), cysts, ulcers or scars (other than scars removed during the surgical approach at an operation), removal of more than 10 lesions, if:</w:t>
            </w:r>
          </w:p>
          <w:p w:rsidR="004903CF" w:rsidRPr="006D775D" w:rsidRDefault="004903CF" w:rsidP="004903CF">
            <w:pPr>
              <w:pStyle w:val="Tablea"/>
            </w:pPr>
            <w:r w:rsidRPr="006D775D">
              <w:t>(a) the size of each lesion is not more than 10 mm in diameter; and</w:t>
            </w:r>
          </w:p>
          <w:p w:rsidR="004903CF" w:rsidRPr="006D775D" w:rsidRDefault="004903CF" w:rsidP="004903CF">
            <w:pPr>
              <w:pStyle w:val="Tablea"/>
            </w:pPr>
            <w:r w:rsidRPr="006D775D">
              <w:t>(b) each removal is from cutaneous</w:t>
            </w:r>
            <w:r w:rsidR="00CC2A03" w:rsidRPr="006D775D">
              <w:t xml:space="preserve"> or </w:t>
            </w:r>
            <w:r w:rsidRPr="006D775D">
              <w:t>subcutaneous tissue or mucous membrane by surgical excision (other than by shave excision); and</w:t>
            </w:r>
          </w:p>
          <w:p w:rsidR="004903CF" w:rsidRPr="006D775D" w:rsidRDefault="004903CF" w:rsidP="004903CF">
            <w:pPr>
              <w:pStyle w:val="Tablea"/>
            </w:pPr>
            <w:r w:rsidRPr="006D775D">
              <w:t>(c) each site of excision is closed by suture; and</w:t>
            </w:r>
          </w:p>
          <w:p w:rsidR="004903CF" w:rsidRPr="006D775D" w:rsidRDefault="004903CF" w:rsidP="004903CF">
            <w:pPr>
              <w:pStyle w:val="Tablea"/>
            </w:pPr>
            <w:r w:rsidRPr="006D775D">
              <w:t>(d) all of the specimens excised are sent for histological examination</w:t>
            </w:r>
          </w:p>
          <w:p w:rsidR="0002616A" w:rsidRPr="006D775D" w:rsidRDefault="004903CF" w:rsidP="004903CF">
            <w:pPr>
              <w:pStyle w:val="Tabletext"/>
            </w:pPr>
            <w:r w:rsidRPr="006D775D">
              <w:t>(Anaes.)</w:t>
            </w:r>
          </w:p>
        </w:tc>
        <w:tc>
          <w:tcPr>
            <w:tcW w:w="1134" w:type="dxa"/>
            <w:tcBorders>
              <w:top w:val="single" w:sz="2" w:space="0" w:color="auto"/>
              <w:bottom w:val="nil"/>
            </w:tcBorders>
            <w:shd w:val="clear" w:color="auto" w:fill="auto"/>
          </w:tcPr>
          <w:p w:rsidR="0002616A" w:rsidRPr="006D775D" w:rsidRDefault="004903CF" w:rsidP="00EF5C81">
            <w:pPr>
              <w:pStyle w:val="Tabletext"/>
              <w:jc w:val="right"/>
            </w:pPr>
            <w:r w:rsidRPr="006D775D">
              <w:t>381.30</w:t>
            </w:r>
          </w:p>
        </w:tc>
      </w:tr>
    </w:tbl>
    <w:p w:rsidR="00BC3AF7" w:rsidRPr="006D775D" w:rsidRDefault="00B25E9D" w:rsidP="00F808E3">
      <w:pPr>
        <w:pStyle w:val="ItemHead"/>
      </w:pPr>
      <w:r w:rsidRPr="006D775D">
        <w:t>28</w:t>
      </w:r>
      <w:r w:rsidR="00BC3AF7" w:rsidRPr="006D775D">
        <w:t xml:space="preserve">  Schedule</w:t>
      </w:r>
      <w:r w:rsidR="006D775D" w:rsidRPr="006D775D">
        <w:t> </w:t>
      </w:r>
      <w:r w:rsidR="00BC3AF7" w:rsidRPr="006D775D">
        <w:t>1 (items</w:t>
      </w:r>
      <w:r w:rsidR="006D775D" w:rsidRPr="006D775D">
        <w:t> </w:t>
      </w:r>
      <w:r w:rsidR="00BC3AF7" w:rsidRPr="006D775D">
        <w:t>31255 to 31335)</w:t>
      </w:r>
    </w:p>
    <w:p w:rsidR="00BC3AF7" w:rsidRPr="006D775D" w:rsidRDefault="00BC3AF7" w:rsidP="00BC3AF7">
      <w:pPr>
        <w:pStyle w:val="Item"/>
      </w:pPr>
      <w:r w:rsidRPr="006D775D">
        <w:t>Repeal the items.</w:t>
      </w:r>
    </w:p>
    <w:p w:rsidR="00FF1511" w:rsidRPr="006D775D" w:rsidRDefault="00B25E9D" w:rsidP="00F808E3">
      <w:pPr>
        <w:pStyle w:val="ItemHead"/>
      </w:pPr>
      <w:r w:rsidRPr="006D775D">
        <w:t>29</w:t>
      </w:r>
      <w:r w:rsidR="00FF1511" w:rsidRPr="006D775D">
        <w:t xml:space="preserve">  Schedule</w:t>
      </w:r>
      <w:r w:rsidR="006D775D" w:rsidRPr="006D775D">
        <w:t> </w:t>
      </w:r>
      <w:r w:rsidR="00FF1511" w:rsidRPr="006D775D">
        <w:t>1 (item</w:t>
      </w:r>
      <w:r w:rsidR="006D775D" w:rsidRPr="006D775D">
        <w:t> </w:t>
      </w:r>
      <w:r w:rsidR="00FF1511" w:rsidRPr="006D775D">
        <w:t>31340, column headed “Description”</w:t>
      </w:r>
      <w:r w:rsidR="00885590" w:rsidRPr="006D775D">
        <w:t xml:space="preserve">, </w:t>
      </w:r>
      <w:r w:rsidR="006D775D" w:rsidRPr="006D775D">
        <w:t>paragraph (</w:t>
      </w:r>
      <w:r w:rsidR="00885590" w:rsidRPr="006D775D">
        <w:t>b)</w:t>
      </w:r>
      <w:r w:rsidR="00321C75" w:rsidRPr="006D775D">
        <w:t>)</w:t>
      </w:r>
    </w:p>
    <w:p w:rsidR="00FF1511" w:rsidRPr="006D775D" w:rsidRDefault="00FF1511" w:rsidP="00FF1511">
      <w:pPr>
        <w:pStyle w:val="Item"/>
      </w:pPr>
      <w:r w:rsidRPr="006D775D">
        <w:t>Omit “any of items</w:t>
      </w:r>
      <w:r w:rsidR="006D775D" w:rsidRPr="006D775D">
        <w:t> </w:t>
      </w:r>
      <w:r w:rsidRPr="006D775D">
        <w:t>31255 to 31335”, substitute “item</w:t>
      </w:r>
      <w:r w:rsidR="006D775D" w:rsidRPr="006D775D">
        <w:t> </w:t>
      </w:r>
      <w:r w:rsidRPr="006D775D">
        <w:t xml:space="preserve">31356, 31358, 31359, 31361, 31363, 31365, 31367, 31369, 31371, 31372, 31373, </w:t>
      </w:r>
      <w:r w:rsidR="00B06DE3" w:rsidRPr="006D775D">
        <w:t>31374, 31375 or 31376”.</w:t>
      </w:r>
    </w:p>
    <w:p w:rsidR="00F808E3" w:rsidRPr="006D775D" w:rsidRDefault="00B25E9D" w:rsidP="00F808E3">
      <w:pPr>
        <w:pStyle w:val="ItemHead"/>
      </w:pPr>
      <w:r w:rsidRPr="006D775D">
        <w:t>30</w:t>
      </w:r>
      <w:r w:rsidR="00F808E3" w:rsidRPr="006D775D">
        <w:t xml:space="preserve">  Schedule</w:t>
      </w:r>
      <w:r w:rsidR="006D775D" w:rsidRPr="006D775D">
        <w:t> </w:t>
      </w:r>
      <w:r w:rsidR="00F808E3" w:rsidRPr="006D775D">
        <w:t>1 (after item</w:t>
      </w:r>
      <w:r w:rsidR="006D775D" w:rsidRPr="006D775D">
        <w:t> </w:t>
      </w:r>
      <w:r w:rsidR="00F808E3" w:rsidRPr="006D775D">
        <w:t>31355)</w:t>
      </w:r>
    </w:p>
    <w:p w:rsidR="00F808E3" w:rsidRPr="006D775D" w:rsidRDefault="00F808E3" w:rsidP="00F808E3">
      <w:pPr>
        <w:pStyle w:val="Item"/>
      </w:pPr>
      <w:r w:rsidRPr="006D775D">
        <w:t>Insert:</w:t>
      </w:r>
    </w:p>
    <w:p w:rsidR="00F808E3" w:rsidRPr="006D775D" w:rsidRDefault="00F808E3" w:rsidP="00F808E3">
      <w:pPr>
        <w:pStyle w:val="Tabletext"/>
      </w:pPr>
    </w:p>
    <w:tbl>
      <w:tblPr>
        <w:tblW w:w="808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851"/>
        <w:gridCol w:w="6095"/>
        <w:gridCol w:w="1134"/>
      </w:tblGrid>
      <w:tr w:rsidR="00F808E3" w:rsidRPr="006D775D" w:rsidTr="008941C2">
        <w:tc>
          <w:tcPr>
            <w:tcW w:w="851" w:type="dxa"/>
            <w:tcBorders>
              <w:top w:val="nil"/>
            </w:tcBorders>
            <w:shd w:val="clear" w:color="auto" w:fill="auto"/>
            <w:hideMark/>
          </w:tcPr>
          <w:p w:rsidR="00F808E3" w:rsidRPr="006D775D" w:rsidRDefault="00F808E3" w:rsidP="00EF5C81">
            <w:pPr>
              <w:pStyle w:val="Tabletext"/>
              <w:rPr>
                <w:snapToGrid w:val="0"/>
              </w:rPr>
            </w:pPr>
            <w:r w:rsidRPr="006D775D">
              <w:rPr>
                <w:snapToGrid w:val="0"/>
              </w:rPr>
              <w:t>31356</w:t>
            </w:r>
          </w:p>
        </w:tc>
        <w:tc>
          <w:tcPr>
            <w:tcW w:w="6095" w:type="dxa"/>
            <w:tcBorders>
              <w:top w:val="nil"/>
            </w:tcBorders>
            <w:shd w:val="clear" w:color="auto" w:fill="auto"/>
            <w:hideMark/>
          </w:tcPr>
          <w:p w:rsidR="00137963" w:rsidRPr="006D775D" w:rsidRDefault="00F808E3" w:rsidP="00DF5DA0">
            <w:pPr>
              <w:pStyle w:val="Tabletext"/>
            </w:pPr>
            <w:r w:rsidRPr="006D775D">
              <w:t xml:space="preserve">Malignant skin lesion (other than </w:t>
            </w:r>
            <w:r w:rsidR="004B3036" w:rsidRPr="006D775D">
              <w:t>a malignant skin lesion</w:t>
            </w:r>
            <w:r w:rsidRPr="006D775D">
              <w:t xml:space="preserve"> covered by i</w:t>
            </w:r>
            <w:r w:rsidR="00060B76" w:rsidRPr="006D775D">
              <w:t>tem</w:t>
            </w:r>
            <w:r w:rsidR="006D775D" w:rsidRPr="006D775D">
              <w:t> </w:t>
            </w:r>
            <w:r w:rsidRPr="006D775D">
              <w:t>31371</w:t>
            </w:r>
            <w:r w:rsidR="00060B76" w:rsidRPr="006D775D">
              <w:t>, 3</w:t>
            </w:r>
            <w:r w:rsidR="005B2780" w:rsidRPr="006D775D">
              <w:t>1</w:t>
            </w:r>
            <w:r w:rsidR="00060B76" w:rsidRPr="006D775D">
              <w:t>372, 3</w:t>
            </w:r>
            <w:r w:rsidR="005B2780" w:rsidRPr="006D775D">
              <w:t>1</w:t>
            </w:r>
            <w:r w:rsidR="00060B76" w:rsidRPr="006D775D">
              <w:t>373, 3</w:t>
            </w:r>
            <w:r w:rsidR="005B2780" w:rsidRPr="006D775D">
              <w:t>1</w:t>
            </w:r>
            <w:r w:rsidR="00060B76" w:rsidRPr="006D775D">
              <w:t>374, 3</w:t>
            </w:r>
            <w:r w:rsidR="005B2780" w:rsidRPr="006D775D">
              <w:t>1</w:t>
            </w:r>
            <w:r w:rsidR="00060B76" w:rsidRPr="006D775D">
              <w:t>375 or</w:t>
            </w:r>
            <w:r w:rsidR="00DF5DA0" w:rsidRPr="006D775D">
              <w:t xml:space="preserve"> </w:t>
            </w:r>
            <w:r w:rsidRPr="006D775D">
              <w:t xml:space="preserve">31376), surgical excision (other than by shave excision) and repair of, </w:t>
            </w:r>
            <w:r w:rsidR="00137963" w:rsidRPr="006D775D">
              <w:t>if:</w:t>
            </w:r>
          </w:p>
          <w:p w:rsidR="00DF5DA0" w:rsidRPr="006D775D" w:rsidRDefault="00137963" w:rsidP="00137963">
            <w:pPr>
              <w:pStyle w:val="Tablea"/>
            </w:pPr>
            <w:r w:rsidRPr="006D775D">
              <w:t xml:space="preserve">(a) </w:t>
            </w:r>
            <w:r w:rsidR="004D7EB0" w:rsidRPr="006D775D">
              <w:t xml:space="preserve">the lesion is excised </w:t>
            </w:r>
            <w:r w:rsidR="00F808E3" w:rsidRPr="006D775D">
              <w:t>from nose, eyelid, eyebrow, lip, ear, digit</w:t>
            </w:r>
            <w:r w:rsidR="00B44647" w:rsidRPr="006D775D">
              <w:t xml:space="preserve"> or </w:t>
            </w:r>
            <w:r w:rsidR="00F808E3" w:rsidRPr="006D775D">
              <w:t>genitalia</w:t>
            </w:r>
            <w:r w:rsidR="004B3036" w:rsidRPr="006D775D">
              <w:t>,</w:t>
            </w:r>
            <w:r w:rsidR="00F808E3" w:rsidRPr="006D775D">
              <w:t xml:space="preserve"> or </w:t>
            </w:r>
            <w:r w:rsidR="00B44647" w:rsidRPr="006D775D">
              <w:t xml:space="preserve">from a </w:t>
            </w:r>
            <w:r w:rsidR="00F808E3" w:rsidRPr="006D775D">
              <w:t>contiguous area</w:t>
            </w:r>
            <w:r w:rsidR="004D7EB0" w:rsidRPr="006D775D">
              <w:t>; and</w:t>
            </w:r>
          </w:p>
          <w:p w:rsidR="00DF5DA0" w:rsidRPr="006D775D" w:rsidRDefault="00DF5DA0" w:rsidP="00DF5DA0">
            <w:pPr>
              <w:pStyle w:val="Tablea"/>
            </w:pPr>
            <w:r w:rsidRPr="006D775D">
              <w:t>(</w:t>
            </w:r>
            <w:r w:rsidR="004D7EB0" w:rsidRPr="006D775D">
              <w:t>b</w:t>
            </w:r>
            <w:r w:rsidRPr="006D775D">
              <w:t xml:space="preserve">) the necessary excision diameter is </w:t>
            </w:r>
            <w:r w:rsidRPr="006D775D">
              <w:rPr>
                <w:bCs/>
              </w:rPr>
              <w:t>less than 6</w:t>
            </w:r>
            <w:r w:rsidR="007C190B" w:rsidRPr="006D775D">
              <w:rPr>
                <w:bCs/>
              </w:rPr>
              <w:t xml:space="preserve"> </w:t>
            </w:r>
            <w:r w:rsidRPr="006D775D">
              <w:rPr>
                <w:bCs/>
              </w:rPr>
              <w:t>mm</w:t>
            </w:r>
            <w:r w:rsidRPr="006D775D">
              <w:rPr>
                <w:b/>
                <w:bCs/>
              </w:rPr>
              <w:t xml:space="preserve">; </w:t>
            </w:r>
            <w:r w:rsidRPr="006D775D">
              <w:rPr>
                <w:bCs/>
              </w:rPr>
              <w:t>and</w:t>
            </w:r>
          </w:p>
          <w:p w:rsidR="00DF5DA0" w:rsidRPr="006D775D" w:rsidRDefault="003F3E30" w:rsidP="00DF5DA0">
            <w:pPr>
              <w:pStyle w:val="Tablea"/>
            </w:pPr>
            <w:r w:rsidRPr="006D775D">
              <w:t>(</w:t>
            </w:r>
            <w:r w:rsidR="004D7EB0" w:rsidRPr="006D775D">
              <w:t>c</w:t>
            </w:r>
            <w:r w:rsidRPr="006D775D">
              <w:t>)</w:t>
            </w:r>
            <w:r w:rsidR="00DF5DA0" w:rsidRPr="006D775D">
              <w:t xml:space="preserve"> the </w:t>
            </w:r>
            <w:r w:rsidR="00585D96" w:rsidRPr="006D775D">
              <w:t>excised specimen</w:t>
            </w:r>
            <w:r w:rsidR="00DF5DA0" w:rsidRPr="006D775D">
              <w:t xml:space="preserve"> is sent for histological examination; and</w:t>
            </w:r>
          </w:p>
          <w:p w:rsidR="00DF5DA0" w:rsidRPr="006D775D" w:rsidRDefault="00DF5DA0" w:rsidP="00DF5DA0">
            <w:pPr>
              <w:pStyle w:val="Tablea"/>
            </w:pPr>
            <w:r w:rsidRPr="006D775D">
              <w:t>(</w:t>
            </w:r>
            <w:r w:rsidR="004D7EB0" w:rsidRPr="006D775D">
              <w:t>d</w:t>
            </w:r>
            <w:r w:rsidRPr="006D775D">
              <w:t>) malignancy is confirmed f</w:t>
            </w:r>
            <w:r w:rsidR="00585D96" w:rsidRPr="006D775D">
              <w:t>rom the excised specimen</w:t>
            </w:r>
            <w:r w:rsidRPr="006D775D">
              <w:t xml:space="preserve"> or previous biopsy;</w:t>
            </w:r>
          </w:p>
          <w:p w:rsidR="00F808E3" w:rsidRPr="006D775D" w:rsidRDefault="00DF5DA0" w:rsidP="004B3036">
            <w:pPr>
              <w:pStyle w:val="Tabletext"/>
            </w:pPr>
            <w:r w:rsidRPr="006D775D">
              <w:t>n</w:t>
            </w:r>
            <w:r w:rsidR="00F808E3" w:rsidRPr="006D775D">
              <w:t>ot in association with item</w:t>
            </w:r>
            <w:r w:rsidR="006D775D" w:rsidRPr="006D775D">
              <w:t> </w:t>
            </w:r>
            <w:r w:rsidR="00F808E3" w:rsidRPr="006D775D">
              <w:t>45201 (Anaes.)</w:t>
            </w:r>
          </w:p>
        </w:tc>
        <w:tc>
          <w:tcPr>
            <w:tcW w:w="1134" w:type="dxa"/>
            <w:tcBorders>
              <w:top w:val="nil"/>
            </w:tcBorders>
            <w:shd w:val="clear" w:color="auto" w:fill="auto"/>
            <w:hideMark/>
          </w:tcPr>
          <w:p w:rsidR="00F808E3" w:rsidRPr="006D775D" w:rsidRDefault="00F808E3" w:rsidP="00EF5C81">
            <w:pPr>
              <w:pStyle w:val="Tabletext"/>
              <w:jc w:val="right"/>
            </w:pPr>
            <w:r w:rsidRPr="006D775D">
              <w:t>221.35</w:t>
            </w:r>
          </w:p>
        </w:tc>
      </w:tr>
      <w:tr w:rsidR="00F808E3" w:rsidRPr="006D775D" w:rsidTr="008941C2">
        <w:tc>
          <w:tcPr>
            <w:tcW w:w="851" w:type="dxa"/>
            <w:shd w:val="clear" w:color="auto" w:fill="auto"/>
            <w:hideMark/>
          </w:tcPr>
          <w:p w:rsidR="00F808E3" w:rsidRPr="006D775D" w:rsidRDefault="00F808E3" w:rsidP="00EF5C81">
            <w:pPr>
              <w:pStyle w:val="Tabletext"/>
              <w:rPr>
                <w:snapToGrid w:val="0"/>
              </w:rPr>
            </w:pPr>
            <w:r w:rsidRPr="006D775D">
              <w:rPr>
                <w:snapToGrid w:val="0"/>
              </w:rPr>
              <w:t>31357</w:t>
            </w:r>
          </w:p>
        </w:tc>
        <w:tc>
          <w:tcPr>
            <w:tcW w:w="6095" w:type="dxa"/>
            <w:shd w:val="clear" w:color="auto" w:fill="auto"/>
            <w:hideMark/>
          </w:tcPr>
          <w:p w:rsidR="004D7EB0" w:rsidRPr="006D775D" w:rsidRDefault="00F808E3" w:rsidP="002E206D">
            <w:pPr>
              <w:pStyle w:val="Tabletext"/>
            </w:pPr>
            <w:r w:rsidRPr="006D775D">
              <w:t>Non</w:t>
            </w:r>
            <w:r w:rsidR="006D775D">
              <w:noBreakHyphen/>
            </w:r>
            <w:r w:rsidRPr="006D775D">
              <w:t xml:space="preserve">malignant skin lesion (other than viral verrucae </w:t>
            </w:r>
            <w:r w:rsidR="003F3E30" w:rsidRPr="006D775D">
              <w:t>(</w:t>
            </w:r>
            <w:r w:rsidRPr="006D775D">
              <w:t>common warts</w:t>
            </w:r>
            <w:r w:rsidR="003F3E30" w:rsidRPr="006D775D">
              <w:t>)</w:t>
            </w:r>
            <w:r w:rsidRPr="006D775D">
              <w:t xml:space="preserve"> and seborrheic keratoses)</w:t>
            </w:r>
            <w:r w:rsidR="004B3036" w:rsidRPr="006D775D">
              <w:t>,</w:t>
            </w:r>
            <w:r w:rsidRPr="006D775D">
              <w:t xml:space="preserve"> including a cyst, ulcer or scar (other than a scar removed during the surgical approach at an operation), surgical excision (other than by shave excision) and repair of, </w:t>
            </w:r>
            <w:r w:rsidR="004D7EB0" w:rsidRPr="006D775D">
              <w:t>if:</w:t>
            </w:r>
          </w:p>
          <w:p w:rsidR="00DF5DA0" w:rsidRPr="006D775D" w:rsidRDefault="004D7EB0" w:rsidP="004D7EB0">
            <w:pPr>
              <w:pStyle w:val="Tablea"/>
            </w:pPr>
            <w:r w:rsidRPr="006D775D">
              <w:t xml:space="preserve">(a) the lesion is excised </w:t>
            </w:r>
            <w:r w:rsidR="003F3E30" w:rsidRPr="006D775D">
              <w:t>from nose, eyelid, eyebrow, lip, ear, digit or genitalia, or from a contiguous area</w:t>
            </w:r>
            <w:r w:rsidRPr="006D775D">
              <w:t>; and</w:t>
            </w:r>
          </w:p>
          <w:p w:rsidR="00DF5DA0" w:rsidRPr="006D775D" w:rsidRDefault="00DF5DA0" w:rsidP="00DF5DA0">
            <w:pPr>
              <w:pStyle w:val="Tablea"/>
            </w:pPr>
            <w:r w:rsidRPr="006D775D">
              <w:t>(</w:t>
            </w:r>
            <w:r w:rsidR="004D7EB0" w:rsidRPr="006D775D">
              <w:t>b</w:t>
            </w:r>
            <w:r w:rsidRPr="006D775D">
              <w:t>) the necessary excision diameter is</w:t>
            </w:r>
            <w:r w:rsidRPr="006D775D">
              <w:rPr>
                <w:b/>
                <w:bCs/>
              </w:rPr>
              <w:t xml:space="preserve"> </w:t>
            </w:r>
            <w:r w:rsidRPr="006D775D">
              <w:rPr>
                <w:bCs/>
              </w:rPr>
              <w:t>less than 6</w:t>
            </w:r>
            <w:r w:rsidR="007C190B" w:rsidRPr="006D775D">
              <w:rPr>
                <w:bCs/>
              </w:rPr>
              <w:t xml:space="preserve"> </w:t>
            </w:r>
            <w:r w:rsidRPr="006D775D">
              <w:rPr>
                <w:bCs/>
              </w:rPr>
              <w:t>mm</w:t>
            </w:r>
            <w:r w:rsidRPr="006D775D">
              <w:rPr>
                <w:b/>
                <w:bCs/>
              </w:rPr>
              <w:t xml:space="preserve">; </w:t>
            </w:r>
            <w:r w:rsidRPr="006D775D">
              <w:rPr>
                <w:bCs/>
              </w:rPr>
              <w:t>and</w:t>
            </w:r>
          </w:p>
          <w:p w:rsidR="00DF5DA0" w:rsidRPr="006D775D" w:rsidRDefault="00DF5DA0" w:rsidP="00DF5DA0">
            <w:pPr>
              <w:pStyle w:val="Tablea"/>
            </w:pPr>
            <w:r w:rsidRPr="006D775D">
              <w:t>(</w:t>
            </w:r>
            <w:r w:rsidR="004D7EB0" w:rsidRPr="006D775D">
              <w:t>c</w:t>
            </w:r>
            <w:r w:rsidRPr="006D775D">
              <w:t xml:space="preserve">) the </w:t>
            </w:r>
            <w:r w:rsidR="00585D96" w:rsidRPr="006D775D">
              <w:t>excised specimen</w:t>
            </w:r>
            <w:r w:rsidRPr="006D775D">
              <w:t xml:space="preserve"> is sent for histological examination;</w:t>
            </w:r>
          </w:p>
          <w:p w:rsidR="00F808E3" w:rsidRPr="006D775D" w:rsidRDefault="00DF5DA0" w:rsidP="004B3036">
            <w:pPr>
              <w:pStyle w:val="Tabletext"/>
            </w:pPr>
            <w:r w:rsidRPr="006D775D">
              <w:t>not in association with item</w:t>
            </w:r>
            <w:r w:rsidR="006D775D" w:rsidRPr="006D775D">
              <w:t> </w:t>
            </w:r>
            <w:r w:rsidRPr="006D775D">
              <w:t>45201 (Anaes.)</w:t>
            </w:r>
          </w:p>
        </w:tc>
        <w:tc>
          <w:tcPr>
            <w:tcW w:w="1134" w:type="dxa"/>
            <w:shd w:val="clear" w:color="auto" w:fill="auto"/>
            <w:hideMark/>
          </w:tcPr>
          <w:p w:rsidR="00F808E3" w:rsidRPr="006D775D" w:rsidRDefault="00F808E3" w:rsidP="00EF5C81">
            <w:pPr>
              <w:pStyle w:val="Tabletext"/>
              <w:jc w:val="right"/>
            </w:pPr>
            <w:r w:rsidRPr="006D775D">
              <w:t>109.70</w:t>
            </w:r>
          </w:p>
        </w:tc>
      </w:tr>
      <w:tr w:rsidR="00F808E3" w:rsidRPr="006D775D" w:rsidTr="008941C2">
        <w:tc>
          <w:tcPr>
            <w:tcW w:w="851" w:type="dxa"/>
            <w:shd w:val="clear" w:color="auto" w:fill="auto"/>
          </w:tcPr>
          <w:p w:rsidR="00F808E3" w:rsidRPr="006D775D" w:rsidRDefault="009D5795" w:rsidP="00EF5C81">
            <w:pPr>
              <w:pStyle w:val="Tabletext"/>
              <w:rPr>
                <w:snapToGrid w:val="0"/>
              </w:rPr>
            </w:pPr>
            <w:r w:rsidRPr="006D775D">
              <w:rPr>
                <w:snapToGrid w:val="0"/>
              </w:rPr>
              <w:t>31358</w:t>
            </w:r>
          </w:p>
        </w:tc>
        <w:tc>
          <w:tcPr>
            <w:tcW w:w="6095" w:type="dxa"/>
            <w:shd w:val="clear" w:color="auto" w:fill="auto"/>
          </w:tcPr>
          <w:p w:rsidR="004D7EB0" w:rsidRPr="006D775D" w:rsidRDefault="009D5795" w:rsidP="00DC21C1">
            <w:pPr>
              <w:pStyle w:val="Tabletext"/>
            </w:pPr>
            <w:r w:rsidRPr="006D775D">
              <w:t xml:space="preserve">Malignant skin lesion (other than </w:t>
            </w:r>
            <w:r w:rsidR="004B3036" w:rsidRPr="006D775D">
              <w:t>a malignant skin lesion</w:t>
            </w:r>
            <w:r w:rsidRPr="006D775D">
              <w:t xml:space="preserve"> covered by </w:t>
            </w:r>
            <w:r w:rsidR="00060B76" w:rsidRPr="006D775D">
              <w:t>item</w:t>
            </w:r>
            <w:r w:rsidR="006D775D" w:rsidRPr="006D775D">
              <w:t> </w:t>
            </w:r>
            <w:r w:rsidR="00060B76" w:rsidRPr="006D775D">
              <w:t xml:space="preserve">31371, </w:t>
            </w:r>
            <w:r w:rsidR="005B2780" w:rsidRPr="006D775D">
              <w:t>31372, 31373, 31374, 31375</w:t>
            </w:r>
            <w:r w:rsidR="00060B76" w:rsidRPr="006D775D">
              <w:t xml:space="preserve"> or 31376</w:t>
            </w:r>
            <w:r w:rsidRPr="006D775D">
              <w:t xml:space="preserve">), surgical excision (other than by shave excision) and repair of, </w:t>
            </w:r>
            <w:r w:rsidR="004D7EB0" w:rsidRPr="006D775D">
              <w:t>if:</w:t>
            </w:r>
          </w:p>
          <w:p w:rsidR="00DC21C1" w:rsidRPr="006D775D" w:rsidRDefault="004D7EB0" w:rsidP="004D7EB0">
            <w:pPr>
              <w:pStyle w:val="Tablea"/>
            </w:pPr>
            <w:r w:rsidRPr="006D775D">
              <w:t xml:space="preserve">(a) the lesion is excised </w:t>
            </w:r>
            <w:r w:rsidR="003F3E30" w:rsidRPr="006D775D">
              <w:t>from nose, eyelid, eyebrow, lip, ear, digit or genitalia, or from a contiguous area</w:t>
            </w:r>
            <w:r w:rsidRPr="006D775D">
              <w:t>; and</w:t>
            </w:r>
          </w:p>
          <w:p w:rsidR="00DC21C1" w:rsidRPr="006D775D" w:rsidRDefault="00DC21C1" w:rsidP="00DC21C1">
            <w:pPr>
              <w:pStyle w:val="Tablea"/>
            </w:pPr>
            <w:r w:rsidRPr="006D775D">
              <w:t>(</w:t>
            </w:r>
            <w:r w:rsidR="004D7EB0" w:rsidRPr="006D775D">
              <w:t>b</w:t>
            </w:r>
            <w:r w:rsidRPr="006D775D">
              <w:t xml:space="preserve">) the necessary excision diameter is </w:t>
            </w:r>
            <w:r w:rsidRPr="006D775D">
              <w:rPr>
                <w:bCs/>
              </w:rPr>
              <w:t>6</w:t>
            </w:r>
            <w:r w:rsidR="007C190B" w:rsidRPr="006D775D">
              <w:rPr>
                <w:bCs/>
              </w:rPr>
              <w:t xml:space="preserve"> </w:t>
            </w:r>
            <w:r w:rsidRPr="006D775D">
              <w:rPr>
                <w:bCs/>
              </w:rPr>
              <w:t>mm</w:t>
            </w:r>
            <w:r w:rsidRPr="006D775D">
              <w:t xml:space="preserve"> or more; and</w:t>
            </w:r>
          </w:p>
          <w:p w:rsidR="00DC21C1" w:rsidRPr="006D775D" w:rsidRDefault="00DC21C1" w:rsidP="00DC21C1">
            <w:pPr>
              <w:pStyle w:val="Tablea"/>
            </w:pPr>
            <w:r w:rsidRPr="006D775D">
              <w:t>(</w:t>
            </w:r>
            <w:r w:rsidR="004D7EB0" w:rsidRPr="006D775D">
              <w:t>c</w:t>
            </w:r>
            <w:r w:rsidRPr="006D775D">
              <w:t xml:space="preserve">) the </w:t>
            </w:r>
            <w:r w:rsidR="00585D96" w:rsidRPr="006D775D">
              <w:t>excised specimen</w:t>
            </w:r>
            <w:r w:rsidRPr="006D775D">
              <w:t xml:space="preserve"> is sent for histological examination; and</w:t>
            </w:r>
          </w:p>
          <w:p w:rsidR="00DC21C1" w:rsidRPr="006D775D" w:rsidRDefault="00DC21C1" w:rsidP="00DC21C1">
            <w:pPr>
              <w:pStyle w:val="Tablea"/>
            </w:pPr>
            <w:r w:rsidRPr="006D775D">
              <w:t>(</w:t>
            </w:r>
            <w:r w:rsidR="004D7EB0" w:rsidRPr="006D775D">
              <w:t>d</w:t>
            </w:r>
            <w:r w:rsidRPr="006D775D">
              <w:t xml:space="preserve">) malignancy is confirmed from </w:t>
            </w:r>
            <w:r w:rsidR="008941C2" w:rsidRPr="006D775D">
              <w:t>the excised specimen</w:t>
            </w:r>
            <w:r w:rsidRPr="006D775D">
              <w:t xml:space="preserve"> or previous biopsy</w:t>
            </w:r>
          </w:p>
          <w:p w:rsidR="00F808E3" w:rsidRPr="006D775D" w:rsidRDefault="009D5795" w:rsidP="00DC21C1">
            <w:pPr>
              <w:pStyle w:val="Tabletext"/>
            </w:pPr>
            <w:r w:rsidRPr="006D775D">
              <w:t>(Anaes.)</w:t>
            </w:r>
          </w:p>
        </w:tc>
        <w:tc>
          <w:tcPr>
            <w:tcW w:w="1134" w:type="dxa"/>
            <w:shd w:val="clear" w:color="auto" w:fill="auto"/>
          </w:tcPr>
          <w:p w:rsidR="00F808E3" w:rsidRPr="006D775D" w:rsidRDefault="009D5795" w:rsidP="00EF5C81">
            <w:pPr>
              <w:pStyle w:val="Tabletext"/>
              <w:jc w:val="right"/>
            </w:pPr>
            <w:r w:rsidRPr="006D775D">
              <w:t>270.85</w:t>
            </w:r>
          </w:p>
        </w:tc>
      </w:tr>
      <w:tr w:rsidR="00F808E3" w:rsidRPr="006D775D" w:rsidTr="008941C2">
        <w:tc>
          <w:tcPr>
            <w:tcW w:w="851" w:type="dxa"/>
            <w:shd w:val="clear" w:color="auto" w:fill="auto"/>
          </w:tcPr>
          <w:p w:rsidR="00F808E3" w:rsidRPr="006D775D" w:rsidRDefault="009D5795" w:rsidP="00EF5C81">
            <w:pPr>
              <w:pStyle w:val="Tabletext"/>
              <w:rPr>
                <w:snapToGrid w:val="0"/>
              </w:rPr>
            </w:pPr>
            <w:r w:rsidRPr="006D775D">
              <w:rPr>
                <w:snapToGrid w:val="0"/>
              </w:rPr>
              <w:t>31359</w:t>
            </w:r>
          </w:p>
        </w:tc>
        <w:tc>
          <w:tcPr>
            <w:tcW w:w="6095" w:type="dxa"/>
            <w:shd w:val="clear" w:color="auto" w:fill="auto"/>
          </w:tcPr>
          <w:p w:rsidR="004D7EB0" w:rsidRPr="006D775D" w:rsidRDefault="009D5795" w:rsidP="009D5795">
            <w:pPr>
              <w:pStyle w:val="Tabletext"/>
            </w:pPr>
            <w:r w:rsidRPr="006D775D">
              <w:t xml:space="preserve">Malignant skin lesion (other than </w:t>
            </w:r>
            <w:r w:rsidR="00DC21C1" w:rsidRPr="006D775D">
              <w:t>a malignant skin lesion</w:t>
            </w:r>
            <w:r w:rsidRPr="006D775D">
              <w:t xml:space="preserve"> covered by </w:t>
            </w:r>
            <w:r w:rsidR="00060B76" w:rsidRPr="006D775D">
              <w:t>item</w:t>
            </w:r>
            <w:r w:rsidR="006D775D" w:rsidRPr="006D775D">
              <w:t> </w:t>
            </w:r>
            <w:r w:rsidR="00060B76" w:rsidRPr="006D775D">
              <w:t xml:space="preserve">31371, </w:t>
            </w:r>
            <w:r w:rsidR="005B2780" w:rsidRPr="006D775D">
              <w:t>31372, 31373, 31374, 31375</w:t>
            </w:r>
            <w:r w:rsidR="00060B76" w:rsidRPr="006D775D">
              <w:t xml:space="preserve"> or 31376</w:t>
            </w:r>
            <w:r w:rsidRPr="006D775D">
              <w:t>), surgical excision (other than by shave excision)</w:t>
            </w:r>
            <w:r w:rsidR="004D7EB0" w:rsidRPr="006D775D">
              <w:t>, if:</w:t>
            </w:r>
          </w:p>
          <w:p w:rsidR="00DF5DA0" w:rsidRPr="006D775D" w:rsidRDefault="004D7EB0" w:rsidP="004D7EB0">
            <w:pPr>
              <w:pStyle w:val="Tablea"/>
            </w:pPr>
            <w:r w:rsidRPr="006D775D">
              <w:t>(a) the lesion is excised</w:t>
            </w:r>
            <w:r w:rsidR="009D5795" w:rsidRPr="006D775D">
              <w:t xml:space="preserve"> </w:t>
            </w:r>
            <w:r w:rsidR="00DC21C1" w:rsidRPr="006D775D">
              <w:t>from nose, eyelid, eyebrow, lip, ear, digit or genitalia</w:t>
            </w:r>
            <w:r w:rsidR="00A4139B" w:rsidRPr="006D775D">
              <w:t xml:space="preserve"> (the </w:t>
            </w:r>
            <w:r w:rsidR="00A4139B" w:rsidRPr="006D775D">
              <w:rPr>
                <w:b/>
                <w:i/>
              </w:rPr>
              <w:t>applicable site</w:t>
            </w:r>
            <w:r w:rsidR="00A4139B" w:rsidRPr="006D775D">
              <w:t>)</w:t>
            </w:r>
            <w:r w:rsidRPr="006D775D">
              <w:t>; and</w:t>
            </w:r>
          </w:p>
          <w:p w:rsidR="00DF5DA0" w:rsidRPr="006D775D" w:rsidRDefault="00DF5DA0" w:rsidP="00DF5DA0">
            <w:pPr>
              <w:pStyle w:val="Tablea"/>
            </w:pPr>
            <w:r w:rsidRPr="006D775D">
              <w:t>(</w:t>
            </w:r>
            <w:r w:rsidR="004D7EB0" w:rsidRPr="006D775D">
              <w:t>b</w:t>
            </w:r>
            <w:r w:rsidRPr="006D775D">
              <w:t xml:space="preserve">) the necessary excision </w:t>
            </w:r>
            <w:r w:rsidR="005B2780" w:rsidRPr="006D775D">
              <w:t>area</w:t>
            </w:r>
            <w:r w:rsidRPr="006D775D">
              <w:t xml:space="preserve"> is </w:t>
            </w:r>
            <w:r w:rsidR="00A4139B" w:rsidRPr="006D775D">
              <w:t xml:space="preserve">at least </w:t>
            </w:r>
            <w:r w:rsidRPr="006D775D">
              <w:t xml:space="preserve">one third of the </w:t>
            </w:r>
            <w:r w:rsidR="00333B52" w:rsidRPr="006D775D">
              <w:t>surface area</w:t>
            </w:r>
            <w:r w:rsidR="00A4139B" w:rsidRPr="006D775D">
              <w:t xml:space="preserve"> of the </w:t>
            </w:r>
            <w:r w:rsidRPr="006D775D">
              <w:t>applicable site; and</w:t>
            </w:r>
          </w:p>
          <w:p w:rsidR="00DF5DA0" w:rsidRPr="006D775D" w:rsidRDefault="00DF5DA0" w:rsidP="00DF5DA0">
            <w:pPr>
              <w:pStyle w:val="Tablea"/>
            </w:pPr>
            <w:r w:rsidRPr="006D775D">
              <w:t>(</w:t>
            </w:r>
            <w:r w:rsidR="004D7EB0" w:rsidRPr="006D775D">
              <w:t>c</w:t>
            </w:r>
            <w:r w:rsidRPr="006D775D">
              <w:t xml:space="preserve">) the </w:t>
            </w:r>
            <w:r w:rsidR="00585D96" w:rsidRPr="006D775D">
              <w:t>excised specimen</w:t>
            </w:r>
            <w:r w:rsidRPr="006D775D">
              <w:t xml:space="preserve"> is sent for histological examination; and</w:t>
            </w:r>
          </w:p>
          <w:p w:rsidR="00DF5DA0" w:rsidRPr="006D775D" w:rsidRDefault="00DF5DA0" w:rsidP="00DF5DA0">
            <w:pPr>
              <w:pStyle w:val="Tablea"/>
            </w:pPr>
            <w:r w:rsidRPr="006D775D">
              <w:t>(</w:t>
            </w:r>
            <w:r w:rsidR="004D7EB0" w:rsidRPr="006D775D">
              <w:t>d</w:t>
            </w:r>
            <w:r w:rsidRPr="006D775D">
              <w:t xml:space="preserve">) malignancy is confirmed </w:t>
            </w:r>
            <w:r w:rsidR="008941C2" w:rsidRPr="006D775D">
              <w:t>from</w:t>
            </w:r>
            <w:r w:rsidR="00585D96" w:rsidRPr="006D775D">
              <w:t xml:space="preserve"> the excised specimen</w:t>
            </w:r>
            <w:r w:rsidRPr="006D775D">
              <w:t xml:space="preserve"> or previous biopsy</w:t>
            </w:r>
          </w:p>
          <w:p w:rsidR="00F808E3" w:rsidRPr="006D775D" w:rsidRDefault="0007214C" w:rsidP="0007214C">
            <w:pPr>
              <w:pStyle w:val="Tabletext"/>
            </w:pPr>
            <w:r w:rsidRPr="006D775D">
              <w:t>(H) (Anaes.)</w:t>
            </w:r>
          </w:p>
        </w:tc>
        <w:tc>
          <w:tcPr>
            <w:tcW w:w="1134" w:type="dxa"/>
            <w:shd w:val="clear" w:color="auto" w:fill="auto"/>
          </w:tcPr>
          <w:p w:rsidR="00F808E3" w:rsidRPr="006D775D" w:rsidRDefault="009D5795" w:rsidP="00EF5C81">
            <w:pPr>
              <w:pStyle w:val="Tabletext"/>
              <w:jc w:val="right"/>
            </w:pPr>
            <w:r w:rsidRPr="006D775D">
              <w:t>330.15</w:t>
            </w:r>
          </w:p>
        </w:tc>
      </w:tr>
      <w:tr w:rsidR="00F808E3" w:rsidRPr="006D775D" w:rsidTr="008941C2">
        <w:tc>
          <w:tcPr>
            <w:tcW w:w="851" w:type="dxa"/>
            <w:shd w:val="clear" w:color="auto" w:fill="auto"/>
          </w:tcPr>
          <w:p w:rsidR="00F808E3" w:rsidRPr="006D775D" w:rsidRDefault="009D5795" w:rsidP="00EF5C81">
            <w:pPr>
              <w:pStyle w:val="Tabletext"/>
              <w:rPr>
                <w:snapToGrid w:val="0"/>
              </w:rPr>
            </w:pPr>
            <w:r w:rsidRPr="006D775D">
              <w:rPr>
                <w:snapToGrid w:val="0"/>
              </w:rPr>
              <w:t>31360</w:t>
            </w:r>
          </w:p>
        </w:tc>
        <w:tc>
          <w:tcPr>
            <w:tcW w:w="6095" w:type="dxa"/>
            <w:shd w:val="clear" w:color="auto" w:fill="auto"/>
          </w:tcPr>
          <w:p w:rsidR="004D7EB0" w:rsidRPr="006D775D" w:rsidRDefault="009D5795" w:rsidP="0007214C">
            <w:pPr>
              <w:pStyle w:val="Tabletext"/>
            </w:pPr>
            <w:r w:rsidRPr="006D775D">
              <w:t>Non</w:t>
            </w:r>
            <w:r w:rsidR="006D775D">
              <w:noBreakHyphen/>
            </w:r>
            <w:r w:rsidRPr="006D775D">
              <w:t xml:space="preserve">malignant skin lesion (other than viral verrucae </w:t>
            </w:r>
            <w:r w:rsidR="00D07A04" w:rsidRPr="006D775D">
              <w:t>(</w:t>
            </w:r>
            <w:r w:rsidRPr="006D775D">
              <w:t>common warts</w:t>
            </w:r>
            <w:r w:rsidR="00D07A04" w:rsidRPr="006D775D">
              <w:t>)</w:t>
            </w:r>
            <w:r w:rsidRPr="006D775D">
              <w:t xml:space="preserve"> and seborrheic keratos</w:t>
            </w:r>
            <w:r w:rsidR="00D07A04" w:rsidRPr="006D775D">
              <w:t>e</w:t>
            </w:r>
            <w:r w:rsidRPr="006D775D">
              <w:t>s)</w:t>
            </w:r>
            <w:r w:rsidR="008F7102" w:rsidRPr="006D775D">
              <w:t>,</w:t>
            </w:r>
            <w:r w:rsidRPr="006D775D">
              <w:t xml:space="preserve"> including a cyst, ulcer or scar (other than a scar removed during the surgical approach at an operation), surgical excision (other than by shave excision) and repair of, </w:t>
            </w:r>
            <w:r w:rsidR="004D7EB0" w:rsidRPr="006D775D">
              <w:t>if:</w:t>
            </w:r>
          </w:p>
          <w:p w:rsidR="0007214C" w:rsidRPr="006D775D" w:rsidRDefault="004D7EB0" w:rsidP="004D7EB0">
            <w:pPr>
              <w:pStyle w:val="Tablea"/>
            </w:pPr>
            <w:r w:rsidRPr="006D775D">
              <w:t xml:space="preserve">(a) the lesion is excised </w:t>
            </w:r>
            <w:r w:rsidR="003F3E30" w:rsidRPr="006D775D">
              <w:t>from nose, eyelid, eyebrow, lip, ear, digit or genitalia, or from a contiguous area</w:t>
            </w:r>
            <w:r w:rsidRPr="006D775D">
              <w:t>; and</w:t>
            </w:r>
          </w:p>
          <w:p w:rsidR="0007214C" w:rsidRPr="006D775D" w:rsidRDefault="0007214C" w:rsidP="0007214C">
            <w:pPr>
              <w:pStyle w:val="Tablea"/>
            </w:pPr>
            <w:r w:rsidRPr="006D775D">
              <w:t>(</w:t>
            </w:r>
            <w:r w:rsidR="004D7EB0" w:rsidRPr="006D775D">
              <w:t>b</w:t>
            </w:r>
            <w:r w:rsidRPr="006D775D">
              <w:t xml:space="preserve">) the necessary excision diameter is </w:t>
            </w:r>
            <w:r w:rsidRPr="006D775D">
              <w:rPr>
                <w:bCs/>
              </w:rPr>
              <w:t>6</w:t>
            </w:r>
            <w:r w:rsidR="007C190B" w:rsidRPr="006D775D">
              <w:rPr>
                <w:bCs/>
              </w:rPr>
              <w:t xml:space="preserve"> </w:t>
            </w:r>
            <w:r w:rsidRPr="006D775D">
              <w:rPr>
                <w:bCs/>
              </w:rPr>
              <w:t>mm</w:t>
            </w:r>
            <w:r w:rsidRPr="006D775D">
              <w:t xml:space="preserve"> or more; and</w:t>
            </w:r>
          </w:p>
          <w:p w:rsidR="0007214C" w:rsidRPr="006D775D" w:rsidRDefault="0007214C" w:rsidP="0007214C">
            <w:pPr>
              <w:pStyle w:val="Tablea"/>
            </w:pPr>
            <w:r w:rsidRPr="006D775D">
              <w:t>(</w:t>
            </w:r>
            <w:r w:rsidR="004D7EB0" w:rsidRPr="006D775D">
              <w:t>c</w:t>
            </w:r>
            <w:r w:rsidRPr="006D775D">
              <w:t xml:space="preserve">) the </w:t>
            </w:r>
            <w:r w:rsidR="00585D96" w:rsidRPr="006D775D">
              <w:t>excised specimen</w:t>
            </w:r>
            <w:r w:rsidRPr="006D775D">
              <w:t xml:space="preserve"> is sent for histological examination</w:t>
            </w:r>
          </w:p>
          <w:p w:rsidR="00F808E3" w:rsidRPr="006D775D" w:rsidRDefault="0007214C" w:rsidP="0007214C">
            <w:pPr>
              <w:pStyle w:val="Tabletext"/>
            </w:pPr>
            <w:r w:rsidRPr="006D775D">
              <w:t>(Anaes.)</w:t>
            </w:r>
          </w:p>
        </w:tc>
        <w:tc>
          <w:tcPr>
            <w:tcW w:w="1134" w:type="dxa"/>
            <w:shd w:val="clear" w:color="auto" w:fill="auto"/>
          </w:tcPr>
          <w:p w:rsidR="00F808E3" w:rsidRPr="006D775D" w:rsidRDefault="009D5795" w:rsidP="00EF5C81">
            <w:pPr>
              <w:pStyle w:val="Tabletext"/>
              <w:jc w:val="right"/>
            </w:pPr>
            <w:r w:rsidRPr="006D775D">
              <w:t>168.05</w:t>
            </w:r>
          </w:p>
        </w:tc>
      </w:tr>
      <w:tr w:rsidR="00F808E3" w:rsidRPr="006D775D" w:rsidTr="008941C2">
        <w:tc>
          <w:tcPr>
            <w:tcW w:w="851" w:type="dxa"/>
            <w:shd w:val="clear" w:color="auto" w:fill="auto"/>
          </w:tcPr>
          <w:p w:rsidR="00F808E3" w:rsidRPr="006D775D" w:rsidRDefault="009D5795" w:rsidP="00EF5C81">
            <w:pPr>
              <w:pStyle w:val="Tabletext"/>
              <w:rPr>
                <w:snapToGrid w:val="0"/>
              </w:rPr>
            </w:pPr>
            <w:r w:rsidRPr="006D775D">
              <w:rPr>
                <w:snapToGrid w:val="0"/>
              </w:rPr>
              <w:t>31361</w:t>
            </w:r>
          </w:p>
        </w:tc>
        <w:tc>
          <w:tcPr>
            <w:tcW w:w="6095" w:type="dxa"/>
            <w:shd w:val="clear" w:color="auto" w:fill="auto"/>
          </w:tcPr>
          <w:p w:rsidR="004D7EB0" w:rsidRPr="006D775D" w:rsidRDefault="009D5795" w:rsidP="0007214C">
            <w:pPr>
              <w:pStyle w:val="Tabletext"/>
            </w:pPr>
            <w:r w:rsidRPr="006D775D">
              <w:t xml:space="preserve">Malignant skin lesion (other than </w:t>
            </w:r>
            <w:r w:rsidR="00DC21C1" w:rsidRPr="006D775D">
              <w:t>a malignant skin lesion</w:t>
            </w:r>
            <w:r w:rsidRPr="006D775D">
              <w:t xml:space="preserve"> covered by </w:t>
            </w:r>
            <w:r w:rsidR="00060B76" w:rsidRPr="006D775D">
              <w:t>item</w:t>
            </w:r>
            <w:r w:rsidR="006D775D" w:rsidRPr="006D775D">
              <w:t> </w:t>
            </w:r>
            <w:r w:rsidR="00060B76" w:rsidRPr="006D775D">
              <w:t xml:space="preserve">31371, </w:t>
            </w:r>
            <w:r w:rsidR="005B2780" w:rsidRPr="006D775D">
              <w:t>31372, 31373, 31374, 31375</w:t>
            </w:r>
            <w:r w:rsidR="00060B76" w:rsidRPr="006D775D">
              <w:t xml:space="preserve"> or 31376</w:t>
            </w:r>
            <w:r w:rsidRPr="006D775D">
              <w:t xml:space="preserve">), surgical excision (other than by shave excision) and repair of, </w:t>
            </w:r>
            <w:r w:rsidR="004D7EB0" w:rsidRPr="006D775D">
              <w:t>if:</w:t>
            </w:r>
          </w:p>
          <w:p w:rsidR="0007214C" w:rsidRPr="006D775D" w:rsidRDefault="004D7EB0" w:rsidP="004D7EB0">
            <w:pPr>
              <w:pStyle w:val="Tablea"/>
            </w:pPr>
            <w:r w:rsidRPr="006D775D">
              <w:t xml:space="preserve">(a) the lesion is excised </w:t>
            </w:r>
            <w:r w:rsidR="009D5795" w:rsidRPr="006D775D">
              <w:t>from face, neck, scalp, nipple</w:t>
            </w:r>
            <w:r w:rsidR="006D775D">
              <w:noBreakHyphen/>
            </w:r>
            <w:r w:rsidR="009D5795" w:rsidRPr="006D775D">
              <w:t>areola complex, distal lower limb (distal to</w:t>
            </w:r>
            <w:r w:rsidR="00333B52" w:rsidRPr="006D775D">
              <w:t xml:space="preserve">, and </w:t>
            </w:r>
            <w:r w:rsidR="009D5795" w:rsidRPr="006D775D">
              <w:t>including</w:t>
            </w:r>
            <w:r w:rsidR="00333B52" w:rsidRPr="006D775D">
              <w:t>,</w:t>
            </w:r>
            <w:r w:rsidR="009D5795" w:rsidRPr="006D775D">
              <w:t xml:space="preserve"> the knee) or distal upper limb (</w:t>
            </w:r>
            <w:r w:rsidR="00333B52" w:rsidRPr="006D775D">
              <w:t>distal to, and including,</w:t>
            </w:r>
            <w:r w:rsidR="009D5795" w:rsidRPr="006D775D">
              <w:t xml:space="preserve"> the ulnar styloid)</w:t>
            </w:r>
            <w:r w:rsidRPr="006D775D">
              <w:t>; and</w:t>
            </w:r>
          </w:p>
          <w:p w:rsidR="0007214C" w:rsidRPr="006D775D" w:rsidRDefault="0007214C" w:rsidP="0007214C">
            <w:pPr>
              <w:pStyle w:val="Tablea"/>
            </w:pPr>
            <w:r w:rsidRPr="006D775D">
              <w:t>(</w:t>
            </w:r>
            <w:r w:rsidR="004D7EB0" w:rsidRPr="006D775D">
              <w:t>b</w:t>
            </w:r>
            <w:r w:rsidRPr="006D775D">
              <w:t xml:space="preserve">) the necessary excision diameter is </w:t>
            </w:r>
            <w:r w:rsidRPr="006D775D">
              <w:rPr>
                <w:bCs/>
              </w:rPr>
              <w:t>less than</w:t>
            </w:r>
            <w:r w:rsidR="00C46B5A" w:rsidRPr="006D775D">
              <w:rPr>
                <w:bCs/>
              </w:rPr>
              <w:t xml:space="preserve"> </w:t>
            </w:r>
            <w:r w:rsidRPr="006D775D">
              <w:rPr>
                <w:bCs/>
              </w:rPr>
              <w:t>14</w:t>
            </w:r>
            <w:r w:rsidR="007C190B" w:rsidRPr="006D775D">
              <w:rPr>
                <w:bCs/>
              </w:rPr>
              <w:t xml:space="preserve"> </w:t>
            </w:r>
            <w:r w:rsidRPr="006D775D">
              <w:rPr>
                <w:bCs/>
              </w:rPr>
              <w:t>mm; and</w:t>
            </w:r>
          </w:p>
          <w:p w:rsidR="0007214C" w:rsidRPr="006D775D" w:rsidRDefault="0007214C" w:rsidP="0007214C">
            <w:pPr>
              <w:pStyle w:val="Tablea"/>
            </w:pPr>
            <w:r w:rsidRPr="006D775D">
              <w:t>(</w:t>
            </w:r>
            <w:r w:rsidR="004D7EB0" w:rsidRPr="006D775D">
              <w:t>c</w:t>
            </w:r>
            <w:r w:rsidRPr="006D775D">
              <w:t xml:space="preserve">) </w:t>
            </w:r>
            <w:r w:rsidRPr="006D775D">
              <w:rPr>
                <w:color w:val="000000"/>
              </w:rPr>
              <w:t xml:space="preserve">the </w:t>
            </w:r>
            <w:r w:rsidR="00585D96" w:rsidRPr="006D775D">
              <w:t>excised specimen</w:t>
            </w:r>
            <w:r w:rsidRPr="006D775D">
              <w:rPr>
                <w:color w:val="000000"/>
              </w:rPr>
              <w:t xml:space="preserve"> is sent for histological examination; and</w:t>
            </w:r>
          </w:p>
          <w:p w:rsidR="0007214C" w:rsidRPr="006D775D" w:rsidRDefault="0007214C" w:rsidP="0007214C">
            <w:pPr>
              <w:pStyle w:val="Tablea"/>
              <w:rPr>
                <w:color w:val="000000"/>
              </w:rPr>
            </w:pPr>
            <w:r w:rsidRPr="006D775D">
              <w:t>(</w:t>
            </w:r>
            <w:r w:rsidR="004D7EB0" w:rsidRPr="006D775D">
              <w:t>d</w:t>
            </w:r>
            <w:r w:rsidRPr="006D775D">
              <w:t xml:space="preserve">) </w:t>
            </w:r>
            <w:r w:rsidRPr="006D775D">
              <w:rPr>
                <w:color w:val="000000"/>
              </w:rPr>
              <w:t xml:space="preserve">malignancy is confirmed </w:t>
            </w:r>
            <w:r w:rsidR="008941C2" w:rsidRPr="006D775D">
              <w:rPr>
                <w:color w:val="000000"/>
              </w:rPr>
              <w:t>from</w:t>
            </w:r>
            <w:r w:rsidR="00585D96" w:rsidRPr="006D775D">
              <w:t xml:space="preserve"> the excised specimen</w:t>
            </w:r>
            <w:r w:rsidRPr="006D775D">
              <w:rPr>
                <w:color w:val="000000"/>
              </w:rPr>
              <w:t xml:space="preserve"> or previous biopsy</w:t>
            </w:r>
            <w:r w:rsidR="008077FD" w:rsidRPr="006D775D">
              <w:rPr>
                <w:color w:val="000000"/>
              </w:rPr>
              <w:t>;</w:t>
            </w:r>
          </w:p>
          <w:p w:rsidR="00F808E3" w:rsidRPr="006D775D" w:rsidRDefault="00BC3AF7" w:rsidP="0007214C">
            <w:pPr>
              <w:pStyle w:val="Tabletext"/>
            </w:pPr>
            <w:r w:rsidRPr="006D775D">
              <w:rPr>
                <w:color w:val="000000"/>
              </w:rPr>
              <w:t>not in association with item</w:t>
            </w:r>
            <w:r w:rsidR="006D775D" w:rsidRPr="006D775D">
              <w:rPr>
                <w:color w:val="000000"/>
              </w:rPr>
              <w:t> </w:t>
            </w:r>
            <w:r w:rsidRPr="006D775D">
              <w:rPr>
                <w:color w:val="000000"/>
              </w:rPr>
              <w:t xml:space="preserve">45201 </w:t>
            </w:r>
            <w:r w:rsidR="0007214C" w:rsidRPr="006D775D">
              <w:rPr>
                <w:color w:val="000000"/>
              </w:rPr>
              <w:t>(Anaes.)</w:t>
            </w:r>
          </w:p>
        </w:tc>
        <w:tc>
          <w:tcPr>
            <w:tcW w:w="1134" w:type="dxa"/>
            <w:shd w:val="clear" w:color="auto" w:fill="auto"/>
          </w:tcPr>
          <w:p w:rsidR="00F808E3" w:rsidRPr="006D775D" w:rsidRDefault="009D5795" w:rsidP="00EF5C81">
            <w:pPr>
              <w:pStyle w:val="Tabletext"/>
              <w:jc w:val="right"/>
            </w:pPr>
            <w:r w:rsidRPr="006D775D">
              <w:t>186.70</w:t>
            </w:r>
          </w:p>
        </w:tc>
      </w:tr>
      <w:tr w:rsidR="00F808E3" w:rsidRPr="006D775D" w:rsidTr="008941C2">
        <w:tc>
          <w:tcPr>
            <w:tcW w:w="851" w:type="dxa"/>
            <w:shd w:val="clear" w:color="auto" w:fill="auto"/>
          </w:tcPr>
          <w:p w:rsidR="00F808E3" w:rsidRPr="006D775D" w:rsidRDefault="000C3E41" w:rsidP="00EF5C81">
            <w:pPr>
              <w:pStyle w:val="Tabletext"/>
              <w:rPr>
                <w:snapToGrid w:val="0"/>
              </w:rPr>
            </w:pPr>
            <w:r w:rsidRPr="006D775D">
              <w:rPr>
                <w:snapToGrid w:val="0"/>
              </w:rPr>
              <w:t>31362</w:t>
            </w:r>
          </w:p>
        </w:tc>
        <w:tc>
          <w:tcPr>
            <w:tcW w:w="6095" w:type="dxa"/>
            <w:shd w:val="clear" w:color="auto" w:fill="auto"/>
          </w:tcPr>
          <w:p w:rsidR="004D7EB0" w:rsidRPr="006D775D" w:rsidRDefault="000C3E41" w:rsidP="0007214C">
            <w:pPr>
              <w:pStyle w:val="Tabletext"/>
            </w:pPr>
            <w:r w:rsidRPr="006D775D">
              <w:t>Non</w:t>
            </w:r>
            <w:r w:rsidR="006D775D">
              <w:noBreakHyphen/>
            </w:r>
            <w:r w:rsidRPr="006D775D">
              <w:t xml:space="preserve">malignant skin lesion (other than viral verrucae </w:t>
            </w:r>
            <w:r w:rsidR="009A08B6" w:rsidRPr="006D775D">
              <w:t>(</w:t>
            </w:r>
            <w:r w:rsidRPr="006D775D">
              <w:t>common warts</w:t>
            </w:r>
            <w:r w:rsidR="009A08B6" w:rsidRPr="006D775D">
              <w:t>)</w:t>
            </w:r>
            <w:r w:rsidRPr="006D775D">
              <w:t xml:space="preserve"> and seborrheic keratoses)</w:t>
            </w:r>
            <w:r w:rsidR="009A08B6" w:rsidRPr="006D775D">
              <w:t>,</w:t>
            </w:r>
            <w:r w:rsidRPr="006D775D">
              <w:t xml:space="preserve"> including a cyst, ulcer or scar (other than a scar removed during the surgical approach at an operation), surgical excision (other than by shave excision) and repair of, </w:t>
            </w:r>
            <w:r w:rsidR="004D7EB0" w:rsidRPr="006D775D">
              <w:t>if:</w:t>
            </w:r>
          </w:p>
          <w:p w:rsidR="0007214C" w:rsidRPr="006D775D" w:rsidRDefault="004D7EB0" w:rsidP="004D7EB0">
            <w:pPr>
              <w:pStyle w:val="Tablea"/>
            </w:pPr>
            <w:r w:rsidRPr="006D775D">
              <w:t xml:space="preserve">(a) the lesion is excised </w:t>
            </w:r>
            <w:r w:rsidR="000C3E41" w:rsidRPr="006D775D">
              <w:t xml:space="preserve">from face, neck, scalp, </w:t>
            </w:r>
            <w:r w:rsidR="009A08B6" w:rsidRPr="006D775D">
              <w:t>nipple</w:t>
            </w:r>
            <w:r w:rsidR="006D775D">
              <w:noBreakHyphen/>
            </w:r>
            <w:r w:rsidR="009A08B6" w:rsidRPr="006D775D">
              <w:t>areola</w:t>
            </w:r>
            <w:r w:rsidR="000C3E41" w:rsidRPr="006D775D">
              <w:t xml:space="preserve"> complex, distal lower limb (</w:t>
            </w:r>
            <w:r w:rsidR="00333B52" w:rsidRPr="006D775D">
              <w:t>distal to, and including,</w:t>
            </w:r>
            <w:r w:rsidR="000C3E41" w:rsidRPr="006D775D">
              <w:t xml:space="preserve"> the knee) or distal upper limb (</w:t>
            </w:r>
            <w:r w:rsidR="00333B52" w:rsidRPr="006D775D">
              <w:t>distal to, and including,</w:t>
            </w:r>
            <w:r w:rsidR="000C3E41" w:rsidRPr="006D775D">
              <w:t xml:space="preserve"> the ulnar styloid)</w:t>
            </w:r>
            <w:r w:rsidRPr="006D775D">
              <w:t>; and</w:t>
            </w:r>
          </w:p>
          <w:p w:rsidR="0007214C" w:rsidRPr="006D775D" w:rsidRDefault="0007214C" w:rsidP="0007214C">
            <w:pPr>
              <w:pStyle w:val="Tablea"/>
            </w:pPr>
            <w:r w:rsidRPr="006D775D">
              <w:t>(</w:t>
            </w:r>
            <w:r w:rsidR="004D7EB0" w:rsidRPr="006D775D">
              <w:t>b</w:t>
            </w:r>
            <w:r w:rsidRPr="006D775D">
              <w:t xml:space="preserve">) the necessary excision diameter is </w:t>
            </w:r>
            <w:r w:rsidRPr="006D775D">
              <w:rPr>
                <w:bCs/>
              </w:rPr>
              <w:t>less tha</w:t>
            </w:r>
            <w:r w:rsidR="00C46B5A" w:rsidRPr="006D775D">
              <w:rPr>
                <w:bCs/>
              </w:rPr>
              <w:t xml:space="preserve">n </w:t>
            </w:r>
            <w:r w:rsidRPr="006D775D">
              <w:rPr>
                <w:bCs/>
              </w:rPr>
              <w:t>14</w:t>
            </w:r>
            <w:r w:rsidR="007C190B" w:rsidRPr="006D775D">
              <w:rPr>
                <w:bCs/>
              </w:rPr>
              <w:t xml:space="preserve"> </w:t>
            </w:r>
            <w:r w:rsidRPr="006D775D">
              <w:rPr>
                <w:bCs/>
              </w:rPr>
              <w:t>mm; and</w:t>
            </w:r>
          </w:p>
          <w:p w:rsidR="0007214C" w:rsidRPr="006D775D" w:rsidRDefault="0007214C" w:rsidP="0007214C">
            <w:pPr>
              <w:pStyle w:val="Tabletext"/>
            </w:pPr>
            <w:r w:rsidRPr="006D775D">
              <w:t>(</w:t>
            </w:r>
            <w:r w:rsidR="004D7EB0" w:rsidRPr="006D775D">
              <w:t>c</w:t>
            </w:r>
            <w:r w:rsidRPr="006D775D">
              <w:t xml:space="preserve">) the </w:t>
            </w:r>
            <w:r w:rsidR="00585D96" w:rsidRPr="006D775D">
              <w:t>excised specimen</w:t>
            </w:r>
            <w:r w:rsidRPr="006D775D">
              <w:t xml:space="preserve"> is sent for histological examination</w:t>
            </w:r>
            <w:r w:rsidR="007C190B" w:rsidRPr="006D775D">
              <w:t>;</w:t>
            </w:r>
          </w:p>
          <w:p w:rsidR="00F808E3" w:rsidRPr="006D775D" w:rsidRDefault="007C190B" w:rsidP="0007214C">
            <w:pPr>
              <w:pStyle w:val="Tabletext"/>
            </w:pPr>
            <w:r w:rsidRPr="006D775D">
              <w:t>not in association with item</w:t>
            </w:r>
            <w:r w:rsidR="006D775D" w:rsidRPr="006D775D">
              <w:t> </w:t>
            </w:r>
            <w:r w:rsidRPr="006D775D">
              <w:t xml:space="preserve">45201 </w:t>
            </w:r>
            <w:r w:rsidR="000C3E41" w:rsidRPr="006D775D">
              <w:t>(Anaes.)</w:t>
            </w:r>
          </w:p>
        </w:tc>
        <w:tc>
          <w:tcPr>
            <w:tcW w:w="1134" w:type="dxa"/>
            <w:shd w:val="clear" w:color="auto" w:fill="auto"/>
          </w:tcPr>
          <w:p w:rsidR="00F808E3" w:rsidRPr="006D775D" w:rsidRDefault="000C3E41" w:rsidP="00EF5C81">
            <w:pPr>
              <w:pStyle w:val="Tabletext"/>
              <w:jc w:val="right"/>
            </w:pPr>
            <w:r w:rsidRPr="006D775D">
              <w:t>133.90</w:t>
            </w:r>
          </w:p>
        </w:tc>
      </w:tr>
      <w:tr w:rsidR="00F808E3" w:rsidRPr="006D775D" w:rsidTr="008941C2">
        <w:tc>
          <w:tcPr>
            <w:tcW w:w="851" w:type="dxa"/>
            <w:shd w:val="clear" w:color="auto" w:fill="auto"/>
          </w:tcPr>
          <w:p w:rsidR="00F808E3" w:rsidRPr="006D775D" w:rsidRDefault="000C3E41" w:rsidP="00EF5C81">
            <w:pPr>
              <w:pStyle w:val="Tabletext"/>
              <w:rPr>
                <w:snapToGrid w:val="0"/>
              </w:rPr>
            </w:pPr>
            <w:r w:rsidRPr="006D775D">
              <w:rPr>
                <w:snapToGrid w:val="0"/>
              </w:rPr>
              <w:t>31363</w:t>
            </w:r>
          </w:p>
        </w:tc>
        <w:tc>
          <w:tcPr>
            <w:tcW w:w="6095" w:type="dxa"/>
            <w:shd w:val="clear" w:color="auto" w:fill="auto"/>
          </w:tcPr>
          <w:p w:rsidR="004D7EB0" w:rsidRPr="006D775D" w:rsidRDefault="000C3E41" w:rsidP="002E206D">
            <w:pPr>
              <w:pStyle w:val="Tabletext"/>
            </w:pPr>
            <w:r w:rsidRPr="006D775D">
              <w:t xml:space="preserve">Malignant skin lesion (other than </w:t>
            </w:r>
            <w:r w:rsidR="00774B14" w:rsidRPr="006D775D">
              <w:t>a malignant skin lesion</w:t>
            </w:r>
            <w:r w:rsidRPr="006D775D">
              <w:t xml:space="preserve"> covered by </w:t>
            </w:r>
            <w:r w:rsidR="00060B76" w:rsidRPr="006D775D">
              <w:t>item</w:t>
            </w:r>
            <w:r w:rsidR="006D775D" w:rsidRPr="006D775D">
              <w:t> </w:t>
            </w:r>
            <w:r w:rsidR="00060B76" w:rsidRPr="006D775D">
              <w:t xml:space="preserve">31371, </w:t>
            </w:r>
            <w:r w:rsidR="005B2780" w:rsidRPr="006D775D">
              <w:t>31372, 31373, 31374, 31375</w:t>
            </w:r>
            <w:r w:rsidR="00060B76" w:rsidRPr="006D775D">
              <w:t xml:space="preserve"> or 31376</w:t>
            </w:r>
            <w:r w:rsidRPr="006D775D">
              <w:t xml:space="preserve">), surgical excision (other than by shave excision) and repair of, </w:t>
            </w:r>
            <w:r w:rsidR="004D7EB0" w:rsidRPr="006D775D">
              <w:t>if:</w:t>
            </w:r>
          </w:p>
          <w:p w:rsidR="00A31980" w:rsidRPr="006D775D" w:rsidRDefault="004D7EB0" w:rsidP="004D7EB0">
            <w:pPr>
              <w:pStyle w:val="Tablea"/>
            </w:pPr>
            <w:r w:rsidRPr="006D775D">
              <w:t xml:space="preserve">(a) the lesion is excised </w:t>
            </w:r>
            <w:r w:rsidR="000C3E41" w:rsidRPr="006D775D">
              <w:t xml:space="preserve">from face, neck, scalp, </w:t>
            </w:r>
            <w:r w:rsidR="00CB251F" w:rsidRPr="006D775D">
              <w:t>nipple</w:t>
            </w:r>
            <w:r w:rsidR="006D775D">
              <w:noBreakHyphen/>
            </w:r>
            <w:r w:rsidR="00CB251F" w:rsidRPr="006D775D">
              <w:t>areola</w:t>
            </w:r>
            <w:r w:rsidR="000C3E41" w:rsidRPr="006D775D">
              <w:t xml:space="preserve"> complex, distal lower limb (</w:t>
            </w:r>
            <w:r w:rsidR="00333B52" w:rsidRPr="006D775D">
              <w:t xml:space="preserve">distal to, and </w:t>
            </w:r>
            <w:r w:rsidR="000C3E41" w:rsidRPr="006D775D">
              <w:t>including</w:t>
            </w:r>
            <w:r w:rsidR="00333B52" w:rsidRPr="006D775D">
              <w:t>,</w:t>
            </w:r>
            <w:r w:rsidR="000C3E41" w:rsidRPr="006D775D">
              <w:t xml:space="preserve"> the knee) or distal upper limb (distal to</w:t>
            </w:r>
            <w:r w:rsidR="00333B52" w:rsidRPr="006D775D">
              <w:t xml:space="preserve">, and </w:t>
            </w:r>
            <w:r w:rsidR="000C3E41" w:rsidRPr="006D775D">
              <w:t>including</w:t>
            </w:r>
            <w:r w:rsidR="00333B52" w:rsidRPr="006D775D">
              <w:t>,</w:t>
            </w:r>
            <w:r w:rsidR="000C3E41" w:rsidRPr="006D775D">
              <w:t xml:space="preserve"> the ulnar styloid)</w:t>
            </w:r>
            <w:r w:rsidRPr="006D775D">
              <w:t>; and</w:t>
            </w:r>
          </w:p>
          <w:p w:rsidR="00A31980" w:rsidRPr="006D775D" w:rsidRDefault="00A31980" w:rsidP="00A31980">
            <w:pPr>
              <w:pStyle w:val="Tablea"/>
            </w:pPr>
            <w:r w:rsidRPr="006D775D">
              <w:t>(</w:t>
            </w:r>
            <w:r w:rsidR="004D7EB0" w:rsidRPr="006D775D">
              <w:t>b</w:t>
            </w:r>
            <w:r w:rsidRPr="006D775D">
              <w:t xml:space="preserve">) the necessary excision diameter is </w:t>
            </w:r>
            <w:r w:rsidRPr="006D775D">
              <w:rPr>
                <w:bCs/>
              </w:rPr>
              <w:t>14</w:t>
            </w:r>
            <w:r w:rsidR="007C190B" w:rsidRPr="006D775D">
              <w:rPr>
                <w:bCs/>
              </w:rPr>
              <w:t xml:space="preserve"> </w:t>
            </w:r>
            <w:r w:rsidRPr="006D775D">
              <w:rPr>
                <w:bCs/>
              </w:rPr>
              <w:t>mm</w:t>
            </w:r>
            <w:r w:rsidRPr="006D775D">
              <w:t xml:space="preserve"> or more; and</w:t>
            </w:r>
          </w:p>
          <w:p w:rsidR="00A31980" w:rsidRPr="006D775D" w:rsidRDefault="00A31980" w:rsidP="00A31980">
            <w:pPr>
              <w:pStyle w:val="Tablea"/>
            </w:pPr>
            <w:r w:rsidRPr="006D775D">
              <w:t>(</w:t>
            </w:r>
            <w:r w:rsidR="004D7EB0" w:rsidRPr="006D775D">
              <w:t>c</w:t>
            </w:r>
            <w:r w:rsidRPr="006D775D">
              <w:t xml:space="preserve">) the </w:t>
            </w:r>
            <w:r w:rsidR="00585D96" w:rsidRPr="006D775D">
              <w:t>excised specimen</w:t>
            </w:r>
            <w:r w:rsidRPr="006D775D">
              <w:t xml:space="preserve"> is sent for histological examination; and</w:t>
            </w:r>
          </w:p>
          <w:p w:rsidR="00A31980" w:rsidRPr="006D775D" w:rsidRDefault="00A31980" w:rsidP="00A31980">
            <w:pPr>
              <w:pStyle w:val="Tablea"/>
            </w:pPr>
            <w:r w:rsidRPr="006D775D">
              <w:t>(</w:t>
            </w:r>
            <w:r w:rsidR="004D7EB0" w:rsidRPr="006D775D">
              <w:t>d</w:t>
            </w:r>
            <w:r w:rsidRPr="006D775D">
              <w:t xml:space="preserve">) malignancy is confirmed </w:t>
            </w:r>
            <w:r w:rsidR="008941C2" w:rsidRPr="006D775D">
              <w:t>from</w:t>
            </w:r>
            <w:r w:rsidR="00585D96" w:rsidRPr="006D775D">
              <w:t xml:space="preserve"> the excised specimen</w:t>
            </w:r>
            <w:r w:rsidRPr="006D775D">
              <w:t xml:space="preserve"> or previous biopsy</w:t>
            </w:r>
          </w:p>
          <w:p w:rsidR="00F808E3" w:rsidRPr="006D775D" w:rsidRDefault="00A31980" w:rsidP="00A31980">
            <w:pPr>
              <w:pStyle w:val="Tabletext"/>
            </w:pPr>
            <w:r w:rsidRPr="006D775D">
              <w:t>(Anaes.)</w:t>
            </w:r>
          </w:p>
        </w:tc>
        <w:tc>
          <w:tcPr>
            <w:tcW w:w="1134" w:type="dxa"/>
            <w:shd w:val="clear" w:color="auto" w:fill="auto"/>
          </w:tcPr>
          <w:p w:rsidR="00F808E3" w:rsidRPr="006D775D" w:rsidRDefault="000C3E41" w:rsidP="00EF5C81">
            <w:pPr>
              <w:pStyle w:val="Tabletext"/>
              <w:jc w:val="right"/>
            </w:pPr>
            <w:r w:rsidRPr="006D775D">
              <w:t>2</w:t>
            </w:r>
            <w:r w:rsidR="00CB251F" w:rsidRPr="006D775D">
              <w:t>4</w:t>
            </w:r>
            <w:r w:rsidRPr="006D775D">
              <w:t>4.30</w:t>
            </w:r>
          </w:p>
        </w:tc>
      </w:tr>
      <w:tr w:rsidR="00CB251F" w:rsidRPr="006D775D" w:rsidTr="008941C2">
        <w:tc>
          <w:tcPr>
            <w:tcW w:w="851" w:type="dxa"/>
            <w:shd w:val="clear" w:color="auto" w:fill="auto"/>
          </w:tcPr>
          <w:p w:rsidR="00CB251F" w:rsidRPr="006D775D" w:rsidRDefault="00CB251F" w:rsidP="00EF5C81">
            <w:pPr>
              <w:pStyle w:val="Tabletext"/>
              <w:rPr>
                <w:snapToGrid w:val="0"/>
              </w:rPr>
            </w:pPr>
            <w:r w:rsidRPr="006D775D">
              <w:rPr>
                <w:snapToGrid w:val="0"/>
              </w:rPr>
              <w:t>31364</w:t>
            </w:r>
          </w:p>
        </w:tc>
        <w:tc>
          <w:tcPr>
            <w:tcW w:w="6095" w:type="dxa"/>
            <w:shd w:val="clear" w:color="auto" w:fill="auto"/>
          </w:tcPr>
          <w:p w:rsidR="008941C2" w:rsidRPr="006D775D" w:rsidRDefault="00CB251F" w:rsidP="00333B52">
            <w:pPr>
              <w:pStyle w:val="Tabletext"/>
            </w:pPr>
            <w:r w:rsidRPr="006D775D">
              <w:t>Non</w:t>
            </w:r>
            <w:r w:rsidR="006D775D">
              <w:noBreakHyphen/>
            </w:r>
            <w:r w:rsidRPr="006D775D">
              <w:t xml:space="preserve">malignant skin lesion (other than viral verrucae (common warts) and seborrheic keratoses), including a cyst, ulcer or scar (other than a scar removed during the surgical approach at an operation), surgical excision (other than by shave excision) and repair of, </w:t>
            </w:r>
            <w:r w:rsidR="008941C2" w:rsidRPr="006D775D">
              <w:t>if:</w:t>
            </w:r>
          </w:p>
          <w:p w:rsidR="00CB251F" w:rsidRPr="006D775D" w:rsidRDefault="008941C2" w:rsidP="008941C2">
            <w:pPr>
              <w:pStyle w:val="Tablea"/>
            </w:pPr>
            <w:r w:rsidRPr="006D775D">
              <w:t xml:space="preserve">(a) the lesion is excised </w:t>
            </w:r>
            <w:r w:rsidR="00CB251F" w:rsidRPr="006D775D">
              <w:t>from face, neck, scalp, nipple</w:t>
            </w:r>
            <w:r w:rsidR="006D775D">
              <w:noBreakHyphen/>
            </w:r>
            <w:r w:rsidR="00CB251F" w:rsidRPr="006D775D">
              <w:t>areola complex, distal lower limb (distal to</w:t>
            </w:r>
            <w:r w:rsidR="00333B52" w:rsidRPr="006D775D">
              <w:t xml:space="preserve">, and </w:t>
            </w:r>
            <w:r w:rsidR="00CB251F" w:rsidRPr="006D775D">
              <w:t>including</w:t>
            </w:r>
            <w:r w:rsidR="00333B52" w:rsidRPr="006D775D">
              <w:t>,</w:t>
            </w:r>
            <w:r w:rsidR="00CB251F" w:rsidRPr="006D775D">
              <w:t xml:space="preserve"> the knee) or distal upper limb (distal to</w:t>
            </w:r>
            <w:r w:rsidR="00333B52" w:rsidRPr="006D775D">
              <w:t xml:space="preserve">, and </w:t>
            </w:r>
            <w:r w:rsidR="00CB251F" w:rsidRPr="006D775D">
              <w:t>including</w:t>
            </w:r>
            <w:r w:rsidR="00333B52" w:rsidRPr="006D775D">
              <w:t>,</w:t>
            </w:r>
            <w:r w:rsidR="00CB251F" w:rsidRPr="006D775D">
              <w:t xml:space="preserve"> the ulnar styloid)</w:t>
            </w:r>
            <w:r w:rsidRPr="006D775D">
              <w:t>; and</w:t>
            </w:r>
          </w:p>
          <w:p w:rsidR="00CB251F" w:rsidRPr="006D775D" w:rsidRDefault="00CB251F" w:rsidP="00333B52">
            <w:pPr>
              <w:pStyle w:val="Tablea"/>
            </w:pPr>
            <w:r w:rsidRPr="006D775D">
              <w:t>(</w:t>
            </w:r>
            <w:r w:rsidR="008941C2" w:rsidRPr="006D775D">
              <w:t>b</w:t>
            </w:r>
            <w:r w:rsidRPr="006D775D">
              <w:t xml:space="preserve">) the necessary excision diameter is </w:t>
            </w:r>
            <w:r w:rsidRPr="006D775D">
              <w:rPr>
                <w:bCs/>
              </w:rPr>
              <w:t>14</w:t>
            </w:r>
            <w:r w:rsidR="007C190B" w:rsidRPr="006D775D">
              <w:rPr>
                <w:bCs/>
              </w:rPr>
              <w:t xml:space="preserve"> </w:t>
            </w:r>
            <w:r w:rsidRPr="006D775D">
              <w:rPr>
                <w:bCs/>
              </w:rPr>
              <w:t>mm or more; and</w:t>
            </w:r>
          </w:p>
          <w:p w:rsidR="00CB251F" w:rsidRPr="006D775D" w:rsidRDefault="00CB251F" w:rsidP="00333B52">
            <w:pPr>
              <w:pStyle w:val="Tabletext"/>
            </w:pPr>
            <w:r w:rsidRPr="006D775D">
              <w:t>(</w:t>
            </w:r>
            <w:r w:rsidR="008941C2" w:rsidRPr="006D775D">
              <w:t>c</w:t>
            </w:r>
            <w:r w:rsidRPr="006D775D">
              <w:t xml:space="preserve">) the </w:t>
            </w:r>
            <w:r w:rsidR="00585D96" w:rsidRPr="006D775D">
              <w:t>excised specimen</w:t>
            </w:r>
            <w:r w:rsidRPr="006D775D">
              <w:t xml:space="preserve"> is sent for histological examination</w:t>
            </w:r>
          </w:p>
          <w:p w:rsidR="00CB251F" w:rsidRPr="006D775D" w:rsidRDefault="00CB251F" w:rsidP="00333B52">
            <w:pPr>
              <w:pStyle w:val="Tabletext"/>
            </w:pPr>
            <w:r w:rsidRPr="006D775D">
              <w:t>(Anaes.)</w:t>
            </w:r>
          </w:p>
        </w:tc>
        <w:tc>
          <w:tcPr>
            <w:tcW w:w="1134" w:type="dxa"/>
            <w:shd w:val="clear" w:color="auto" w:fill="auto"/>
          </w:tcPr>
          <w:p w:rsidR="00CB251F" w:rsidRPr="006D775D" w:rsidRDefault="00CB251F" w:rsidP="000C3E41">
            <w:pPr>
              <w:pStyle w:val="Tabletext"/>
              <w:jc w:val="right"/>
            </w:pPr>
            <w:r w:rsidRPr="006D775D">
              <w:t>168.05</w:t>
            </w:r>
          </w:p>
        </w:tc>
      </w:tr>
      <w:tr w:rsidR="00CB251F" w:rsidRPr="006D775D" w:rsidTr="008941C2">
        <w:tc>
          <w:tcPr>
            <w:tcW w:w="851" w:type="dxa"/>
            <w:shd w:val="clear" w:color="auto" w:fill="auto"/>
          </w:tcPr>
          <w:p w:rsidR="00CB251F" w:rsidRPr="006D775D" w:rsidRDefault="00CB251F" w:rsidP="00EF5C81">
            <w:pPr>
              <w:pStyle w:val="Tabletext"/>
              <w:rPr>
                <w:snapToGrid w:val="0"/>
              </w:rPr>
            </w:pPr>
            <w:r w:rsidRPr="006D775D">
              <w:rPr>
                <w:snapToGrid w:val="0"/>
              </w:rPr>
              <w:t>31365</w:t>
            </w:r>
          </w:p>
        </w:tc>
        <w:tc>
          <w:tcPr>
            <w:tcW w:w="6095" w:type="dxa"/>
            <w:shd w:val="clear" w:color="auto" w:fill="auto"/>
          </w:tcPr>
          <w:p w:rsidR="008941C2" w:rsidRPr="006D775D" w:rsidRDefault="00CB251F" w:rsidP="00BA34C2">
            <w:pPr>
              <w:pStyle w:val="Tabletext"/>
            </w:pPr>
            <w:r w:rsidRPr="006D775D">
              <w:t>Malignant skin lesion (other than a malignant skin lesion covered by item</w:t>
            </w:r>
            <w:r w:rsidR="006D775D" w:rsidRPr="006D775D">
              <w:t> </w:t>
            </w:r>
            <w:r w:rsidRPr="006D775D">
              <w:t>31369, 3</w:t>
            </w:r>
            <w:r w:rsidR="005B2780" w:rsidRPr="006D775D">
              <w:t>1</w:t>
            </w:r>
            <w:r w:rsidRPr="006D775D">
              <w:t>370, 3</w:t>
            </w:r>
            <w:r w:rsidR="005B2780" w:rsidRPr="006D775D">
              <w:t>1</w:t>
            </w:r>
            <w:r w:rsidRPr="006D775D">
              <w:t>371, 3</w:t>
            </w:r>
            <w:r w:rsidR="005B2780" w:rsidRPr="006D775D">
              <w:t>1</w:t>
            </w:r>
            <w:r w:rsidRPr="006D775D">
              <w:t xml:space="preserve">372 or 31373), surgical excision (other than by shave excision) and repair of, </w:t>
            </w:r>
            <w:r w:rsidR="008941C2" w:rsidRPr="006D775D">
              <w:t>if:</w:t>
            </w:r>
          </w:p>
          <w:p w:rsidR="00CB251F" w:rsidRPr="006D775D" w:rsidRDefault="008941C2" w:rsidP="008941C2">
            <w:pPr>
              <w:pStyle w:val="Tablea"/>
            </w:pPr>
            <w:r w:rsidRPr="006D775D">
              <w:t xml:space="preserve">(a) the lesion is excised </w:t>
            </w:r>
            <w:r w:rsidR="00CB251F" w:rsidRPr="006D775D">
              <w:t>from any part of the body not covered by item</w:t>
            </w:r>
            <w:r w:rsidR="006D775D" w:rsidRPr="006D775D">
              <w:t> </w:t>
            </w:r>
            <w:r w:rsidR="00CB251F" w:rsidRPr="006D775D">
              <w:t>31356, 31358, 31359, 31361</w:t>
            </w:r>
            <w:r w:rsidR="00BC3AF7" w:rsidRPr="006D775D">
              <w:t xml:space="preserve"> or </w:t>
            </w:r>
            <w:r w:rsidR="00CB251F" w:rsidRPr="006D775D">
              <w:t>31363</w:t>
            </w:r>
            <w:r w:rsidRPr="006D775D">
              <w:t>; and</w:t>
            </w:r>
          </w:p>
          <w:p w:rsidR="00CB251F" w:rsidRPr="006D775D" w:rsidRDefault="00CB251F" w:rsidP="00BA34C2">
            <w:pPr>
              <w:pStyle w:val="Tablea"/>
            </w:pPr>
            <w:r w:rsidRPr="006D775D">
              <w:t>(</w:t>
            </w:r>
            <w:r w:rsidR="008941C2" w:rsidRPr="006D775D">
              <w:t>b</w:t>
            </w:r>
            <w:r w:rsidRPr="006D775D">
              <w:t>) the necessary excision diameter is</w:t>
            </w:r>
            <w:r w:rsidRPr="006D775D">
              <w:rPr>
                <w:b/>
                <w:bCs/>
              </w:rPr>
              <w:t xml:space="preserve"> </w:t>
            </w:r>
            <w:r w:rsidRPr="006D775D">
              <w:rPr>
                <w:bCs/>
              </w:rPr>
              <w:t>less than</w:t>
            </w:r>
            <w:r w:rsidR="00E72897" w:rsidRPr="006D775D">
              <w:rPr>
                <w:bCs/>
              </w:rPr>
              <w:t xml:space="preserve"> </w:t>
            </w:r>
            <w:r w:rsidRPr="006D775D">
              <w:rPr>
                <w:bCs/>
              </w:rPr>
              <w:t>15</w:t>
            </w:r>
            <w:r w:rsidR="007C190B" w:rsidRPr="006D775D">
              <w:rPr>
                <w:bCs/>
              </w:rPr>
              <w:t xml:space="preserve"> </w:t>
            </w:r>
            <w:r w:rsidRPr="006D775D">
              <w:rPr>
                <w:bCs/>
              </w:rPr>
              <w:t>mm; and</w:t>
            </w:r>
          </w:p>
          <w:p w:rsidR="00CB251F" w:rsidRPr="006D775D" w:rsidRDefault="00CB251F" w:rsidP="00BA34C2">
            <w:pPr>
              <w:pStyle w:val="Tablea"/>
            </w:pPr>
            <w:r w:rsidRPr="006D775D">
              <w:t>(</w:t>
            </w:r>
            <w:r w:rsidR="008941C2" w:rsidRPr="006D775D">
              <w:t>c</w:t>
            </w:r>
            <w:r w:rsidRPr="006D775D">
              <w:t xml:space="preserve">) the </w:t>
            </w:r>
            <w:r w:rsidR="00585D96" w:rsidRPr="006D775D">
              <w:t>excised specimen</w:t>
            </w:r>
            <w:r w:rsidRPr="006D775D">
              <w:t xml:space="preserve"> is sent for histological examination; and</w:t>
            </w:r>
          </w:p>
          <w:p w:rsidR="00CB251F" w:rsidRPr="006D775D" w:rsidRDefault="00CB251F" w:rsidP="00BA34C2">
            <w:pPr>
              <w:pStyle w:val="Tablea"/>
            </w:pPr>
            <w:r w:rsidRPr="006D775D">
              <w:t>(</w:t>
            </w:r>
            <w:r w:rsidR="008941C2" w:rsidRPr="006D775D">
              <w:t>d</w:t>
            </w:r>
            <w:r w:rsidRPr="006D775D">
              <w:t xml:space="preserve">) malignancy is confirmed from </w:t>
            </w:r>
            <w:r w:rsidR="00585D96" w:rsidRPr="006D775D">
              <w:t>the excised specimen</w:t>
            </w:r>
            <w:r w:rsidRPr="006D775D">
              <w:t xml:space="preserve"> or previous biopsy;</w:t>
            </w:r>
          </w:p>
          <w:p w:rsidR="00CB251F" w:rsidRPr="006D775D" w:rsidRDefault="00CB251F" w:rsidP="00BA34C2">
            <w:pPr>
              <w:pStyle w:val="Tabletext"/>
            </w:pPr>
            <w:r w:rsidRPr="006D775D">
              <w:t>not in association with item</w:t>
            </w:r>
            <w:r w:rsidR="006D775D" w:rsidRPr="006D775D">
              <w:t> </w:t>
            </w:r>
            <w:r w:rsidRPr="006D775D">
              <w:t>45201 (Anaes.)</w:t>
            </w:r>
          </w:p>
        </w:tc>
        <w:tc>
          <w:tcPr>
            <w:tcW w:w="1134" w:type="dxa"/>
            <w:shd w:val="clear" w:color="auto" w:fill="auto"/>
          </w:tcPr>
          <w:p w:rsidR="00CB251F" w:rsidRPr="006D775D" w:rsidRDefault="00CB251F" w:rsidP="00EF5C81">
            <w:pPr>
              <w:pStyle w:val="Tabletext"/>
              <w:jc w:val="right"/>
            </w:pPr>
            <w:r w:rsidRPr="006D775D">
              <w:t>158.30</w:t>
            </w:r>
          </w:p>
        </w:tc>
      </w:tr>
      <w:tr w:rsidR="00CB251F" w:rsidRPr="006D775D" w:rsidTr="008941C2">
        <w:tc>
          <w:tcPr>
            <w:tcW w:w="851" w:type="dxa"/>
            <w:shd w:val="clear" w:color="auto" w:fill="auto"/>
          </w:tcPr>
          <w:p w:rsidR="00CB251F" w:rsidRPr="006D775D" w:rsidRDefault="00CB251F" w:rsidP="00EF5C81">
            <w:pPr>
              <w:pStyle w:val="Tabletext"/>
              <w:rPr>
                <w:snapToGrid w:val="0"/>
              </w:rPr>
            </w:pPr>
            <w:r w:rsidRPr="006D775D">
              <w:rPr>
                <w:snapToGrid w:val="0"/>
              </w:rPr>
              <w:t>31366</w:t>
            </w:r>
          </w:p>
        </w:tc>
        <w:tc>
          <w:tcPr>
            <w:tcW w:w="6095" w:type="dxa"/>
            <w:shd w:val="clear" w:color="auto" w:fill="auto"/>
          </w:tcPr>
          <w:p w:rsidR="008941C2" w:rsidRPr="006D775D" w:rsidRDefault="00CB251F" w:rsidP="002E206D">
            <w:pPr>
              <w:pStyle w:val="Tabletext"/>
            </w:pPr>
            <w:r w:rsidRPr="006D775D">
              <w:t>Non</w:t>
            </w:r>
            <w:r w:rsidR="006D775D">
              <w:noBreakHyphen/>
            </w:r>
            <w:r w:rsidRPr="006D775D">
              <w:t xml:space="preserve">malignant skin lesion (other than viral verrucae </w:t>
            </w:r>
            <w:r w:rsidR="00585D96" w:rsidRPr="006D775D">
              <w:t>(</w:t>
            </w:r>
            <w:r w:rsidRPr="006D775D">
              <w:t>common warts</w:t>
            </w:r>
            <w:r w:rsidR="00585D96" w:rsidRPr="006D775D">
              <w:t>)</w:t>
            </w:r>
            <w:r w:rsidRPr="006D775D">
              <w:t xml:space="preserve"> and seborrheic keratoses)</w:t>
            </w:r>
            <w:r w:rsidR="00585D96" w:rsidRPr="006D775D">
              <w:t>,</w:t>
            </w:r>
            <w:r w:rsidRPr="006D775D">
              <w:t xml:space="preserve"> including a cyst, ulcer or scar (other than a scar removed during the surgical approach at an operation), surgical excision (other than by shave excision) and repair of, </w:t>
            </w:r>
            <w:r w:rsidR="008941C2" w:rsidRPr="006D775D">
              <w:t>if:</w:t>
            </w:r>
          </w:p>
          <w:p w:rsidR="00CB251F" w:rsidRPr="006D775D" w:rsidRDefault="008941C2" w:rsidP="008941C2">
            <w:pPr>
              <w:pStyle w:val="Tablea"/>
            </w:pPr>
            <w:r w:rsidRPr="006D775D">
              <w:t xml:space="preserve">(a) the lesion is excised </w:t>
            </w:r>
            <w:r w:rsidR="00CB251F" w:rsidRPr="006D775D">
              <w:t>from any part of the body not covered by item</w:t>
            </w:r>
            <w:r w:rsidR="006D775D" w:rsidRPr="006D775D">
              <w:t> </w:t>
            </w:r>
            <w:r w:rsidR="00CB251F" w:rsidRPr="006D775D">
              <w:t>31357, 31360, 31362 or 31364</w:t>
            </w:r>
            <w:r w:rsidRPr="006D775D">
              <w:t>; and</w:t>
            </w:r>
          </w:p>
          <w:p w:rsidR="00CB251F" w:rsidRPr="006D775D" w:rsidRDefault="00CB251F" w:rsidP="006E0ECC">
            <w:pPr>
              <w:pStyle w:val="Tablea"/>
            </w:pPr>
            <w:r w:rsidRPr="006D775D">
              <w:t>(</w:t>
            </w:r>
            <w:r w:rsidR="008941C2" w:rsidRPr="006D775D">
              <w:t>b</w:t>
            </w:r>
            <w:r w:rsidRPr="006D775D">
              <w:t xml:space="preserve">) the necessary excision diameter </w:t>
            </w:r>
            <w:r w:rsidRPr="006D775D">
              <w:rPr>
                <w:color w:val="000000"/>
              </w:rPr>
              <w:t xml:space="preserve">is </w:t>
            </w:r>
            <w:r w:rsidRPr="006D775D">
              <w:rPr>
                <w:bCs/>
                <w:color w:val="000000"/>
              </w:rPr>
              <w:t>less than 15</w:t>
            </w:r>
            <w:r w:rsidR="007C190B" w:rsidRPr="006D775D">
              <w:rPr>
                <w:bCs/>
                <w:color w:val="000000"/>
              </w:rPr>
              <w:t xml:space="preserve"> </w:t>
            </w:r>
            <w:r w:rsidRPr="006D775D">
              <w:rPr>
                <w:bCs/>
                <w:color w:val="000000"/>
              </w:rPr>
              <w:t>mm</w:t>
            </w:r>
            <w:r w:rsidRPr="006D775D">
              <w:rPr>
                <w:color w:val="000000"/>
              </w:rPr>
              <w:t>; and</w:t>
            </w:r>
          </w:p>
          <w:p w:rsidR="00CB251F" w:rsidRPr="006D775D" w:rsidRDefault="00CB251F" w:rsidP="006E0ECC">
            <w:pPr>
              <w:pStyle w:val="Tablea"/>
              <w:rPr>
                <w:color w:val="000000"/>
              </w:rPr>
            </w:pPr>
            <w:r w:rsidRPr="006D775D">
              <w:t>(</w:t>
            </w:r>
            <w:r w:rsidR="008941C2" w:rsidRPr="006D775D">
              <w:t>c</w:t>
            </w:r>
            <w:r w:rsidRPr="006D775D">
              <w:t xml:space="preserve">) </w:t>
            </w:r>
            <w:r w:rsidRPr="006D775D">
              <w:rPr>
                <w:color w:val="000000"/>
              </w:rPr>
              <w:t xml:space="preserve">the </w:t>
            </w:r>
            <w:r w:rsidR="00585D96" w:rsidRPr="006D775D">
              <w:t>excised specimen</w:t>
            </w:r>
            <w:r w:rsidRPr="006D775D">
              <w:rPr>
                <w:color w:val="000000"/>
              </w:rPr>
              <w:t xml:space="preserve"> is sent for histological examination;</w:t>
            </w:r>
          </w:p>
          <w:p w:rsidR="00CB251F" w:rsidRPr="006D775D" w:rsidRDefault="00CB251F" w:rsidP="006E0ECC">
            <w:pPr>
              <w:pStyle w:val="Tabletext"/>
            </w:pPr>
            <w:r w:rsidRPr="006D775D">
              <w:rPr>
                <w:color w:val="000000"/>
              </w:rPr>
              <w:t>not in association with item</w:t>
            </w:r>
            <w:r w:rsidR="006D775D" w:rsidRPr="006D775D">
              <w:rPr>
                <w:color w:val="000000"/>
              </w:rPr>
              <w:t> </w:t>
            </w:r>
            <w:r w:rsidRPr="006D775D">
              <w:rPr>
                <w:color w:val="000000"/>
              </w:rPr>
              <w:t>45201 (Anaes.)</w:t>
            </w:r>
          </w:p>
        </w:tc>
        <w:tc>
          <w:tcPr>
            <w:tcW w:w="1134" w:type="dxa"/>
            <w:shd w:val="clear" w:color="auto" w:fill="auto"/>
          </w:tcPr>
          <w:p w:rsidR="00CB251F" w:rsidRPr="006D775D" w:rsidRDefault="00CB251F" w:rsidP="000C3E41">
            <w:pPr>
              <w:pStyle w:val="Tabletext"/>
              <w:jc w:val="right"/>
            </w:pPr>
            <w:r w:rsidRPr="006D775D">
              <w:t>95.45</w:t>
            </w:r>
          </w:p>
        </w:tc>
      </w:tr>
      <w:tr w:rsidR="00CB251F" w:rsidRPr="006D775D" w:rsidTr="008941C2">
        <w:tc>
          <w:tcPr>
            <w:tcW w:w="851" w:type="dxa"/>
            <w:shd w:val="clear" w:color="auto" w:fill="auto"/>
          </w:tcPr>
          <w:p w:rsidR="00CB251F" w:rsidRPr="006D775D" w:rsidRDefault="00CB251F" w:rsidP="00EF5C81">
            <w:pPr>
              <w:pStyle w:val="Tabletext"/>
              <w:rPr>
                <w:snapToGrid w:val="0"/>
              </w:rPr>
            </w:pPr>
            <w:r w:rsidRPr="006D775D">
              <w:rPr>
                <w:snapToGrid w:val="0"/>
              </w:rPr>
              <w:t>31367</w:t>
            </w:r>
          </w:p>
        </w:tc>
        <w:tc>
          <w:tcPr>
            <w:tcW w:w="6095" w:type="dxa"/>
            <w:shd w:val="clear" w:color="auto" w:fill="auto"/>
          </w:tcPr>
          <w:p w:rsidR="008941C2" w:rsidRPr="006D775D" w:rsidRDefault="00CB251F" w:rsidP="002E206D">
            <w:pPr>
              <w:pStyle w:val="Tabletext"/>
            </w:pPr>
            <w:r w:rsidRPr="006D775D">
              <w:t>Malignant skin lesion (other than a malignant skin lesion covered by item</w:t>
            </w:r>
            <w:r w:rsidR="006D775D" w:rsidRPr="006D775D">
              <w:t> </w:t>
            </w:r>
            <w:r w:rsidRPr="006D775D">
              <w:t xml:space="preserve">31371, </w:t>
            </w:r>
            <w:r w:rsidR="005B2780" w:rsidRPr="006D775D">
              <w:t>31372, 31373, 31374, 31375</w:t>
            </w:r>
            <w:r w:rsidRPr="006D775D">
              <w:t xml:space="preserve"> or 31376), surgical excision (other than by shave excision) and repair of, </w:t>
            </w:r>
            <w:r w:rsidR="008941C2" w:rsidRPr="006D775D">
              <w:t>if:</w:t>
            </w:r>
          </w:p>
          <w:p w:rsidR="00CC2A03" w:rsidRPr="006D775D" w:rsidRDefault="008941C2" w:rsidP="00CC2A03">
            <w:pPr>
              <w:pStyle w:val="Tablea"/>
            </w:pPr>
            <w:r w:rsidRPr="006D775D">
              <w:t xml:space="preserve">(a) the lesion is excised </w:t>
            </w:r>
            <w:r w:rsidR="00CB251F" w:rsidRPr="006D775D">
              <w:t>from any part of the body not covered by item</w:t>
            </w:r>
            <w:r w:rsidR="006D775D" w:rsidRPr="006D775D">
              <w:t> </w:t>
            </w:r>
            <w:r w:rsidR="00CB251F" w:rsidRPr="006D775D">
              <w:t>31356, 31358, 31359, 31361 or 3136</w:t>
            </w:r>
            <w:r w:rsidR="00356EDB" w:rsidRPr="006D775D">
              <w:t>3</w:t>
            </w:r>
            <w:r w:rsidRPr="006D775D">
              <w:t>; and</w:t>
            </w:r>
          </w:p>
          <w:p w:rsidR="00CB251F" w:rsidRPr="006D775D" w:rsidRDefault="00CB251F" w:rsidP="006E0ECC">
            <w:pPr>
              <w:pStyle w:val="Tablea"/>
            </w:pPr>
            <w:r w:rsidRPr="006D775D">
              <w:t>(</w:t>
            </w:r>
            <w:r w:rsidR="008941C2" w:rsidRPr="006D775D">
              <w:t>b</w:t>
            </w:r>
            <w:r w:rsidRPr="006D775D">
              <w:t xml:space="preserve">) the necessary excision diameter is </w:t>
            </w:r>
            <w:r w:rsidR="005B2780" w:rsidRPr="006D775D">
              <w:t>at least</w:t>
            </w:r>
            <w:r w:rsidRPr="006D775D">
              <w:t xml:space="preserve"> </w:t>
            </w:r>
            <w:r w:rsidRPr="006D775D">
              <w:rPr>
                <w:bCs/>
              </w:rPr>
              <w:t>15</w:t>
            </w:r>
            <w:r w:rsidR="007C190B" w:rsidRPr="006D775D">
              <w:rPr>
                <w:bCs/>
              </w:rPr>
              <w:t xml:space="preserve"> </w:t>
            </w:r>
            <w:r w:rsidRPr="006D775D">
              <w:rPr>
                <w:bCs/>
              </w:rPr>
              <w:t xml:space="preserve">mm </w:t>
            </w:r>
            <w:r w:rsidR="001F7486" w:rsidRPr="006D775D">
              <w:rPr>
                <w:bCs/>
              </w:rPr>
              <w:t>but</w:t>
            </w:r>
            <w:r w:rsidRPr="006D775D">
              <w:rPr>
                <w:bCs/>
              </w:rPr>
              <w:t xml:space="preserve"> </w:t>
            </w:r>
            <w:r w:rsidR="005B2780" w:rsidRPr="006D775D">
              <w:rPr>
                <w:bCs/>
              </w:rPr>
              <w:t xml:space="preserve">not more than </w:t>
            </w:r>
            <w:r w:rsidRPr="006D775D">
              <w:rPr>
                <w:bCs/>
              </w:rPr>
              <w:t>30</w:t>
            </w:r>
            <w:r w:rsidR="00E72897" w:rsidRPr="006D775D">
              <w:rPr>
                <w:bCs/>
              </w:rPr>
              <w:t xml:space="preserve"> </w:t>
            </w:r>
            <w:r w:rsidRPr="006D775D">
              <w:rPr>
                <w:bCs/>
              </w:rPr>
              <w:t>mm</w:t>
            </w:r>
            <w:r w:rsidRPr="006D775D">
              <w:t>; and</w:t>
            </w:r>
          </w:p>
          <w:p w:rsidR="00CB251F" w:rsidRPr="006D775D" w:rsidRDefault="00CB251F" w:rsidP="006E0ECC">
            <w:pPr>
              <w:pStyle w:val="Tablea"/>
              <w:rPr>
                <w:color w:val="000000"/>
              </w:rPr>
            </w:pPr>
            <w:r w:rsidRPr="006D775D">
              <w:t>(</w:t>
            </w:r>
            <w:r w:rsidR="008941C2" w:rsidRPr="006D775D">
              <w:t>c</w:t>
            </w:r>
            <w:r w:rsidRPr="006D775D">
              <w:t xml:space="preserve">) the </w:t>
            </w:r>
            <w:r w:rsidR="00585D96" w:rsidRPr="006D775D">
              <w:t>excised specimen</w:t>
            </w:r>
            <w:r w:rsidRPr="006D775D">
              <w:t xml:space="preserve"> is sent </w:t>
            </w:r>
            <w:r w:rsidRPr="006D775D">
              <w:rPr>
                <w:color w:val="000000"/>
              </w:rPr>
              <w:t>for histological examination; and</w:t>
            </w:r>
          </w:p>
          <w:p w:rsidR="00CB251F" w:rsidRPr="006D775D" w:rsidRDefault="00CB251F" w:rsidP="006E0ECC">
            <w:pPr>
              <w:pStyle w:val="Tablea"/>
              <w:rPr>
                <w:color w:val="000000"/>
              </w:rPr>
            </w:pPr>
            <w:r w:rsidRPr="006D775D">
              <w:t>(</w:t>
            </w:r>
            <w:r w:rsidR="008941C2" w:rsidRPr="006D775D">
              <w:t>d</w:t>
            </w:r>
            <w:r w:rsidRPr="006D775D">
              <w:t xml:space="preserve">) </w:t>
            </w:r>
            <w:r w:rsidRPr="006D775D">
              <w:rPr>
                <w:color w:val="000000"/>
              </w:rPr>
              <w:t xml:space="preserve">malignancy is confirmed </w:t>
            </w:r>
            <w:r w:rsidR="00585D96" w:rsidRPr="006D775D">
              <w:rPr>
                <w:color w:val="000000"/>
              </w:rPr>
              <w:t>from</w:t>
            </w:r>
            <w:r w:rsidR="00585D96" w:rsidRPr="006D775D">
              <w:t xml:space="preserve"> the excised specimen</w:t>
            </w:r>
            <w:r w:rsidRPr="006D775D">
              <w:rPr>
                <w:color w:val="000000"/>
              </w:rPr>
              <w:t xml:space="preserve"> or previous biopsy;</w:t>
            </w:r>
          </w:p>
          <w:p w:rsidR="00CB251F" w:rsidRPr="006D775D" w:rsidRDefault="00CB251F" w:rsidP="00774B14">
            <w:pPr>
              <w:pStyle w:val="Tabletext"/>
            </w:pPr>
            <w:r w:rsidRPr="006D775D">
              <w:rPr>
                <w:color w:val="000000"/>
              </w:rPr>
              <w:t>not in association with item</w:t>
            </w:r>
            <w:r w:rsidR="006D775D" w:rsidRPr="006D775D">
              <w:rPr>
                <w:color w:val="000000"/>
              </w:rPr>
              <w:t> </w:t>
            </w:r>
            <w:r w:rsidRPr="006D775D">
              <w:rPr>
                <w:color w:val="000000"/>
              </w:rPr>
              <w:t>45201 (Anaes.)</w:t>
            </w:r>
          </w:p>
        </w:tc>
        <w:tc>
          <w:tcPr>
            <w:tcW w:w="1134" w:type="dxa"/>
            <w:shd w:val="clear" w:color="auto" w:fill="auto"/>
          </w:tcPr>
          <w:p w:rsidR="00CB251F" w:rsidRPr="006D775D" w:rsidRDefault="00CB251F" w:rsidP="00EF5C81">
            <w:pPr>
              <w:pStyle w:val="Tabletext"/>
              <w:jc w:val="right"/>
            </w:pPr>
            <w:r w:rsidRPr="006D775D">
              <w:t>213.60</w:t>
            </w:r>
          </w:p>
        </w:tc>
      </w:tr>
      <w:tr w:rsidR="00CB251F" w:rsidRPr="006D775D" w:rsidTr="008941C2">
        <w:tc>
          <w:tcPr>
            <w:tcW w:w="851" w:type="dxa"/>
            <w:shd w:val="clear" w:color="auto" w:fill="auto"/>
          </w:tcPr>
          <w:p w:rsidR="00CB251F" w:rsidRPr="006D775D" w:rsidRDefault="00CB251F" w:rsidP="00EF5C81">
            <w:pPr>
              <w:pStyle w:val="Tabletext"/>
              <w:rPr>
                <w:snapToGrid w:val="0"/>
              </w:rPr>
            </w:pPr>
            <w:r w:rsidRPr="006D775D">
              <w:rPr>
                <w:snapToGrid w:val="0"/>
              </w:rPr>
              <w:t>31368</w:t>
            </w:r>
          </w:p>
        </w:tc>
        <w:tc>
          <w:tcPr>
            <w:tcW w:w="6095" w:type="dxa"/>
            <w:shd w:val="clear" w:color="auto" w:fill="auto"/>
          </w:tcPr>
          <w:p w:rsidR="008941C2" w:rsidRPr="006D775D" w:rsidRDefault="00CB251F" w:rsidP="002E206D">
            <w:pPr>
              <w:pStyle w:val="Tabletext"/>
            </w:pPr>
            <w:r w:rsidRPr="006D775D">
              <w:t>Non</w:t>
            </w:r>
            <w:r w:rsidR="006D775D">
              <w:noBreakHyphen/>
            </w:r>
            <w:r w:rsidRPr="006D775D">
              <w:t>malignant skin lesion</w:t>
            </w:r>
            <w:r w:rsidRPr="006D775D">
              <w:rPr>
                <w:sz w:val="22"/>
              </w:rPr>
              <w:t xml:space="preserve"> </w:t>
            </w:r>
            <w:r w:rsidRPr="006D775D">
              <w:t xml:space="preserve">(other than viral verrucae </w:t>
            </w:r>
            <w:r w:rsidR="007D16CF" w:rsidRPr="006D775D">
              <w:t>(</w:t>
            </w:r>
            <w:r w:rsidRPr="006D775D">
              <w:t>common warts</w:t>
            </w:r>
            <w:r w:rsidR="007D16CF" w:rsidRPr="006D775D">
              <w:t>)</w:t>
            </w:r>
            <w:r w:rsidRPr="006D775D">
              <w:t xml:space="preserve"> and seborrheic keratos</w:t>
            </w:r>
            <w:r w:rsidR="007D16CF" w:rsidRPr="006D775D">
              <w:t>e</w:t>
            </w:r>
            <w:r w:rsidRPr="006D775D">
              <w:t>s)</w:t>
            </w:r>
            <w:r w:rsidR="007D16CF" w:rsidRPr="006D775D">
              <w:t>,</w:t>
            </w:r>
            <w:r w:rsidRPr="006D775D">
              <w:t xml:space="preserve"> including a cyst, ulcer or scar (other than a scar removed during the surgical approach at an operation), surgical excision (other than by shave excision) and repair of, </w:t>
            </w:r>
            <w:r w:rsidR="008941C2" w:rsidRPr="006D775D">
              <w:t>if:</w:t>
            </w:r>
          </w:p>
          <w:p w:rsidR="00CB251F" w:rsidRPr="006D775D" w:rsidRDefault="008941C2" w:rsidP="008941C2">
            <w:pPr>
              <w:pStyle w:val="Tablea"/>
            </w:pPr>
            <w:r w:rsidRPr="006D775D">
              <w:t xml:space="preserve">(a) the lesion is excised </w:t>
            </w:r>
            <w:r w:rsidR="00CB251F" w:rsidRPr="006D775D">
              <w:t>from any part of the body not covered by item</w:t>
            </w:r>
            <w:r w:rsidR="006D775D" w:rsidRPr="006D775D">
              <w:t> </w:t>
            </w:r>
            <w:r w:rsidR="00CB251F" w:rsidRPr="006D775D">
              <w:t>31357, 31360, 31362 or 31364</w:t>
            </w:r>
            <w:r w:rsidRPr="006D775D">
              <w:t>; and</w:t>
            </w:r>
          </w:p>
          <w:p w:rsidR="00CB251F" w:rsidRPr="006D775D" w:rsidRDefault="00CB251F" w:rsidP="005D3779">
            <w:pPr>
              <w:pStyle w:val="Tablea"/>
            </w:pPr>
            <w:r w:rsidRPr="006D775D">
              <w:t>(</w:t>
            </w:r>
            <w:r w:rsidR="008941C2" w:rsidRPr="006D775D">
              <w:t>b</w:t>
            </w:r>
            <w:r w:rsidRPr="006D775D">
              <w:t xml:space="preserve">) the necessary excision diameter is </w:t>
            </w:r>
            <w:r w:rsidR="005B2780" w:rsidRPr="006D775D">
              <w:t>at least</w:t>
            </w:r>
            <w:r w:rsidRPr="006D775D">
              <w:t xml:space="preserve"> </w:t>
            </w:r>
            <w:r w:rsidRPr="006D775D">
              <w:rPr>
                <w:bCs/>
              </w:rPr>
              <w:t>15</w:t>
            </w:r>
            <w:r w:rsidR="007C190B" w:rsidRPr="006D775D">
              <w:rPr>
                <w:bCs/>
              </w:rPr>
              <w:t xml:space="preserve"> </w:t>
            </w:r>
            <w:r w:rsidRPr="006D775D">
              <w:rPr>
                <w:bCs/>
              </w:rPr>
              <w:t xml:space="preserve">mm </w:t>
            </w:r>
            <w:r w:rsidR="001F7486" w:rsidRPr="006D775D">
              <w:rPr>
                <w:bCs/>
              </w:rPr>
              <w:t>but</w:t>
            </w:r>
            <w:r w:rsidRPr="006D775D">
              <w:rPr>
                <w:bCs/>
              </w:rPr>
              <w:t xml:space="preserve"> </w:t>
            </w:r>
            <w:r w:rsidR="005B2780" w:rsidRPr="006D775D">
              <w:rPr>
                <w:bCs/>
              </w:rPr>
              <w:t xml:space="preserve">not more than </w:t>
            </w:r>
            <w:r w:rsidRPr="006D775D">
              <w:rPr>
                <w:bCs/>
              </w:rPr>
              <w:t>30mm</w:t>
            </w:r>
            <w:r w:rsidRPr="006D775D">
              <w:t>; and</w:t>
            </w:r>
          </w:p>
          <w:p w:rsidR="00CB251F" w:rsidRPr="006D775D" w:rsidRDefault="00CB251F" w:rsidP="005D3779">
            <w:pPr>
              <w:pStyle w:val="Tablea"/>
            </w:pPr>
            <w:r w:rsidRPr="006D775D">
              <w:t>(</w:t>
            </w:r>
            <w:r w:rsidR="008941C2" w:rsidRPr="006D775D">
              <w:t>c</w:t>
            </w:r>
            <w:r w:rsidRPr="006D775D">
              <w:t xml:space="preserve">) the </w:t>
            </w:r>
            <w:r w:rsidR="007D16CF" w:rsidRPr="006D775D">
              <w:t>excised specimen</w:t>
            </w:r>
            <w:r w:rsidRPr="006D775D">
              <w:t xml:space="preserve"> is sent for histological examination;</w:t>
            </w:r>
          </w:p>
          <w:p w:rsidR="00CB251F" w:rsidRPr="006D775D" w:rsidRDefault="00CB251F" w:rsidP="005D3779">
            <w:pPr>
              <w:pStyle w:val="Tabletext"/>
            </w:pPr>
            <w:r w:rsidRPr="006D775D">
              <w:t>not in association with item</w:t>
            </w:r>
            <w:r w:rsidR="006D775D" w:rsidRPr="006D775D">
              <w:t> </w:t>
            </w:r>
            <w:r w:rsidRPr="006D775D">
              <w:t>45201 (Anaes</w:t>
            </w:r>
            <w:r w:rsidRPr="006D775D">
              <w:rPr>
                <w:color w:val="000000"/>
              </w:rPr>
              <w:t>.)</w:t>
            </w:r>
          </w:p>
        </w:tc>
        <w:tc>
          <w:tcPr>
            <w:tcW w:w="1134" w:type="dxa"/>
            <w:shd w:val="clear" w:color="auto" w:fill="auto"/>
          </w:tcPr>
          <w:p w:rsidR="00CB251F" w:rsidRPr="006D775D" w:rsidRDefault="00CB251F" w:rsidP="00EF5C81">
            <w:pPr>
              <w:pStyle w:val="Tabletext"/>
              <w:jc w:val="right"/>
            </w:pPr>
            <w:r w:rsidRPr="006D775D">
              <w:t>125.55</w:t>
            </w:r>
          </w:p>
        </w:tc>
      </w:tr>
      <w:tr w:rsidR="00CB251F" w:rsidRPr="006D775D" w:rsidTr="008941C2">
        <w:tc>
          <w:tcPr>
            <w:tcW w:w="851" w:type="dxa"/>
            <w:shd w:val="clear" w:color="auto" w:fill="auto"/>
          </w:tcPr>
          <w:p w:rsidR="00CB251F" w:rsidRPr="006D775D" w:rsidRDefault="00CB251F" w:rsidP="00EF5C81">
            <w:pPr>
              <w:pStyle w:val="Tabletext"/>
              <w:rPr>
                <w:snapToGrid w:val="0"/>
              </w:rPr>
            </w:pPr>
            <w:r w:rsidRPr="006D775D">
              <w:rPr>
                <w:snapToGrid w:val="0"/>
              </w:rPr>
              <w:t>31369</w:t>
            </w:r>
          </w:p>
        </w:tc>
        <w:tc>
          <w:tcPr>
            <w:tcW w:w="6095" w:type="dxa"/>
            <w:shd w:val="clear" w:color="auto" w:fill="auto"/>
          </w:tcPr>
          <w:p w:rsidR="008941C2" w:rsidRPr="006D775D" w:rsidRDefault="00CB251F" w:rsidP="00774B14">
            <w:pPr>
              <w:pStyle w:val="Tabletext"/>
            </w:pPr>
            <w:r w:rsidRPr="006D775D">
              <w:t>Malignant skin lesion (other than a malignant skin lesion covered by item</w:t>
            </w:r>
            <w:r w:rsidR="006D775D" w:rsidRPr="006D775D">
              <w:t> </w:t>
            </w:r>
            <w:r w:rsidRPr="006D775D">
              <w:t xml:space="preserve">31371, </w:t>
            </w:r>
            <w:r w:rsidR="005B2780" w:rsidRPr="006D775D">
              <w:t>31372, 31373, 31374, 31375</w:t>
            </w:r>
            <w:r w:rsidRPr="006D775D">
              <w:t xml:space="preserve"> or 31376), surgical excision (other than by shave excision) and repair of, </w:t>
            </w:r>
            <w:r w:rsidR="008941C2" w:rsidRPr="006D775D">
              <w:t>if:</w:t>
            </w:r>
          </w:p>
          <w:p w:rsidR="00CB251F" w:rsidRPr="006D775D" w:rsidRDefault="008941C2" w:rsidP="008941C2">
            <w:pPr>
              <w:pStyle w:val="Tablea"/>
            </w:pPr>
            <w:r w:rsidRPr="006D775D">
              <w:t xml:space="preserve">(a) the lesion is excised </w:t>
            </w:r>
            <w:r w:rsidR="007D16CF" w:rsidRPr="006D775D">
              <w:t xml:space="preserve">from </w:t>
            </w:r>
            <w:r w:rsidR="00CB251F" w:rsidRPr="006D775D">
              <w:t xml:space="preserve">any </w:t>
            </w:r>
            <w:r w:rsidR="00585D96" w:rsidRPr="006D775D">
              <w:t>part</w:t>
            </w:r>
            <w:r w:rsidR="00CB251F" w:rsidRPr="006D775D">
              <w:t xml:space="preserve"> of the body not covered by item</w:t>
            </w:r>
            <w:r w:rsidR="006D775D" w:rsidRPr="006D775D">
              <w:t> </w:t>
            </w:r>
            <w:r w:rsidR="00CB251F" w:rsidRPr="006D775D">
              <w:t>31356, 31358, 31359, 31361 or 3136</w:t>
            </w:r>
            <w:r w:rsidR="00356EDB" w:rsidRPr="006D775D">
              <w:t>3</w:t>
            </w:r>
            <w:r w:rsidRPr="006D775D">
              <w:t>; and</w:t>
            </w:r>
          </w:p>
          <w:p w:rsidR="00CB251F" w:rsidRPr="006D775D" w:rsidRDefault="00CB251F" w:rsidP="00774B14">
            <w:pPr>
              <w:pStyle w:val="Tablea"/>
            </w:pPr>
            <w:r w:rsidRPr="006D775D">
              <w:t>(</w:t>
            </w:r>
            <w:r w:rsidR="008941C2" w:rsidRPr="006D775D">
              <w:t>b</w:t>
            </w:r>
            <w:r w:rsidRPr="006D775D">
              <w:t xml:space="preserve">) the necessary excision diameter is more than </w:t>
            </w:r>
            <w:r w:rsidRPr="006D775D">
              <w:rPr>
                <w:bCs/>
              </w:rPr>
              <w:t>30</w:t>
            </w:r>
            <w:r w:rsidR="007C190B" w:rsidRPr="006D775D">
              <w:rPr>
                <w:bCs/>
              </w:rPr>
              <w:t xml:space="preserve"> </w:t>
            </w:r>
            <w:r w:rsidRPr="006D775D">
              <w:rPr>
                <w:bCs/>
              </w:rPr>
              <w:t>mm; and</w:t>
            </w:r>
          </w:p>
          <w:p w:rsidR="00CB251F" w:rsidRPr="006D775D" w:rsidRDefault="00CB251F" w:rsidP="00774B14">
            <w:pPr>
              <w:pStyle w:val="Tablea"/>
            </w:pPr>
            <w:r w:rsidRPr="006D775D">
              <w:t>(</w:t>
            </w:r>
            <w:r w:rsidR="008941C2" w:rsidRPr="006D775D">
              <w:t>c</w:t>
            </w:r>
            <w:r w:rsidRPr="006D775D">
              <w:t xml:space="preserve">) </w:t>
            </w:r>
            <w:r w:rsidR="007D16CF" w:rsidRPr="006D775D">
              <w:t>the excised specimen</w:t>
            </w:r>
            <w:r w:rsidRPr="006D775D">
              <w:t xml:space="preserve"> is sent for histological examination; and</w:t>
            </w:r>
          </w:p>
          <w:p w:rsidR="00CB251F" w:rsidRPr="006D775D" w:rsidRDefault="00CB251F" w:rsidP="00774B14">
            <w:pPr>
              <w:pStyle w:val="Tablea"/>
            </w:pPr>
            <w:r w:rsidRPr="006D775D">
              <w:t>(</w:t>
            </w:r>
            <w:r w:rsidR="008941C2" w:rsidRPr="006D775D">
              <w:t>d</w:t>
            </w:r>
            <w:r w:rsidRPr="006D775D">
              <w:t xml:space="preserve">) malignancy is confirmed </w:t>
            </w:r>
            <w:r w:rsidR="00585D96" w:rsidRPr="006D775D">
              <w:rPr>
                <w:color w:val="000000"/>
              </w:rPr>
              <w:t>from</w:t>
            </w:r>
            <w:r w:rsidR="00585D96" w:rsidRPr="006D775D">
              <w:t xml:space="preserve"> the excised specimen</w:t>
            </w:r>
            <w:r w:rsidRPr="006D775D">
              <w:t xml:space="preserve"> or previous biopsy</w:t>
            </w:r>
          </w:p>
          <w:p w:rsidR="00CB251F" w:rsidRPr="006D775D" w:rsidRDefault="00CB251F" w:rsidP="00774B14">
            <w:pPr>
              <w:pStyle w:val="Tabletext"/>
            </w:pPr>
            <w:r w:rsidRPr="006D775D">
              <w:t>(Anaes.)</w:t>
            </w:r>
          </w:p>
        </w:tc>
        <w:tc>
          <w:tcPr>
            <w:tcW w:w="1134" w:type="dxa"/>
            <w:shd w:val="clear" w:color="auto" w:fill="auto"/>
          </w:tcPr>
          <w:p w:rsidR="00CB251F" w:rsidRPr="006D775D" w:rsidRDefault="00CB251F" w:rsidP="00EF5C81">
            <w:pPr>
              <w:pStyle w:val="Tabletext"/>
              <w:jc w:val="right"/>
            </w:pPr>
            <w:r w:rsidRPr="006D775D">
              <w:t>245.90</w:t>
            </w:r>
          </w:p>
        </w:tc>
      </w:tr>
      <w:tr w:rsidR="00CB251F" w:rsidRPr="006D775D" w:rsidTr="008941C2">
        <w:tc>
          <w:tcPr>
            <w:tcW w:w="851" w:type="dxa"/>
            <w:shd w:val="clear" w:color="auto" w:fill="auto"/>
          </w:tcPr>
          <w:p w:rsidR="00CB251F" w:rsidRPr="006D775D" w:rsidRDefault="00CB251F" w:rsidP="00EF5C81">
            <w:pPr>
              <w:pStyle w:val="Tabletext"/>
              <w:rPr>
                <w:snapToGrid w:val="0"/>
              </w:rPr>
            </w:pPr>
            <w:r w:rsidRPr="006D775D">
              <w:rPr>
                <w:snapToGrid w:val="0"/>
              </w:rPr>
              <w:t>31370</w:t>
            </w:r>
          </w:p>
        </w:tc>
        <w:tc>
          <w:tcPr>
            <w:tcW w:w="6095" w:type="dxa"/>
            <w:shd w:val="clear" w:color="auto" w:fill="auto"/>
          </w:tcPr>
          <w:p w:rsidR="008941C2" w:rsidRPr="006D775D" w:rsidRDefault="00CB251F" w:rsidP="005D3779">
            <w:pPr>
              <w:pStyle w:val="Tabletext"/>
            </w:pPr>
            <w:r w:rsidRPr="006D775D">
              <w:t>Non</w:t>
            </w:r>
            <w:r w:rsidR="006D775D">
              <w:noBreakHyphen/>
            </w:r>
            <w:r w:rsidRPr="006D775D">
              <w:t xml:space="preserve">malignant skin lesion (other than viral verrucae </w:t>
            </w:r>
            <w:r w:rsidR="007D16CF" w:rsidRPr="006D775D">
              <w:t>(</w:t>
            </w:r>
            <w:r w:rsidRPr="006D775D">
              <w:t>common warts</w:t>
            </w:r>
            <w:r w:rsidR="007D16CF" w:rsidRPr="006D775D">
              <w:t>)</w:t>
            </w:r>
            <w:r w:rsidRPr="006D775D">
              <w:t xml:space="preserve"> and seborrheic keratoses)</w:t>
            </w:r>
            <w:r w:rsidR="007D16CF" w:rsidRPr="006D775D">
              <w:t>,</w:t>
            </w:r>
            <w:r w:rsidRPr="006D775D">
              <w:t xml:space="preserve"> including a cyst, ulcer or scar (other than a scar removed during the surgical approach at an operation), surgical excision (other than by shave excision) and repair of, </w:t>
            </w:r>
            <w:r w:rsidR="008941C2" w:rsidRPr="006D775D">
              <w:t>if:</w:t>
            </w:r>
          </w:p>
          <w:p w:rsidR="00CB251F" w:rsidRPr="006D775D" w:rsidRDefault="008941C2" w:rsidP="008941C2">
            <w:pPr>
              <w:pStyle w:val="Tablea"/>
            </w:pPr>
            <w:r w:rsidRPr="006D775D">
              <w:t xml:space="preserve">(a) the lesion is excised </w:t>
            </w:r>
            <w:r w:rsidR="00CB251F" w:rsidRPr="006D775D">
              <w:t>from any part of the body not covered by item</w:t>
            </w:r>
            <w:r w:rsidR="006D775D" w:rsidRPr="006D775D">
              <w:t> </w:t>
            </w:r>
            <w:r w:rsidR="00CB251F" w:rsidRPr="006D775D">
              <w:t>31357, 31360, 31362 or 31364</w:t>
            </w:r>
            <w:r w:rsidRPr="006D775D">
              <w:t>; and</w:t>
            </w:r>
          </w:p>
          <w:p w:rsidR="00CB251F" w:rsidRPr="006D775D" w:rsidRDefault="00CB251F" w:rsidP="005D3779">
            <w:pPr>
              <w:pStyle w:val="Tablea"/>
            </w:pPr>
            <w:r w:rsidRPr="006D775D">
              <w:t>(</w:t>
            </w:r>
            <w:r w:rsidR="008941C2" w:rsidRPr="006D775D">
              <w:t>b</w:t>
            </w:r>
            <w:r w:rsidRPr="006D775D">
              <w:t xml:space="preserve">) the necessary excision diameter is more than </w:t>
            </w:r>
            <w:r w:rsidRPr="006D775D">
              <w:rPr>
                <w:bCs/>
              </w:rPr>
              <w:t>30</w:t>
            </w:r>
            <w:r w:rsidR="007C190B" w:rsidRPr="006D775D">
              <w:rPr>
                <w:bCs/>
              </w:rPr>
              <w:t xml:space="preserve"> </w:t>
            </w:r>
            <w:r w:rsidRPr="006D775D">
              <w:rPr>
                <w:bCs/>
              </w:rPr>
              <w:t>mm; and</w:t>
            </w:r>
          </w:p>
          <w:p w:rsidR="00CB251F" w:rsidRPr="006D775D" w:rsidRDefault="00CB251F" w:rsidP="005D3779">
            <w:pPr>
              <w:pStyle w:val="Tablea"/>
            </w:pPr>
            <w:r w:rsidRPr="006D775D">
              <w:t>(</w:t>
            </w:r>
            <w:r w:rsidR="008941C2" w:rsidRPr="006D775D">
              <w:t>c</w:t>
            </w:r>
            <w:r w:rsidRPr="006D775D">
              <w:t xml:space="preserve">) the </w:t>
            </w:r>
            <w:r w:rsidR="007D16CF" w:rsidRPr="006D775D">
              <w:t>excised specimen</w:t>
            </w:r>
            <w:r w:rsidRPr="006D775D">
              <w:t xml:space="preserve"> is sent for histological examination</w:t>
            </w:r>
          </w:p>
          <w:p w:rsidR="00CB251F" w:rsidRPr="006D775D" w:rsidRDefault="00CB251F" w:rsidP="005D3779">
            <w:pPr>
              <w:pStyle w:val="Tabletext"/>
            </w:pPr>
            <w:r w:rsidRPr="006D775D">
              <w:t>(Anaes.)</w:t>
            </w:r>
          </w:p>
        </w:tc>
        <w:tc>
          <w:tcPr>
            <w:tcW w:w="1134" w:type="dxa"/>
            <w:shd w:val="clear" w:color="auto" w:fill="auto"/>
          </w:tcPr>
          <w:p w:rsidR="00CB251F" w:rsidRPr="006D775D" w:rsidRDefault="00CB251F" w:rsidP="00EF5C81">
            <w:pPr>
              <w:pStyle w:val="Tabletext"/>
              <w:jc w:val="right"/>
            </w:pPr>
            <w:r w:rsidRPr="006D775D">
              <w:t>143.55</w:t>
            </w:r>
          </w:p>
        </w:tc>
      </w:tr>
      <w:tr w:rsidR="00CB251F" w:rsidRPr="006D775D" w:rsidTr="008941C2">
        <w:tc>
          <w:tcPr>
            <w:tcW w:w="851" w:type="dxa"/>
            <w:shd w:val="clear" w:color="auto" w:fill="auto"/>
          </w:tcPr>
          <w:p w:rsidR="00CB251F" w:rsidRPr="006D775D" w:rsidRDefault="00CB251F" w:rsidP="00EF5C81">
            <w:pPr>
              <w:pStyle w:val="Tabletext"/>
              <w:rPr>
                <w:snapToGrid w:val="0"/>
              </w:rPr>
            </w:pPr>
            <w:r w:rsidRPr="006D775D">
              <w:rPr>
                <w:snapToGrid w:val="0"/>
              </w:rPr>
              <w:t>31371</w:t>
            </w:r>
          </w:p>
        </w:tc>
        <w:tc>
          <w:tcPr>
            <w:tcW w:w="6095" w:type="dxa"/>
            <w:shd w:val="clear" w:color="auto" w:fill="auto"/>
          </w:tcPr>
          <w:p w:rsidR="008941C2" w:rsidRPr="006D775D" w:rsidRDefault="00CB251F" w:rsidP="002E206D">
            <w:pPr>
              <w:pStyle w:val="Tabletext"/>
            </w:pPr>
            <w:r w:rsidRPr="006D775D">
              <w:t xml:space="preserve">Malignant melanoma, appendageal carcinoma, malignant connective tissue tumour of skin or merkel cell carcinoma of skin, definitive surgical excision (other than by shave excision) and repair of, </w:t>
            </w:r>
            <w:r w:rsidR="008941C2" w:rsidRPr="006D775D">
              <w:t>if:</w:t>
            </w:r>
          </w:p>
          <w:p w:rsidR="00CB251F" w:rsidRPr="006D775D" w:rsidRDefault="008941C2" w:rsidP="008941C2">
            <w:pPr>
              <w:pStyle w:val="Tablea"/>
            </w:pPr>
            <w:r w:rsidRPr="006D775D">
              <w:t xml:space="preserve">(a) the tumour is excised </w:t>
            </w:r>
            <w:r w:rsidR="00CB251F" w:rsidRPr="006D775D">
              <w:t>from nose, eyelid, eyebrow, lip, ear, digit or genitalia, or from a contiguous area</w:t>
            </w:r>
            <w:r w:rsidRPr="006D775D">
              <w:t>; and</w:t>
            </w:r>
          </w:p>
          <w:p w:rsidR="00CB251F" w:rsidRPr="006D775D" w:rsidRDefault="00CB251F" w:rsidP="005D3779">
            <w:pPr>
              <w:pStyle w:val="Tablea"/>
            </w:pPr>
            <w:r w:rsidRPr="006D775D">
              <w:t>(</w:t>
            </w:r>
            <w:r w:rsidR="008941C2" w:rsidRPr="006D775D">
              <w:t>b</w:t>
            </w:r>
            <w:r w:rsidRPr="006D775D">
              <w:t xml:space="preserve">) the necessary excision diameter </w:t>
            </w:r>
            <w:r w:rsidRPr="006D775D">
              <w:rPr>
                <w:bCs/>
              </w:rPr>
              <w:t>is 6</w:t>
            </w:r>
            <w:r w:rsidR="007C190B" w:rsidRPr="006D775D">
              <w:rPr>
                <w:bCs/>
              </w:rPr>
              <w:t xml:space="preserve"> </w:t>
            </w:r>
            <w:r w:rsidRPr="006D775D">
              <w:rPr>
                <w:bCs/>
              </w:rPr>
              <w:t>mm</w:t>
            </w:r>
            <w:r w:rsidRPr="006D775D">
              <w:t xml:space="preserve"> or more; and</w:t>
            </w:r>
          </w:p>
          <w:p w:rsidR="00CB251F" w:rsidRPr="006D775D" w:rsidRDefault="00CB251F" w:rsidP="005D3779">
            <w:pPr>
              <w:pStyle w:val="Tablea"/>
            </w:pPr>
            <w:r w:rsidRPr="006D775D">
              <w:t>(</w:t>
            </w:r>
            <w:r w:rsidR="008941C2" w:rsidRPr="006D775D">
              <w:t>c</w:t>
            </w:r>
            <w:r w:rsidRPr="006D775D">
              <w:t xml:space="preserve">) the </w:t>
            </w:r>
            <w:r w:rsidR="007D16CF" w:rsidRPr="006D775D">
              <w:t>excised specimen</w:t>
            </w:r>
            <w:r w:rsidRPr="006D775D">
              <w:t xml:space="preserve"> is sent for histological examination; and</w:t>
            </w:r>
          </w:p>
          <w:p w:rsidR="00CB251F" w:rsidRPr="006D775D" w:rsidRDefault="00CB251F" w:rsidP="005D3779">
            <w:pPr>
              <w:pStyle w:val="Tablea"/>
            </w:pPr>
            <w:r w:rsidRPr="006D775D">
              <w:t>(</w:t>
            </w:r>
            <w:r w:rsidR="008941C2" w:rsidRPr="006D775D">
              <w:t>d</w:t>
            </w:r>
            <w:r w:rsidRPr="006D775D">
              <w:t>) malignancy is confirmed</w:t>
            </w:r>
            <w:r w:rsidRPr="006D775D">
              <w:rPr>
                <w:i/>
              </w:rPr>
              <w:t xml:space="preserve"> </w:t>
            </w:r>
            <w:r w:rsidR="00585D96" w:rsidRPr="006D775D">
              <w:rPr>
                <w:color w:val="000000"/>
              </w:rPr>
              <w:t>from</w:t>
            </w:r>
            <w:r w:rsidR="00585D96" w:rsidRPr="006D775D">
              <w:t xml:space="preserve"> the excised specimen</w:t>
            </w:r>
            <w:r w:rsidRPr="006D775D">
              <w:t xml:space="preserve"> or previous biopsy</w:t>
            </w:r>
          </w:p>
          <w:p w:rsidR="00CB251F" w:rsidRPr="006D775D" w:rsidRDefault="00CB251F" w:rsidP="002E206D">
            <w:pPr>
              <w:pStyle w:val="Tabletext"/>
            </w:pPr>
            <w:r w:rsidRPr="006D775D">
              <w:t>(Anaes.)</w:t>
            </w:r>
          </w:p>
        </w:tc>
        <w:tc>
          <w:tcPr>
            <w:tcW w:w="1134" w:type="dxa"/>
            <w:shd w:val="clear" w:color="auto" w:fill="auto"/>
          </w:tcPr>
          <w:p w:rsidR="00CB251F" w:rsidRPr="006D775D" w:rsidRDefault="005B2780" w:rsidP="00EF5C81">
            <w:pPr>
              <w:pStyle w:val="Tabletext"/>
              <w:jc w:val="right"/>
            </w:pPr>
            <w:r w:rsidRPr="006D775D">
              <w:t>357.00</w:t>
            </w:r>
          </w:p>
        </w:tc>
      </w:tr>
      <w:tr w:rsidR="00CB251F" w:rsidRPr="006D775D" w:rsidTr="008941C2">
        <w:tc>
          <w:tcPr>
            <w:tcW w:w="851" w:type="dxa"/>
            <w:shd w:val="clear" w:color="auto" w:fill="auto"/>
          </w:tcPr>
          <w:p w:rsidR="00CB251F" w:rsidRPr="006D775D" w:rsidRDefault="00CB251F" w:rsidP="00EF5C81">
            <w:pPr>
              <w:pStyle w:val="Tabletext"/>
              <w:rPr>
                <w:snapToGrid w:val="0"/>
              </w:rPr>
            </w:pPr>
            <w:r w:rsidRPr="006D775D">
              <w:rPr>
                <w:snapToGrid w:val="0"/>
              </w:rPr>
              <w:t>31372</w:t>
            </w:r>
          </w:p>
        </w:tc>
        <w:tc>
          <w:tcPr>
            <w:tcW w:w="6095" w:type="dxa"/>
            <w:shd w:val="clear" w:color="auto" w:fill="auto"/>
          </w:tcPr>
          <w:p w:rsidR="008941C2" w:rsidRPr="006D775D" w:rsidRDefault="00CB251F" w:rsidP="002E206D">
            <w:pPr>
              <w:pStyle w:val="Tabletext"/>
            </w:pPr>
            <w:r w:rsidRPr="006D775D">
              <w:t xml:space="preserve">Malignant melanoma, appendageal carcinoma, malignant connective tissue tumour of skin or merkel cell carcinoma of skin, definitive surgical excision (other than by shave excision) and repair of, </w:t>
            </w:r>
            <w:r w:rsidR="008941C2" w:rsidRPr="006D775D">
              <w:t>if:</w:t>
            </w:r>
          </w:p>
          <w:p w:rsidR="00CB251F" w:rsidRPr="006D775D" w:rsidRDefault="008941C2" w:rsidP="008941C2">
            <w:pPr>
              <w:pStyle w:val="Tablea"/>
            </w:pPr>
            <w:r w:rsidRPr="006D775D">
              <w:t xml:space="preserve">(a) the tumour is excised </w:t>
            </w:r>
            <w:r w:rsidR="00CB251F" w:rsidRPr="006D775D">
              <w:t xml:space="preserve">from face, neck, scalp, </w:t>
            </w:r>
            <w:r w:rsidR="007D16CF" w:rsidRPr="006D775D">
              <w:t>nipple</w:t>
            </w:r>
            <w:r w:rsidR="006D775D">
              <w:noBreakHyphen/>
            </w:r>
            <w:r w:rsidR="007D16CF" w:rsidRPr="006D775D">
              <w:t>areola</w:t>
            </w:r>
            <w:r w:rsidR="00CB251F" w:rsidRPr="006D775D">
              <w:t xml:space="preserve"> complex, distal lower limb (distal to</w:t>
            </w:r>
            <w:r w:rsidR="00333B52" w:rsidRPr="006D775D">
              <w:t xml:space="preserve">, and including, </w:t>
            </w:r>
            <w:r w:rsidR="00CB251F" w:rsidRPr="006D775D">
              <w:t>the knee) or distal upper limb (distal to</w:t>
            </w:r>
            <w:r w:rsidR="00333B52" w:rsidRPr="006D775D">
              <w:t xml:space="preserve">, and </w:t>
            </w:r>
            <w:r w:rsidR="00CB251F" w:rsidRPr="006D775D">
              <w:t>including</w:t>
            </w:r>
            <w:r w:rsidR="00333B52" w:rsidRPr="006D775D">
              <w:t>,</w:t>
            </w:r>
            <w:r w:rsidR="00CB251F" w:rsidRPr="006D775D">
              <w:t xml:space="preserve"> the ulnar styloid)</w:t>
            </w:r>
            <w:r w:rsidR="00BC0B16" w:rsidRPr="006D775D">
              <w:t>; and</w:t>
            </w:r>
          </w:p>
          <w:p w:rsidR="00CB251F" w:rsidRPr="006D775D" w:rsidRDefault="00CB251F" w:rsidP="005D3779">
            <w:pPr>
              <w:pStyle w:val="Tablea"/>
            </w:pPr>
            <w:r w:rsidRPr="006D775D">
              <w:t>(</w:t>
            </w:r>
            <w:r w:rsidR="00BC0B16" w:rsidRPr="006D775D">
              <w:t>b</w:t>
            </w:r>
            <w:r w:rsidRPr="006D775D">
              <w:t>) the necessary excision diameter is</w:t>
            </w:r>
            <w:r w:rsidRPr="006D775D">
              <w:rPr>
                <w:b/>
                <w:bCs/>
              </w:rPr>
              <w:t xml:space="preserve"> </w:t>
            </w:r>
            <w:r w:rsidRPr="006D775D">
              <w:rPr>
                <w:bCs/>
              </w:rPr>
              <w:t>less than 14</w:t>
            </w:r>
            <w:r w:rsidR="007C190B" w:rsidRPr="006D775D">
              <w:rPr>
                <w:bCs/>
              </w:rPr>
              <w:t xml:space="preserve"> </w:t>
            </w:r>
            <w:r w:rsidRPr="006D775D">
              <w:rPr>
                <w:bCs/>
              </w:rPr>
              <w:t>mm; and</w:t>
            </w:r>
          </w:p>
          <w:p w:rsidR="00CB251F" w:rsidRPr="006D775D" w:rsidRDefault="00CB251F" w:rsidP="005D3779">
            <w:pPr>
              <w:pStyle w:val="Tablea"/>
            </w:pPr>
            <w:r w:rsidRPr="006D775D">
              <w:t>(</w:t>
            </w:r>
            <w:r w:rsidR="00BC0B16" w:rsidRPr="006D775D">
              <w:t>c</w:t>
            </w:r>
            <w:r w:rsidRPr="006D775D">
              <w:t xml:space="preserve">) the </w:t>
            </w:r>
            <w:r w:rsidR="007D16CF" w:rsidRPr="006D775D">
              <w:t>excised specimen</w:t>
            </w:r>
            <w:r w:rsidRPr="006D775D">
              <w:t xml:space="preserve"> is sent for histological examination; and</w:t>
            </w:r>
          </w:p>
          <w:p w:rsidR="00CB251F" w:rsidRPr="006D775D" w:rsidRDefault="00CB251F" w:rsidP="005D3779">
            <w:pPr>
              <w:pStyle w:val="Tablea"/>
            </w:pPr>
            <w:r w:rsidRPr="006D775D">
              <w:t>(</w:t>
            </w:r>
            <w:r w:rsidR="00BC0B16" w:rsidRPr="006D775D">
              <w:t>d</w:t>
            </w:r>
            <w:r w:rsidRPr="006D775D">
              <w:t>) malignancy is confirmed</w:t>
            </w:r>
            <w:r w:rsidRPr="006D775D">
              <w:rPr>
                <w:i/>
              </w:rPr>
              <w:t xml:space="preserve"> </w:t>
            </w:r>
            <w:r w:rsidR="00585D96" w:rsidRPr="006D775D">
              <w:rPr>
                <w:color w:val="000000"/>
              </w:rPr>
              <w:t>from</w:t>
            </w:r>
            <w:r w:rsidR="00585D96" w:rsidRPr="006D775D">
              <w:t xml:space="preserve"> the excised specimen</w:t>
            </w:r>
            <w:r w:rsidRPr="006D775D">
              <w:t xml:space="preserve"> or previous biopsy;</w:t>
            </w:r>
          </w:p>
          <w:p w:rsidR="00CB251F" w:rsidRPr="006D775D" w:rsidRDefault="00CB251F" w:rsidP="005D3779">
            <w:pPr>
              <w:pStyle w:val="Tabletext"/>
            </w:pPr>
            <w:r w:rsidRPr="006D775D">
              <w:t>not in association with item</w:t>
            </w:r>
            <w:r w:rsidR="006D775D" w:rsidRPr="006D775D">
              <w:t> </w:t>
            </w:r>
            <w:r w:rsidRPr="006D775D">
              <w:t>45201 (Anaes.)</w:t>
            </w:r>
          </w:p>
        </w:tc>
        <w:tc>
          <w:tcPr>
            <w:tcW w:w="1134" w:type="dxa"/>
            <w:shd w:val="clear" w:color="auto" w:fill="auto"/>
          </w:tcPr>
          <w:p w:rsidR="00CB251F" w:rsidRPr="006D775D" w:rsidRDefault="00CB251F" w:rsidP="00EF5C81">
            <w:pPr>
              <w:pStyle w:val="Tabletext"/>
              <w:jc w:val="right"/>
            </w:pPr>
            <w:r w:rsidRPr="006D775D">
              <w:t>308.70</w:t>
            </w:r>
          </w:p>
        </w:tc>
      </w:tr>
      <w:tr w:rsidR="00CB251F" w:rsidRPr="006D775D" w:rsidTr="008941C2">
        <w:tc>
          <w:tcPr>
            <w:tcW w:w="851" w:type="dxa"/>
            <w:shd w:val="clear" w:color="auto" w:fill="auto"/>
          </w:tcPr>
          <w:p w:rsidR="00CB251F" w:rsidRPr="006D775D" w:rsidRDefault="00CB251F" w:rsidP="00EF5C81">
            <w:pPr>
              <w:pStyle w:val="Tabletext"/>
              <w:rPr>
                <w:snapToGrid w:val="0"/>
              </w:rPr>
            </w:pPr>
            <w:r w:rsidRPr="006D775D">
              <w:rPr>
                <w:snapToGrid w:val="0"/>
              </w:rPr>
              <w:t>31373</w:t>
            </w:r>
          </w:p>
        </w:tc>
        <w:tc>
          <w:tcPr>
            <w:tcW w:w="6095" w:type="dxa"/>
            <w:shd w:val="clear" w:color="auto" w:fill="auto"/>
          </w:tcPr>
          <w:p w:rsidR="00BC0B16" w:rsidRPr="006D775D" w:rsidRDefault="00CB251F" w:rsidP="002E206D">
            <w:pPr>
              <w:pStyle w:val="Tabletext"/>
            </w:pPr>
            <w:r w:rsidRPr="006D775D">
              <w:t xml:space="preserve">Malignant melanoma, appendageal carcinoma, malignant connective tissue tumour of skin or merkel cell carcinoma of skin, definitive surgical excision (other than by shave excision) and repair of, </w:t>
            </w:r>
            <w:r w:rsidR="00BC0B16" w:rsidRPr="006D775D">
              <w:t>if:</w:t>
            </w:r>
          </w:p>
          <w:p w:rsidR="00CB251F" w:rsidRPr="006D775D" w:rsidRDefault="00BC0B16" w:rsidP="00BC0B16">
            <w:pPr>
              <w:pStyle w:val="Tablea"/>
            </w:pPr>
            <w:r w:rsidRPr="006D775D">
              <w:t xml:space="preserve">(a) the tumour is excised </w:t>
            </w:r>
            <w:r w:rsidR="00CB251F" w:rsidRPr="006D775D">
              <w:t>from face, neck, scalp, nipple</w:t>
            </w:r>
            <w:r w:rsidR="006D775D">
              <w:noBreakHyphen/>
            </w:r>
            <w:r w:rsidR="00CB251F" w:rsidRPr="006D775D">
              <w:t>areola complex, distal lower limb (distal to</w:t>
            </w:r>
            <w:r w:rsidR="00333B52" w:rsidRPr="006D775D">
              <w:t xml:space="preserve">, and </w:t>
            </w:r>
            <w:r w:rsidR="00CB251F" w:rsidRPr="006D775D">
              <w:t>including</w:t>
            </w:r>
            <w:r w:rsidR="00333B52" w:rsidRPr="006D775D">
              <w:t>,</w:t>
            </w:r>
            <w:r w:rsidR="00CB251F" w:rsidRPr="006D775D">
              <w:t xml:space="preserve"> the knee) or distal upper limb (distal to</w:t>
            </w:r>
            <w:r w:rsidR="00333B52" w:rsidRPr="006D775D">
              <w:t>, and</w:t>
            </w:r>
            <w:r w:rsidR="00CB251F" w:rsidRPr="006D775D">
              <w:t xml:space="preserve"> including</w:t>
            </w:r>
            <w:r w:rsidR="00333B52" w:rsidRPr="006D775D">
              <w:t>,</w:t>
            </w:r>
            <w:r w:rsidR="00CB251F" w:rsidRPr="006D775D">
              <w:t xml:space="preserve"> the ulnar styloid)</w:t>
            </w:r>
            <w:r w:rsidRPr="006D775D">
              <w:t>; and</w:t>
            </w:r>
          </w:p>
          <w:p w:rsidR="00CB251F" w:rsidRPr="006D775D" w:rsidRDefault="00CB251F" w:rsidP="005D3779">
            <w:pPr>
              <w:pStyle w:val="Tablea"/>
            </w:pPr>
            <w:r w:rsidRPr="006D775D">
              <w:t>(</w:t>
            </w:r>
            <w:r w:rsidR="00BC0B16" w:rsidRPr="006D775D">
              <w:t>b</w:t>
            </w:r>
            <w:r w:rsidRPr="006D775D">
              <w:t xml:space="preserve">) the necessary excision diameter is </w:t>
            </w:r>
            <w:r w:rsidRPr="006D775D">
              <w:rPr>
                <w:bCs/>
              </w:rPr>
              <w:t>14</w:t>
            </w:r>
            <w:r w:rsidR="007C190B" w:rsidRPr="006D775D">
              <w:rPr>
                <w:bCs/>
              </w:rPr>
              <w:t xml:space="preserve"> </w:t>
            </w:r>
            <w:r w:rsidRPr="006D775D">
              <w:rPr>
                <w:bCs/>
              </w:rPr>
              <w:t>mm</w:t>
            </w:r>
            <w:r w:rsidRPr="006D775D">
              <w:t xml:space="preserve"> or more; and</w:t>
            </w:r>
          </w:p>
          <w:p w:rsidR="00CB251F" w:rsidRPr="006D775D" w:rsidRDefault="00CB251F" w:rsidP="005D3779">
            <w:pPr>
              <w:pStyle w:val="Tablea"/>
            </w:pPr>
            <w:r w:rsidRPr="006D775D">
              <w:t>(</w:t>
            </w:r>
            <w:r w:rsidR="00BC0B16" w:rsidRPr="006D775D">
              <w:t>c</w:t>
            </w:r>
            <w:r w:rsidRPr="006D775D">
              <w:t xml:space="preserve">) the </w:t>
            </w:r>
            <w:r w:rsidR="007D16CF" w:rsidRPr="006D775D">
              <w:t>excised specimen</w:t>
            </w:r>
            <w:r w:rsidRPr="006D775D">
              <w:t xml:space="preserve"> is sent for histological examination; and</w:t>
            </w:r>
          </w:p>
          <w:p w:rsidR="00CB251F" w:rsidRPr="006D775D" w:rsidRDefault="00CB251F" w:rsidP="005D3779">
            <w:pPr>
              <w:pStyle w:val="Tablea"/>
            </w:pPr>
            <w:r w:rsidRPr="006D775D">
              <w:t>(</w:t>
            </w:r>
            <w:r w:rsidR="00BC0B16" w:rsidRPr="006D775D">
              <w:t>d</w:t>
            </w:r>
            <w:r w:rsidRPr="006D775D">
              <w:t xml:space="preserve">) malignancy is confirmed </w:t>
            </w:r>
            <w:r w:rsidR="00585D96" w:rsidRPr="006D775D">
              <w:rPr>
                <w:color w:val="000000"/>
              </w:rPr>
              <w:t>from</w:t>
            </w:r>
            <w:r w:rsidR="00585D96" w:rsidRPr="006D775D">
              <w:t xml:space="preserve"> the excised specimen</w:t>
            </w:r>
            <w:r w:rsidRPr="006D775D">
              <w:t xml:space="preserve"> or previous biopsy</w:t>
            </w:r>
          </w:p>
          <w:p w:rsidR="00CB251F" w:rsidRPr="006D775D" w:rsidRDefault="00CB251F" w:rsidP="002E206D">
            <w:pPr>
              <w:pStyle w:val="Tabletext"/>
            </w:pPr>
            <w:r w:rsidRPr="006D775D">
              <w:t>(Anaes.)</w:t>
            </w:r>
          </w:p>
        </w:tc>
        <w:tc>
          <w:tcPr>
            <w:tcW w:w="1134" w:type="dxa"/>
            <w:shd w:val="clear" w:color="auto" w:fill="auto"/>
          </w:tcPr>
          <w:p w:rsidR="00CB251F" w:rsidRPr="006D775D" w:rsidRDefault="00CB251F" w:rsidP="00EF5C81">
            <w:pPr>
              <w:pStyle w:val="Tabletext"/>
              <w:jc w:val="right"/>
            </w:pPr>
            <w:r w:rsidRPr="006D775D">
              <w:t>356.80</w:t>
            </w:r>
          </w:p>
        </w:tc>
      </w:tr>
      <w:tr w:rsidR="00CB251F" w:rsidRPr="006D775D" w:rsidTr="008941C2">
        <w:tc>
          <w:tcPr>
            <w:tcW w:w="851" w:type="dxa"/>
            <w:shd w:val="clear" w:color="auto" w:fill="auto"/>
          </w:tcPr>
          <w:p w:rsidR="00CB251F" w:rsidRPr="006D775D" w:rsidRDefault="00CB251F" w:rsidP="00EF5C81">
            <w:pPr>
              <w:pStyle w:val="Tabletext"/>
              <w:rPr>
                <w:snapToGrid w:val="0"/>
              </w:rPr>
            </w:pPr>
            <w:r w:rsidRPr="006D775D">
              <w:rPr>
                <w:snapToGrid w:val="0"/>
              </w:rPr>
              <w:t>31374</w:t>
            </w:r>
          </w:p>
        </w:tc>
        <w:tc>
          <w:tcPr>
            <w:tcW w:w="6095" w:type="dxa"/>
            <w:shd w:val="clear" w:color="auto" w:fill="auto"/>
          </w:tcPr>
          <w:p w:rsidR="00BC0B16" w:rsidRPr="006D775D" w:rsidRDefault="00CB251F" w:rsidP="005D3779">
            <w:pPr>
              <w:pStyle w:val="Tabletext"/>
            </w:pPr>
            <w:r w:rsidRPr="006D775D">
              <w:t xml:space="preserve">Malignant melanoma, appendageal carcinoma, malignant connective tissue tumour of skin or merkel cell carcinoma of skin, definitive surgical excision (other than by shave excision) and repair of, </w:t>
            </w:r>
            <w:r w:rsidR="00BC0B16" w:rsidRPr="006D775D">
              <w:t>if:</w:t>
            </w:r>
          </w:p>
          <w:p w:rsidR="00CB251F" w:rsidRPr="006D775D" w:rsidRDefault="00BC0B16" w:rsidP="00BC0B16">
            <w:pPr>
              <w:pStyle w:val="Tablea"/>
            </w:pPr>
            <w:r w:rsidRPr="006D775D">
              <w:t xml:space="preserve">(a) the tumour is excised </w:t>
            </w:r>
            <w:r w:rsidR="00CB251F" w:rsidRPr="006D775D">
              <w:t>from any part of the body not covered by item</w:t>
            </w:r>
            <w:r w:rsidR="006D775D" w:rsidRPr="006D775D">
              <w:t> </w:t>
            </w:r>
            <w:r w:rsidR="00CB251F" w:rsidRPr="006D775D">
              <w:t>31371, 31372 or 31373</w:t>
            </w:r>
            <w:r w:rsidRPr="006D775D">
              <w:t>; and</w:t>
            </w:r>
          </w:p>
          <w:p w:rsidR="00CB251F" w:rsidRPr="006D775D" w:rsidRDefault="00CB251F" w:rsidP="005D3779">
            <w:pPr>
              <w:pStyle w:val="Tablea"/>
            </w:pPr>
            <w:r w:rsidRPr="006D775D">
              <w:t>(</w:t>
            </w:r>
            <w:r w:rsidR="00BC0B16" w:rsidRPr="006D775D">
              <w:t>b</w:t>
            </w:r>
            <w:r w:rsidRPr="006D775D">
              <w:t>) the necessary excision diameter is</w:t>
            </w:r>
            <w:r w:rsidRPr="006D775D">
              <w:rPr>
                <w:b/>
                <w:bCs/>
              </w:rPr>
              <w:t xml:space="preserve"> </w:t>
            </w:r>
            <w:r w:rsidRPr="006D775D">
              <w:rPr>
                <w:bCs/>
              </w:rPr>
              <w:t>less than 15</w:t>
            </w:r>
            <w:r w:rsidR="007C190B" w:rsidRPr="006D775D">
              <w:rPr>
                <w:bCs/>
              </w:rPr>
              <w:t xml:space="preserve"> </w:t>
            </w:r>
            <w:r w:rsidRPr="006D775D">
              <w:rPr>
                <w:bCs/>
              </w:rPr>
              <w:t>mm; and</w:t>
            </w:r>
          </w:p>
          <w:p w:rsidR="00CB251F" w:rsidRPr="006D775D" w:rsidRDefault="00CB251F" w:rsidP="005D3779">
            <w:pPr>
              <w:pStyle w:val="Tablea"/>
            </w:pPr>
            <w:r w:rsidRPr="006D775D">
              <w:t>(</w:t>
            </w:r>
            <w:r w:rsidR="00BC0B16" w:rsidRPr="006D775D">
              <w:t>c</w:t>
            </w:r>
            <w:r w:rsidRPr="006D775D">
              <w:t xml:space="preserve">) the </w:t>
            </w:r>
            <w:r w:rsidR="007D16CF" w:rsidRPr="006D775D">
              <w:t>excised specimen</w:t>
            </w:r>
            <w:r w:rsidRPr="006D775D">
              <w:t xml:space="preserve"> is sent for histological examination; and</w:t>
            </w:r>
          </w:p>
          <w:p w:rsidR="00CB251F" w:rsidRPr="006D775D" w:rsidRDefault="00CB251F" w:rsidP="005D3779">
            <w:pPr>
              <w:pStyle w:val="Tablea"/>
            </w:pPr>
            <w:r w:rsidRPr="006D775D">
              <w:t>(</w:t>
            </w:r>
            <w:r w:rsidR="00BC0B16" w:rsidRPr="006D775D">
              <w:t>d</w:t>
            </w:r>
            <w:r w:rsidRPr="006D775D">
              <w:t xml:space="preserve">) malignancy is confirmed </w:t>
            </w:r>
            <w:r w:rsidR="00585D96" w:rsidRPr="006D775D">
              <w:rPr>
                <w:color w:val="000000"/>
              </w:rPr>
              <w:t>from</w:t>
            </w:r>
            <w:r w:rsidR="00585D96" w:rsidRPr="006D775D">
              <w:t xml:space="preserve"> the excised specimen</w:t>
            </w:r>
            <w:r w:rsidRPr="006D775D">
              <w:t xml:space="preserve"> or previous biopsy;</w:t>
            </w:r>
          </w:p>
          <w:p w:rsidR="00CB251F" w:rsidRPr="006D775D" w:rsidRDefault="00CB251F" w:rsidP="005D3779">
            <w:pPr>
              <w:pStyle w:val="Tabletext"/>
            </w:pPr>
            <w:r w:rsidRPr="006D775D">
              <w:t>not in association with item</w:t>
            </w:r>
            <w:r w:rsidR="006D775D" w:rsidRPr="006D775D">
              <w:t> </w:t>
            </w:r>
            <w:r w:rsidRPr="006D775D">
              <w:t>45201 (Anaes.)</w:t>
            </w:r>
          </w:p>
        </w:tc>
        <w:tc>
          <w:tcPr>
            <w:tcW w:w="1134" w:type="dxa"/>
            <w:shd w:val="clear" w:color="auto" w:fill="auto"/>
          </w:tcPr>
          <w:p w:rsidR="00CB251F" w:rsidRPr="006D775D" w:rsidRDefault="00CB251F" w:rsidP="00EF5C81">
            <w:pPr>
              <w:pStyle w:val="Tabletext"/>
              <w:jc w:val="right"/>
            </w:pPr>
            <w:r w:rsidRPr="006D775D">
              <w:t>281.90</w:t>
            </w:r>
          </w:p>
        </w:tc>
      </w:tr>
      <w:tr w:rsidR="00CB251F" w:rsidRPr="006D775D" w:rsidTr="008941C2">
        <w:tc>
          <w:tcPr>
            <w:tcW w:w="851" w:type="dxa"/>
            <w:tcBorders>
              <w:bottom w:val="single" w:sz="2" w:space="0" w:color="auto"/>
            </w:tcBorders>
            <w:shd w:val="clear" w:color="auto" w:fill="auto"/>
          </w:tcPr>
          <w:p w:rsidR="00CB251F" w:rsidRPr="006D775D" w:rsidRDefault="00CB251F" w:rsidP="00EF5C81">
            <w:pPr>
              <w:pStyle w:val="Tabletext"/>
              <w:rPr>
                <w:snapToGrid w:val="0"/>
              </w:rPr>
            </w:pPr>
            <w:r w:rsidRPr="006D775D">
              <w:rPr>
                <w:snapToGrid w:val="0"/>
              </w:rPr>
              <w:t>31375</w:t>
            </w:r>
          </w:p>
        </w:tc>
        <w:tc>
          <w:tcPr>
            <w:tcW w:w="6095" w:type="dxa"/>
            <w:tcBorders>
              <w:bottom w:val="single" w:sz="2" w:space="0" w:color="auto"/>
            </w:tcBorders>
            <w:shd w:val="clear" w:color="auto" w:fill="auto"/>
          </w:tcPr>
          <w:p w:rsidR="00BC0B16" w:rsidRPr="006D775D" w:rsidRDefault="00CB251F" w:rsidP="002E206D">
            <w:pPr>
              <w:pStyle w:val="Tabletext"/>
            </w:pPr>
            <w:r w:rsidRPr="006D775D">
              <w:t>Malignant melanoma, appendageal carcinoma, malignant connective tissue tumour of skin or merkel cell carcinoma of skin, definitive surgical excision (other than by shave excisio</w:t>
            </w:r>
            <w:r w:rsidR="00585D96" w:rsidRPr="006D775D">
              <w:t xml:space="preserve">n) and repair of, </w:t>
            </w:r>
            <w:r w:rsidR="00BC0B16" w:rsidRPr="006D775D">
              <w:t>if:</w:t>
            </w:r>
          </w:p>
          <w:p w:rsidR="00CB251F" w:rsidRPr="006D775D" w:rsidRDefault="00BC0B16" w:rsidP="00BC0B16">
            <w:pPr>
              <w:pStyle w:val="Tablea"/>
            </w:pPr>
            <w:r w:rsidRPr="006D775D">
              <w:t xml:space="preserve">(a) the tumour is excised </w:t>
            </w:r>
            <w:r w:rsidR="00585D96" w:rsidRPr="006D775D">
              <w:t>from any part</w:t>
            </w:r>
            <w:r w:rsidR="00CB251F" w:rsidRPr="006D775D">
              <w:t xml:space="preserve"> of the body not covered by item</w:t>
            </w:r>
            <w:r w:rsidR="006D775D" w:rsidRPr="006D775D">
              <w:t> </w:t>
            </w:r>
            <w:r w:rsidR="00CB251F" w:rsidRPr="006D775D">
              <w:t>31371, 31372 or 31373</w:t>
            </w:r>
            <w:r w:rsidRPr="006D775D">
              <w:t>; and</w:t>
            </w:r>
          </w:p>
          <w:p w:rsidR="00CB251F" w:rsidRPr="006D775D" w:rsidRDefault="00CB251F" w:rsidP="005D3779">
            <w:pPr>
              <w:pStyle w:val="Tablea"/>
            </w:pPr>
            <w:r w:rsidRPr="006D775D">
              <w:t>(</w:t>
            </w:r>
            <w:r w:rsidR="00BC0B16" w:rsidRPr="006D775D">
              <w:t>b</w:t>
            </w:r>
            <w:r w:rsidRPr="006D775D">
              <w:t xml:space="preserve">) the necessary excision diameter is </w:t>
            </w:r>
            <w:r w:rsidR="001E6995" w:rsidRPr="006D775D">
              <w:t xml:space="preserve">at least </w:t>
            </w:r>
            <w:r w:rsidRPr="006D775D">
              <w:rPr>
                <w:bCs/>
              </w:rPr>
              <w:t xml:space="preserve">15 mm </w:t>
            </w:r>
            <w:r w:rsidR="001F7486" w:rsidRPr="006D775D">
              <w:rPr>
                <w:bCs/>
              </w:rPr>
              <w:t>but</w:t>
            </w:r>
            <w:r w:rsidRPr="006D775D">
              <w:rPr>
                <w:bCs/>
              </w:rPr>
              <w:t xml:space="preserve"> </w:t>
            </w:r>
            <w:r w:rsidR="001E6995" w:rsidRPr="006D775D">
              <w:rPr>
                <w:bCs/>
              </w:rPr>
              <w:t xml:space="preserve">not more than </w:t>
            </w:r>
            <w:r w:rsidRPr="006D775D">
              <w:rPr>
                <w:bCs/>
              </w:rPr>
              <w:t>30</w:t>
            </w:r>
            <w:r w:rsidR="00E72897" w:rsidRPr="006D775D">
              <w:rPr>
                <w:bCs/>
              </w:rPr>
              <w:t xml:space="preserve"> </w:t>
            </w:r>
            <w:r w:rsidRPr="006D775D">
              <w:rPr>
                <w:bCs/>
              </w:rPr>
              <w:t>mm</w:t>
            </w:r>
            <w:r w:rsidRPr="006D775D">
              <w:t>; and</w:t>
            </w:r>
          </w:p>
          <w:p w:rsidR="00CB251F" w:rsidRPr="006D775D" w:rsidRDefault="00CB251F" w:rsidP="005D3779">
            <w:pPr>
              <w:pStyle w:val="Tablea"/>
            </w:pPr>
            <w:r w:rsidRPr="006D775D">
              <w:t>(</w:t>
            </w:r>
            <w:r w:rsidR="00BC0B16" w:rsidRPr="006D775D">
              <w:t>c</w:t>
            </w:r>
            <w:r w:rsidRPr="006D775D">
              <w:t xml:space="preserve">) the </w:t>
            </w:r>
            <w:r w:rsidR="007D16CF" w:rsidRPr="006D775D">
              <w:t>excised specimen</w:t>
            </w:r>
            <w:r w:rsidRPr="006D775D">
              <w:t xml:space="preserve"> is sent for histological examination; and</w:t>
            </w:r>
          </w:p>
          <w:p w:rsidR="00CB251F" w:rsidRPr="006D775D" w:rsidRDefault="00CB251F" w:rsidP="005D3779">
            <w:pPr>
              <w:pStyle w:val="Tablea"/>
            </w:pPr>
            <w:r w:rsidRPr="006D775D">
              <w:t>(</w:t>
            </w:r>
            <w:r w:rsidR="00BC0B16" w:rsidRPr="006D775D">
              <w:t>d</w:t>
            </w:r>
            <w:r w:rsidRPr="006D775D">
              <w:t xml:space="preserve">) malignancy is confirmed </w:t>
            </w:r>
            <w:r w:rsidR="00585D96" w:rsidRPr="006D775D">
              <w:rPr>
                <w:color w:val="000000"/>
              </w:rPr>
              <w:t>from</w:t>
            </w:r>
            <w:r w:rsidR="00585D96" w:rsidRPr="006D775D">
              <w:t xml:space="preserve"> the excised specimen</w:t>
            </w:r>
            <w:r w:rsidRPr="006D775D">
              <w:t xml:space="preserve"> or previous biopsy;</w:t>
            </w:r>
          </w:p>
          <w:p w:rsidR="00CB251F" w:rsidRPr="006D775D" w:rsidRDefault="00CB251F" w:rsidP="002F50CA">
            <w:pPr>
              <w:pStyle w:val="Tabletext"/>
            </w:pPr>
            <w:r w:rsidRPr="006D775D">
              <w:t>not in association with item</w:t>
            </w:r>
            <w:r w:rsidR="006D775D" w:rsidRPr="006D775D">
              <w:t> </w:t>
            </w:r>
            <w:r w:rsidRPr="006D775D">
              <w:t>45201 (Anaes.)</w:t>
            </w:r>
          </w:p>
        </w:tc>
        <w:tc>
          <w:tcPr>
            <w:tcW w:w="1134" w:type="dxa"/>
            <w:tcBorders>
              <w:bottom w:val="single" w:sz="2" w:space="0" w:color="auto"/>
            </w:tcBorders>
            <w:shd w:val="clear" w:color="auto" w:fill="auto"/>
          </w:tcPr>
          <w:p w:rsidR="00CB251F" w:rsidRPr="006D775D" w:rsidRDefault="00CB251F" w:rsidP="00EF5C81">
            <w:pPr>
              <w:pStyle w:val="Tabletext"/>
              <w:jc w:val="right"/>
            </w:pPr>
            <w:r w:rsidRPr="006D775D">
              <w:t>303.40</w:t>
            </w:r>
          </w:p>
        </w:tc>
      </w:tr>
      <w:tr w:rsidR="00CB251F" w:rsidRPr="006D775D" w:rsidTr="008941C2">
        <w:tc>
          <w:tcPr>
            <w:tcW w:w="851" w:type="dxa"/>
            <w:tcBorders>
              <w:top w:val="single" w:sz="2" w:space="0" w:color="auto"/>
              <w:bottom w:val="nil"/>
            </w:tcBorders>
            <w:shd w:val="clear" w:color="auto" w:fill="auto"/>
          </w:tcPr>
          <w:p w:rsidR="00CB251F" w:rsidRPr="006D775D" w:rsidRDefault="00CB251F" w:rsidP="00EF5C81">
            <w:pPr>
              <w:pStyle w:val="Tabletext"/>
              <w:rPr>
                <w:snapToGrid w:val="0"/>
              </w:rPr>
            </w:pPr>
            <w:r w:rsidRPr="006D775D">
              <w:rPr>
                <w:snapToGrid w:val="0"/>
              </w:rPr>
              <w:t>31376</w:t>
            </w:r>
          </w:p>
        </w:tc>
        <w:tc>
          <w:tcPr>
            <w:tcW w:w="6095" w:type="dxa"/>
            <w:tcBorders>
              <w:top w:val="single" w:sz="2" w:space="0" w:color="auto"/>
              <w:bottom w:val="nil"/>
            </w:tcBorders>
            <w:shd w:val="clear" w:color="auto" w:fill="auto"/>
          </w:tcPr>
          <w:p w:rsidR="00BC0B16" w:rsidRPr="006D775D" w:rsidRDefault="00CB251F" w:rsidP="002F50CA">
            <w:pPr>
              <w:pStyle w:val="Tabletext"/>
            </w:pPr>
            <w:r w:rsidRPr="006D775D">
              <w:t xml:space="preserve">Malignant melanoma, appendageal carcinoma, malignant connective tissue tumour of skin or merkel cell carcinoma of skin, definitive surgical excision (other than by shave excision) and repair of, </w:t>
            </w:r>
            <w:r w:rsidR="00BC0B16" w:rsidRPr="006D775D">
              <w:t>if:</w:t>
            </w:r>
          </w:p>
          <w:p w:rsidR="00CB251F" w:rsidRPr="006D775D" w:rsidRDefault="00BC0B16" w:rsidP="00BC0B16">
            <w:pPr>
              <w:pStyle w:val="Tablea"/>
            </w:pPr>
            <w:r w:rsidRPr="006D775D">
              <w:t>(a) the tumour is excised</w:t>
            </w:r>
            <w:r w:rsidR="00874FEF" w:rsidRPr="006D775D">
              <w:t xml:space="preserve"> </w:t>
            </w:r>
            <w:r w:rsidR="00CB251F" w:rsidRPr="006D775D">
              <w:t>from any part of the body not covered by item</w:t>
            </w:r>
            <w:r w:rsidR="006D775D" w:rsidRPr="006D775D">
              <w:t> </w:t>
            </w:r>
            <w:r w:rsidR="00CB251F" w:rsidRPr="006D775D">
              <w:t>31371, 31372 or 31373</w:t>
            </w:r>
            <w:r w:rsidRPr="006D775D">
              <w:t>; and</w:t>
            </w:r>
          </w:p>
          <w:p w:rsidR="00CB251F" w:rsidRPr="006D775D" w:rsidRDefault="00CB251F" w:rsidP="002F50CA">
            <w:pPr>
              <w:pStyle w:val="Tablea"/>
            </w:pPr>
            <w:r w:rsidRPr="006D775D">
              <w:t>(</w:t>
            </w:r>
            <w:r w:rsidR="00BC0B16" w:rsidRPr="006D775D">
              <w:t>b</w:t>
            </w:r>
            <w:r w:rsidRPr="006D775D">
              <w:t xml:space="preserve">) the necessary excision diameter is more than </w:t>
            </w:r>
            <w:r w:rsidRPr="006D775D">
              <w:rPr>
                <w:bCs/>
              </w:rPr>
              <w:t>30</w:t>
            </w:r>
            <w:r w:rsidR="007C190B" w:rsidRPr="006D775D">
              <w:rPr>
                <w:bCs/>
              </w:rPr>
              <w:t xml:space="preserve"> </w:t>
            </w:r>
            <w:r w:rsidRPr="006D775D">
              <w:rPr>
                <w:bCs/>
              </w:rPr>
              <w:t>mm; and</w:t>
            </w:r>
          </w:p>
          <w:p w:rsidR="00CB251F" w:rsidRPr="006D775D" w:rsidRDefault="00CB251F" w:rsidP="002F50CA">
            <w:pPr>
              <w:pStyle w:val="Tablea"/>
            </w:pPr>
            <w:r w:rsidRPr="006D775D">
              <w:t>(</w:t>
            </w:r>
            <w:r w:rsidR="00BC0B16" w:rsidRPr="006D775D">
              <w:t>c</w:t>
            </w:r>
            <w:r w:rsidRPr="006D775D">
              <w:t xml:space="preserve">) the </w:t>
            </w:r>
            <w:r w:rsidR="007D16CF" w:rsidRPr="006D775D">
              <w:t>excised specimen</w:t>
            </w:r>
            <w:r w:rsidRPr="006D775D">
              <w:t xml:space="preserve"> is sent for histological examination; and</w:t>
            </w:r>
          </w:p>
          <w:p w:rsidR="00CB251F" w:rsidRPr="006D775D" w:rsidRDefault="00CB251F" w:rsidP="002F50CA">
            <w:pPr>
              <w:pStyle w:val="Tablea"/>
            </w:pPr>
            <w:r w:rsidRPr="006D775D">
              <w:t>(</w:t>
            </w:r>
            <w:r w:rsidR="00BC0B16" w:rsidRPr="006D775D">
              <w:t>d</w:t>
            </w:r>
            <w:r w:rsidRPr="006D775D">
              <w:t xml:space="preserve">) </w:t>
            </w:r>
            <w:r w:rsidRPr="006D775D">
              <w:rPr>
                <w:color w:val="000000"/>
              </w:rPr>
              <w:t xml:space="preserve">malignancy is confirmed </w:t>
            </w:r>
            <w:r w:rsidR="00585D96" w:rsidRPr="006D775D">
              <w:rPr>
                <w:color w:val="000000"/>
              </w:rPr>
              <w:t>from</w:t>
            </w:r>
            <w:r w:rsidR="00585D96" w:rsidRPr="006D775D">
              <w:t xml:space="preserve"> the excised specimen</w:t>
            </w:r>
            <w:r w:rsidRPr="006D775D">
              <w:rPr>
                <w:color w:val="000000"/>
              </w:rPr>
              <w:t xml:space="preserve"> or previous biopsy</w:t>
            </w:r>
          </w:p>
          <w:p w:rsidR="00CB251F" w:rsidRPr="006D775D" w:rsidRDefault="00CB251F" w:rsidP="002F50CA">
            <w:pPr>
              <w:pStyle w:val="Tabletext"/>
            </w:pPr>
            <w:r w:rsidRPr="006D775D">
              <w:rPr>
                <w:color w:val="000000"/>
              </w:rPr>
              <w:t>(Anaes.)</w:t>
            </w:r>
          </w:p>
        </w:tc>
        <w:tc>
          <w:tcPr>
            <w:tcW w:w="1134" w:type="dxa"/>
            <w:tcBorders>
              <w:top w:val="single" w:sz="2" w:space="0" w:color="auto"/>
              <w:bottom w:val="nil"/>
            </w:tcBorders>
            <w:shd w:val="clear" w:color="auto" w:fill="auto"/>
          </w:tcPr>
          <w:p w:rsidR="00CB251F" w:rsidRPr="006D775D" w:rsidRDefault="00CB251F" w:rsidP="00EF5C81">
            <w:pPr>
              <w:pStyle w:val="Tabletext"/>
              <w:jc w:val="right"/>
            </w:pPr>
            <w:r w:rsidRPr="006D775D">
              <w:t>351.60</w:t>
            </w:r>
          </w:p>
        </w:tc>
      </w:tr>
    </w:tbl>
    <w:p w:rsidR="00EF5C81" w:rsidRPr="006D775D" w:rsidRDefault="00B25E9D" w:rsidP="00537776">
      <w:pPr>
        <w:pStyle w:val="ItemHead"/>
      </w:pPr>
      <w:r w:rsidRPr="006D775D">
        <w:t>31</w:t>
      </w:r>
      <w:r w:rsidR="004C5D81" w:rsidRPr="006D775D">
        <w:t xml:space="preserve">  </w:t>
      </w:r>
      <w:r w:rsidR="00EF5C81" w:rsidRPr="006D775D">
        <w:t>Schedule</w:t>
      </w:r>
      <w:r w:rsidR="006D775D" w:rsidRPr="006D775D">
        <w:t> </w:t>
      </w:r>
      <w:r w:rsidR="00EF5C81" w:rsidRPr="006D775D">
        <w:t xml:space="preserve">1 </w:t>
      </w:r>
      <w:r w:rsidR="001F7486" w:rsidRPr="006D775D">
        <w:t>(cell at item</w:t>
      </w:r>
      <w:r w:rsidR="006D775D" w:rsidRPr="006D775D">
        <w:t> </w:t>
      </w:r>
      <w:r w:rsidR="001F7486" w:rsidRPr="006D775D">
        <w:t>34103, column headed “Description”)</w:t>
      </w:r>
    </w:p>
    <w:p w:rsidR="00EF5C81" w:rsidRPr="006D775D" w:rsidRDefault="00EF5C81" w:rsidP="00EF5C81">
      <w:pPr>
        <w:pStyle w:val="Item"/>
      </w:pPr>
      <w:r w:rsidRPr="006D775D">
        <w:t xml:space="preserve">Repeal the </w:t>
      </w:r>
      <w:r w:rsidR="001F7486" w:rsidRPr="006D775D">
        <w:t>cell</w:t>
      </w:r>
      <w:r w:rsidRPr="006D775D">
        <w:t>, substitute:</w:t>
      </w:r>
    </w:p>
    <w:p w:rsidR="00EF5C81" w:rsidRPr="006D775D" w:rsidRDefault="00EF5C81" w:rsidP="00EF5C81">
      <w:pPr>
        <w:pStyle w:val="Tabletext"/>
      </w:pPr>
    </w:p>
    <w:tbl>
      <w:tblPr>
        <w:tblW w:w="6095" w:type="dxa"/>
        <w:tblInd w:w="107" w:type="dxa"/>
        <w:tblLayout w:type="fixed"/>
        <w:tblCellMar>
          <w:left w:w="107" w:type="dxa"/>
          <w:right w:w="107" w:type="dxa"/>
        </w:tblCellMar>
        <w:tblLook w:val="04A0" w:firstRow="1" w:lastRow="0" w:firstColumn="1" w:lastColumn="0" w:noHBand="0" w:noVBand="1"/>
      </w:tblPr>
      <w:tblGrid>
        <w:gridCol w:w="6095"/>
      </w:tblGrid>
      <w:tr w:rsidR="001F7486" w:rsidRPr="006D775D" w:rsidTr="001F7486">
        <w:tc>
          <w:tcPr>
            <w:tcW w:w="6095" w:type="dxa"/>
            <w:shd w:val="clear" w:color="auto" w:fill="auto"/>
          </w:tcPr>
          <w:p w:rsidR="001F7486" w:rsidRPr="006D775D" w:rsidRDefault="001F7486" w:rsidP="001F7486">
            <w:pPr>
              <w:pStyle w:val="Tabletext"/>
            </w:pPr>
            <w:r w:rsidRPr="006D775D">
              <w:t>Great artery (aorta or pulmonary artery) or great vein (superior or inferior vena cava), ligation or exploration of immediate branches or tributaries, or ligation or exploration of the subclavian, axillary, iliac, femoral or popliteal arteries or veins, if the service is not associated with item</w:t>
            </w:r>
            <w:r w:rsidR="006D775D" w:rsidRPr="006D775D">
              <w:t> </w:t>
            </w:r>
            <w:r w:rsidRPr="006D775D">
              <w:t>32508, 32511, 32520, 32522, 32523 or 32526—for a maximum of 2 services provided</w:t>
            </w:r>
            <w:r w:rsidR="00E72897" w:rsidRPr="006D775D">
              <w:t xml:space="preserve"> to the same patient on the same occasion</w:t>
            </w:r>
            <w:r w:rsidRPr="006D775D">
              <w:t xml:space="preserve"> (H) (Anaes.) (Assist.)</w:t>
            </w:r>
          </w:p>
        </w:tc>
      </w:tr>
    </w:tbl>
    <w:p w:rsidR="00B50804" w:rsidRPr="006D775D" w:rsidRDefault="00B25E9D" w:rsidP="004C5D81">
      <w:pPr>
        <w:pStyle w:val="ItemHead"/>
      </w:pPr>
      <w:r w:rsidRPr="006D775D">
        <w:t>32</w:t>
      </w:r>
      <w:r w:rsidR="00B50804" w:rsidRPr="006D775D">
        <w:t xml:space="preserve">  Schedule</w:t>
      </w:r>
      <w:r w:rsidR="006D775D" w:rsidRPr="006D775D">
        <w:t> </w:t>
      </w:r>
      <w:r w:rsidR="00B50804" w:rsidRPr="006D775D">
        <w:t>1 (item</w:t>
      </w:r>
      <w:r w:rsidR="006D775D" w:rsidRPr="006D775D">
        <w:t> </w:t>
      </w:r>
      <w:r w:rsidR="00B50804" w:rsidRPr="006D775D">
        <w:t>4500</w:t>
      </w:r>
      <w:r w:rsidR="001E6995" w:rsidRPr="006D775D">
        <w:t>0</w:t>
      </w:r>
      <w:r w:rsidR="001F3EEB" w:rsidRPr="006D775D">
        <w:t>, column headed “Description”</w:t>
      </w:r>
      <w:r w:rsidR="00B50804" w:rsidRPr="006D775D">
        <w:t>)</w:t>
      </w:r>
    </w:p>
    <w:p w:rsidR="00B50804" w:rsidRPr="006D775D" w:rsidRDefault="001F3EEB" w:rsidP="00B50804">
      <w:pPr>
        <w:pStyle w:val="Item"/>
      </w:pPr>
      <w:r w:rsidRPr="006D775D">
        <w:t>After “genitals”</w:t>
      </w:r>
      <w:r w:rsidR="00691251" w:rsidRPr="006D775D">
        <w:t>,</w:t>
      </w:r>
      <w:r w:rsidRPr="006D775D">
        <w:t xml:space="preserve"> insert </w:t>
      </w:r>
      <w:r w:rsidR="00DA3FF2" w:rsidRPr="006D775D">
        <w:t xml:space="preserve">“—not in association with </w:t>
      </w:r>
      <w:r w:rsidR="008077FD" w:rsidRPr="006D775D">
        <w:t xml:space="preserve">any of </w:t>
      </w:r>
      <w:r w:rsidR="00DA3FF2" w:rsidRPr="006D775D">
        <w:t>items</w:t>
      </w:r>
      <w:r w:rsidR="006D775D" w:rsidRPr="006D775D">
        <w:t> </w:t>
      </w:r>
      <w:r w:rsidR="00DA3FF2" w:rsidRPr="006D775D">
        <w:t>31356 to 31376”.</w:t>
      </w:r>
    </w:p>
    <w:p w:rsidR="001F3EEB" w:rsidRPr="006D775D" w:rsidRDefault="00B25E9D" w:rsidP="001F3EEB">
      <w:pPr>
        <w:pStyle w:val="ItemHead"/>
      </w:pPr>
      <w:r w:rsidRPr="006D775D">
        <w:t>33</w:t>
      </w:r>
      <w:r w:rsidR="001F3EEB" w:rsidRPr="006D775D">
        <w:t xml:space="preserve">  Schedule</w:t>
      </w:r>
      <w:r w:rsidR="006D775D" w:rsidRPr="006D775D">
        <w:t> </w:t>
      </w:r>
      <w:r w:rsidR="001F3EEB" w:rsidRPr="006D775D">
        <w:t>1 (item</w:t>
      </w:r>
      <w:r w:rsidR="006D775D" w:rsidRPr="006D775D">
        <w:t> </w:t>
      </w:r>
      <w:r w:rsidR="001F3EEB" w:rsidRPr="006D775D">
        <w:t>45003</w:t>
      </w:r>
      <w:r w:rsidR="00DA3FF2" w:rsidRPr="006D775D">
        <w:t>, column headed “Description”</w:t>
      </w:r>
      <w:r w:rsidR="001F3EEB" w:rsidRPr="006D775D">
        <w:t>)</w:t>
      </w:r>
    </w:p>
    <w:p w:rsidR="001F3EEB" w:rsidRPr="006D775D" w:rsidRDefault="00DA3FF2" w:rsidP="00DA3FF2">
      <w:pPr>
        <w:pStyle w:val="Item"/>
      </w:pPr>
      <w:r w:rsidRPr="006D775D">
        <w:t>After “small”</w:t>
      </w:r>
      <w:r w:rsidR="00691251" w:rsidRPr="006D775D">
        <w:t>,</w:t>
      </w:r>
      <w:r w:rsidRPr="006D775D">
        <w:t xml:space="preserve"> insert “—not in association with </w:t>
      </w:r>
      <w:r w:rsidR="008077FD" w:rsidRPr="006D775D">
        <w:t xml:space="preserve">any of </w:t>
      </w:r>
      <w:r w:rsidRPr="006D775D">
        <w:t>items</w:t>
      </w:r>
      <w:r w:rsidR="006D775D" w:rsidRPr="006D775D">
        <w:t> </w:t>
      </w:r>
      <w:r w:rsidRPr="006D775D">
        <w:t>31356 to 31376”.</w:t>
      </w:r>
    </w:p>
    <w:p w:rsidR="004C5D81" w:rsidRPr="006D775D" w:rsidRDefault="00B25E9D" w:rsidP="004C5D81">
      <w:pPr>
        <w:pStyle w:val="ItemHead"/>
      </w:pPr>
      <w:r w:rsidRPr="006D775D">
        <w:t>34</w:t>
      </w:r>
      <w:r w:rsidR="004C5D81" w:rsidRPr="006D775D">
        <w:t xml:space="preserve">  Schedule</w:t>
      </w:r>
      <w:r w:rsidR="006D775D" w:rsidRPr="006D775D">
        <w:t> </w:t>
      </w:r>
      <w:r w:rsidR="004C5D81" w:rsidRPr="006D775D">
        <w:t>1 (cell at item</w:t>
      </w:r>
      <w:r w:rsidR="006D775D" w:rsidRPr="006D775D">
        <w:t> </w:t>
      </w:r>
      <w:r w:rsidR="004C5D81" w:rsidRPr="006D775D">
        <w:t>45018, column headed “Description”)</w:t>
      </w:r>
    </w:p>
    <w:p w:rsidR="004C5D81" w:rsidRPr="006D775D" w:rsidRDefault="004C5D81" w:rsidP="004C5D81">
      <w:pPr>
        <w:pStyle w:val="Item"/>
      </w:pPr>
      <w:r w:rsidRPr="006D775D">
        <w:t>Repeal the cell, substitute:</w:t>
      </w:r>
    </w:p>
    <w:p w:rsidR="004C5D81" w:rsidRPr="006D775D" w:rsidRDefault="004C5D81" w:rsidP="004C5D81">
      <w:pPr>
        <w:pStyle w:val="Tabletext"/>
      </w:pPr>
    </w:p>
    <w:tbl>
      <w:tblPr>
        <w:tblW w:w="6237" w:type="dxa"/>
        <w:tblInd w:w="816" w:type="dxa"/>
        <w:tblLayout w:type="fixed"/>
        <w:tblCellMar>
          <w:left w:w="107" w:type="dxa"/>
          <w:right w:w="107" w:type="dxa"/>
        </w:tblCellMar>
        <w:tblLook w:val="04A0" w:firstRow="1" w:lastRow="0" w:firstColumn="1" w:lastColumn="0" w:noHBand="0" w:noVBand="1"/>
      </w:tblPr>
      <w:tblGrid>
        <w:gridCol w:w="6237"/>
      </w:tblGrid>
      <w:tr w:rsidR="004C5D81" w:rsidRPr="006D775D" w:rsidTr="004C5D81">
        <w:tc>
          <w:tcPr>
            <w:tcW w:w="6237" w:type="dxa"/>
            <w:shd w:val="clear" w:color="auto" w:fill="auto"/>
          </w:tcPr>
          <w:p w:rsidR="004C5D81" w:rsidRPr="006D775D" w:rsidRDefault="004C5D81" w:rsidP="001F7486">
            <w:pPr>
              <w:pStyle w:val="Tabletext"/>
            </w:pPr>
            <w:r w:rsidRPr="006D775D">
              <w:rPr>
                <w:snapToGrid w:val="0"/>
              </w:rPr>
              <w:t xml:space="preserve">Dermis, dermofat or fascia graft (excluding transfer of fat by injection), </w:t>
            </w:r>
            <w:r w:rsidR="001F7486" w:rsidRPr="006D775D">
              <w:rPr>
                <w:snapToGrid w:val="0"/>
              </w:rPr>
              <w:t xml:space="preserve">if the service is not associated </w:t>
            </w:r>
            <w:r w:rsidRPr="006D775D">
              <w:rPr>
                <w:snapToGrid w:val="0"/>
              </w:rPr>
              <w:t xml:space="preserve">with neurosurgical services for spinal disorders </w:t>
            </w:r>
            <w:r w:rsidR="005F55CC" w:rsidRPr="006D775D">
              <w:rPr>
                <w:snapToGrid w:val="0"/>
              </w:rPr>
              <w:t xml:space="preserve">mentioned in </w:t>
            </w:r>
            <w:r w:rsidR="001E6995" w:rsidRPr="006D775D">
              <w:rPr>
                <w:snapToGrid w:val="0"/>
              </w:rPr>
              <w:t xml:space="preserve">any of </w:t>
            </w:r>
            <w:r w:rsidRPr="006D775D">
              <w:rPr>
                <w:snapToGrid w:val="0"/>
              </w:rPr>
              <w:t>items</w:t>
            </w:r>
            <w:r w:rsidR="006D775D" w:rsidRPr="006D775D">
              <w:rPr>
                <w:snapToGrid w:val="0"/>
              </w:rPr>
              <w:t> </w:t>
            </w:r>
            <w:r w:rsidRPr="006D775D">
              <w:rPr>
                <w:snapToGrid w:val="0"/>
              </w:rPr>
              <w:t>40300 to 40351 (Anaes.) (Assist.)</w:t>
            </w:r>
          </w:p>
        </w:tc>
      </w:tr>
    </w:tbl>
    <w:p w:rsidR="00DA3FF2" w:rsidRPr="006D775D" w:rsidRDefault="00B25E9D" w:rsidP="00DA3FF2">
      <w:pPr>
        <w:pStyle w:val="ItemHead"/>
      </w:pPr>
      <w:r w:rsidRPr="006D775D">
        <w:t>35</w:t>
      </w:r>
      <w:r w:rsidR="00DA3FF2" w:rsidRPr="006D775D">
        <w:t xml:space="preserve">  Schedule</w:t>
      </w:r>
      <w:r w:rsidR="006D775D" w:rsidRPr="006D775D">
        <w:t> </w:t>
      </w:r>
      <w:r w:rsidR="00DA3FF2" w:rsidRPr="006D775D">
        <w:t>1 (item</w:t>
      </w:r>
      <w:r w:rsidR="006D775D" w:rsidRPr="006D775D">
        <w:t> </w:t>
      </w:r>
      <w:r w:rsidR="00DA3FF2" w:rsidRPr="006D775D">
        <w:t>45200, column headed “Description”)</w:t>
      </w:r>
    </w:p>
    <w:p w:rsidR="00DA3FF2" w:rsidRPr="006D775D" w:rsidRDefault="00DA3FF2" w:rsidP="00DA3FF2">
      <w:pPr>
        <w:pStyle w:val="Item"/>
      </w:pPr>
      <w:r w:rsidRPr="006D775D">
        <w:t>After “</w:t>
      </w:r>
      <w:r w:rsidR="00691251" w:rsidRPr="006D775D">
        <w:t xml:space="preserve">advancement </w:t>
      </w:r>
      <w:r w:rsidRPr="006D775D">
        <w:t xml:space="preserve">flap”, insert “—not in association with </w:t>
      </w:r>
      <w:r w:rsidR="008077FD" w:rsidRPr="006D775D">
        <w:t xml:space="preserve">any of </w:t>
      </w:r>
      <w:r w:rsidRPr="006D775D">
        <w:t>items</w:t>
      </w:r>
      <w:r w:rsidR="006D775D" w:rsidRPr="006D775D">
        <w:t> </w:t>
      </w:r>
      <w:r w:rsidRPr="006D775D">
        <w:t>31356 to 31376”.</w:t>
      </w:r>
    </w:p>
    <w:p w:rsidR="00DA3FF2" w:rsidRPr="006D775D" w:rsidRDefault="00B25E9D" w:rsidP="00DA3FF2">
      <w:pPr>
        <w:pStyle w:val="ItemHead"/>
      </w:pPr>
      <w:r w:rsidRPr="006D775D">
        <w:t>36</w:t>
      </w:r>
      <w:r w:rsidR="00DA3FF2" w:rsidRPr="006D775D">
        <w:t xml:space="preserve">  Schedule</w:t>
      </w:r>
      <w:r w:rsidR="006D775D" w:rsidRPr="006D775D">
        <w:t> </w:t>
      </w:r>
      <w:r w:rsidR="00DA3FF2" w:rsidRPr="006D775D">
        <w:t>1 (after item</w:t>
      </w:r>
      <w:r w:rsidR="006D775D" w:rsidRPr="006D775D">
        <w:t> </w:t>
      </w:r>
      <w:r w:rsidR="00DA3FF2" w:rsidRPr="006D775D">
        <w:t>45200)</w:t>
      </w:r>
    </w:p>
    <w:p w:rsidR="00DA3FF2" w:rsidRPr="006D775D" w:rsidRDefault="00DA3FF2" w:rsidP="00DA3FF2">
      <w:pPr>
        <w:pStyle w:val="Item"/>
      </w:pPr>
      <w:r w:rsidRPr="006D775D">
        <w:t>Insert:</w:t>
      </w:r>
    </w:p>
    <w:p w:rsidR="00DA3FF2" w:rsidRPr="006D775D" w:rsidRDefault="00DA3FF2" w:rsidP="00DA3FF2">
      <w:pPr>
        <w:pStyle w:val="Tabletext"/>
      </w:pPr>
    </w:p>
    <w:tbl>
      <w:tblPr>
        <w:tblW w:w="808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851"/>
        <w:gridCol w:w="6095"/>
        <w:gridCol w:w="1134"/>
      </w:tblGrid>
      <w:tr w:rsidR="00DA3FF2" w:rsidRPr="006D775D" w:rsidTr="00ED2F36">
        <w:tc>
          <w:tcPr>
            <w:tcW w:w="851" w:type="dxa"/>
            <w:tcBorders>
              <w:top w:val="nil"/>
              <w:bottom w:val="single" w:sz="2" w:space="0" w:color="auto"/>
            </w:tcBorders>
            <w:shd w:val="clear" w:color="auto" w:fill="auto"/>
          </w:tcPr>
          <w:p w:rsidR="00DA3FF2" w:rsidRPr="006D775D" w:rsidRDefault="00DA3FF2" w:rsidP="00ED2F36">
            <w:pPr>
              <w:pStyle w:val="Tabletext"/>
              <w:rPr>
                <w:snapToGrid w:val="0"/>
              </w:rPr>
            </w:pPr>
            <w:r w:rsidRPr="006D775D">
              <w:rPr>
                <w:snapToGrid w:val="0"/>
              </w:rPr>
              <w:t>45201</w:t>
            </w:r>
          </w:p>
        </w:tc>
        <w:tc>
          <w:tcPr>
            <w:tcW w:w="6095" w:type="dxa"/>
            <w:tcBorders>
              <w:top w:val="nil"/>
              <w:bottom w:val="single" w:sz="2" w:space="0" w:color="auto"/>
            </w:tcBorders>
            <w:shd w:val="clear" w:color="auto" w:fill="auto"/>
          </w:tcPr>
          <w:p w:rsidR="00DA3FF2" w:rsidRPr="006D775D" w:rsidRDefault="00DA3FF2" w:rsidP="00ED2F36">
            <w:pPr>
              <w:pStyle w:val="Tabletext"/>
            </w:pPr>
            <w:r w:rsidRPr="006D775D">
              <w:t>Muscle, myocutaneous or skin flap, where clinically indicated to repair one surgical excision made in the removal of a malignant or non</w:t>
            </w:r>
            <w:r w:rsidR="006D775D">
              <w:noBreakHyphen/>
            </w:r>
            <w:r w:rsidRPr="006D775D">
              <w:t>malignant skin lesion (only in association with items</w:t>
            </w:r>
            <w:r w:rsidR="006D775D" w:rsidRPr="006D775D">
              <w:t> </w:t>
            </w:r>
            <w:r w:rsidRPr="006D775D">
              <w:t>31000, 31001, 31002, 31358, 31359, 31360, 31363, 31364, 31369, 31370, 31371, 31373 or 31376)—may be claimed only once per defect</w:t>
            </w:r>
            <w:r w:rsidR="00F05F56" w:rsidRPr="006D775D">
              <w:t xml:space="preserve"> (Anaes.)</w:t>
            </w:r>
          </w:p>
        </w:tc>
        <w:tc>
          <w:tcPr>
            <w:tcW w:w="1134" w:type="dxa"/>
            <w:tcBorders>
              <w:top w:val="nil"/>
              <w:bottom w:val="single" w:sz="2" w:space="0" w:color="auto"/>
            </w:tcBorders>
            <w:shd w:val="clear" w:color="auto" w:fill="auto"/>
          </w:tcPr>
          <w:p w:rsidR="00DA3FF2" w:rsidRPr="006D775D" w:rsidRDefault="00DA3FF2" w:rsidP="00ED2F36">
            <w:pPr>
              <w:pStyle w:val="Tabletext"/>
              <w:jc w:val="right"/>
            </w:pPr>
            <w:r w:rsidRPr="006D775D">
              <w:t>413.95</w:t>
            </w:r>
          </w:p>
        </w:tc>
      </w:tr>
      <w:tr w:rsidR="00DA3FF2" w:rsidRPr="006D775D" w:rsidTr="00ED2F36">
        <w:tc>
          <w:tcPr>
            <w:tcW w:w="851" w:type="dxa"/>
            <w:tcBorders>
              <w:top w:val="single" w:sz="2" w:space="0" w:color="auto"/>
              <w:bottom w:val="nil"/>
            </w:tcBorders>
            <w:shd w:val="clear" w:color="auto" w:fill="auto"/>
          </w:tcPr>
          <w:p w:rsidR="00DA3FF2" w:rsidRPr="006D775D" w:rsidRDefault="00DA3FF2" w:rsidP="00ED2F36">
            <w:pPr>
              <w:pStyle w:val="Tabletext"/>
              <w:rPr>
                <w:snapToGrid w:val="0"/>
              </w:rPr>
            </w:pPr>
            <w:r w:rsidRPr="006D775D">
              <w:rPr>
                <w:snapToGrid w:val="0"/>
              </w:rPr>
              <w:t>45202</w:t>
            </w:r>
          </w:p>
        </w:tc>
        <w:tc>
          <w:tcPr>
            <w:tcW w:w="6095" w:type="dxa"/>
            <w:tcBorders>
              <w:top w:val="single" w:sz="2" w:space="0" w:color="auto"/>
              <w:bottom w:val="nil"/>
            </w:tcBorders>
            <w:shd w:val="clear" w:color="auto" w:fill="auto"/>
          </w:tcPr>
          <w:p w:rsidR="00DA3FF2" w:rsidRPr="006D775D" w:rsidRDefault="00DA3FF2" w:rsidP="00ED2F36">
            <w:pPr>
              <w:pStyle w:val="Tabletext"/>
            </w:pPr>
            <w:r w:rsidRPr="006D775D">
              <w:t xml:space="preserve">Muscle, myocutaneous or skin flap, where clinically indicated to repair </w:t>
            </w:r>
            <w:r w:rsidR="008077FD" w:rsidRPr="006D775D">
              <w:t>one</w:t>
            </w:r>
            <w:r w:rsidRPr="006D775D">
              <w:t xml:space="preserve"> surgical excision made in the removal of a malignant or non</w:t>
            </w:r>
            <w:r w:rsidR="006D775D">
              <w:noBreakHyphen/>
            </w:r>
            <w:r w:rsidRPr="006D775D">
              <w:t>malignant skin lesion in a patient, if</w:t>
            </w:r>
            <w:r w:rsidR="00E320E4" w:rsidRPr="006D775D">
              <w:t xml:space="preserve"> the clinical relevance of the procedure is clearly annotated in the patient’s record and </w:t>
            </w:r>
            <w:r w:rsidR="00D300B9" w:rsidRPr="006D775D">
              <w:t>either</w:t>
            </w:r>
            <w:r w:rsidRPr="006D775D">
              <w:t>:</w:t>
            </w:r>
          </w:p>
          <w:p w:rsidR="00E320E4" w:rsidRPr="006D775D" w:rsidRDefault="00DA3FF2" w:rsidP="00EF3467">
            <w:pPr>
              <w:pStyle w:val="Tablea"/>
            </w:pPr>
            <w:r w:rsidRPr="006D775D">
              <w:t>(a)</w:t>
            </w:r>
            <w:r w:rsidR="00E320E4" w:rsidRPr="006D775D">
              <w:t xml:space="preserve"> item</w:t>
            </w:r>
            <w:r w:rsidR="006D775D" w:rsidRPr="006D775D">
              <w:t> </w:t>
            </w:r>
            <w:r w:rsidR="00E320E4" w:rsidRPr="006D775D">
              <w:t>45201 appl</w:t>
            </w:r>
            <w:r w:rsidR="00F0221F" w:rsidRPr="006D775D">
              <w:t>ies</w:t>
            </w:r>
            <w:r w:rsidR="00E320E4" w:rsidRPr="006D775D">
              <w:t xml:space="preserve"> and additional flap repair is required for the same defect; or</w:t>
            </w:r>
          </w:p>
          <w:p w:rsidR="00DA3FF2" w:rsidRPr="006D775D" w:rsidRDefault="00DA3FF2" w:rsidP="00ED2F36">
            <w:pPr>
              <w:pStyle w:val="Tablea"/>
            </w:pPr>
            <w:r w:rsidRPr="006D775D">
              <w:t>(b)</w:t>
            </w:r>
            <w:r w:rsidR="00E320E4" w:rsidRPr="006D775D">
              <w:t xml:space="preserve"> item</w:t>
            </w:r>
            <w:r w:rsidR="006D775D" w:rsidRPr="006D775D">
              <w:t> </w:t>
            </w:r>
            <w:r w:rsidR="00E320E4" w:rsidRPr="006D775D">
              <w:t>45201 does not apply and</w:t>
            </w:r>
            <w:r w:rsidR="000A4ADC" w:rsidRPr="006D775D">
              <w:t xml:space="preserve"> either</w:t>
            </w:r>
            <w:r w:rsidRPr="006D775D">
              <w:t>:</w:t>
            </w:r>
          </w:p>
          <w:p w:rsidR="00DA3FF2" w:rsidRPr="006D775D" w:rsidRDefault="00DA3FF2" w:rsidP="00ED2F36">
            <w:pPr>
              <w:pStyle w:val="Tablei"/>
            </w:pPr>
            <w:r w:rsidRPr="006D775D">
              <w:t>(i) the patient has severe pre</w:t>
            </w:r>
            <w:r w:rsidR="006D775D">
              <w:noBreakHyphen/>
            </w:r>
            <w:r w:rsidRPr="006D775D">
              <w:t>existing scarring, severe skin atrophy or sclerodermoid changes; or</w:t>
            </w:r>
          </w:p>
          <w:p w:rsidR="00DA3FF2" w:rsidRPr="006D775D" w:rsidRDefault="00DA3FF2" w:rsidP="00ED2F36">
            <w:pPr>
              <w:pStyle w:val="Tablei"/>
            </w:pPr>
            <w:r w:rsidRPr="006D775D">
              <w:t>(ii) the repair is contiguous with a free margin</w:t>
            </w:r>
          </w:p>
          <w:p w:rsidR="00DA3FF2" w:rsidRPr="006D775D" w:rsidRDefault="00DA3FF2" w:rsidP="00ED2F36">
            <w:pPr>
              <w:pStyle w:val="Tabletext"/>
            </w:pPr>
            <w:r w:rsidRPr="006D775D">
              <w:t>(Anaes.)</w:t>
            </w:r>
          </w:p>
        </w:tc>
        <w:tc>
          <w:tcPr>
            <w:tcW w:w="1134" w:type="dxa"/>
            <w:tcBorders>
              <w:top w:val="single" w:sz="2" w:space="0" w:color="auto"/>
              <w:bottom w:val="nil"/>
            </w:tcBorders>
            <w:shd w:val="clear" w:color="auto" w:fill="auto"/>
          </w:tcPr>
          <w:p w:rsidR="00DA3FF2" w:rsidRPr="006D775D" w:rsidRDefault="00DA3FF2" w:rsidP="00ED2F36">
            <w:pPr>
              <w:pStyle w:val="Tabletext"/>
              <w:jc w:val="right"/>
            </w:pPr>
            <w:r w:rsidRPr="006D775D">
              <w:t>413.95</w:t>
            </w:r>
          </w:p>
          <w:p w:rsidR="00DA3FF2" w:rsidRPr="006D775D" w:rsidRDefault="00DA3FF2" w:rsidP="00ED2F36">
            <w:pPr>
              <w:pStyle w:val="Tabletext"/>
              <w:jc w:val="right"/>
            </w:pPr>
          </w:p>
        </w:tc>
      </w:tr>
    </w:tbl>
    <w:p w:rsidR="00DA3FF2" w:rsidRPr="006D775D" w:rsidRDefault="00B25E9D" w:rsidP="00DA3FF2">
      <w:pPr>
        <w:pStyle w:val="ItemHead"/>
      </w:pPr>
      <w:r w:rsidRPr="006D775D">
        <w:t>37</w:t>
      </w:r>
      <w:r w:rsidR="00DA3FF2" w:rsidRPr="006D775D">
        <w:t xml:space="preserve">  Schedule</w:t>
      </w:r>
      <w:r w:rsidR="006D775D" w:rsidRPr="006D775D">
        <w:t> </w:t>
      </w:r>
      <w:r w:rsidR="00DA3FF2" w:rsidRPr="006D775D">
        <w:t>1 (items</w:t>
      </w:r>
      <w:r w:rsidR="006D775D" w:rsidRPr="006D775D">
        <w:t> </w:t>
      </w:r>
      <w:r w:rsidR="00DA3FF2" w:rsidRPr="006D775D">
        <w:t>45203 and 45206, column headed “Description”)</w:t>
      </w:r>
    </w:p>
    <w:p w:rsidR="00DA3FF2" w:rsidRPr="006D775D" w:rsidRDefault="00DA3FF2" w:rsidP="00DA3FF2">
      <w:pPr>
        <w:pStyle w:val="Item"/>
      </w:pPr>
      <w:r w:rsidRPr="006D775D">
        <w:t>After “</w:t>
      </w:r>
      <w:r w:rsidR="00691251" w:rsidRPr="006D775D">
        <w:t xml:space="preserve">advancement </w:t>
      </w:r>
      <w:r w:rsidRPr="006D775D">
        <w:t xml:space="preserve">flap”, insert “—not in association with </w:t>
      </w:r>
      <w:r w:rsidR="00466F72" w:rsidRPr="006D775D">
        <w:t xml:space="preserve">any of </w:t>
      </w:r>
      <w:r w:rsidRPr="006D775D">
        <w:t>items</w:t>
      </w:r>
      <w:r w:rsidR="006D775D" w:rsidRPr="006D775D">
        <w:t> </w:t>
      </w:r>
      <w:r w:rsidRPr="006D775D">
        <w:t>31356 to 31376”.</w:t>
      </w:r>
    </w:p>
    <w:p w:rsidR="00DA3FF2" w:rsidRPr="006D775D" w:rsidRDefault="00B25E9D" w:rsidP="00DA3FF2">
      <w:pPr>
        <w:pStyle w:val="ItemHead"/>
      </w:pPr>
      <w:r w:rsidRPr="006D775D">
        <w:t>38</w:t>
      </w:r>
      <w:r w:rsidR="00DA3FF2" w:rsidRPr="006D775D">
        <w:t xml:space="preserve">  Schedule</w:t>
      </w:r>
      <w:r w:rsidR="006D775D" w:rsidRPr="006D775D">
        <w:t> </w:t>
      </w:r>
      <w:r w:rsidR="00DA3FF2" w:rsidRPr="006D775D">
        <w:t>1 (item</w:t>
      </w:r>
      <w:r w:rsidR="006D775D" w:rsidRPr="006D775D">
        <w:t> </w:t>
      </w:r>
      <w:r w:rsidR="00DA3FF2" w:rsidRPr="006D775D">
        <w:t>45207, column headed “Description”)</w:t>
      </w:r>
    </w:p>
    <w:p w:rsidR="00DA3FF2" w:rsidRPr="006D775D" w:rsidRDefault="00DA3FF2" w:rsidP="00DA3FF2">
      <w:pPr>
        <w:pStyle w:val="Item"/>
      </w:pPr>
      <w:r w:rsidRPr="006D775D">
        <w:t xml:space="preserve">After “forehead”, insert “—not in association with </w:t>
      </w:r>
      <w:r w:rsidR="00466F72" w:rsidRPr="006D775D">
        <w:t xml:space="preserve">any of </w:t>
      </w:r>
      <w:r w:rsidRPr="006D775D">
        <w:t>items</w:t>
      </w:r>
      <w:r w:rsidR="006D775D" w:rsidRPr="006D775D">
        <w:t> </w:t>
      </w:r>
      <w:r w:rsidRPr="006D775D">
        <w:t>31356 to 31376”.</w:t>
      </w:r>
    </w:p>
    <w:p w:rsidR="00413B0D" w:rsidRPr="006D775D" w:rsidRDefault="00B25E9D" w:rsidP="004C5D81">
      <w:pPr>
        <w:pStyle w:val="ItemHead"/>
      </w:pPr>
      <w:r w:rsidRPr="006D775D">
        <w:t>39</w:t>
      </w:r>
      <w:r w:rsidR="004C5D81" w:rsidRPr="006D775D">
        <w:t xml:space="preserve">  Schedule</w:t>
      </w:r>
      <w:r w:rsidR="006D775D" w:rsidRPr="006D775D">
        <w:t> </w:t>
      </w:r>
      <w:r w:rsidR="004C5D81" w:rsidRPr="006D775D">
        <w:t>1 (cell at item</w:t>
      </w:r>
      <w:r w:rsidR="006D775D" w:rsidRPr="006D775D">
        <w:t> </w:t>
      </w:r>
      <w:r w:rsidR="004C5D81" w:rsidRPr="006D775D">
        <w:t>48424, column headed “Description”)</w:t>
      </w:r>
    </w:p>
    <w:p w:rsidR="004C5D81" w:rsidRPr="006D775D" w:rsidRDefault="004C5D81" w:rsidP="004C5D81">
      <w:pPr>
        <w:pStyle w:val="Item"/>
      </w:pPr>
      <w:r w:rsidRPr="006D775D">
        <w:t>Repeal the cell, substitute:</w:t>
      </w:r>
    </w:p>
    <w:p w:rsidR="004C5D81" w:rsidRPr="006D775D" w:rsidRDefault="004C5D81" w:rsidP="004C5D81">
      <w:pPr>
        <w:pStyle w:val="Tabletext"/>
      </w:pPr>
    </w:p>
    <w:tbl>
      <w:tblPr>
        <w:tblW w:w="6237" w:type="dxa"/>
        <w:tblInd w:w="816" w:type="dxa"/>
        <w:tblLayout w:type="fixed"/>
        <w:tblCellMar>
          <w:left w:w="107" w:type="dxa"/>
          <w:right w:w="107" w:type="dxa"/>
        </w:tblCellMar>
        <w:tblLook w:val="04A0" w:firstRow="1" w:lastRow="0" w:firstColumn="1" w:lastColumn="0" w:noHBand="0" w:noVBand="1"/>
      </w:tblPr>
      <w:tblGrid>
        <w:gridCol w:w="6237"/>
      </w:tblGrid>
      <w:tr w:rsidR="004C5D81" w:rsidRPr="006D775D" w:rsidTr="00691251">
        <w:tc>
          <w:tcPr>
            <w:tcW w:w="6237" w:type="dxa"/>
            <w:shd w:val="clear" w:color="auto" w:fill="auto"/>
          </w:tcPr>
          <w:p w:rsidR="000C0BF8" w:rsidRPr="006D775D" w:rsidRDefault="004C5D81" w:rsidP="000C0BF8">
            <w:pPr>
              <w:pStyle w:val="Tabletext"/>
            </w:pPr>
            <w:r w:rsidRPr="006D775D">
              <w:t>Femur or pelvis, osteotomy or osteectomy of, other than a service</w:t>
            </w:r>
            <w:r w:rsidR="000C0BF8" w:rsidRPr="006D775D">
              <w:t>:</w:t>
            </w:r>
          </w:p>
          <w:p w:rsidR="000C0BF8" w:rsidRPr="006D775D" w:rsidRDefault="000C0BF8" w:rsidP="000C0BF8">
            <w:pPr>
              <w:pStyle w:val="Tablea"/>
            </w:pPr>
            <w:r w:rsidRPr="006D775D">
              <w:t xml:space="preserve">(a) associated with surgery for femoroacetabular </w:t>
            </w:r>
            <w:r w:rsidR="00874FEF" w:rsidRPr="006D775D">
              <w:t>impingement</w:t>
            </w:r>
            <w:r w:rsidRPr="006D775D">
              <w:t>; or</w:t>
            </w:r>
          </w:p>
          <w:p w:rsidR="000C0BF8" w:rsidRPr="006D775D" w:rsidRDefault="000C0BF8" w:rsidP="000C0BF8">
            <w:pPr>
              <w:pStyle w:val="Tablea"/>
            </w:pPr>
            <w:r w:rsidRPr="006D775D">
              <w:t>(b) to which item</w:t>
            </w:r>
            <w:r w:rsidR="006D775D" w:rsidRPr="006D775D">
              <w:t> </w:t>
            </w:r>
            <w:r w:rsidRPr="006D775D">
              <w:t>47933 or 47936 applies</w:t>
            </w:r>
          </w:p>
          <w:p w:rsidR="004C5D81" w:rsidRPr="006D775D" w:rsidRDefault="004C5D81" w:rsidP="000C0BF8">
            <w:pPr>
              <w:pStyle w:val="Tabletext"/>
            </w:pPr>
            <w:r w:rsidRPr="006D775D">
              <w:t>(H) (Anaes.) (Assist.)</w:t>
            </w:r>
          </w:p>
        </w:tc>
      </w:tr>
    </w:tbl>
    <w:p w:rsidR="004C5D81" w:rsidRPr="006D775D" w:rsidRDefault="00B25E9D" w:rsidP="004C5D81">
      <w:pPr>
        <w:pStyle w:val="ItemHead"/>
      </w:pPr>
      <w:r w:rsidRPr="006D775D">
        <w:t>40</w:t>
      </w:r>
      <w:r w:rsidR="004C5D81" w:rsidRPr="006D775D">
        <w:t xml:space="preserve">  Schedule</w:t>
      </w:r>
      <w:r w:rsidR="006D775D" w:rsidRPr="006D775D">
        <w:t> </w:t>
      </w:r>
      <w:r w:rsidR="004C5D81" w:rsidRPr="006D775D">
        <w:t>1 (cell at item</w:t>
      </w:r>
      <w:r w:rsidR="006D775D" w:rsidRPr="006D775D">
        <w:t> </w:t>
      </w:r>
      <w:r w:rsidR="004C5D81" w:rsidRPr="006D775D">
        <w:t>49303, column headed “Description”)</w:t>
      </w:r>
    </w:p>
    <w:p w:rsidR="004C5D81" w:rsidRPr="006D775D" w:rsidRDefault="004C5D81" w:rsidP="004C5D81">
      <w:pPr>
        <w:pStyle w:val="Item"/>
      </w:pPr>
      <w:r w:rsidRPr="006D775D">
        <w:t>Repeal the cell, substitute:</w:t>
      </w:r>
    </w:p>
    <w:p w:rsidR="004C5D81" w:rsidRPr="006D775D" w:rsidRDefault="004C5D81" w:rsidP="004C5D81">
      <w:pPr>
        <w:pStyle w:val="Tabletext"/>
      </w:pPr>
    </w:p>
    <w:tbl>
      <w:tblPr>
        <w:tblW w:w="6237" w:type="dxa"/>
        <w:tblInd w:w="816" w:type="dxa"/>
        <w:tblLayout w:type="fixed"/>
        <w:tblCellMar>
          <w:left w:w="107" w:type="dxa"/>
          <w:right w:w="107" w:type="dxa"/>
        </w:tblCellMar>
        <w:tblLook w:val="04A0" w:firstRow="1" w:lastRow="0" w:firstColumn="1" w:lastColumn="0" w:noHBand="0" w:noVBand="1"/>
      </w:tblPr>
      <w:tblGrid>
        <w:gridCol w:w="6237"/>
      </w:tblGrid>
      <w:tr w:rsidR="004C5D81" w:rsidRPr="006D775D" w:rsidTr="00F340C2">
        <w:tc>
          <w:tcPr>
            <w:tcW w:w="6237" w:type="dxa"/>
            <w:shd w:val="clear" w:color="auto" w:fill="auto"/>
          </w:tcPr>
          <w:p w:rsidR="004C5D81" w:rsidRPr="006D775D" w:rsidRDefault="004C5D81" w:rsidP="004C5D81">
            <w:pPr>
              <w:pStyle w:val="Tabletext"/>
            </w:pPr>
            <w:r w:rsidRPr="006D775D">
              <w:t>Hip, arthrotomy of, including lavage, drainage or biopsy when performed, other than a service associated with surgery for femoroacetabular impingement (H) (Anaes.) (Assist.)</w:t>
            </w:r>
          </w:p>
        </w:tc>
      </w:tr>
    </w:tbl>
    <w:p w:rsidR="004C5D81" w:rsidRPr="006D775D" w:rsidRDefault="00B25E9D" w:rsidP="004C5D81">
      <w:pPr>
        <w:pStyle w:val="ItemHead"/>
      </w:pPr>
      <w:r w:rsidRPr="006D775D">
        <w:t>41</w:t>
      </w:r>
      <w:r w:rsidR="004C5D81" w:rsidRPr="006D775D">
        <w:t xml:space="preserve">  Schedule</w:t>
      </w:r>
      <w:r w:rsidR="006D775D" w:rsidRPr="006D775D">
        <w:t> </w:t>
      </w:r>
      <w:r w:rsidR="004C5D81" w:rsidRPr="006D775D">
        <w:t>1 (cell at item</w:t>
      </w:r>
      <w:r w:rsidR="006D775D" w:rsidRPr="006D775D">
        <w:t> </w:t>
      </w:r>
      <w:r w:rsidR="004C5D81" w:rsidRPr="006D775D">
        <w:t>49366, column headed “Description”)</w:t>
      </w:r>
    </w:p>
    <w:p w:rsidR="004C5D81" w:rsidRPr="006D775D" w:rsidRDefault="004C5D81" w:rsidP="004C5D81">
      <w:pPr>
        <w:pStyle w:val="Item"/>
      </w:pPr>
      <w:r w:rsidRPr="006D775D">
        <w:t>Repeal the cell, substitute:</w:t>
      </w:r>
    </w:p>
    <w:p w:rsidR="004C5D81" w:rsidRPr="006D775D" w:rsidRDefault="004C5D81" w:rsidP="004C5D81">
      <w:pPr>
        <w:pStyle w:val="Tabletext"/>
      </w:pPr>
    </w:p>
    <w:tbl>
      <w:tblPr>
        <w:tblW w:w="6237" w:type="dxa"/>
        <w:tblInd w:w="816" w:type="dxa"/>
        <w:tblLayout w:type="fixed"/>
        <w:tblCellMar>
          <w:left w:w="107" w:type="dxa"/>
          <w:right w:w="107" w:type="dxa"/>
        </w:tblCellMar>
        <w:tblLook w:val="04A0" w:firstRow="1" w:lastRow="0" w:firstColumn="1" w:lastColumn="0" w:noHBand="0" w:noVBand="1"/>
      </w:tblPr>
      <w:tblGrid>
        <w:gridCol w:w="6237"/>
      </w:tblGrid>
      <w:tr w:rsidR="004C5D81" w:rsidRPr="006D775D" w:rsidTr="00F340C2">
        <w:tc>
          <w:tcPr>
            <w:tcW w:w="6237" w:type="dxa"/>
            <w:shd w:val="clear" w:color="auto" w:fill="auto"/>
          </w:tcPr>
          <w:p w:rsidR="000C0BF8" w:rsidRPr="006D775D" w:rsidRDefault="004C5D81" w:rsidP="004C5D81">
            <w:pPr>
              <w:pStyle w:val="Tabletext"/>
            </w:pPr>
            <w:r w:rsidRPr="006D775D">
              <w:t>Hip, arthroscopic surgery of, other than a service</w:t>
            </w:r>
            <w:r w:rsidR="000C0BF8" w:rsidRPr="006D775D">
              <w:t xml:space="preserve"> associated with:</w:t>
            </w:r>
          </w:p>
          <w:p w:rsidR="000C0BF8" w:rsidRPr="006D775D" w:rsidRDefault="000C0BF8" w:rsidP="000C0BF8">
            <w:pPr>
              <w:pStyle w:val="Tablea"/>
            </w:pPr>
            <w:r w:rsidRPr="006D775D">
              <w:t>(a) another arthroscopic procedure of the hip; or</w:t>
            </w:r>
          </w:p>
          <w:p w:rsidR="000C0BF8" w:rsidRPr="006D775D" w:rsidRDefault="000C0BF8" w:rsidP="000C0BF8">
            <w:pPr>
              <w:pStyle w:val="Tablea"/>
            </w:pPr>
            <w:r w:rsidRPr="006D775D">
              <w:t>(b) surgery for femoroacetabular impingement</w:t>
            </w:r>
          </w:p>
          <w:p w:rsidR="004C5D81" w:rsidRPr="006D775D" w:rsidRDefault="004C5D81" w:rsidP="000C0BF8">
            <w:pPr>
              <w:pStyle w:val="Tabletext"/>
            </w:pPr>
            <w:r w:rsidRPr="006D775D">
              <w:t>(H) (Anaes.) (Assist.)</w:t>
            </w:r>
          </w:p>
        </w:tc>
      </w:tr>
    </w:tbl>
    <w:p w:rsidR="00F05F56" w:rsidRPr="006D775D" w:rsidRDefault="00B25E9D" w:rsidP="00F05F56">
      <w:pPr>
        <w:pStyle w:val="ItemHead"/>
      </w:pPr>
      <w:r w:rsidRPr="006D775D">
        <w:t>42</w:t>
      </w:r>
      <w:r w:rsidR="00F05F56" w:rsidRPr="006D775D">
        <w:t xml:space="preserve">  Part</w:t>
      </w:r>
      <w:r w:rsidR="006D775D" w:rsidRPr="006D775D">
        <w:t> </w:t>
      </w:r>
      <w:r w:rsidR="00F05F56" w:rsidRPr="006D775D">
        <w:t>3 of Schedule</w:t>
      </w:r>
      <w:r w:rsidR="006D775D" w:rsidRPr="006D775D">
        <w:t> </w:t>
      </w:r>
      <w:r w:rsidR="00F05F56" w:rsidRPr="006D775D">
        <w:t xml:space="preserve">1 (at the end of the definition of </w:t>
      </w:r>
      <w:r w:rsidR="00F05F56" w:rsidRPr="006D775D">
        <w:rPr>
          <w:i/>
        </w:rPr>
        <w:t>organise and coordinate</w:t>
      </w:r>
      <w:r w:rsidR="00F05F56" w:rsidRPr="006D775D">
        <w:t>)</w:t>
      </w:r>
    </w:p>
    <w:p w:rsidR="00F05F56" w:rsidRPr="006D775D" w:rsidRDefault="00F05F56" w:rsidP="00F05F56">
      <w:pPr>
        <w:pStyle w:val="Item"/>
      </w:pPr>
      <w:r w:rsidRPr="006D775D">
        <w:t>Add:</w:t>
      </w:r>
    </w:p>
    <w:p w:rsidR="00F05F56" w:rsidRPr="006D775D" w:rsidRDefault="00F05F56" w:rsidP="00F05F56">
      <w:pPr>
        <w:pStyle w:val="paragraph"/>
      </w:pPr>
      <w:r w:rsidRPr="006D775D">
        <w:tab/>
        <w:t>; and (c)</w:t>
      </w:r>
      <w:r w:rsidRPr="006D775D">
        <w:tab/>
        <w:t>for items</w:t>
      </w:r>
      <w:r w:rsidR="006D775D" w:rsidRPr="006D775D">
        <w:t> </w:t>
      </w:r>
      <w:r w:rsidR="008D37A1" w:rsidRPr="006D775D">
        <w:t>6029 to 6042</w:t>
      </w:r>
      <w:r w:rsidR="00EF3467" w:rsidRPr="006D775D">
        <w:t>—</w:t>
      </w:r>
      <w:r w:rsidRPr="006D775D">
        <w:t>has the meaning given by clause</w:t>
      </w:r>
      <w:r w:rsidR="006D775D" w:rsidRPr="006D775D">
        <w:t> </w:t>
      </w:r>
      <w:r w:rsidR="008D37A1" w:rsidRPr="006D775D">
        <w:t>2.21A.1; and</w:t>
      </w:r>
    </w:p>
    <w:p w:rsidR="008D37A1" w:rsidRPr="006D775D" w:rsidRDefault="008D37A1" w:rsidP="00F05F56">
      <w:pPr>
        <w:pStyle w:val="paragraph"/>
      </w:pPr>
      <w:r w:rsidRPr="006D775D">
        <w:tab/>
        <w:t>(d)</w:t>
      </w:r>
      <w:r w:rsidRPr="006D775D">
        <w:tab/>
        <w:t>for items</w:t>
      </w:r>
      <w:r w:rsidR="006D775D" w:rsidRPr="006D775D">
        <w:t> </w:t>
      </w:r>
      <w:r w:rsidRPr="006D775D">
        <w:t>6064 to 6075</w:t>
      </w:r>
      <w:r w:rsidR="00EF3467" w:rsidRPr="006D775D">
        <w:t>—</w:t>
      </w:r>
      <w:r w:rsidRPr="006D775D">
        <w:t>has the meaning given by clause</w:t>
      </w:r>
      <w:r w:rsidR="006D775D" w:rsidRPr="006D775D">
        <w:t> </w:t>
      </w:r>
      <w:r w:rsidRPr="006D775D">
        <w:t>2.21B.1.</w:t>
      </w:r>
    </w:p>
    <w:p w:rsidR="004B22F4" w:rsidRPr="006D775D" w:rsidRDefault="00B25E9D" w:rsidP="004B22F4">
      <w:pPr>
        <w:pStyle w:val="ItemHead"/>
      </w:pPr>
      <w:r w:rsidRPr="006D775D">
        <w:t>43</w:t>
      </w:r>
      <w:r w:rsidR="004B22F4" w:rsidRPr="006D775D">
        <w:t xml:space="preserve">  Part</w:t>
      </w:r>
      <w:r w:rsidR="006D775D" w:rsidRPr="006D775D">
        <w:t> </w:t>
      </w:r>
      <w:r w:rsidR="004B22F4" w:rsidRPr="006D775D">
        <w:t>3 of Schedule</w:t>
      </w:r>
      <w:r w:rsidR="006D775D" w:rsidRPr="006D775D">
        <w:t> </w:t>
      </w:r>
      <w:r w:rsidR="004B22F4" w:rsidRPr="006D775D">
        <w:t xml:space="preserve">1 (at the end of the definition of </w:t>
      </w:r>
      <w:r w:rsidR="004B22F4" w:rsidRPr="006D775D">
        <w:rPr>
          <w:i/>
        </w:rPr>
        <w:t>participate</w:t>
      </w:r>
      <w:r w:rsidR="004B22F4" w:rsidRPr="006D775D">
        <w:t>)</w:t>
      </w:r>
    </w:p>
    <w:p w:rsidR="004B22F4" w:rsidRPr="006D775D" w:rsidRDefault="004B22F4" w:rsidP="004B22F4">
      <w:pPr>
        <w:pStyle w:val="Item"/>
      </w:pPr>
      <w:r w:rsidRPr="006D775D">
        <w:t>Add:</w:t>
      </w:r>
    </w:p>
    <w:p w:rsidR="00F05F56" w:rsidRPr="006D775D" w:rsidRDefault="004B22F4" w:rsidP="004B22F4">
      <w:pPr>
        <w:pStyle w:val="paragraph"/>
      </w:pPr>
      <w:r w:rsidRPr="006D775D">
        <w:tab/>
        <w:t>; and (c)</w:t>
      </w:r>
      <w:r w:rsidRPr="006D775D">
        <w:tab/>
        <w:t>for items</w:t>
      </w:r>
      <w:r w:rsidR="006D775D" w:rsidRPr="006D775D">
        <w:t> </w:t>
      </w:r>
      <w:r w:rsidR="006B37D3" w:rsidRPr="006D775D">
        <w:t>6035 to 6042</w:t>
      </w:r>
      <w:r w:rsidR="00EF3467" w:rsidRPr="006D775D">
        <w:t>—</w:t>
      </w:r>
      <w:r w:rsidRPr="006D775D">
        <w:t>has the meaning given by clause</w:t>
      </w:r>
      <w:r w:rsidR="006D775D" w:rsidRPr="006D775D">
        <w:t> </w:t>
      </w:r>
      <w:r w:rsidR="006B37D3" w:rsidRPr="006D775D">
        <w:t>2.21A.2; and</w:t>
      </w:r>
    </w:p>
    <w:p w:rsidR="006B37D3" w:rsidRPr="006D775D" w:rsidRDefault="006B37D3" w:rsidP="004B22F4">
      <w:pPr>
        <w:pStyle w:val="paragraph"/>
      </w:pPr>
      <w:r w:rsidRPr="006D775D">
        <w:tab/>
        <w:t>(</w:t>
      </w:r>
      <w:r w:rsidR="00EF3467" w:rsidRPr="006D775D">
        <w:t>d</w:t>
      </w:r>
      <w:r w:rsidRPr="006D775D">
        <w:t>)</w:t>
      </w:r>
      <w:r w:rsidRPr="006D775D">
        <w:tab/>
        <w:t>for items</w:t>
      </w:r>
      <w:r w:rsidR="006D775D" w:rsidRPr="006D775D">
        <w:t> </w:t>
      </w:r>
      <w:r w:rsidRPr="006D775D">
        <w:t>6071 to 6075</w:t>
      </w:r>
      <w:r w:rsidR="00EF3467" w:rsidRPr="006D775D">
        <w:t>—</w:t>
      </w:r>
      <w:r w:rsidRPr="006D775D">
        <w:t>has the meaning given by clause</w:t>
      </w:r>
      <w:r w:rsidR="006D775D" w:rsidRPr="006D775D">
        <w:t> </w:t>
      </w:r>
      <w:r w:rsidRPr="006D775D">
        <w:t>2.21B.2.</w:t>
      </w:r>
    </w:p>
    <w:p w:rsidR="00116657" w:rsidRPr="006D775D" w:rsidRDefault="00956E87" w:rsidP="00E2526E">
      <w:pPr>
        <w:pStyle w:val="ActHead9"/>
      </w:pPr>
      <w:bookmarkStart w:id="32" w:name="_Toc462386547"/>
      <w:r w:rsidRPr="006D775D">
        <w:t>Health Insurance Regulations</w:t>
      </w:r>
      <w:r w:rsidR="006D775D" w:rsidRPr="006D775D">
        <w:t> </w:t>
      </w:r>
      <w:r w:rsidRPr="006D775D">
        <w:t>1975</w:t>
      </w:r>
      <w:bookmarkEnd w:id="32"/>
    </w:p>
    <w:p w:rsidR="00DD1812" w:rsidRPr="006D775D" w:rsidRDefault="00B25E9D" w:rsidP="00EF227A">
      <w:pPr>
        <w:pStyle w:val="ItemHead"/>
      </w:pPr>
      <w:r w:rsidRPr="006D775D">
        <w:t>44</w:t>
      </w:r>
      <w:r w:rsidR="00DD1812" w:rsidRPr="006D775D">
        <w:t xml:space="preserve">  Regulation</w:t>
      </w:r>
      <w:r w:rsidR="006D775D" w:rsidRPr="006D775D">
        <w:t> </w:t>
      </w:r>
      <w:r w:rsidR="00DD1812" w:rsidRPr="006D775D">
        <w:t>15</w:t>
      </w:r>
    </w:p>
    <w:p w:rsidR="005B6457" w:rsidRPr="006D775D" w:rsidRDefault="00DD1812" w:rsidP="00E2526E">
      <w:pPr>
        <w:pStyle w:val="Item"/>
      </w:pPr>
      <w:r w:rsidRPr="006D775D">
        <w:t>Repeal the regulation.</w:t>
      </w:r>
    </w:p>
    <w:p w:rsidR="00EF227A" w:rsidRPr="006D775D" w:rsidRDefault="00B25E9D" w:rsidP="003936D7">
      <w:pPr>
        <w:pStyle w:val="ItemHead"/>
      </w:pPr>
      <w:r w:rsidRPr="006D775D">
        <w:t>45</w:t>
      </w:r>
      <w:r w:rsidR="00EF227A" w:rsidRPr="006D775D">
        <w:t xml:space="preserve">  Part</w:t>
      </w:r>
      <w:r w:rsidR="006D775D" w:rsidRPr="006D775D">
        <w:t> </w:t>
      </w:r>
      <w:r w:rsidR="00EF227A" w:rsidRPr="006D775D">
        <w:t>2 of Schedule</w:t>
      </w:r>
      <w:r w:rsidR="006D775D" w:rsidRPr="006D775D">
        <w:t> </w:t>
      </w:r>
      <w:r w:rsidR="00EF227A" w:rsidRPr="006D775D">
        <w:t>5</w:t>
      </w:r>
      <w:r w:rsidR="00C81E29" w:rsidRPr="006D775D">
        <w:t xml:space="preserve"> (at the end of the table)</w:t>
      </w:r>
    </w:p>
    <w:p w:rsidR="00C81E29" w:rsidRPr="006D775D" w:rsidRDefault="00C81E29" w:rsidP="00C81E29">
      <w:pPr>
        <w:pStyle w:val="Item"/>
      </w:pPr>
      <w:r w:rsidRPr="006D775D">
        <w:t>Add:</w:t>
      </w:r>
    </w:p>
    <w:p w:rsidR="00C81E29" w:rsidRPr="006D775D" w:rsidRDefault="00C81E29" w:rsidP="00E470C5">
      <w:pPr>
        <w:pStyle w:val="Tabletext"/>
      </w:pPr>
    </w:p>
    <w:tbl>
      <w:tblPr>
        <w:tblW w:w="7261" w:type="dxa"/>
        <w:tblLayout w:type="fixed"/>
        <w:tblLook w:val="04A0" w:firstRow="1" w:lastRow="0" w:firstColumn="1" w:lastColumn="0" w:noHBand="0" w:noVBand="1"/>
      </w:tblPr>
      <w:tblGrid>
        <w:gridCol w:w="675"/>
        <w:gridCol w:w="3686"/>
        <w:gridCol w:w="2900"/>
      </w:tblGrid>
      <w:tr w:rsidR="00C81E29" w:rsidRPr="006D775D" w:rsidTr="00F171B1">
        <w:tc>
          <w:tcPr>
            <w:tcW w:w="675" w:type="dxa"/>
            <w:shd w:val="clear" w:color="auto" w:fill="auto"/>
          </w:tcPr>
          <w:p w:rsidR="00C81E29" w:rsidRPr="006D775D" w:rsidRDefault="00C81E29" w:rsidP="00C81E29">
            <w:pPr>
              <w:pStyle w:val="Tabletext"/>
              <w:pBdr>
                <w:right w:val="single" w:sz="4" w:space="4" w:color="auto"/>
              </w:pBdr>
            </w:pPr>
            <w:r w:rsidRPr="006D775D">
              <w:t>18</w:t>
            </w:r>
          </w:p>
        </w:tc>
        <w:tc>
          <w:tcPr>
            <w:tcW w:w="3686" w:type="dxa"/>
            <w:shd w:val="clear" w:color="auto" w:fill="auto"/>
          </w:tcPr>
          <w:p w:rsidR="00C81E29" w:rsidRPr="006D775D" w:rsidRDefault="00C81E29" w:rsidP="00C81E29">
            <w:pPr>
              <w:pStyle w:val="Tabletext"/>
              <w:pBdr>
                <w:right w:val="single" w:sz="4" w:space="4" w:color="auto"/>
              </w:pBdr>
            </w:pPr>
            <w:r w:rsidRPr="006D775D">
              <w:t>Australian College of Rural and Remote Medicine</w:t>
            </w:r>
          </w:p>
        </w:tc>
        <w:tc>
          <w:tcPr>
            <w:tcW w:w="2900" w:type="dxa"/>
            <w:shd w:val="clear" w:color="auto" w:fill="auto"/>
          </w:tcPr>
          <w:p w:rsidR="00C81E29" w:rsidRPr="006D775D" w:rsidRDefault="00C81E29" w:rsidP="00F37F3B">
            <w:pPr>
              <w:pStyle w:val="Tabletext"/>
              <w:pBdr>
                <w:right w:val="single" w:sz="4" w:space="4" w:color="auto"/>
              </w:pBdr>
            </w:pPr>
            <w:r w:rsidRPr="006D775D">
              <w:t>Independent Pathway</w:t>
            </w:r>
          </w:p>
        </w:tc>
      </w:tr>
    </w:tbl>
    <w:p w:rsidR="002A315F" w:rsidRPr="006D775D" w:rsidRDefault="00E2526E" w:rsidP="00E2526E">
      <w:pPr>
        <w:pStyle w:val="ActHead7"/>
        <w:pageBreakBefore/>
      </w:pPr>
      <w:bookmarkStart w:id="33" w:name="_Toc462386548"/>
      <w:r w:rsidRPr="006D775D">
        <w:rPr>
          <w:rStyle w:val="CharAmPartNo"/>
        </w:rPr>
        <w:t>Part</w:t>
      </w:r>
      <w:r w:rsidR="006D775D" w:rsidRPr="006D775D">
        <w:rPr>
          <w:rStyle w:val="CharAmPartNo"/>
        </w:rPr>
        <w:t> </w:t>
      </w:r>
      <w:r w:rsidRPr="006D775D">
        <w:rPr>
          <w:rStyle w:val="CharAmPartNo"/>
        </w:rPr>
        <w:t>2</w:t>
      </w:r>
      <w:r w:rsidRPr="006D775D">
        <w:t>—</w:t>
      </w:r>
      <w:r w:rsidRPr="006D775D">
        <w:rPr>
          <w:rStyle w:val="CharAmPartText"/>
        </w:rPr>
        <w:t>Amendments relating to midwives</w:t>
      </w:r>
      <w:bookmarkEnd w:id="33"/>
    </w:p>
    <w:p w:rsidR="00E2526E" w:rsidRPr="006D775D" w:rsidRDefault="00E2526E" w:rsidP="00E2526E">
      <w:pPr>
        <w:pStyle w:val="ActHead9"/>
      </w:pPr>
      <w:bookmarkStart w:id="34" w:name="_Toc462386549"/>
      <w:r w:rsidRPr="006D775D">
        <w:t>Health Insurance Regulations</w:t>
      </w:r>
      <w:r w:rsidR="006D775D" w:rsidRPr="006D775D">
        <w:t> </w:t>
      </w:r>
      <w:r w:rsidRPr="006D775D">
        <w:t>1975</w:t>
      </w:r>
      <w:bookmarkEnd w:id="34"/>
    </w:p>
    <w:p w:rsidR="00E2526E" w:rsidRPr="006D775D" w:rsidRDefault="00B25E9D" w:rsidP="00E2526E">
      <w:pPr>
        <w:pStyle w:val="ItemHead"/>
      </w:pPr>
      <w:r w:rsidRPr="006D775D">
        <w:t>46</w:t>
      </w:r>
      <w:r w:rsidR="00E2526E" w:rsidRPr="006D775D">
        <w:t xml:space="preserve">  Before regulation</w:t>
      </w:r>
      <w:r w:rsidR="006D775D" w:rsidRPr="006D775D">
        <w:t> </w:t>
      </w:r>
      <w:r w:rsidR="00E2526E" w:rsidRPr="006D775D">
        <w:t>1</w:t>
      </w:r>
    </w:p>
    <w:p w:rsidR="00E2526E" w:rsidRPr="006D775D" w:rsidRDefault="00E2526E" w:rsidP="00E2526E">
      <w:pPr>
        <w:pStyle w:val="Item"/>
      </w:pPr>
      <w:r w:rsidRPr="006D775D">
        <w:t>Insert:</w:t>
      </w:r>
    </w:p>
    <w:p w:rsidR="00E2526E" w:rsidRPr="006D775D" w:rsidRDefault="00E2526E" w:rsidP="00E2526E">
      <w:pPr>
        <w:pStyle w:val="ActHead2"/>
      </w:pPr>
      <w:bookmarkStart w:id="35" w:name="_Toc462386550"/>
      <w:r w:rsidRPr="006D775D">
        <w:rPr>
          <w:rStyle w:val="CharPartNo"/>
        </w:rPr>
        <w:t>Part</w:t>
      </w:r>
      <w:r w:rsidR="006D775D" w:rsidRPr="006D775D">
        <w:rPr>
          <w:rStyle w:val="CharPartNo"/>
        </w:rPr>
        <w:t> </w:t>
      </w:r>
      <w:r w:rsidRPr="006D775D">
        <w:rPr>
          <w:rStyle w:val="CharPartNo"/>
        </w:rPr>
        <w:t>1</w:t>
      </w:r>
      <w:r w:rsidRPr="006D775D">
        <w:t>—</w:t>
      </w:r>
      <w:r w:rsidRPr="006D775D">
        <w:rPr>
          <w:rStyle w:val="CharPartText"/>
        </w:rPr>
        <w:t>General</w:t>
      </w:r>
      <w:bookmarkEnd w:id="35"/>
    </w:p>
    <w:p w:rsidR="005A3C55" w:rsidRPr="006D775D" w:rsidRDefault="005A3C55" w:rsidP="005A3C55">
      <w:pPr>
        <w:pStyle w:val="Header"/>
      </w:pPr>
      <w:r w:rsidRPr="006D775D">
        <w:rPr>
          <w:rStyle w:val="CharDivNo"/>
        </w:rPr>
        <w:t xml:space="preserve"> </w:t>
      </w:r>
      <w:r w:rsidRPr="006D775D">
        <w:rPr>
          <w:rStyle w:val="CharDivText"/>
        </w:rPr>
        <w:t xml:space="preserve"> </w:t>
      </w:r>
    </w:p>
    <w:p w:rsidR="00E2526E" w:rsidRPr="006D775D" w:rsidRDefault="00B25E9D" w:rsidP="00E2526E">
      <w:pPr>
        <w:pStyle w:val="ItemHead"/>
      </w:pPr>
      <w:r w:rsidRPr="006D775D">
        <w:t>47</w:t>
      </w:r>
      <w:r w:rsidR="00E2526E" w:rsidRPr="006D775D">
        <w:t xml:space="preserve">  Regulation</w:t>
      </w:r>
      <w:r w:rsidR="006D775D" w:rsidRPr="006D775D">
        <w:t> </w:t>
      </w:r>
      <w:r w:rsidR="00E2526E" w:rsidRPr="006D775D">
        <w:t>14A</w:t>
      </w:r>
    </w:p>
    <w:p w:rsidR="00E2526E" w:rsidRPr="006D775D" w:rsidRDefault="00E2526E" w:rsidP="00E2526E">
      <w:pPr>
        <w:pStyle w:val="Item"/>
      </w:pPr>
      <w:r w:rsidRPr="006D775D">
        <w:t>Repeal the regulation, substitute:</w:t>
      </w:r>
    </w:p>
    <w:p w:rsidR="00E2526E" w:rsidRPr="006D775D" w:rsidRDefault="00E2526E" w:rsidP="00E2526E">
      <w:pPr>
        <w:pStyle w:val="ActHead5"/>
      </w:pPr>
      <w:bookmarkStart w:id="36" w:name="_Toc462386551"/>
      <w:r w:rsidRPr="006D775D">
        <w:rPr>
          <w:rStyle w:val="CharSectno"/>
        </w:rPr>
        <w:t>14A</w:t>
      </w:r>
      <w:r w:rsidRPr="006D775D">
        <w:t xml:space="preserve">  Eligibility requirements for midwives</w:t>
      </w:r>
      <w:bookmarkEnd w:id="36"/>
    </w:p>
    <w:p w:rsidR="00E2526E" w:rsidRPr="006D775D" w:rsidRDefault="00E2526E" w:rsidP="00E2526E">
      <w:pPr>
        <w:pStyle w:val="subsection"/>
      </w:pPr>
      <w:r w:rsidRPr="006D775D">
        <w:tab/>
      </w:r>
      <w:r w:rsidRPr="006D775D">
        <w:tab/>
        <w:t>For the purposes of paragraph</w:t>
      </w:r>
      <w:r w:rsidR="006D775D" w:rsidRPr="006D775D">
        <w:t> </w:t>
      </w:r>
      <w:r w:rsidRPr="006D775D">
        <w:t>21(1)(b) of the Act, a midwife must be endorsed by the Nursing and Midwifery Board.</w:t>
      </w:r>
    </w:p>
    <w:p w:rsidR="00E2526E" w:rsidRPr="006D775D" w:rsidRDefault="00B25E9D" w:rsidP="00E2526E">
      <w:pPr>
        <w:pStyle w:val="ItemHead"/>
      </w:pPr>
      <w:r w:rsidRPr="006D775D">
        <w:t>48</w:t>
      </w:r>
      <w:r w:rsidR="00E2526E" w:rsidRPr="006D775D">
        <w:t xml:space="preserve">  After regulation</w:t>
      </w:r>
      <w:r w:rsidR="006D775D" w:rsidRPr="006D775D">
        <w:t> </w:t>
      </w:r>
      <w:r w:rsidR="00E2526E" w:rsidRPr="006D775D">
        <w:t>3</w:t>
      </w:r>
      <w:r w:rsidR="003936D7" w:rsidRPr="006D775D">
        <w:t>1</w:t>
      </w:r>
    </w:p>
    <w:p w:rsidR="00E2526E" w:rsidRPr="006D775D" w:rsidRDefault="00E2526E" w:rsidP="00E2526E">
      <w:pPr>
        <w:pStyle w:val="Item"/>
      </w:pPr>
      <w:r w:rsidRPr="006D775D">
        <w:t>Insert:</w:t>
      </w:r>
    </w:p>
    <w:p w:rsidR="00E2526E" w:rsidRPr="006D775D" w:rsidRDefault="00E2526E" w:rsidP="00E2526E">
      <w:pPr>
        <w:pStyle w:val="ActHead2"/>
      </w:pPr>
      <w:bookmarkStart w:id="37" w:name="f_Check_Lines_above"/>
      <w:bookmarkStart w:id="38" w:name="_Toc462386552"/>
      <w:bookmarkEnd w:id="37"/>
      <w:r w:rsidRPr="006D775D">
        <w:rPr>
          <w:rStyle w:val="CharPartNo"/>
        </w:rPr>
        <w:t>Part</w:t>
      </w:r>
      <w:r w:rsidR="006D775D" w:rsidRPr="006D775D">
        <w:rPr>
          <w:rStyle w:val="CharPartNo"/>
        </w:rPr>
        <w:t> </w:t>
      </w:r>
      <w:r w:rsidRPr="006D775D">
        <w:rPr>
          <w:rStyle w:val="CharPartNo"/>
        </w:rPr>
        <w:t>2</w:t>
      </w:r>
      <w:r w:rsidRPr="006D775D">
        <w:t>—</w:t>
      </w:r>
      <w:r w:rsidRPr="006D775D">
        <w:rPr>
          <w:rStyle w:val="CharPartText"/>
        </w:rPr>
        <w:t>Transitional, savings and application provisions</w:t>
      </w:r>
      <w:bookmarkEnd w:id="38"/>
    </w:p>
    <w:p w:rsidR="0055066B" w:rsidRPr="006D775D" w:rsidRDefault="0055066B" w:rsidP="0055066B">
      <w:pPr>
        <w:pStyle w:val="Header"/>
      </w:pPr>
      <w:r w:rsidRPr="006D775D">
        <w:rPr>
          <w:rStyle w:val="CharDivNo"/>
        </w:rPr>
        <w:t xml:space="preserve"> </w:t>
      </w:r>
      <w:r w:rsidRPr="006D775D">
        <w:rPr>
          <w:rStyle w:val="CharDivText"/>
        </w:rPr>
        <w:t xml:space="preserve"> </w:t>
      </w:r>
    </w:p>
    <w:p w:rsidR="00E2526E" w:rsidRPr="006D775D" w:rsidRDefault="00E2526E" w:rsidP="00E2526E">
      <w:pPr>
        <w:pStyle w:val="ActHead5"/>
        <w:rPr>
          <w:i/>
        </w:rPr>
      </w:pPr>
      <w:bookmarkStart w:id="39" w:name="_Toc462386553"/>
      <w:r w:rsidRPr="006D775D">
        <w:rPr>
          <w:rStyle w:val="CharSectno"/>
        </w:rPr>
        <w:t>3</w:t>
      </w:r>
      <w:r w:rsidR="003936D7" w:rsidRPr="006D775D">
        <w:rPr>
          <w:rStyle w:val="CharSectno"/>
        </w:rPr>
        <w:t>2</w:t>
      </w:r>
      <w:r w:rsidRPr="006D775D">
        <w:t xml:space="preserve">  Amendments made by </w:t>
      </w:r>
      <w:r w:rsidR="0055066B" w:rsidRPr="006D775D">
        <w:t xml:space="preserve">the </w:t>
      </w:r>
      <w:r w:rsidRPr="006D775D">
        <w:rPr>
          <w:i/>
        </w:rPr>
        <w:t>Health Insurance Legislation Amendment (2016 Measures No.</w:t>
      </w:r>
      <w:r w:rsidR="006D775D" w:rsidRPr="006D775D">
        <w:rPr>
          <w:i/>
        </w:rPr>
        <w:t> </w:t>
      </w:r>
      <w:r w:rsidRPr="006D775D">
        <w:rPr>
          <w:i/>
        </w:rPr>
        <w:t>2) Regulation</w:t>
      </w:r>
      <w:r w:rsidR="006D775D" w:rsidRPr="006D775D">
        <w:rPr>
          <w:i/>
        </w:rPr>
        <w:t> </w:t>
      </w:r>
      <w:r w:rsidRPr="006D775D">
        <w:rPr>
          <w:i/>
        </w:rPr>
        <w:t>2016</w:t>
      </w:r>
      <w:bookmarkEnd w:id="39"/>
    </w:p>
    <w:p w:rsidR="00E2526E" w:rsidRPr="006D775D" w:rsidRDefault="00E2526E" w:rsidP="00E2526E">
      <w:pPr>
        <w:pStyle w:val="subsection"/>
      </w:pPr>
      <w:r w:rsidRPr="006D775D">
        <w:tab/>
      </w:r>
      <w:r w:rsidRPr="006D775D">
        <w:tab/>
        <w:t>Despite the repeal and substitution of regulation</w:t>
      </w:r>
      <w:r w:rsidR="006D775D" w:rsidRPr="006D775D">
        <w:t> </w:t>
      </w:r>
      <w:r w:rsidRPr="006D775D">
        <w:t>14A of these Regulations by Schedule</w:t>
      </w:r>
      <w:r w:rsidR="006D775D" w:rsidRPr="006D775D">
        <w:t> </w:t>
      </w:r>
      <w:r w:rsidRPr="006D775D">
        <w:t xml:space="preserve">1 to the </w:t>
      </w:r>
      <w:r w:rsidRPr="006D775D">
        <w:rPr>
          <w:i/>
        </w:rPr>
        <w:t>Health Insurance Legislation Amendment (2016 Measures No.</w:t>
      </w:r>
      <w:r w:rsidR="006D775D" w:rsidRPr="006D775D">
        <w:rPr>
          <w:i/>
        </w:rPr>
        <w:t> </w:t>
      </w:r>
      <w:r w:rsidRPr="006D775D">
        <w:rPr>
          <w:i/>
        </w:rPr>
        <w:t>2) Regulation</w:t>
      </w:r>
      <w:r w:rsidR="006D775D" w:rsidRPr="006D775D">
        <w:rPr>
          <w:i/>
        </w:rPr>
        <w:t> </w:t>
      </w:r>
      <w:r w:rsidRPr="006D775D">
        <w:rPr>
          <w:i/>
        </w:rPr>
        <w:t>2016</w:t>
      </w:r>
      <w:r w:rsidRPr="006D775D">
        <w:t>, that regulation</w:t>
      </w:r>
      <w:r w:rsidR="004F5E52" w:rsidRPr="006D775D">
        <w:t>,</w:t>
      </w:r>
      <w:r w:rsidRPr="006D775D">
        <w:t xml:space="preserve"> </w:t>
      </w:r>
      <w:r w:rsidR="004F5E52" w:rsidRPr="006D775D">
        <w:t xml:space="preserve">as </w:t>
      </w:r>
      <w:r w:rsidRPr="006D775D">
        <w:t>in force immediately before 1</w:t>
      </w:r>
      <w:r w:rsidR="006D775D" w:rsidRPr="006D775D">
        <w:t> </w:t>
      </w:r>
      <w:r w:rsidRPr="006D775D">
        <w:t>January 2017</w:t>
      </w:r>
      <w:r w:rsidR="004F5E52" w:rsidRPr="006D775D">
        <w:t>,</w:t>
      </w:r>
      <w:r w:rsidRPr="006D775D">
        <w:t xml:space="preserve"> continues to apply until the end of 30</w:t>
      </w:r>
      <w:r w:rsidR="006D775D" w:rsidRPr="006D775D">
        <w:t> </w:t>
      </w:r>
      <w:r w:rsidRPr="006D775D">
        <w:t>June 2018 in relation to a person who is a midwife if</w:t>
      </w:r>
      <w:r w:rsidR="004F5E52" w:rsidRPr="006D775D">
        <w:t>,</w:t>
      </w:r>
      <w:r w:rsidRPr="006D775D">
        <w:t xml:space="preserve"> </w:t>
      </w:r>
      <w:r w:rsidR="004F5E52" w:rsidRPr="006D775D">
        <w:t>before 1</w:t>
      </w:r>
      <w:r w:rsidR="006D775D" w:rsidRPr="006D775D">
        <w:t> </w:t>
      </w:r>
      <w:r w:rsidR="004F5E52" w:rsidRPr="006D775D">
        <w:t>January 2017</w:t>
      </w:r>
      <w:r w:rsidR="004F5E52" w:rsidRPr="006D775D">
        <w:rPr>
          <w:i/>
        </w:rPr>
        <w:t>,</w:t>
      </w:r>
      <w:r w:rsidR="004F5E52" w:rsidRPr="006D775D">
        <w:t xml:space="preserve"> </w:t>
      </w:r>
      <w:r w:rsidRPr="006D775D">
        <w:t>the person:</w:t>
      </w:r>
    </w:p>
    <w:p w:rsidR="00E2526E" w:rsidRPr="006D775D" w:rsidRDefault="00E2526E" w:rsidP="00E2526E">
      <w:pPr>
        <w:pStyle w:val="paragraph"/>
      </w:pPr>
      <w:r w:rsidRPr="006D775D">
        <w:tab/>
        <w:t>(a)</w:t>
      </w:r>
      <w:r w:rsidRPr="006D775D">
        <w:tab/>
        <w:t>is registered as a midwife in Australia with no restrictions in relation to practice; and</w:t>
      </w:r>
    </w:p>
    <w:p w:rsidR="00E2526E" w:rsidRPr="006D775D" w:rsidRDefault="00E2526E" w:rsidP="00E2526E">
      <w:pPr>
        <w:pStyle w:val="paragraph"/>
      </w:pPr>
      <w:r w:rsidRPr="006D775D">
        <w:tab/>
        <w:t>(b)</w:t>
      </w:r>
      <w:r w:rsidRPr="006D775D">
        <w:tab/>
        <w:t xml:space="preserve">has </w:t>
      </w:r>
      <w:r w:rsidR="003F33D4" w:rsidRPr="006D775D">
        <w:t>at least</w:t>
      </w:r>
      <w:r w:rsidRPr="006D775D">
        <w:t xml:space="preserve"> 3 years full time </w:t>
      </w:r>
      <w:r w:rsidR="003F33D4" w:rsidRPr="006D775D">
        <w:t>experience</w:t>
      </w:r>
      <w:r w:rsidRPr="006D775D">
        <w:t xml:space="preserve"> as a midwife; and</w:t>
      </w:r>
    </w:p>
    <w:p w:rsidR="00E2526E" w:rsidRPr="006D775D" w:rsidRDefault="00E2526E" w:rsidP="00E2526E">
      <w:pPr>
        <w:pStyle w:val="paragraph"/>
      </w:pPr>
      <w:r w:rsidRPr="006D775D">
        <w:tab/>
        <w:t>(c)</w:t>
      </w:r>
      <w:r w:rsidRPr="006D775D">
        <w:tab/>
        <w:t>is recognised by the Nursing and Midwifery Board as being competent to provide pregnancy, labour, birth and post</w:t>
      </w:r>
      <w:r w:rsidR="006D775D">
        <w:noBreakHyphen/>
      </w:r>
      <w:r w:rsidRPr="006D775D">
        <w:t>natal care to women and their infants; and</w:t>
      </w:r>
    </w:p>
    <w:p w:rsidR="00E2526E" w:rsidRPr="006D775D" w:rsidRDefault="00E2526E" w:rsidP="00E2526E">
      <w:pPr>
        <w:pStyle w:val="paragraph"/>
      </w:pPr>
      <w:r w:rsidRPr="006D775D">
        <w:tab/>
        <w:t>(d)</w:t>
      </w:r>
      <w:r w:rsidRPr="006D775D">
        <w:tab/>
        <w:t xml:space="preserve">has successfully completed a professional practice review program approved by the Nursing and Midwifery Board for midwives working </w:t>
      </w:r>
      <w:r w:rsidR="003F33D4" w:rsidRPr="006D775D">
        <w:t>in all areas</w:t>
      </w:r>
      <w:r w:rsidRPr="006D775D">
        <w:t xml:space="preserve"> of midwifery care; and</w:t>
      </w:r>
    </w:p>
    <w:p w:rsidR="003936D7" w:rsidRPr="006D775D" w:rsidRDefault="003936D7" w:rsidP="00E2526E">
      <w:pPr>
        <w:pStyle w:val="paragraph"/>
      </w:pPr>
      <w:r w:rsidRPr="006D775D">
        <w:tab/>
        <w:t>(e)</w:t>
      </w:r>
      <w:r w:rsidRPr="006D775D">
        <w:tab/>
        <w:t>has</w:t>
      </w:r>
      <w:r w:rsidR="00F726C4" w:rsidRPr="006D775D">
        <w:t>, for each year that he or she has been registered as a midwife,</w:t>
      </w:r>
      <w:r w:rsidRPr="006D775D">
        <w:t xml:space="preserve"> undertaken 20 hours of continuing professional development in midwifery care; and</w:t>
      </w:r>
    </w:p>
    <w:p w:rsidR="00E2526E" w:rsidRPr="006D775D" w:rsidRDefault="00E2526E" w:rsidP="00E2526E">
      <w:pPr>
        <w:pStyle w:val="paragraph"/>
      </w:pPr>
      <w:r w:rsidRPr="006D775D">
        <w:tab/>
        <w:t>(</w:t>
      </w:r>
      <w:r w:rsidR="003936D7" w:rsidRPr="006D775D">
        <w:t>f</w:t>
      </w:r>
      <w:r w:rsidRPr="006D775D">
        <w:t>)</w:t>
      </w:r>
      <w:r w:rsidRPr="006D775D">
        <w:tab/>
        <w:t xml:space="preserve">has successfully completed, or </w:t>
      </w:r>
      <w:r w:rsidR="003F33D4" w:rsidRPr="006D775D">
        <w:t xml:space="preserve">has </w:t>
      </w:r>
      <w:r w:rsidRPr="006D775D">
        <w:t>provided a formal undertaking to the Nursing and Midwifery Board that he or she will complete within 18 months of recognition as an eligible midwife:</w:t>
      </w:r>
    </w:p>
    <w:p w:rsidR="00E2526E" w:rsidRPr="006D775D" w:rsidRDefault="00E2526E" w:rsidP="00E2526E">
      <w:pPr>
        <w:pStyle w:val="paragraphsub"/>
      </w:pPr>
      <w:r w:rsidRPr="006D775D">
        <w:tab/>
        <w:t>(i)</w:t>
      </w:r>
      <w:r w:rsidRPr="006D775D">
        <w:tab/>
        <w:t>a</w:t>
      </w:r>
      <w:r w:rsidR="003936D7" w:rsidRPr="006D775D">
        <w:t xml:space="preserve"> </w:t>
      </w:r>
      <w:r w:rsidRPr="006D775D">
        <w:t>program of study determined by the Nursing and Midwifery Board to develop midwives’ knowledge and skills in prescribing medicines relevant to a midwife; or</w:t>
      </w:r>
    </w:p>
    <w:p w:rsidR="00E2526E" w:rsidRPr="006D775D" w:rsidRDefault="00E2526E" w:rsidP="00E2526E">
      <w:pPr>
        <w:pStyle w:val="paragraphsub"/>
      </w:pPr>
      <w:r w:rsidRPr="006D775D">
        <w:tab/>
        <w:t>(ii)</w:t>
      </w:r>
      <w:r w:rsidRPr="006D775D">
        <w:tab/>
        <w:t>a program, recognised by the Nursing and Midwifery Board, that is substantially equivalent to such a program of study.</w:t>
      </w:r>
    </w:p>
    <w:sectPr w:rsidR="00E2526E" w:rsidRPr="006D775D" w:rsidSect="0066344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9E8" w:rsidRDefault="008969E8" w:rsidP="0048364F">
      <w:pPr>
        <w:spacing w:line="240" w:lineRule="auto"/>
      </w:pPr>
      <w:r>
        <w:separator/>
      </w:r>
    </w:p>
  </w:endnote>
  <w:endnote w:type="continuationSeparator" w:id="0">
    <w:p w:rsidR="008969E8" w:rsidRDefault="008969E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E8" w:rsidRPr="00663445" w:rsidRDefault="008969E8" w:rsidP="00663445">
    <w:pPr>
      <w:pStyle w:val="Footer"/>
      <w:tabs>
        <w:tab w:val="clear" w:pos="4153"/>
        <w:tab w:val="clear" w:pos="8306"/>
        <w:tab w:val="center" w:pos="4150"/>
        <w:tab w:val="right" w:pos="8307"/>
      </w:tabs>
      <w:spacing w:before="120"/>
      <w:rPr>
        <w:i/>
        <w:sz w:val="18"/>
      </w:rPr>
    </w:pPr>
    <w:r w:rsidRPr="00663445">
      <w:rPr>
        <w:i/>
        <w:sz w:val="18"/>
      </w:rPr>
      <w:t xml:space="preserve"> </w:t>
    </w:r>
    <w:r w:rsidR="00663445" w:rsidRPr="00663445">
      <w:rPr>
        <w:i/>
        <w:sz w:val="18"/>
      </w:rPr>
      <w:t>OPC62089 -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45" w:rsidRDefault="00663445" w:rsidP="00663445">
    <w:pPr>
      <w:pStyle w:val="Footer"/>
    </w:pPr>
    <w:r w:rsidRPr="00663445">
      <w:rPr>
        <w:i/>
        <w:sz w:val="18"/>
      </w:rPr>
      <w:t>OPC62089 -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E8" w:rsidRPr="00663445" w:rsidRDefault="008969E8" w:rsidP="00486382">
    <w:pPr>
      <w:pStyle w:val="Footer"/>
      <w:rPr>
        <w:sz w:val="18"/>
      </w:rPr>
    </w:pPr>
  </w:p>
  <w:p w:rsidR="008969E8" w:rsidRPr="00663445" w:rsidRDefault="00663445" w:rsidP="00663445">
    <w:pPr>
      <w:pStyle w:val="Footer"/>
      <w:rPr>
        <w:sz w:val="18"/>
      </w:rPr>
    </w:pPr>
    <w:r w:rsidRPr="00663445">
      <w:rPr>
        <w:i/>
        <w:sz w:val="18"/>
      </w:rPr>
      <w:t>OPC62089 -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E8" w:rsidRPr="00663445" w:rsidRDefault="008969E8" w:rsidP="002B5B89">
    <w:pPr>
      <w:pBdr>
        <w:top w:val="single" w:sz="6" w:space="1" w:color="auto"/>
      </w:pBdr>
      <w:spacing w:before="120" w:line="0" w:lineRule="atLeast"/>
      <w:rPr>
        <w:rFonts w:cs="Times New Roman"/>
        <w:i/>
        <w:sz w:val="18"/>
        <w:szCs w:val="16"/>
      </w:rPr>
    </w:pPr>
  </w:p>
  <w:tbl>
    <w:tblPr>
      <w:tblW w:w="5000" w:type="pct"/>
      <w:tblLook w:val="04A0" w:firstRow="1" w:lastRow="0" w:firstColumn="1" w:lastColumn="0" w:noHBand="0" w:noVBand="1"/>
    </w:tblPr>
    <w:tblGrid>
      <w:gridCol w:w="623"/>
      <w:gridCol w:w="6291"/>
      <w:gridCol w:w="1615"/>
    </w:tblGrid>
    <w:tr w:rsidR="008969E8" w:rsidRPr="00663445" w:rsidTr="00956E87">
      <w:tc>
        <w:tcPr>
          <w:tcW w:w="365" w:type="pct"/>
          <w:tcBorders>
            <w:top w:val="nil"/>
            <w:left w:val="nil"/>
            <w:bottom w:val="nil"/>
            <w:right w:val="nil"/>
          </w:tcBorders>
        </w:tcPr>
        <w:p w:rsidR="008969E8" w:rsidRPr="00663445" w:rsidRDefault="008969E8" w:rsidP="00E33C1C">
          <w:pPr>
            <w:spacing w:line="0" w:lineRule="atLeast"/>
            <w:rPr>
              <w:rFonts w:cs="Times New Roman"/>
              <w:i/>
              <w:sz w:val="18"/>
            </w:rPr>
          </w:pPr>
          <w:r w:rsidRPr="00663445">
            <w:rPr>
              <w:rFonts w:cs="Times New Roman"/>
              <w:i/>
              <w:sz w:val="18"/>
            </w:rPr>
            <w:fldChar w:fldCharType="begin"/>
          </w:r>
          <w:r w:rsidRPr="00663445">
            <w:rPr>
              <w:rFonts w:cs="Times New Roman"/>
              <w:i/>
              <w:sz w:val="18"/>
            </w:rPr>
            <w:instrText xml:space="preserve"> PAGE </w:instrText>
          </w:r>
          <w:r w:rsidRPr="00663445">
            <w:rPr>
              <w:rFonts w:cs="Times New Roman"/>
              <w:i/>
              <w:sz w:val="18"/>
            </w:rPr>
            <w:fldChar w:fldCharType="separate"/>
          </w:r>
          <w:r w:rsidR="00181E72">
            <w:rPr>
              <w:rFonts w:cs="Times New Roman"/>
              <w:i/>
              <w:noProof/>
              <w:sz w:val="18"/>
            </w:rPr>
            <w:t>xxiii</w:t>
          </w:r>
          <w:r w:rsidRPr="00663445">
            <w:rPr>
              <w:rFonts w:cs="Times New Roman"/>
              <w:i/>
              <w:sz w:val="18"/>
            </w:rPr>
            <w:fldChar w:fldCharType="end"/>
          </w:r>
        </w:p>
      </w:tc>
      <w:tc>
        <w:tcPr>
          <w:tcW w:w="3688" w:type="pct"/>
          <w:tcBorders>
            <w:top w:val="nil"/>
            <w:left w:val="nil"/>
            <w:bottom w:val="nil"/>
            <w:right w:val="nil"/>
          </w:tcBorders>
        </w:tcPr>
        <w:p w:rsidR="008969E8" w:rsidRPr="00663445" w:rsidRDefault="008969E8" w:rsidP="00E33C1C">
          <w:pPr>
            <w:spacing w:line="0" w:lineRule="atLeast"/>
            <w:jc w:val="center"/>
            <w:rPr>
              <w:rFonts w:cs="Times New Roman"/>
              <w:i/>
              <w:sz w:val="18"/>
            </w:rPr>
          </w:pPr>
          <w:r w:rsidRPr="00663445">
            <w:rPr>
              <w:rFonts w:cs="Times New Roman"/>
              <w:i/>
              <w:sz w:val="18"/>
            </w:rPr>
            <w:fldChar w:fldCharType="begin"/>
          </w:r>
          <w:r w:rsidRPr="00663445">
            <w:rPr>
              <w:rFonts w:cs="Times New Roman"/>
              <w:i/>
              <w:sz w:val="18"/>
            </w:rPr>
            <w:instrText xml:space="preserve"> DOCPROPERTY ShortT </w:instrText>
          </w:r>
          <w:r w:rsidRPr="00663445">
            <w:rPr>
              <w:rFonts w:cs="Times New Roman"/>
              <w:i/>
              <w:sz w:val="18"/>
            </w:rPr>
            <w:fldChar w:fldCharType="separate"/>
          </w:r>
          <w:r w:rsidR="0041272C">
            <w:rPr>
              <w:rFonts w:cs="Times New Roman"/>
              <w:i/>
              <w:sz w:val="18"/>
            </w:rPr>
            <w:t>Health Insurance Legislation Amendment (2016 Measures No. 2) Regulation 2016</w:t>
          </w:r>
          <w:r w:rsidRPr="00663445">
            <w:rPr>
              <w:rFonts w:cs="Times New Roman"/>
              <w:i/>
              <w:sz w:val="18"/>
            </w:rPr>
            <w:fldChar w:fldCharType="end"/>
          </w:r>
        </w:p>
      </w:tc>
      <w:tc>
        <w:tcPr>
          <w:tcW w:w="947" w:type="pct"/>
          <w:tcBorders>
            <w:top w:val="nil"/>
            <w:left w:val="nil"/>
            <w:bottom w:val="nil"/>
            <w:right w:val="nil"/>
          </w:tcBorders>
        </w:tcPr>
        <w:p w:rsidR="008969E8" w:rsidRPr="00663445" w:rsidRDefault="008969E8" w:rsidP="00E33C1C">
          <w:pPr>
            <w:spacing w:line="0" w:lineRule="atLeast"/>
            <w:jc w:val="right"/>
            <w:rPr>
              <w:rFonts w:cs="Times New Roman"/>
              <w:i/>
              <w:sz w:val="18"/>
            </w:rPr>
          </w:pPr>
        </w:p>
      </w:tc>
    </w:tr>
  </w:tbl>
  <w:p w:rsidR="008969E8" w:rsidRPr="00663445" w:rsidRDefault="00663445" w:rsidP="00663445">
    <w:pPr>
      <w:rPr>
        <w:rFonts w:cs="Times New Roman"/>
        <w:i/>
        <w:sz w:val="18"/>
      </w:rPr>
    </w:pPr>
    <w:r w:rsidRPr="00663445">
      <w:rPr>
        <w:rFonts w:cs="Times New Roman"/>
        <w:i/>
        <w:sz w:val="18"/>
      </w:rPr>
      <w:t>OPC62089 -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E8" w:rsidRPr="00E33C1C" w:rsidRDefault="008969E8" w:rsidP="001F6924">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615"/>
      <w:gridCol w:w="6291"/>
      <w:gridCol w:w="623"/>
    </w:tblGrid>
    <w:tr w:rsidR="008969E8" w:rsidTr="00956E87">
      <w:tc>
        <w:tcPr>
          <w:tcW w:w="947" w:type="pct"/>
          <w:tcBorders>
            <w:top w:val="nil"/>
            <w:left w:val="nil"/>
            <w:bottom w:val="nil"/>
            <w:right w:val="nil"/>
          </w:tcBorders>
        </w:tcPr>
        <w:p w:rsidR="008969E8" w:rsidRDefault="008969E8" w:rsidP="00E33C1C">
          <w:pPr>
            <w:spacing w:line="0" w:lineRule="atLeast"/>
            <w:rPr>
              <w:sz w:val="18"/>
            </w:rPr>
          </w:pPr>
        </w:p>
      </w:tc>
      <w:tc>
        <w:tcPr>
          <w:tcW w:w="3688" w:type="pct"/>
          <w:tcBorders>
            <w:top w:val="nil"/>
            <w:left w:val="nil"/>
            <w:bottom w:val="nil"/>
            <w:right w:val="nil"/>
          </w:tcBorders>
        </w:tcPr>
        <w:p w:rsidR="008969E8" w:rsidRDefault="008969E8"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272C">
            <w:rPr>
              <w:i/>
              <w:sz w:val="18"/>
            </w:rPr>
            <w:t>Health Insurance Legislation Amendment (2016 Measures No. 2) Regulation 2016</w:t>
          </w:r>
          <w:r w:rsidRPr="007A1328">
            <w:rPr>
              <w:i/>
              <w:sz w:val="18"/>
            </w:rPr>
            <w:fldChar w:fldCharType="end"/>
          </w:r>
        </w:p>
      </w:tc>
      <w:tc>
        <w:tcPr>
          <w:tcW w:w="365" w:type="pct"/>
          <w:tcBorders>
            <w:top w:val="nil"/>
            <w:left w:val="nil"/>
            <w:bottom w:val="nil"/>
            <w:right w:val="nil"/>
          </w:tcBorders>
        </w:tcPr>
        <w:p w:rsidR="008969E8" w:rsidRDefault="008969E8"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638F">
            <w:rPr>
              <w:i/>
              <w:noProof/>
              <w:sz w:val="18"/>
            </w:rPr>
            <w:t>i</w:t>
          </w:r>
          <w:r w:rsidRPr="00ED79B6">
            <w:rPr>
              <w:i/>
              <w:sz w:val="18"/>
            </w:rPr>
            <w:fldChar w:fldCharType="end"/>
          </w:r>
        </w:p>
      </w:tc>
    </w:tr>
  </w:tbl>
  <w:p w:rsidR="008969E8" w:rsidRPr="00ED79B6" w:rsidRDefault="00663445" w:rsidP="00663445">
    <w:pPr>
      <w:rPr>
        <w:i/>
        <w:sz w:val="18"/>
      </w:rPr>
    </w:pPr>
    <w:r w:rsidRPr="00663445">
      <w:rPr>
        <w:rFonts w:cs="Times New Roman"/>
        <w:i/>
        <w:sz w:val="18"/>
      </w:rPr>
      <w:t>OPC62089 -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E8" w:rsidRPr="00663445" w:rsidRDefault="008969E8" w:rsidP="001F6924">
    <w:pPr>
      <w:pBdr>
        <w:top w:val="single" w:sz="6" w:space="1" w:color="auto"/>
      </w:pBdr>
      <w:spacing w:before="120" w:line="0" w:lineRule="atLeast"/>
      <w:rPr>
        <w:rFonts w:cs="Times New Roman"/>
        <w:i/>
        <w:sz w:val="18"/>
        <w:szCs w:val="16"/>
      </w:rPr>
    </w:pPr>
  </w:p>
  <w:tbl>
    <w:tblPr>
      <w:tblW w:w="5000" w:type="pct"/>
      <w:tblLook w:val="04A0" w:firstRow="1" w:lastRow="0" w:firstColumn="1" w:lastColumn="0" w:noHBand="0" w:noVBand="1"/>
    </w:tblPr>
    <w:tblGrid>
      <w:gridCol w:w="623"/>
      <w:gridCol w:w="6291"/>
      <w:gridCol w:w="1615"/>
    </w:tblGrid>
    <w:tr w:rsidR="008969E8" w:rsidRPr="00663445" w:rsidTr="00956E87">
      <w:tc>
        <w:tcPr>
          <w:tcW w:w="365" w:type="pct"/>
          <w:tcBorders>
            <w:top w:val="nil"/>
            <w:left w:val="nil"/>
            <w:bottom w:val="nil"/>
            <w:right w:val="nil"/>
          </w:tcBorders>
        </w:tcPr>
        <w:p w:rsidR="008969E8" w:rsidRPr="00663445" w:rsidRDefault="008969E8" w:rsidP="00E33C1C">
          <w:pPr>
            <w:spacing w:line="0" w:lineRule="atLeast"/>
            <w:rPr>
              <w:rFonts w:cs="Times New Roman"/>
              <w:i/>
              <w:sz w:val="18"/>
            </w:rPr>
          </w:pPr>
          <w:r w:rsidRPr="00663445">
            <w:rPr>
              <w:rFonts w:cs="Times New Roman"/>
              <w:i/>
              <w:sz w:val="18"/>
            </w:rPr>
            <w:fldChar w:fldCharType="begin"/>
          </w:r>
          <w:r w:rsidRPr="00663445">
            <w:rPr>
              <w:rFonts w:cs="Times New Roman"/>
              <w:i/>
              <w:sz w:val="18"/>
            </w:rPr>
            <w:instrText xml:space="preserve"> PAGE </w:instrText>
          </w:r>
          <w:r w:rsidRPr="00663445">
            <w:rPr>
              <w:rFonts w:cs="Times New Roman"/>
              <w:i/>
              <w:sz w:val="18"/>
            </w:rPr>
            <w:fldChar w:fldCharType="separate"/>
          </w:r>
          <w:r w:rsidR="003F031F">
            <w:rPr>
              <w:rFonts w:cs="Times New Roman"/>
              <w:i/>
              <w:noProof/>
              <w:sz w:val="18"/>
            </w:rPr>
            <w:t>24</w:t>
          </w:r>
          <w:r w:rsidRPr="00663445">
            <w:rPr>
              <w:rFonts w:cs="Times New Roman"/>
              <w:i/>
              <w:sz w:val="18"/>
            </w:rPr>
            <w:fldChar w:fldCharType="end"/>
          </w:r>
        </w:p>
      </w:tc>
      <w:tc>
        <w:tcPr>
          <w:tcW w:w="3688" w:type="pct"/>
          <w:tcBorders>
            <w:top w:val="nil"/>
            <w:left w:val="nil"/>
            <w:bottom w:val="nil"/>
            <w:right w:val="nil"/>
          </w:tcBorders>
        </w:tcPr>
        <w:p w:rsidR="008969E8" w:rsidRPr="00663445" w:rsidRDefault="008969E8" w:rsidP="00E33C1C">
          <w:pPr>
            <w:spacing w:line="0" w:lineRule="atLeast"/>
            <w:jc w:val="center"/>
            <w:rPr>
              <w:rFonts w:cs="Times New Roman"/>
              <w:i/>
              <w:sz w:val="18"/>
            </w:rPr>
          </w:pPr>
          <w:r w:rsidRPr="00663445">
            <w:rPr>
              <w:rFonts w:cs="Times New Roman"/>
              <w:i/>
              <w:sz w:val="18"/>
            </w:rPr>
            <w:fldChar w:fldCharType="begin"/>
          </w:r>
          <w:r w:rsidRPr="00663445">
            <w:rPr>
              <w:rFonts w:cs="Times New Roman"/>
              <w:i/>
              <w:sz w:val="18"/>
            </w:rPr>
            <w:instrText xml:space="preserve"> DOCPROPERTY ShortT </w:instrText>
          </w:r>
          <w:r w:rsidRPr="00663445">
            <w:rPr>
              <w:rFonts w:cs="Times New Roman"/>
              <w:i/>
              <w:sz w:val="18"/>
            </w:rPr>
            <w:fldChar w:fldCharType="separate"/>
          </w:r>
          <w:r w:rsidR="0041272C">
            <w:rPr>
              <w:rFonts w:cs="Times New Roman"/>
              <w:i/>
              <w:sz w:val="18"/>
            </w:rPr>
            <w:t>Health Insurance Legislation Amendment (2016 Measures No. 2) Regulation 2016</w:t>
          </w:r>
          <w:r w:rsidRPr="00663445">
            <w:rPr>
              <w:rFonts w:cs="Times New Roman"/>
              <w:i/>
              <w:sz w:val="18"/>
            </w:rPr>
            <w:fldChar w:fldCharType="end"/>
          </w:r>
        </w:p>
      </w:tc>
      <w:tc>
        <w:tcPr>
          <w:tcW w:w="947" w:type="pct"/>
          <w:tcBorders>
            <w:top w:val="nil"/>
            <w:left w:val="nil"/>
            <w:bottom w:val="nil"/>
            <w:right w:val="nil"/>
          </w:tcBorders>
        </w:tcPr>
        <w:p w:rsidR="008969E8" w:rsidRPr="00663445" w:rsidRDefault="008969E8" w:rsidP="00E33C1C">
          <w:pPr>
            <w:spacing w:line="0" w:lineRule="atLeast"/>
            <w:jc w:val="right"/>
            <w:rPr>
              <w:rFonts w:cs="Times New Roman"/>
              <w:i/>
              <w:sz w:val="18"/>
            </w:rPr>
          </w:pPr>
        </w:p>
      </w:tc>
    </w:tr>
  </w:tbl>
  <w:p w:rsidR="008969E8" w:rsidRPr="00663445" w:rsidRDefault="00663445" w:rsidP="00663445">
    <w:pPr>
      <w:rPr>
        <w:rFonts w:cs="Times New Roman"/>
        <w:i/>
        <w:sz w:val="18"/>
      </w:rPr>
    </w:pPr>
    <w:r w:rsidRPr="00663445">
      <w:rPr>
        <w:rFonts w:cs="Times New Roman"/>
        <w:i/>
        <w:sz w:val="18"/>
      </w:rPr>
      <w:t>OPC62089 -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E8" w:rsidRPr="00E33C1C" w:rsidRDefault="008969E8" w:rsidP="001F6924">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615"/>
      <w:gridCol w:w="6291"/>
      <w:gridCol w:w="623"/>
    </w:tblGrid>
    <w:tr w:rsidR="008969E8" w:rsidTr="00956E87">
      <w:tc>
        <w:tcPr>
          <w:tcW w:w="947" w:type="pct"/>
          <w:tcBorders>
            <w:top w:val="nil"/>
            <w:left w:val="nil"/>
            <w:bottom w:val="nil"/>
            <w:right w:val="nil"/>
          </w:tcBorders>
        </w:tcPr>
        <w:p w:rsidR="008969E8" w:rsidRDefault="008969E8" w:rsidP="00E33C1C">
          <w:pPr>
            <w:spacing w:line="0" w:lineRule="atLeast"/>
            <w:rPr>
              <w:sz w:val="18"/>
            </w:rPr>
          </w:pPr>
        </w:p>
      </w:tc>
      <w:tc>
        <w:tcPr>
          <w:tcW w:w="3688" w:type="pct"/>
          <w:tcBorders>
            <w:top w:val="nil"/>
            <w:left w:val="nil"/>
            <w:bottom w:val="nil"/>
            <w:right w:val="nil"/>
          </w:tcBorders>
        </w:tcPr>
        <w:p w:rsidR="008969E8" w:rsidRDefault="008969E8"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272C">
            <w:rPr>
              <w:i/>
              <w:sz w:val="18"/>
            </w:rPr>
            <w:t>Health Insurance Legislation Amendment (2016 Measures No. 2) Regulation 2016</w:t>
          </w:r>
          <w:r w:rsidRPr="007A1328">
            <w:rPr>
              <w:i/>
              <w:sz w:val="18"/>
            </w:rPr>
            <w:fldChar w:fldCharType="end"/>
          </w:r>
        </w:p>
      </w:tc>
      <w:tc>
        <w:tcPr>
          <w:tcW w:w="365" w:type="pct"/>
          <w:tcBorders>
            <w:top w:val="nil"/>
            <w:left w:val="nil"/>
            <w:bottom w:val="nil"/>
            <w:right w:val="nil"/>
          </w:tcBorders>
        </w:tcPr>
        <w:p w:rsidR="008969E8" w:rsidRDefault="008969E8"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638F">
            <w:rPr>
              <w:i/>
              <w:noProof/>
              <w:sz w:val="18"/>
            </w:rPr>
            <w:t>1</w:t>
          </w:r>
          <w:r w:rsidRPr="00ED79B6">
            <w:rPr>
              <w:i/>
              <w:sz w:val="18"/>
            </w:rPr>
            <w:fldChar w:fldCharType="end"/>
          </w:r>
        </w:p>
      </w:tc>
    </w:tr>
  </w:tbl>
  <w:p w:rsidR="008969E8" w:rsidRPr="00ED79B6" w:rsidRDefault="00663445" w:rsidP="00663445">
    <w:pPr>
      <w:rPr>
        <w:i/>
        <w:sz w:val="18"/>
      </w:rPr>
    </w:pPr>
    <w:r w:rsidRPr="00663445">
      <w:rPr>
        <w:rFonts w:cs="Times New Roman"/>
        <w:i/>
        <w:sz w:val="18"/>
      </w:rPr>
      <w:t>OPC62089 -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E8" w:rsidRPr="00E33C1C" w:rsidRDefault="008969E8" w:rsidP="00B63BDE">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615"/>
      <w:gridCol w:w="6291"/>
      <w:gridCol w:w="623"/>
    </w:tblGrid>
    <w:tr w:rsidR="008969E8" w:rsidTr="00956E87">
      <w:tc>
        <w:tcPr>
          <w:tcW w:w="947" w:type="pct"/>
          <w:tcBorders>
            <w:top w:val="nil"/>
            <w:left w:val="nil"/>
            <w:bottom w:val="nil"/>
            <w:right w:val="nil"/>
          </w:tcBorders>
        </w:tcPr>
        <w:p w:rsidR="008969E8" w:rsidRDefault="008969E8" w:rsidP="006E53AF">
          <w:pPr>
            <w:spacing w:line="0" w:lineRule="atLeast"/>
            <w:rPr>
              <w:sz w:val="18"/>
            </w:rPr>
          </w:pPr>
        </w:p>
      </w:tc>
      <w:tc>
        <w:tcPr>
          <w:tcW w:w="3688" w:type="pct"/>
          <w:tcBorders>
            <w:top w:val="nil"/>
            <w:left w:val="nil"/>
            <w:bottom w:val="nil"/>
            <w:right w:val="nil"/>
          </w:tcBorders>
        </w:tcPr>
        <w:p w:rsidR="008969E8" w:rsidRDefault="008969E8" w:rsidP="006E53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272C">
            <w:rPr>
              <w:i/>
              <w:sz w:val="18"/>
            </w:rPr>
            <w:t>Health Insurance Legislation Amendment (2016 Measures No. 2) Regulation 2016</w:t>
          </w:r>
          <w:r w:rsidRPr="007A1328">
            <w:rPr>
              <w:i/>
              <w:sz w:val="18"/>
            </w:rPr>
            <w:fldChar w:fldCharType="end"/>
          </w:r>
        </w:p>
      </w:tc>
      <w:tc>
        <w:tcPr>
          <w:tcW w:w="365" w:type="pct"/>
          <w:tcBorders>
            <w:top w:val="nil"/>
            <w:left w:val="nil"/>
            <w:bottom w:val="nil"/>
            <w:right w:val="nil"/>
          </w:tcBorders>
        </w:tcPr>
        <w:p w:rsidR="008969E8" w:rsidRDefault="008969E8" w:rsidP="006E53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1E72">
            <w:rPr>
              <w:i/>
              <w:noProof/>
              <w:sz w:val="18"/>
            </w:rPr>
            <w:t>23</w:t>
          </w:r>
          <w:r w:rsidRPr="00ED79B6">
            <w:rPr>
              <w:i/>
              <w:sz w:val="18"/>
            </w:rPr>
            <w:fldChar w:fldCharType="end"/>
          </w:r>
        </w:p>
      </w:tc>
    </w:tr>
  </w:tbl>
  <w:p w:rsidR="008969E8" w:rsidRPr="00ED79B6" w:rsidRDefault="008969E8"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9E8" w:rsidRDefault="008969E8" w:rsidP="0048364F">
      <w:pPr>
        <w:spacing w:line="240" w:lineRule="auto"/>
      </w:pPr>
      <w:r>
        <w:separator/>
      </w:r>
    </w:p>
  </w:footnote>
  <w:footnote w:type="continuationSeparator" w:id="0">
    <w:p w:rsidR="008969E8" w:rsidRDefault="008969E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E8" w:rsidRPr="005F1388" w:rsidRDefault="008969E8"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E8" w:rsidRPr="005F1388" w:rsidRDefault="008969E8"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E8" w:rsidRPr="005F1388" w:rsidRDefault="008969E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E8" w:rsidRPr="00ED79B6" w:rsidRDefault="008969E8"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E8" w:rsidRPr="00ED79B6" w:rsidRDefault="008969E8"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E8" w:rsidRPr="00ED79B6" w:rsidRDefault="008969E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E8" w:rsidRPr="00A961C4" w:rsidRDefault="008969E8" w:rsidP="00B63BDE">
    <w:pPr>
      <w:rPr>
        <w:b/>
        <w:sz w:val="20"/>
      </w:rPr>
    </w:pPr>
    <w:r>
      <w:rPr>
        <w:b/>
        <w:sz w:val="20"/>
      </w:rPr>
      <w:fldChar w:fldCharType="begin"/>
    </w:r>
    <w:r>
      <w:rPr>
        <w:b/>
        <w:sz w:val="20"/>
      </w:rPr>
      <w:instrText xml:space="preserve"> STYLEREF CharAmSchNo </w:instrText>
    </w:r>
    <w:r w:rsidR="003F031F">
      <w:rPr>
        <w:b/>
        <w:sz w:val="20"/>
      </w:rPr>
      <w:fldChar w:fldCharType="separate"/>
    </w:r>
    <w:r w:rsidR="003F031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F031F">
      <w:rPr>
        <w:sz w:val="20"/>
      </w:rPr>
      <w:fldChar w:fldCharType="separate"/>
    </w:r>
    <w:r w:rsidR="003F031F">
      <w:rPr>
        <w:noProof/>
        <w:sz w:val="20"/>
      </w:rPr>
      <w:t>Amendments</w:t>
    </w:r>
    <w:r>
      <w:rPr>
        <w:sz w:val="20"/>
      </w:rPr>
      <w:fldChar w:fldCharType="end"/>
    </w:r>
  </w:p>
  <w:p w:rsidR="008969E8" w:rsidRPr="00A961C4" w:rsidRDefault="008969E8" w:rsidP="00B63BDE">
    <w:pPr>
      <w:rPr>
        <w:b/>
        <w:sz w:val="20"/>
      </w:rPr>
    </w:pPr>
    <w:r>
      <w:rPr>
        <w:b/>
        <w:sz w:val="20"/>
      </w:rPr>
      <w:fldChar w:fldCharType="begin"/>
    </w:r>
    <w:r>
      <w:rPr>
        <w:b/>
        <w:sz w:val="20"/>
      </w:rPr>
      <w:instrText xml:space="preserve"> STYLEREF CharAmPartNo </w:instrText>
    </w:r>
    <w:r w:rsidR="003F031F">
      <w:rPr>
        <w:b/>
        <w:sz w:val="20"/>
      </w:rPr>
      <w:fldChar w:fldCharType="separate"/>
    </w:r>
    <w:r w:rsidR="003F031F">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F031F">
      <w:rPr>
        <w:sz w:val="20"/>
      </w:rPr>
      <w:fldChar w:fldCharType="separate"/>
    </w:r>
    <w:r w:rsidR="003F031F">
      <w:rPr>
        <w:noProof/>
        <w:sz w:val="20"/>
      </w:rPr>
      <w:t>Amendments relating to midwives</w:t>
    </w:r>
    <w:r>
      <w:rPr>
        <w:sz w:val="20"/>
      </w:rPr>
      <w:fldChar w:fldCharType="end"/>
    </w:r>
  </w:p>
  <w:p w:rsidR="008969E8" w:rsidRPr="00A961C4" w:rsidRDefault="008969E8"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E8" w:rsidRPr="00A961C4" w:rsidRDefault="008969E8"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8969E8" w:rsidRPr="00A961C4" w:rsidRDefault="008969E8"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969E8" w:rsidRPr="00A961C4" w:rsidRDefault="008969E8"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E8" w:rsidRPr="00A961C4" w:rsidRDefault="008969E8"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6DE191F"/>
    <w:multiLevelType w:val="hybridMultilevel"/>
    <w:tmpl w:val="E1201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6D862BC"/>
    <w:multiLevelType w:val="hybridMultilevel"/>
    <w:tmpl w:val="5D666F02"/>
    <w:lvl w:ilvl="0" w:tplc="25CC5AE6">
      <w:start w:val="1"/>
      <w:numFmt w:val="lowerLetter"/>
      <w:lvlText w:val="%1)"/>
      <w:lvlJc w:val="left"/>
      <w:pPr>
        <w:ind w:left="420" w:hanging="360"/>
      </w:pPr>
      <w:rPr>
        <w:rFonts w:ascii="Times New Roman" w:eastAsia="Times New Roman" w:hAnsi="Times New Roman" w:cs="Times New Roman" w:hint="default"/>
        <w:b w:val="0"/>
        <w:color w:val="auto"/>
        <w:u w:val="none"/>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FD46741"/>
    <w:multiLevelType w:val="hybridMultilevel"/>
    <w:tmpl w:val="F22C0204"/>
    <w:lvl w:ilvl="0" w:tplc="7D70969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40A562C"/>
    <w:multiLevelType w:val="hybridMultilevel"/>
    <w:tmpl w:val="28DE29A0"/>
    <w:lvl w:ilvl="0" w:tplc="7B5AA8B4">
      <w:start w:val="1"/>
      <w:numFmt w:val="lowerLetter"/>
      <w:lvlText w:val="%1)"/>
      <w:lvlJc w:val="left"/>
      <w:pPr>
        <w:ind w:left="420" w:hanging="360"/>
      </w:pPr>
      <w:rPr>
        <w:rFonts w:ascii="Times New Roman" w:eastAsia="Times New Roman" w:hAnsi="Times New Roman" w:cs="Times New Roman" w:hint="default"/>
        <w:b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F166A0"/>
    <w:multiLevelType w:val="hybridMultilevel"/>
    <w:tmpl w:val="286C351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D6514F6"/>
    <w:multiLevelType w:val="multilevel"/>
    <w:tmpl w:val="8B8050AC"/>
    <w:lvl w:ilvl="0">
      <w:start w:val="4"/>
      <w:numFmt w:val="decimal"/>
      <w:lvlText w:val="%1."/>
      <w:lvlJc w:val="left"/>
      <w:pPr>
        <w:tabs>
          <w:tab w:val="num" w:pos="850"/>
        </w:tabs>
        <w:ind w:left="850" w:hanging="850"/>
      </w:pPr>
      <w:rPr>
        <w:sz w:val="24"/>
        <w:szCs w:val="24"/>
      </w:rPr>
    </w:lvl>
    <w:lvl w:ilvl="1">
      <w:start w:val="1"/>
      <w:numFmt w:val="upperLetter"/>
      <w:lvlText w:val="%1%2"/>
      <w:lvlJc w:val="left"/>
      <w:pPr>
        <w:tabs>
          <w:tab w:val="num" w:pos="850"/>
        </w:tabs>
        <w:ind w:left="850" w:hanging="850"/>
      </w:pPr>
    </w:lvl>
    <w:lvl w:ilvl="2">
      <w:start w:val="1"/>
      <w:numFmt w:val="lowerLetter"/>
      <w:lvlRestart w:val="0"/>
      <w:lvlText w:val="(%3)"/>
      <w:lvlJc w:val="left"/>
      <w:pPr>
        <w:tabs>
          <w:tab w:val="num" w:pos="1701"/>
        </w:tabs>
        <w:ind w:left="1701" w:hanging="851"/>
      </w:pPr>
    </w:lvl>
    <w:lvl w:ilvl="3">
      <w:start w:val="1"/>
      <w:numFmt w:val="lowerRoman"/>
      <w:lvlText w:val="(%4)"/>
      <w:lvlJc w:val="left"/>
      <w:pPr>
        <w:tabs>
          <w:tab w:val="num" w:pos="2551"/>
        </w:tabs>
        <w:ind w:left="2551" w:hanging="850"/>
      </w:pPr>
    </w:lvl>
    <w:lvl w:ilvl="4">
      <w:start w:val="1"/>
      <w:numFmt w:val="upperLetter"/>
      <w:lvlText w:val="(%5)"/>
      <w:lvlJc w:val="left"/>
      <w:pPr>
        <w:tabs>
          <w:tab w:val="num" w:pos="3402"/>
        </w:tabs>
        <w:ind w:left="3402" w:hanging="851"/>
      </w:pPr>
    </w:lvl>
    <w:lvl w:ilvl="5">
      <w:start w:val="1"/>
      <w:numFmt w:val="decimal"/>
      <w:lvlRestart w:val="2"/>
      <w:lvlText w:val="(%6)"/>
      <w:lvlJc w:val="left"/>
      <w:pPr>
        <w:tabs>
          <w:tab w:val="num" w:pos="850"/>
        </w:tabs>
        <w:ind w:left="850" w:hanging="510"/>
      </w:pPr>
    </w:lvl>
    <w:lvl w:ilvl="6">
      <w:start w:val="1"/>
      <w:numFmt w:val="upperLetter"/>
      <w:lvlText w:val="(%6%7)"/>
      <w:lvlJc w:val="left"/>
      <w:pPr>
        <w:tabs>
          <w:tab w:val="num" w:pos="850"/>
        </w:tabs>
        <w:ind w:left="850" w:hanging="51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567"/>
        </w:tabs>
        <w:ind w:left="1582" w:hanging="1582"/>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6"/>
  </w:num>
  <w:num w:numId="15">
    <w:abstractNumId w:val="15"/>
  </w:num>
  <w:num w:numId="16">
    <w:abstractNumId w:val="14"/>
  </w:num>
  <w:num w:numId="17">
    <w:abstractNumId w:val="10"/>
  </w:num>
  <w:num w:numId="1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87"/>
    <w:rsid w:val="000041C6"/>
    <w:rsid w:val="00004219"/>
    <w:rsid w:val="000063E4"/>
    <w:rsid w:val="000064C3"/>
    <w:rsid w:val="00011222"/>
    <w:rsid w:val="000113BC"/>
    <w:rsid w:val="000136AF"/>
    <w:rsid w:val="00025060"/>
    <w:rsid w:val="0002616A"/>
    <w:rsid w:val="000312B9"/>
    <w:rsid w:val="0004044E"/>
    <w:rsid w:val="00040E0D"/>
    <w:rsid w:val="00047147"/>
    <w:rsid w:val="0006085B"/>
    <w:rsid w:val="00060B76"/>
    <w:rsid w:val="000614BF"/>
    <w:rsid w:val="000631A6"/>
    <w:rsid w:val="0007214C"/>
    <w:rsid w:val="000730BA"/>
    <w:rsid w:val="000753FA"/>
    <w:rsid w:val="00077136"/>
    <w:rsid w:val="0007729F"/>
    <w:rsid w:val="00081F86"/>
    <w:rsid w:val="0009254A"/>
    <w:rsid w:val="000938BD"/>
    <w:rsid w:val="00095565"/>
    <w:rsid w:val="0009604F"/>
    <w:rsid w:val="000A4ADC"/>
    <w:rsid w:val="000C0BF8"/>
    <w:rsid w:val="000C3E41"/>
    <w:rsid w:val="000C4E79"/>
    <w:rsid w:val="000D05EF"/>
    <w:rsid w:val="000F172D"/>
    <w:rsid w:val="000F21C1"/>
    <w:rsid w:val="000F6B02"/>
    <w:rsid w:val="000F7427"/>
    <w:rsid w:val="0010745C"/>
    <w:rsid w:val="0011019B"/>
    <w:rsid w:val="00116657"/>
    <w:rsid w:val="00116975"/>
    <w:rsid w:val="00120392"/>
    <w:rsid w:val="00126F1A"/>
    <w:rsid w:val="00137963"/>
    <w:rsid w:val="00153C49"/>
    <w:rsid w:val="00154EAC"/>
    <w:rsid w:val="0015783B"/>
    <w:rsid w:val="001643C9"/>
    <w:rsid w:val="00165568"/>
    <w:rsid w:val="00166C2F"/>
    <w:rsid w:val="001716C9"/>
    <w:rsid w:val="00171EAE"/>
    <w:rsid w:val="00181E72"/>
    <w:rsid w:val="00187A5A"/>
    <w:rsid w:val="0019152D"/>
    <w:rsid w:val="00191859"/>
    <w:rsid w:val="00193461"/>
    <w:rsid w:val="00193971"/>
    <w:rsid w:val="001939E1"/>
    <w:rsid w:val="00193D4E"/>
    <w:rsid w:val="00195382"/>
    <w:rsid w:val="001A6441"/>
    <w:rsid w:val="001B3097"/>
    <w:rsid w:val="001B7A5D"/>
    <w:rsid w:val="001C69C4"/>
    <w:rsid w:val="001D4229"/>
    <w:rsid w:val="001D7F83"/>
    <w:rsid w:val="001E04A3"/>
    <w:rsid w:val="001E16D0"/>
    <w:rsid w:val="001E3590"/>
    <w:rsid w:val="001E562E"/>
    <w:rsid w:val="001E6995"/>
    <w:rsid w:val="001E7407"/>
    <w:rsid w:val="001F3EEB"/>
    <w:rsid w:val="001F3EEE"/>
    <w:rsid w:val="001F440C"/>
    <w:rsid w:val="001F6924"/>
    <w:rsid w:val="001F7486"/>
    <w:rsid w:val="00201D27"/>
    <w:rsid w:val="00203039"/>
    <w:rsid w:val="00231427"/>
    <w:rsid w:val="00232A1A"/>
    <w:rsid w:val="00240749"/>
    <w:rsid w:val="00251569"/>
    <w:rsid w:val="002563E9"/>
    <w:rsid w:val="00265001"/>
    <w:rsid w:val="00265FBC"/>
    <w:rsid w:val="00266D05"/>
    <w:rsid w:val="00277B4A"/>
    <w:rsid w:val="002932B1"/>
    <w:rsid w:val="00293B87"/>
    <w:rsid w:val="00295408"/>
    <w:rsid w:val="00296FCA"/>
    <w:rsid w:val="00297ECB"/>
    <w:rsid w:val="002A0FFD"/>
    <w:rsid w:val="002A315F"/>
    <w:rsid w:val="002A4FED"/>
    <w:rsid w:val="002B2731"/>
    <w:rsid w:val="002B5B89"/>
    <w:rsid w:val="002B797A"/>
    <w:rsid w:val="002B7D96"/>
    <w:rsid w:val="002C155D"/>
    <w:rsid w:val="002C44DB"/>
    <w:rsid w:val="002D043A"/>
    <w:rsid w:val="002D1E85"/>
    <w:rsid w:val="002D5155"/>
    <w:rsid w:val="002E206D"/>
    <w:rsid w:val="002F50CA"/>
    <w:rsid w:val="00304055"/>
    <w:rsid w:val="00304E75"/>
    <w:rsid w:val="003072FA"/>
    <w:rsid w:val="00315D93"/>
    <w:rsid w:val="0031713F"/>
    <w:rsid w:val="00321C75"/>
    <w:rsid w:val="00333B52"/>
    <w:rsid w:val="003415D3"/>
    <w:rsid w:val="00347824"/>
    <w:rsid w:val="00347E9C"/>
    <w:rsid w:val="00352B0F"/>
    <w:rsid w:val="00356EDB"/>
    <w:rsid w:val="00361BD9"/>
    <w:rsid w:val="00363549"/>
    <w:rsid w:val="00374E30"/>
    <w:rsid w:val="003801D0"/>
    <w:rsid w:val="0039228E"/>
    <w:rsid w:val="003926B5"/>
    <w:rsid w:val="003936D7"/>
    <w:rsid w:val="00393ABE"/>
    <w:rsid w:val="003A2F25"/>
    <w:rsid w:val="003A75B9"/>
    <w:rsid w:val="003B04EC"/>
    <w:rsid w:val="003B399C"/>
    <w:rsid w:val="003C09D1"/>
    <w:rsid w:val="003C5F2B"/>
    <w:rsid w:val="003D0BFE"/>
    <w:rsid w:val="003D2AA0"/>
    <w:rsid w:val="003D566B"/>
    <w:rsid w:val="003D5700"/>
    <w:rsid w:val="003E5FF5"/>
    <w:rsid w:val="003F031F"/>
    <w:rsid w:val="003F2E7E"/>
    <w:rsid w:val="003F33D4"/>
    <w:rsid w:val="003F3E30"/>
    <w:rsid w:val="003F4CA9"/>
    <w:rsid w:val="003F567B"/>
    <w:rsid w:val="003F6A75"/>
    <w:rsid w:val="004010E7"/>
    <w:rsid w:val="00401403"/>
    <w:rsid w:val="004116CD"/>
    <w:rsid w:val="0041272C"/>
    <w:rsid w:val="00412B83"/>
    <w:rsid w:val="00413B0D"/>
    <w:rsid w:val="00424CA9"/>
    <w:rsid w:val="00433910"/>
    <w:rsid w:val="004364FA"/>
    <w:rsid w:val="0044179A"/>
    <w:rsid w:val="0044291A"/>
    <w:rsid w:val="004541B9"/>
    <w:rsid w:val="00460499"/>
    <w:rsid w:val="00466F72"/>
    <w:rsid w:val="00480FB9"/>
    <w:rsid w:val="0048184B"/>
    <w:rsid w:val="0048262F"/>
    <w:rsid w:val="0048364F"/>
    <w:rsid w:val="00486382"/>
    <w:rsid w:val="004903CF"/>
    <w:rsid w:val="00496F97"/>
    <w:rsid w:val="004A093F"/>
    <w:rsid w:val="004A0D50"/>
    <w:rsid w:val="004A1402"/>
    <w:rsid w:val="004A2484"/>
    <w:rsid w:val="004B22F4"/>
    <w:rsid w:val="004B3036"/>
    <w:rsid w:val="004B41BF"/>
    <w:rsid w:val="004C0255"/>
    <w:rsid w:val="004C1D8A"/>
    <w:rsid w:val="004C5712"/>
    <w:rsid w:val="004C5B5A"/>
    <w:rsid w:val="004C5D81"/>
    <w:rsid w:val="004C6444"/>
    <w:rsid w:val="004C6DE1"/>
    <w:rsid w:val="004D2708"/>
    <w:rsid w:val="004D7EB0"/>
    <w:rsid w:val="004F1FAC"/>
    <w:rsid w:val="004F3A90"/>
    <w:rsid w:val="004F5E52"/>
    <w:rsid w:val="004F676E"/>
    <w:rsid w:val="00501726"/>
    <w:rsid w:val="00516B8D"/>
    <w:rsid w:val="00520A1E"/>
    <w:rsid w:val="0052638F"/>
    <w:rsid w:val="00537776"/>
    <w:rsid w:val="00537FBC"/>
    <w:rsid w:val="00543469"/>
    <w:rsid w:val="0055066B"/>
    <w:rsid w:val="00554577"/>
    <w:rsid w:val="005561DC"/>
    <w:rsid w:val="00557C7A"/>
    <w:rsid w:val="00561C26"/>
    <w:rsid w:val="0057382D"/>
    <w:rsid w:val="00577FB6"/>
    <w:rsid w:val="005834C0"/>
    <w:rsid w:val="0058408D"/>
    <w:rsid w:val="0058473A"/>
    <w:rsid w:val="00584811"/>
    <w:rsid w:val="005851A5"/>
    <w:rsid w:val="00585D96"/>
    <w:rsid w:val="0058646E"/>
    <w:rsid w:val="00591700"/>
    <w:rsid w:val="00591E07"/>
    <w:rsid w:val="00593AA6"/>
    <w:rsid w:val="00594161"/>
    <w:rsid w:val="00594749"/>
    <w:rsid w:val="00595B99"/>
    <w:rsid w:val="005A3C55"/>
    <w:rsid w:val="005B2780"/>
    <w:rsid w:val="005B4067"/>
    <w:rsid w:val="005B6457"/>
    <w:rsid w:val="005C12DE"/>
    <w:rsid w:val="005C3F41"/>
    <w:rsid w:val="005D3779"/>
    <w:rsid w:val="005E3056"/>
    <w:rsid w:val="005E4729"/>
    <w:rsid w:val="005E552A"/>
    <w:rsid w:val="005F55CC"/>
    <w:rsid w:val="00600219"/>
    <w:rsid w:val="00602FF3"/>
    <w:rsid w:val="00604BA2"/>
    <w:rsid w:val="0060756F"/>
    <w:rsid w:val="00620A53"/>
    <w:rsid w:val="00621F99"/>
    <w:rsid w:val="006249E6"/>
    <w:rsid w:val="00630733"/>
    <w:rsid w:val="0063093C"/>
    <w:rsid w:val="00641C84"/>
    <w:rsid w:val="006427D8"/>
    <w:rsid w:val="0064468A"/>
    <w:rsid w:val="00651A88"/>
    <w:rsid w:val="00654CCA"/>
    <w:rsid w:val="00656DE9"/>
    <w:rsid w:val="00663445"/>
    <w:rsid w:val="00663BDD"/>
    <w:rsid w:val="00672EA7"/>
    <w:rsid w:val="006751E0"/>
    <w:rsid w:val="00677CC2"/>
    <w:rsid w:val="00680F17"/>
    <w:rsid w:val="00685F42"/>
    <w:rsid w:val="00691251"/>
    <w:rsid w:val="0069207B"/>
    <w:rsid w:val="006937E2"/>
    <w:rsid w:val="0069392E"/>
    <w:rsid w:val="006977FB"/>
    <w:rsid w:val="006A2EA6"/>
    <w:rsid w:val="006A375E"/>
    <w:rsid w:val="006B262A"/>
    <w:rsid w:val="006B37D3"/>
    <w:rsid w:val="006C2C12"/>
    <w:rsid w:val="006C3FFF"/>
    <w:rsid w:val="006C7F8C"/>
    <w:rsid w:val="006D3667"/>
    <w:rsid w:val="006D4E91"/>
    <w:rsid w:val="006D775D"/>
    <w:rsid w:val="006E004B"/>
    <w:rsid w:val="006E0C05"/>
    <w:rsid w:val="006E0ECC"/>
    <w:rsid w:val="006E2CBD"/>
    <w:rsid w:val="006E342E"/>
    <w:rsid w:val="006E3439"/>
    <w:rsid w:val="006E53AF"/>
    <w:rsid w:val="006E7147"/>
    <w:rsid w:val="006F307B"/>
    <w:rsid w:val="006F315A"/>
    <w:rsid w:val="006F6E37"/>
    <w:rsid w:val="00700B2C"/>
    <w:rsid w:val="00701E6A"/>
    <w:rsid w:val="00704358"/>
    <w:rsid w:val="00713084"/>
    <w:rsid w:val="00716176"/>
    <w:rsid w:val="007169F8"/>
    <w:rsid w:val="007203F1"/>
    <w:rsid w:val="00722023"/>
    <w:rsid w:val="00731E00"/>
    <w:rsid w:val="007320A7"/>
    <w:rsid w:val="007362F4"/>
    <w:rsid w:val="007440B7"/>
    <w:rsid w:val="00756091"/>
    <w:rsid w:val="007634AD"/>
    <w:rsid w:val="007715C9"/>
    <w:rsid w:val="007740BF"/>
    <w:rsid w:val="00774B14"/>
    <w:rsid w:val="00774EDD"/>
    <w:rsid w:val="007757EC"/>
    <w:rsid w:val="007769D4"/>
    <w:rsid w:val="007805CF"/>
    <w:rsid w:val="0078110A"/>
    <w:rsid w:val="00785AFA"/>
    <w:rsid w:val="007903AC"/>
    <w:rsid w:val="007A1861"/>
    <w:rsid w:val="007A7F9F"/>
    <w:rsid w:val="007B4B17"/>
    <w:rsid w:val="007B711B"/>
    <w:rsid w:val="007C190B"/>
    <w:rsid w:val="007D16CF"/>
    <w:rsid w:val="007E4773"/>
    <w:rsid w:val="007E68DE"/>
    <w:rsid w:val="007E7D4A"/>
    <w:rsid w:val="007F7562"/>
    <w:rsid w:val="008064A5"/>
    <w:rsid w:val="008077FD"/>
    <w:rsid w:val="008143C9"/>
    <w:rsid w:val="00814D12"/>
    <w:rsid w:val="008152EC"/>
    <w:rsid w:val="008166DF"/>
    <w:rsid w:val="00826DA5"/>
    <w:rsid w:val="00831CBB"/>
    <w:rsid w:val="00833416"/>
    <w:rsid w:val="00856A31"/>
    <w:rsid w:val="00864710"/>
    <w:rsid w:val="00874658"/>
    <w:rsid w:val="00874B69"/>
    <w:rsid w:val="00874FEF"/>
    <w:rsid w:val="008754D0"/>
    <w:rsid w:val="00875721"/>
    <w:rsid w:val="00875DD2"/>
    <w:rsid w:val="00877D48"/>
    <w:rsid w:val="00880795"/>
    <w:rsid w:val="00885590"/>
    <w:rsid w:val="008941C2"/>
    <w:rsid w:val="008969E8"/>
    <w:rsid w:val="0089783B"/>
    <w:rsid w:val="008A45E5"/>
    <w:rsid w:val="008C3933"/>
    <w:rsid w:val="008D0EE0"/>
    <w:rsid w:val="008D37A1"/>
    <w:rsid w:val="008F07E3"/>
    <w:rsid w:val="008F4F1C"/>
    <w:rsid w:val="008F6366"/>
    <w:rsid w:val="008F7102"/>
    <w:rsid w:val="00900768"/>
    <w:rsid w:val="00907271"/>
    <w:rsid w:val="009118CA"/>
    <w:rsid w:val="00912446"/>
    <w:rsid w:val="00924AE9"/>
    <w:rsid w:val="00925920"/>
    <w:rsid w:val="00932377"/>
    <w:rsid w:val="00932584"/>
    <w:rsid w:val="00932A33"/>
    <w:rsid w:val="00946521"/>
    <w:rsid w:val="00956E87"/>
    <w:rsid w:val="009573C7"/>
    <w:rsid w:val="00983C45"/>
    <w:rsid w:val="009848EC"/>
    <w:rsid w:val="00985001"/>
    <w:rsid w:val="00987110"/>
    <w:rsid w:val="00992125"/>
    <w:rsid w:val="009929DC"/>
    <w:rsid w:val="00996004"/>
    <w:rsid w:val="00996ACC"/>
    <w:rsid w:val="009A08B6"/>
    <w:rsid w:val="009A2090"/>
    <w:rsid w:val="009A2968"/>
    <w:rsid w:val="009B3146"/>
    <w:rsid w:val="009B3629"/>
    <w:rsid w:val="009B6004"/>
    <w:rsid w:val="009C49D8"/>
    <w:rsid w:val="009D1E93"/>
    <w:rsid w:val="009D5795"/>
    <w:rsid w:val="009D7CCD"/>
    <w:rsid w:val="009E0218"/>
    <w:rsid w:val="009E3601"/>
    <w:rsid w:val="009E42F1"/>
    <w:rsid w:val="009E5ECA"/>
    <w:rsid w:val="009F727E"/>
    <w:rsid w:val="00A1027A"/>
    <w:rsid w:val="00A1178E"/>
    <w:rsid w:val="00A16C9E"/>
    <w:rsid w:val="00A17F49"/>
    <w:rsid w:val="00A2057D"/>
    <w:rsid w:val="00A20704"/>
    <w:rsid w:val="00A20E7E"/>
    <w:rsid w:val="00A231E2"/>
    <w:rsid w:val="00A2550D"/>
    <w:rsid w:val="00A26DBE"/>
    <w:rsid w:val="00A31980"/>
    <w:rsid w:val="00A326A4"/>
    <w:rsid w:val="00A4139B"/>
    <w:rsid w:val="00A4169B"/>
    <w:rsid w:val="00A4361F"/>
    <w:rsid w:val="00A45756"/>
    <w:rsid w:val="00A45ACE"/>
    <w:rsid w:val="00A5197F"/>
    <w:rsid w:val="00A535EE"/>
    <w:rsid w:val="00A60E8F"/>
    <w:rsid w:val="00A64912"/>
    <w:rsid w:val="00A70A74"/>
    <w:rsid w:val="00A71C4E"/>
    <w:rsid w:val="00A748AA"/>
    <w:rsid w:val="00A87AB9"/>
    <w:rsid w:val="00A92FD1"/>
    <w:rsid w:val="00A96254"/>
    <w:rsid w:val="00A97F17"/>
    <w:rsid w:val="00AB3315"/>
    <w:rsid w:val="00AB673C"/>
    <w:rsid w:val="00AB7B41"/>
    <w:rsid w:val="00AC06B3"/>
    <w:rsid w:val="00AC146F"/>
    <w:rsid w:val="00AD5641"/>
    <w:rsid w:val="00AE50A2"/>
    <w:rsid w:val="00AE5FF1"/>
    <w:rsid w:val="00AF0336"/>
    <w:rsid w:val="00AF6613"/>
    <w:rsid w:val="00B00902"/>
    <w:rsid w:val="00B032D8"/>
    <w:rsid w:val="00B03DAC"/>
    <w:rsid w:val="00B06DE3"/>
    <w:rsid w:val="00B110DE"/>
    <w:rsid w:val="00B21C00"/>
    <w:rsid w:val="00B25E9D"/>
    <w:rsid w:val="00B30A5F"/>
    <w:rsid w:val="00B332B8"/>
    <w:rsid w:val="00B33B3C"/>
    <w:rsid w:val="00B44647"/>
    <w:rsid w:val="00B44657"/>
    <w:rsid w:val="00B50804"/>
    <w:rsid w:val="00B564B5"/>
    <w:rsid w:val="00B61D2C"/>
    <w:rsid w:val="00B63601"/>
    <w:rsid w:val="00B63BDE"/>
    <w:rsid w:val="00B655DE"/>
    <w:rsid w:val="00B65633"/>
    <w:rsid w:val="00B659C6"/>
    <w:rsid w:val="00B67170"/>
    <w:rsid w:val="00BA1299"/>
    <w:rsid w:val="00BA34C2"/>
    <w:rsid w:val="00BA5026"/>
    <w:rsid w:val="00BB325B"/>
    <w:rsid w:val="00BB6E79"/>
    <w:rsid w:val="00BC0B16"/>
    <w:rsid w:val="00BC3AF7"/>
    <w:rsid w:val="00BC4F91"/>
    <w:rsid w:val="00BC6946"/>
    <w:rsid w:val="00BD1B53"/>
    <w:rsid w:val="00BD60E6"/>
    <w:rsid w:val="00BE2411"/>
    <w:rsid w:val="00BE253A"/>
    <w:rsid w:val="00BE719A"/>
    <w:rsid w:val="00BE720A"/>
    <w:rsid w:val="00BE7E09"/>
    <w:rsid w:val="00BF3B2A"/>
    <w:rsid w:val="00BF4533"/>
    <w:rsid w:val="00C03C11"/>
    <w:rsid w:val="00C067E5"/>
    <w:rsid w:val="00C15528"/>
    <w:rsid w:val="00C164CA"/>
    <w:rsid w:val="00C21B63"/>
    <w:rsid w:val="00C4035C"/>
    <w:rsid w:val="00C42BF8"/>
    <w:rsid w:val="00C460AE"/>
    <w:rsid w:val="00C46B5A"/>
    <w:rsid w:val="00C50043"/>
    <w:rsid w:val="00C5614B"/>
    <w:rsid w:val="00C63713"/>
    <w:rsid w:val="00C734A1"/>
    <w:rsid w:val="00C7573B"/>
    <w:rsid w:val="00C76CF3"/>
    <w:rsid w:val="00C775BB"/>
    <w:rsid w:val="00C77E30"/>
    <w:rsid w:val="00C814F5"/>
    <w:rsid w:val="00C81E29"/>
    <w:rsid w:val="00C83295"/>
    <w:rsid w:val="00C83CC8"/>
    <w:rsid w:val="00C85308"/>
    <w:rsid w:val="00C854C2"/>
    <w:rsid w:val="00C85778"/>
    <w:rsid w:val="00CB0180"/>
    <w:rsid w:val="00CB251F"/>
    <w:rsid w:val="00CB3470"/>
    <w:rsid w:val="00CC2A03"/>
    <w:rsid w:val="00CD4907"/>
    <w:rsid w:val="00CD606E"/>
    <w:rsid w:val="00CD658C"/>
    <w:rsid w:val="00CD7ECB"/>
    <w:rsid w:val="00CE10A6"/>
    <w:rsid w:val="00CE497C"/>
    <w:rsid w:val="00CF0BB2"/>
    <w:rsid w:val="00D0104A"/>
    <w:rsid w:val="00D07A04"/>
    <w:rsid w:val="00D13441"/>
    <w:rsid w:val="00D17B17"/>
    <w:rsid w:val="00D2331F"/>
    <w:rsid w:val="00D243A3"/>
    <w:rsid w:val="00D300B9"/>
    <w:rsid w:val="00D333D9"/>
    <w:rsid w:val="00D33440"/>
    <w:rsid w:val="00D40403"/>
    <w:rsid w:val="00D41159"/>
    <w:rsid w:val="00D52EFE"/>
    <w:rsid w:val="00D5531B"/>
    <w:rsid w:val="00D63EF6"/>
    <w:rsid w:val="00D70DFB"/>
    <w:rsid w:val="00D766DF"/>
    <w:rsid w:val="00D76A86"/>
    <w:rsid w:val="00D83D21"/>
    <w:rsid w:val="00D84B58"/>
    <w:rsid w:val="00D90DDB"/>
    <w:rsid w:val="00D9129A"/>
    <w:rsid w:val="00D925D1"/>
    <w:rsid w:val="00D963F0"/>
    <w:rsid w:val="00DA2607"/>
    <w:rsid w:val="00DA3FF2"/>
    <w:rsid w:val="00DB7DB7"/>
    <w:rsid w:val="00DC21C1"/>
    <w:rsid w:val="00DC61A4"/>
    <w:rsid w:val="00DD146C"/>
    <w:rsid w:val="00DD1812"/>
    <w:rsid w:val="00DD4554"/>
    <w:rsid w:val="00DD7A9B"/>
    <w:rsid w:val="00DE4196"/>
    <w:rsid w:val="00DF0B07"/>
    <w:rsid w:val="00DF4B08"/>
    <w:rsid w:val="00DF5DA0"/>
    <w:rsid w:val="00E052A1"/>
    <w:rsid w:val="00E05704"/>
    <w:rsid w:val="00E05C46"/>
    <w:rsid w:val="00E066D1"/>
    <w:rsid w:val="00E2526E"/>
    <w:rsid w:val="00E30206"/>
    <w:rsid w:val="00E31BED"/>
    <w:rsid w:val="00E320E4"/>
    <w:rsid w:val="00E32EFC"/>
    <w:rsid w:val="00E33C1C"/>
    <w:rsid w:val="00E35EB8"/>
    <w:rsid w:val="00E443FC"/>
    <w:rsid w:val="00E45FE7"/>
    <w:rsid w:val="00E470C5"/>
    <w:rsid w:val="00E476B8"/>
    <w:rsid w:val="00E54292"/>
    <w:rsid w:val="00E55BCD"/>
    <w:rsid w:val="00E71C91"/>
    <w:rsid w:val="00E72897"/>
    <w:rsid w:val="00E73EC4"/>
    <w:rsid w:val="00E7461F"/>
    <w:rsid w:val="00E74DC7"/>
    <w:rsid w:val="00E76123"/>
    <w:rsid w:val="00E76FAB"/>
    <w:rsid w:val="00E83E2E"/>
    <w:rsid w:val="00E84B32"/>
    <w:rsid w:val="00E86D9C"/>
    <w:rsid w:val="00E87699"/>
    <w:rsid w:val="00E90675"/>
    <w:rsid w:val="00E9570C"/>
    <w:rsid w:val="00E97415"/>
    <w:rsid w:val="00EA2110"/>
    <w:rsid w:val="00EA57DF"/>
    <w:rsid w:val="00EB0562"/>
    <w:rsid w:val="00EB594A"/>
    <w:rsid w:val="00EC051B"/>
    <w:rsid w:val="00EC131C"/>
    <w:rsid w:val="00ED1AC8"/>
    <w:rsid w:val="00ED2F36"/>
    <w:rsid w:val="00ED3A7D"/>
    <w:rsid w:val="00ED65A9"/>
    <w:rsid w:val="00EE3080"/>
    <w:rsid w:val="00EF227A"/>
    <w:rsid w:val="00EF2E3A"/>
    <w:rsid w:val="00EF3467"/>
    <w:rsid w:val="00EF5C81"/>
    <w:rsid w:val="00EF6B5A"/>
    <w:rsid w:val="00F0221F"/>
    <w:rsid w:val="00F047E2"/>
    <w:rsid w:val="00F05C64"/>
    <w:rsid w:val="00F05F56"/>
    <w:rsid w:val="00F078DC"/>
    <w:rsid w:val="00F13E86"/>
    <w:rsid w:val="00F171B1"/>
    <w:rsid w:val="00F24C35"/>
    <w:rsid w:val="00F31F52"/>
    <w:rsid w:val="00F340C2"/>
    <w:rsid w:val="00F352B0"/>
    <w:rsid w:val="00F37F3B"/>
    <w:rsid w:val="00F41E1B"/>
    <w:rsid w:val="00F439DA"/>
    <w:rsid w:val="00F56759"/>
    <w:rsid w:val="00F65E31"/>
    <w:rsid w:val="00F677A9"/>
    <w:rsid w:val="00F726C4"/>
    <w:rsid w:val="00F808E3"/>
    <w:rsid w:val="00F84CF5"/>
    <w:rsid w:val="00F921F0"/>
    <w:rsid w:val="00FA420B"/>
    <w:rsid w:val="00FA7E53"/>
    <w:rsid w:val="00FB03B3"/>
    <w:rsid w:val="00FB192C"/>
    <w:rsid w:val="00FD7CFE"/>
    <w:rsid w:val="00FE4945"/>
    <w:rsid w:val="00FF1511"/>
    <w:rsid w:val="00FF3089"/>
    <w:rsid w:val="00FF3B04"/>
    <w:rsid w:val="00FF5933"/>
    <w:rsid w:val="00FF7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775D"/>
    <w:pPr>
      <w:spacing w:line="260" w:lineRule="atLeast"/>
    </w:pPr>
    <w:rPr>
      <w:sz w:val="22"/>
    </w:rPr>
  </w:style>
  <w:style w:type="paragraph" w:styleId="Heading1">
    <w:name w:val="heading 1"/>
    <w:basedOn w:val="Normal"/>
    <w:next w:val="Normal"/>
    <w:link w:val="Heading1Char"/>
    <w:uiPriority w:val="9"/>
    <w:qFormat/>
    <w:rsid w:val="00956E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6E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6E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6E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56E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6E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6E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6E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56E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E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56E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56E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56E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56E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56E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56E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56E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56E87"/>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6D775D"/>
  </w:style>
  <w:style w:type="paragraph" w:customStyle="1" w:styleId="OPCParaBase">
    <w:name w:val="OPCParaBase"/>
    <w:qFormat/>
    <w:rsid w:val="006D775D"/>
    <w:pPr>
      <w:spacing w:line="260" w:lineRule="atLeast"/>
    </w:pPr>
    <w:rPr>
      <w:rFonts w:eastAsia="Times New Roman" w:cs="Times New Roman"/>
      <w:sz w:val="22"/>
      <w:lang w:eastAsia="en-AU"/>
    </w:rPr>
  </w:style>
  <w:style w:type="paragraph" w:customStyle="1" w:styleId="ShortT">
    <w:name w:val="ShortT"/>
    <w:basedOn w:val="OPCParaBase"/>
    <w:next w:val="Normal"/>
    <w:qFormat/>
    <w:rsid w:val="006D775D"/>
    <w:pPr>
      <w:spacing w:line="240" w:lineRule="auto"/>
    </w:pPr>
    <w:rPr>
      <w:b/>
      <w:sz w:val="40"/>
    </w:rPr>
  </w:style>
  <w:style w:type="paragraph" w:customStyle="1" w:styleId="ActHead1">
    <w:name w:val="ActHead 1"/>
    <w:aliases w:val="c"/>
    <w:basedOn w:val="OPCParaBase"/>
    <w:next w:val="Normal"/>
    <w:qFormat/>
    <w:rsid w:val="006D77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77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77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77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D775D"/>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6D775D"/>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956E87"/>
    <w:rPr>
      <w:rFonts w:eastAsia="Times New Roman" w:cs="Times New Roman"/>
      <w:sz w:val="22"/>
      <w:lang w:eastAsia="en-AU"/>
    </w:rPr>
  </w:style>
  <w:style w:type="character" w:customStyle="1" w:styleId="ActHead5Char">
    <w:name w:val="ActHead 5 Char"/>
    <w:aliases w:val="s Char"/>
    <w:link w:val="ActHead5"/>
    <w:locked/>
    <w:rsid w:val="008D37A1"/>
    <w:rPr>
      <w:rFonts w:eastAsia="Times New Roman" w:cs="Times New Roman"/>
      <w:b/>
      <w:kern w:val="28"/>
      <w:sz w:val="24"/>
      <w:lang w:eastAsia="en-AU"/>
    </w:rPr>
  </w:style>
  <w:style w:type="paragraph" w:customStyle="1" w:styleId="ActHead6">
    <w:name w:val="ActHead 6"/>
    <w:aliases w:val="as"/>
    <w:basedOn w:val="OPCParaBase"/>
    <w:next w:val="ActHead7"/>
    <w:qFormat/>
    <w:rsid w:val="006D77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775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6D775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6D775D"/>
    <w:pPr>
      <w:keepLines/>
      <w:spacing w:before="80" w:line="240" w:lineRule="auto"/>
      <w:ind w:left="709"/>
    </w:pPr>
  </w:style>
  <w:style w:type="paragraph" w:customStyle="1" w:styleId="ActHead8">
    <w:name w:val="ActHead 8"/>
    <w:aliases w:val="ad"/>
    <w:basedOn w:val="OPCParaBase"/>
    <w:next w:val="ItemHead"/>
    <w:qFormat/>
    <w:rsid w:val="006D77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775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D775D"/>
  </w:style>
  <w:style w:type="paragraph" w:customStyle="1" w:styleId="Blocks">
    <w:name w:val="Blocks"/>
    <w:aliases w:val="bb"/>
    <w:basedOn w:val="OPCParaBase"/>
    <w:qFormat/>
    <w:rsid w:val="006D775D"/>
    <w:pPr>
      <w:spacing w:line="240" w:lineRule="auto"/>
    </w:pPr>
    <w:rPr>
      <w:sz w:val="24"/>
    </w:rPr>
  </w:style>
  <w:style w:type="paragraph" w:customStyle="1" w:styleId="BoxText">
    <w:name w:val="BoxText"/>
    <w:aliases w:val="bt"/>
    <w:basedOn w:val="OPCParaBase"/>
    <w:qFormat/>
    <w:rsid w:val="006D77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775D"/>
    <w:rPr>
      <w:b/>
    </w:rPr>
  </w:style>
  <w:style w:type="paragraph" w:customStyle="1" w:styleId="BoxHeadItalic">
    <w:name w:val="BoxHeadItalic"/>
    <w:aliases w:val="bhi"/>
    <w:basedOn w:val="BoxText"/>
    <w:next w:val="BoxStep"/>
    <w:qFormat/>
    <w:rsid w:val="006D775D"/>
    <w:rPr>
      <w:i/>
    </w:rPr>
  </w:style>
  <w:style w:type="paragraph" w:customStyle="1" w:styleId="BoxStep">
    <w:name w:val="BoxStep"/>
    <w:aliases w:val="bs"/>
    <w:basedOn w:val="BoxText"/>
    <w:qFormat/>
    <w:rsid w:val="006D775D"/>
    <w:pPr>
      <w:ind w:left="1985" w:hanging="851"/>
    </w:pPr>
  </w:style>
  <w:style w:type="paragraph" w:customStyle="1" w:styleId="BoxList">
    <w:name w:val="BoxList"/>
    <w:aliases w:val="bl"/>
    <w:basedOn w:val="BoxText"/>
    <w:qFormat/>
    <w:rsid w:val="006D775D"/>
    <w:pPr>
      <w:ind w:left="1559" w:hanging="425"/>
    </w:pPr>
  </w:style>
  <w:style w:type="paragraph" w:customStyle="1" w:styleId="BoxNote">
    <w:name w:val="BoxNote"/>
    <w:aliases w:val="bn"/>
    <w:basedOn w:val="BoxText"/>
    <w:qFormat/>
    <w:rsid w:val="006D775D"/>
    <w:pPr>
      <w:tabs>
        <w:tab w:val="left" w:pos="1985"/>
      </w:tabs>
      <w:spacing w:before="122" w:line="198" w:lineRule="exact"/>
      <w:ind w:left="2948" w:hanging="1814"/>
    </w:pPr>
    <w:rPr>
      <w:sz w:val="18"/>
    </w:rPr>
  </w:style>
  <w:style w:type="paragraph" w:customStyle="1" w:styleId="BoxPara">
    <w:name w:val="BoxPara"/>
    <w:aliases w:val="bp"/>
    <w:basedOn w:val="BoxText"/>
    <w:qFormat/>
    <w:rsid w:val="006D775D"/>
    <w:pPr>
      <w:tabs>
        <w:tab w:val="right" w:pos="2268"/>
      </w:tabs>
      <w:ind w:left="2552" w:hanging="1418"/>
    </w:pPr>
  </w:style>
  <w:style w:type="character" w:customStyle="1" w:styleId="CharAmPartNo">
    <w:name w:val="CharAmPartNo"/>
    <w:basedOn w:val="OPCCharBase"/>
    <w:qFormat/>
    <w:rsid w:val="006D775D"/>
  </w:style>
  <w:style w:type="character" w:customStyle="1" w:styleId="CharAmPartText">
    <w:name w:val="CharAmPartText"/>
    <w:basedOn w:val="OPCCharBase"/>
    <w:qFormat/>
    <w:rsid w:val="006D775D"/>
  </w:style>
  <w:style w:type="character" w:customStyle="1" w:styleId="CharAmSchNo">
    <w:name w:val="CharAmSchNo"/>
    <w:basedOn w:val="OPCCharBase"/>
    <w:qFormat/>
    <w:rsid w:val="006D775D"/>
  </w:style>
  <w:style w:type="character" w:customStyle="1" w:styleId="CharAmSchText">
    <w:name w:val="CharAmSchText"/>
    <w:basedOn w:val="OPCCharBase"/>
    <w:qFormat/>
    <w:rsid w:val="006D775D"/>
  </w:style>
  <w:style w:type="character" w:customStyle="1" w:styleId="CharBoldItalic">
    <w:name w:val="CharBoldItalic"/>
    <w:basedOn w:val="OPCCharBase"/>
    <w:uiPriority w:val="1"/>
    <w:qFormat/>
    <w:rsid w:val="006D775D"/>
    <w:rPr>
      <w:b/>
      <w:i/>
    </w:rPr>
  </w:style>
  <w:style w:type="character" w:customStyle="1" w:styleId="CharChapNo">
    <w:name w:val="CharChapNo"/>
    <w:basedOn w:val="OPCCharBase"/>
    <w:uiPriority w:val="1"/>
    <w:qFormat/>
    <w:rsid w:val="006D775D"/>
  </w:style>
  <w:style w:type="character" w:customStyle="1" w:styleId="CharChapText">
    <w:name w:val="CharChapText"/>
    <w:basedOn w:val="OPCCharBase"/>
    <w:uiPriority w:val="1"/>
    <w:qFormat/>
    <w:rsid w:val="006D775D"/>
  </w:style>
  <w:style w:type="character" w:customStyle="1" w:styleId="CharDivNo">
    <w:name w:val="CharDivNo"/>
    <w:basedOn w:val="OPCCharBase"/>
    <w:uiPriority w:val="1"/>
    <w:qFormat/>
    <w:rsid w:val="006D775D"/>
  </w:style>
  <w:style w:type="character" w:customStyle="1" w:styleId="CharDivText">
    <w:name w:val="CharDivText"/>
    <w:basedOn w:val="OPCCharBase"/>
    <w:uiPriority w:val="1"/>
    <w:qFormat/>
    <w:rsid w:val="006D775D"/>
  </w:style>
  <w:style w:type="character" w:customStyle="1" w:styleId="CharItalic">
    <w:name w:val="CharItalic"/>
    <w:basedOn w:val="OPCCharBase"/>
    <w:uiPriority w:val="1"/>
    <w:qFormat/>
    <w:rsid w:val="006D775D"/>
    <w:rPr>
      <w:i/>
    </w:rPr>
  </w:style>
  <w:style w:type="character" w:customStyle="1" w:styleId="CharPartNo">
    <w:name w:val="CharPartNo"/>
    <w:basedOn w:val="OPCCharBase"/>
    <w:uiPriority w:val="1"/>
    <w:qFormat/>
    <w:rsid w:val="006D775D"/>
  </w:style>
  <w:style w:type="character" w:customStyle="1" w:styleId="CharPartText">
    <w:name w:val="CharPartText"/>
    <w:basedOn w:val="OPCCharBase"/>
    <w:uiPriority w:val="1"/>
    <w:qFormat/>
    <w:rsid w:val="006D775D"/>
  </w:style>
  <w:style w:type="character" w:customStyle="1" w:styleId="CharSectno">
    <w:name w:val="CharSectno"/>
    <w:basedOn w:val="OPCCharBase"/>
    <w:qFormat/>
    <w:rsid w:val="006D775D"/>
  </w:style>
  <w:style w:type="character" w:customStyle="1" w:styleId="CharSubdNo">
    <w:name w:val="CharSubdNo"/>
    <w:basedOn w:val="OPCCharBase"/>
    <w:uiPriority w:val="1"/>
    <w:qFormat/>
    <w:rsid w:val="006D775D"/>
  </w:style>
  <w:style w:type="character" w:customStyle="1" w:styleId="CharSubdText">
    <w:name w:val="CharSubdText"/>
    <w:basedOn w:val="OPCCharBase"/>
    <w:uiPriority w:val="1"/>
    <w:qFormat/>
    <w:rsid w:val="006D775D"/>
  </w:style>
  <w:style w:type="paragraph" w:customStyle="1" w:styleId="CTA--">
    <w:name w:val="CTA --"/>
    <w:basedOn w:val="OPCParaBase"/>
    <w:next w:val="Normal"/>
    <w:rsid w:val="006D775D"/>
    <w:pPr>
      <w:spacing w:before="60" w:line="240" w:lineRule="atLeast"/>
      <w:ind w:left="142" w:hanging="142"/>
    </w:pPr>
    <w:rPr>
      <w:sz w:val="20"/>
    </w:rPr>
  </w:style>
  <w:style w:type="paragraph" w:customStyle="1" w:styleId="CTA-">
    <w:name w:val="CTA -"/>
    <w:basedOn w:val="OPCParaBase"/>
    <w:rsid w:val="006D775D"/>
    <w:pPr>
      <w:spacing w:before="60" w:line="240" w:lineRule="atLeast"/>
      <w:ind w:left="85" w:hanging="85"/>
    </w:pPr>
    <w:rPr>
      <w:sz w:val="20"/>
    </w:rPr>
  </w:style>
  <w:style w:type="paragraph" w:customStyle="1" w:styleId="CTA---">
    <w:name w:val="CTA ---"/>
    <w:basedOn w:val="OPCParaBase"/>
    <w:next w:val="Normal"/>
    <w:rsid w:val="006D775D"/>
    <w:pPr>
      <w:spacing w:before="60" w:line="240" w:lineRule="atLeast"/>
      <w:ind w:left="198" w:hanging="198"/>
    </w:pPr>
    <w:rPr>
      <w:sz w:val="20"/>
    </w:rPr>
  </w:style>
  <w:style w:type="paragraph" w:customStyle="1" w:styleId="CTA----">
    <w:name w:val="CTA ----"/>
    <w:basedOn w:val="OPCParaBase"/>
    <w:next w:val="Normal"/>
    <w:rsid w:val="006D775D"/>
    <w:pPr>
      <w:spacing w:before="60" w:line="240" w:lineRule="atLeast"/>
      <w:ind w:left="255" w:hanging="255"/>
    </w:pPr>
    <w:rPr>
      <w:sz w:val="20"/>
    </w:rPr>
  </w:style>
  <w:style w:type="paragraph" w:customStyle="1" w:styleId="CTA1a">
    <w:name w:val="CTA 1(a)"/>
    <w:basedOn w:val="OPCParaBase"/>
    <w:rsid w:val="006D775D"/>
    <w:pPr>
      <w:tabs>
        <w:tab w:val="right" w:pos="414"/>
      </w:tabs>
      <w:spacing w:before="40" w:line="240" w:lineRule="atLeast"/>
      <w:ind w:left="675" w:hanging="675"/>
    </w:pPr>
    <w:rPr>
      <w:sz w:val="20"/>
    </w:rPr>
  </w:style>
  <w:style w:type="paragraph" w:customStyle="1" w:styleId="CTA1ai">
    <w:name w:val="CTA 1(a)(i)"/>
    <w:basedOn w:val="OPCParaBase"/>
    <w:rsid w:val="006D775D"/>
    <w:pPr>
      <w:tabs>
        <w:tab w:val="right" w:pos="1004"/>
      </w:tabs>
      <w:spacing w:before="40" w:line="240" w:lineRule="atLeast"/>
      <w:ind w:left="1253" w:hanging="1253"/>
    </w:pPr>
    <w:rPr>
      <w:sz w:val="20"/>
    </w:rPr>
  </w:style>
  <w:style w:type="paragraph" w:customStyle="1" w:styleId="CTA2a">
    <w:name w:val="CTA 2(a)"/>
    <w:basedOn w:val="OPCParaBase"/>
    <w:rsid w:val="006D775D"/>
    <w:pPr>
      <w:tabs>
        <w:tab w:val="right" w:pos="482"/>
      </w:tabs>
      <w:spacing w:before="40" w:line="240" w:lineRule="atLeast"/>
      <w:ind w:left="748" w:hanging="748"/>
    </w:pPr>
    <w:rPr>
      <w:sz w:val="20"/>
    </w:rPr>
  </w:style>
  <w:style w:type="paragraph" w:customStyle="1" w:styleId="CTA2ai">
    <w:name w:val="CTA 2(a)(i)"/>
    <w:basedOn w:val="OPCParaBase"/>
    <w:rsid w:val="006D775D"/>
    <w:pPr>
      <w:tabs>
        <w:tab w:val="right" w:pos="1089"/>
      </w:tabs>
      <w:spacing w:before="40" w:line="240" w:lineRule="atLeast"/>
      <w:ind w:left="1327" w:hanging="1327"/>
    </w:pPr>
    <w:rPr>
      <w:sz w:val="20"/>
    </w:rPr>
  </w:style>
  <w:style w:type="paragraph" w:customStyle="1" w:styleId="CTA3a">
    <w:name w:val="CTA 3(a)"/>
    <w:basedOn w:val="OPCParaBase"/>
    <w:rsid w:val="006D775D"/>
    <w:pPr>
      <w:tabs>
        <w:tab w:val="right" w:pos="556"/>
      </w:tabs>
      <w:spacing w:before="40" w:line="240" w:lineRule="atLeast"/>
      <w:ind w:left="805" w:hanging="805"/>
    </w:pPr>
    <w:rPr>
      <w:sz w:val="20"/>
    </w:rPr>
  </w:style>
  <w:style w:type="paragraph" w:customStyle="1" w:styleId="CTA3ai">
    <w:name w:val="CTA 3(a)(i)"/>
    <w:basedOn w:val="OPCParaBase"/>
    <w:rsid w:val="006D775D"/>
    <w:pPr>
      <w:tabs>
        <w:tab w:val="right" w:pos="1140"/>
      </w:tabs>
      <w:spacing w:before="40" w:line="240" w:lineRule="atLeast"/>
      <w:ind w:left="1361" w:hanging="1361"/>
    </w:pPr>
    <w:rPr>
      <w:sz w:val="20"/>
    </w:rPr>
  </w:style>
  <w:style w:type="paragraph" w:customStyle="1" w:styleId="CTA4a">
    <w:name w:val="CTA 4(a)"/>
    <w:basedOn w:val="OPCParaBase"/>
    <w:rsid w:val="006D775D"/>
    <w:pPr>
      <w:tabs>
        <w:tab w:val="right" w:pos="624"/>
      </w:tabs>
      <w:spacing w:before="40" w:line="240" w:lineRule="atLeast"/>
      <w:ind w:left="873" w:hanging="873"/>
    </w:pPr>
    <w:rPr>
      <w:sz w:val="20"/>
    </w:rPr>
  </w:style>
  <w:style w:type="paragraph" w:customStyle="1" w:styleId="CTA4ai">
    <w:name w:val="CTA 4(a)(i)"/>
    <w:basedOn w:val="OPCParaBase"/>
    <w:rsid w:val="006D775D"/>
    <w:pPr>
      <w:tabs>
        <w:tab w:val="right" w:pos="1213"/>
      </w:tabs>
      <w:spacing w:before="40" w:line="240" w:lineRule="atLeast"/>
      <w:ind w:left="1452" w:hanging="1452"/>
    </w:pPr>
    <w:rPr>
      <w:sz w:val="20"/>
    </w:rPr>
  </w:style>
  <w:style w:type="paragraph" w:customStyle="1" w:styleId="CTACAPS">
    <w:name w:val="CTA CAPS"/>
    <w:basedOn w:val="OPCParaBase"/>
    <w:rsid w:val="006D775D"/>
    <w:pPr>
      <w:spacing w:before="60" w:line="240" w:lineRule="atLeast"/>
    </w:pPr>
    <w:rPr>
      <w:sz w:val="20"/>
    </w:rPr>
  </w:style>
  <w:style w:type="paragraph" w:customStyle="1" w:styleId="CTAright">
    <w:name w:val="CTA right"/>
    <w:basedOn w:val="OPCParaBase"/>
    <w:rsid w:val="006D775D"/>
    <w:pPr>
      <w:spacing w:before="60" w:line="240" w:lineRule="auto"/>
      <w:jc w:val="right"/>
    </w:pPr>
    <w:rPr>
      <w:sz w:val="20"/>
    </w:rPr>
  </w:style>
  <w:style w:type="paragraph" w:customStyle="1" w:styleId="Definition">
    <w:name w:val="Definition"/>
    <w:aliases w:val="dd"/>
    <w:basedOn w:val="OPCParaBase"/>
    <w:rsid w:val="006D775D"/>
    <w:pPr>
      <w:spacing w:before="180" w:line="240" w:lineRule="auto"/>
      <w:ind w:left="1134"/>
    </w:pPr>
  </w:style>
  <w:style w:type="paragraph" w:customStyle="1" w:styleId="ETAsubitem">
    <w:name w:val="ETA(subitem)"/>
    <w:basedOn w:val="OPCParaBase"/>
    <w:rsid w:val="006D775D"/>
    <w:pPr>
      <w:tabs>
        <w:tab w:val="right" w:pos="340"/>
      </w:tabs>
      <w:spacing w:before="60" w:line="240" w:lineRule="auto"/>
      <w:ind w:left="454" w:hanging="454"/>
    </w:pPr>
    <w:rPr>
      <w:sz w:val="20"/>
    </w:rPr>
  </w:style>
  <w:style w:type="paragraph" w:customStyle="1" w:styleId="ETApara">
    <w:name w:val="ETA(para)"/>
    <w:basedOn w:val="OPCParaBase"/>
    <w:rsid w:val="006D775D"/>
    <w:pPr>
      <w:tabs>
        <w:tab w:val="right" w:pos="754"/>
      </w:tabs>
      <w:spacing w:before="60" w:line="240" w:lineRule="auto"/>
      <w:ind w:left="828" w:hanging="828"/>
    </w:pPr>
    <w:rPr>
      <w:sz w:val="20"/>
    </w:rPr>
  </w:style>
  <w:style w:type="paragraph" w:customStyle="1" w:styleId="ETAsubpara">
    <w:name w:val="ETA(subpara)"/>
    <w:basedOn w:val="OPCParaBase"/>
    <w:rsid w:val="006D775D"/>
    <w:pPr>
      <w:tabs>
        <w:tab w:val="right" w:pos="1083"/>
      </w:tabs>
      <w:spacing w:before="60" w:line="240" w:lineRule="auto"/>
      <w:ind w:left="1191" w:hanging="1191"/>
    </w:pPr>
    <w:rPr>
      <w:sz w:val="20"/>
    </w:rPr>
  </w:style>
  <w:style w:type="paragraph" w:customStyle="1" w:styleId="ETAsub-subpara">
    <w:name w:val="ETA(sub-subpara)"/>
    <w:basedOn w:val="OPCParaBase"/>
    <w:rsid w:val="006D775D"/>
    <w:pPr>
      <w:tabs>
        <w:tab w:val="right" w:pos="1412"/>
      </w:tabs>
      <w:spacing w:before="60" w:line="240" w:lineRule="auto"/>
      <w:ind w:left="1525" w:hanging="1525"/>
    </w:pPr>
    <w:rPr>
      <w:sz w:val="20"/>
    </w:rPr>
  </w:style>
  <w:style w:type="paragraph" w:customStyle="1" w:styleId="Formula">
    <w:name w:val="Formula"/>
    <w:basedOn w:val="OPCParaBase"/>
    <w:rsid w:val="006D775D"/>
    <w:pPr>
      <w:spacing w:line="240" w:lineRule="auto"/>
      <w:ind w:left="1134"/>
    </w:pPr>
    <w:rPr>
      <w:sz w:val="20"/>
    </w:rPr>
  </w:style>
  <w:style w:type="paragraph" w:styleId="Header">
    <w:name w:val="header"/>
    <w:basedOn w:val="OPCParaBase"/>
    <w:link w:val="HeaderChar"/>
    <w:unhideWhenUsed/>
    <w:rsid w:val="006D77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D775D"/>
    <w:rPr>
      <w:rFonts w:eastAsia="Times New Roman" w:cs="Times New Roman"/>
      <w:sz w:val="16"/>
      <w:lang w:eastAsia="en-AU"/>
    </w:rPr>
  </w:style>
  <w:style w:type="paragraph" w:customStyle="1" w:styleId="House">
    <w:name w:val="House"/>
    <w:basedOn w:val="OPCParaBase"/>
    <w:rsid w:val="006D775D"/>
    <w:pPr>
      <w:spacing w:line="240" w:lineRule="auto"/>
    </w:pPr>
    <w:rPr>
      <w:sz w:val="28"/>
    </w:rPr>
  </w:style>
  <w:style w:type="paragraph" w:customStyle="1" w:styleId="LongT">
    <w:name w:val="LongT"/>
    <w:basedOn w:val="OPCParaBase"/>
    <w:rsid w:val="006D775D"/>
    <w:pPr>
      <w:spacing w:line="240" w:lineRule="auto"/>
    </w:pPr>
    <w:rPr>
      <w:b/>
      <w:sz w:val="32"/>
    </w:rPr>
  </w:style>
  <w:style w:type="paragraph" w:customStyle="1" w:styleId="notedraft">
    <w:name w:val="note(draft)"/>
    <w:aliases w:val="nd"/>
    <w:basedOn w:val="OPCParaBase"/>
    <w:rsid w:val="006D775D"/>
    <w:pPr>
      <w:spacing w:before="240" w:line="240" w:lineRule="auto"/>
      <w:ind w:left="284" w:hanging="284"/>
    </w:pPr>
    <w:rPr>
      <w:i/>
      <w:sz w:val="24"/>
    </w:rPr>
  </w:style>
  <w:style w:type="paragraph" w:customStyle="1" w:styleId="notemargin">
    <w:name w:val="note(margin)"/>
    <w:aliases w:val="nm"/>
    <w:basedOn w:val="OPCParaBase"/>
    <w:rsid w:val="006D775D"/>
    <w:pPr>
      <w:tabs>
        <w:tab w:val="left" w:pos="709"/>
      </w:tabs>
      <w:spacing w:before="122" w:line="198" w:lineRule="exact"/>
      <w:ind w:left="709" w:hanging="709"/>
    </w:pPr>
    <w:rPr>
      <w:sz w:val="18"/>
    </w:rPr>
  </w:style>
  <w:style w:type="paragraph" w:customStyle="1" w:styleId="noteToPara">
    <w:name w:val="noteToPara"/>
    <w:aliases w:val="ntp"/>
    <w:basedOn w:val="OPCParaBase"/>
    <w:rsid w:val="006D775D"/>
    <w:pPr>
      <w:spacing w:before="122" w:line="198" w:lineRule="exact"/>
      <w:ind w:left="2353" w:hanging="709"/>
    </w:pPr>
    <w:rPr>
      <w:sz w:val="18"/>
    </w:rPr>
  </w:style>
  <w:style w:type="paragraph" w:customStyle="1" w:styleId="noteParlAmend">
    <w:name w:val="note(ParlAmend)"/>
    <w:aliases w:val="npp"/>
    <w:basedOn w:val="OPCParaBase"/>
    <w:next w:val="ParlAmend"/>
    <w:rsid w:val="006D775D"/>
    <w:pPr>
      <w:spacing w:line="240" w:lineRule="auto"/>
      <w:jc w:val="right"/>
    </w:pPr>
    <w:rPr>
      <w:rFonts w:ascii="Arial" w:hAnsi="Arial"/>
      <w:b/>
      <w:i/>
    </w:rPr>
  </w:style>
  <w:style w:type="paragraph" w:customStyle="1" w:styleId="ParlAmend">
    <w:name w:val="ParlAmend"/>
    <w:aliases w:val="pp"/>
    <w:basedOn w:val="OPCParaBase"/>
    <w:rsid w:val="006D775D"/>
    <w:pPr>
      <w:spacing w:before="240" w:line="240" w:lineRule="atLeast"/>
      <w:ind w:hanging="567"/>
    </w:pPr>
    <w:rPr>
      <w:sz w:val="24"/>
    </w:rPr>
  </w:style>
  <w:style w:type="paragraph" w:customStyle="1" w:styleId="Page1">
    <w:name w:val="Page1"/>
    <w:basedOn w:val="OPCParaBase"/>
    <w:rsid w:val="006D775D"/>
    <w:pPr>
      <w:spacing w:before="5600" w:line="240" w:lineRule="auto"/>
    </w:pPr>
    <w:rPr>
      <w:b/>
      <w:sz w:val="32"/>
    </w:rPr>
  </w:style>
  <w:style w:type="paragraph" w:customStyle="1" w:styleId="PageBreak">
    <w:name w:val="PageBreak"/>
    <w:aliases w:val="pb"/>
    <w:basedOn w:val="OPCParaBase"/>
    <w:rsid w:val="006D775D"/>
    <w:pPr>
      <w:spacing w:line="240" w:lineRule="auto"/>
    </w:pPr>
    <w:rPr>
      <w:sz w:val="20"/>
    </w:rPr>
  </w:style>
  <w:style w:type="paragraph" w:customStyle="1" w:styleId="paragraphsub">
    <w:name w:val="paragraph(sub)"/>
    <w:aliases w:val="aa"/>
    <w:basedOn w:val="OPCParaBase"/>
    <w:rsid w:val="006D775D"/>
    <w:pPr>
      <w:tabs>
        <w:tab w:val="right" w:pos="1985"/>
      </w:tabs>
      <w:spacing w:before="40" w:line="240" w:lineRule="auto"/>
      <w:ind w:left="2098" w:hanging="2098"/>
    </w:pPr>
  </w:style>
  <w:style w:type="paragraph" w:customStyle="1" w:styleId="paragraphsub-sub">
    <w:name w:val="paragraph(sub-sub)"/>
    <w:aliases w:val="aaa"/>
    <w:basedOn w:val="OPCParaBase"/>
    <w:rsid w:val="006D775D"/>
    <w:pPr>
      <w:tabs>
        <w:tab w:val="right" w:pos="2722"/>
      </w:tabs>
      <w:spacing w:before="40" w:line="240" w:lineRule="auto"/>
      <w:ind w:left="2835" w:hanging="2835"/>
    </w:pPr>
  </w:style>
  <w:style w:type="paragraph" w:customStyle="1" w:styleId="paragraph">
    <w:name w:val="paragraph"/>
    <w:aliases w:val="a"/>
    <w:basedOn w:val="OPCParaBase"/>
    <w:rsid w:val="006D775D"/>
    <w:pPr>
      <w:tabs>
        <w:tab w:val="right" w:pos="1531"/>
      </w:tabs>
      <w:spacing w:before="40" w:line="240" w:lineRule="auto"/>
      <w:ind w:left="1644" w:hanging="1644"/>
    </w:pPr>
  </w:style>
  <w:style w:type="paragraph" w:customStyle="1" w:styleId="Penalty">
    <w:name w:val="Penalty"/>
    <w:basedOn w:val="OPCParaBase"/>
    <w:rsid w:val="006D775D"/>
    <w:pPr>
      <w:tabs>
        <w:tab w:val="left" w:pos="2977"/>
      </w:tabs>
      <w:spacing w:before="180" w:line="240" w:lineRule="auto"/>
      <w:ind w:left="1985" w:hanging="851"/>
    </w:pPr>
  </w:style>
  <w:style w:type="paragraph" w:customStyle="1" w:styleId="Portfolio">
    <w:name w:val="Portfolio"/>
    <w:basedOn w:val="OPCParaBase"/>
    <w:rsid w:val="006D775D"/>
    <w:pPr>
      <w:spacing w:line="240" w:lineRule="auto"/>
    </w:pPr>
    <w:rPr>
      <w:i/>
      <w:sz w:val="20"/>
    </w:rPr>
  </w:style>
  <w:style w:type="paragraph" w:customStyle="1" w:styleId="Preamble">
    <w:name w:val="Preamble"/>
    <w:basedOn w:val="OPCParaBase"/>
    <w:next w:val="Normal"/>
    <w:rsid w:val="006D77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775D"/>
    <w:pPr>
      <w:spacing w:line="240" w:lineRule="auto"/>
    </w:pPr>
    <w:rPr>
      <w:i/>
      <w:sz w:val="20"/>
    </w:rPr>
  </w:style>
  <w:style w:type="paragraph" w:customStyle="1" w:styleId="Session">
    <w:name w:val="Session"/>
    <w:basedOn w:val="OPCParaBase"/>
    <w:rsid w:val="006D775D"/>
    <w:pPr>
      <w:spacing w:line="240" w:lineRule="auto"/>
    </w:pPr>
    <w:rPr>
      <w:sz w:val="28"/>
    </w:rPr>
  </w:style>
  <w:style w:type="paragraph" w:customStyle="1" w:styleId="Sponsor">
    <w:name w:val="Sponsor"/>
    <w:basedOn w:val="OPCParaBase"/>
    <w:rsid w:val="006D775D"/>
    <w:pPr>
      <w:spacing w:line="240" w:lineRule="auto"/>
    </w:pPr>
    <w:rPr>
      <w:i/>
    </w:rPr>
  </w:style>
  <w:style w:type="paragraph" w:customStyle="1" w:styleId="Subitem">
    <w:name w:val="Subitem"/>
    <w:aliases w:val="iss"/>
    <w:basedOn w:val="OPCParaBase"/>
    <w:rsid w:val="006D775D"/>
    <w:pPr>
      <w:spacing w:before="180" w:line="240" w:lineRule="auto"/>
      <w:ind w:left="709" w:hanging="709"/>
    </w:pPr>
  </w:style>
  <w:style w:type="paragraph" w:customStyle="1" w:styleId="SubitemHead">
    <w:name w:val="SubitemHead"/>
    <w:aliases w:val="issh"/>
    <w:basedOn w:val="OPCParaBase"/>
    <w:rsid w:val="006D77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775D"/>
    <w:pPr>
      <w:spacing w:before="40" w:line="240" w:lineRule="auto"/>
      <w:ind w:left="1134"/>
    </w:pPr>
  </w:style>
  <w:style w:type="paragraph" w:customStyle="1" w:styleId="SubsectionHead">
    <w:name w:val="SubsectionHead"/>
    <w:aliases w:val="ssh"/>
    <w:basedOn w:val="OPCParaBase"/>
    <w:next w:val="subsection"/>
    <w:rsid w:val="006D775D"/>
    <w:pPr>
      <w:keepNext/>
      <w:keepLines/>
      <w:spacing w:before="240" w:line="240" w:lineRule="auto"/>
      <w:ind w:left="1134"/>
    </w:pPr>
    <w:rPr>
      <w:i/>
    </w:rPr>
  </w:style>
  <w:style w:type="paragraph" w:customStyle="1" w:styleId="Tablea">
    <w:name w:val="Table(a)"/>
    <w:aliases w:val="ta"/>
    <w:basedOn w:val="OPCParaBase"/>
    <w:rsid w:val="006D775D"/>
    <w:pPr>
      <w:spacing w:before="60" w:line="240" w:lineRule="auto"/>
      <w:ind w:left="284" w:hanging="284"/>
    </w:pPr>
    <w:rPr>
      <w:sz w:val="20"/>
    </w:rPr>
  </w:style>
  <w:style w:type="paragraph" w:customStyle="1" w:styleId="TableAA">
    <w:name w:val="Table(AA)"/>
    <w:aliases w:val="taaa"/>
    <w:basedOn w:val="OPCParaBase"/>
    <w:rsid w:val="006D77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77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775D"/>
    <w:pPr>
      <w:spacing w:before="60" w:line="240" w:lineRule="atLeast"/>
    </w:pPr>
    <w:rPr>
      <w:sz w:val="20"/>
    </w:rPr>
  </w:style>
  <w:style w:type="paragraph" w:customStyle="1" w:styleId="TLPBoxTextnote">
    <w:name w:val="TLPBoxText(note"/>
    <w:aliases w:val="right)"/>
    <w:basedOn w:val="OPCParaBase"/>
    <w:rsid w:val="006D77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77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775D"/>
    <w:pPr>
      <w:spacing w:before="122" w:line="198" w:lineRule="exact"/>
      <w:ind w:left="1985" w:hanging="851"/>
      <w:jc w:val="right"/>
    </w:pPr>
    <w:rPr>
      <w:sz w:val="18"/>
    </w:rPr>
  </w:style>
  <w:style w:type="paragraph" w:customStyle="1" w:styleId="TLPTableBullet">
    <w:name w:val="TLPTableBullet"/>
    <w:aliases w:val="ttb"/>
    <w:basedOn w:val="OPCParaBase"/>
    <w:rsid w:val="006D775D"/>
    <w:pPr>
      <w:spacing w:line="240" w:lineRule="exact"/>
      <w:ind w:left="284" w:hanging="284"/>
    </w:pPr>
    <w:rPr>
      <w:sz w:val="20"/>
    </w:rPr>
  </w:style>
  <w:style w:type="paragraph" w:styleId="TOC1">
    <w:name w:val="toc 1"/>
    <w:basedOn w:val="OPCParaBase"/>
    <w:next w:val="Normal"/>
    <w:uiPriority w:val="39"/>
    <w:semiHidden/>
    <w:unhideWhenUsed/>
    <w:rsid w:val="006D775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D775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D775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D775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D775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D775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D775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D775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D775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D775D"/>
    <w:pPr>
      <w:keepLines/>
      <w:spacing w:before="240" w:after="120" w:line="240" w:lineRule="auto"/>
      <w:ind w:left="794"/>
    </w:pPr>
    <w:rPr>
      <w:b/>
      <w:kern w:val="28"/>
      <w:sz w:val="20"/>
    </w:rPr>
  </w:style>
  <w:style w:type="paragraph" w:customStyle="1" w:styleId="TofSectsSection">
    <w:name w:val="TofSects(Section)"/>
    <w:basedOn w:val="OPCParaBase"/>
    <w:rsid w:val="006D775D"/>
    <w:pPr>
      <w:keepLines/>
      <w:spacing w:before="40" w:line="240" w:lineRule="auto"/>
      <w:ind w:left="1588" w:hanging="794"/>
    </w:pPr>
    <w:rPr>
      <w:kern w:val="28"/>
      <w:sz w:val="18"/>
    </w:rPr>
  </w:style>
  <w:style w:type="paragraph" w:customStyle="1" w:styleId="TofSectsHeading">
    <w:name w:val="TofSects(Heading)"/>
    <w:basedOn w:val="OPCParaBase"/>
    <w:rsid w:val="006D775D"/>
    <w:pPr>
      <w:spacing w:before="240" w:after="120" w:line="240" w:lineRule="auto"/>
    </w:pPr>
    <w:rPr>
      <w:b/>
      <w:sz w:val="24"/>
    </w:rPr>
  </w:style>
  <w:style w:type="paragraph" w:customStyle="1" w:styleId="TofSectsSubdiv">
    <w:name w:val="TofSects(Subdiv)"/>
    <w:basedOn w:val="OPCParaBase"/>
    <w:rsid w:val="006D775D"/>
    <w:pPr>
      <w:keepLines/>
      <w:spacing w:before="80" w:line="240" w:lineRule="auto"/>
      <w:ind w:left="1588" w:hanging="794"/>
    </w:pPr>
    <w:rPr>
      <w:kern w:val="28"/>
    </w:rPr>
  </w:style>
  <w:style w:type="paragraph" w:customStyle="1" w:styleId="WRStyle">
    <w:name w:val="WR Style"/>
    <w:aliases w:val="WR"/>
    <w:basedOn w:val="OPCParaBase"/>
    <w:rsid w:val="006D775D"/>
    <w:pPr>
      <w:spacing w:before="240" w:line="240" w:lineRule="auto"/>
      <w:ind w:left="284" w:hanging="284"/>
    </w:pPr>
    <w:rPr>
      <w:b/>
      <w:i/>
      <w:kern w:val="28"/>
      <w:sz w:val="24"/>
    </w:rPr>
  </w:style>
  <w:style w:type="paragraph" w:customStyle="1" w:styleId="notepara">
    <w:name w:val="note(para)"/>
    <w:aliases w:val="na"/>
    <w:basedOn w:val="OPCParaBase"/>
    <w:rsid w:val="006D775D"/>
    <w:pPr>
      <w:spacing w:before="40" w:line="198" w:lineRule="exact"/>
      <w:ind w:left="2354" w:hanging="369"/>
    </w:pPr>
    <w:rPr>
      <w:sz w:val="18"/>
    </w:rPr>
  </w:style>
  <w:style w:type="paragraph" w:styleId="Footer">
    <w:name w:val="footer"/>
    <w:link w:val="FooterChar"/>
    <w:rsid w:val="006D77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D775D"/>
    <w:rPr>
      <w:rFonts w:eastAsia="Times New Roman" w:cs="Times New Roman"/>
      <w:sz w:val="22"/>
      <w:szCs w:val="24"/>
      <w:lang w:eastAsia="en-AU"/>
    </w:rPr>
  </w:style>
  <w:style w:type="character" w:styleId="LineNumber">
    <w:name w:val="line number"/>
    <w:basedOn w:val="OPCCharBase"/>
    <w:uiPriority w:val="99"/>
    <w:semiHidden/>
    <w:unhideWhenUsed/>
    <w:rsid w:val="006D775D"/>
    <w:rPr>
      <w:sz w:val="16"/>
    </w:rPr>
  </w:style>
  <w:style w:type="table" w:customStyle="1" w:styleId="CFlag">
    <w:name w:val="CFlag"/>
    <w:basedOn w:val="TableNormal"/>
    <w:uiPriority w:val="99"/>
    <w:rsid w:val="006D775D"/>
    <w:rPr>
      <w:rFonts w:eastAsia="Times New Roman" w:cs="Times New Roman"/>
      <w:lang w:eastAsia="en-AU"/>
    </w:rPr>
    <w:tblPr/>
  </w:style>
  <w:style w:type="paragraph" w:styleId="BalloonText">
    <w:name w:val="Balloon Text"/>
    <w:basedOn w:val="Normal"/>
    <w:link w:val="BalloonTextChar"/>
    <w:uiPriority w:val="99"/>
    <w:semiHidden/>
    <w:unhideWhenUsed/>
    <w:rsid w:val="006D77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5D"/>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6D7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D775D"/>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6D775D"/>
    <w:rPr>
      <w:i/>
      <w:sz w:val="32"/>
      <w:szCs w:val="32"/>
    </w:rPr>
  </w:style>
  <w:style w:type="paragraph" w:customStyle="1" w:styleId="SignCoverPageEnd">
    <w:name w:val="SignCoverPageEnd"/>
    <w:basedOn w:val="OPCParaBase"/>
    <w:next w:val="Normal"/>
    <w:rsid w:val="006D775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D775D"/>
    <w:pPr>
      <w:pBdr>
        <w:top w:val="single" w:sz="4" w:space="1" w:color="auto"/>
      </w:pBdr>
      <w:spacing w:before="360"/>
      <w:ind w:right="397"/>
      <w:jc w:val="both"/>
    </w:pPr>
  </w:style>
  <w:style w:type="paragraph" w:customStyle="1" w:styleId="NotesHeading1">
    <w:name w:val="NotesHeading 1"/>
    <w:basedOn w:val="OPCParaBase"/>
    <w:next w:val="Normal"/>
    <w:rsid w:val="006D775D"/>
    <w:rPr>
      <w:b/>
      <w:sz w:val="28"/>
      <w:szCs w:val="28"/>
    </w:rPr>
  </w:style>
  <w:style w:type="paragraph" w:customStyle="1" w:styleId="NotesHeading2">
    <w:name w:val="NotesHeading 2"/>
    <w:basedOn w:val="OPCParaBase"/>
    <w:next w:val="Normal"/>
    <w:rsid w:val="006D775D"/>
    <w:rPr>
      <w:b/>
      <w:sz w:val="28"/>
      <w:szCs w:val="28"/>
    </w:rPr>
  </w:style>
  <w:style w:type="paragraph" w:customStyle="1" w:styleId="CompiledActNo">
    <w:name w:val="CompiledActNo"/>
    <w:basedOn w:val="OPCParaBase"/>
    <w:next w:val="Normal"/>
    <w:rsid w:val="006D775D"/>
    <w:rPr>
      <w:b/>
      <w:sz w:val="24"/>
      <w:szCs w:val="24"/>
    </w:rPr>
  </w:style>
  <w:style w:type="paragraph" w:customStyle="1" w:styleId="CompiledMadeUnder">
    <w:name w:val="CompiledMadeUnder"/>
    <w:basedOn w:val="OPCParaBase"/>
    <w:next w:val="Normal"/>
    <w:rsid w:val="006D775D"/>
    <w:rPr>
      <w:i/>
      <w:sz w:val="24"/>
      <w:szCs w:val="24"/>
    </w:rPr>
  </w:style>
  <w:style w:type="paragraph" w:customStyle="1" w:styleId="Paragraphsub-sub-sub">
    <w:name w:val="Paragraph(sub-sub-sub)"/>
    <w:aliases w:val="aaaa"/>
    <w:basedOn w:val="OPCParaBase"/>
    <w:rsid w:val="006D775D"/>
    <w:pPr>
      <w:tabs>
        <w:tab w:val="right" w:pos="3402"/>
      </w:tabs>
      <w:spacing w:before="40" w:line="240" w:lineRule="auto"/>
      <w:ind w:left="3402" w:hanging="3402"/>
    </w:pPr>
  </w:style>
  <w:style w:type="paragraph" w:customStyle="1" w:styleId="NoteToSubpara">
    <w:name w:val="NoteToSubpara"/>
    <w:aliases w:val="nts"/>
    <w:basedOn w:val="OPCParaBase"/>
    <w:rsid w:val="006D775D"/>
    <w:pPr>
      <w:spacing w:before="40" w:line="198" w:lineRule="exact"/>
      <w:ind w:left="2835" w:hanging="709"/>
    </w:pPr>
    <w:rPr>
      <w:sz w:val="18"/>
    </w:rPr>
  </w:style>
  <w:style w:type="paragraph" w:customStyle="1" w:styleId="EndNotespara">
    <w:name w:val="EndNotes(para)"/>
    <w:aliases w:val="eta"/>
    <w:basedOn w:val="OPCParaBase"/>
    <w:next w:val="EndNotessubpara"/>
    <w:rsid w:val="006D775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6D77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775D"/>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6D775D"/>
    <w:pPr>
      <w:tabs>
        <w:tab w:val="right" w:pos="340"/>
      </w:tabs>
      <w:spacing w:before="60" w:line="240" w:lineRule="auto"/>
      <w:ind w:left="454" w:hanging="454"/>
    </w:pPr>
    <w:rPr>
      <w:sz w:val="20"/>
    </w:rPr>
  </w:style>
  <w:style w:type="paragraph" w:customStyle="1" w:styleId="ENoteTableHeading">
    <w:name w:val="ENoteTableHeading"/>
    <w:aliases w:val="enth"/>
    <w:basedOn w:val="OPCParaBase"/>
    <w:rsid w:val="006D775D"/>
    <w:pPr>
      <w:keepNext/>
      <w:spacing w:before="60" w:line="240" w:lineRule="atLeast"/>
    </w:pPr>
    <w:rPr>
      <w:rFonts w:ascii="Arial" w:hAnsi="Arial"/>
      <w:b/>
      <w:sz w:val="16"/>
    </w:rPr>
  </w:style>
  <w:style w:type="paragraph" w:customStyle="1" w:styleId="ENoteTTi">
    <w:name w:val="ENoteTTi"/>
    <w:aliases w:val="entti"/>
    <w:basedOn w:val="OPCParaBase"/>
    <w:rsid w:val="006D775D"/>
    <w:pPr>
      <w:keepNext/>
      <w:spacing w:before="60" w:line="240" w:lineRule="atLeast"/>
      <w:ind w:left="170"/>
    </w:pPr>
    <w:rPr>
      <w:sz w:val="16"/>
    </w:rPr>
  </w:style>
  <w:style w:type="paragraph" w:customStyle="1" w:styleId="ENotesHeading1">
    <w:name w:val="ENotesHeading 1"/>
    <w:aliases w:val="Enh1"/>
    <w:basedOn w:val="OPCParaBase"/>
    <w:next w:val="Normal"/>
    <w:rsid w:val="006D775D"/>
    <w:pPr>
      <w:spacing w:before="120"/>
      <w:outlineLvl w:val="1"/>
    </w:pPr>
    <w:rPr>
      <w:b/>
      <w:sz w:val="28"/>
      <w:szCs w:val="28"/>
    </w:rPr>
  </w:style>
  <w:style w:type="paragraph" w:customStyle="1" w:styleId="ENotesHeading2">
    <w:name w:val="ENotesHeading 2"/>
    <w:aliases w:val="Enh2"/>
    <w:basedOn w:val="OPCParaBase"/>
    <w:next w:val="Normal"/>
    <w:rsid w:val="006D775D"/>
    <w:pPr>
      <w:spacing w:before="120" w:after="120"/>
      <w:outlineLvl w:val="2"/>
    </w:pPr>
    <w:rPr>
      <w:b/>
      <w:sz w:val="24"/>
      <w:szCs w:val="28"/>
    </w:rPr>
  </w:style>
  <w:style w:type="paragraph" w:customStyle="1" w:styleId="ENoteTTIndentHeading">
    <w:name w:val="ENoteTTIndentHeading"/>
    <w:aliases w:val="enTTHi"/>
    <w:basedOn w:val="OPCParaBase"/>
    <w:rsid w:val="006D775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775D"/>
    <w:pPr>
      <w:spacing w:before="60" w:line="240" w:lineRule="atLeast"/>
    </w:pPr>
    <w:rPr>
      <w:sz w:val="16"/>
    </w:rPr>
  </w:style>
  <w:style w:type="paragraph" w:customStyle="1" w:styleId="MadeunderText">
    <w:name w:val="MadeunderText"/>
    <w:basedOn w:val="OPCParaBase"/>
    <w:next w:val="CompiledMadeUnder"/>
    <w:rsid w:val="006D775D"/>
    <w:pPr>
      <w:spacing w:before="240"/>
    </w:pPr>
    <w:rPr>
      <w:sz w:val="24"/>
      <w:szCs w:val="24"/>
    </w:rPr>
  </w:style>
  <w:style w:type="paragraph" w:customStyle="1" w:styleId="ENotesHeading3">
    <w:name w:val="ENotesHeading 3"/>
    <w:aliases w:val="Enh3"/>
    <w:basedOn w:val="OPCParaBase"/>
    <w:next w:val="Normal"/>
    <w:rsid w:val="006D775D"/>
    <w:pPr>
      <w:keepNext/>
      <w:spacing w:before="120" w:line="240" w:lineRule="auto"/>
      <w:outlineLvl w:val="4"/>
    </w:pPr>
    <w:rPr>
      <w:b/>
      <w:szCs w:val="24"/>
    </w:rPr>
  </w:style>
  <w:style w:type="character" w:customStyle="1" w:styleId="CharSubPartTextCASA">
    <w:name w:val="CharSubPartText(CASA)"/>
    <w:basedOn w:val="OPCCharBase"/>
    <w:uiPriority w:val="1"/>
    <w:rsid w:val="006D775D"/>
  </w:style>
  <w:style w:type="character" w:customStyle="1" w:styleId="CharSubPartNoCASA">
    <w:name w:val="CharSubPartNo(CASA)"/>
    <w:basedOn w:val="OPCCharBase"/>
    <w:uiPriority w:val="1"/>
    <w:rsid w:val="006D775D"/>
  </w:style>
  <w:style w:type="paragraph" w:customStyle="1" w:styleId="ENoteTTIndentHeadingSub">
    <w:name w:val="ENoteTTIndentHeadingSub"/>
    <w:aliases w:val="enTTHis"/>
    <w:basedOn w:val="OPCParaBase"/>
    <w:rsid w:val="006D775D"/>
    <w:pPr>
      <w:keepNext/>
      <w:spacing w:before="60" w:line="240" w:lineRule="atLeast"/>
      <w:ind w:left="340"/>
    </w:pPr>
    <w:rPr>
      <w:b/>
      <w:sz w:val="16"/>
    </w:rPr>
  </w:style>
  <w:style w:type="paragraph" w:customStyle="1" w:styleId="ENoteTTiSub">
    <w:name w:val="ENoteTTiSub"/>
    <w:aliases w:val="enttis"/>
    <w:basedOn w:val="OPCParaBase"/>
    <w:rsid w:val="006D775D"/>
    <w:pPr>
      <w:keepNext/>
      <w:spacing w:before="60" w:line="240" w:lineRule="atLeast"/>
      <w:ind w:left="340"/>
    </w:pPr>
    <w:rPr>
      <w:sz w:val="16"/>
    </w:rPr>
  </w:style>
  <w:style w:type="paragraph" w:customStyle="1" w:styleId="SubDivisionMigration">
    <w:name w:val="SubDivisionMigration"/>
    <w:aliases w:val="sdm"/>
    <w:basedOn w:val="OPCParaBase"/>
    <w:rsid w:val="006D77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775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D775D"/>
    <w:pPr>
      <w:spacing w:before="122" w:line="240" w:lineRule="auto"/>
      <w:ind w:left="1985" w:hanging="851"/>
    </w:pPr>
    <w:rPr>
      <w:sz w:val="18"/>
    </w:rPr>
  </w:style>
  <w:style w:type="character" w:customStyle="1" w:styleId="notetextChar">
    <w:name w:val="note(text) Char"/>
    <w:aliases w:val="n Char"/>
    <w:basedOn w:val="DefaultParagraphFont"/>
    <w:link w:val="notetext"/>
    <w:rsid w:val="00956E87"/>
    <w:rPr>
      <w:rFonts w:eastAsia="Times New Roman" w:cs="Times New Roman"/>
      <w:sz w:val="18"/>
      <w:lang w:eastAsia="en-AU"/>
    </w:rPr>
  </w:style>
  <w:style w:type="paragraph" w:customStyle="1" w:styleId="FreeForm">
    <w:name w:val="FreeForm"/>
    <w:rsid w:val="00956E87"/>
    <w:rPr>
      <w:rFonts w:ascii="Arial" w:hAnsi="Arial"/>
      <w:sz w:val="22"/>
    </w:rPr>
  </w:style>
  <w:style w:type="paragraph" w:customStyle="1" w:styleId="SOText">
    <w:name w:val="SO Text"/>
    <w:aliases w:val="sot"/>
    <w:link w:val="SOTextChar"/>
    <w:rsid w:val="006D77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D775D"/>
    <w:rPr>
      <w:sz w:val="22"/>
    </w:rPr>
  </w:style>
  <w:style w:type="paragraph" w:customStyle="1" w:styleId="SOTextNote">
    <w:name w:val="SO TextNote"/>
    <w:aliases w:val="sont"/>
    <w:basedOn w:val="SOText"/>
    <w:qFormat/>
    <w:rsid w:val="006D775D"/>
    <w:pPr>
      <w:spacing w:before="122" w:line="198" w:lineRule="exact"/>
      <w:ind w:left="1843" w:hanging="709"/>
    </w:pPr>
    <w:rPr>
      <w:sz w:val="18"/>
    </w:rPr>
  </w:style>
  <w:style w:type="paragraph" w:customStyle="1" w:styleId="SOPara">
    <w:name w:val="SO Para"/>
    <w:aliases w:val="soa"/>
    <w:basedOn w:val="SOText"/>
    <w:link w:val="SOParaChar"/>
    <w:qFormat/>
    <w:rsid w:val="006D775D"/>
    <w:pPr>
      <w:tabs>
        <w:tab w:val="right" w:pos="1786"/>
      </w:tabs>
      <w:spacing w:before="40"/>
      <w:ind w:left="2070" w:hanging="936"/>
    </w:pPr>
  </w:style>
  <w:style w:type="character" w:customStyle="1" w:styleId="SOParaChar">
    <w:name w:val="SO Para Char"/>
    <w:aliases w:val="soa Char"/>
    <w:basedOn w:val="DefaultParagraphFont"/>
    <w:link w:val="SOPara"/>
    <w:rsid w:val="006D775D"/>
    <w:rPr>
      <w:sz w:val="22"/>
    </w:rPr>
  </w:style>
  <w:style w:type="paragraph" w:customStyle="1" w:styleId="FileName">
    <w:name w:val="FileName"/>
    <w:basedOn w:val="Normal"/>
    <w:rsid w:val="006D775D"/>
  </w:style>
  <w:style w:type="paragraph" w:customStyle="1" w:styleId="TableHeading">
    <w:name w:val="TableHeading"/>
    <w:aliases w:val="th"/>
    <w:basedOn w:val="OPCParaBase"/>
    <w:next w:val="Tabletext"/>
    <w:rsid w:val="006D775D"/>
    <w:pPr>
      <w:keepNext/>
      <w:spacing w:before="60" w:line="240" w:lineRule="atLeast"/>
    </w:pPr>
    <w:rPr>
      <w:b/>
      <w:sz w:val="20"/>
    </w:rPr>
  </w:style>
  <w:style w:type="paragraph" w:customStyle="1" w:styleId="SOHeadBold">
    <w:name w:val="SO HeadBold"/>
    <w:aliases w:val="sohb"/>
    <w:basedOn w:val="SOText"/>
    <w:next w:val="SOText"/>
    <w:link w:val="SOHeadBoldChar"/>
    <w:qFormat/>
    <w:rsid w:val="006D775D"/>
    <w:rPr>
      <w:b/>
    </w:rPr>
  </w:style>
  <w:style w:type="character" w:customStyle="1" w:styleId="SOHeadBoldChar">
    <w:name w:val="SO HeadBold Char"/>
    <w:aliases w:val="sohb Char"/>
    <w:basedOn w:val="DefaultParagraphFont"/>
    <w:link w:val="SOHeadBold"/>
    <w:rsid w:val="006D775D"/>
    <w:rPr>
      <w:b/>
      <w:sz w:val="22"/>
    </w:rPr>
  </w:style>
  <w:style w:type="paragraph" w:customStyle="1" w:styleId="SOHeadItalic">
    <w:name w:val="SO HeadItalic"/>
    <w:aliases w:val="sohi"/>
    <w:basedOn w:val="SOText"/>
    <w:next w:val="SOText"/>
    <w:link w:val="SOHeadItalicChar"/>
    <w:qFormat/>
    <w:rsid w:val="006D775D"/>
    <w:rPr>
      <w:i/>
    </w:rPr>
  </w:style>
  <w:style w:type="character" w:customStyle="1" w:styleId="SOHeadItalicChar">
    <w:name w:val="SO HeadItalic Char"/>
    <w:aliases w:val="sohi Char"/>
    <w:basedOn w:val="DefaultParagraphFont"/>
    <w:link w:val="SOHeadItalic"/>
    <w:rsid w:val="006D775D"/>
    <w:rPr>
      <w:i/>
      <w:sz w:val="22"/>
    </w:rPr>
  </w:style>
  <w:style w:type="paragraph" w:customStyle="1" w:styleId="SOBullet">
    <w:name w:val="SO Bullet"/>
    <w:aliases w:val="sotb"/>
    <w:basedOn w:val="SOText"/>
    <w:link w:val="SOBulletChar"/>
    <w:qFormat/>
    <w:rsid w:val="006D775D"/>
    <w:pPr>
      <w:ind w:left="1559" w:hanging="425"/>
    </w:pPr>
  </w:style>
  <w:style w:type="character" w:customStyle="1" w:styleId="SOBulletChar">
    <w:name w:val="SO Bullet Char"/>
    <w:aliases w:val="sotb Char"/>
    <w:basedOn w:val="DefaultParagraphFont"/>
    <w:link w:val="SOBullet"/>
    <w:rsid w:val="006D775D"/>
    <w:rPr>
      <w:sz w:val="22"/>
    </w:rPr>
  </w:style>
  <w:style w:type="paragraph" w:customStyle="1" w:styleId="SOBulletNote">
    <w:name w:val="SO BulletNote"/>
    <w:aliases w:val="sonb"/>
    <w:basedOn w:val="SOTextNote"/>
    <w:link w:val="SOBulletNoteChar"/>
    <w:qFormat/>
    <w:rsid w:val="006D775D"/>
    <w:pPr>
      <w:tabs>
        <w:tab w:val="left" w:pos="1560"/>
      </w:tabs>
      <w:ind w:left="2268" w:hanging="1134"/>
    </w:pPr>
  </w:style>
  <w:style w:type="character" w:customStyle="1" w:styleId="SOBulletNoteChar">
    <w:name w:val="SO BulletNote Char"/>
    <w:aliases w:val="sonb Char"/>
    <w:basedOn w:val="DefaultParagraphFont"/>
    <w:link w:val="SOBulletNote"/>
    <w:rsid w:val="006D775D"/>
    <w:rPr>
      <w:sz w:val="18"/>
    </w:rPr>
  </w:style>
  <w:style w:type="paragraph" w:customStyle="1" w:styleId="SOText2">
    <w:name w:val="SO Text2"/>
    <w:aliases w:val="sot2"/>
    <w:basedOn w:val="Normal"/>
    <w:next w:val="SOText"/>
    <w:link w:val="SOText2Char"/>
    <w:rsid w:val="006D775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D775D"/>
    <w:rPr>
      <w:sz w:val="22"/>
    </w:rPr>
  </w:style>
  <w:style w:type="paragraph" w:customStyle="1" w:styleId="SubPartCASA">
    <w:name w:val="SubPart(CASA)"/>
    <w:aliases w:val="csp"/>
    <w:basedOn w:val="OPCParaBase"/>
    <w:next w:val="ActHead3"/>
    <w:rsid w:val="006D775D"/>
    <w:pPr>
      <w:keepNext/>
      <w:keepLines/>
      <w:spacing w:before="280"/>
      <w:ind w:left="1134" w:hanging="1134"/>
      <w:outlineLvl w:val="1"/>
    </w:pPr>
    <w:rPr>
      <w:b/>
      <w:kern w:val="28"/>
      <w:sz w:val="32"/>
    </w:rPr>
  </w:style>
  <w:style w:type="character" w:styleId="CommentReference">
    <w:name w:val="annotation reference"/>
    <w:basedOn w:val="DefaultParagraphFont"/>
    <w:uiPriority w:val="99"/>
    <w:semiHidden/>
    <w:unhideWhenUsed/>
    <w:rsid w:val="00864710"/>
    <w:rPr>
      <w:sz w:val="16"/>
      <w:szCs w:val="16"/>
    </w:rPr>
  </w:style>
  <w:style w:type="paragraph" w:styleId="CommentText">
    <w:name w:val="annotation text"/>
    <w:basedOn w:val="Normal"/>
    <w:link w:val="CommentTextChar"/>
    <w:uiPriority w:val="99"/>
    <w:unhideWhenUsed/>
    <w:rsid w:val="00864710"/>
    <w:pPr>
      <w:spacing w:line="240" w:lineRule="auto"/>
    </w:pPr>
    <w:rPr>
      <w:rFonts w:eastAsia="Times New Roman" w:cs="Times New Roman"/>
      <w:sz w:val="20"/>
      <w:lang w:val="en-CA"/>
    </w:rPr>
  </w:style>
  <w:style w:type="character" w:customStyle="1" w:styleId="CommentTextChar">
    <w:name w:val="Comment Text Char"/>
    <w:basedOn w:val="DefaultParagraphFont"/>
    <w:link w:val="CommentText"/>
    <w:uiPriority w:val="99"/>
    <w:rsid w:val="00864710"/>
    <w:rPr>
      <w:rFonts w:eastAsia="Times New Roman" w:cs="Times New Roman"/>
      <w:lang w:val="en-CA"/>
    </w:rPr>
  </w:style>
  <w:style w:type="paragraph" w:customStyle="1" w:styleId="DataEntry">
    <w:name w:val="Data Entry"/>
    <w:basedOn w:val="Normal"/>
    <w:link w:val="DataEntryChar"/>
    <w:qFormat/>
    <w:rsid w:val="00925920"/>
    <w:pPr>
      <w:spacing w:line="240" w:lineRule="auto"/>
    </w:pPr>
    <w:rPr>
      <w:rFonts w:ascii="Arial" w:eastAsia="Times New Roman" w:hAnsi="Arial" w:cs="Times New Roman"/>
      <w:b/>
      <w:color w:val="0000FF"/>
      <w:sz w:val="24"/>
      <w:szCs w:val="24"/>
      <w:lang w:val="en-US"/>
    </w:rPr>
  </w:style>
  <w:style w:type="character" w:customStyle="1" w:styleId="DataEntryChar">
    <w:name w:val="Data Entry Char"/>
    <w:link w:val="DataEntry"/>
    <w:rsid w:val="00925920"/>
    <w:rPr>
      <w:rFonts w:ascii="Arial" w:eastAsia="Times New Roman" w:hAnsi="Arial" w:cs="Times New Roman"/>
      <w:b/>
      <w:color w:val="0000F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775D"/>
    <w:pPr>
      <w:spacing w:line="260" w:lineRule="atLeast"/>
    </w:pPr>
    <w:rPr>
      <w:sz w:val="22"/>
    </w:rPr>
  </w:style>
  <w:style w:type="paragraph" w:styleId="Heading1">
    <w:name w:val="heading 1"/>
    <w:basedOn w:val="Normal"/>
    <w:next w:val="Normal"/>
    <w:link w:val="Heading1Char"/>
    <w:uiPriority w:val="9"/>
    <w:qFormat/>
    <w:rsid w:val="00956E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6E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6E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6E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56E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6E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6E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6E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56E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E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56E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56E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56E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56E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56E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56E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56E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56E87"/>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6D775D"/>
  </w:style>
  <w:style w:type="paragraph" w:customStyle="1" w:styleId="OPCParaBase">
    <w:name w:val="OPCParaBase"/>
    <w:qFormat/>
    <w:rsid w:val="006D775D"/>
    <w:pPr>
      <w:spacing w:line="260" w:lineRule="atLeast"/>
    </w:pPr>
    <w:rPr>
      <w:rFonts w:eastAsia="Times New Roman" w:cs="Times New Roman"/>
      <w:sz w:val="22"/>
      <w:lang w:eastAsia="en-AU"/>
    </w:rPr>
  </w:style>
  <w:style w:type="paragraph" w:customStyle="1" w:styleId="ShortT">
    <w:name w:val="ShortT"/>
    <w:basedOn w:val="OPCParaBase"/>
    <w:next w:val="Normal"/>
    <w:qFormat/>
    <w:rsid w:val="006D775D"/>
    <w:pPr>
      <w:spacing w:line="240" w:lineRule="auto"/>
    </w:pPr>
    <w:rPr>
      <w:b/>
      <w:sz w:val="40"/>
    </w:rPr>
  </w:style>
  <w:style w:type="paragraph" w:customStyle="1" w:styleId="ActHead1">
    <w:name w:val="ActHead 1"/>
    <w:aliases w:val="c"/>
    <w:basedOn w:val="OPCParaBase"/>
    <w:next w:val="Normal"/>
    <w:qFormat/>
    <w:rsid w:val="006D77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77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77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77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D775D"/>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6D775D"/>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956E87"/>
    <w:rPr>
      <w:rFonts w:eastAsia="Times New Roman" w:cs="Times New Roman"/>
      <w:sz w:val="22"/>
      <w:lang w:eastAsia="en-AU"/>
    </w:rPr>
  </w:style>
  <w:style w:type="character" w:customStyle="1" w:styleId="ActHead5Char">
    <w:name w:val="ActHead 5 Char"/>
    <w:aliases w:val="s Char"/>
    <w:link w:val="ActHead5"/>
    <w:locked/>
    <w:rsid w:val="008D37A1"/>
    <w:rPr>
      <w:rFonts w:eastAsia="Times New Roman" w:cs="Times New Roman"/>
      <w:b/>
      <w:kern w:val="28"/>
      <w:sz w:val="24"/>
      <w:lang w:eastAsia="en-AU"/>
    </w:rPr>
  </w:style>
  <w:style w:type="paragraph" w:customStyle="1" w:styleId="ActHead6">
    <w:name w:val="ActHead 6"/>
    <w:aliases w:val="as"/>
    <w:basedOn w:val="OPCParaBase"/>
    <w:next w:val="ActHead7"/>
    <w:qFormat/>
    <w:rsid w:val="006D77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775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6D775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6D775D"/>
    <w:pPr>
      <w:keepLines/>
      <w:spacing w:before="80" w:line="240" w:lineRule="auto"/>
      <w:ind w:left="709"/>
    </w:pPr>
  </w:style>
  <w:style w:type="paragraph" w:customStyle="1" w:styleId="ActHead8">
    <w:name w:val="ActHead 8"/>
    <w:aliases w:val="ad"/>
    <w:basedOn w:val="OPCParaBase"/>
    <w:next w:val="ItemHead"/>
    <w:qFormat/>
    <w:rsid w:val="006D77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775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D775D"/>
  </w:style>
  <w:style w:type="paragraph" w:customStyle="1" w:styleId="Blocks">
    <w:name w:val="Blocks"/>
    <w:aliases w:val="bb"/>
    <w:basedOn w:val="OPCParaBase"/>
    <w:qFormat/>
    <w:rsid w:val="006D775D"/>
    <w:pPr>
      <w:spacing w:line="240" w:lineRule="auto"/>
    </w:pPr>
    <w:rPr>
      <w:sz w:val="24"/>
    </w:rPr>
  </w:style>
  <w:style w:type="paragraph" w:customStyle="1" w:styleId="BoxText">
    <w:name w:val="BoxText"/>
    <w:aliases w:val="bt"/>
    <w:basedOn w:val="OPCParaBase"/>
    <w:qFormat/>
    <w:rsid w:val="006D77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775D"/>
    <w:rPr>
      <w:b/>
    </w:rPr>
  </w:style>
  <w:style w:type="paragraph" w:customStyle="1" w:styleId="BoxHeadItalic">
    <w:name w:val="BoxHeadItalic"/>
    <w:aliases w:val="bhi"/>
    <w:basedOn w:val="BoxText"/>
    <w:next w:val="BoxStep"/>
    <w:qFormat/>
    <w:rsid w:val="006D775D"/>
    <w:rPr>
      <w:i/>
    </w:rPr>
  </w:style>
  <w:style w:type="paragraph" w:customStyle="1" w:styleId="BoxStep">
    <w:name w:val="BoxStep"/>
    <w:aliases w:val="bs"/>
    <w:basedOn w:val="BoxText"/>
    <w:qFormat/>
    <w:rsid w:val="006D775D"/>
    <w:pPr>
      <w:ind w:left="1985" w:hanging="851"/>
    </w:pPr>
  </w:style>
  <w:style w:type="paragraph" w:customStyle="1" w:styleId="BoxList">
    <w:name w:val="BoxList"/>
    <w:aliases w:val="bl"/>
    <w:basedOn w:val="BoxText"/>
    <w:qFormat/>
    <w:rsid w:val="006D775D"/>
    <w:pPr>
      <w:ind w:left="1559" w:hanging="425"/>
    </w:pPr>
  </w:style>
  <w:style w:type="paragraph" w:customStyle="1" w:styleId="BoxNote">
    <w:name w:val="BoxNote"/>
    <w:aliases w:val="bn"/>
    <w:basedOn w:val="BoxText"/>
    <w:qFormat/>
    <w:rsid w:val="006D775D"/>
    <w:pPr>
      <w:tabs>
        <w:tab w:val="left" w:pos="1985"/>
      </w:tabs>
      <w:spacing w:before="122" w:line="198" w:lineRule="exact"/>
      <w:ind w:left="2948" w:hanging="1814"/>
    </w:pPr>
    <w:rPr>
      <w:sz w:val="18"/>
    </w:rPr>
  </w:style>
  <w:style w:type="paragraph" w:customStyle="1" w:styleId="BoxPara">
    <w:name w:val="BoxPara"/>
    <w:aliases w:val="bp"/>
    <w:basedOn w:val="BoxText"/>
    <w:qFormat/>
    <w:rsid w:val="006D775D"/>
    <w:pPr>
      <w:tabs>
        <w:tab w:val="right" w:pos="2268"/>
      </w:tabs>
      <w:ind w:left="2552" w:hanging="1418"/>
    </w:pPr>
  </w:style>
  <w:style w:type="character" w:customStyle="1" w:styleId="CharAmPartNo">
    <w:name w:val="CharAmPartNo"/>
    <w:basedOn w:val="OPCCharBase"/>
    <w:qFormat/>
    <w:rsid w:val="006D775D"/>
  </w:style>
  <w:style w:type="character" w:customStyle="1" w:styleId="CharAmPartText">
    <w:name w:val="CharAmPartText"/>
    <w:basedOn w:val="OPCCharBase"/>
    <w:qFormat/>
    <w:rsid w:val="006D775D"/>
  </w:style>
  <w:style w:type="character" w:customStyle="1" w:styleId="CharAmSchNo">
    <w:name w:val="CharAmSchNo"/>
    <w:basedOn w:val="OPCCharBase"/>
    <w:qFormat/>
    <w:rsid w:val="006D775D"/>
  </w:style>
  <w:style w:type="character" w:customStyle="1" w:styleId="CharAmSchText">
    <w:name w:val="CharAmSchText"/>
    <w:basedOn w:val="OPCCharBase"/>
    <w:qFormat/>
    <w:rsid w:val="006D775D"/>
  </w:style>
  <w:style w:type="character" w:customStyle="1" w:styleId="CharBoldItalic">
    <w:name w:val="CharBoldItalic"/>
    <w:basedOn w:val="OPCCharBase"/>
    <w:uiPriority w:val="1"/>
    <w:qFormat/>
    <w:rsid w:val="006D775D"/>
    <w:rPr>
      <w:b/>
      <w:i/>
    </w:rPr>
  </w:style>
  <w:style w:type="character" w:customStyle="1" w:styleId="CharChapNo">
    <w:name w:val="CharChapNo"/>
    <w:basedOn w:val="OPCCharBase"/>
    <w:uiPriority w:val="1"/>
    <w:qFormat/>
    <w:rsid w:val="006D775D"/>
  </w:style>
  <w:style w:type="character" w:customStyle="1" w:styleId="CharChapText">
    <w:name w:val="CharChapText"/>
    <w:basedOn w:val="OPCCharBase"/>
    <w:uiPriority w:val="1"/>
    <w:qFormat/>
    <w:rsid w:val="006D775D"/>
  </w:style>
  <w:style w:type="character" w:customStyle="1" w:styleId="CharDivNo">
    <w:name w:val="CharDivNo"/>
    <w:basedOn w:val="OPCCharBase"/>
    <w:uiPriority w:val="1"/>
    <w:qFormat/>
    <w:rsid w:val="006D775D"/>
  </w:style>
  <w:style w:type="character" w:customStyle="1" w:styleId="CharDivText">
    <w:name w:val="CharDivText"/>
    <w:basedOn w:val="OPCCharBase"/>
    <w:uiPriority w:val="1"/>
    <w:qFormat/>
    <w:rsid w:val="006D775D"/>
  </w:style>
  <w:style w:type="character" w:customStyle="1" w:styleId="CharItalic">
    <w:name w:val="CharItalic"/>
    <w:basedOn w:val="OPCCharBase"/>
    <w:uiPriority w:val="1"/>
    <w:qFormat/>
    <w:rsid w:val="006D775D"/>
    <w:rPr>
      <w:i/>
    </w:rPr>
  </w:style>
  <w:style w:type="character" w:customStyle="1" w:styleId="CharPartNo">
    <w:name w:val="CharPartNo"/>
    <w:basedOn w:val="OPCCharBase"/>
    <w:uiPriority w:val="1"/>
    <w:qFormat/>
    <w:rsid w:val="006D775D"/>
  </w:style>
  <w:style w:type="character" w:customStyle="1" w:styleId="CharPartText">
    <w:name w:val="CharPartText"/>
    <w:basedOn w:val="OPCCharBase"/>
    <w:uiPriority w:val="1"/>
    <w:qFormat/>
    <w:rsid w:val="006D775D"/>
  </w:style>
  <w:style w:type="character" w:customStyle="1" w:styleId="CharSectno">
    <w:name w:val="CharSectno"/>
    <w:basedOn w:val="OPCCharBase"/>
    <w:qFormat/>
    <w:rsid w:val="006D775D"/>
  </w:style>
  <w:style w:type="character" w:customStyle="1" w:styleId="CharSubdNo">
    <w:name w:val="CharSubdNo"/>
    <w:basedOn w:val="OPCCharBase"/>
    <w:uiPriority w:val="1"/>
    <w:qFormat/>
    <w:rsid w:val="006D775D"/>
  </w:style>
  <w:style w:type="character" w:customStyle="1" w:styleId="CharSubdText">
    <w:name w:val="CharSubdText"/>
    <w:basedOn w:val="OPCCharBase"/>
    <w:uiPriority w:val="1"/>
    <w:qFormat/>
    <w:rsid w:val="006D775D"/>
  </w:style>
  <w:style w:type="paragraph" w:customStyle="1" w:styleId="CTA--">
    <w:name w:val="CTA --"/>
    <w:basedOn w:val="OPCParaBase"/>
    <w:next w:val="Normal"/>
    <w:rsid w:val="006D775D"/>
    <w:pPr>
      <w:spacing w:before="60" w:line="240" w:lineRule="atLeast"/>
      <w:ind w:left="142" w:hanging="142"/>
    </w:pPr>
    <w:rPr>
      <w:sz w:val="20"/>
    </w:rPr>
  </w:style>
  <w:style w:type="paragraph" w:customStyle="1" w:styleId="CTA-">
    <w:name w:val="CTA -"/>
    <w:basedOn w:val="OPCParaBase"/>
    <w:rsid w:val="006D775D"/>
    <w:pPr>
      <w:spacing w:before="60" w:line="240" w:lineRule="atLeast"/>
      <w:ind w:left="85" w:hanging="85"/>
    </w:pPr>
    <w:rPr>
      <w:sz w:val="20"/>
    </w:rPr>
  </w:style>
  <w:style w:type="paragraph" w:customStyle="1" w:styleId="CTA---">
    <w:name w:val="CTA ---"/>
    <w:basedOn w:val="OPCParaBase"/>
    <w:next w:val="Normal"/>
    <w:rsid w:val="006D775D"/>
    <w:pPr>
      <w:spacing w:before="60" w:line="240" w:lineRule="atLeast"/>
      <w:ind w:left="198" w:hanging="198"/>
    </w:pPr>
    <w:rPr>
      <w:sz w:val="20"/>
    </w:rPr>
  </w:style>
  <w:style w:type="paragraph" w:customStyle="1" w:styleId="CTA----">
    <w:name w:val="CTA ----"/>
    <w:basedOn w:val="OPCParaBase"/>
    <w:next w:val="Normal"/>
    <w:rsid w:val="006D775D"/>
    <w:pPr>
      <w:spacing w:before="60" w:line="240" w:lineRule="atLeast"/>
      <w:ind w:left="255" w:hanging="255"/>
    </w:pPr>
    <w:rPr>
      <w:sz w:val="20"/>
    </w:rPr>
  </w:style>
  <w:style w:type="paragraph" w:customStyle="1" w:styleId="CTA1a">
    <w:name w:val="CTA 1(a)"/>
    <w:basedOn w:val="OPCParaBase"/>
    <w:rsid w:val="006D775D"/>
    <w:pPr>
      <w:tabs>
        <w:tab w:val="right" w:pos="414"/>
      </w:tabs>
      <w:spacing w:before="40" w:line="240" w:lineRule="atLeast"/>
      <w:ind w:left="675" w:hanging="675"/>
    </w:pPr>
    <w:rPr>
      <w:sz w:val="20"/>
    </w:rPr>
  </w:style>
  <w:style w:type="paragraph" w:customStyle="1" w:styleId="CTA1ai">
    <w:name w:val="CTA 1(a)(i)"/>
    <w:basedOn w:val="OPCParaBase"/>
    <w:rsid w:val="006D775D"/>
    <w:pPr>
      <w:tabs>
        <w:tab w:val="right" w:pos="1004"/>
      </w:tabs>
      <w:spacing w:before="40" w:line="240" w:lineRule="atLeast"/>
      <w:ind w:left="1253" w:hanging="1253"/>
    </w:pPr>
    <w:rPr>
      <w:sz w:val="20"/>
    </w:rPr>
  </w:style>
  <w:style w:type="paragraph" w:customStyle="1" w:styleId="CTA2a">
    <w:name w:val="CTA 2(a)"/>
    <w:basedOn w:val="OPCParaBase"/>
    <w:rsid w:val="006D775D"/>
    <w:pPr>
      <w:tabs>
        <w:tab w:val="right" w:pos="482"/>
      </w:tabs>
      <w:spacing w:before="40" w:line="240" w:lineRule="atLeast"/>
      <w:ind w:left="748" w:hanging="748"/>
    </w:pPr>
    <w:rPr>
      <w:sz w:val="20"/>
    </w:rPr>
  </w:style>
  <w:style w:type="paragraph" w:customStyle="1" w:styleId="CTA2ai">
    <w:name w:val="CTA 2(a)(i)"/>
    <w:basedOn w:val="OPCParaBase"/>
    <w:rsid w:val="006D775D"/>
    <w:pPr>
      <w:tabs>
        <w:tab w:val="right" w:pos="1089"/>
      </w:tabs>
      <w:spacing w:before="40" w:line="240" w:lineRule="atLeast"/>
      <w:ind w:left="1327" w:hanging="1327"/>
    </w:pPr>
    <w:rPr>
      <w:sz w:val="20"/>
    </w:rPr>
  </w:style>
  <w:style w:type="paragraph" w:customStyle="1" w:styleId="CTA3a">
    <w:name w:val="CTA 3(a)"/>
    <w:basedOn w:val="OPCParaBase"/>
    <w:rsid w:val="006D775D"/>
    <w:pPr>
      <w:tabs>
        <w:tab w:val="right" w:pos="556"/>
      </w:tabs>
      <w:spacing w:before="40" w:line="240" w:lineRule="atLeast"/>
      <w:ind w:left="805" w:hanging="805"/>
    </w:pPr>
    <w:rPr>
      <w:sz w:val="20"/>
    </w:rPr>
  </w:style>
  <w:style w:type="paragraph" w:customStyle="1" w:styleId="CTA3ai">
    <w:name w:val="CTA 3(a)(i)"/>
    <w:basedOn w:val="OPCParaBase"/>
    <w:rsid w:val="006D775D"/>
    <w:pPr>
      <w:tabs>
        <w:tab w:val="right" w:pos="1140"/>
      </w:tabs>
      <w:spacing w:before="40" w:line="240" w:lineRule="atLeast"/>
      <w:ind w:left="1361" w:hanging="1361"/>
    </w:pPr>
    <w:rPr>
      <w:sz w:val="20"/>
    </w:rPr>
  </w:style>
  <w:style w:type="paragraph" w:customStyle="1" w:styleId="CTA4a">
    <w:name w:val="CTA 4(a)"/>
    <w:basedOn w:val="OPCParaBase"/>
    <w:rsid w:val="006D775D"/>
    <w:pPr>
      <w:tabs>
        <w:tab w:val="right" w:pos="624"/>
      </w:tabs>
      <w:spacing w:before="40" w:line="240" w:lineRule="atLeast"/>
      <w:ind w:left="873" w:hanging="873"/>
    </w:pPr>
    <w:rPr>
      <w:sz w:val="20"/>
    </w:rPr>
  </w:style>
  <w:style w:type="paragraph" w:customStyle="1" w:styleId="CTA4ai">
    <w:name w:val="CTA 4(a)(i)"/>
    <w:basedOn w:val="OPCParaBase"/>
    <w:rsid w:val="006D775D"/>
    <w:pPr>
      <w:tabs>
        <w:tab w:val="right" w:pos="1213"/>
      </w:tabs>
      <w:spacing w:before="40" w:line="240" w:lineRule="atLeast"/>
      <w:ind w:left="1452" w:hanging="1452"/>
    </w:pPr>
    <w:rPr>
      <w:sz w:val="20"/>
    </w:rPr>
  </w:style>
  <w:style w:type="paragraph" w:customStyle="1" w:styleId="CTACAPS">
    <w:name w:val="CTA CAPS"/>
    <w:basedOn w:val="OPCParaBase"/>
    <w:rsid w:val="006D775D"/>
    <w:pPr>
      <w:spacing w:before="60" w:line="240" w:lineRule="atLeast"/>
    </w:pPr>
    <w:rPr>
      <w:sz w:val="20"/>
    </w:rPr>
  </w:style>
  <w:style w:type="paragraph" w:customStyle="1" w:styleId="CTAright">
    <w:name w:val="CTA right"/>
    <w:basedOn w:val="OPCParaBase"/>
    <w:rsid w:val="006D775D"/>
    <w:pPr>
      <w:spacing w:before="60" w:line="240" w:lineRule="auto"/>
      <w:jc w:val="right"/>
    </w:pPr>
    <w:rPr>
      <w:sz w:val="20"/>
    </w:rPr>
  </w:style>
  <w:style w:type="paragraph" w:customStyle="1" w:styleId="Definition">
    <w:name w:val="Definition"/>
    <w:aliases w:val="dd"/>
    <w:basedOn w:val="OPCParaBase"/>
    <w:rsid w:val="006D775D"/>
    <w:pPr>
      <w:spacing w:before="180" w:line="240" w:lineRule="auto"/>
      <w:ind w:left="1134"/>
    </w:pPr>
  </w:style>
  <w:style w:type="paragraph" w:customStyle="1" w:styleId="ETAsubitem">
    <w:name w:val="ETA(subitem)"/>
    <w:basedOn w:val="OPCParaBase"/>
    <w:rsid w:val="006D775D"/>
    <w:pPr>
      <w:tabs>
        <w:tab w:val="right" w:pos="340"/>
      </w:tabs>
      <w:spacing w:before="60" w:line="240" w:lineRule="auto"/>
      <w:ind w:left="454" w:hanging="454"/>
    </w:pPr>
    <w:rPr>
      <w:sz w:val="20"/>
    </w:rPr>
  </w:style>
  <w:style w:type="paragraph" w:customStyle="1" w:styleId="ETApara">
    <w:name w:val="ETA(para)"/>
    <w:basedOn w:val="OPCParaBase"/>
    <w:rsid w:val="006D775D"/>
    <w:pPr>
      <w:tabs>
        <w:tab w:val="right" w:pos="754"/>
      </w:tabs>
      <w:spacing w:before="60" w:line="240" w:lineRule="auto"/>
      <w:ind w:left="828" w:hanging="828"/>
    </w:pPr>
    <w:rPr>
      <w:sz w:val="20"/>
    </w:rPr>
  </w:style>
  <w:style w:type="paragraph" w:customStyle="1" w:styleId="ETAsubpara">
    <w:name w:val="ETA(subpara)"/>
    <w:basedOn w:val="OPCParaBase"/>
    <w:rsid w:val="006D775D"/>
    <w:pPr>
      <w:tabs>
        <w:tab w:val="right" w:pos="1083"/>
      </w:tabs>
      <w:spacing w:before="60" w:line="240" w:lineRule="auto"/>
      <w:ind w:left="1191" w:hanging="1191"/>
    </w:pPr>
    <w:rPr>
      <w:sz w:val="20"/>
    </w:rPr>
  </w:style>
  <w:style w:type="paragraph" w:customStyle="1" w:styleId="ETAsub-subpara">
    <w:name w:val="ETA(sub-subpara)"/>
    <w:basedOn w:val="OPCParaBase"/>
    <w:rsid w:val="006D775D"/>
    <w:pPr>
      <w:tabs>
        <w:tab w:val="right" w:pos="1412"/>
      </w:tabs>
      <w:spacing w:before="60" w:line="240" w:lineRule="auto"/>
      <w:ind w:left="1525" w:hanging="1525"/>
    </w:pPr>
    <w:rPr>
      <w:sz w:val="20"/>
    </w:rPr>
  </w:style>
  <w:style w:type="paragraph" w:customStyle="1" w:styleId="Formula">
    <w:name w:val="Formula"/>
    <w:basedOn w:val="OPCParaBase"/>
    <w:rsid w:val="006D775D"/>
    <w:pPr>
      <w:spacing w:line="240" w:lineRule="auto"/>
      <w:ind w:left="1134"/>
    </w:pPr>
    <w:rPr>
      <w:sz w:val="20"/>
    </w:rPr>
  </w:style>
  <w:style w:type="paragraph" w:styleId="Header">
    <w:name w:val="header"/>
    <w:basedOn w:val="OPCParaBase"/>
    <w:link w:val="HeaderChar"/>
    <w:unhideWhenUsed/>
    <w:rsid w:val="006D77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D775D"/>
    <w:rPr>
      <w:rFonts w:eastAsia="Times New Roman" w:cs="Times New Roman"/>
      <w:sz w:val="16"/>
      <w:lang w:eastAsia="en-AU"/>
    </w:rPr>
  </w:style>
  <w:style w:type="paragraph" w:customStyle="1" w:styleId="House">
    <w:name w:val="House"/>
    <w:basedOn w:val="OPCParaBase"/>
    <w:rsid w:val="006D775D"/>
    <w:pPr>
      <w:spacing w:line="240" w:lineRule="auto"/>
    </w:pPr>
    <w:rPr>
      <w:sz w:val="28"/>
    </w:rPr>
  </w:style>
  <w:style w:type="paragraph" w:customStyle="1" w:styleId="LongT">
    <w:name w:val="LongT"/>
    <w:basedOn w:val="OPCParaBase"/>
    <w:rsid w:val="006D775D"/>
    <w:pPr>
      <w:spacing w:line="240" w:lineRule="auto"/>
    </w:pPr>
    <w:rPr>
      <w:b/>
      <w:sz w:val="32"/>
    </w:rPr>
  </w:style>
  <w:style w:type="paragraph" w:customStyle="1" w:styleId="notedraft">
    <w:name w:val="note(draft)"/>
    <w:aliases w:val="nd"/>
    <w:basedOn w:val="OPCParaBase"/>
    <w:rsid w:val="006D775D"/>
    <w:pPr>
      <w:spacing w:before="240" w:line="240" w:lineRule="auto"/>
      <w:ind w:left="284" w:hanging="284"/>
    </w:pPr>
    <w:rPr>
      <w:i/>
      <w:sz w:val="24"/>
    </w:rPr>
  </w:style>
  <w:style w:type="paragraph" w:customStyle="1" w:styleId="notemargin">
    <w:name w:val="note(margin)"/>
    <w:aliases w:val="nm"/>
    <w:basedOn w:val="OPCParaBase"/>
    <w:rsid w:val="006D775D"/>
    <w:pPr>
      <w:tabs>
        <w:tab w:val="left" w:pos="709"/>
      </w:tabs>
      <w:spacing w:before="122" w:line="198" w:lineRule="exact"/>
      <w:ind w:left="709" w:hanging="709"/>
    </w:pPr>
    <w:rPr>
      <w:sz w:val="18"/>
    </w:rPr>
  </w:style>
  <w:style w:type="paragraph" w:customStyle="1" w:styleId="noteToPara">
    <w:name w:val="noteToPara"/>
    <w:aliases w:val="ntp"/>
    <w:basedOn w:val="OPCParaBase"/>
    <w:rsid w:val="006D775D"/>
    <w:pPr>
      <w:spacing w:before="122" w:line="198" w:lineRule="exact"/>
      <w:ind w:left="2353" w:hanging="709"/>
    </w:pPr>
    <w:rPr>
      <w:sz w:val="18"/>
    </w:rPr>
  </w:style>
  <w:style w:type="paragraph" w:customStyle="1" w:styleId="noteParlAmend">
    <w:name w:val="note(ParlAmend)"/>
    <w:aliases w:val="npp"/>
    <w:basedOn w:val="OPCParaBase"/>
    <w:next w:val="ParlAmend"/>
    <w:rsid w:val="006D775D"/>
    <w:pPr>
      <w:spacing w:line="240" w:lineRule="auto"/>
      <w:jc w:val="right"/>
    </w:pPr>
    <w:rPr>
      <w:rFonts w:ascii="Arial" w:hAnsi="Arial"/>
      <w:b/>
      <w:i/>
    </w:rPr>
  </w:style>
  <w:style w:type="paragraph" w:customStyle="1" w:styleId="ParlAmend">
    <w:name w:val="ParlAmend"/>
    <w:aliases w:val="pp"/>
    <w:basedOn w:val="OPCParaBase"/>
    <w:rsid w:val="006D775D"/>
    <w:pPr>
      <w:spacing w:before="240" w:line="240" w:lineRule="atLeast"/>
      <w:ind w:hanging="567"/>
    </w:pPr>
    <w:rPr>
      <w:sz w:val="24"/>
    </w:rPr>
  </w:style>
  <w:style w:type="paragraph" w:customStyle="1" w:styleId="Page1">
    <w:name w:val="Page1"/>
    <w:basedOn w:val="OPCParaBase"/>
    <w:rsid w:val="006D775D"/>
    <w:pPr>
      <w:spacing w:before="5600" w:line="240" w:lineRule="auto"/>
    </w:pPr>
    <w:rPr>
      <w:b/>
      <w:sz w:val="32"/>
    </w:rPr>
  </w:style>
  <w:style w:type="paragraph" w:customStyle="1" w:styleId="PageBreak">
    <w:name w:val="PageBreak"/>
    <w:aliases w:val="pb"/>
    <w:basedOn w:val="OPCParaBase"/>
    <w:rsid w:val="006D775D"/>
    <w:pPr>
      <w:spacing w:line="240" w:lineRule="auto"/>
    </w:pPr>
    <w:rPr>
      <w:sz w:val="20"/>
    </w:rPr>
  </w:style>
  <w:style w:type="paragraph" w:customStyle="1" w:styleId="paragraphsub">
    <w:name w:val="paragraph(sub)"/>
    <w:aliases w:val="aa"/>
    <w:basedOn w:val="OPCParaBase"/>
    <w:rsid w:val="006D775D"/>
    <w:pPr>
      <w:tabs>
        <w:tab w:val="right" w:pos="1985"/>
      </w:tabs>
      <w:spacing w:before="40" w:line="240" w:lineRule="auto"/>
      <w:ind w:left="2098" w:hanging="2098"/>
    </w:pPr>
  </w:style>
  <w:style w:type="paragraph" w:customStyle="1" w:styleId="paragraphsub-sub">
    <w:name w:val="paragraph(sub-sub)"/>
    <w:aliases w:val="aaa"/>
    <w:basedOn w:val="OPCParaBase"/>
    <w:rsid w:val="006D775D"/>
    <w:pPr>
      <w:tabs>
        <w:tab w:val="right" w:pos="2722"/>
      </w:tabs>
      <w:spacing w:before="40" w:line="240" w:lineRule="auto"/>
      <w:ind w:left="2835" w:hanging="2835"/>
    </w:pPr>
  </w:style>
  <w:style w:type="paragraph" w:customStyle="1" w:styleId="paragraph">
    <w:name w:val="paragraph"/>
    <w:aliases w:val="a"/>
    <w:basedOn w:val="OPCParaBase"/>
    <w:rsid w:val="006D775D"/>
    <w:pPr>
      <w:tabs>
        <w:tab w:val="right" w:pos="1531"/>
      </w:tabs>
      <w:spacing w:before="40" w:line="240" w:lineRule="auto"/>
      <w:ind w:left="1644" w:hanging="1644"/>
    </w:pPr>
  </w:style>
  <w:style w:type="paragraph" w:customStyle="1" w:styleId="Penalty">
    <w:name w:val="Penalty"/>
    <w:basedOn w:val="OPCParaBase"/>
    <w:rsid w:val="006D775D"/>
    <w:pPr>
      <w:tabs>
        <w:tab w:val="left" w:pos="2977"/>
      </w:tabs>
      <w:spacing w:before="180" w:line="240" w:lineRule="auto"/>
      <w:ind w:left="1985" w:hanging="851"/>
    </w:pPr>
  </w:style>
  <w:style w:type="paragraph" w:customStyle="1" w:styleId="Portfolio">
    <w:name w:val="Portfolio"/>
    <w:basedOn w:val="OPCParaBase"/>
    <w:rsid w:val="006D775D"/>
    <w:pPr>
      <w:spacing w:line="240" w:lineRule="auto"/>
    </w:pPr>
    <w:rPr>
      <w:i/>
      <w:sz w:val="20"/>
    </w:rPr>
  </w:style>
  <w:style w:type="paragraph" w:customStyle="1" w:styleId="Preamble">
    <w:name w:val="Preamble"/>
    <w:basedOn w:val="OPCParaBase"/>
    <w:next w:val="Normal"/>
    <w:rsid w:val="006D77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775D"/>
    <w:pPr>
      <w:spacing w:line="240" w:lineRule="auto"/>
    </w:pPr>
    <w:rPr>
      <w:i/>
      <w:sz w:val="20"/>
    </w:rPr>
  </w:style>
  <w:style w:type="paragraph" w:customStyle="1" w:styleId="Session">
    <w:name w:val="Session"/>
    <w:basedOn w:val="OPCParaBase"/>
    <w:rsid w:val="006D775D"/>
    <w:pPr>
      <w:spacing w:line="240" w:lineRule="auto"/>
    </w:pPr>
    <w:rPr>
      <w:sz w:val="28"/>
    </w:rPr>
  </w:style>
  <w:style w:type="paragraph" w:customStyle="1" w:styleId="Sponsor">
    <w:name w:val="Sponsor"/>
    <w:basedOn w:val="OPCParaBase"/>
    <w:rsid w:val="006D775D"/>
    <w:pPr>
      <w:spacing w:line="240" w:lineRule="auto"/>
    </w:pPr>
    <w:rPr>
      <w:i/>
    </w:rPr>
  </w:style>
  <w:style w:type="paragraph" w:customStyle="1" w:styleId="Subitem">
    <w:name w:val="Subitem"/>
    <w:aliases w:val="iss"/>
    <w:basedOn w:val="OPCParaBase"/>
    <w:rsid w:val="006D775D"/>
    <w:pPr>
      <w:spacing w:before="180" w:line="240" w:lineRule="auto"/>
      <w:ind w:left="709" w:hanging="709"/>
    </w:pPr>
  </w:style>
  <w:style w:type="paragraph" w:customStyle="1" w:styleId="SubitemHead">
    <w:name w:val="SubitemHead"/>
    <w:aliases w:val="issh"/>
    <w:basedOn w:val="OPCParaBase"/>
    <w:rsid w:val="006D77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775D"/>
    <w:pPr>
      <w:spacing w:before="40" w:line="240" w:lineRule="auto"/>
      <w:ind w:left="1134"/>
    </w:pPr>
  </w:style>
  <w:style w:type="paragraph" w:customStyle="1" w:styleId="SubsectionHead">
    <w:name w:val="SubsectionHead"/>
    <w:aliases w:val="ssh"/>
    <w:basedOn w:val="OPCParaBase"/>
    <w:next w:val="subsection"/>
    <w:rsid w:val="006D775D"/>
    <w:pPr>
      <w:keepNext/>
      <w:keepLines/>
      <w:spacing w:before="240" w:line="240" w:lineRule="auto"/>
      <w:ind w:left="1134"/>
    </w:pPr>
    <w:rPr>
      <w:i/>
    </w:rPr>
  </w:style>
  <w:style w:type="paragraph" w:customStyle="1" w:styleId="Tablea">
    <w:name w:val="Table(a)"/>
    <w:aliases w:val="ta"/>
    <w:basedOn w:val="OPCParaBase"/>
    <w:rsid w:val="006D775D"/>
    <w:pPr>
      <w:spacing w:before="60" w:line="240" w:lineRule="auto"/>
      <w:ind w:left="284" w:hanging="284"/>
    </w:pPr>
    <w:rPr>
      <w:sz w:val="20"/>
    </w:rPr>
  </w:style>
  <w:style w:type="paragraph" w:customStyle="1" w:styleId="TableAA">
    <w:name w:val="Table(AA)"/>
    <w:aliases w:val="taaa"/>
    <w:basedOn w:val="OPCParaBase"/>
    <w:rsid w:val="006D77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77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775D"/>
    <w:pPr>
      <w:spacing w:before="60" w:line="240" w:lineRule="atLeast"/>
    </w:pPr>
    <w:rPr>
      <w:sz w:val="20"/>
    </w:rPr>
  </w:style>
  <w:style w:type="paragraph" w:customStyle="1" w:styleId="TLPBoxTextnote">
    <w:name w:val="TLPBoxText(note"/>
    <w:aliases w:val="right)"/>
    <w:basedOn w:val="OPCParaBase"/>
    <w:rsid w:val="006D77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77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775D"/>
    <w:pPr>
      <w:spacing w:before="122" w:line="198" w:lineRule="exact"/>
      <w:ind w:left="1985" w:hanging="851"/>
      <w:jc w:val="right"/>
    </w:pPr>
    <w:rPr>
      <w:sz w:val="18"/>
    </w:rPr>
  </w:style>
  <w:style w:type="paragraph" w:customStyle="1" w:styleId="TLPTableBullet">
    <w:name w:val="TLPTableBullet"/>
    <w:aliases w:val="ttb"/>
    <w:basedOn w:val="OPCParaBase"/>
    <w:rsid w:val="006D775D"/>
    <w:pPr>
      <w:spacing w:line="240" w:lineRule="exact"/>
      <w:ind w:left="284" w:hanging="284"/>
    </w:pPr>
    <w:rPr>
      <w:sz w:val="20"/>
    </w:rPr>
  </w:style>
  <w:style w:type="paragraph" w:styleId="TOC1">
    <w:name w:val="toc 1"/>
    <w:basedOn w:val="OPCParaBase"/>
    <w:next w:val="Normal"/>
    <w:uiPriority w:val="39"/>
    <w:semiHidden/>
    <w:unhideWhenUsed/>
    <w:rsid w:val="006D775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D775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D775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D775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D775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D775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D775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D775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D775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D775D"/>
    <w:pPr>
      <w:keepLines/>
      <w:spacing w:before="240" w:after="120" w:line="240" w:lineRule="auto"/>
      <w:ind w:left="794"/>
    </w:pPr>
    <w:rPr>
      <w:b/>
      <w:kern w:val="28"/>
      <w:sz w:val="20"/>
    </w:rPr>
  </w:style>
  <w:style w:type="paragraph" w:customStyle="1" w:styleId="TofSectsSection">
    <w:name w:val="TofSects(Section)"/>
    <w:basedOn w:val="OPCParaBase"/>
    <w:rsid w:val="006D775D"/>
    <w:pPr>
      <w:keepLines/>
      <w:spacing w:before="40" w:line="240" w:lineRule="auto"/>
      <w:ind w:left="1588" w:hanging="794"/>
    </w:pPr>
    <w:rPr>
      <w:kern w:val="28"/>
      <w:sz w:val="18"/>
    </w:rPr>
  </w:style>
  <w:style w:type="paragraph" w:customStyle="1" w:styleId="TofSectsHeading">
    <w:name w:val="TofSects(Heading)"/>
    <w:basedOn w:val="OPCParaBase"/>
    <w:rsid w:val="006D775D"/>
    <w:pPr>
      <w:spacing w:before="240" w:after="120" w:line="240" w:lineRule="auto"/>
    </w:pPr>
    <w:rPr>
      <w:b/>
      <w:sz w:val="24"/>
    </w:rPr>
  </w:style>
  <w:style w:type="paragraph" w:customStyle="1" w:styleId="TofSectsSubdiv">
    <w:name w:val="TofSects(Subdiv)"/>
    <w:basedOn w:val="OPCParaBase"/>
    <w:rsid w:val="006D775D"/>
    <w:pPr>
      <w:keepLines/>
      <w:spacing w:before="80" w:line="240" w:lineRule="auto"/>
      <w:ind w:left="1588" w:hanging="794"/>
    </w:pPr>
    <w:rPr>
      <w:kern w:val="28"/>
    </w:rPr>
  </w:style>
  <w:style w:type="paragraph" w:customStyle="1" w:styleId="WRStyle">
    <w:name w:val="WR Style"/>
    <w:aliases w:val="WR"/>
    <w:basedOn w:val="OPCParaBase"/>
    <w:rsid w:val="006D775D"/>
    <w:pPr>
      <w:spacing w:before="240" w:line="240" w:lineRule="auto"/>
      <w:ind w:left="284" w:hanging="284"/>
    </w:pPr>
    <w:rPr>
      <w:b/>
      <w:i/>
      <w:kern w:val="28"/>
      <w:sz w:val="24"/>
    </w:rPr>
  </w:style>
  <w:style w:type="paragraph" w:customStyle="1" w:styleId="notepara">
    <w:name w:val="note(para)"/>
    <w:aliases w:val="na"/>
    <w:basedOn w:val="OPCParaBase"/>
    <w:rsid w:val="006D775D"/>
    <w:pPr>
      <w:spacing w:before="40" w:line="198" w:lineRule="exact"/>
      <w:ind w:left="2354" w:hanging="369"/>
    </w:pPr>
    <w:rPr>
      <w:sz w:val="18"/>
    </w:rPr>
  </w:style>
  <w:style w:type="paragraph" w:styleId="Footer">
    <w:name w:val="footer"/>
    <w:link w:val="FooterChar"/>
    <w:rsid w:val="006D77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D775D"/>
    <w:rPr>
      <w:rFonts w:eastAsia="Times New Roman" w:cs="Times New Roman"/>
      <w:sz w:val="22"/>
      <w:szCs w:val="24"/>
      <w:lang w:eastAsia="en-AU"/>
    </w:rPr>
  </w:style>
  <w:style w:type="character" w:styleId="LineNumber">
    <w:name w:val="line number"/>
    <w:basedOn w:val="OPCCharBase"/>
    <w:uiPriority w:val="99"/>
    <w:semiHidden/>
    <w:unhideWhenUsed/>
    <w:rsid w:val="006D775D"/>
    <w:rPr>
      <w:sz w:val="16"/>
    </w:rPr>
  </w:style>
  <w:style w:type="table" w:customStyle="1" w:styleId="CFlag">
    <w:name w:val="CFlag"/>
    <w:basedOn w:val="TableNormal"/>
    <w:uiPriority w:val="99"/>
    <w:rsid w:val="006D775D"/>
    <w:rPr>
      <w:rFonts w:eastAsia="Times New Roman" w:cs="Times New Roman"/>
      <w:lang w:eastAsia="en-AU"/>
    </w:rPr>
    <w:tblPr/>
  </w:style>
  <w:style w:type="paragraph" w:styleId="BalloonText">
    <w:name w:val="Balloon Text"/>
    <w:basedOn w:val="Normal"/>
    <w:link w:val="BalloonTextChar"/>
    <w:uiPriority w:val="99"/>
    <w:semiHidden/>
    <w:unhideWhenUsed/>
    <w:rsid w:val="006D77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5D"/>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6D7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D775D"/>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6D775D"/>
    <w:rPr>
      <w:i/>
      <w:sz w:val="32"/>
      <w:szCs w:val="32"/>
    </w:rPr>
  </w:style>
  <w:style w:type="paragraph" w:customStyle="1" w:styleId="SignCoverPageEnd">
    <w:name w:val="SignCoverPageEnd"/>
    <w:basedOn w:val="OPCParaBase"/>
    <w:next w:val="Normal"/>
    <w:rsid w:val="006D775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D775D"/>
    <w:pPr>
      <w:pBdr>
        <w:top w:val="single" w:sz="4" w:space="1" w:color="auto"/>
      </w:pBdr>
      <w:spacing w:before="360"/>
      <w:ind w:right="397"/>
      <w:jc w:val="both"/>
    </w:pPr>
  </w:style>
  <w:style w:type="paragraph" w:customStyle="1" w:styleId="NotesHeading1">
    <w:name w:val="NotesHeading 1"/>
    <w:basedOn w:val="OPCParaBase"/>
    <w:next w:val="Normal"/>
    <w:rsid w:val="006D775D"/>
    <w:rPr>
      <w:b/>
      <w:sz w:val="28"/>
      <w:szCs w:val="28"/>
    </w:rPr>
  </w:style>
  <w:style w:type="paragraph" w:customStyle="1" w:styleId="NotesHeading2">
    <w:name w:val="NotesHeading 2"/>
    <w:basedOn w:val="OPCParaBase"/>
    <w:next w:val="Normal"/>
    <w:rsid w:val="006D775D"/>
    <w:rPr>
      <w:b/>
      <w:sz w:val="28"/>
      <w:szCs w:val="28"/>
    </w:rPr>
  </w:style>
  <w:style w:type="paragraph" w:customStyle="1" w:styleId="CompiledActNo">
    <w:name w:val="CompiledActNo"/>
    <w:basedOn w:val="OPCParaBase"/>
    <w:next w:val="Normal"/>
    <w:rsid w:val="006D775D"/>
    <w:rPr>
      <w:b/>
      <w:sz w:val="24"/>
      <w:szCs w:val="24"/>
    </w:rPr>
  </w:style>
  <w:style w:type="paragraph" w:customStyle="1" w:styleId="CompiledMadeUnder">
    <w:name w:val="CompiledMadeUnder"/>
    <w:basedOn w:val="OPCParaBase"/>
    <w:next w:val="Normal"/>
    <w:rsid w:val="006D775D"/>
    <w:rPr>
      <w:i/>
      <w:sz w:val="24"/>
      <w:szCs w:val="24"/>
    </w:rPr>
  </w:style>
  <w:style w:type="paragraph" w:customStyle="1" w:styleId="Paragraphsub-sub-sub">
    <w:name w:val="Paragraph(sub-sub-sub)"/>
    <w:aliases w:val="aaaa"/>
    <w:basedOn w:val="OPCParaBase"/>
    <w:rsid w:val="006D775D"/>
    <w:pPr>
      <w:tabs>
        <w:tab w:val="right" w:pos="3402"/>
      </w:tabs>
      <w:spacing w:before="40" w:line="240" w:lineRule="auto"/>
      <w:ind w:left="3402" w:hanging="3402"/>
    </w:pPr>
  </w:style>
  <w:style w:type="paragraph" w:customStyle="1" w:styleId="NoteToSubpara">
    <w:name w:val="NoteToSubpara"/>
    <w:aliases w:val="nts"/>
    <w:basedOn w:val="OPCParaBase"/>
    <w:rsid w:val="006D775D"/>
    <w:pPr>
      <w:spacing w:before="40" w:line="198" w:lineRule="exact"/>
      <w:ind w:left="2835" w:hanging="709"/>
    </w:pPr>
    <w:rPr>
      <w:sz w:val="18"/>
    </w:rPr>
  </w:style>
  <w:style w:type="paragraph" w:customStyle="1" w:styleId="EndNotespara">
    <w:name w:val="EndNotes(para)"/>
    <w:aliases w:val="eta"/>
    <w:basedOn w:val="OPCParaBase"/>
    <w:next w:val="EndNotessubpara"/>
    <w:rsid w:val="006D775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6D77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775D"/>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6D775D"/>
    <w:pPr>
      <w:tabs>
        <w:tab w:val="right" w:pos="340"/>
      </w:tabs>
      <w:spacing w:before="60" w:line="240" w:lineRule="auto"/>
      <w:ind w:left="454" w:hanging="454"/>
    </w:pPr>
    <w:rPr>
      <w:sz w:val="20"/>
    </w:rPr>
  </w:style>
  <w:style w:type="paragraph" w:customStyle="1" w:styleId="ENoteTableHeading">
    <w:name w:val="ENoteTableHeading"/>
    <w:aliases w:val="enth"/>
    <w:basedOn w:val="OPCParaBase"/>
    <w:rsid w:val="006D775D"/>
    <w:pPr>
      <w:keepNext/>
      <w:spacing w:before="60" w:line="240" w:lineRule="atLeast"/>
    </w:pPr>
    <w:rPr>
      <w:rFonts w:ascii="Arial" w:hAnsi="Arial"/>
      <w:b/>
      <w:sz w:val="16"/>
    </w:rPr>
  </w:style>
  <w:style w:type="paragraph" w:customStyle="1" w:styleId="ENoteTTi">
    <w:name w:val="ENoteTTi"/>
    <w:aliases w:val="entti"/>
    <w:basedOn w:val="OPCParaBase"/>
    <w:rsid w:val="006D775D"/>
    <w:pPr>
      <w:keepNext/>
      <w:spacing w:before="60" w:line="240" w:lineRule="atLeast"/>
      <w:ind w:left="170"/>
    </w:pPr>
    <w:rPr>
      <w:sz w:val="16"/>
    </w:rPr>
  </w:style>
  <w:style w:type="paragraph" w:customStyle="1" w:styleId="ENotesHeading1">
    <w:name w:val="ENotesHeading 1"/>
    <w:aliases w:val="Enh1"/>
    <w:basedOn w:val="OPCParaBase"/>
    <w:next w:val="Normal"/>
    <w:rsid w:val="006D775D"/>
    <w:pPr>
      <w:spacing w:before="120"/>
      <w:outlineLvl w:val="1"/>
    </w:pPr>
    <w:rPr>
      <w:b/>
      <w:sz w:val="28"/>
      <w:szCs w:val="28"/>
    </w:rPr>
  </w:style>
  <w:style w:type="paragraph" w:customStyle="1" w:styleId="ENotesHeading2">
    <w:name w:val="ENotesHeading 2"/>
    <w:aliases w:val="Enh2"/>
    <w:basedOn w:val="OPCParaBase"/>
    <w:next w:val="Normal"/>
    <w:rsid w:val="006D775D"/>
    <w:pPr>
      <w:spacing w:before="120" w:after="120"/>
      <w:outlineLvl w:val="2"/>
    </w:pPr>
    <w:rPr>
      <w:b/>
      <w:sz w:val="24"/>
      <w:szCs w:val="28"/>
    </w:rPr>
  </w:style>
  <w:style w:type="paragraph" w:customStyle="1" w:styleId="ENoteTTIndentHeading">
    <w:name w:val="ENoteTTIndentHeading"/>
    <w:aliases w:val="enTTHi"/>
    <w:basedOn w:val="OPCParaBase"/>
    <w:rsid w:val="006D775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775D"/>
    <w:pPr>
      <w:spacing w:before="60" w:line="240" w:lineRule="atLeast"/>
    </w:pPr>
    <w:rPr>
      <w:sz w:val="16"/>
    </w:rPr>
  </w:style>
  <w:style w:type="paragraph" w:customStyle="1" w:styleId="MadeunderText">
    <w:name w:val="MadeunderText"/>
    <w:basedOn w:val="OPCParaBase"/>
    <w:next w:val="CompiledMadeUnder"/>
    <w:rsid w:val="006D775D"/>
    <w:pPr>
      <w:spacing w:before="240"/>
    </w:pPr>
    <w:rPr>
      <w:sz w:val="24"/>
      <w:szCs w:val="24"/>
    </w:rPr>
  </w:style>
  <w:style w:type="paragraph" w:customStyle="1" w:styleId="ENotesHeading3">
    <w:name w:val="ENotesHeading 3"/>
    <w:aliases w:val="Enh3"/>
    <w:basedOn w:val="OPCParaBase"/>
    <w:next w:val="Normal"/>
    <w:rsid w:val="006D775D"/>
    <w:pPr>
      <w:keepNext/>
      <w:spacing w:before="120" w:line="240" w:lineRule="auto"/>
      <w:outlineLvl w:val="4"/>
    </w:pPr>
    <w:rPr>
      <w:b/>
      <w:szCs w:val="24"/>
    </w:rPr>
  </w:style>
  <w:style w:type="character" w:customStyle="1" w:styleId="CharSubPartTextCASA">
    <w:name w:val="CharSubPartText(CASA)"/>
    <w:basedOn w:val="OPCCharBase"/>
    <w:uiPriority w:val="1"/>
    <w:rsid w:val="006D775D"/>
  </w:style>
  <w:style w:type="character" w:customStyle="1" w:styleId="CharSubPartNoCASA">
    <w:name w:val="CharSubPartNo(CASA)"/>
    <w:basedOn w:val="OPCCharBase"/>
    <w:uiPriority w:val="1"/>
    <w:rsid w:val="006D775D"/>
  </w:style>
  <w:style w:type="paragraph" w:customStyle="1" w:styleId="ENoteTTIndentHeadingSub">
    <w:name w:val="ENoteTTIndentHeadingSub"/>
    <w:aliases w:val="enTTHis"/>
    <w:basedOn w:val="OPCParaBase"/>
    <w:rsid w:val="006D775D"/>
    <w:pPr>
      <w:keepNext/>
      <w:spacing w:before="60" w:line="240" w:lineRule="atLeast"/>
      <w:ind w:left="340"/>
    </w:pPr>
    <w:rPr>
      <w:b/>
      <w:sz w:val="16"/>
    </w:rPr>
  </w:style>
  <w:style w:type="paragraph" w:customStyle="1" w:styleId="ENoteTTiSub">
    <w:name w:val="ENoteTTiSub"/>
    <w:aliases w:val="enttis"/>
    <w:basedOn w:val="OPCParaBase"/>
    <w:rsid w:val="006D775D"/>
    <w:pPr>
      <w:keepNext/>
      <w:spacing w:before="60" w:line="240" w:lineRule="atLeast"/>
      <w:ind w:left="340"/>
    </w:pPr>
    <w:rPr>
      <w:sz w:val="16"/>
    </w:rPr>
  </w:style>
  <w:style w:type="paragraph" w:customStyle="1" w:styleId="SubDivisionMigration">
    <w:name w:val="SubDivisionMigration"/>
    <w:aliases w:val="sdm"/>
    <w:basedOn w:val="OPCParaBase"/>
    <w:rsid w:val="006D77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775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D775D"/>
    <w:pPr>
      <w:spacing w:before="122" w:line="240" w:lineRule="auto"/>
      <w:ind w:left="1985" w:hanging="851"/>
    </w:pPr>
    <w:rPr>
      <w:sz w:val="18"/>
    </w:rPr>
  </w:style>
  <w:style w:type="character" w:customStyle="1" w:styleId="notetextChar">
    <w:name w:val="note(text) Char"/>
    <w:aliases w:val="n Char"/>
    <w:basedOn w:val="DefaultParagraphFont"/>
    <w:link w:val="notetext"/>
    <w:rsid w:val="00956E87"/>
    <w:rPr>
      <w:rFonts w:eastAsia="Times New Roman" w:cs="Times New Roman"/>
      <w:sz w:val="18"/>
      <w:lang w:eastAsia="en-AU"/>
    </w:rPr>
  </w:style>
  <w:style w:type="paragraph" w:customStyle="1" w:styleId="FreeForm">
    <w:name w:val="FreeForm"/>
    <w:rsid w:val="00956E87"/>
    <w:rPr>
      <w:rFonts w:ascii="Arial" w:hAnsi="Arial"/>
      <w:sz w:val="22"/>
    </w:rPr>
  </w:style>
  <w:style w:type="paragraph" w:customStyle="1" w:styleId="SOText">
    <w:name w:val="SO Text"/>
    <w:aliases w:val="sot"/>
    <w:link w:val="SOTextChar"/>
    <w:rsid w:val="006D77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D775D"/>
    <w:rPr>
      <w:sz w:val="22"/>
    </w:rPr>
  </w:style>
  <w:style w:type="paragraph" w:customStyle="1" w:styleId="SOTextNote">
    <w:name w:val="SO TextNote"/>
    <w:aliases w:val="sont"/>
    <w:basedOn w:val="SOText"/>
    <w:qFormat/>
    <w:rsid w:val="006D775D"/>
    <w:pPr>
      <w:spacing w:before="122" w:line="198" w:lineRule="exact"/>
      <w:ind w:left="1843" w:hanging="709"/>
    </w:pPr>
    <w:rPr>
      <w:sz w:val="18"/>
    </w:rPr>
  </w:style>
  <w:style w:type="paragraph" w:customStyle="1" w:styleId="SOPara">
    <w:name w:val="SO Para"/>
    <w:aliases w:val="soa"/>
    <w:basedOn w:val="SOText"/>
    <w:link w:val="SOParaChar"/>
    <w:qFormat/>
    <w:rsid w:val="006D775D"/>
    <w:pPr>
      <w:tabs>
        <w:tab w:val="right" w:pos="1786"/>
      </w:tabs>
      <w:spacing w:before="40"/>
      <w:ind w:left="2070" w:hanging="936"/>
    </w:pPr>
  </w:style>
  <w:style w:type="character" w:customStyle="1" w:styleId="SOParaChar">
    <w:name w:val="SO Para Char"/>
    <w:aliases w:val="soa Char"/>
    <w:basedOn w:val="DefaultParagraphFont"/>
    <w:link w:val="SOPara"/>
    <w:rsid w:val="006D775D"/>
    <w:rPr>
      <w:sz w:val="22"/>
    </w:rPr>
  </w:style>
  <w:style w:type="paragraph" w:customStyle="1" w:styleId="FileName">
    <w:name w:val="FileName"/>
    <w:basedOn w:val="Normal"/>
    <w:rsid w:val="006D775D"/>
  </w:style>
  <w:style w:type="paragraph" w:customStyle="1" w:styleId="TableHeading">
    <w:name w:val="TableHeading"/>
    <w:aliases w:val="th"/>
    <w:basedOn w:val="OPCParaBase"/>
    <w:next w:val="Tabletext"/>
    <w:rsid w:val="006D775D"/>
    <w:pPr>
      <w:keepNext/>
      <w:spacing w:before="60" w:line="240" w:lineRule="atLeast"/>
    </w:pPr>
    <w:rPr>
      <w:b/>
      <w:sz w:val="20"/>
    </w:rPr>
  </w:style>
  <w:style w:type="paragraph" w:customStyle="1" w:styleId="SOHeadBold">
    <w:name w:val="SO HeadBold"/>
    <w:aliases w:val="sohb"/>
    <w:basedOn w:val="SOText"/>
    <w:next w:val="SOText"/>
    <w:link w:val="SOHeadBoldChar"/>
    <w:qFormat/>
    <w:rsid w:val="006D775D"/>
    <w:rPr>
      <w:b/>
    </w:rPr>
  </w:style>
  <w:style w:type="character" w:customStyle="1" w:styleId="SOHeadBoldChar">
    <w:name w:val="SO HeadBold Char"/>
    <w:aliases w:val="sohb Char"/>
    <w:basedOn w:val="DefaultParagraphFont"/>
    <w:link w:val="SOHeadBold"/>
    <w:rsid w:val="006D775D"/>
    <w:rPr>
      <w:b/>
      <w:sz w:val="22"/>
    </w:rPr>
  </w:style>
  <w:style w:type="paragraph" w:customStyle="1" w:styleId="SOHeadItalic">
    <w:name w:val="SO HeadItalic"/>
    <w:aliases w:val="sohi"/>
    <w:basedOn w:val="SOText"/>
    <w:next w:val="SOText"/>
    <w:link w:val="SOHeadItalicChar"/>
    <w:qFormat/>
    <w:rsid w:val="006D775D"/>
    <w:rPr>
      <w:i/>
    </w:rPr>
  </w:style>
  <w:style w:type="character" w:customStyle="1" w:styleId="SOHeadItalicChar">
    <w:name w:val="SO HeadItalic Char"/>
    <w:aliases w:val="sohi Char"/>
    <w:basedOn w:val="DefaultParagraphFont"/>
    <w:link w:val="SOHeadItalic"/>
    <w:rsid w:val="006D775D"/>
    <w:rPr>
      <w:i/>
      <w:sz w:val="22"/>
    </w:rPr>
  </w:style>
  <w:style w:type="paragraph" w:customStyle="1" w:styleId="SOBullet">
    <w:name w:val="SO Bullet"/>
    <w:aliases w:val="sotb"/>
    <w:basedOn w:val="SOText"/>
    <w:link w:val="SOBulletChar"/>
    <w:qFormat/>
    <w:rsid w:val="006D775D"/>
    <w:pPr>
      <w:ind w:left="1559" w:hanging="425"/>
    </w:pPr>
  </w:style>
  <w:style w:type="character" w:customStyle="1" w:styleId="SOBulletChar">
    <w:name w:val="SO Bullet Char"/>
    <w:aliases w:val="sotb Char"/>
    <w:basedOn w:val="DefaultParagraphFont"/>
    <w:link w:val="SOBullet"/>
    <w:rsid w:val="006D775D"/>
    <w:rPr>
      <w:sz w:val="22"/>
    </w:rPr>
  </w:style>
  <w:style w:type="paragraph" w:customStyle="1" w:styleId="SOBulletNote">
    <w:name w:val="SO BulletNote"/>
    <w:aliases w:val="sonb"/>
    <w:basedOn w:val="SOTextNote"/>
    <w:link w:val="SOBulletNoteChar"/>
    <w:qFormat/>
    <w:rsid w:val="006D775D"/>
    <w:pPr>
      <w:tabs>
        <w:tab w:val="left" w:pos="1560"/>
      </w:tabs>
      <w:ind w:left="2268" w:hanging="1134"/>
    </w:pPr>
  </w:style>
  <w:style w:type="character" w:customStyle="1" w:styleId="SOBulletNoteChar">
    <w:name w:val="SO BulletNote Char"/>
    <w:aliases w:val="sonb Char"/>
    <w:basedOn w:val="DefaultParagraphFont"/>
    <w:link w:val="SOBulletNote"/>
    <w:rsid w:val="006D775D"/>
    <w:rPr>
      <w:sz w:val="18"/>
    </w:rPr>
  </w:style>
  <w:style w:type="paragraph" w:customStyle="1" w:styleId="SOText2">
    <w:name w:val="SO Text2"/>
    <w:aliases w:val="sot2"/>
    <w:basedOn w:val="Normal"/>
    <w:next w:val="SOText"/>
    <w:link w:val="SOText2Char"/>
    <w:rsid w:val="006D775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D775D"/>
    <w:rPr>
      <w:sz w:val="22"/>
    </w:rPr>
  </w:style>
  <w:style w:type="paragraph" w:customStyle="1" w:styleId="SubPartCASA">
    <w:name w:val="SubPart(CASA)"/>
    <w:aliases w:val="csp"/>
    <w:basedOn w:val="OPCParaBase"/>
    <w:next w:val="ActHead3"/>
    <w:rsid w:val="006D775D"/>
    <w:pPr>
      <w:keepNext/>
      <w:keepLines/>
      <w:spacing w:before="280"/>
      <w:ind w:left="1134" w:hanging="1134"/>
      <w:outlineLvl w:val="1"/>
    </w:pPr>
    <w:rPr>
      <w:b/>
      <w:kern w:val="28"/>
      <w:sz w:val="32"/>
    </w:rPr>
  </w:style>
  <w:style w:type="character" w:styleId="CommentReference">
    <w:name w:val="annotation reference"/>
    <w:basedOn w:val="DefaultParagraphFont"/>
    <w:uiPriority w:val="99"/>
    <w:semiHidden/>
    <w:unhideWhenUsed/>
    <w:rsid w:val="00864710"/>
    <w:rPr>
      <w:sz w:val="16"/>
      <w:szCs w:val="16"/>
    </w:rPr>
  </w:style>
  <w:style w:type="paragraph" w:styleId="CommentText">
    <w:name w:val="annotation text"/>
    <w:basedOn w:val="Normal"/>
    <w:link w:val="CommentTextChar"/>
    <w:uiPriority w:val="99"/>
    <w:unhideWhenUsed/>
    <w:rsid w:val="00864710"/>
    <w:pPr>
      <w:spacing w:line="240" w:lineRule="auto"/>
    </w:pPr>
    <w:rPr>
      <w:rFonts w:eastAsia="Times New Roman" w:cs="Times New Roman"/>
      <w:sz w:val="20"/>
      <w:lang w:val="en-CA"/>
    </w:rPr>
  </w:style>
  <w:style w:type="character" w:customStyle="1" w:styleId="CommentTextChar">
    <w:name w:val="Comment Text Char"/>
    <w:basedOn w:val="DefaultParagraphFont"/>
    <w:link w:val="CommentText"/>
    <w:uiPriority w:val="99"/>
    <w:rsid w:val="00864710"/>
    <w:rPr>
      <w:rFonts w:eastAsia="Times New Roman" w:cs="Times New Roman"/>
      <w:lang w:val="en-CA"/>
    </w:rPr>
  </w:style>
  <w:style w:type="paragraph" w:customStyle="1" w:styleId="DataEntry">
    <w:name w:val="Data Entry"/>
    <w:basedOn w:val="Normal"/>
    <w:link w:val="DataEntryChar"/>
    <w:qFormat/>
    <w:rsid w:val="00925920"/>
    <w:pPr>
      <w:spacing w:line="240" w:lineRule="auto"/>
    </w:pPr>
    <w:rPr>
      <w:rFonts w:ascii="Arial" w:eastAsia="Times New Roman" w:hAnsi="Arial" w:cs="Times New Roman"/>
      <w:b/>
      <w:color w:val="0000FF"/>
      <w:sz w:val="24"/>
      <w:szCs w:val="24"/>
      <w:lang w:val="en-US"/>
    </w:rPr>
  </w:style>
  <w:style w:type="character" w:customStyle="1" w:styleId="DataEntryChar">
    <w:name w:val="Data Entry Char"/>
    <w:link w:val="DataEntry"/>
    <w:rsid w:val="00925920"/>
    <w:rPr>
      <w:rFonts w:ascii="Arial" w:eastAsia="Times New Roman" w:hAnsi="Arial" w:cs="Times New Roman"/>
      <w:b/>
      <w:color w:val="0000F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6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28</Pages>
  <Words>9059</Words>
  <Characters>46964</Characters>
  <Application>Microsoft Office Word</Application>
  <DocSecurity>0</DocSecurity>
  <PresentationFormat/>
  <Lines>1252</Lines>
  <Paragraphs>750</Paragraphs>
  <ScaleCrop>false</ScaleCrop>
  <HeadingPairs>
    <vt:vector size="2" baseType="variant">
      <vt:variant>
        <vt:lpstr>Title</vt:lpstr>
      </vt:variant>
      <vt:variant>
        <vt:i4>1</vt:i4>
      </vt:variant>
    </vt:vector>
  </HeadingPairs>
  <TitlesOfParts>
    <vt:vector size="1" baseType="lpstr">
      <vt:lpstr>Health Insurance Legislation Amendment (2016 Measures No. 2) Regulation 2016</vt:lpstr>
    </vt:vector>
  </TitlesOfParts>
  <Manager/>
  <Company/>
  <LinksUpToDate>false</LinksUpToDate>
  <CharactersWithSpaces>55380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2016-09-23T00:29:00Z</cp:lastPrinted>
  <dcterms:created xsi:type="dcterms:W3CDTF">2016-10-09T22:04:00Z</dcterms:created>
  <dcterms:modified xsi:type="dcterms:W3CDTF">2016-10-09T22:04:00Z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Health Insurance Legislation Amendment (2016 Measures No. 2)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13 October 2016</vt:lpwstr>
  </property>
  <property fmtid="{D5CDD505-2E9C-101B-9397-08002B2CF9AE}" pid="10" name="Authority">
    <vt:lpwstr/>
  </property>
  <property fmtid="{D5CDD505-2E9C-101B-9397-08002B2CF9AE}" pid="11" name="ID">
    <vt:lpwstr>OPC62089</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Health Insurance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13 October 2016</vt:lpwstr>
  </property>
</Properties>
</file>