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6424" w:rsidRDefault="00756424" w:rsidP="00756424">
      <w:pPr>
        <w:spacing w:after="0" w:line="240" w:lineRule="auto"/>
        <w:ind w:right="91"/>
        <w:jc w:val="center"/>
        <w:rPr>
          <w:rFonts w:ascii="Times New Roman" w:eastAsia="Times New Roman" w:hAnsi="Times New Roman" w:cs="Times New Roman"/>
          <w:b/>
          <w:sz w:val="24"/>
          <w:szCs w:val="24"/>
          <w:u w:val="single"/>
        </w:rPr>
      </w:pPr>
      <w:r w:rsidRPr="00756424">
        <w:rPr>
          <w:rFonts w:ascii="Times New Roman" w:eastAsia="Times New Roman" w:hAnsi="Times New Roman" w:cs="Times New Roman"/>
          <w:b/>
          <w:sz w:val="24"/>
          <w:szCs w:val="24"/>
          <w:u w:val="single"/>
        </w:rPr>
        <w:t xml:space="preserve">EXPLANATORY </w:t>
      </w:r>
      <w:r w:rsidR="00AB2DC0">
        <w:rPr>
          <w:rFonts w:ascii="Times New Roman" w:eastAsia="Times New Roman" w:hAnsi="Times New Roman" w:cs="Times New Roman"/>
          <w:b/>
          <w:sz w:val="24"/>
          <w:szCs w:val="24"/>
          <w:u w:val="single"/>
        </w:rPr>
        <w:t>STATEMENT</w:t>
      </w:r>
    </w:p>
    <w:p w:rsidR="00AB2DC0" w:rsidRDefault="00AB2DC0" w:rsidP="00756424">
      <w:pPr>
        <w:spacing w:after="0" w:line="240" w:lineRule="auto"/>
        <w:ind w:right="91"/>
        <w:jc w:val="center"/>
        <w:rPr>
          <w:rFonts w:ascii="Times New Roman" w:eastAsia="Times New Roman" w:hAnsi="Times New Roman" w:cs="Times New Roman"/>
          <w:b/>
          <w:sz w:val="24"/>
          <w:szCs w:val="24"/>
          <w:u w:val="single"/>
        </w:rPr>
      </w:pPr>
    </w:p>
    <w:p w:rsidR="00AB2DC0" w:rsidRPr="007F029E" w:rsidRDefault="007F029E" w:rsidP="00756424">
      <w:pPr>
        <w:spacing w:after="0" w:line="240" w:lineRule="auto"/>
        <w:ind w:right="91"/>
        <w:jc w:val="center"/>
        <w:rPr>
          <w:rFonts w:ascii="Times New Roman" w:eastAsia="Times New Roman" w:hAnsi="Times New Roman" w:cs="Times New Roman"/>
          <w:sz w:val="24"/>
          <w:szCs w:val="24"/>
        </w:rPr>
      </w:pPr>
      <w:r w:rsidRPr="007F029E">
        <w:rPr>
          <w:rFonts w:ascii="Times New Roman" w:eastAsia="Times New Roman" w:hAnsi="Times New Roman" w:cs="Times New Roman"/>
          <w:sz w:val="24"/>
          <w:szCs w:val="24"/>
        </w:rPr>
        <w:t>Issued by the Minister for Justice</w:t>
      </w:r>
    </w:p>
    <w:p w:rsidR="00F322D2" w:rsidRPr="00756424" w:rsidRDefault="00F322D2" w:rsidP="00756424">
      <w:pPr>
        <w:spacing w:after="0" w:line="240" w:lineRule="auto"/>
        <w:ind w:right="91"/>
        <w:rPr>
          <w:rFonts w:ascii="Times New Roman" w:eastAsia="Times New Roman" w:hAnsi="Times New Roman" w:cs="Times New Roman"/>
          <w:sz w:val="24"/>
          <w:szCs w:val="24"/>
        </w:rPr>
      </w:pPr>
    </w:p>
    <w:p w:rsidR="00756424" w:rsidRPr="00756424" w:rsidRDefault="00F322D2" w:rsidP="00AB2DC0">
      <w:pPr>
        <w:tabs>
          <w:tab w:val="left" w:pos="1418"/>
        </w:tabs>
        <w:spacing w:after="0" w:line="240" w:lineRule="auto"/>
        <w:ind w:right="91"/>
        <w:jc w:val="center"/>
        <w:rPr>
          <w:rFonts w:ascii="Times New Roman" w:eastAsia="Times New Roman" w:hAnsi="Times New Roman" w:cs="Times New Roman"/>
          <w:sz w:val="24"/>
          <w:szCs w:val="24"/>
        </w:rPr>
      </w:pPr>
      <w:r>
        <w:rPr>
          <w:rFonts w:ascii="Times New Roman" w:eastAsia="Times New Roman" w:hAnsi="Times New Roman" w:cs="Times New Roman"/>
          <w:i/>
          <w:sz w:val="24"/>
          <w:szCs w:val="24"/>
        </w:rPr>
        <w:t>Proceeds of Crime Act 2002</w:t>
      </w:r>
    </w:p>
    <w:p w:rsidR="00756424" w:rsidRPr="00756424" w:rsidRDefault="00756424" w:rsidP="00AB2DC0">
      <w:pPr>
        <w:tabs>
          <w:tab w:val="left" w:pos="1418"/>
        </w:tabs>
        <w:spacing w:after="0" w:line="240" w:lineRule="auto"/>
        <w:ind w:left="1418" w:right="91" w:hanging="1418"/>
        <w:jc w:val="center"/>
        <w:rPr>
          <w:rFonts w:ascii="Times New Roman" w:eastAsia="Times New Roman" w:hAnsi="Times New Roman" w:cs="Times New Roman"/>
          <w:sz w:val="24"/>
          <w:szCs w:val="24"/>
        </w:rPr>
      </w:pPr>
    </w:p>
    <w:p w:rsidR="0042582B" w:rsidRPr="0042582B" w:rsidRDefault="008D3030" w:rsidP="00AB2DC0">
      <w:pPr>
        <w:tabs>
          <w:tab w:val="left" w:pos="1418"/>
        </w:tabs>
        <w:spacing w:after="0" w:line="240" w:lineRule="auto"/>
        <w:ind w:left="1418" w:right="91" w:hanging="1418"/>
        <w:jc w:val="center"/>
        <w:rPr>
          <w:rFonts w:ascii="Times New Roman" w:eastAsia="Times New Roman" w:hAnsi="Times New Roman" w:cs="Times New Roman"/>
          <w:i/>
          <w:sz w:val="24"/>
          <w:szCs w:val="24"/>
        </w:rPr>
      </w:pPr>
      <w:r w:rsidRPr="00D22C13">
        <w:rPr>
          <w:rFonts w:ascii="Times New Roman" w:eastAsia="Times New Roman" w:hAnsi="Times New Roman" w:cs="Times New Roman"/>
          <w:i/>
          <w:sz w:val="24"/>
          <w:szCs w:val="24"/>
        </w:rPr>
        <w:t>Proceeds of Crime Amendment (Approved Examiners and Other Measures) Regulation 2016</w:t>
      </w:r>
    </w:p>
    <w:p w:rsidR="00756424" w:rsidRPr="00756424" w:rsidRDefault="00756424" w:rsidP="00AB2DC0">
      <w:pPr>
        <w:tabs>
          <w:tab w:val="left" w:pos="6525"/>
        </w:tabs>
        <w:spacing w:after="0" w:line="240" w:lineRule="auto"/>
        <w:ind w:right="91"/>
        <w:jc w:val="center"/>
        <w:rPr>
          <w:rFonts w:ascii="Times New Roman" w:eastAsia="Times New Roman" w:hAnsi="Times New Roman" w:cs="Times New Roman"/>
          <w:b/>
          <w:sz w:val="24"/>
          <w:szCs w:val="24"/>
        </w:rPr>
      </w:pPr>
    </w:p>
    <w:p w:rsidR="00756424" w:rsidRPr="00F81D61" w:rsidRDefault="0042582B" w:rsidP="00756424">
      <w:pPr>
        <w:spacing w:after="0" w:line="240" w:lineRule="auto"/>
        <w:ind w:right="9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r w:rsidR="00F322D2" w:rsidRPr="00F81D61">
        <w:rPr>
          <w:rFonts w:ascii="Times New Roman" w:eastAsia="Times New Roman" w:hAnsi="Times New Roman" w:cs="Times New Roman"/>
          <w:i/>
          <w:sz w:val="24"/>
          <w:szCs w:val="24"/>
        </w:rPr>
        <w:t xml:space="preserve">Proceeds of Crime Act 2002 </w:t>
      </w:r>
      <w:r w:rsidR="002B79B4" w:rsidRPr="00F81D61">
        <w:rPr>
          <w:rFonts w:ascii="Times New Roman" w:eastAsia="Times New Roman" w:hAnsi="Times New Roman" w:cs="Times New Roman"/>
          <w:sz w:val="24"/>
          <w:szCs w:val="24"/>
        </w:rPr>
        <w:t>(</w:t>
      </w:r>
      <w:r w:rsidR="008D3030" w:rsidRPr="00F81D61">
        <w:rPr>
          <w:rFonts w:ascii="Times New Roman" w:eastAsia="Times New Roman" w:hAnsi="Times New Roman" w:cs="Times New Roman"/>
          <w:sz w:val="24"/>
          <w:szCs w:val="24"/>
        </w:rPr>
        <w:t xml:space="preserve">the </w:t>
      </w:r>
      <w:r w:rsidR="002B79B4" w:rsidRPr="00F81D61">
        <w:rPr>
          <w:rFonts w:ascii="Times New Roman" w:eastAsia="Times New Roman" w:hAnsi="Times New Roman" w:cs="Times New Roman"/>
          <w:sz w:val="24"/>
          <w:szCs w:val="24"/>
        </w:rPr>
        <w:t xml:space="preserve">POC Act) </w:t>
      </w:r>
      <w:r w:rsidR="008E717E" w:rsidRPr="00F81D61">
        <w:rPr>
          <w:rFonts w:ascii="Times New Roman" w:eastAsia="Times New Roman" w:hAnsi="Times New Roman" w:cs="Times New Roman"/>
          <w:sz w:val="24"/>
          <w:szCs w:val="24"/>
        </w:rPr>
        <w:t xml:space="preserve">establishes a scheme to </w:t>
      </w:r>
      <w:r w:rsidR="00F511AB">
        <w:rPr>
          <w:rFonts w:ascii="Times New Roman" w:eastAsia="Times New Roman" w:hAnsi="Times New Roman" w:cs="Times New Roman"/>
          <w:sz w:val="24"/>
          <w:szCs w:val="24"/>
        </w:rPr>
        <w:t>trace, investigate, restrain and</w:t>
      </w:r>
      <w:r w:rsidR="00F511AB" w:rsidRPr="00F81D61">
        <w:rPr>
          <w:rFonts w:ascii="Times New Roman" w:eastAsia="Times New Roman" w:hAnsi="Times New Roman" w:cs="Times New Roman"/>
          <w:sz w:val="24"/>
          <w:szCs w:val="24"/>
        </w:rPr>
        <w:t xml:space="preserve"> </w:t>
      </w:r>
      <w:r w:rsidR="008E717E" w:rsidRPr="00F81D61">
        <w:rPr>
          <w:rFonts w:ascii="Times New Roman" w:eastAsia="Times New Roman" w:hAnsi="Times New Roman" w:cs="Times New Roman"/>
          <w:sz w:val="24"/>
          <w:szCs w:val="24"/>
        </w:rPr>
        <w:t>confiscate proceeds of crime and provides the means for returning the benefits of those confiscated funds to the community, among other things.</w:t>
      </w:r>
    </w:p>
    <w:p w:rsidR="00756424" w:rsidRPr="00F81D61" w:rsidRDefault="00756424" w:rsidP="00756424">
      <w:pPr>
        <w:spacing w:after="0" w:line="240" w:lineRule="auto"/>
        <w:ind w:right="91"/>
        <w:rPr>
          <w:rFonts w:ascii="Times New Roman" w:eastAsia="Times New Roman" w:hAnsi="Times New Roman" w:cs="Times New Roman"/>
          <w:sz w:val="24"/>
          <w:szCs w:val="24"/>
        </w:rPr>
      </w:pPr>
    </w:p>
    <w:p w:rsidR="0042582B" w:rsidRPr="00F81D61" w:rsidRDefault="0042582B" w:rsidP="0042582B">
      <w:pPr>
        <w:autoSpaceDE w:val="0"/>
        <w:autoSpaceDN w:val="0"/>
        <w:adjustRightInd w:val="0"/>
        <w:spacing w:after="0" w:line="240" w:lineRule="auto"/>
        <w:rPr>
          <w:rFonts w:ascii="Times New Roman" w:eastAsia="Times New Roman" w:hAnsi="Times New Roman" w:cs="Times New Roman"/>
          <w:sz w:val="24"/>
          <w:szCs w:val="24"/>
        </w:rPr>
      </w:pPr>
      <w:r w:rsidRPr="00F81D61">
        <w:rPr>
          <w:rFonts w:ascii="Times New Roman" w:eastAsia="Times New Roman" w:hAnsi="Times New Roman" w:cs="Times New Roman"/>
          <w:sz w:val="24"/>
          <w:szCs w:val="24"/>
        </w:rPr>
        <w:t>Section</w:t>
      </w:r>
      <w:r w:rsidR="00F322D2" w:rsidRPr="00F81D61">
        <w:rPr>
          <w:rFonts w:ascii="Times New Roman" w:eastAsia="Times New Roman" w:hAnsi="Times New Roman" w:cs="Times New Roman"/>
          <w:sz w:val="24"/>
          <w:szCs w:val="24"/>
        </w:rPr>
        <w:t>s</w:t>
      </w:r>
      <w:r w:rsidR="002B79B4" w:rsidRPr="00F81D61">
        <w:rPr>
          <w:rFonts w:ascii="Times New Roman" w:eastAsia="Times New Roman" w:hAnsi="Times New Roman" w:cs="Times New Roman"/>
          <w:sz w:val="24"/>
          <w:szCs w:val="24"/>
        </w:rPr>
        <w:t xml:space="preserve"> 183, 288, </w:t>
      </w:r>
      <w:r w:rsidR="00F322D2" w:rsidRPr="00F81D61">
        <w:rPr>
          <w:rFonts w:ascii="Times New Roman" w:eastAsia="Times New Roman" w:hAnsi="Times New Roman" w:cs="Times New Roman"/>
          <w:sz w:val="24"/>
          <w:szCs w:val="24"/>
        </w:rPr>
        <w:t>297</w:t>
      </w:r>
      <w:r w:rsidR="002B79B4" w:rsidRPr="00F81D61">
        <w:rPr>
          <w:rFonts w:ascii="Times New Roman" w:eastAsia="Times New Roman" w:hAnsi="Times New Roman" w:cs="Times New Roman"/>
          <w:sz w:val="24"/>
          <w:szCs w:val="24"/>
        </w:rPr>
        <w:t xml:space="preserve"> and 338</w:t>
      </w:r>
      <w:r w:rsidR="008D3030" w:rsidRPr="00F81D61">
        <w:rPr>
          <w:rFonts w:ascii="Times New Roman" w:eastAsia="Times New Roman" w:hAnsi="Times New Roman" w:cs="Times New Roman"/>
          <w:sz w:val="24"/>
          <w:szCs w:val="24"/>
        </w:rPr>
        <w:t xml:space="preserve"> of the </w:t>
      </w:r>
      <w:r w:rsidRPr="00F81D61">
        <w:rPr>
          <w:rFonts w:ascii="Times New Roman" w:eastAsia="Times New Roman" w:hAnsi="Times New Roman" w:cs="Times New Roman"/>
          <w:sz w:val="24"/>
          <w:szCs w:val="24"/>
        </w:rPr>
        <w:t xml:space="preserve">Act provides that </w:t>
      </w:r>
      <w:r w:rsidRPr="00F81D61">
        <w:rPr>
          <w:rFonts w:ascii="Times New Roman" w:hAnsi="Times New Roman" w:cs="Times New Roman"/>
          <w:sz w:val="24"/>
          <w:szCs w:val="24"/>
        </w:rPr>
        <w:t xml:space="preserve">the Governor-General may make regulations </w:t>
      </w:r>
      <w:r w:rsidR="0035081A" w:rsidRPr="00F81D61">
        <w:rPr>
          <w:rFonts w:ascii="Times New Roman" w:hAnsi="Times New Roman" w:cs="Times New Roman"/>
          <w:sz w:val="24"/>
          <w:szCs w:val="24"/>
        </w:rPr>
        <w:t xml:space="preserve">prescribing </w:t>
      </w:r>
      <w:r w:rsidR="002B79B4" w:rsidRPr="00F81D61">
        <w:rPr>
          <w:rFonts w:ascii="Times New Roman" w:hAnsi="Times New Roman" w:cs="Times New Roman"/>
          <w:sz w:val="24"/>
          <w:szCs w:val="24"/>
        </w:rPr>
        <w:t xml:space="preserve">persons or offices that the Minister may appoint as approved examiners, </w:t>
      </w:r>
      <w:r w:rsidR="00F322D2" w:rsidRPr="00F81D61">
        <w:rPr>
          <w:rFonts w:ascii="Times New Roman" w:hAnsi="Times New Roman" w:cs="Times New Roman"/>
          <w:sz w:val="24"/>
          <w:szCs w:val="24"/>
        </w:rPr>
        <w:t>remuneration for the exercise of powers and performance of functions or duties by the</w:t>
      </w:r>
      <w:r w:rsidR="002B79B4" w:rsidRPr="00F81D61">
        <w:rPr>
          <w:rFonts w:ascii="Times New Roman" w:hAnsi="Times New Roman" w:cs="Times New Roman"/>
          <w:sz w:val="24"/>
          <w:szCs w:val="24"/>
        </w:rPr>
        <w:t xml:space="preserve"> Official Trustee in Bankruptcy</w:t>
      </w:r>
      <w:r w:rsidR="00684B9F" w:rsidRPr="00F81D61">
        <w:rPr>
          <w:rFonts w:ascii="Times New Roman" w:hAnsi="Times New Roman" w:cs="Times New Roman"/>
          <w:sz w:val="24"/>
          <w:szCs w:val="24"/>
        </w:rPr>
        <w:t xml:space="preserve"> and </w:t>
      </w:r>
      <w:r w:rsidR="00F322D2" w:rsidRPr="00F81D61">
        <w:rPr>
          <w:rFonts w:ascii="Times New Roman" w:hAnsi="Times New Roman" w:cs="Times New Roman"/>
          <w:sz w:val="24"/>
          <w:szCs w:val="24"/>
        </w:rPr>
        <w:t>for payment of an annual management fee</w:t>
      </w:r>
      <w:r w:rsidR="002B79B4" w:rsidRPr="00F81D61">
        <w:rPr>
          <w:rFonts w:ascii="Times New Roman" w:hAnsi="Times New Roman" w:cs="Times New Roman"/>
          <w:sz w:val="24"/>
          <w:szCs w:val="24"/>
        </w:rPr>
        <w:t>, and ‘</w:t>
      </w:r>
      <w:r w:rsidR="0035081A" w:rsidRPr="00F81D61">
        <w:rPr>
          <w:rFonts w:ascii="Times New Roman" w:hAnsi="Times New Roman" w:cs="Times New Roman"/>
          <w:sz w:val="24"/>
          <w:szCs w:val="24"/>
        </w:rPr>
        <w:t>corresponding laws</w:t>
      </w:r>
      <w:r w:rsidR="002B79B4" w:rsidRPr="00F81D61">
        <w:rPr>
          <w:rFonts w:ascii="Times New Roman" w:hAnsi="Times New Roman" w:cs="Times New Roman"/>
          <w:sz w:val="24"/>
          <w:szCs w:val="24"/>
        </w:rPr>
        <w:t>’ for the purposes of the Act.</w:t>
      </w:r>
    </w:p>
    <w:p w:rsidR="0042582B" w:rsidRPr="00F81D61" w:rsidRDefault="0042582B" w:rsidP="00756424">
      <w:pPr>
        <w:spacing w:after="0" w:line="240" w:lineRule="auto"/>
        <w:ind w:right="91"/>
        <w:rPr>
          <w:rFonts w:ascii="Times New Roman" w:eastAsia="Times New Roman" w:hAnsi="Times New Roman" w:cs="Times New Roman"/>
          <w:sz w:val="24"/>
          <w:szCs w:val="24"/>
        </w:rPr>
      </w:pPr>
    </w:p>
    <w:p w:rsidR="0042582B" w:rsidRPr="00F81D61" w:rsidRDefault="0042582B" w:rsidP="00756424">
      <w:pPr>
        <w:tabs>
          <w:tab w:val="right" w:leader="dot" w:pos="7938"/>
        </w:tabs>
        <w:spacing w:after="0" w:line="240" w:lineRule="auto"/>
        <w:ind w:right="91"/>
        <w:rPr>
          <w:rFonts w:ascii="Times New Roman" w:eastAsia="Times New Roman" w:hAnsi="Times New Roman" w:cs="Times New Roman"/>
          <w:sz w:val="24"/>
          <w:szCs w:val="24"/>
        </w:rPr>
      </w:pPr>
      <w:r w:rsidRPr="00F81D61">
        <w:rPr>
          <w:rFonts w:ascii="Times New Roman" w:eastAsia="Times New Roman" w:hAnsi="Times New Roman" w:cs="Times New Roman"/>
          <w:sz w:val="24"/>
          <w:szCs w:val="24"/>
        </w:rPr>
        <w:t xml:space="preserve">The </w:t>
      </w:r>
      <w:r w:rsidR="00F322D2" w:rsidRPr="00F81D61">
        <w:rPr>
          <w:rFonts w:ascii="Times New Roman" w:eastAsia="Times New Roman" w:hAnsi="Times New Roman" w:cs="Times New Roman"/>
          <w:i/>
          <w:sz w:val="24"/>
          <w:szCs w:val="24"/>
        </w:rPr>
        <w:t>Proceeds of Crime Regulations 2002</w:t>
      </w:r>
      <w:r w:rsidR="00F322D2" w:rsidRPr="00F81D61">
        <w:rPr>
          <w:rFonts w:ascii="Times New Roman" w:eastAsia="Times New Roman" w:hAnsi="Times New Roman" w:cs="Times New Roman"/>
          <w:sz w:val="24"/>
          <w:szCs w:val="24"/>
        </w:rPr>
        <w:t xml:space="preserve"> </w:t>
      </w:r>
      <w:r w:rsidRPr="00F81D61">
        <w:rPr>
          <w:rFonts w:ascii="Times New Roman" w:eastAsia="Times New Roman" w:hAnsi="Times New Roman" w:cs="Times New Roman"/>
          <w:sz w:val="24"/>
          <w:szCs w:val="24"/>
        </w:rPr>
        <w:t xml:space="preserve">(the Principal Regulations) </w:t>
      </w:r>
      <w:r w:rsidR="002B79B4" w:rsidRPr="00F81D61">
        <w:rPr>
          <w:rFonts w:ascii="Times New Roman" w:eastAsia="Times New Roman" w:hAnsi="Times New Roman" w:cs="Times New Roman"/>
          <w:sz w:val="24"/>
          <w:szCs w:val="24"/>
        </w:rPr>
        <w:t>provides that</w:t>
      </w:r>
      <w:r w:rsidR="00D22C13" w:rsidRPr="00F81D61">
        <w:rPr>
          <w:rFonts w:ascii="Times New Roman" w:eastAsia="Times New Roman" w:hAnsi="Times New Roman" w:cs="Times New Roman"/>
          <w:sz w:val="24"/>
          <w:szCs w:val="24"/>
        </w:rPr>
        <w:t xml:space="preserve"> the Minister may appoint particular classes of person</w:t>
      </w:r>
      <w:r w:rsidR="00154F13" w:rsidRPr="00F81D61">
        <w:rPr>
          <w:rFonts w:ascii="Times New Roman" w:eastAsia="Times New Roman" w:hAnsi="Times New Roman" w:cs="Times New Roman"/>
          <w:sz w:val="24"/>
          <w:szCs w:val="24"/>
        </w:rPr>
        <w:t xml:space="preserve"> as approved examiners provided their names are kept on a </w:t>
      </w:r>
      <w:r w:rsidR="00D22C13" w:rsidRPr="00F81D61">
        <w:rPr>
          <w:rFonts w:ascii="Times New Roman" w:eastAsia="Times New Roman" w:hAnsi="Times New Roman" w:cs="Times New Roman"/>
          <w:sz w:val="24"/>
          <w:szCs w:val="24"/>
        </w:rPr>
        <w:t>register maintained by the Minister,</w:t>
      </w:r>
      <w:r w:rsidR="002B79B4" w:rsidRPr="00F81D61">
        <w:rPr>
          <w:rFonts w:ascii="Times New Roman" w:eastAsia="Times New Roman" w:hAnsi="Times New Roman" w:cs="Times New Roman"/>
          <w:sz w:val="24"/>
          <w:szCs w:val="24"/>
        </w:rPr>
        <w:t xml:space="preserve"> </w:t>
      </w:r>
      <w:r w:rsidR="00F322D2" w:rsidRPr="00F81D61">
        <w:rPr>
          <w:rFonts w:ascii="Times New Roman" w:eastAsia="Times New Roman" w:hAnsi="Times New Roman" w:cs="Times New Roman"/>
          <w:sz w:val="24"/>
          <w:szCs w:val="24"/>
        </w:rPr>
        <w:t>and specifies the rate of remuneration and the annual management fee amount for the Official Trustee</w:t>
      </w:r>
      <w:r w:rsidRPr="00F81D61">
        <w:rPr>
          <w:rFonts w:ascii="Times New Roman" w:eastAsia="Times New Roman" w:hAnsi="Times New Roman" w:cs="Times New Roman"/>
          <w:sz w:val="24"/>
          <w:szCs w:val="24"/>
        </w:rPr>
        <w:t xml:space="preserve">. </w:t>
      </w:r>
    </w:p>
    <w:p w:rsidR="0042582B" w:rsidRPr="00F81D61" w:rsidRDefault="0042582B" w:rsidP="00756424">
      <w:pPr>
        <w:tabs>
          <w:tab w:val="right" w:leader="dot" w:pos="7938"/>
        </w:tabs>
        <w:spacing w:after="0" w:line="240" w:lineRule="auto"/>
        <w:ind w:right="91"/>
        <w:rPr>
          <w:rFonts w:ascii="Times New Roman" w:eastAsia="Times New Roman" w:hAnsi="Times New Roman" w:cs="Times New Roman"/>
          <w:sz w:val="24"/>
          <w:szCs w:val="24"/>
        </w:rPr>
      </w:pPr>
    </w:p>
    <w:p w:rsidR="00C70F03" w:rsidRDefault="0042582B" w:rsidP="00756424">
      <w:pPr>
        <w:tabs>
          <w:tab w:val="right" w:leader="dot" w:pos="7938"/>
        </w:tabs>
        <w:spacing w:after="0" w:line="240" w:lineRule="auto"/>
        <w:ind w:right="91"/>
        <w:rPr>
          <w:rFonts w:ascii="Times New Roman" w:eastAsia="Times New Roman" w:hAnsi="Times New Roman" w:cs="Times New Roman"/>
          <w:sz w:val="24"/>
          <w:szCs w:val="24"/>
        </w:rPr>
      </w:pPr>
      <w:r w:rsidRPr="00F81D61">
        <w:rPr>
          <w:rFonts w:ascii="Times New Roman" w:eastAsia="Times New Roman" w:hAnsi="Times New Roman" w:cs="Times New Roman"/>
          <w:sz w:val="24"/>
          <w:szCs w:val="24"/>
        </w:rPr>
        <w:t xml:space="preserve">The </w:t>
      </w:r>
      <w:r w:rsidR="003535EE" w:rsidRPr="00F81D61">
        <w:rPr>
          <w:rFonts w:ascii="Times New Roman" w:eastAsia="Times New Roman" w:hAnsi="Times New Roman" w:cs="Times New Roman"/>
          <w:sz w:val="24"/>
          <w:szCs w:val="24"/>
        </w:rPr>
        <w:t xml:space="preserve">purpose of the </w:t>
      </w:r>
      <w:r w:rsidR="00F322D2" w:rsidRPr="00F81D61">
        <w:rPr>
          <w:rFonts w:ascii="Times New Roman" w:eastAsia="Times New Roman" w:hAnsi="Times New Roman" w:cs="Times New Roman"/>
          <w:i/>
          <w:sz w:val="24"/>
          <w:szCs w:val="24"/>
        </w:rPr>
        <w:t xml:space="preserve">Proceeds of Crime Amendment (Approved Examiners and Other Measures) Regulation 2016 </w:t>
      </w:r>
      <w:r w:rsidRPr="00F81D61">
        <w:rPr>
          <w:rFonts w:ascii="Times New Roman" w:eastAsia="Times New Roman" w:hAnsi="Times New Roman" w:cs="Times New Roman"/>
          <w:sz w:val="24"/>
          <w:szCs w:val="24"/>
        </w:rPr>
        <w:t xml:space="preserve">(the proposed Regulation) </w:t>
      </w:r>
      <w:r w:rsidR="003535EE" w:rsidRPr="00F81D61">
        <w:rPr>
          <w:rFonts w:ascii="Times New Roman" w:eastAsia="Times New Roman" w:hAnsi="Times New Roman" w:cs="Times New Roman"/>
          <w:sz w:val="24"/>
          <w:szCs w:val="24"/>
        </w:rPr>
        <w:t xml:space="preserve">is to amend </w:t>
      </w:r>
      <w:r w:rsidRPr="00F81D61">
        <w:rPr>
          <w:rFonts w:ascii="Times New Roman" w:eastAsia="Times New Roman" w:hAnsi="Times New Roman" w:cs="Times New Roman"/>
          <w:sz w:val="24"/>
          <w:szCs w:val="24"/>
        </w:rPr>
        <w:t>the Principal Regulation</w:t>
      </w:r>
      <w:r w:rsidR="003535EE" w:rsidRPr="00F81D61">
        <w:rPr>
          <w:rFonts w:ascii="Times New Roman" w:eastAsia="Times New Roman" w:hAnsi="Times New Roman" w:cs="Times New Roman"/>
          <w:sz w:val="24"/>
          <w:szCs w:val="24"/>
        </w:rPr>
        <w:t>s</w:t>
      </w:r>
      <w:r w:rsidRPr="00F81D61">
        <w:rPr>
          <w:rFonts w:ascii="Times New Roman" w:eastAsia="Times New Roman" w:hAnsi="Times New Roman" w:cs="Times New Roman"/>
          <w:sz w:val="24"/>
          <w:szCs w:val="24"/>
        </w:rPr>
        <w:t xml:space="preserve"> to </w:t>
      </w:r>
      <w:r w:rsidR="00D22C13" w:rsidRPr="00F81D61">
        <w:rPr>
          <w:rFonts w:ascii="Times New Roman" w:hAnsi="Times New Roman" w:cs="Times New Roman"/>
          <w:sz w:val="24"/>
          <w:szCs w:val="24"/>
        </w:rPr>
        <w:t xml:space="preserve">reflect recent changes to the POC Act under the </w:t>
      </w:r>
      <w:r w:rsidR="00D22C13" w:rsidRPr="00F81D61">
        <w:rPr>
          <w:rFonts w:ascii="Times New Roman" w:hAnsi="Times New Roman" w:cs="Times New Roman"/>
          <w:i/>
          <w:iCs/>
          <w:sz w:val="24"/>
          <w:szCs w:val="24"/>
        </w:rPr>
        <w:t xml:space="preserve">Crimes Legislation Amendment (Powers, Offences and Other Measures) Act 2015 </w:t>
      </w:r>
      <w:r w:rsidR="00D22C13" w:rsidRPr="00F81D61">
        <w:rPr>
          <w:rFonts w:ascii="Times New Roman" w:hAnsi="Times New Roman" w:cs="Times New Roman"/>
          <w:sz w:val="24"/>
          <w:szCs w:val="24"/>
        </w:rPr>
        <w:t>and corresponding state and territory legislation</w:t>
      </w:r>
      <w:r w:rsidR="00D22C13" w:rsidRPr="00F81D61">
        <w:rPr>
          <w:rFonts w:ascii="Times New Roman" w:eastAsia="Times New Roman" w:hAnsi="Times New Roman" w:cs="Times New Roman"/>
          <w:sz w:val="24"/>
          <w:szCs w:val="24"/>
        </w:rPr>
        <w:t xml:space="preserve">. </w:t>
      </w:r>
    </w:p>
    <w:p w:rsidR="00737C42" w:rsidRDefault="00737C42" w:rsidP="00756424">
      <w:pPr>
        <w:tabs>
          <w:tab w:val="right" w:leader="dot" w:pos="7938"/>
        </w:tabs>
        <w:spacing w:after="0" w:line="240" w:lineRule="auto"/>
        <w:ind w:right="91"/>
        <w:rPr>
          <w:rFonts w:ascii="Times New Roman" w:eastAsia="Times New Roman" w:hAnsi="Times New Roman" w:cs="Times New Roman"/>
          <w:sz w:val="24"/>
          <w:szCs w:val="24"/>
        </w:rPr>
      </w:pPr>
    </w:p>
    <w:p w:rsidR="00737C42" w:rsidRPr="00481103" w:rsidRDefault="00737C42" w:rsidP="00737C42">
      <w:pPr>
        <w:rPr>
          <w:rFonts w:ascii="Times New Roman" w:hAnsi="Times New Roman" w:cs="Times New Roman"/>
          <w:sz w:val="24"/>
          <w:szCs w:val="24"/>
        </w:rPr>
      </w:pPr>
      <w:r w:rsidRPr="00481103">
        <w:rPr>
          <w:rFonts w:ascii="Times New Roman" w:hAnsi="Times New Roman" w:cs="Times New Roman"/>
          <w:sz w:val="24"/>
          <w:szCs w:val="24"/>
        </w:rPr>
        <w:t xml:space="preserve">In particular, the proposed Regulation will amend the POC Regulations to: </w:t>
      </w:r>
    </w:p>
    <w:p w:rsidR="00737C42" w:rsidRPr="00737C42" w:rsidRDefault="00737C42" w:rsidP="00737C42">
      <w:pPr>
        <w:pStyle w:val="ListParagraph"/>
        <w:numPr>
          <w:ilvl w:val="0"/>
          <w:numId w:val="7"/>
        </w:numPr>
        <w:spacing w:after="0" w:line="240" w:lineRule="auto"/>
        <w:ind w:left="714" w:hanging="357"/>
        <w:contextualSpacing w:val="0"/>
        <w:rPr>
          <w:rFonts w:ascii="Times New Roman" w:hAnsi="Times New Roman"/>
          <w:sz w:val="24"/>
          <w:szCs w:val="24"/>
        </w:rPr>
      </w:pPr>
      <w:r w:rsidRPr="00737C42">
        <w:rPr>
          <w:rFonts w:ascii="Times New Roman" w:hAnsi="Times New Roman"/>
          <w:sz w:val="24"/>
          <w:szCs w:val="24"/>
        </w:rPr>
        <w:t>remove the requirement that the Minister keep a register for the purposes of section 183 of the POC Act, and</w:t>
      </w:r>
    </w:p>
    <w:p w:rsidR="00737C42" w:rsidRPr="00737C42" w:rsidRDefault="00737C42" w:rsidP="00737C42">
      <w:pPr>
        <w:pStyle w:val="ListParagraph"/>
        <w:numPr>
          <w:ilvl w:val="0"/>
          <w:numId w:val="7"/>
        </w:numPr>
        <w:spacing w:before="120" w:after="0" w:line="240" w:lineRule="auto"/>
        <w:ind w:left="714" w:hanging="357"/>
        <w:rPr>
          <w:rFonts w:ascii="Times New Roman" w:hAnsi="Times New Roman"/>
          <w:sz w:val="24"/>
          <w:szCs w:val="24"/>
        </w:rPr>
      </w:pPr>
      <w:r w:rsidRPr="00737C42">
        <w:rPr>
          <w:rFonts w:ascii="Times New Roman" w:hAnsi="Times New Roman"/>
          <w:sz w:val="24"/>
          <w:szCs w:val="24"/>
        </w:rPr>
        <w:t xml:space="preserve">update references to state and territory proceeds of crime-related orders, specifying that a number of proceeds of crime orders under the </w:t>
      </w:r>
      <w:r w:rsidRPr="00737C42">
        <w:rPr>
          <w:rFonts w:ascii="Times New Roman" w:hAnsi="Times New Roman"/>
          <w:i/>
          <w:sz w:val="24"/>
          <w:szCs w:val="24"/>
        </w:rPr>
        <w:t>Criminal Property Forfeiture Act</w:t>
      </w:r>
      <w:r w:rsidRPr="00737C42">
        <w:rPr>
          <w:rFonts w:ascii="Times New Roman" w:hAnsi="Times New Roman"/>
          <w:sz w:val="24"/>
          <w:szCs w:val="24"/>
        </w:rPr>
        <w:t xml:space="preserve"> (NT) and the </w:t>
      </w:r>
      <w:r w:rsidRPr="00737C42">
        <w:rPr>
          <w:rFonts w:ascii="Times New Roman" w:hAnsi="Times New Roman"/>
          <w:i/>
          <w:sz w:val="24"/>
          <w:szCs w:val="24"/>
        </w:rPr>
        <w:t>Confiscation Act 1997</w:t>
      </w:r>
      <w:r w:rsidRPr="00737C42">
        <w:rPr>
          <w:rFonts w:ascii="Times New Roman" w:hAnsi="Times New Roman"/>
          <w:sz w:val="24"/>
          <w:szCs w:val="24"/>
        </w:rPr>
        <w:t xml:space="preserve"> (Vic) are ‘corresponding laws’ for the purposes of the POC Act.</w:t>
      </w:r>
    </w:p>
    <w:p w:rsidR="00C70F03" w:rsidRDefault="00C70F03" w:rsidP="00756424">
      <w:pPr>
        <w:tabs>
          <w:tab w:val="right" w:leader="dot" w:pos="7938"/>
        </w:tabs>
        <w:spacing w:after="0" w:line="240" w:lineRule="auto"/>
        <w:ind w:right="91"/>
        <w:rPr>
          <w:rFonts w:ascii="Times New Roman" w:eastAsia="Times New Roman" w:hAnsi="Times New Roman" w:cs="Times New Roman"/>
          <w:sz w:val="24"/>
          <w:szCs w:val="24"/>
        </w:rPr>
      </w:pPr>
    </w:p>
    <w:p w:rsidR="003535EE" w:rsidRDefault="00D22C13" w:rsidP="00756424">
      <w:pPr>
        <w:tabs>
          <w:tab w:val="right" w:leader="dot" w:pos="7938"/>
        </w:tabs>
        <w:spacing w:after="0" w:line="240" w:lineRule="auto"/>
        <w:ind w:right="91"/>
        <w:rPr>
          <w:rFonts w:ascii="Times New Roman" w:eastAsia="Times New Roman" w:hAnsi="Times New Roman" w:cs="Times New Roman"/>
          <w:sz w:val="24"/>
          <w:szCs w:val="24"/>
        </w:rPr>
      </w:pPr>
      <w:r w:rsidRPr="00F81D61">
        <w:rPr>
          <w:rFonts w:ascii="Times New Roman" w:eastAsia="Times New Roman" w:hAnsi="Times New Roman" w:cs="Times New Roman"/>
          <w:sz w:val="24"/>
          <w:szCs w:val="24"/>
        </w:rPr>
        <w:t>The proposed Regulati</w:t>
      </w:r>
      <w:r w:rsidR="008D3030" w:rsidRPr="00F81D61">
        <w:rPr>
          <w:rFonts w:ascii="Times New Roman" w:eastAsia="Times New Roman" w:hAnsi="Times New Roman" w:cs="Times New Roman"/>
          <w:sz w:val="24"/>
          <w:szCs w:val="24"/>
        </w:rPr>
        <w:t>on</w:t>
      </w:r>
      <w:r w:rsidRPr="00F81D61">
        <w:rPr>
          <w:rFonts w:ascii="Times New Roman" w:eastAsia="Times New Roman" w:hAnsi="Times New Roman" w:cs="Times New Roman"/>
          <w:sz w:val="24"/>
          <w:szCs w:val="24"/>
        </w:rPr>
        <w:t xml:space="preserve"> also </w:t>
      </w:r>
      <w:r w:rsidR="00F322D2" w:rsidRPr="00F81D61">
        <w:rPr>
          <w:rFonts w:ascii="Times New Roman" w:eastAsia="Times New Roman" w:hAnsi="Times New Roman" w:cs="Times New Roman"/>
          <w:sz w:val="24"/>
          <w:szCs w:val="24"/>
        </w:rPr>
        <w:t>increase</w:t>
      </w:r>
      <w:r w:rsidR="008D3030" w:rsidRPr="00F81D61">
        <w:rPr>
          <w:rFonts w:ascii="Times New Roman" w:eastAsia="Times New Roman" w:hAnsi="Times New Roman" w:cs="Times New Roman"/>
          <w:sz w:val="24"/>
          <w:szCs w:val="24"/>
        </w:rPr>
        <w:t>s</w:t>
      </w:r>
      <w:r w:rsidR="00F322D2" w:rsidRPr="00F81D61">
        <w:rPr>
          <w:rFonts w:ascii="Times New Roman" w:eastAsia="Times New Roman" w:hAnsi="Times New Roman" w:cs="Times New Roman"/>
          <w:sz w:val="24"/>
          <w:szCs w:val="24"/>
        </w:rPr>
        <w:t xml:space="preserve"> the rate of remuneration and the annua</w:t>
      </w:r>
      <w:r w:rsidR="007B14EE" w:rsidRPr="00F81D61">
        <w:rPr>
          <w:rFonts w:ascii="Times New Roman" w:eastAsia="Times New Roman" w:hAnsi="Times New Roman" w:cs="Times New Roman"/>
          <w:sz w:val="24"/>
          <w:szCs w:val="24"/>
        </w:rPr>
        <w:t>l management fee</w:t>
      </w:r>
      <w:r w:rsidRPr="00F81D61">
        <w:rPr>
          <w:rFonts w:ascii="Times New Roman" w:eastAsia="Times New Roman" w:hAnsi="Times New Roman" w:cs="Times New Roman"/>
          <w:sz w:val="24"/>
          <w:szCs w:val="24"/>
        </w:rPr>
        <w:t xml:space="preserve"> for the Official Trustee</w:t>
      </w:r>
      <w:r w:rsidR="007B14EE" w:rsidRPr="00F81D61">
        <w:rPr>
          <w:rFonts w:ascii="Times New Roman" w:eastAsia="Times New Roman" w:hAnsi="Times New Roman" w:cs="Times New Roman"/>
          <w:sz w:val="24"/>
          <w:szCs w:val="24"/>
        </w:rPr>
        <w:t>.</w:t>
      </w:r>
      <w:r w:rsidR="0048259E" w:rsidRPr="00F81D61">
        <w:rPr>
          <w:rFonts w:ascii="Times New Roman" w:eastAsia="Times New Roman" w:hAnsi="Times New Roman" w:cs="Times New Roman"/>
          <w:sz w:val="24"/>
          <w:szCs w:val="24"/>
        </w:rPr>
        <w:t xml:space="preserve"> The increase in the Official Trustee’s rate of remuneration would align with the Official Trustee’s rate of remuneration in bankruptcy. The increase to the annual management fee would reflect the increased complexity and workload in the Official Trustee’s management of the Confiscated Assets Account.</w:t>
      </w:r>
    </w:p>
    <w:p w:rsidR="007F029E" w:rsidRDefault="007F029E" w:rsidP="00756424">
      <w:pPr>
        <w:tabs>
          <w:tab w:val="right" w:leader="dot" w:pos="7938"/>
        </w:tabs>
        <w:spacing w:after="0" w:line="240" w:lineRule="auto"/>
        <w:ind w:right="91"/>
        <w:rPr>
          <w:rFonts w:ascii="Times New Roman" w:eastAsia="Times New Roman" w:hAnsi="Times New Roman" w:cs="Times New Roman"/>
          <w:sz w:val="24"/>
          <w:szCs w:val="24"/>
        </w:rPr>
      </w:pPr>
    </w:p>
    <w:p w:rsidR="007F029E" w:rsidRPr="00F81D61" w:rsidRDefault="007F029E" w:rsidP="00756424">
      <w:pPr>
        <w:tabs>
          <w:tab w:val="right" w:leader="dot" w:pos="7938"/>
        </w:tabs>
        <w:spacing w:after="0" w:line="240" w:lineRule="auto"/>
        <w:ind w:right="91"/>
        <w:rPr>
          <w:rFonts w:ascii="Times New Roman" w:eastAsia="Times New Roman" w:hAnsi="Times New Roman" w:cs="Times New Roman"/>
          <w:sz w:val="24"/>
          <w:szCs w:val="24"/>
        </w:rPr>
      </w:pPr>
      <w:r w:rsidRPr="00AB2DC0">
        <w:rPr>
          <w:rFonts w:ascii="Times New Roman" w:hAnsi="Times New Roman" w:cs="Times New Roman"/>
          <w:sz w:val="24"/>
          <w:szCs w:val="24"/>
        </w:rPr>
        <w:t xml:space="preserve">A Statement of Compatibility with Human Rights prepared in accordance with Part 3 of the </w:t>
      </w:r>
      <w:r w:rsidRPr="00AB2DC0">
        <w:rPr>
          <w:rFonts w:ascii="Times New Roman" w:hAnsi="Times New Roman" w:cs="Times New Roman"/>
          <w:i/>
          <w:sz w:val="24"/>
          <w:szCs w:val="24"/>
        </w:rPr>
        <w:t>Human Rights (Parliamentary Scrutiny Act) 2011</w:t>
      </w:r>
      <w:r w:rsidRPr="00AB2DC0">
        <w:rPr>
          <w:rFonts w:ascii="Times New Roman" w:hAnsi="Times New Roman" w:cs="Times New Roman"/>
          <w:sz w:val="24"/>
          <w:szCs w:val="24"/>
        </w:rPr>
        <w:t xml:space="preserve"> is set out in </w:t>
      </w:r>
      <w:r w:rsidRPr="00AB2DC0">
        <w:rPr>
          <w:rFonts w:ascii="Times New Roman" w:hAnsi="Times New Roman" w:cs="Times New Roman"/>
          <w:sz w:val="24"/>
          <w:szCs w:val="24"/>
          <w:u w:val="single"/>
        </w:rPr>
        <w:t xml:space="preserve">Attachment </w:t>
      </w:r>
      <w:r>
        <w:rPr>
          <w:rFonts w:ascii="Times New Roman" w:hAnsi="Times New Roman" w:cs="Times New Roman"/>
          <w:sz w:val="24"/>
          <w:szCs w:val="24"/>
          <w:u w:val="single"/>
        </w:rPr>
        <w:t>A</w:t>
      </w:r>
      <w:r w:rsidRPr="00AB2DC0">
        <w:rPr>
          <w:rFonts w:ascii="Times New Roman" w:hAnsi="Times New Roman" w:cs="Times New Roman"/>
          <w:sz w:val="24"/>
          <w:szCs w:val="24"/>
        </w:rPr>
        <w:t xml:space="preserve">.   </w:t>
      </w:r>
    </w:p>
    <w:p w:rsidR="00EE312D" w:rsidRPr="00F81D61" w:rsidRDefault="00EE312D" w:rsidP="003535EE">
      <w:pPr>
        <w:tabs>
          <w:tab w:val="right" w:leader="dot" w:pos="7938"/>
        </w:tabs>
        <w:spacing w:after="0" w:line="240" w:lineRule="auto"/>
        <w:ind w:right="91"/>
        <w:rPr>
          <w:rFonts w:ascii="Times New Roman" w:eastAsia="Times New Roman" w:hAnsi="Times New Roman" w:cs="Times New Roman"/>
          <w:sz w:val="24"/>
          <w:szCs w:val="24"/>
        </w:rPr>
      </w:pPr>
    </w:p>
    <w:p w:rsidR="00EE312D" w:rsidRPr="00F81D61" w:rsidRDefault="00EE312D" w:rsidP="003535EE">
      <w:pPr>
        <w:tabs>
          <w:tab w:val="right" w:leader="dot" w:pos="7938"/>
        </w:tabs>
        <w:spacing w:after="0" w:line="240" w:lineRule="auto"/>
        <w:ind w:right="91"/>
        <w:rPr>
          <w:rFonts w:ascii="Times New Roman" w:eastAsia="Times New Roman" w:hAnsi="Times New Roman" w:cs="Times New Roman"/>
          <w:sz w:val="24"/>
          <w:szCs w:val="24"/>
        </w:rPr>
      </w:pPr>
      <w:r w:rsidRPr="00F81D61">
        <w:rPr>
          <w:rFonts w:ascii="Times New Roman" w:eastAsia="Times New Roman" w:hAnsi="Times New Roman" w:cs="Times New Roman"/>
          <w:sz w:val="24"/>
          <w:szCs w:val="24"/>
        </w:rPr>
        <w:t>Details of the propos</w:t>
      </w:r>
      <w:r w:rsidR="00AB2DC0">
        <w:rPr>
          <w:rFonts w:ascii="Times New Roman" w:eastAsia="Times New Roman" w:hAnsi="Times New Roman" w:cs="Times New Roman"/>
          <w:sz w:val="24"/>
          <w:szCs w:val="24"/>
        </w:rPr>
        <w:t>ed Regulation are set out in</w:t>
      </w:r>
      <w:r w:rsidRPr="00F81D61">
        <w:rPr>
          <w:rFonts w:ascii="Times New Roman" w:eastAsia="Times New Roman" w:hAnsi="Times New Roman" w:cs="Times New Roman"/>
          <w:sz w:val="24"/>
          <w:szCs w:val="24"/>
        </w:rPr>
        <w:t xml:space="preserve"> </w:t>
      </w:r>
      <w:r w:rsidRPr="00F81D61">
        <w:rPr>
          <w:rFonts w:ascii="Times New Roman" w:eastAsia="Times New Roman" w:hAnsi="Times New Roman" w:cs="Times New Roman"/>
          <w:sz w:val="24"/>
          <w:szCs w:val="24"/>
          <w:u w:val="single"/>
        </w:rPr>
        <w:t>Attachment</w:t>
      </w:r>
      <w:r w:rsidR="007F029E">
        <w:rPr>
          <w:rFonts w:ascii="Times New Roman" w:eastAsia="Times New Roman" w:hAnsi="Times New Roman" w:cs="Times New Roman"/>
          <w:sz w:val="24"/>
          <w:szCs w:val="24"/>
          <w:u w:val="single"/>
        </w:rPr>
        <w:t xml:space="preserve"> B</w:t>
      </w:r>
      <w:r w:rsidRPr="00F81D61">
        <w:rPr>
          <w:rFonts w:ascii="Times New Roman" w:eastAsia="Times New Roman" w:hAnsi="Times New Roman" w:cs="Times New Roman"/>
          <w:sz w:val="24"/>
          <w:szCs w:val="24"/>
        </w:rPr>
        <w:t xml:space="preserve">. </w:t>
      </w:r>
    </w:p>
    <w:p w:rsidR="00EE312D" w:rsidRPr="00F81D61" w:rsidRDefault="00EE312D" w:rsidP="003535EE">
      <w:pPr>
        <w:tabs>
          <w:tab w:val="right" w:leader="dot" w:pos="7938"/>
        </w:tabs>
        <w:spacing w:after="0" w:line="240" w:lineRule="auto"/>
        <w:ind w:right="91"/>
        <w:rPr>
          <w:rFonts w:ascii="Times New Roman" w:eastAsia="Times New Roman" w:hAnsi="Times New Roman" w:cs="Times New Roman"/>
          <w:sz w:val="24"/>
          <w:szCs w:val="24"/>
        </w:rPr>
      </w:pPr>
    </w:p>
    <w:p w:rsidR="00AB2DC0" w:rsidRPr="00AB2DC0" w:rsidRDefault="00EE312D" w:rsidP="00AB2DC0">
      <w:pPr>
        <w:tabs>
          <w:tab w:val="right" w:leader="dot" w:pos="7938"/>
        </w:tabs>
        <w:spacing w:after="0" w:line="240" w:lineRule="auto"/>
        <w:ind w:right="91"/>
        <w:rPr>
          <w:rFonts w:ascii="Times New Roman" w:eastAsia="Times New Roman" w:hAnsi="Times New Roman" w:cs="Times New Roman"/>
          <w:sz w:val="24"/>
          <w:szCs w:val="24"/>
        </w:rPr>
      </w:pPr>
      <w:r w:rsidRPr="00F81D61">
        <w:rPr>
          <w:rFonts w:ascii="Times New Roman" w:eastAsia="Times New Roman" w:hAnsi="Times New Roman" w:cs="Times New Roman"/>
          <w:sz w:val="24"/>
          <w:szCs w:val="24"/>
        </w:rPr>
        <w:t xml:space="preserve">The Act specifies no conditions that need to be satisfied before the power to make the </w:t>
      </w:r>
      <w:r w:rsidRPr="00AB2DC0">
        <w:rPr>
          <w:rFonts w:ascii="Times New Roman" w:eastAsia="Times New Roman" w:hAnsi="Times New Roman" w:cs="Times New Roman"/>
          <w:sz w:val="24"/>
          <w:szCs w:val="24"/>
        </w:rPr>
        <w:t>Regulation may be exercised.</w:t>
      </w:r>
    </w:p>
    <w:p w:rsidR="00EE312D" w:rsidRPr="00F81D61" w:rsidRDefault="00EE312D" w:rsidP="003535EE">
      <w:pPr>
        <w:tabs>
          <w:tab w:val="right" w:leader="dot" w:pos="7938"/>
        </w:tabs>
        <w:spacing w:after="0" w:line="240" w:lineRule="auto"/>
        <w:ind w:right="91"/>
        <w:rPr>
          <w:rFonts w:ascii="Times New Roman" w:eastAsia="Times New Roman" w:hAnsi="Times New Roman" w:cs="Times New Roman"/>
          <w:sz w:val="24"/>
          <w:szCs w:val="24"/>
        </w:rPr>
      </w:pPr>
    </w:p>
    <w:p w:rsidR="00EE312D" w:rsidRPr="00F81D61" w:rsidRDefault="00EE312D" w:rsidP="003535EE">
      <w:pPr>
        <w:tabs>
          <w:tab w:val="right" w:leader="dot" w:pos="7938"/>
        </w:tabs>
        <w:spacing w:after="0" w:line="240" w:lineRule="auto"/>
        <w:ind w:right="91"/>
        <w:rPr>
          <w:rFonts w:ascii="Times New Roman" w:eastAsia="Times New Roman" w:hAnsi="Times New Roman" w:cs="Times New Roman"/>
          <w:sz w:val="24"/>
          <w:szCs w:val="24"/>
        </w:rPr>
      </w:pPr>
      <w:r w:rsidRPr="00F81D61">
        <w:rPr>
          <w:rFonts w:ascii="Times New Roman" w:eastAsia="Times New Roman" w:hAnsi="Times New Roman" w:cs="Times New Roman"/>
          <w:sz w:val="24"/>
          <w:szCs w:val="24"/>
        </w:rPr>
        <w:t xml:space="preserve">The proposed Regulation is an instrument for the purposes of the </w:t>
      </w:r>
      <w:r w:rsidRPr="00F81D61">
        <w:rPr>
          <w:rFonts w:ascii="Times New Roman" w:eastAsia="Times New Roman" w:hAnsi="Times New Roman" w:cs="Times New Roman"/>
          <w:i/>
          <w:sz w:val="24"/>
          <w:szCs w:val="24"/>
        </w:rPr>
        <w:t>Legislation Act 2003</w:t>
      </w:r>
      <w:r w:rsidRPr="00F81D61">
        <w:rPr>
          <w:rFonts w:ascii="Times New Roman" w:eastAsia="Times New Roman" w:hAnsi="Times New Roman" w:cs="Times New Roman"/>
          <w:sz w:val="24"/>
          <w:szCs w:val="24"/>
        </w:rPr>
        <w:t xml:space="preserve">. </w:t>
      </w:r>
    </w:p>
    <w:p w:rsidR="00EE312D" w:rsidRPr="00F81D61" w:rsidRDefault="00EE312D" w:rsidP="003535EE">
      <w:pPr>
        <w:tabs>
          <w:tab w:val="right" w:leader="dot" w:pos="7938"/>
        </w:tabs>
        <w:spacing w:after="0" w:line="240" w:lineRule="auto"/>
        <w:ind w:right="91"/>
        <w:rPr>
          <w:rFonts w:ascii="Times New Roman" w:eastAsia="Times New Roman" w:hAnsi="Times New Roman" w:cs="Times New Roman"/>
          <w:sz w:val="24"/>
          <w:szCs w:val="24"/>
        </w:rPr>
      </w:pPr>
    </w:p>
    <w:p w:rsidR="00AB2DC0" w:rsidRDefault="003535EE" w:rsidP="00F81D61">
      <w:pPr>
        <w:tabs>
          <w:tab w:val="right" w:leader="dot" w:pos="7938"/>
        </w:tabs>
        <w:spacing w:after="0" w:line="240" w:lineRule="auto"/>
        <w:ind w:right="91"/>
        <w:rPr>
          <w:rFonts w:ascii="Times New Roman" w:eastAsia="Times New Roman" w:hAnsi="Times New Roman" w:cs="Times New Roman"/>
          <w:sz w:val="24"/>
          <w:szCs w:val="24"/>
        </w:rPr>
      </w:pPr>
      <w:r>
        <w:rPr>
          <w:rFonts w:ascii="Times New Roman" w:eastAsia="Times New Roman" w:hAnsi="Times New Roman" w:cs="Times New Roman"/>
          <w:sz w:val="24"/>
          <w:szCs w:val="24"/>
        </w:rPr>
        <w:t>The proposed Regulation commence</w:t>
      </w:r>
      <w:r w:rsidR="00AB2DC0">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on</w:t>
      </w:r>
      <w:r w:rsidR="004543BC">
        <w:rPr>
          <w:rFonts w:ascii="Times New Roman" w:eastAsia="Times New Roman" w:hAnsi="Times New Roman" w:cs="Times New Roman"/>
          <w:sz w:val="24"/>
          <w:szCs w:val="24"/>
        </w:rPr>
        <w:t xml:space="preserve"> the day aft</w:t>
      </w:r>
      <w:r w:rsidR="00F322D2">
        <w:rPr>
          <w:rFonts w:ascii="Times New Roman" w:eastAsia="Times New Roman" w:hAnsi="Times New Roman" w:cs="Times New Roman"/>
          <w:sz w:val="24"/>
          <w:szCs w:val="24"/>
        </w:rPr>
        <w:t xml:space="preserve">er the instrument </w:t>
      </w:r>
      <w:r w:rsidR="00AB2DC0">
        <w:rPr>
          <w:rFonts w:ascii="Times New Roman" w:eastAsia="Times New Roman" w:hAnsi="Times New Roman" w:cs="Times New Roman"/>
          <w:sz w:val="24"/>
          <w:szCs w:val="24"/>
        </w:rPr>
        <w:t>was</w:t>
      </w:r>
      <w:r w:rsidR="00F322D2">
        <w:rPr>
          <w:rFonts w:ascii="Times New Roman" w:eastAsia="Times New Roman" w:hAnsi="Times New Roman" w:cs="Times New Roman"/>
          <w:sz w:val="24"/>
          <w:szCs w:val="24"/>
        </w:rPr>
        <w:t xml:space="preserve"> registered</w:t>
      </w:r>
      <w:r w:rsidR="008E717E">
        <w:rPr>
          <w:rFonts w:ascii="Times New Roman" w:eastAsia="Times New Roman" w:hAnsi="Times New Roman" w:cs="Times New Roman"/>
          <w:sz w:val="24"/>
          <w:szCs w:val="24"/>
        </w:rPr>
        <w:t xml:space="preserve"> on the Federal Register of Legislation</w:t>
      </w:r>
      <w:r w:rsidR="00F322D2">
        <w:rPr>
          <w:rFonts w:ascii="Times New Roman" w:eastAsia="Times New Roman" w:hAnsi="Times New Roman" w:cs="Times New Roman"/>
          <w:sz w:val="24"/>
          <w:szCs w:val="24"/>
        </w:rPr>
        <w:t>.</w:t>
      </w:r>
      <w:r w:rsidR="00F81D61">
        <w:rPr>
          <w:rFonts w:ascii="Times New Roman" w:eastAsia="Times New Roman" w:hAnsi="Times New Roman" w:cs="Times New Roman"/>
          <w:sz w:val="24"/>
          <w:szCs w:val="24"/>
        </w:rPr>
        <w:t xml:space="preserve"> </w:t>
      </w:r>
    </w:p>
    <w:p w:rsidR="007F029E" w:rsidRDefault="007F029E" w:rsidP="00F81D61">
      <w:pPr>
        <w:tabs>
          <w:tab w:val="right" w:leader="dot" w:pos="7938"/>
        </w:tabs>
        <w:spacing w:after="0" w:line="240" w:lineRule="auto"/>
        <w:ind w:right="91"/>
        <w:rPr>
          <w:rFonts w:ascii="Times New Roman" w:eastAsia="Times New Roman" w:hAnsi="Times New Roman" w:cs="Times New Roman"/>
          <w:sz w:val="24"/>
          <w:szCs w:val="24"/>
        </w:rPr>
      </w:pPr>
    </w:p>
    <w:p w:rsidR="007F029E" w:rsidRDefault="007F029E" w:rsidP="00F81D61">
      <w:pPr>
        <w:tabs>
          <w:tab w:val="right" w:leader="dot" w:pos="7938"/>
        </w:tabs>
        <w:spacing w:after="0" w:line="240" w:lineRule="auto"/>
        <w:ind w:right="91"/>
        <w:rPr>
          <w:rFonts w:ascii="Times New Roman" w:eastAsia="Times New Roman" w:hAnsi="Times New Roman" w:cs="Times New Roman"/>
          <w:sz w:val="24"/>
          <w:szCs w:val="24"/>
        </w:rPr>
      </w:pPr>
    </w:p>
    <w:p w:rsidR="007F029E" w:rsidRDefault="00737C42" w:rsidP="00737C42">
      <w:pPr>
        <w:tabs>
          <w:tab w:val="right" w:leader="dot" w:pos="7938"/>
        </w:tabs>
        <w:spacing w:after="0" w:line="240" w:lineRule="auto"/>
        <w:ind w:right="91"/>
        <w:jc w:val="right"/>
        <w:rPr>
          <w:rFonts w:ascii="Times New Roman" w:eastAsia="Times New Roman" w:hAnsi="Times New Roman" w:cs="Times New Roman"/>
          <w:sz w:val="24"/>
          <w:szCs w:val="24"/>
        </w:rPr>
      </w:pPr>
      <w:r w:rsidRPr="00756424">
        <w:rPr>
          <w:rFonts w:ascii="Times New Roman" w:eastAsia="Times New Roman" w:hAnsi="Times New Roman" w:cs="Times New Roman"/>
          <w:sz w:val="24"/>
          <w:szCs w:val="24"/>
          <w:u w:val="single"/>
        </w:rPr>
        <w:t>Authority</w:t>
      </w:r>
      <w:r w:rsidRPr="0075642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Section 328 of the </w:t>
      </w:r>
      <w:r>
        <w:rPr>
          <w:rFonts w:ascii="Times New Roman" w:eastAsia="Times New Roman" w:hAnsi="Times New Roman" w:cs="Times New Roman"/>
          <w:i/>
          <w:sz w:val="24"/>
          <w:szCs w:val="24"/>
        </w:rPr>
        <w:t>Proceeds of Crime Act 2002</w:t>
      </w:r>
    </w:p>
    <w:p w:rsidR="00737C42" w:rsidRDefault="00737C42" w:rsidP="00F81D61">
      <w:pPr>
        <w:tabs>
          <w:tab w:val="right" w:leader="dot" w:pos="7938"/>
        </w:tabs>
        <w:spacing w:after="0" w:line="240" w:lineRule="auto"/>
        <w:ind w:right="91"/>
        <w:rPr>
          <w:rFonts w:ascii="Times New Roman" w:eastAsia="Times New Roman" w:hAnsi="Times New Roman" w:cs="Times New Roman"/>
          <w:sz w:val="24"/>
          <w:szCs w:val="24"/>
        </w:rPr>
      </w:pPr>
    </w:p>
    <w:p w:rsidR="00737C42" w:rsidRDefault="00737C42" w:rsidP="00F81D61">
      <w:pPr>
        <w:tabs>
          <w:tab w:val="right" w:leader="dot" w:pos="7938"/>
        </w:tabs>
        <w:spacing w:after="0" w:line="240" w:lineRule="auto"/>
        <w:ind w:right="91"/>
        <w:rPr>
          <w:rFonts w:ascii="Times New Roman" w:eastAsia="Times New Roman" w:hAnsi="Times New Roman" w:cs="Times New Roman"/>
          <w:sz w:val="24"/>
          <w:szCs w:val="24"/>
        </w:rPr>
      </w:pPr>
    </w:p>
    <w:p w:rsidR="00737C42" w:rsidRDefault="00737C42" w:rsidP="00F81D61">
      <w:pPr>
        <w:tabs>
          <w:tab w:val="right" w:leader="dot" w:pos="7938"/>
        </w:tabs>
        <w:spacing w:after="0" w:line="240" w:lineRule="auto"/>
        <w:ind w:right="91"/>
        <w:rPr>
          <w:rFonts w:ascii="Times New Roman" w:eastAsia="Times New Roman" w:hAnsi="Times New Roman" w:cs="Times New Roman"/>
          <w:sz w:val="24"/>
          <w:szCs w:val="24"/>
        </w:rPr>
      </w:pPr>
    </w:p>
    <w:p w:rsidR="00737C42" w:rsidRDefault="00737C42" w:rsidP="00F81D61">
      <w:pPr>
        <w:tabs>
          <w:tab w:val="right" w:leader="dot" w:pos="7938"/>
        </w:tabs>
        <w:spacing w:after="0" w:line="240" w:lineRule="auto"/>
        <w:ind w:right="91"/>
        <w:rPr>
          <w:rFonts w:ascii="Times New Roman" w:eastAsia="Times New Roman" w:hAnsi="Times New Roman" w:cs="Times New Roman"/>
          <w:sz w:val="24"/>
          <w:szCs w:val="24"/>
        </w:rPr>
      </w:pPr>
    </w:p>
    <w:p w:rsidR="00737C42" w:rsidRDefault="00737C42" w:rsidP="00F81D61">
      <w:pPr>
        <w:tabs>
          <w:tab w:val="right" w:leader="dot" w:pos="7938"/>
        </w:tabs>
        <w:spacing w:after="0" w:line="240" w:lineRule="auto"/>
        <w:ind w:right="91"/>
        <w:rPr>
          <w:rFonts w:ascii="Times New Roman" w:eastAsia="Times New Roman" w:hAnsi="Times New Roman" w:cs="Times New Roman"/>
          <w:sz w:val="24"/>
          <w:szCs w:val="24"/>
        </w:rPr>
      </w:pPr>
    </w:p>
    <w:p w:rsidR="00737C42" w:rsidRDefault="00737C42" w:rsidP="00F81D61">
      <w:pPr>
        <w:tabs>
          <w:tab w:val="right" w:leader="dot" w:pos="7938"/>
        </w:tabs>
        <w:spacing w:after="0" w:line="240" w:lineRule="auto"/>
        <w:ind w:right="91"/>
        <w:rPr>
          <w:rFonts w:ascii="Times New Roman" w:eastAsia="Times New Roman" w:hAnsi="Times New Roman" w:cs="Times New Roman"/>
          <w:sz w:val="24"/>
          <w:szCs w:val="24"/>
        </w:rPr>
      </w:pPr>
    </w:p>
    <w:p w:rsidR="00737C42" w:rsidRDefault="00737C42" w:rsidP="00F81D61">
      <w:pPr>
        <w:tabs>
          <w:tab w:val="right" w:leader="dot" w:pos="7938"/>
        </w:tabs>
        <w:spacing w:after="0" w:line="240" w:lineRule="auto"/>
        <w:ind w:right="91"/>
        <w:rPr>
          <w:rFonts w:ascii="Times New Roman" w:eastAsia="Times New Roman" w:hAnsi="Times New Roman" w:cs="Times New Roman"/>
          <w:sz w:val="24"/>
          <w:szCs w:val="24"/>
        </w:rPr>
      </w:pPr>
    </w:p>
    <w:p w:rsidR="00737C42" w:rsidRDefault="00737C42" w:rsidP="00F81D61">
      <w:pPr>
        <w:tabs>
          <w:tab w:val="right" w:leader="dot" w:pos="7938"/>
        </w:tabs>
        <w:spacing w:after="0" w:line="240" w:lineRule="auto"/>
        <w:ind w:right="91"/>
        <w:rPr>
          <w:rFonts w:ascii="Times New Roman" w:eastAsia="Times New Roman" w:hAnsi="Times New Roman" w:cs="Times New Roman"/>
          <w:sz w:val="24"/>
          <w:szCs w:val="24"/>
        </w:rPr>
      </w:pPr>
    </w:p>
    <w:p w:rsidR="00737C42" w:rsidRDefault="00737C42" w:rsidP="00F81D61">
      <w:pPr>
        <w:tabs>
          <w:tab w:val="right" w:leader="dot" w:pos="7938"/>
        </w:tabs>
        <w:spacing w:after="0" w:line="240" w:lineRule="auto"/>
        <w:ind w:right="91"/>
        <w:rPr>
          <w:rFonts w:ascii="Times New Roman" w:eastAsia="Times New Roman" w:hAnsi="Times New Roman" w:cs="Times New Roman"/>
          <w:sz w:val="24"/>
          <w:szCs w:val="24"/>
        </w:rPr>
      </w:pPr>
    </w:p>
    <w:p w:rsidR="00737C42" w:rsidRDefault="00737C42" w:rsidP="00F81D61">
      <w:pPr>
        <w:tabs>
          <w:tab w:val="right" w:leader="dot" w:pos="7938"/>
        </w:tabs>
        <w:spacing w:after="0" w:line="240" w:lineRule="auto"/>
        <w:ind w:right="91"/>
        <w:rPr>
          <w:rFonts w:ascii="Times New Roman" w:eastAsia="Times New Roman" w:hAnsi="Times New Roman" w:cs="Times New Roman"/>
          <w:sz w:val="24"/>
          <w:szCs w:val="24"/>
        </w:rPr>
      </w:pPr>
    </w:p>
    <w:p w:rsidR="00737C42" w:rsidRDefault="00737C42" w:rsidP="00F81D61">
      <w:pPr>
        <w:tabs>
          <w:tab w:val="right" w:leader="dot" w:pos="7938"/>
        </w:tabs>
        <w:spacing w:after="0" w:line="240" w:lineRule="auto"/>
        <w:ind w:right="91"/>
        <w:rPr>
          <w:rFonts w:ascii="Times New Roman" w:eastAsia="Times New Roman" w:hAnsi="Times New Roman" w:cs="Times New Roman"/>
          <w:sz w:val="24"/>
          <w:szCs w:val="24"/>
        </w:rPr>
      </w:pPr>
    </w:p>
    <w:p w:rsidR="00737C42" w:rsidRDefault="00737C42" w:rsidP="00F81D61">
      <w:pPr>
        <w:tabs>
          <w:tab w:val="right" w:leader="dot" w:pos="7938"/>
        </w:tabs>
        <w:spacing w:after="0" w:line="240" w:lineRule="auto"/>
        <w:ind w:right="91"/>
        <w:rPr>
          <w:rFonts w:ascii="Times New Roman" w:eastAsia="Times New Roman" w:hAnsi="Times New Roman" w:cs="Times New Roman"/>
          <w:sz w:val="24"/>
          <w:szCs w:val="24"/>
        </w:rPr>
      </w:pPr>
    </w:p>
    <w:p w:rsidR="00737C42" w:rsidRDefault="00737C42" w:rsidP="00F81D61">
      <w:pPr>
        <w:tabs>
          <w:tab w:val="right" w:leader="dot" w:pos="7938"/>
        </w:tabs>
        <w:spacing w:after="0" w:line="240" w:lineRule="auto"/>
        <w:ind w:right="91"/>
        <w:rPr>
          <w:rFonts w:ascii="Times New Roman" w:eastAsia="Times New Roman" w:hAnsi="Times New Roman" w:cs="Times New Roman"/>
          <w:sz w:val="24"/>
          <w:szCs w:val="24"/>
        </w:rPr>
      </w:pPr>
    </w:p>
    <w:p w:rsidR="00737C42" w:rsidRDefault="00737C42" w:rsidP="00F81D61">
      <w:pPr>
        <w:tabs>
          <w:tab w:val="right" w:leader="dot" w:pos="7938"/>
        </w:tabs>
        <w:spacing w:after="0" w:line="240" w:lineRule="auto"/>
        <w:ind w:right="91"/>
        <w:rPr>
          <w:rFonts w:ascii="Times New Roman" w:eastAsia="Times New Roman" w:hAnsi="Times New Roman" w:cs="Times New Roman"/>
          <w:sz w:val="24"/>
          <w:szCs w:val="24"/>
        </w:rPr>
      </w:pPr>
    </w:p>
    <w:p w:rsidR="00737C42" w:rsidRDefault="00737C42" w:rsidP="00F81D61">
      <w:pPr>
        <w:tabs>
          <w:tab w:val="right" w:leader="dot" w:pos="7938"/>
        </w:tabs>
        <w:spacing w:after="0" w:line="240" w:lineRule="auto"/>
        <w:ind w:right="91"/>
        <w:rPr>
          <w:rFonts w:ascii="Times New Roman" w:eastAsia="Times New Roman" w:hAnsi="Times New Roman" w:cs="Times New Roman"/>
          <w:sz w:val="24"/>
          <w:szCs w:val="24"/>
        </w:rPr>
      </w:pPr>
    </w:p>
    <w:p w:rsidR="00737C42" w:rsidRDefault="00737C42" w:rsidP="00F81D61">
      <w:pPr>
        <w:tabs>
          <w:tab w:val="right" w:leader="dot" w:pos="7938"/>
        </w:tabs>
        <w:spacing w:after="0" w:line="240" w:lineRule="auto"/>
        <w:ind w:right="91"/>
        <w:rPr>
          <w:rFonts w:ascii="Times New Roman" w:eastAsia="Times New Roman" w:hAnsi="Times New Roman" w:cs="Times New Roman"/>
          <w:sz w:val="24"/>
          <w:szCs w:val="24"/>
        </w:rPr>
      </w:pPr>
    </w:p>
    <w:p w:rsidR="00737C42" w:rsidRDefault="00737C42" w:rsidP="00F81D61">
      <w:pPr>
        <w:tabs>
          <w:tab w:val="right" w:leader="dot" w:pos="7938"/>
        </w:tabs>
        <w:spacing w:after="0" w:line="240" w:lineRule="auto"/>
        <w:ind w:right="91"/>
        <w:rPr>
          <w:rFonts w:ascii="Times New Roman" w:eastAsia="Times New Roman" w:hAnsi="Times New Roman" w:cs="Times New Roman"/>
          <w:sz w:val="24"/>
          <w:szCs w:val="24"/>
        </w:rPr>
      </w:pPr>
    </w:p>
    <w:p w:rsidR="00737C42" w:rsidRDefault="00737C42" w:rsidP="00F81D61">
      <w:pPr>
        <w:tabs>
          <w:tab w:val="right" w:leader="dot" w:pos="7938"/>
        </w:tabs>
        <w:spacing w:after="0" w:line="240" w:lineRule="auto"/>
        <w:ind w:right="91"/>
        <w:rPr>
          <w:rFonts w:ascii="Times New Roman" w:eastAsia="Times New Roman" w:hAnsi="Times New Roman" w:cs="Times New Roman"/>
          <w:sz w:val="24"/>
          <w:szCs w:val="24"/>
        </w:rPr>
      </w:pPr>
    </w:p>
    <w:p w:rsidR="00737C42" w:rsidRDefault="00737C42" w:rsidP="00F81D61">
      <w:pPr>
        <w:tabs>
          <w:tab w:val="right" w:leader="dot" w:pos="7938"/>
        </w:tabs>
        <w:spacing w:after="0" w:line="240" w:lineRule="auto"/>
        <w:ind w:right="91"/>
        <w:rPr>
          <w:rFonts w:ascii="Times New Roman" w:eastAsia="Times New Roman" w:hAnsi="Times New Roman" w:cs="Times New Roman"/>
          <w:sz w:val="24"/>
          <w:szCs w:val="24"/>
        </w:rPr>
      </w:pPr>
    </w:p>
    <w:p w:rsidR="00737C42" w:rsidRDefault="00737C42" w:rsidP="00F81D61">
      <w:pPr>
        <w:tabs>
          <w:tab w:val="right" w:leader="dot" w:pos="7938"/>
        </w:tabs>
        <w:spacing w:after="0" w:line="240" w:lineRule="auto"/>
        <w:ind w:right="91"/>
        <w:rPr>
          <w:rFonts w:ascii="Times New Roman" w:eastAsia="Times New Roman" w:hAnsi="Times New Roman" w:cs="Times New Roman"/>
          <w:sz w:val="24"/>
          <w:szCs w:val="24"/>
        </w:rPr>
      </w:pPr>
    </w:p>
    <w:p w:rsidR="00737C42" w:rsidRDefault="00737C42" w:rsidP="00F81D61">
      <w:pPr>
        <w:tabs>
          <w:tab w:val="right" w:leader="dot" w:pos="7938"/>
        </w:tabs>
        <w:spacing w:after="0" w:line="240" w:lineRule="auto"/>
        <w:ind w:right="91"/>
        <w:rPr>
          <w:rFonts w:ascii="Times New Roman" w:eastAsia="Times New Roman" w:hAnsi="Times New Roman" w:cs="Times New Roman"/>
          <w:sz w:val="24"/>
          <w:szCs w:val="24"/>
        </w:rPr>
      </w:pPr>
    </w:p>
    <w:p w:rsidR="00737C42" w:rsidRDefault="00737C42" w:rsidP="00F81D61">
      <w:pPr>
        <w:tabs>
          <w:tab w:val="right" w:leader="dot" w:pos="7938"/>
        </w:tabs>
        <w:spacing w:after="0" w:line="240" w:lineRule="auto"/>
        <w:ind w:right="91"/>
        <w:rPr>
          <w:rFonts w:ascii="Times New Roman" w:eastAsia="Times New Roman" w:hAnsi="Times New Roman" w:cs="Times New Roman"/>
          <w:sz w:val="24"/>
          <w:szCs w:val="24"/>
        </w:rPr>
      </w:pPr>
    </w:p>
    <w:p w:rsidR="00737C42" w:rsidRDefault="00737C42" w:rsidP="00F81D61">
      <w:pPr>
        <w:tabs>
          <w:tab w:val="right" w:leader="dot" w:pos="7938"/>
        </w:tabs>
        <w:spacing w:after="0" w:line="240" w:lineRule="auto"/>
        <w:ind w:right="91"/>
        <w:rPr>
          <w:rFonts w:ascii="Times New Roman" w:eastAsia="Times New Roman" w:hAnsi="Times New Roman" w:cs="Times New Roman"/>
          <w:sz w:val="24"/>
          <w:szCs w:val="24"/>
        </w:rPr>
      </w:pPr>
    </w:p>
    <w:p w:rsidR="00737C42" w:rsidRDefault="00737C42" w:rsidP="00F81D61">
      <w:pPr>
        <w:tabs>
          <w:tab w:val="right" w:leader="dot" w:pos="7938"/>
        </w:tabs>
        <w:spacing w:after="0" w:line="240" w:lineRule="auto"/>
        <w:ind w:right="91"/>
        <w:rPr>
          <w:rFonts w:ascii="Times New Roman" w:eastAsia="Times New Roman" w:hAnsi="Times New Roman" w:cs="Times New Roman"/>
          <w:sz w:val="24"/>
          <w:szCs w:val="24"/>
        </w:rPr>
      </w:pPr>
    </w:p>
    <w:p w:rsidR="00737C42" w:rsidRDefault="00737C42" w:rsidP="00F81D61">
      <w:pPr>
        <w:tabs>
          <w:tab w:val="right" w:leader="dot" w:pos="7938"/>
        </w:tabs>
        <w:spacing w:after="0" w:line="240" w:lineRule="auto"/>
        <w:ind w:right="91"/>
        <w:rPr>
          <w:rFonts w:ascii="Times New Roman" w:eastAsia="Times New Roman" w:hAnsi="Times New Roman" w:cs="Times New Roman"/>
          <w:sz w:val="24"/>
          <w:szCs w:val="24"/>
        </w:rPr>
      </w:pPr>
    </w:p>
    <w:p w:rsidR="00737C42" w:rsidRDefault="00737C42" w:rsidP="00F81D61">
      <w:pPr>
        <w:tabs>
          <w:tab w:val="right" w:leader="dot" w:pos="7938"/>
        </w:tabs>
        <w:spacing w:after="0" w:line="240" w:lineRule="auto"/>
        <w:ind w:right="91"/>
        <w:rPr>
          <w:rFonts w:ascii="Times New Roman" w:eastAsia="Times New Roman" w:hAnsi="Times New Roman" w:cs="Times New Roman"/>
          <w:sz w:val="24"/>
          <w:szCs w:val="24"/>
        </w:rPr>
      </w:pPr>
    </w:p>
    <w:p w:rsidR="00737C42" w:rsidRDefault="00737C42" w:rsidP="00F81D61">
      <w:pPr>
        <w:tabs>
          <w:tab w:val="right" w:leader="dot" w:pos="7938"/>
        </w:tabs>
        <w:spacing w:after="0" w:line="240" w:lineRule="auto"/>
        <w:ind w:right="91"/>
        <w:rPr>
          <w:rFonts w:ascii="Times New Roman" w:eastAsia="Times New Roman" w:hAnsi="Times New Roman" w:cs="Times New Roman"/>
          <w:sz w:val="24"/>
          <w:szCs w:val="24"/>
        </w:rPr>
      </w:pPr>
    </w:p>
    <w:p w:rsidR="00737C42" w:rsidRDefault="00737C42" w:rsidP="00F81D61">
      <w:pPr>
        <w:tabs>
          <w:tab w:val="right" w:leader="dot" w:pos="7938"/>
        </w:tabs>
        <w:spacing w:after="0" w:line="240" w:lineRule="auto"/>
        <w:ind w:right="91"/>
        <w:rPr>
          <w:rFonts w:ascii="Times New Roman" w:eastAsia="Times New Roman" w:hAnsi="Times New Roman" w:cs="Times New Roman"/>
          <w:sz w:val="24"/>
          <w:szCs w:val="24"/>
        </w:rPr>
      </w:pPr>
    </w:p>
    <w:p w:rsidR="00737C42" w:rsidRDefault="00737C42" w:rsidP="00F81D61">
      <w:pPr>
        <w:tabs>
          <w:tab w:val="right" w:leader="dot" w:pos="7938"/>
        </w:tabs>
        <w:spacing w:after="0" w:line="240" w:lineRule="auto"/>
        <w:ind w:right="91"/>
        <w:rPr>
          <w:rFonts w:ascii="Times New Roman" w:eastAsia="Times New Roman" w:hAnsi="Times New Roman" w:cs="Times New Roman"/>
          <w:sz w:val="24"/>
          <w:szCs w:val="24"/>
        </w:rPr>
      </w:pPr>
    </w:p>
    <w:p w:rsidR="00737C42" w:rsidRDefault="00737C42" w:rsidP="00F81D61">
      <w:pPr>
        <w:tabs>
          <w:tab w:val="right" w:leader="dot" w:pos="7938"/>
        </w:tabs>
        <w:spacing w:after="0" w:line="240" w:lineRule="auto"/>
        <w:ind w:right="91"/>
        <w:rPr>
          <w:rFonts w:ascii="Times New Roman" w:eastAsia="Times New Roman" w:hAnsi="Times New Roman" w:cs="Times New Roman"/>
          <w:sz w:val="24"/>
          <w:szCs w:val="24"/>
        </w:rPr>
      </w:pPr>
    </w:p>
    <w:p w:rsidR="00737C42" w:rsidRDefault="00737C42" w:rsidP="00F81D61">
      <w:pPr>
        <w:tabs>
          <w:tab w:val="right" w:leader="dot" w:pos="7938"/>
        </w:tabs>
        <w:spacing w:after="0" w:line="240" w:lineRule="auto"/>
        <w:ind w:right="91"/>
        <w:rPr>
          <w:rFonts w:ascii="Times New Roman" w:eastAsia="Times New Roman" w:hAnsi="Times New Roman" w:cs="Times New Roman"/>
          <w:sz w:val="24"/>
          <w:szCs w:val="24"/>
        </w:rPr>
      </w:pPr>
    </w:p>
    <w:p w:rsidR="00737C42" w:rsidRDefault="00737C42" w:rsidP="00F81D61">
      <w:pPr>
        <w:tabs>
          <w:tab w:val="right" w:leader="dot" w:pos="7938"/>
        </w:tabs>
        <w:spacing w:after="0" w:line="240" w:lineRule="auto"/>
        <w:ind w:right="91"/>
        <w:rPr>
          <w:rFonts w:ascii="Times New Roman" w:eastAsia="Times New Roman" w:hAnsi="Times New Roman" w:cs="Times New Roman"/>
          <w:sz w:val="24"/>
          <w:szCs w:val="24"/>
        </w:rPr>
      </w:pPr>
    </w:p>
    <w:p w:rsidR="00737C42" w:rsidRDefault="00737C42" w:rsidP="00F81D61">
      <w:pPr>
        <w:tabs>
          <w:tab w:val="right" w:leader="dot" w:pos="7938"/>
        </w:tabs>
        <w:spacing w:after="0" w:line="240" w:lineRule="auto"/>
        <w:ind w:right="91"/>
        <w:rPr>
          <w:rFonts w:ascii="Times New Roman" w:eastAsia="Times New Roman" w:hAnsi="Times New Roman" w:cs="Times New Roman"/>
          <w:sz w:val="24"/>
          <w:szCs w:val="24"/>
        </w:rPr>
      </w:pPr>
    </w:p>
    <w:p w:rsidR="00737C42" w:rsidRDefault="00737C42" w:rsidP="00F81D61">
      <w:pPr>
        <w:tabs>
          <w:tab w:val="right" w:leader="dot" w:pos="7938"/>
        </w:tabs>
        <w:spacing w:after="0" w:line="240" w:lineRule="auto"/>
        <w:ind w:right="91"/>
        <w:rPr>
          <w:rFonts w:ascii="Times New Roman" w:eastAsia="Times New Roman" w:hAnsi="Times New Roman" w:cs="Times New Roman"/>
          <w:sz w:val="24"/>
          <w:szCs w:val="24"/>
        </w:rPr>
      </w:pPr>
    </w:p>
    <w:p w:rsidR="00737C42" w:rsidRDefault="00737C42" w:rsidP="00F81D61">
      <w:pPr>
        <w:tabs>
          <w:tab w:val="right" w:leader="dot" w:pos="7938"/>
        </w:tabs>
        <w:spacing w:after="0" w:line="240" w:lineRule="auto"/>
        <w:ind w:right="91"/>
        <w:rPr>
          <w:rFonts w:ascii="Times New Roman" w:eastAsia="Times New Roman" w:hAnsi="Times New Roman" w:cs="Times New Roman"/>
          <w:sz w:val="24"/>
          <w:szCs w:val="24"/>
        </w:rPr>
      </w:pPr>
    </w:p>
    <w:p w:rsidR="00737C42" w:rsidRDefault="00737C42" w:rsidP="00F81D61">
      <w:pPr>
        <w:tabs>
          <w:tab w:val="right" w:leader="dot" w:pos="7938"/>
        </w:tabs>
        <w:spacing w:after="0" w:line="240" w:lineRule="auto"/>
        <w:ind w:right="91"/>
        <w:rPr>
          <w:rFonts w:ascii="Times New Roman" w:eastAsia="Times New Roman" w:hAnsi="Times New Roman" w:cs="Times New Roman"/>
          <w:sz w:val="24"/>
          <w:szCs w:val="24"/>
        </w:rPr>
      </w:pPr>
    </w:p>
    <w:p w:rsidR="00737C42" w:rsidRDefault="00737C42" w:rsidP="00F81D61">
      <w:pPr>
        <w:tabs>
          <w:tab w:val="right" w:leader="dot" w:pos="7938"/>
        </w:tabs>
        <w:spacing w:after="0" w:line="240" w:lineRule="auto"/>
        <w:ind w:right="91"/>
        <w:rPr>
          <w:rFonts w:ascii="Times New Roman" w:eastAsia="Times New Roman" w:hAnsi="Times New Roman" w:cs="Times New Roman"/>
          <w:sz w:val="24"/>
          <w:szCs w:val="24"/>
        </w:rPr>
      </w:pPr>
    </w:p>
    <w:p w:rsidR="00737C42" w:rsidRDefault="00737C42" w:rsidP="00F81D61">
      <w:pPr>
        <w:tabs>
          <w:tab w:val="right" w:leader="dot" w:pos="7938"/>
        </w:tabs>
        <w:spacing w:after="0" w:line="240" w:lineRule="auto"/>
        <w:ind w:right="91"/>
        <w:rPr>
          <w:rFonts w:ascii="Times New Roman" w:eastAsia="Times New Roman" w:hAnsi="Times New Roman" w:cs="Times New Roman"/>
          <w:sz w:val="24"/>
          <w:szCs w:val="24"/>
        </w:rPr>
      </w:pPr>
    </w:p>
    <w:p w:rsidR="00737C42" w:rsidRDefault="00737C42" w:rsidP="00F81D61">
      <w:pPr>
        <w:tabs>
          <w:tab w:val="right" w:leader="dot" w:pos="7938"/>
        </w:tabs>
        <w:spacing w:after="0" w:line="240" w:lineRule="auto"/>
        <w:ind w:right="91"/>
        <w:rPr>
          <w:rFonts w:ascii="Times New Roman" w:eastAsia="Times New Roman" w:hAnsi="Times New Roman" w:cs="Times New Roman"/>
          <w:sz w:val="24"/>
          <w:szCs w:val="24"/>
        </w:rPr>
      </w:pPr>
    </w:p>
    <w:p w:rsidR="00737C42" w:rsidRDefault="00737C42" w:rsidP="00F81D61">
      <w:pPr>
        <w:tabs>
          <w:tab w:val="right" w:leader="dot" w:pos="7938"/>
        </w:tabs>
        <w:spacing w:after="0" w:line="240" w:lineRule="auto"/>
        <w:ind w:right="91"/>
        <w:rPr>
          <w:rFonts w:ascii="Times New Roman" w:eastAsia="Times New Roman" w:hAnsi="Times New Roman" w:cs="Times New Roman"/>
          <w:sz w:val="24"/>
          <w:szCs w:val="24"/>
        </w:rPr>
      </w:pPr>
    </w:p>
    <w:p w:rsidR="00457F5B" w:rsidRDefault="00457F5B" w:rsidP="007F029E">
      <w:pPr>
        <w:pStyle w:val="subsection"/>
        <w:tabs>
          <w:tab w:val="clear" w:pos="1021"/>
        </w:tabs>
        <w:ind w:left="0" w:firstLine="0"/>
        <w:jc w:val="right"/>
        <w:rPr>
          <w:sz w:val="24"/>
          <w:szCs w:val="24"/>
        </w:rPr>
      </w:pPr>
    </w:p>
    <w:p w:rsidR="007F029E" w:rsidRPr="00737C42" w:rsidRDefault="00737C42" w:rsidP="007F029E">
      <w:pPr>
        <w:pStyle w:val="subsection"/>
        <w:tabs>
          <w:tab w:val="clear" w:pos="1021"/>
        </w:tabs>
        <w:ind w:left="0" w:firstLine="0"/>
        <w:jc w:val="right"/>
        <w:rPr>
          <w:sz w:val="24"/>
          <w:szCs w:val="24"/>
        </w:rPr>
      </w:pPr>
      <w:r w:rsidRPr="00737C42">
        <w:rPr>
          <w:sz w:val="24"/>
          <w:szCs w:val="24"/>
        </w:rPr>
        <w:lastRenderedPageBreak/>
        <w:t>ATTACHMENT A</w:t>
      </w:r>
    </w:p>
    <w:p w:rsidR="007F029E" w:rsidRPr="00A94826" w:rsidRDefault="007F029E" w:rsidP="007F029E">
      <w:pPr>
        <w:jc w:val="center"/>
        <w:rPr>
          <w:b/>
          <w:bCs/>
          <w:color w:val="000000"/>
          <w:sz w:val="28"/>
          <w:szCs w:val="28"/>
          <w:shd w:val="clear" w:color="auto" w:fill="FFFFFF"/>
        </w:rPr>
      </w:pPr>
      <w:r w:rsidRPr="00A94826">
        <w:rPr>
          <w:b/>
          <w:bCs/>
          <w:color w:val="000000"/>
          <w:sz w:val="28"/>
          <w:szCs w:val="28"/>
          <w:shd w:val="clear" w:color="auto" w:fill="FFFFFF"/>
        </w:rPr>
        <w:t>Statement of Compatibility with Human Rights</w:t>
      </w:r>
    </w:p>
    <w:p w:rsidR="007F029E" w:rsidRPr="007F029E" w:rsidRDefault="007F029E" w:rsidP="007F029E">
      <w:pPr>
        <w:shd w:val="clear" w:color="auto" w:fill="FFFFFF"/>
        <w:spacing w:before="120" w:after="120"/>
        <w:jc w:val="center"/>
        <w:rPr>
          <w:rFonts w:ascii="Times New Roman" w:hAnsi="Times New Roman" w:cs="Times New Roman"/>
          <w:color w:val="000000"/>
          <w:sz w:val="24"/>
          <w:szCs w:val="24"/>
        </w:rPr>
      </w:pPr>
      <w:r w:rsidRPr="007F029E">
        <w:rPr>
          <w:rFonts w:ascii="Times New Roman" w:hAnsi="Times New Roman" w:cs="Times New Roman"/>
          <w:i/>
          <w:iCs/>
          <w:color w:val="000000"/>
          <w:sz w:val="24"/>
          <w:szCs w:val="24"/>
        </w:rPr>
        <w:t>Prepared in accordance with Part 3 of the Human Rights (Parliamentary Scrutiny) Act 2011</w:t>
      </w:r>
    </w:p>
    <w:p w:rsidR="007F029E" w:rsidRPr="007F029E" w:rsidRDefault="007F029E" w:rsidP="007F029E">
      <w:pPr>
        <w:pStyle w:val="subsection"/>
        <w:tabs>
          <w:tab w:val="clear" w:pos="1021"/>
        </w:tabs>
        <w:ind w:left="0" w:firstLine="0"/>
        <w:jc w:val="center"/>
        <w:rPr>
          <w:i/>
          <w:sz w:val="24"/>
          <w:szCs w:val="24"/>
        </w:rPr>
      </w:pPr>
      <w:r w:rsidRPr="007F029E">
        <w:rPr>
          <w:i/>
          <w:sz w:val="24"/>
          <w:szCs w:val="24"/>
        </w:rPr>
        <w:t>Proceeds of Crime Amendment (Approved Examiners and Other Measures) Regulation 2016</w:t>
      </w:r>
    </w:p>
    <w:p w:rsidR="007F029E" w:rsidRPr="0079283F" w:rsidRDefault="007F029E" w:rsidP="007F029E">
      <w:pPr>
        <w:shd w:val="clear" w:color="auto" w:fill="FFFFFF"/>
        <w:spacing w:before="240" w:after="0" w:line="240" w:lineRule="auto"/>
        <w:rPr>
          <w:rFonts w:ascii="Times New Roman" w:eastAsia="Times New Roman" w:hAnsi="Times New Roman" w:cs="Times New Roman"/>
          <w:i/>
          <w:color w:val="000000" w:themeColor="text1"/>
          <w:sz w:val="24"/>
          <w:szCs w:val="24"/>
          <w:lang w:eastAsia="en-AU"/>
        </w:rPr>
      </w:pPr>
      <w:r w:rsidRPr="0079283F">
        <w:rPr>
          <w:rFonts w:ascii="Times New Roman" w:eastAsia="Times New Roman" w:hAnsi="Times New Roman" w:cs="Times New Roman"/>
          <w:color w:val="000000" w:themeColor="text1"/>
          <w:sz w:val="24"/>
          <w:szCs w:val="24"/>
          <w:lang w:eastAsia="en-AU"/>
        </w:rPr>
        <w:t xml:space="preserve">This Legislative Instrument is compatible with the human rights and freedoms recognised or declared in the international instruments listed in section 3 of the </w:t>
      </w:r>
      <w:r w:rsidRPr="0079283F">
        <w:rPr>
          <w:rFonts w:ascii="Times New Roman" w:eastAsia="Times New Roman" w:hAnsi="Times New Roman" w:cs="Times New Roman"/>
          <w:i/>
          <w:color w:val="000000" w:themeColor="text1"/>
          <w:sz w:val="24"/>
          <w:szCs w:val="24"/>
          <w:lang w:eastAsia="en-AU"/>
        </w:rPr>
        <w:t xml:space="preserve">Human Rights (Parliamentary Scrutiny) Act 2011. </w:t>
      </w:r>
    </w:p>
    <w:p w:rsidR="007F029E" w:rsidRPr="0079283F" w:rsidRDefault="007F029E" w:rsidP="007F029E">
      <w:pPr>
        <w:shd w:val="clear" w:color="auto" w:fill="FFFFFF"/>
        <w:spacing w:before="240" w:after="0" w:line="240" w:lineRule="auto"/>
        <w:rPr>
          <w:rFonts w:ascii="Times New Roman" w:eastAsia="Times New Roman" w:hAnsi="Times New Roman" w:cs="Times New Roman"/>
          <w:b/>
          <w:color w:val="000000" w:themeColor="text1"/>
          <w:sz w:val="24"/>
          <w:szCs w:val="24"/>
          <w:lang w:eastAsia="en-AU"/>
        </w:rPr>
      </w:pPr>
      <w:r w:rsidRPr="0079283F">
        <w:rPr>
          <w:rFonts w:ascii="Times New Roman" w:eastAsia="Times New Roman" w:hAnsi="Times New Roman" w:cs="Times New Roman"/>
          <w:b/>
          <w:color w:val="000000" w:themeColor="text1"/>
          <w:sz w:val="24"/>
          <w:szCs w:val="24"/>
          <w:lang w:eastAsia="en-AU"/>
        </w:rPr>
        <w:t>Overview of the Legislative Instrument</w:t>
      </w:r>
    </w:p>
    <w:p w:rsidR="007F029E" w:rsidRDefault="007F029E" w:rsidP="007F029E">
      <w:pPr>
        <w:pStyle w:val="ListParagraph"/>
        <w:spacing w:before="240" w:after="0" w:line="240" w:lineRule="auto"/>
        <w:ind w:left="0"/>
        <w:contextualSpacing w:val="0"/>
        <w:rPr>
          <w:rFonts w:ascii="Times New Roman" w:hAnsi="Times New Roman"/>
          <w:sz w:val="24"/>
          <w:szCs w:val="24"/>
        </w:rPr>
      </w:pPr>
      <w:r>
        <w:rPr>
          <w:rFonts w:ascii="Times New Roman" w:hAnsi="Times New Roman"/>
          <w:sz w:val="24"/>
          <w:szCs w:val="24"/>
        </w:rPr>
        <w:t>This legislative</w:t>
      </w:r>
      <w:r w:rsidRPr="00C312C5">
        <w:rPr>
          <w:rFonts w:ascii="Times New Roman" w:hAnsi="Times New Roman"/>
          <w:sz w:val="24"/>
          <w:szCs w:val="24"/>
        </w:rPr>
        <w:t xml:space="preserve"> </w:t>
      </w:r>
      <w:r>
        <w:rPr>
          <w:rFonts w:ascii="Times New Roman" w:hAnsi="Times New Roman"/>
          <w:sz w:val="24"/>
          <w:szCs w:val="24"/>
        </w:rPr>
        <w:t>instrument</w:t>
      </w:r>
      <w:r w:rsidRPr="00C312C5">
        <w:rPr>
          <w:rFonts w:ascii="Times New Roman" w:hAnsi="Times New Roman"/>
          <w:sz w:val="24"/>
          <w:szCs w:val="24"/>
        </w:rPr>
        <w:t xml:space="preserve"> amends the </w:t>
      </w:r>
      <w:r w:rsidRPr="00C312C5">
        <w:rPr>
          <w:rFonts w:ascii="Times New Roman" w:hAnsi="Times New Roman"/>
          <w:i/>
          <w:sz w:val="24"/>
          <w:szCs w:val="24"/>
        </w:rPr>
        <w:t>Proceeds of Crime Regulations 2002</w:t>
      </w:r>
      <w:r>
        <w:rPr>
          <w:rFonts w:ascii="Times New Roman" w:hAnsi="Times New Roman"/>
          <w:sz w:val="24"/>
          <w:szCs w:val="24"/>
        </w:rPr>
        <w:t xml:space="preserve"> (the POC </w:t>
      </w:r>
      <w:r w:rsidRPr="00C312C5">
        <w:rPr>
          <w:rFonts w:ascii="Times New Roman" w:hAnsi="Times New Roman"/>
          <w:sz w:val="24"/>
          <w:szCs w:val="24"/>
        </w:rPr>
        <w:t>Regulations) to:</w:t>
      </w:r>
    </w:p>
    <w:p w:rsidR="007F029E" w:rsidRDefault="007F029E" w:rsidP="007F029E">
      <w:pPr>
        <w:pStyle w:val="ListParagraph"/>
        <w:numPr>
          <w:ilvl w:val="0"/>
          <w:numId w:val="3"/>
        </w:numPr>
        <w:spacing w:before="240" w:after="0" w:line="240" w:lineRule="auto"/>
        <w:contextualSpacing w:val="0"/>
        <w:rPr>
          <w:rFonts w:ascii="Times New Roman" w:hAnsi="Times New Roman"/>
          <w:sz w:val="24"/>
          <w:szCs w:val="24"/>
        </w:rPr>
      </w:pPr>
      <w:r w:rsidRPr="00B04747">
        <w:rPr>
          <w:rFonts w:ascii="Times New Roman" w:hAnsi="Times New Roman"/>
          <w:sz w:val="24"/>
          <w:szCs w:val="24"/>
        </w:rPr>
        <w:t xml:space="preserve">reflect changes to the process in the </w:t>
      </w:r>
      <w:r w:rsidRPr="00B04747">
        <w:rPr>
          <w:rFonts w:ascii="Times New Roman" w:hAnsi="Times New Roman"/>
          <w:i/>
          <w:sz w:val="24"/>
          <w:szCs w:val="24"/>
        </w:rPr>
        <w:t xml:space="preserve">Proceeds of Crime Act 2002 </w:t>
      </w:r>
      <w:r w:rsidRPr="00B04747">
        <w:rPr>
          <w:rFonts w:ascii="Times New Roman" w:hAnsi="Times New Roman"/>
          <w:sz w:val="24"/>
          <w:szCs w:val="24"/>
        </w:rPr>
        <w:t xml:space="preserve">(the POC Act) for appointment of approved proceeds of crime examiners under the </w:t>
      </w:r>
      <w:r w:rsidRPr="00B04747">
        <w:rPr>
          <w:rFonts w:ascii="Times New Roman" w:hAnsi="Times New Roman"/>
          <w:i/>
          <w:sz w:val="24"/>
          <w:szCs w:val="24"/>
        </w:rPr>
        <w:t>Crimes Legislation Amendment (Powers, Offences and Other Measures) Act 2015</w:t>
      </w:r>
    </w:p>
    <w:p w:rsidR="007F029E" w:rsidRDefault="007F029E" w:rsidP="007F029E">
      <w:pPr>
        <w:pStyle w:val="ListParagraph"/>
        <w:numPr>
          <w:ilvl w:val="0"/>
          <w:numId w:val="3"/>
        </w:numPr>
        <w:spacing w:before="240" w:after="0" w:line="240" w:lineRule="auto"/>
        <w:contextualSpacing w:val="0"/>
        <w:rPr>
          <w:rFonts w:ascii="Times New Roman" w:hAnsi="Times New Roman"/>
          <w:sz w:val="24"/>
          <w:szCs w:val="24"/>
        </w:rPr>
      </w:pPr>
      <w:r w:rsidRPr="00B04747">
        <w:rPr>
          <w:rFonts w:ascii="Times New Roman" w:hAnsi="Times New Roman"/>
          <w:sz w:val="24"/>
          <w:szCs w:val="24"/>
        </w:rPr>
        <w:t>update references to state and territory proceeds of crime-related orders to assist in ensuring recognition and enforcement of orders across Australian jurisdictions</w:t>
      </w:r>
      <w:r>
        <w:rPr>
          <w:rFonts w:ascii="Times New Roman" w:hAnsi="Times New Roman"/>
          <w:sz w:val="24"/>
          <w:szCs w:val="24"/>
        </w:rPr>
        <w:t xml:space="preserve">, and </w:t>
      </w:r>
    </w:p>
    <w:p w:rsidR="007F029E" w:rsidRPr="005657CC" w:rsidRDefault="007F029E" w:rsidP="007F029E">
      <w:pPr>
        <w:pStyle w:val="ListParagraph"/>
        <w:numPr>
          <w:ilvl w:val="0"/>
          <w:numId w:val="3"/>
        </w:numPr>
        <w:spacing w:before="240" w:after="0" w:line="240" w:lineRule="auto"/>
        <w:contextualSpacing w:val="0"/>
        <w:rPr>
          <w:rFonts w:ascii="Times New Roman" w:hAnsi="Times New Roman"/>
          <w:sz w:val="24"/>
          <w:szCs w:val="24"/>
        </w:rPr>
      </w:pPr>
      <w:proofErr w:type="gramStart"/>
      <w:r>
        <w:rPr>
          <w:rFonts w:ascii="Times New Roman" w:hAnsi="Times New Roman"/>
          <w:sz w:val="24"/>
          <w:szCs w:val="24"/>
        </w:rPr>
        <w:t>increase</w:t>
      </w:r>
      <w:proofErr w:type="gramEnd"/>
      <w:r>
        <w:rPr>
          <w:rFonts w:ascii="Times New Roman" w:hAnsi="Times New Roman"/>
          <w:sz w:val="24"/>
          <w:szCs w:val="24"/>
        </w:rPr>
        <w:t xml:space="preserve"> the annual fee for administering the Confiscated Assets Account (CAA) and the rate of remuneration for the Official Trustee.</w:t>
      </w:r>
    </w:p>
    <w:p w:rsidR="007F029E" w:rsidRDefault="007F029E" w:rsidP="007F029E">
      <w:pPr>
        <w:pStyle w:val="ListParagraph"/>
        <w:spacing w:before="240" w:after="0" w:line="240" w:lineRule="auto"/>
        <w:ind w:left="0"/>
        <w:contextualSpacing w:val="0"/>
        <w:rPr>
          <w:rFonts w:ascii="Times New Roman" w:hAnsi="Times New Roman"/>
          <w:sz w:val="24"/>
          <w:szCs w:val="24"/>
        </w:rPr>
      </w:pPr>
      <w:r>
        <w:rPr>
          <w:rFonts w:ascii="Times New Roman" w:hAnsi="Times New Roman"/>
          <w:sz w:val="24"/>
          <w:szCs w:val="24"/>
        </w:rPr>
        <w:t>The POC Act</w:t>
      </w:r>
      <w:r w:rsidRPr="009805B0">
        <w:rPr>
          <w:rFonts w:ascii="Times New Roman" w:hAnsi="Times New Roman"/>
          <w:sz w:val="24"/>
          <w:szCs w:val="24"/>
        </w:rPr>
        <w:t xml:space="preserve"> establishes a comprehensive scheme to trace, restrain and confiscate the proceeds of crimes against Commonwealth law, and also enables confiscated funds to be given back to the community to help prevent and reduce the harmful effects of crime. Under the POC Act, proceeds of crime authorities (the Australian Federal Police (AFP) or the Commonwealth Director of Public Prosecutions) are able, among other things, to seek court orders to deprive persons of the proceeds of, instruments of and benefit derived from serious and indictable offences against the laws of the Commonwealth. </w:t>
      </w:r>
    </w:p>
    <w:p w:rsidR="007F029E" w:rsidRDefault="007F029E" w:rsidP="007F029E">
      <w:pPr>
        <w:pStyle w:val="ListParagraph"/>
        <w:spacing w:before="240" w:after="0" w:line="240" w:lineRule="auto"/>
        <w:ind w:left="0"/>
        <w:contextualSpacing w:val="0"/>
        <w:rPr>
          <w:rFonts w:ascii="Times New Roman" w:hAnsi="Times New Roman"/>
          <w:sz w:val="24"/>
          <w:szCs w:val="24"/>
        </w:rPr>
      </w:pPr>
      <w:r w:rsidRPr="009805B0">
        <w:rPr>
          <w:rFonts w:ascii="Times New Roman" w:hAnsi="Times New Roman"/>
          <w:sz w:val="24"/>
          <w:szCs w:val="24"/>
        </w:rPr>
        <w:t xml:space="preserve">Section 328 of the POC Act allows the Governor-General to make regulations to prescribe matters necessary for giving effect to the Act. </w:t>
      </w:r>
      <w:r>
        <w:rPr>
          <w:rFonts w:ascii="Times New Roman" w:hAnsi="Times New Roman"/>
          <w:sz w:val="24"/>
          <w:szCs w:val="24"/>
        </w:rPr>
        <w:t xml:space="preserve"> </w:t>
      </w:r>
    </w:p>
    <w:p w:rsidR="007F029E" w:rsidRPr="009805B0" w:rsidRDefault="007F029E" w:rsidP="007F029E">
      <w:pPr>
        <w:pStyle w:val="ListParagraph"/>
        <w:spacing w:before="240" w:after="0" w:line="240" w:lineRule="auto"/>
        <w:ind w:left="0"/>
        <w:contextualSpacing w:val="0"/>
        <w:rPr>
          <w:rFonts w:ascii="Times New Roman" w:hAnsi="Times New Roman"/>
          <w:sz w:val="24"/>
          <w:szCs w:val="24"/>
        </w:rPr>
      </w:pPr>
      <w:r>
        <w:rPr>
          <w:rFonts w:ascii="Times New Roman" w:hAnsi="Times New Roman"/>
          <w:sz w:val="24"/>
          <w:szCs w:val="24"/>
        </w:rPr>
        <w:t xml:space="preserve">The proposed amendments are technical amendments to the POC Regulations that aim to ensure the continued efficient operation of the proceeds of crime regime. </w:t>
      </w:r>
    </w:p>
    <w:p w:rsidR="007F029E" w:rsidRPr="004C148B" w:rsidRDefault="007F029E" w:rsidP="007F029E">
      <w:pPr>
        <w:pStyle w:val="ListParagraph"/>
        <w:spacing w:before="240" w:after="0" w:line="240" w:lineRule="auto"/>
        <w:ind w:left="0"/>
        <w:contextualSpacing w:val="0"/>
        <w:rPr>
          <w:rFonts w:ascii="Times New Roman" w:hAnsi="Times New Roman"/>
          <w:sz w:val="24"/>
          <w:szCs w:val="24"/>
          <w:u w:val="single"/>
        </w:rPr>
      </w:pPr>
      <w:r w:rsidRPr="004C148B">
        <w:rPr>
          <w:rFonts w:ascii="Times New Roman" w:hAnsi="Times New Roman"/>
          <w:sz w:val="24"/>
          <w:szCs w:val="24"/>
          <w:u w:val="single"/>
        </w:rPr>
        <w:t>Appointment of approved examiners</w:t>
      </w:r>
    </w:p>
    <w:p w:rsidR="007F029E" w:rsidRDefault="007F029E" w:rsidP="007F029E">
      <w:pPr>
        <w:pStyle w:val="ListParagraph"/>
        <w:spacing w:before="240" w:after="0" w:line="240" w:lineRule="auto"/>
        <w:ind w:left="0"/>
        <w:contextualSpacing w:val="0"/>
        <w:rPr>
          <w:rFonts w:ascii="Times New Roman" w:hAnsi="Times New Roman"/>
          <w:sz w:val="24"/>
          <w:szCs w:val="24"/>
        </w:rPr>
      </w:pPr>
      <w:r w:rsidRPr="009805B0">
        <w:rPr>
          <w:rFonts w:ascii="Times New Roman" w:hAnsi="Times New Roman"/>
          <w:sz w:val="24"/>
          <w:szCs w:val="24"/>
        </w:rPr>
        <w:t xml:space="preserve">Part 3-1 of the POC Act provides that a responsible authority may apply to an ‘approved examiner’ to issue an examination notice for the examination of a person. The responsible authority is the proceeds of crime authority that makes the application. </w:t>
      </w:r>
    </w:p>
    <w:p w:rsidR="007F029E" w:rsidRPr="009805B0" w:rsidRDefault="007F029E" w:rsidP="007F029E">
      <w:pPr>
        <w:pStyle w:val="ListParagraph"/>
        <w:spacing w:before="240" w:after="0" w:line="240" w:lineRule="auto"/>
        <w:ind w:left="0"/>
        <w:contextualSpacing w:val="0"/>
        <w:rPr>
          <w:rFonts w:ascii="Times New Roman" w:hAnsi="Times New Roman"/>
          <w:sz w:val="24"/>
          <w:szCs w:val="24"/>
        </w:rPr>
      </w:pPr>
      <w:r w:rsidRPr="009805B0">
        <w:rPr>
          <w:rFonts w:ascii="Times New Roman" w:hAnsi="Times New Roman"/>
          <w:sz w:val="24"/>
          <w:szCs w:val="24"/>
        </w:rPr>
        <w:t xml:space="preserve">A POC Act examination is an information-gathering tool which enables law enforcement authorities to effectively trace proceeds of crime. Under Division 1 of Part 3-1 of the POC Act, approved examiners undertake coercive examinations for the purposes of gathering information with respect to: </w:t>
      </w:r>
    </w:p>
    <w:p w:rsidR="007F029E" w:rsidRPr="0034163F" w:rsidRDefault="007F029E" w:rsidP="007F029E">
      <w:pPr>
        <w:pStyle w:val="ListParagraph"/>
        <w:numPr>
          <w:ilvl w:val="0"/>
          <w:numId w:val="4"/>
        </w:numPr>
        <w:spacing w:before="120"/>
        <w:contextualSpacing w:val="0"/>
        <w:rPr>
          <w:rFonts w:ascii="Times New Roman" w:hAnsi="Times New Roman"/>
          <w:sz w:val="24"/>
          <w:szCs w:val="24"/>
        </w:rPr>
      </w:pPr>
      <w:r w:rsidRPr="0034163F">
        <w:rPr>
          <w:rFonts w:ascii="Times New Roman" w:hAnsi="Times New Roman"/>
          <w:sz w:val="24"/>
          <w:szCs w:val="24"/>
        </w:rPr>
        <w:t>restraining orders (under sections 180 and 180E of the POC Act)</w:t>
      </w:r>
    </w:p>
    <w:p w:rsidR="007F029E" w:rsidRPr="0034163F" w:rsidRDefault="007F029E" w:rsidP="007F029E">
      <w:pPr>
        <w:pStyle w:val="ListParagraph"/>
        <w:numPr>
          <w:ilvl w:val="0"/>
          <w:numId w:val="4"/>
        </w:numPr>
        <w:spacing w:before="120"/>
        <w:contextualSpacing w:val="0"/>
        <w:rPr>
          <w:rFonts w:ascii="Times New Roman" w:hAnsi="Times New Roman"/>
          <w:sz w:val="24"/>
          <w:szCs w:val="24"/>
        </w:rPr>
      </w:pPr>
      <w:r w:rsidRPr="0034163F">
        <w:rPr>
          <w:rFonts w:ascii="Times New Roman" w:hAnsi="Times New Roman"/>
          <w:sz w:val="24"/>
          <w:szCs w:val="24"/>
        </w:rPr>
        <w:lastRenderedPageBreak/>
        <w:t>applications for exclusion from forfeiture orders (under section</w:t>
      </w:r>
      <w:r>
        <w:rPr>
          <w:rFonts w:ascii="Times New Roman" w:hAnsi="Times New Roman"/>
          <w:sz w:val="24"/>
          <w:szCs w:val="24"/>
        </w:rPr>
        <w:t xml:space="preserve"> </w:t>
      </w:r>
      <w:r w:rsidRPr="0034163F">
        <w:rPr>
          <w:rFonts w:ascii="Times New Roman" w:hAnsi="Times New Roman"/>
          <w:sz w:val="24"/>
          <w:szCs w:val="24"/>
        </w:rPr>
        <w:t>180A)</w:t>
      </w:r>
    </w:p>
    <w:p w:rsidR="007F029E" w:rsidRPr="0034163F" w:rsidRDefault="007F029E" w:rsidP="007F029E">
      <w:pPr>
        <w:pStyle w:val="ListParagraph"/>
        <w:numPr>
          <w:ilvl w:val="0"/>
          <w:numId w:val="4"/>
        </w:numPr>
        <w:spacing w:before="120"/>
        <w:contextualSpacing w:val="0"/>
        <w:rPr>
          <w:rFonts w:ascii="Times New Roman" w:hAnsi="Times New Roman"/>
          <w:sz w:val="24"/>
          <w:szCs w:val="24"/>
        </w:rPr>
      </w:pPr>
      <w:r w:rsidRPr="0034163F">
        <w:rPr>
          <w:rFonts w:ascii="Times New Roman" w:hAnsi="Times New Roman"/>
          <w:sz w:val="24"/>
          <w:szCs w:val="24"/>
        </w:rPr>
        <w:t>applications for compensation (under section 180B)</w:t>
      </w:r>
    </w:p>
    <w:p w:rsidR="007F029E" w:rsidRPr="0034163F" w:rsidRDefault="007F029E" w:rsidP="007F029E">
      <w:pPr>
        <w:pStyle w:val="ListParagraph"/>
        <w:numPr>
          <w:ilvl w:val="0"/>
          <w:numId w:val="4"/>
        </w:numPr>
        <w:spacing w:before="120"/>
        <w:contextualSpacing w:val="0"/>
        <w:rPr>
          <w:rFonts w:ascii="Times New Roman" w:hAnsi="Times New Roman"/>
          <w:sz w:val="24"/>
          <w:szCs w:val="24"/>
        </w:rPr>
      </w:pPr>
      <w:r w:rsidRPr="0034163F">
        <w:rPr>
          <w:rFonts w:ascii="Times New Roman" w:hAnsi="Times New Roman"/>
          <w:sz w:val="24"/>
          <w:szCs w:val="24"/>
        </w:rPr>
        <w:t xml:space="preserve">applications to transfer forfeited property (under section 180C) </w:t>
      </w:r>
    </w:p>
    <w:p w:rsidR="007F029E" w:rsidRPr="0034163F" w:rsidRDefault="007F029E" w:rsidP="007F029E">
      <w:pPr>
        <w:pStyle w:val="ListParagraph"/>
        <w:numPr>
          <w:ilvl w:val="0"/>
          <w:numId w:val="4"/>
        </w:numPr>
        <w:spacing w:before="120"/>
        <w:contextualSpacing w:val="0"/>
        <w:rPr>
          <w:rFonts w:ascii="Times New Roman" w:hAnsi="Times New Roman"/>
          <w:sz w:val="24"/>
          <w:szCs w:val="24"/>
        </w:rPr>
      </w:pPr>
      <w:r w:rsidRPr="0034163F">
        <w:rPr>
          <w:rFonts w:ascii="Times New Roman" w:hAnsi="Times New Roman"/>
          <w:sz w:val="24"/>
          <w:szCs w:val="24"/>
        </w:rPr>
        <w:t>the enforcement of confiscation orders (under section 180D), and</w:t>
      </w:r>
    </w:p>
    <w:p w:rsidR="007F029E" w:rsidRPr="0034163F" w:rsidRDefault="007F029E" w:rsidP="007F029E">
      <w:pPr>
        <w:pStyle w:val="ListParagraph"/>
        <w:numPr>
          <w:ilvl w:val="0"/>
          <w:numId w:val="4"/>
        </w:numPr>
        <w:spacing w:before="120"/>
        <w:contextualSpacing w:val="0"/>
        <w:rPr>
          <w:rFonts w:ascii="Times New Roman" w:hAnsi="Times New Roman"/>
          <w:sz w:val="24"/>
          <w:szCs w:val="24"/>
        </w:rPr>
      </w:pPr>
      <w:proofErr w:type="gramStart"/>
      <w:r w:rsidRPr="0034163F">
        <w:rPr>
          <w:rFonts w:ascii="Times New Roman" w:hAnsi="Times New Roman"/>
          <w:sz w:val="24"/>
          <w:szCs w:val="24"/>
        </w:rPr>
        <w:t>the</w:t>
      </w:r>
      <w:proofErr w:type="gramEnd"/>
      <w:r w:rsidRPr="0034163F">
        <w:rPr>
          <w:rFonts w:ascii="Times New Roman" w:hAnsi="Times New Roman"/>
          <w:sz w:val="24"/>
          <w:szCs w:val="24"/>
        </w:rPr>
        <w:t xml:space="preserve"> quashing of convictions (under section 181).</w:t>
      </w:r>
    </w:p>
    <w:p w:rsidR="007F029E" w:rsidRDefault="007F029E" w:rsidP="007F029E">
      <w:pPr>
        <w:pStyle w:val="ListParagraph"/>
        <w:spacing w:before="240" w:after="0" w:line="240" w:lineRule="auto"/>
        <w:ind w:left="0"/>
        <w:contextualSpacing w:val="0"/>
        <w:rPr>
          <w:rFonts w:ascii="Times New Roman" w:hAnsi="Times New Roman"/>
          <w:sz w:val="24"/>
          <w:szCs w:val="24"/>
        </w:rPr>
      </w:pPr>
      <w:r w:rsidRPr="009805B0">
        <w:rPr>
          <w:rFonts w:ascii="Times New Roman" w:hAnsi="Times New Roman"/>
          <w:sz w:val="24"/>
          <w:szCs w:val="24"/>
        </w:rPr>
        <w:t xml:space="preserve">The powers of an approved examiner are set out in Part 3-1 of the POC Act.  These powers include the power to summon a person to appear before an examination and                      evidence-gathering powers, including the power to compel a person to answer questions and produce documents. </w:t>
      </w:r>
    </w:p>
    <w:p w:rsidR="007F029E" w:rsidRDefault="007F029E" w:rsidP="007F029E">
      <w:pPr>
        <w:pStyle w:val="ListParagraph"/>
        <w:spacing w:before="240" w:after="0" w:line="240" w:lineRule="auto"/>
        <w:ind w:left="0"/>
        <w:contextualSpacing w:val="0"/>
        <w:rPr>
          <w:rFonts w:ascii="Times New Roman" w:hAnsi="Times New Roman"/>
          <w:sz w:val="24"/>
          <w:szCs w:val="24"/>
        </w:rPr>
      </w:pPr>
      <w:r>
        <w:rPr>
          <w:rFonts w:ascii="Times New Roman" w:hAnsi="Times New Roman"/>
          <w:sz w:val="24"/>
          <w:szCs w:val="24"/>
        </w:rPr>
        <w:t xml:space="preserve">The </w:t>
      </w:r>
      <w:r w:rsidRPr="004A22AC">
        <w:rPr>
          <w:rFonts w:ascii="Times New Roman" w:hAnsi="Times New Roman"/>
          <w:i/>
          <w:sz w:val="24"/>
          <w:szCs w:val="24"/>
        </w:rPr>
        <w:t>Crimes Legislation Amendment (Powers, Offences and Other Measures) Act 2015</w:t>
      </w:r>
      <w:r>
        <w:rPr>
          <w:rFonts w:ascii="Times New Roman" w:hAnsi="Times New Roman"/>
          <w:sz w:val="24"/>
          <w:szCs w:val="24"/>
        </w:rPr>
        <w:t xml:space="preserve"> amended the process for appointing proceeds of crime examiners, to increase</w:t>
      </w:r>
      <w:r w:rsidRPr="00016063">
        <w:rPr>
          <w:rFonts w:ascii="Times New Roman" w:hAnsi="Times New Roman"/>
          <w:sz w:val="24"/>
          <w:szCs w:val="24"/>
        </w:rPr>
        <w:t xml:space="preserve"> probity and integrity</w:t>
      </w:r>
      <w:r>
        <w:rPr>
          <w:rFonts w:ascii="Times New Roman" w:hAnsi="Times New Roman"/>
          <w:sz w:val="24"/>
          <w:szCs w:val="24"/>
        </w:rPr>
        <w:t xml:space="preserve">. </w:t>
      </w:r>
      <w:r w:rsidRPr="004541E2">
        <w:rPr>
          <w:rFonts w:ascii="Times New Roman" w:hAnsi="Times New Roman"/>
          <w:sz w:val="24"/>
          <w:szCs w:val="24"/>
        </w:rPr>
        <w:t xml:space="preserve">The </w:t>
      </w:r>
      <w:r>
        <w:rPr>
          <w:rFonts w:ascii="Times New Roman" w:hAnsi="Times New Roman"/>
          <w:sz w:val="24"/>
          <w:szCs w:val="24"/>
        </w:rPr>
        <w:t xml:space="preserve">2015 </w:t>
      </w:r>
      <w:r w:rsidRPr="004541E2">
        <w:rPr>
          <w:rFonts w:ascii="Times New Roman" w:hAnsi="Times New Roman"/>
          <w:sz w:val="24"/>
          <w:szCs w:val="24"/>
        </w:rPr>
        <w:t xml:space="preserve">amendments </w:t>
      </w:r>
      <w:r>
        <w:rPr>
          <w:rFonts w:ascii="Times New Roman" w:hAnsi="Times New Roman"/>
          <w:sz w:val="24"/>
          <w:szCs w:val="24"/>
        </w:rPr>
        <w:t xml:space="preserve">introduced additional qualification requirements which an approved examiner must possess, as a precondition for appointment. The current process for appointment is now set out in subsection 183(5) of the POC Act, which provides that </w:t>
      </w:r>
      <w:r w:rsidRPr="007D353F">
        <w:rPr>
          <w:rFonts w:ascii="Times New Roman" w:hAnsi="Times New Roman"/>
          <w:sz w:val="24"/>
          <w:szCs w:val="24"/>
        </w:rPr>
        <w:t>an</w:t>
      </w:r>
      <w:r>
        <w:rPr>
          <w:rFonts w:ascii="Times New Roman" w:hAnsi="Times New Roman"/>
          <w:sz w:val="24"/>
          <w:szCs w:val="24"/>
        </w:rPr>
        <w:t xml:space="preserve"> approved examiner is a person appointed by the Minister for Justice:</w:t>
      </w:r>
    </w:p>
    <w:p w:rsidR="007F029E" w:rsidRDefault="007F029E" w:rsidP="007F029E">
      <w:pPr>
        <w:pStyle w:val="ListParagraph"/>
        <w:numPr>
          <w:ilvl w:val="0"/>
          <w:numId w:val="5"/>
        </w:numPr>
        <w:spacing w:before="240" w:after="0" w:line="240" w:lineRule="auto"/>
        <w:ind w:left="709" w:hanging="425"/>
        <w:contextualSpacing w:val="0"/>
        <w:rPr>
          <w:rFonts w:ascii="Times New Roman" w:hAnsi="Times New Roman"/>
          <w:sz w:val="24"/>
          <w:szCs w:val="24"/>
        </w:rPr>
      </w:pPr>
      <w:r w:rsidRPr="0008775F">
        <w:rPr>
          <w:rFonts w:ascii="Times New Roman" w:hAnsi="Times New Roman"/>
          <w:sz w:val="24"/>
          <w:szCs w:val="24"/>
        </w:rPr>
        <w:t>who holds</w:t>
      </w:r>
      <w:r>
        <w:rPr>
          <w:rFonts w:ascii="Times New Roman" w:hAnsi="Times New Roman"/>
          <w:sz w:val="24"/>
          <w:szCs w:val="24"/>
        </w:rPr>
        <w:t xml:space="preserve"> </w:t>
      </w:r>
      <w:r w:rsidRPr="0008775F">
        <w:rPr>
          <w:rFonts w:ascii="Times New Roman" w:hAnsi="Times New Roman"/>
          <w:sz w:val="24"/>
          <w:szCs w:val="24"/>
        </w:rPr>
        <w:t xml:space="preserve">an office specified in the </w:t>
      </w:r>
      <w:r>
        <w:rPr>
          <w:rFonts w:ascii="Times New Roman" w:hAnsi="Times New Roman"/>
          <w:sz w:val="24"/>
          <w:szCs w:val="24"/>
        </w:rPr>
        <w:t>POC </w:t>
      </w:r>
      <w:r w:rsidRPr="0008775F">
        <w:rPr>
          <w:rFonts w:ascii="Times New Roman" w:hAnsi="Times New Roman"/>
          <w:sz w:val="24"/>
          <w:szCs w:val="24"/>
        </w:rPr>
        <w:t xml:space="preserve">Regulations </w:t>
      </w:r>
      <w:r>
        <w:rPr>
          <w:rFonts w:ascii="Times New Roman" w:hAnsi="Times New Roman"/>
          <w:sz w:val="24"/>
          <w:szCs w:val="24"/>
        </w:rPr>
        <w:t>(paragraph 183(5)(a)), or</w:t>
      </w:r>
    </w:p>
    <w:p w:rsidR="007F029E" w:rsidRDefault="007F029E" w:rsidP="007F029E">
      <w:pPr>
        <w:pStyle w:val="ListParagraph"/>
        <w:numPr>
          <w:ilvl w:val="0"/>
          <w:numId w:val="5"/>
        </w:numPr>
        <w:spacing w:before="240" w:after="0" w:line="240" w:lineRule="auto"/>
        <w:ind w:left="709" w:hanging="425"/>
        <w:contextualSpacing w:val="0"/>
        <w:rPr>
          <w:rFonts w:ascii="Times New Roman" w:hAnsi="Times New Roman"/>
          <w:sz w:val="24"/>
          <w:szCs w:val="24"/>
        </w:rPr>
      </w:pPr>
      <w:r>
        <w:rPr>
          <w:rFonts w:ascii="Times New Roman" w:hAnsi="Times New Roman"/>
          <w:sz w:val="24"/>
          <w:szCs w:val="24"/>
        </w:rPr>
        <w:t>is enrolled for five years as a legal practitioner of the High Court, of another federal court or of the Supreme Court of a state or territory, and has indicated their willingness to be appointed (paragraph 183 (5)(b)).</w:t>
      </w:r>
    </w:p>
    <w:p w:rsidR="007F029E" w:rsidRPr="00861DCD" w:rsidRDefault="007F029E" w:rsidP="007F029E">
      <w:pPr>
        <w:pStyle w:val="ListParagraph"/>
        <w:spacing w:before="240" w:after="0" w:line="240" w:lineRule="auto"/>
        <w:ind w:left="0"/>
        <w:contextualSpacing w:val="0"/>
        <w:rPr>
          <w:rFonts w:ascii="Times New Roman" w:hAnsi="Times New Roman"/>
          <w:sz w:val="24"/>
          <w:szCs w:val="24"/>
        </w:rPr>
      </w:pPr>
      <w:proofErr w:type="spellStart"/>
      <w:r w:rsidRPr="00861DCD">
        <w:rPr>
          <w:rFonts w:ascii="Times New Roman" w:hAnsi="Times New Roman"/>
          <w:sz w:val="24"/>
          <w:szCs w:val="24"/>
        </w:rPr>
        <w:t>Subregulation</w:t>
      </w:r>
      <w:proofErr w:type="spellEnd"/>
      <w:r w:rsidRPr="00861DCD">
        <w:rPr>
          <w:rFonts w:ascii="Times New Roman" w:hAnsi="Times New Roman"/>
          <w:sz w:val="24"/>
          <w:szCs w:val="24"/>
        </w:rPr>
        <w:t xml:space="preserve"> 12(1) of the POC Regulations currently provides that ‘for the purposes of paragraph 183(4) of the Act, the class of people specified is the class that includes (a) a person </w:t>
      </w:r>
      <w:proofErr w:type="spellStart"/>
      <w:r w:rsidRPr="00861DCD">
        <w:rPr>
          <w:rFonts w:ascii="Times New Roman" w:hAnsi="Times New Roman"/>
          <w:sz w:val="24"/>
          <w:szCs w:val="24"/>
        </w:rPr>
        <w:t>subregulation</w:t>
      </w:r>
      <w:proofErr w:type="spellEnd"/>
      <w:r w:rsidRPr="00861DCD">
        <w:rPr>
          <w:rFonts w:ascii="Times New Roman" w:hAnsi="Times New Roman"/>
          <w:sz w:val="24"/>
          <w:szCs w:val="24"/>
        </w:rPr>
        <w:t xml:space="preserve"> 12(2) applies</w:t>
      </w:r>
      <w:r w:rsidR="00F511AB">
        <w:rPr>
          <w:rFonts w:ascii="Times New Roman" w:hAnsi="Times New Roman"/>
          <w:sz w:val="24"/>
          <w:szCs w:val="24"/>
        </w:rPr>
        <w:t xml:space="preserve"> to</w:t>
      </w:r>
      <w:r w:rsidRPr="00861DCD">
        <w:rPr>
          <w:rFonts w:ascii="Times New Roman" w:hAnsi="Times New Roman"/>
          <w:sz w:val="24"/>
          <w:szCs w:val="24"/>
        </w:rPr>
        <w:t>, and (b) whose name is kept on a register kept by the Min</w:t>
      </w:r>
      <w:r w:rsidR="00C970CF">
        <w:rPr>
          <w:rFonts w:ascii="Times New Roman" w:hAnsi="Times New Roman"/>
          <w:sz w:val="24"/>
          <w:szCs w:val="24"/>
        </w:rPr>
        <w:t>i</w:t>
      </w:r>
      <w:r w:rsidRPr="00861DCD">
        <w:rPr>
          <w:rFonts w:ascii="Times New Roman" w:hAnsi="Times New Roman"/>
          <w:sz w:val="24"/>
          <w:szCs w:val="24"/>
        </w:rPr>
        <w:t xml:space="preserve">ster for the purposes of section 183 of the Act’. </w:t>
      </w:r>
    </w:p>
    <w:p w:rsidR="007F029E" w:rsidRDefault="007F029E" w:rsidP="007F029E">
      <w:pPr>
        <w:pStyle w:val="ListParagraph"/>
        <w:spacing w:before="240" w:after="0" w:line="240" w:lineRule="auto"/>
        <w:ind w:left="0"/>
        <w:contextualSpacing w:val="0"/>
        <w:rPr>
          <w:rFonts w:ascii="Times New Roman" w:hAnsi="Times New Roman"/>
          <w:sz w:val="24"/>
          <w:szCs w:val="24"/>
        </w:rPr>
      </w:pPr>
      <w:r>
        <w:rPr>
          <w:rFonts w:ascii="Times New Roman" w:hAnsi="Times New Roman"/>
          <w:sz w:val="24"/>
          <w:szCs w:val="24"/>
        </w:rPr>
        <w:t xml:space="preserve">This legislative instrument makes two changes to </w:t>
      </w:r>
      <w:proofErr w:type="spellStart"/>
      <w:r>
        <w:rPr>
          <w:rFonts w:ascii="Times New Roman" w:hAnsi="Times New Roman"/>
          <w:sz w:val="24"/>
          <w:szCs w:val="24"/>
        </w:rPr>
        <w:t>subregulation</w:t>
      </w:r>
      <w:proofErr w:type="spellEnd"/>
      <w:r>
        <w:rPr>
          <w:rFonts w:ascii="Times New Roman" w:hAnsi="Times New Roman"/>
          <w:sz w:val="24"/>
          <w:szCs w:val="24"/>
        </w:rPr>
        <w:t xml:space="preserve"> 12(1) of the POC Regulations. </w:t>
      </w:r>
    </w:p>
    <w:p w:rsidR="007F029E" w:rsidRPr="005315F0" w:rsidRDefault="007F029E" w:rsidP="007F029E">
      <w:pPr>
        <w:pStyle w:val="ListParagraph"/>
        <w:spacing w:before="240" w:after="0" w:line="240" w:lineRule="auto"/>
        <w:ind w:left="0"/>
        <w:contextualSpacing w:val="0"/>
        <w:rPr>
          <w:rFonts w:ascii="Times New Roman" w:hAnsi="Times New Roman"/>
          <w:sz w:val="24"/>
          <w:szCs w:val="24"/>
        </w:rPr>
      </w:pPr>
      <w:r w:rsidRPr="005315F0">
        <w:rPr>
          <w:rFonts w:ascii="Times New Roman" w:hAnsi="Times New Roman"/>
          <w:sz w:val="24"/>
          <w:szCs w:val="24"/>
        </w:rPr>
        <w:t>Firstly, the existing requir</w:t>
      </w:r>
      <w:r w:rsidR="00F511AB">
        <w:rPr>
          <w:rFonts w:ascii="Times New Roman" w:hAnsi="Times New Roman"/>
          <w:sz w:val="24"/>
          <w:szCs w:val="24"/>
        </w:rPr>
        <w:t xml:space="preserve">ement in </w:t>
      </w:r>
      <w:proofErr w:type="spellStart"/>
      <w:r w:rsidR="00F511AB">
        <w:rPr>
          <w:rFonts w:ascii="Times New Roman" w:hAnsi="Times New Roman"/>
          <w:sz w:val="24"/>
          <w:szCs w:val="24"/>
        </w:rPr>
        <w:t>subregulation</w:t>
      </w:r>
      <w:proofErr w:type="spellEnd"/>
      <w:r w:rsidR="00F511AB">
        <w:rPr>
          <w:rFonts w:ascii="Times New Roman" w:hAnsi="Times New Roman"/>
          <w:sz w:val="24"/>
          <w:szCs w:val="24"/>
        </w:rPr>
        <w:t xml:space="preserve"> 12(1</w:t>
      </w:r>
      <w:proofErr w:type="gramStart"/>
      <w:r w:rsidR="00F511AB">
        <w:rPr>
          <w:rFonts w:ascii="Times New Roman" w:hAnsi="Times New Roman"/>
          <w:sz w:val="24"/>
          <w:szCs w:val="24"/>
        </w:rPr>
        <w:t>)(</w:t>
      </w:r>
      <w:proofErr w:type="gramEnd"/>
      <w:r w:rsidR="00F511AB">
        <w:rPr>
          <w:rFonts w:ascii="Times New Roman" w:hAnsi="Times New Roman"/>
          <w:sz w:val="24"/>
          <w:szCs w:val="24"/>
        </w:rPr>
        <w:t>b)</w:t>
      </w:r>
      <w:r w:rsidRPr="005315F0">
        <w:rPr>
          <w:rFonts w:ascii="Times New Roman" w:hAnsi="Times New Roman"/>
          <w:sz w:val="24"/>
          <w:szCs w:val="24"/>
        </w:rPr>
        <w:t xml:space="preserve"> that the Minister keep a register of names of persons that are approved examiners for the purposes of section 183 of the POC Act is being repealed. This change follows a review of the existing register which identified inaccuracies and redundancies. As a result a new administrative process for listing approved examiners </w:t>
      </w:r>
      <w:r>
        <w:rPr>
          <w:rFonts w:ascii="Times New Roman" w:hAnsi="Times New Roman"/>
          <w:sz w:val="24"/>
          <w:szCs w:val="24"/>
        </w:rPr>
        <w:t>has been</w:t>
      </w:r>
      <w:r w:rsidRPr="005315F0">
        <w:rPr>
          <w:rFonts w:ascii="Times New Roman" w:hAnsi="Times New Roman"/>
          <w:sz w:val="24"/>
          <w:szCs w:val="24"/>
        </w:rPr>
        <w:t xml:space="preserve"> developed.  This process includes a key role for the Attorney-General’s Department Register of Authorised Persons for Warrants and Other Functions (RAPWOF). The RAPWOF was established in 2014, and holds information about federal judges and Administrative Appeals Tribunal (AAT) members authorised by the Attorney</w:t>
      </w:r>
      <w:r w:rsidRPr="005315F0">
        <w:rPr>
          <w:rFonts w:ascii="Times New Roman" w:hAnsi="Times New Roman"/>
          <w:sz w:val="24"/>
          <w:szCs w:val="24"/>
        </w:rPr>
        <w:noBreakHyphen/>
        <w:t>General or the Minister for Justice to undertake a range of personal functions under Commonwealth legislation, including the POC Act. As an online system accessible by key agencies, the RAPWOF facilitates greater monitoring of content and making it a more reliable vehicle to mainta</w:t>
      </w:r>
      <w:r>
        <w:rPr>
          <w:rFonts w:ascii="Times New Roman" w:hAnsi="Times New Roman"/>
          <w:sz w:val="24"/>
          <w:szCs w:val="24"/>
        </w:rPr>
        <w:t>in a list of approved examiners</w:t>
      </w:r>
      <w:r w:rsidRPr="005315F0">
        <w:rPr>
          <w:rFonts w:ascii="Times New Roman" w:hAnsi="Times New Roman"/>
          <w:sz w:val="24"/>
          <w:szCs w:val="24"/>
        </w:rPr>
        <w:t xml:space="preserve">. Removing the specific legislative requirement in </w:t>
      </w:r>
      <w:proofErr w:type="spellStart"/>
      <w:r w:rsidRPr="005315F0">
        <w:rPr>
          <w:rFonts w:ascii="Times New Roman" w:hAnsi="Times New Roman"/>
          <w:sz w:val="24"/>
          <w:szCs w:val="24"/>
        </w:rPr>
        <w:t>subregulation</w:t>
      </w:r>
      <w:proofErr w:type="spellEnd"/>
      <w:r w:rsidRPr="005315F0">
        <w:rPr>
          <w:rFonts w:ascii="Times New Roman" w:hAnsi="Times New Roman"/>
          <w:sz w:val="24"/>
          <w:szCs w:val="24"/>
        </w:rPr>
        <w:t> 12(1</w:t>
      </w:r>
      <w:proofErr w:type="gramStart"/>
      <w:r w:rsidRPr="005315F0">
        <w:rPr>
          <w:rFonts w:ascii="Times New Roman" w:hAnsi="Times New Roman"/>
          <w:sz w:val="24"/>
          <w:szCs w:val="24"/>
        </w:rPr>
        <w:t>)(</w:t>
      </w:r>
      <w:proofErr w:type="gramEnd"/>
      <w:r w:rsidRPr="005315F0">
        <w:rPr>
          <w:rFonts w:ascii="Times New Roman" w:hAnsi="Times New Roman"/>
          <w:sz w:val="24"/>
          <w:szCs w:val="24"/>
        </w:rPr>
        <w:t>b) to maintain a separate register will accordingly reduce duplication in processes while maintaining an up-to-date and accessible source of information for law enforcement.</w:t>
      </w:r>
    </w:p>
    <w:p w:rsidR="007F029E" w:rsidRDefault="007F029E" w:rsidP="007F029E">
      <w:pPr>
        <w:pStyle w:val="ListParagraph"/>
        <w:spacing w:before="240" w:after="0" w:line="240" w:lineRule="auto"/>
        <w:ind w:left="0"/>
        <w:contextualSpacing w:val="0"/>
        <w:rPr>
          <w:rFonts w:ascii="Times New Roman" w:hAnsi="Times New Roman"/>
          <w:sz w:val="24"/>
          <w:szCs w:val="24"/>
        </w:rPr>
      </w:pPr>
      <w:r>
        <w:rPr>
          <w:rFonts w:ascii="Times New Roman" w:hAnsi="Times New Roman"/>
          <w:sz w:val="24"/>
          <w:szCs w:val="24"/>
        </w:rPr>
        <w:lastRenderedPageBreak/>
        <w:t xml:space="preserve">Secondly, this legislative instrument will make a minor technical amendment to remove a redundant reference </w:t>
      </w:r>
      <w:r w:rsidRPr="00372942">
        <w:rPr>
          <w:rFonts w:ascii="Times New Roman" w:hAnsi="Times New Roman"/>
          <w:sz w:val="24"/>
          <w:szCs w:val="24"/>
        </w:rPr>
        <w:t xml:space="preserve">to subsection 183(4) of the </w:t>
      </w:r>
      <w:r>
        <w:rPr>
          <w:rFonts w:ascii="Times New Roman" w:hAnsi="Times New Roman"/>
          <w:sz w:val="24"/>
          <w:szCs w:val="24"/>
        </w:rPr>
        <w:t xml:space="preserve">POC </w:t>
      </w:r>
      <w:r w:rsidRPr="00372942">
        <w:rPr>
          <w:rFonts w:ascii="Times New Roman" w:hAnsi="Times New Roman"/>
          <w:sz w:val="24"/>
          <w:szCs w:val="24"/>
        </w:rPr>
        <w:t xml:space="preserve">Act from </w:t>
      </w:r>
      <w:proofErr w:type="spellStart"/>
      <w:r w:rsidRPr="00372942">
        <w:rPr>
          <w:rFonts w:ascii="Times New Roman" w:hAnsi="Times New Roman"/>
          <w:sz w:val="24"/>
          <w:szCs w:val="24"/>
        </w:rPr>
        <w:t>subregulation</w:t>
      </w:r>
      <w:proofErr w:type="spellEnd"/>
      <w:r w:rsidRPr="00372942">
        <w:rPr>
          <w:rFonts w:ascii="Times New Roman" w:hAnsi="Times New Roman"/>
          <w:sz w:val="24"/>
          <w:szCs w:val="24"/>
        </w:rPr>
        <w:t xml:space="preserve"> 12(1) and replace it with the relevant reference to new subsection 183(5) of the POC Act. </w:t>
      </w:r>
      <w:r>
        <w:rPr>
          <w:rFonts w:ascii="Times New Roman" w:hAnsi="Times New Roman"/>
          <w:sz w:val="24"/>
          <w:szCs w:val="24"/>
        </w:rPr>
        <w:t xml:space="preserve"> This amendment is consequential to the amendments made by the POC Act to the </w:t>
      </w:r>
      <w:r w:rsidRPr="006600DD">
        <w:rPr>
          <w:rFonts w:ascii="Times New Roman" w:hAnsi="Times New Roman"/>
          <w:i/>
          <w:sz w:val="24"/>
          <w:szCs w:val="24"/>
        </w:rPr>
        <w:t>Crimes Legislation Amendment (Powers, Offences and Other Measures) Act 2015</w:t>
      </w:r>
      <w:r>
        <w:rPr>
          <w:rFonts w:ascii="Times New Roman" w:hAnsi="Times New Roman"/>
          <w:sz w:val="24"/>
          <w:szCs w:val="24"/>
        </w:rPr>
        <w:t>.</w:t>
      </w:r>
    </w:p>
    <w:p w:rsidR="007F029E" w:rsidRPr="00FB15D1" w:rsidRDefault="007F029E" w:rsidP="007F029E">
      <w:pPr>
        <w:pStyle w:val="ListParagraph"/>
        <w:spacing w:before="240" w:after="0" w:line="240" w:lineRule="auto"/>
        <w:ind w:left="0"/>
        <w:contextualSpacing w:val="0"/>
        <w:rPr>
          <w:rFonts w:ascii="Times New Roman" w:hAnsi="Times New Roman"/>
          <w:i/>
          <w:sz w:val="24"/>
          <w:szCs w:val="24"/>
        </w:rPr>
      </w:pPr>
      <w:r w:rsidRPr="00FB15D1">
        <w:rPr>
          <w:rFonts w:ascii="Times New Roman" w:eastAsia="Times New Roman" w:hAnsi="Times New Roman"/>
          <w:sz w:val="24"/>
          <w:szCs w:val="24"/>
          <w:u w:val="single"/>
          <w:lang w:eastAsia="en-AU"/>
        </w:rPr>
        <w:t xml:space="preserve">Updating list of state and territory laws </w:t>
      </w:r>
    </w:p>
    <w:p w:rsidR="007F029E" w:rsidRPr="00FB15D1" w:rsidRDefault="007F029E" w:rsidP="007F029E">
      <w:pPr>
        <w:pStyle w:val="ListParagraph"/>
        <w:spacing w:before="240" w:after="0" w:line="240" w:lineRule="auto"/>
        <w:ind w:left="0"/>
        <w:contextualSpacing w:val="0"/>
        <w:rPr>
          <w:rFonts w:ascii="Times New Roman" w:hAnsi="Times New Roman"/>
          <w:sz w:val="24"/>
          <w:szCs w:val="24"/>
        </w:rPr>
      </w:pPr>
      <w:r w:rsidRPr="00FB15D1">
        <w:rPr>
          <w:rFonts w:ascii="Times New Roman" w:hAnsi="Times New Roman"/>
          <w:sz w:val="24"/>
          <w:szCs w:val="24"/>
        </w:rPr>
        <w:t>In addition to the Commonwealth POC Act, each state and territory has laws governing the proceeds of crime schemes for their respective jurisdictions. To assist effective coordination between the Commonwealth’s proceed of crime scheme and state and territory schemes, the POC Act establishes a mechanism for the recognition and enforcement of POC orders made under state and territory laws. The POC Act provides that the POC Regulations may prescribe state and territory laws to be ‘corresponding laws’. The Act also provides for orders made under these state and territory laws to be listed in the POC Regulations.  These orders, which are similar to the type of orders made available under the POC Act, are listed in the POC Regulations as either:</w:t>
      </w:r>
    </w:p>
    <w:p w:rsidR="007F029E" w:rsidRPr="00FB15D1" w:rsidRDefault="007F029E" w:rsidP="007F029E">
      <w:pPr>
        <w:pStyle w:val="ListParagraph"/>
        <w:numPr>
          <w:ilvl w:val="0"/>
          <w:numId w:val="4"/>
        </w:numPr>
        <w:spacing w:before="120"/>
        <w:contextualSpacing w:val="0"/>
        <w:rPr>
          <w:rFonts w:ascii="Times New Roman" w:hAnsi="Times New Roman"/>
          <w:sz w:val="24"/>
          <w:szCs w:val="24"/>
        </w:rPr>
      </w:pPr>
      <w:r w:rsidRPr="00FB15D1">
        <w:rPr>
          <w:rFonts w:ascii="Times New Roman" w:hAnsi="Times New Roman"/>
          <w:sz w:val="24"/>
          <w:szCs w:val="24"/>
        </w:rPr>
        <w:t xml:space="preserve">interstate forfeiture orders (Regulation 5) </w:t>
      </w:r>
    </w:p>
    <w:p w:rsidR="007F029E" w:rsidRPr="00FB15D1" w:rsidRDefault="007F029E" w:rsidP="007F029E">
      <w:pPr>
        <w:pStyle w:val="ListParagraph"/>
        <w:numPr>
          <w:ilvl w:val="0"/>
          <w:numId w:val="4"/>
        </w:numPr>
        <w:spacing w:before="120"/>
        <w:contextualSpacing w:val="0"/>
        <w:rPr>
          <w:rFonts w:ascii="Times New Roman" w:hAnsi="Times New Roman"/>
          <w:sz w:val="24"/>
          <w:szCs w:val="24"/>
        </w:rPr>
      </w:pPr>
      <w:r w:rsidRPr="00FB15D1">
        <w:rPr>
          <w:rFonts w:ascii="Times New Roman" w:hAnsi="Times New Roman"/>
          <w:sz w:val="24"/>
          <w:szCs w:val="24"/>
        </w:rPr>
        <w:t>interstate pecuniary penalty orders (Regulation 6), or</w:t>
      </w:r>
    </w:p>
    <w:p w:rsidR="007F029E" w:rsidRPr="00FB15D1" w:rsidRDefault="007F029E" w:rsidP="007F029E">
      <w:pPr>
        <w:pStyle w:val="ListParagraph"/>
        <w:numPr>
          <w:ilvl w:val="0"/>
          <w:numId w:val="4"/>
        </w:numPr>
        <w:spacing w:before="120"/>
        <w:contextualSpacing w:val="0"/>
        <w:rPr>
          <w:rFonts w:ascii="Times New Roman" w:hAnsi="Times New Roman"/>
          <w:sz w:val="24"/>
          <w:szCs w:val="24"/>
        </w:rPr>
      </w:pPr>
      <w:proofErr w:type="gramStart"/>
      <w:r w:rsidRPr="00FB15D1">
        <w:rPr>
          <w:rFonts w:ascii="Times New Roman" w:hAnsi="Times New Roman"/>
          <w:sz w:val="24"/>
          <w:szCs w:val="24"/>
        </w:rPr>
        <w:t>interstate</w:t>
      </w:r>
      <w:proofErr w:type="gramEnd"/>
      <w:r w:rsidRPr="00FB15D1">
        <w:rPr>
          <w:rFonts w:ascii="Times New Roman" w:hAnsi="Times New Roman"/>
          <w:sz w:val="24"/>
          <w:szCs w:val="24"/>
        </w:rPr>
        <w:t xml:space="preserve"> restraining orders (Regulation 7).  </w:t>
      </w:r>
    </w:p>
    <w:p w:rsidR="007F029E" w:rsidRPr="00FB15D1" w:rsidRDefault="007F029E" w:rsidP="007F029E">
      <w:pPr>
        <w:pStyle w:val="ListParagraph"/>
        <w:spacing w:before="240" w:after="0" w:line="240" w:lineRule="auto"/>
        <w:ind w:left="0"/>
        <w:contextualSpacing w:val="0"/>
        <w:rPr>
          <w:rFonts w:ascii="Times New Roman" w:hAnsi="Times New Roman"/>
          <w:sz w:val="24"/>
          <w:szCs w:val="24"/>
        </w:rPr>
      </w:pPr>
      <w:r w:rsidRPr="00FB15D1">
        <w:rPr>
          <w:rFonts w:ascii="Times New Roman" w:hAnsi="Times New Roman"/>
          <w:sz w:val="24"/>
          <w:szCs w:val="24"/>
        </w:rPr>
        <w:t>Prescribing relevant state or territory laws and orders ensures that:</w:t>
      </w:r>
    </w:p>
    <w:p w:rsidR="007F029E" w:rsidRPr="00FB15D1" w:rsidRDefault="007F029E" w:rsidP="007F029E">
      <w:pPr>
        <w:pStyle w:val="ListParagraph"/>
        <w:numPr>
          <w:ilvl w:val="0"/>
          <w:numId w:val="4"/>
        </w:numPr>
        <w:spacing w:before="120"/>
        <w:contextualSpacing w:val="0"/>
        <w:rPr>
          <w:rFonts w:ascii="Times New Roman" w:hAnsi="Times New Roman"/>
          <w:sz w:val="24"/>
          <w:szCs w:val="24"/>
        </w:rPr>
      </w:pPr>
      <w:r w:rsidRPr="00FB15D1">
        <w:rPr>
          <w:rFonts w:ascii="Times New Roman" w:hAnsi="Times New Roman"/>
          <w:sz w:val="24"/>
          <w:szCs w:val="24"/>
        </w:rPr>
        <w:t>where a court makes an order in a Commonwealth proceeding, that the court must take into account the effect of any interstate proceeds of crime orders that have already been made (sections 303 and 309), and</w:t>
      </w:r>
    </w:p>
    <w:p w:rsidR="007F029E" w:rsidRPr="00FB15D1" w:rsidRDefault="007F029E" w:rsidP="007F029E">
      <w:pPr>
        <w:pStyle w:val="ListParagraph"/>
        <w:numPr>
          <w:ilvl w:val="0"/>
          <w:numId w:val="4"/>
        </w:numPr>
        <w:spacing w:before="120"/>
        <w:contextualSpacing w:val="0"/>
        <w:rPr>
          <w:rFonts w:ascii="Times New Roman" w:hAnsi="Times New Roman"/>
          <w:sz w:val="24"/>
          <w:szCs w:val="24"/>
        </w:rPr>
      </w:pPr>
      <w:proofErr w:type="gramStart"/>
      <w:r w:rsidRPr="00FB15D1">
        <w:rPr>
          <w:rFonts w:ascii="Times New Roman" w:hAnsi="Times New Roman"/>
          <w:sz w:val="24"/>
          <w:szCs w:val="24"/>
        </w:rPr>
        <w:t>where</w:t>
      </w:r>
      <w:proofErr w:type="gramEnd"/>
      <w:r w:rsidRPr="00FB15D1">
        <w:rPr>
          <w:rFonts w:ascii="Times New Roman" w:hAnsi="Times New Roman"/>
          <w:sz w:val="24"/>
          <w:szCs w:val="24"/>
        </w:rPr>
        <w:t xml:space="preserve"> interstate forfeiture or restraining orders apply to property in a non-governing territory,  they may be registered in that territory’s Supreme Court and enforced as if they had been made under the POC Act</w:t>
      </w:r>
      <w:r>
        <w:rPr>
          <w:rFonts w:ascii="Times New Roman" w:hAnsi="Times New Roman"/>
          <w:sz w:val="24"/>
          <w:szCs w:val="24"/>
        </w:rPr>
        <w:t xml:space="preserve"> </w:t>
      </w:r>
      <w:r w:rsidRPr="00FB15D1">
        <w:rPr>
          <w:rFonts w:ascii="Times New Roman" w:hAnsi="Times New Roman"/>
          <w:sz w:val="24"/>
          <w:szCs w:val="24"/>
        </w:rPr>
        <w:t xml:space="preserve">(section 307). </w:t>
      </w:r>
    </w:p>
    <w:p w:rsidR="007F029E" w:rsidRDefault="007F029E" w:rsidP="007F029E">
      <w:pPr>
        <w:pStyle w:val="ListParagraph"/>
        <w:spacing w:before="240" w:after="0" w:line="240" w:lineRule="auto"/>
        <w:ind w:left="0"/>
        <w:contextualSpacing w:val="0"/>
        <w:rPr>
          <w:rFonts w:ascii="Times New Roman" w:hAnsi="Times New Roman"/>
          <w:sz w:val="24"/>
          <w:szCs w:val="24"/>
        </w:rPr>
      </w:pPr>
      <w:r w:rsidRPr="00FB15D1">
        <w:rPr>
          <w:rFonts w:ascii="Times New Roman" w:hAnsi="Times New Roman"/>
          <w:sz w:val="24"/>
          <w:szCs w:val="24"/>
        </w:rPr>
        <w:t xml:space="preserve">The state and territory orders listed as ‘interstate forfeiture orders’, ‘interstate pecuniary penalty orders’ and ‘interstate restraining orders’ was last updated in 2014. Since that time new proceeds of crime orders and confiscation orders have been introduced in the states and territories. For example, Victoria enacted a ‘serious drug offender’ scheme and an ‘unexplained wealth’ scheme in 2014. Restraining and forfeiture orders made available under these schemes are not currently listed in the POC Regulations, and cannot therefore be recognised and enforced under the POC Act. </w:t>
      </w:r>
    </w:p>
    <w:p w:rsidR="007F029E" w:rsidRPr="007F029E" w:rsidRDefault="007F029E" w:rsidP="007F029E">
      <w:pPr>
        <w:pStyle w:val="ListParagraph"/>
        <w:spacing w:before="240" w:after="0" w:line="240" w:lineRule="auto"/>
        <w:ind w:left="0"/>
        <w:contextualSpacing w:val="0"/>
        <w:rPr>
          <w:rFonts w:ascii="Times New Roman" w:hAnsi="Times New Roman"/>
          <w:sz w:val="24"/>
          <w:szCs w:val="24"/>
        </w:rPr>
      </w:pPr>
      <w:r w:rsidRPr="007F029E">
        <w:rPr>
          <w:rFonts w:ascii="Times New Roman" w:hAnsi="Times New Roman"/>
          <w:sz w:val="24"/>
          <w:szCs w:val="24"/>
        </w:rPr>
        <w:t xml:space="preserve">This legislative instrument updates the list of laws and orders in the POC Regulations to include references to confiscation orders recently introduced by Victoria and the Northern Territory. This update does not affect the making of any order under the POC Act nor does the instrument change the conduct of any proceeding under the Act. </w:t>
      </w:r>
    </w:p>
    <w:p w:rsidR="007F029E" w:rsidRDefault="007F029E" w:rsidP="007F029E">
      <w:pPr>
        <w:spacing w:before="240" w:after="0" w:line="240" w:lineRule="auto"/>
        <w:rPr>
          <w:rFonts w:ascii="Times New Roman" w:hAnsi="Times New Roman"/>
          <w:sz w:val="24"/>
          <w:szCs w:val="24"/>
          <w:u w:val="single"/>
        </w:rPr>
      </w:pPr>
      <w:r>
        <w:rPr>
          <w:rFonts w:ascii="Times New Roman" w:hAnsi="Times New Roman"/>
          <w:sz w:val="24"/>
          <w:szCs w:val="24"/>
          <w:u w:val="single"/>
        </w:rPr>
        <w:t>Payments from the</w:t>
      </w:r>
      <w:r w:rsidRPr="00762626">
        <w:rPr>
          <w:rFonts w:ascii="Times New Roman" w:hAnsi="Times New Roman"/>
          <w:sz w:val="24"/>
          <w:szCs w:val="24"/>
          <w:u w:val="single"/>
        </w:rPr>
        <w:t xml:space="preserve"> Confiscated Assets Account </w:t>
      </w:r>
    </w:p>
    <w:p w:rsidR="007F029E" w:rsidRDefault="007F029E" w:rsidP="007F029E">
      <w:pPr>
        <w:spacing w:before="240" w:after="0" w:line="240" w:lineRule="auto"/>
        <w:rPr>
          <w:rFonts w:ascii="Times New Roman" w:hAnsi="Times New Roman"/>
          <w:sz w:val="24"/>
          <w:szCs w:val="24"/>
        </w:rPr>
      </w:pPr>
      <w:r>
        <w:rPr>
          <w:rFonts w:ascii="Times New Roman" w:hAnsi="Times New Roman"/>
          <w:sz w:val="24"/>
          <w:szCs w:val="24"/>
        </w:rPr>
        <w:t xml:space="preserve">Paragraph 297(1)(f) of the POC Act provides that paying the annual management fee of the Official Trustee of the Confiscated Assets Account is one of the purposes of this Account. </w:t>
      </w:r>
      <w:r>
        <w:rPr>
          <w:rFonts w:ascii="Times New Roman" w:hAnsi="Times New Roman"/>
          <w:sz w:val="24"/>
          <w:szCs w:val="24"/>
        </w:rPr>
        <w:lastRenderedPageBreak/>
        <w:t>This legislative instrument increases the annual management fee under Regulation 17 of the POC Regulations from $22,000 to $272,</w:t>
      </w:r>
      <w:r w:rsidR="00C970CF">
        <w:rPr>
          <w:rFonts w:ascii="Times New Roman" w:hAnsi="Times New Roman"/>
          <w:sz w:val="24"/>
          <w:szCs w:val="24"/>
        </w:rPr>
        <w:t>5</w:t>
      </w:r>
      <w:r>
        <w:rPr>
          <w:rFonts w:ascii="Times New Roman" w:hAnsi="Times New Roman"/>
          <w:sz w:val="24"/>
          <w:szCs w:val="24"/>
        </w:rPr>
        <w:t>00</w:t>
      </w:r>
      <w:r w:rsidR="00C970CF">
        <w:rPr>
          <w:rFonts w:ascii="Times New Roman" w:hAnsi="Times New Roman"/>
          <w:sz w:val="24"/>
          <w:szCs w:val="24"/>
        </w:rPr>
        <w:t xml:space="preserve"> (indexed annually)</w:t>
      </w:r>
      <w:r>
        <w:rPr>
          <w:rFonts w:ascii="Times New Roman" w:hAnsi="Times New Roman"/>
          <w:sz w:val="24"/>
          <w:szCs w:val="24"/>
        </w:rPr>
        <w:t xml:space="preserve">. This change is necessary as the annual management fee has remained unchanged since 2004 and the balance and complexity of the assets held in the account have increased significantly since this fee was last updated. </w:t>
      </w:r>
    </w:p>
    <w:p w:rsidR="007F029E" w:rsidRPr="007F029E" w:rsidRDefault="007F029E" w:rsidP="007F029E">
      <w:pPr>
        <w:spacing w:before="240" w:after="0" w:line="240" w:lineRule="auto"/>
        <w:rPr>
          <w:rFonts w:ascii="Times New Roman" w:hAnsi="Times New Roman"/>
          <w:sz w:val="24"/>
          <w:szCs w:val="24"/>
          <w:u w:val="single"/>
        </w:rPr>
      </w:pPr>
      <w:r>
        <w:rPr>
          <w:rFonts w:ascii="Times New Roman" w:hAnsi="Times New Roman"/>
          <w:sz w:val="24"/>
          <w:szCs w:val="24"/>
        </w:rPr>
        <w:t>This legislative instrument also increases the rate of remuneration of the Official Trustee under Regulation 15 to align with the current remuneration rate in bankruptcy matters, as the current rate of remuneration was not amended when the bankruptcy rate was increased in 2013.</w:t>
      </w:r>
    </w:p>
    <w:p w:rsidR="007F029E" w:rsidRPr="002708DE" w:rsidRDefault="007F029E" w:rsidP="007F029E">
      <w:pPr>
        <w:spacing w:before="240" w:after="0" w:line="240" w:lineRule="auto"/>
        <w:rPr>
          <w:rFonts w:ascii="Times New Roman" w:hAnsi="Times New Roman"/>
          <w:b/>
          <w:sz w:val="24"/>
          <w:szCs w:val="24"/>
        </w:rPr>
      </w:pPr>
      <w:r w:rsidRPr="002708DE">
        <w:rPr>
          <w:rFonts w:ascii="Times New Roman" w:hAnsi="Times New Roman"/>
          <w:b/>
          <w:sz w:val="24"/>
          <w:szCs w:val="24"/>
        </w:rPr>
        <w:t>Human rights implications</w:t>
      </w:r>
    </w:p>
    <w:p w:rsidR="007F029E" w:rsidRDefault="007F029E" w:rsidP="007F029E">
      <w:pPr>
        <w:pStyle w:val="ListParagraph"/>
        <w:spacing w:before="240" w:after="0" w:line="240" w:lineRule="auto"/>
        <w:ind w:left="0"/>
        <w:rPr>
          <w:rFonts w:ascii="Times New Roman" w:hAnsi="Times New Roman"/>
          <w:sz w:val="24"/>
          <w:szCs w:val="24"/>
        </w:rPr>
      </w:pPr>
      <w:r>
        <w:rPr>
          <w:rFonts w:ascii="Times New Roman" w:hAnsi="Times New Roman"/>
          <w:sz w:val="24"/>
          <w:szCs w:val="24"/>
        </w:rPr>
        <w:t xml:space="preserve">This legislative instrument engages the following rights: </w:t>
      </w:r>
    </w:p>
    <w:p w:rsidR="007F029E" w:rsidRPr="009961F5" w:rsidRDefault="007F029E" w:rsidP="007F029E">
      <w:pPr>
        <w:pStyle w:val="ListParagraph"/>
        <w:spacing w:after="0" w:line="240" w:lineRule="auto"/>
        <w:rPr>
          <w:rFonts w:ascii="Times New Roman" w:hAnsi="Times New Roman"/>
          <w:sz w:val="16"/>
          <w:szCs w:val="16"/>
        </w:rPr>
      </w:pPr>
    </w:p>
    <w:p w:rsidR="007F029E" w:rsidRDefault="007F029E" w:rsidP="007F029E">
      <w:pPr>
        <w:pStyle w:val="ListParagraph"/>
        <w:numPr>
          <w:ilvl w:val="0"/>
          <w:numId w:val="6"/>
        </w:numPr>
        <w:spacing w:after="0" w:line="240" w:lineRule="auto"/>
        <w:ind w:left="715" w:hanging="431"/>
        <w:rPr>
          <w:rFonts w:ascii="Times New Roman" w:hAnsi="Times New Roman"/>
          <w:sz w:val="24"/>
          <w:szCs w:val="24"/>
        </w:rPr>
      </w:pPr>
      <w:r w:rsidRPr="00BB4E3D">
        <w:rPr>
          <w:rFonts w:ascii="Times New Roman" w:hAnsi="Times New Roman"/>
          <w:sz w:val="24"/>
          <w:szCs w:val="24"/>
        </w:rPr>
        <w:t xml:space="preserve">the right to a fair hearing under Article 14 of the </w:t>
      </w:r>
      <w:r w:rsidRPr="00BB4E3D">
        <w:rPr>
          <w:rFonts w:ascii="Times New Roman" w:hAnsi="Times New Roman"/>
          <w:i/>
          <w:sz w:val="24"/>
          <w:szCs w:val="24"/>
        </w:rPr>
        <w:t>International Covenant on Civil and Political Rights</w:t>
      </w:r>
      <w:r w:rsidRPr="00BB4E3D">
        <w:rPr>
          <w:rFonts w:ascii="Times New Roman" w:hAnsi="Times New Roman"/>
          <w:sz w:val="24"/>
          <w:szCs w:val="24"/>
        </w:rPr>
        <w:t xml:space="preserve"> (ICCPR), and</w:t>
      </w:r>
    </w:p>
    <w:p w:rsidR="007F029E" w:rsidRPr="00BB4E3D" w:rsidRDefault="007F029E" w:rsidP="007F029E">
      <w:pPr>
        <w:pStyle w:val="ListParagraph"/>
        <w:spacing w:after="0" w:line="240" w:lineRule="auto"/>
        <w:ind w:left="715"/>
        <w:rPr>
          <w:rFonts w:ascii="Times New Roman" w:hAnsi="Times New Roman"/>
          <w:sz w:val="10"/>
          <w:szCs w:val="10"/>
        </w:rPr>
      </w:pPr>
    </w:p>
    <w:p w:rsidR="007F029E" w:rsidRPr="00A37D41" w:rsidRDefault="007F029E" w:rsidP="007F029E">
      <w:pPr>
        <w:pStyle w:val="ListParagraph"/>
        <w:numPr>
          <w:ilvl w:val="0"/>
          <w:numId w:val="6"/>
        </w:numPr>
        <w:tabs>
          <w:tab w:val="left" w:pos="284"/>
        </w:tabs>
        <w:spacing w:before="120" w:line="240" w:lineRule="auto"/>
        <w:ind w:left="709" w:hanging="425"/>
        <w:rPr>
          <w:rFonts w:ascii="Times New Roman" w:hAnsi="Times New Roman"/>
          <w:sz w:val="24"/>
          <w:szCs w:val="24"/>
        </w:rPr>
      </w:pPr>
      <w:proofErr w:type="gramStart"/>
      <w:r>
        <w:rPr>
          <w:rFonts w:ascii="Times New Roman" w:hAnsi="Times New Roman"/>
          <w:sz w:val="24"/>
          <w:szCs w:val="24"/>
        </w:rPr>
        <w:t>t</w:t>
      </w:r>
      <w:r w:rsidRPr="00BB4E3D">
        <w:rPr>
          <w:rFonts w:ascii="Times New Roman" w:hAnsi="Times New Roman"/>
          <w:sz w:val="24"/>
          <w:szCs w:val="24"/>
        </w:rPr>
        <w:t>he</w:t>
      </w:r>
      <w:proofErr w:type="gramEnd"/>
      <w:r w:rsidRPr="00BB4E3D">
        <w:rPr>
          <w:rFonts w:ascii="Times New Roman" w:hAnsi="Times New Roman"/>
          <w:sz w:val="24"/>
          <w:szCs w:val="24"/>
        </w:rPr>
        <w:t xml:space="preserve"> right to privacy under </w:t>
      </w:r>
      <w:r>
        <w:rPr>
          <w:rFonts w:ascii="Times New Roman" w:hAnsi="Times New Roman"/>
          <w:sz w:val="24"/>
          <w:szCs w:val="24"/>
        </w:rPr>
        <w:t>Article</w:t>
      </w:r>
      <w:r w:rsidRPr="00BB4E3D">
        <w:rPr>
          <w:rFonts w:ascii="Times New Roman" w:hAnsi="Times New Roman"/>
          <w:sz w:val="24"/>
          <w:szCs w:val="24"/>
        </w:rPr>
        <w:t xml:space="preserve"> 17 of the ICCPR</w:t>
      </w:r>
      <w:r>
        <w:rPr>
          <w:rFonts w:ascii="Times New Roman" w:hAnsi="Times New Roman"/>
          <w:sz w:val="24"/>
          <w:szCs w:val="24"/>
        </w:rPr>
        <w:t>.</w:t>
      </w:r>
    </w:p>
    <w:p w:rsidR="007F029E" w:rsidRPr="002708DE" w:rsidRDefault="007F029E" w:rsidP="007F029E">
      <w:pPr>
        <w:spacing w:before="240" w:after="0" w:line="240" w:lineRule="auto"/>
        <w:rPr>
          <w:rFonts w:ascii="Times New Roman" w:hAnsi="Times New Roman"/>
          <w:sz w:val="24"/>
          <w:szCs w:val="24"/>
        </w:rPr>
      </w:pPr>
      <w:r w:rsidRPr="002708DE">
        <w:rPr>
          <w:rFonts w:ascii="Times New Roman" w:hAnsi="Times New Roman"/>
          <w:i/>
          <w:sz w:val="24"/>
          <w:szCs w:val="24"/>
        </w:rPr>
        <w:t xml:space="preserve">Right to a fair hearing </w:t>
      </w:r>
    </w:p>
    <w:p w:rsidR="007F029E" w:rsidRPr="00D1497A" w:rsidRDefault="007F029E" w:rsidP="007F029E">
      <w:pPr>
        <w:pStyle w:val="ListParagraph"/>
        <w:spacing w:before="240" w:after="0" w:line="240" w:lineRule="auto"/>
        <w:ind w:left="0"/>
        <w:rPr>
          <w:rFonts w:ascii="Times New Roman" w:hAnsi="Times New Roman"/>
          <w:sz w:val="24"/>
          <w:szCs w:val="24"/>
        </w:rPr>
      </w:pPr>
      <w:r w:rsidRPr="00D1497A">
        <w:rPr>
          <w:rFonts w:ascii="Times New Roman" w:hAnsi="Times New Roman"/>
          <w:sz w:val="24"/>
          <w:szCs w:val="24"/>
        </w:rPr>
        <w:t xml:space="preserve">Article 14 of </w:t>
      </w:r>
      <w:r>
        <w:rPr>
          <w:rFonts w:ascii="Times New Roman" w:hAnsi="Times New Roman"/>
          <w:sz w:val="24"/>
          <w:szCs w:val="24"/>
        </w:rPr>
        <w:t xml:space="preserve">the </w:t>
      </w:r>
      <w:r w:rsidRPr="00D1497A">
        <w:rPr>
          <w:rFonts w:ascii="Times New Roman" w:hAnsi="Times New Roman"/>
          <w:sz w:val="24"/>
          <w:szCs w:val="24"/>
        </w:rPr>
        <w:t xml:space="preserve">ICCPR provides two separate sets </w:t>
      </w:r>
      <w:r w:rsidR="00C970CF">
        <w:rPr>
          <w:rFonts w:ascii="Times New Roman" w:hAnsi="Times New Roman"/>
          <w:sz w:val="24"/>
          <w:szCs w:val="24"/>
        </w:rPr>
        <w:t>of obligations. Article 14, sub</w:t>
      </w:r>
      <w:r w:rsidRPr="00D1497A">
        <w:rPr>
          <w:rFonts w:ascii="Times New Roman" w:hAnsi="Times New Roman"/>
          <w:sz w:val="24"/>
          <w:szCs w:val="24"/>
        </w:rPr>
        <w:t xml:space="preserve">section (1) provides for the right to ‘a fair and public hearing by a competent, independent and impartial tribunal established by law’, both in the cases of a ‘criminal charge’ and the determination of one’s rights and obligations in ‘a suit at law’. </w:t>
      </w:r>
      <w:r w:rsidR="00C970CF">
        <w:rPr>
          <w:rFonts w:ascii="Times New Roman" w:hAnsi="Times New Roman"/>
          <w:sz w:val="24"/>
          <w:szCs w:val="24"/>
        </w:rPr>
        <w:t>Article 14, sub</w:t>
      </w:r>
      <w:r>
        <w:rPr>
          <w:rFonts w:ascii="Times New Roman" w:hAnsi="Times New Roman"/>
          <w:sz w:val="24"/>
          <w:szCs w:val="24"/>
        </w:rPr>
        <w:t>sections (2) to</w:t>
      </w:r>
      <w:r w:rsidR="00C970CF">
        <w:rPr>
          <w:rFonts w:ascii="Times New Roman" w:hAnsi="Times New Roman"/>
          <w:sz w:val="24"/>
          <w:szCs w:val="24"/>
        </w:rPr>
        <w:t xml:space="preserve"> </w:t>
      </w:r>
      <w:r w:rsidRPr="00D1497A">
        <w:rPr>
          <w:rFonts w:ascii="Times New Roman" w:hAnsi="Times New Roman"/>
          <w:sz w:val="24"/>
          <w:szCs w:val="24"/>
        </w:rPr>
        <w:t>(7) then provide the minimum guarantees which apply to criminal proceedings only</w:t>
      </w:r>
    </w:p>
    <w:p w:rsidR="007F029E" w:rsidRPr="00480184" w:rsidRDefault="007F029E" w:rsidP="007F029E">
      <w:pPr>
        <w:pStyle w:val="ListParagraph"/>
        <w:spacing w:before="240" w:after="0" w:line="240" w:lineRule="auto"/>
        <w:ind w:left="0"/>
        <w:contextualSpacing w:val="0"/>
        <w:rPr>
          <w:rFonts w:ascii="Times New Roman" w:hAnsi="Times New Roman"/>
          <w:sz w:val="24"/>
          <w:szCs w:val="24"/>
        </w:rPr>
      </w:pPr>
      <w:r w:rsidRPr="00480184">
        <w:rPr>
          <w:rFonts w:ascii="Times New Roman" w:hAnsi="Times New Roman"/>
          <w:sz w:val="24"/>
          <w:szCs w:val="24"/>
        </w:rPr>
        <w:t xml:space="preserve">Examinations under the </w:t>
      </w:r>
      <w:r>
        <w:rPr>
          <w:rFonts w:ascii="Times New Roman" w:hAnsi="Times New Roman"/>
          <w:sz w:val="24"/>
          <w:szCs w:val="24"/>
        </w:rPr>
        <w:t>POC</w:t>
      </w:r>
      <w:r w:rsidRPr="00480184">
        <w:rPr>
          <w:rFonts w:ascii="Times New Roman" w:hAnsi="Times New Roman"/>
          <w:sz w:val="24"/>
          <w:szCs w:val="24"/>
        </w:rPr>
        <w:t xml:space="preserve"> Act are informat</w:t>
      </w:r>
      <w:r>
        <w:rPr>
          <w:rFonts w:ascii="Times New Roman" w:hAnsi="Times New Roman"/>
          <w:sz w:val="24"/>
          <w:szCs w:val="24"/>
        </w:rPr>
        <w:t xml:space="preserve">ion gathering procedures that relate to civil proceedings that affect a person’s property rights. </w:t>
      </w:r>
      <w:proofErr w:type="gramStart"/>
      <w:r>
        <w:rPr>
          <w:rFonts w:ascii="Times New Roman" w:hAnsi="Times New Roman"/>
          <w:sz w:val="24"/>
          <w:szCs w:val="24"/>
        </w:rPr>
        <w:t>Neither an examination or</w:t>
      </w:r>
      <w:proofErr w:type="gramEnd"/>
      <w:r>
        <w:rPr>
          <w:rFonts w:ascii="Times New Roman" w:hAnsi="Times New Roman"/>
          <w:sz w:val="24"/>
          <w:szCs w:val="24"/>
        </w:rPr>
        <w:t xml:space="preserve"> subsequent civil proceeding under the POC Act involve</w:t>
      </w:r>
      <w:r w:rsidRPr="00480184">
        <w:rPr>
          <w:rFonts w:ascii="Times New Roman" w:hAnsi="Times New Roman"/>
          <w:sz w:val="24"/>
          <w:szCs w:val="24"/>
        </w:rPr>
        <w:t xml:space="preserve"> determinations being made of a person’s guilt or innocence</w:t>
      </w:r>
      <w:r>
        <w:rPr>
          <w:rFonts w:ascii="Times New Roman" w:hAnsi="Times New Roman"/>
          <w:sz w:val="24"/>
          <w:szCs w:val="24"/>
        </w:rPr>
        <w:t xml:space="preserve"> or the conferral of criminal liability</w:t>
      </w:r>
      <w:r w:rsidRPr="00480184">
        <w:rPr>
          <w:rFonts w:ascii="Times New Roman" w:hAnsi="Times New Roman"/>
          <w:sz w:val="24"/>
          <w:szCs w:val="24"/>
        </w:rPr>
        <w:t xml:space="preserve">. As such, </w:t>
      </w:r>
      <w:r>
        <w:rPr>
          <w:rFonts w:ascii="Times New Roman" w:hAnsi="Times New Roman"/>
          <w:sz w:val="24"/>
          <w:szCs w:val="24"/>
        </w:rPr>
        <w:t xml:space="preserve">the POC Act scheme </w:t>
      </w:r>
      <w:r w:rsidRPr="00480184">
        <w:rPr>
          <w:rFonts w:ascii="Times New Roman" w:hAnsi="Times New Roman"/>
          <w:sz w:val="24"/>
          <w:szCs w:val="24"/>
        </w:rPr>
        <w:t>engage</w:t>
      </w:r>
      <w:r>
        <w:rPr>
          <w:rFonts w:ascii="Times New Roman" w:hAnsi="Times New Roman"/>
          <w:sz w:val="24"/>
          <w:szCs w:val="24"/>
        </w:rPr>
        <w:t xml:space="preserve">s </w:t>
      </w:r>
      <w:r w:rsidRPr="00480184">
        <w:rPr>
          <w:rFonts w:ascii="Times New Roman" w:hAnsi="Times New Roman"/>
          <w:sz w:val="24"/>
          <w:szCs w:val="24"/>
        </w:rPr>
        <w:t>the fair trial rights provided for in Article 14</w:t>
      </w:r>
      <w:r>
        <w:rPr>
          <w:rFonts w:ascii="Times New Roman" w:hAnsi="Times New Roman"/>
          <w:sz w:val="24"/>
          <w:szCs w:val="24"/>
        </w:rPr>
        <w:t>(1) but not the guarantees conferred by Article 14, subsections (2) to (7)</w:t>
      </w:r>
      <w:r w:rsidRPr="00480184">
        <w:rPr>
          <w:rFonts w:ascii="Times New Roman" w:hAnsi="Times New Roman"/>
          <w:sz w:val="24"/>
          <w:szCs w:val="24"/>
        </w:rPr>
        <w:t xml:space="preserve">. </w:t>
      </w:r>
    </w:p>
    <w:p w:rsidR="007F029E" w:rsidRPr="00D1497A" w:rsidRDefault="007F029E" w:rsidP="007F029E">
      <w:pPr>
        <w:pStyle w:val="ListParagraph"/>
        <w:spacing w:before="240" w:after="0" w:line="240" w:lineRule="auto"/>
        <w:ind w:left="0"/>
        <w:contextualSpacing w:val="0"/>
        <w:rPr>
          <w:rFonts w:ascii="Times New Roman" w:hAnsi="Times New Roman"/>
          <w:i/>
          <w:sz w:val="24"/>
          <w:szCs w:val="24"/>
        </w:rPr>
      </w:pPr>
      <w:r w:rsidRPr="00CA13A4">
        <w:rPr>
          <w:rFonts w:ascii="Times New Roman" w:hAnsi="Times New Roman"/>
          <w:sz w:val="24"/>
          <w:szCs w:val="24"/>
        </w:rPr>
        <w:t xml:space="preserve">Examiners play a role in the process under the POC Act, which must, from the time action commences against an individual under the </w:t>
      </w:r>
      <w:r>
        <w:rPr>
          <w:rFonts w:ascii="Times New Roman" w:hAnsi="Times New Roman"/>
          <w:sz w:val="24"/>
          <w:szCs w:val="24"/>
        </w:rPr>
        <w:t>POC</w:t>
      </w:r>
      <w:r w:rsidRPr="00CA13A4">
        <w:rPr>
          <w:rFonts w:ascii="Times New Roman" w:hAnsi="Times New Roman"/>
          <w:sz w:val="24"/>
          <w:szCs w:val="24"/>
        </w:rPr>
        <w:t xml:space="preserve"> Act, constitute a ‘fai</w:t>
      </w:r>
      <w:r>
        <w:rPr>
          <w:rFonts w:ascii="Times New Roman" w:hAnsi="Times New Roman"/>
          <w:sz w:val="24"/>
          <w:szCs w:val="24"/>
        </w:rPr>
        <w:t>r’ hearing for the purposes of A</w:t>
      </w:r>
      <w:r w:rsidRPr="00CA13A4">
        <w:rPr>
          <w:rFonts w:ascii="Times New Roman" w:hAnsi="Times New Roman"/>
          <w:sz w:val="24"/>
          <w:szCs w:val="24"/>
        </w:rPr>
        <w:t>rticle 14(1)</w:t>
      </w:r>
      <w:r>
        <w:rPr>
          <w:rFonts w:ascii="Times New Roman" w:hAnsi="Times New Roman"/>
          <w:sz w:val="24"/>
          <w:szCs w:val="24"/>
        </w:rPr>
        <w:t xml:space="preserve"> of the ICCPR</w:t>
      </w:r>
      <w:r w:rsidRPr="00CA13A4">
        <w:rPr>
          <w:rFonts w:ascii="Times New Roman" w:hAnsi="Times New Roman"/>
          <w:sz w:val="24"/>
          <w:szCs w:val="24"/>
        </w:rPr>
        <w:t xml:space="preserve">. </w:t>
      </w:r>
      <w:r>
        <w:rPr>
          <w:rFonts w:ascii="Times New Roman" w:hAnsi="Times New Roman"/>
          <w:sz w:val="24"/>
          <w:szCs w:val="24"/>
        </w:rPr>
        <w:t xml:space="preserve">The POC Act includes safeguards that ensure that a person’s procedural rights are protected with respect to an examination and these safeguards are not affected by this Regulation. These safeguards include entitling the person subject to an examination notice to be accompanied by a lawyer (section 188), and entitling that lawyer to participate in, and be </w:t>
      </w:r>
      <w:r w:rsidRPr="00DA046B">
        <w:rPr>
          <w:rFonts w:ascii="Times New Roman" w:hAnsi="Times New Roman"/>
          <w:sz w:val="24"/>
          <w:szCs w:val="24"/>
        </w:rPr>
        <w:t>consulted during the</w:t>
      </w:r>
      <w:r>
        <w:rPr>
          <w:rFonts w:ascii="Times New Roman" w:hAnsi="Times New Roman"/>
          <w:sz w:val="24"/>
          <w:szCs w:val="24"/>
        </w:rPr>
        <w:t xml:space="preserve"> examination (subsection 189(1)).</w:t>
      </w:r>
      <w:r>
        <w:rPr>
          <w:rFonts w:ascii="Times New Roman" w:hAnsi="Times New Roman"/>
          <w:i/>
          <w:sz w:val="24"/>
          <w:szCs w:val="24"/>
        </w:rPr>
        <w:t xml:space="preserve"> </w:t>
      </w:r>
      <w:r>
        <w:rPr>
          <w:rFonts w:ascii="Times New Roman" w:hAnsi="Times New Roman"/>
          <w:sz w:val="24"/>
          <w:szCs w:val="24"/>
        </w:rPr>
        <w:t xml:space="preserve">The Regulation will </w:t>
      </w:r>
      <w:r w:rsidRPr="00D1497A">
        <w:rPr>
          <w:rFonts w:ascii="Times New Roman" w:hAnsi="Times New Roman"/>
          <w:sz w:val="24"/>
          <w:szCs w:val="24"/>
        </w:rPr>
        <w:t>not vary the circumstances in which an examination may take place, or change the scope or range of the powers provided to an examiner when undertaking an examination under the POC Act. Courts will retain their current discretion</w:t>
      </w:r>
      <w:r>
        <w:rPr>
          <w:rFonts w:ascii="Times New Roman" w:hAnsi="Times New Roman"/>
          <w:sz w:val="24"/>
          <w:szCs w:val="24"/>
        </w:rPr>
        <w:t xml:space="preserve"> under the POC Act</w:t>
      </w:r>
      <w:r w:rsidRPr="00D1497A">
        <w:rPr>
          <w:rFonts w:ascii="Times New Roman" w:hAnsi="Times New Roman"/>
          <w:sz w:val="24"/>
          <w:szCs w:val="24"/>
        </w:rPr>
        <w:t xml:space="preserve"> to refuse to allow an examination take place.</w:t>
      </w:r>
    </w:p>
    <w:p w:rsidR="007F029E" w:rsidRDefault="007F029E" w:rsidP="007F029E">
      <w:pPr>
        <w:pStyle w:val="ListParagraph"/>
        <w:spacing w:before="240" w:after="0" w:line="240" w:lineRule="auto"/>
        <w:ind w:left="0"/>
        <w:contextualSpacing w:val="0"/>
        <w:rPr>
          <w:rFonts w:ascii="Times New Roman" w:hAnsi="Times New Roman"/>
          <w:sz w:val="24"/>
          <w:szCs w:val="24"/>
        </w:rPr>
      </w:pPr>
      <w:r>
        <w:rPr>
          <w:rFonts w:ascii="Times New Roman" w:hAnsi="Times New Roman"/>
          <w:sz w:val="24"/>
          <w:szCs w:val="24"/>
        </w:rPr>
        <w:t>The fair trial rights provided for in Article 14(1) include the privilege against self-incrimination.</w:t>
      </w:r>
    </w:p>
    <w:p w:rsidR="007F029E" w:rsidRDefault="007F029E" w:rsidP="007F029E">
      <w:pPr>
        <w:pStyle w:val="ListParagraph"/>
        <w:spacing w:before="240" w:after="0" w:line="240" w:lineRule="auto"/>
        <w:ind w:left="0"/>
        <w:contextualSpacing w:val="0"/>
        <w:rPr>
          <w:rFonts w:ascii="Times New Roman" w:hAnsi="Times New Roman"/>
          <w:sz w:val="24"/>
          <w:szCs w:val="24"/>
        </w:rPr>
      </w:pPr>
      <w:r>
        <w:rPr>
          <w:rFonts w:ascii="Times New Roman" w:hAnsi="Times New Roman"/>
          <w:sz w:val="24"/>
          <w:szCs w:val="24"/>
        </w:rPr>
        <w:t xml:space="preserve"> </w:t>
      </w:r>
      <w:r w:rsidRPr="00480184">
        <w:rPr>
          <w:rFonts w:ascii="Times New Roman" w:hAnsi="Times New Roman"/>
          <w:sz w:val="24"/>
          <w:szCs w:val="24"/>
        </w:rPr>
        <w:t>During an examination, an approved examiner may request that answers be given or documents be produced with respect to certain specified mat</w:t>
      </w:r>
      <w:r>
        <w:rPr>
          <w:rFonts w:ascii="Times New Roman" w:hAnsi="Times New Roman"/>
          <w:sz w:val="24"/>
          <w:szCs w:val="24"/>
        </w:rPr>
        <w:t xml:space="preserve">ters.  Under section 180 of </w:t>
      </w:r>
      <w:r>
        <w:rPr>
          <w:rFonts w:ascii="Times New Roman" w:hAnsi="Times New Roman"/>
          <w:sz w:val="24"/>
          <w:szCs w:val="24"/>
        </w:rPr>
        <w:lastRenderedPageBreak/>
        <w:t>the POC</w:t>
      </w:r>
      <w:r w:rsidRPr="00480184">
        <w:rPr>
          <w:rFonts w:ascii="Times New Roman" w:hAnsi="Times New Roman"/>
          <w:sz w:val="24"/>
          <w:szCs w:val="24"/>
        </w:rPr>
        <w:t xml:space="preserve"> Act these matters may relate to the affairs of a person whose property is, or a person who has or claims an interest in property that is subject of the restraining order (or that person’s </w:t>
      </w:r>
      <w:proofErr w:type="spellStart"/>
      <w:r w:rsidRPr="00480184">
        <w:rPr>
          <w:rFonts w:ascii="Times New Roman" w:hAnsi="Times New Roman"/>
          <w:sz w:val="24"/>
          <w:szCs w:val="24"/>
        </w:rPr>
        <w:t>defacto</w:t>
      </w:r>
      <w:proofErr w:type="spellEnd"/>
      <w:r w:rsidRPr="00480184">
        <w:rPr>
          <w:rFonts w:ascii="Times New Roman" w:hAnsi="Times New Roman"/>
          <w:sz w:val="24"/>
          <w:szCs w:val="24"/>
        </w:rPr>
        <w:t xml:space="preserve"> or spouse), or a person who is a suspect in relation to the restraining order (or that person’s </w:t>
      </w:r>
      <w:proofErr w:type="spellStart"/>
      <w:r w:rsidRPr="00480184">
        <w:rPr>
          <w:rFonts w:ascii="Times New Roman" w:hAnsi="Times New Roman"/>
          <w:sz w:val="24"/>
          <w:szCs w:val="24"/>
        </w:rPr>
        <w:t>defacto</w:t>
      </w:r>
      <w:proofErr w:type="spellEnd"/>
      <w:r w:rsidRPr="00480184">
        <w:rPr>
          <w:rFonts w:ascii="Times New Roman" w:hAnsi="Times New Roman"/>
          <w:sz w:val="24"/>
          <w:szCs w:val="24"/>
        </w:rPr>
        <w:t xml:space="preserve"> or spouse). A person that fails to comply with these requests may be subject to criminal penalty under section 196 of the </w:t>
      </w:r>
      <w:r>
        <w:rPr>
          <w:rFonts w:ascii="Times New Roman" w:hAnsi="Times New Roman"/>
          <w:sz w:val="24"/>
          <w:szCs w:val="24"/>
        </w:rPr>
        <w:t xml:space="preserve">POC Act. </w:t>
      </w:r>
    </w:p>
    <w:p w:rsidR="007F029E" w:rsidRPr="00D1497A" w:rsidRDefault="007F029E" w:rsidP="007F029E">
      <w:pPr>
        <w:pStyle w:val="ListParagraph"/>
        <w:spacing w:before="240" w:after="0" w:line="240" w:lineRule="auto"/>
        <w:ind w:left="0"/>
        <w:contextualSpacing w:val="0"/>
        <w:rPr>
          <w:rFonts w:ascii="Times New Roman" w:hAnsi="Times New Roman"/>
          <w:sz w:val="24"/>
          <w:szCs w:val="24"/>
        </w:rPr>
      </w:pPr>
      <w:r w:rsidRPr="00D1497A">
        <w:rPr>
          <w:rFonts w:ascii="Times New Roman" w:hAnsi="Times New Roman"/>
          <w:sz w:val="24"/>
          <w:szCs w:val="24"/>
        </w:rPr>
        <w:t xml:space="preserve">The POC Act includes reasonable and appropriate safeguards to protect the person’s privilege against self-incrimination. </w:t>
      </w:r>
      <w:r>
        <w:rPr>
          <w:rFonts w:ascii="Times New Roman" w:hAnsi="Times New Roman"/>
          <w:sz w:val="24"/>
          <w:szCs w:val="24"/>
        </w:rPr>
        <w:t xml:space="preserve">The POC </w:t>
      </w:r>
      <w:r w:rsidRPr="00D1497A">
        <w:rPr>
          <w:rFonts w:ascii="Times New Roman" w:hAnsi="Times New Roman"/>
          <w:sz w:val="24"/>
          <w:szCs w:val="24"/>
        </w:rPr>
        <w:t xml:space="preserve">Act provides reasonable and appropriate exclusions from the obligation </w:t>
      </w:r>
      <w:r w:rsidR="00C970CF">
        <w:rPr>
          <w:rFonts w:ascii="Times New Roman" w:hAnsi="Times New Roman"/>
          <w:sz w:val="24"/>
          <w:szCs w:val="24"/>
        </w:rPr>
        <w:t>to allow for</w:t>
      </w:r>
      <w:r w:rsidRPr="00D1497A">
        <w:rPr>
          <w:rFonts w:ascii="Times New Roman" w:hAnsi="Times New Roman"/>
          <w:sz w:val="24"/>
          <w:szCs w:val="24"/>
        </w:rPr>
        <w:t xml:space="preserve"> disclosure </w:t>
      </w:r>
      <w:r w:rsidR="00C970CF">
        <w:rPr>
          <w:rFonts w:ascii="Times New Roman" w:hAnsi="Times New Roman"/>
          <w:sz w:val="24"/>
          <w:szCs w:val="24"/>
        </w:rPr>
        <w:t>of incriminating information in certain circumstances</w:t>
      </w:r>
      <w:r w:rsidRPr="00D1497A">
        <w:rPr>
          <w:rFonts w:ascii="Times New Roman" w:hAnsi="Times New Roman"/>
          <w:sz w:val="24"/>
          <w:szCs w:val="24"/>
        </w:rPr>
        <w:t>. Information obtained by approved examiners using coercive powers is subject to derivative use immunity in most circumstances. This immunity ensures that a disclosure made by a person who gave an answer or produced a document in an examination is not admissible in evidence against the person in a civil or criminal proceeding. Section 198</w:t>
      </w:r>
      <w:r>
        <w:rPr>
          <w:rFonts w:ascii="Times New Roman" w:hAnsi="Times New Roman"/>
          <w:sz w:val="24"/>
          <w:szCs w:val="24"/>
        </w:rPr>
        <w:t xml:space="preserve"> of the POC Act</w:t>
      </w:r>
      <w:r w:rsidRPr="00D1497A">
        <w:rPr>
          <w:rFonts w:ascii="Times New Roman" w:hAnsi="Times New Roman"/>
          <w:sz w:val="24"/>
          <w:szCs w:val="24"/>
        </w:rPr>
        <w:t xml:space="preserve"> provides that this immunity does not apply in certain limited circumstances.  These include proceedings for giving false or misleading information, and proceedings on an application under the </w:t>
      </w:r>
      <w:r>
        <w:rPr>
          <w:rFonts w:ascii="Times New Roman" w:hAnsi="Times New Roman"/>
          <w:sz w:val="24"/>
          <w:szCs w:val="24"/>
        </w:rPr>
        <w:t>POC </w:t>
      </w:r>
      <w:r w:rsidRPr="00D1497A">
        <w:rPr>
          <w:rFonts w:ascii="Times New Roman" w:hAnsi="Times New Roman"/>
          <w:sz w:val="24"/>
          <w:szCs w:val="24"/>
        </w:rPr>
        <w:t xml:space="preserve">Act, or proceedings ancillary to an application under the </w:t>
      </w:r>
      <w:r>
        <w:rPr>
          <w:rFonts w:ascii="Times New Roman" w:hAnsi="Times New Roman"/>
          <w:sz w:val="24"/>
          <w:szCs w:val="24"/>
        </w:rPr>
        <w:t>POC</w:t>
      </w:r>
      <w:r w:rsidRPr="00D1497A">
        <w:rPr>
          <w:rFonts w:ascii="Times New Roman" w:hAnsi="Times New Roman"/>
          <w:sz w:val="24"/>
          <w:szCs w:val="24"/>
        </w:rPr>
        <w:t xml:space="preserve"> Act. These exceptions are reasonable and appropriate.  </w:t>
      </w:r>
    </w:p>
    <w:p w:rsidR="007F029E" w:rsidRPr="00D1497A" w:rsidRDefault="007F029E" w:rsidP="007F029E">
      <w:pPr>
        <w:pStyle w:val="ListParagraph"/>
        <w:spacing w:before="240" w:after="0" w:line="240" w:lineRule="auto"/>
        <w:ind w:left="0"/>
        <w:contextualSpacing w:val="0"/>
        <w:rPr>
          <w:rFonts w:ascii="Times New Roman" w:hAnsi="Times New Roman"/>
          <w:sz w:val="24"/>
          <w:szCs w:val="24"/>
        </w:rPr>
      </w:pPr>
      <w:r>
        <w:rPr>
          <w:rFonts w:ascii="Times New Roman" w:hAnsi="Times New Roman"/>
          <w:sz w:val="24"/>
          <w:szCs w:val="24"/>
        </w:rPr>
        <w:t xml:space="preserve">The POC Act also sets </w:t>
      </w:r>
      <w:r w:rsidRPr="00794A0A">
        <w:rPr>
          <w:rFonts w:ascii="Times New Roman" w:hAnsi="Times New Roman"/>
          <w:sz w:val="24"/>
          <w:szCs w:val="24"/>
        </w:rPr>
        <w:t xml:space="preserve">clear parameters around the circumstances in which information obtained by approved examiners using coercive </w:t>
      </w:r>
      <w:r>
        <w:rPr>
          <w:rFonts w:ascii="Times New Roman" w:hAnsi="Times New Roman"/>
          <w:sz w:val="24"/>
          <w:szCs w:val="24"/>
        </w:rPr>
        <w:t xml:space="preserve">powers </w:t>
      </w:r>
      <w:r w:rsidRPr="00794A0A">
        <w:rPr>
          <w:rFonts w:ascii="Times New Roman" w:hAnsi="Times New Roman"/>
          <w:sz w:val="24"/>
          <w:szCs w:val="24"/>
        </w:rPr>
        <w:t>can be shared.</w:t>
      </w:r>
      <w:r>
        <w:rPr>
          <w:rFonts w:ascii="Times New Roman" w:hAnsi="Times New Roman"/>
          <w:sz w:val="24"/>
          <w:szCs w:val="24"/>
        </w:rPr>
        <w:t xml:space="preserve"> </w:t>
      </w:r>
      <w:r w:rsidRPr="00794A0A">
        <w:rPr>
          <w:rFonts w:ascii="Times New Roman" w:hAnsi="Times New Roman"/>
          <w:sz w:val="24"/>
          <w:szCs w:val="24"/>
        </w:rPr>
        <w:t xml:space="preserve">Commonwealth proceeds of crime authorities will only be able to disclose information to appropriate foreign authorities or to </w:t>
      </w:r>
      <w:r>
        <w:rPr>
          <w:rFonts w:ascii="Times New Roman" w:hAnsi="Times New Roman"/>
          <w:sz w:val="24"/>
          <w:szCs w:val="24"/>
        </w:rPr>
        <w:t>s</w:t>
      </w:r>
      <w:r w:rsidRPr="00794A0A">
        <w:rPr>
          <w:rFonts w:ascii="Times New Roman" w:hAnsi="Times New Roman"/>
          <w:sz w:val="24"/>
          <w:szCs w:val="24"/>
        </w:rPr>
        <w:t xml:space="preserve">tate and </w:t>
      </w:r>
      <w:r>
        <w:rPr>
          <w:rFonts w:ascii="Times New Roman" w:hAnsi="Times New Roman"/>
          <w:sz w:val="24"/>
          <w:szCs w:val="24"/>
        </w:rPr>
        <w:t>t</w:t>
      </w:r>
      <w:r w:rsidRPr="00794A0A">
        <w:rPr>
          <w:rFonts w:ascii="Times New Roman" w:hAnsi="Times New Roman"/>
          <w:sz w:val="24"/>
          <w:szCs w:val="24"/>
        </w:rPr>
        <w:t>erritory authorities for the purpose of identifying, locating, tracing, investigating or confiscating proceeds or instruments of crime.</w:t>
      </w:r>
      <w:r>
        <w:rPr>
          <w:rFonts w:ascii="Times New Roman" w:hAnsi="Times New Roman"/>
          <w:sz w:val="24"/>
          <w:szCs w:val="24"/>
        </w:rPr>
        <w:t xml:space="preserve"> </w:t>
      </w:r>
      <w:r w:rsidRPr="00794A0A">
        <w:rPr>
          <w:rFonts w:ascii="Times New Roman" w:hAnsi="Times New Roman"/>
          <w:sz w:val="24"/>
          <w:szCs w:val="24"/>
        </w:rPr>
        <w:t>Disclosures to foreign authorities will only be made where the proceeds or instruments of crime concerned would be capable of being confiscated under Australian proceeds of crime law</w:t>
      </w:r>
      <w:r>
        <w:rPr>
          <w:rFonts w:ascii="Times New Roman" w:hAnsi="Times New Roman"/>
          <w:sz w:val="24"/>
          <w:szCs w:val="24"/>
        </w:rPr>
        <w:t>.</w:t>
      </w:r>
    </w:p>
    <w:p w:rsidR="007F029E" w:rsidRPr="00D1497A" w:rsidRDefault="007F029E" w:rsidP="007F029E">
      <w:pPr>
        <w:pStyle w:val="ListParagraph"/>
        <w:spacing w:before="240" w:after="0" w:line="240" w:lineRule="auto"/>
        <w:ind w:left="0"/>
        <w:contextualSpacing w:val="0"/>
        <w:rPr>
          <w:rFonts w:ascii="Times New Roman" w:hAnsi="Times New Roman"/>
          <w:sz w:val="24"/>
          <w:szCs w:val="24"/>
        </w:rPr>
      </w:pPr>
      <w:r w:rsidRPr="00D1497A">
        <w:rPr>
          <w:rFonts w:ascii="Times New Roman" w:hAnsi="Times New Roman"/>
          <w:sz w:val="24"/>
          <w:szCs w:val="24"/>
        </w:rPr>
        <w:t xml:space="preserve">This </w:t>
      </w:r>
      <w:r>
        <w:rPr>
          <w:rFonts w:ascii="Times New Roman" w:hAnsi="Times New Roman"/>
          <w:sz w:val="24"/>
          <w:szCs w:val="24"/>
        </w:rPr>
        <w:t>legislative instrument</w:t>
      </w:r>
      <w:r w:rsidRPr="00D1497A">
        <w:rPr>
          <w:rFonts w:ascii="Times New Roman" w:hAnsi="Times New Roman"/>
          <w:sz w:val="24"/>
          <w:szCs w:val="24"/>
        </w:rPr>
        <w:t xml:space="preserve"> does not change either the scope or safeguards attached to fair hearing rights, including the </w:t>
      </w:r>
      <w:r>
        <w:rPr>
          <w:rFonts w:ascii="Times New Roman" w:hAnsi="Times New Roman"/>
          <w:sz w:val="24"/>
          <w:szCs w:val="24"/>
        </w:rPr>
        <w:t>privilege</w:t>
      </w:r>
      <w:r w:rsidRPr="00D1497A">
        <w:rPr>
          <w:rFonts w:ascii="Times New Roman" w:hAnsi="Times New Roman"/>
          <w:sz w:val="24"/>
          <w:szCs w:val="24"/>
        </w:rPr>
        <w:t xml:space="preserve"> against self-incrimination. </w:t>
      </w:r>
      <w:r>
        <w:rPr>
          <w:rFonts w:ascii="Times New Roman" w:hAnsi="Times New Roman"/>
          <w:sz w:val="24"/>
          <w:szCs w:val="24"/>
        </w:rPr>
        <w:t>T</w:t>
      </w:r>
      <w:r w:rsidRPr="00D1497A">
        <w:rPr>
          <w:rFonts w:ascii="Times New Roman" w:hAnsi="Times New Roman"/>
          <w:sz w:val="24"/>
          <w:szCs w:val="24"/>
        </w:rPr>
        <w:t>hus, the proposed amendment does not limit or promote human rights with respect to a ‘fair hearing’.</w:t>
      </w:r>
      <w:r>
        <w:t xml:space="preserve"> </w:t>
      </w:r>
    </w:p>
    <w:p w:rsidR="007F029E" w:rsidRPr="00480184" w:rsidRDefault="007F029E" w:rsidP="007F029E">
      <w:pPr>
        <w:pStyle w:val="ListParagraph"/>
        <w:spacing w:before="240" w:after="0" w:line="240" w:lineRule="auto"/>
        <w:ind w:left="0"/>
        <w:contextualSpacing w:val="0"/>
        <w:rPr>
          <w:rFonts w:ascii="Times New Roman" w:hAnsi="Times New Roman"/>
          <w:i/>
          <w:sz w:val="24"/>
          <w:szCs w:val="24"/>
        </w:rPr>
      </w:pPr>
      <w:r>
        <w:rPr>
          <w:rFonts w:ascii="Times New Roman" w:hAnsi="Times New Roman"/>
          <w:i/>
          <w:sz w:val="24"/>
          <w:szCs w:val="24"/>
        </w:rPr>
        <w:t xml:space="preserve">Right to privacy </w:t>
      </w:r>
    </w:p>
    <w:p w:rsidR="007F029E" w:rsidRPr="00480184" w:rsidRDefault="007F029E" w:rsidP="007F029E">
      <w:pPr>
        <w:pStyle w:val="ListParagraph"/>
        <w:spacing w:before="240" w:after="0" w:line="240" w:lineRule="auto"/>
        <w:ind w:left="0"/>
        <w:contextualSpacing w:val="0"/>
        <w:rPr>
          <w:rFonts w:ascii="Times New Roman" w:hAnsi="Times New Roman"/>
          <w:sz w:val="24"/>
          <w:szCs w:val="24"/>
        </w:rPr>
      </w:pPr>
      <w:r w:rsidRPr="00480184">
        <w:rPr>
          <w:rFonts w:ascii="Times New Roman" w:hAnsi="Times New Roman"/>
          <w:sz w:val="24"/>
          <w:szCs w:val="24"/>
        </w:rPr>
        <w:t xml:space="preserve">Article 17 of the ICCPR accords everyone the right to protection against arbitrary or unlawful interference with their privacy, family, home or correspondence.  This includes the right to protection from interferences with a person’s territory, property and personal information.  Accordingly, lawful interferences with a person’s privacy will be permitted provided they are not arbitrary.  </w:t>
      </w:r>
    </w:p>
    <w:p w:rsidR="007F029E" w:rsidRPr="00480184" w:rsidRDefault="007F029E" w:rsidP="007F029E">
      <w:pPr>
        <w:pStyle w:val="ListParagraph"/>
        <w:spacing w:before="240" w:after="0" w:line="240" w:lineRule="auto"/>
        <w:ind w:left="0"/>
        <w:contextualSpacing w:val="0"/>
        <w:rPr>
          <w:rFonts w:ascii="Times New Roman" w:hAnsi="Times New Roman"/>
          <w:i/>
          <w:sz w:val="24"/>
          <w:szCs w:val="24"/>
        </w:rPr>
      </w:pPr>
      <w:r>
        <w:rPr>
          <w:rFonts w:ascii="Times New Roman" w:hAnsi="Times New Roman"/>
          <w:sz w:val="24"/>
          <w:szCs w:val="24"/>
        </w:rPr>
        <w:t xml:space="preserve">As noted above, </w:t>
      </w:r>
      <w:r w:rsidRPr="00CA13A4">
        <w:rPr>
          <w:rFonts w:ascii="Times New Roman" w:hAnsi="Times New Roman"/>
          <w:sz w:val="24"/>
          <w:szCs w:val="24"/>
        </w:rPr>
        <w:t xml:space="preserve">examinations under the POC Act are information gathering procedures. </w:t>
      </w:r>
    </w:p>
    <w:p w:rsidR="007F029E" w:rsidRDefault="007F029E" w:rsidP="007F029E">
      <w:pPr>
        <w:pStyle w:val="ListParagraph"/>
        <w:spacing w:before="240" w:after="0" w:line="240" w:lineRule="auto"/>
        <w:ind w:left="0"/>
        <w:contextualSpacing w:val="0"/>
        <w:rPr>
          <w:rFonts w:ascii="Times New Roman" w:hAnsi="Times New Roman"/>
          <w:sz w:val="24"/>
          <w:szCs w:val="24"/>
        </w:rPr>
      </w:pPr>
      <w:r w:rsidRPr="00CA13A4">
        <w:rPr>
          <w:rFonts w:ascii="Times New Roman" w:hAnsi="Times New Roman"/>
          <w:sz w:val="24"/>
          <w:szCs w:val="24"/>
        </w:rPr>
        <w:t xml:space="preserve">The answers or documents required of a person subject to examination will usually divulge personal information, as it will relate to ‘the affairs’ of a relevant person. Thus, the obtaining of personal information under the </w:t>
      </w:r>
      <w:r>
        <w:rPr>
          <w:rFonts w:ascii="Times New Roman" w:hAnsi="Times New Roman"/>
          <w:sz w:val="24"/>
          <w:szCs w:val="24"/>
        </w:rPr>
        <w:t>POC</w:t>
      </w:r>
      <w:r w:rsidRPr="00CA13A4">
        <w:rPr>
          <w:rFonts w:ascii="Times New Roman" w:hAnsi="Times New Roman"/>
          <w:sz w:val="24"/>
          <w:szCs w:val="24"/>
        </w:rPr>
        <w:t xml:space="preserve"> Act may constitute interferences with a person’s privacy. Lawful interferences with a perso</w:t>
      </w:r>
      <w:r>
        <w:rPr>
          <w:rFonts w:ascii="Times New Roman" w:hAnsi="Times New Roman"/>
          <w:sz w:val="24"/>
          <w:szCs w:val="24"/>
        </w:rPr>
        <w:t>n’s privacy will be allowed by A</w:t>
      </w:r>
      <w:r w:rsidRPr="00CA13A4">
        <w:rPr>
          <w:rFonts w:ascii="Times New Roman" w:hAnsi="Times New Roman"/>
          <w:sz w:val="24"/>
          <w:szCs w:val="24"/>
        </w:rPr>
        <w:t>rticle 17 of the ICCPR, provided that they are not arbitrary</w:t>
      </w:r>
      <w:r>
        <w:rPr>
          <w:rFonts w:ascii="Times New Roman" w:hAnsi="Times New Roman"/>
          <w:sz w:val="24"/>
          <w:szCs w:val="24"/>
        </w:rPr>
        <w:t>.</w:t>
      </w:r>
    </w:p>
    <w:p w:rsidR="007F029E" w:rsidRDefault="007F029E" w:rsidP="007F029E">
      <w:pPr>
        <w:pStyle w:val="ListParagraph"/>
        <w:spacing w:before="240" w:after="0" w:line="240" w:lineRule="auto"/>
        <w:ind w:left="0"/>
        <w:contextualSpacing w:val="0"/>
        <w:rPr>
          <w:rFonts w:ascii="Times New Roman" w:hAnsi="Times New Roman"/>
          <w:i/>
          <w:sz w:val="24"/>
          <w:szCs w:val="24"/>
        </w:rPr>
      </w:pPr>
      <w:r w:rsidRPr="00480184">
        <w:rPr>
          <w:rFonts w:ascii="Times New Roman" w:hAnsi="Times New Roman"/>
          <w:sz w:val="24"/>
          <w:szCs w:val="24"/>
        </w:rPr>
        <w:t xml:space="preserve">This </w:t>
      </w:r>
      <w:r>
        <w:rPr>
          <w:rFonts w:ascii="Times New Roman" w:hAnsi="Times New Roman"/>
          <w:sz w:val="24"/>
          <w:szCs w:val="24"/>
        </w:rPr>
        <w:t>legislative instrument</w:t>
      </w:r>
      <w:r w:rsidRPr="00480184">
        <w:rPr>
          <w:rFonts w:ascii="Times New Roman" w:hAnsi="Times New Roman"/>
          <w:sz w:val="24"/>
          <w:szCs w:val="24"/>
        </w:rPr>
        <w:t xml:space="preserve"> does not change either the scope or safeguards attached to the use and disclosure of information gathered by examiners.  </w:t>
      </w:r>
      <w:r w:rsidRPr="00CA13A4">
        <w:rPr>
          <w:rFonts w:ascii="Times New Roman" w:hAnsi="Times New Roman"/>
          <w:sz w:val="24"/>
          <w:szCs w:val="24"/>
        </w:rPr>
        <w:t xml:space="preserve">The proposed amendment does not alter the conditions under which a person may be subject to examination; the type of information that may be required by examiners under the </w:t>
      </w:r>
      <w:r>
        <w:rPr>
          <w:rFonts w:ascii="Times New Roman" w:hAnsi="Times New Roman"/>
          <w:sz w:val="24"/>
          <w:szCs w:val="24"/>
        </w:rPr>
        <w:t>POC</w:t>
      </w:r>
      <w:r w:rsidRPr="00CA13A4">
        <w:rPr>
          <w:rFonts w:ascii="Times New Roman" w:hAnsi="Times New Roman"/>
          <w:sz w:val="24"/>
          <w:szCs w:val="24"/>
        </w:rPr>
        <w:t xml:space="preserve"> Act; the use of that information; or any of the safeguards attached to its use or disclosure. </w:t>
      </w:r>
      <w:r w:rsidRPr="00480184">
        <w:rPr>
          <w:rFonts w:ascii="Times New Roman" w:hAnsi="Times New Roman"/>
          <w:sz w:val="24"/>
          <w:szCs w:val="24"/>
        </w:rPr>
        <w:t xml:space="preserve">To the extent that </w:t>
      </w:r>
      <w:r w:rsidRPr="00480184">
        <w:rPr>
          <w:rFonts w:ascii="Times New Roman" w:hAnsi="Times New Roman"/>
          <w:sz w:val="24"/>
          <w:szCs w:val="24"/>
        </w:rPr>
        <w:lastRenderedPageBreak/>
        <w:t xml:space="preserve">examinations under the </w:t>
      </w:r>
      <w:r>
        <w:rPr>
          <w:rFonts w:ascii="Times New Roman" w:hAnsi="Times New Roman"/>
          <w:sz w:val="24"/>
          <w:szCs w:val="24"/>
        </w:rPr>
        <w:t>POC</w:t>
      </w:r>
      <w:r w:rsidRPr="00480184">
        <w:rPr>
          <w:rFonts w:ascii="Times New Roman" w:hAnsi="Times New Roman"/>
          <w:sz w:val="24"/>
          <w:szCs w:val="24"/>
        </w:rPr>
        <w:t xml:space="preserve"> Act currently engage with privacy rights provided for in Article 17, limitations of these rights are necessary to achieve, and reasonable in achieving the aim of disrupting criminal activity and combating serious and organised crime. </w:t>
      </w:r>
    </w:p>
    <w:p w:rsidR="007F029E" w:rsidRPr="004A1A57" w:rsidRDefault="007F029E" w:rsidP="007F029E">
      <w:pPr>
        <w:pStyle w:val="ListParagraph"/>
        <w:spacing w:before="240" w:after="0" w:line="240" w:lineRule="auto"/>
        <w:ind w:left="0"/>
        <w:contextualSpacing w:val="0"/>
        <w:rPr>
          <w:rFonts w:ascii="Times New Roman" w:hAnsi="Times New Roman"/>
          <w:b/>
          <w:sz w:val="24"/>
          <w:szCs w:val="24"/>
        </w:rPr>
      </w:pPr>
      <w:r>
        <w:rPr>
          <w:rFonts w:ascii="Times New Roman" w:hAnsi="Times New Roman"/>
          <w:b/>
          <w:sz w:val="24"/>
          <w:szCs w:val="24"/>
        </w:rPr>
        <w:t>Conclusion</w:t>
      </w:r>
    </w:p>
    <w:p w:rsidR="007F029E" w:rsidRPr="001162CD" w:rsidRDefault="007F029E" w:rsidP="007F029E">
      <w:pPr>
        <w:pStyle w:val="ListParagraph"/>
        <w:spacing w:before="120" w:after="0" w:line="240" w:lineRule="auto"/>
        <w:ind w:left="0"/>
        <w:contextualSpacing w:val="0"/>
        <w:rPr>
          <w:rFonts w:ascii="Times New Roman" w:hAnsi="Times New Roman"/>
          <w:sz w:val="24"/>
          <w:szCs w:val="24"/>
        </w:rPr>
      </w:pPr>
      <w:r>
        <w:rPr>
          <w:rFonts w:ascii="Times New Roman" w:hAnsi="Times New Roman"/>
          <w:sz w:val="24"/>
          <w:szCs w:val="24"/>
        </w:rPr>
        <w:t>T</w:t>
      </w:r>
      <w:r w:rsidRPr="001162CD">
        <w:rPr>
          <w:rFonts w:ascii="Times New Roman" w:hAnsi="Times New Roman"/>
          <w:sz w:val="24"/>
          <w:szCs w:val="24"/>
        </w:rPr>
        <w:t xml:space="preserve">his </w:t>
      </w:r>
      <w:r>
        <w:rPr>
          <w:rFonts w:ascii="Times New Roman" w:hAnsi="Times New Roman"/>
          <w:sz w:val="24"/>
          <w:szCs w:val="24"/>
        </w:rPr>
        <w:t>legislative instrument</w:t>
      </w:r>
      <w:r w:rsidRPr="001162CD">
        <w:rPr>
          <w:rFonts w:ascii="Times New Roman" w:hAnsi="Times New Roman"/>
          <w:sz w:val="24"/>
          <w:szCs w:val="24"/>
        </w:rPr>
        <w:t xml:space="preserve"> is compatible with human rights because, to the extent that it may limit human rights through its application</w:t>
      </w:r>
      <w:r>
        <w:rPr>
          <w:rFonts w:ascii="Times New Roman" w:hAnsi="Times New Roman"/>
          <w:sz w:val="24"/>
          <w:szCs w:val="24"/>
        </w:rPr>
        <w:t>,</w:t>
      </w:r>
      <w:r w:rsidRPr="001162CD">
        <w:rPr>
          <w:rFonts w:ascii="Times New Roman" w:hAnsi="Times New Roman"/>
          <w:sz w:val="24"/>
          <w:szCs w:val="24"/>
        </w:rPr>
        <w:t xml:space="preserve"> as part</w:t>
      </w:r>
      <w:r>
        <w:rPr>
          <w:rFonts w:ascii="Times New Roman" w:hAnsi="Times New Roman"/>
          <w:sz w:val="24"/>
          <w:szCs w:val="24"/>
        </w:rPr>
        <w:t xml:space="preserve"> of the broader existing scheme</w:t>
      </w:r>
      <w:r w:rsidRPr="001162CD">
        <w:rPr>
          <w:rFonts w:ascii="Times New Roman" w:hAnsi="Times New Roman"/>
          <w:sz w:val="24"/>
          <w:szCs w:val="24"/>
        </w:rPr>
        <w:t xml:space="preserve"> those limitations are reasonable, necessary and proportionate.</w:t>
      </w:r>
    </w:p>
    <w:p w:rsidR="007F029E" w:rsidRPr="00841FCB" w:rsidRDefault="007F029E" w:rsidP="007F029E">
      <w:pPr>
        <w:pStyle w:val="subsection"/>
        <w:tabs>
          <w:tab w:val="clear" w:pos="1021"/>
        </w:tabs>
        <w:ind w:left="0" w:firstLine="0"/>
        <w:rPr>
          <w:b/>
          <w:sz w:val="24"/>
          <w:szCs w:val="24"/>
        </w:rPr>
      </w:pPr>
    </w:p>
    <w:p w:rsidR="00AB2DC0" w:rsidRDefault="00AB2DC0" w:rsidP="00F81D61">
      <w:pPr>
        <w:tabs>
          <w:tab w:val="right" w:leader="dot" w:pos="7938"/>
        </w:tabs>
        <w:spacing w:after="0" w:line="240" w:lineRule="auto"/>
        <w:ind w:right="91"/>
        <w:rPr>
          <w:rFonts w:ascii="Times New Roman" w:eastAsia="Times New Roman" w:hAnsi="Times New Roman" w:cs="Times New Roman"/>
          <w:sz w:val="24"/>
          <w:szCs w:val="24"/>
        </w:rPr>
      </w:pPr>
    </w:p>
    <w:p w:rsidR="00AB2DC0" w:rsidRDefault="00AB2DC0" w:rsidP="00F81D61">
      <w:pPr>
        <w:tabs>
          <w:tab w:val="right" w:leader="dot" w:pos="7938"/>
        </w:tabs>
        <w:spacing w:after="0" w:line="240" w:lineRule="auto"/>
        <w:ind w:right="91"/>
        <w:rPr>
          <w:rFonts w:ascii="Times New Roman" w:eastAsia="Times New Roman" w:hAnsi="Times New Roman" w:cs="Times New Roman"/>
          <w:sz w:val="24"/>
          <w:szCs w:val="24"/>
        </w:rPr>
      </w:pPr>
    </w:p>
    <w:p w:rsidR="00AB2DC0" w:rsidRDefault="00AB2DC0" w:rsidP="00F81D61">
      <w:pPr>
        <w:tabs>
          <w:tab w:val="right" w:leader="dot" w:pos="7938"/>
        </w:tabs>
        <w:spacing w:after="0" w:line="240" w:lineRule="auto"/>
        <w:ind w:right="91"/>
        <w:rPr>
          <w:rFonts w:ascii="Times New Roman" w:eastAsia="Times New Roman" w:hAnsi="Times New Roman" w:cs="Times New Roman"/>
          <w:sz w:val="24"/>
          <w:szCs w:val="24"/>
        </w:rPr>
      </w:pPr>
    </w:p>
    <w:p w:rsidR="007F029E" w:rsidRDefault="007F029E" w:rsidP="00AB2DC0">
      <w:pPr>
        <w:tabs>
          <w:tab w:val="right" w:leader="dot" w:pos="7938"/>
        </w:tabs>
        <w:spacing w:after="0" w:line="240" w:lineRule="auto"/>
        <w:ind w:right="91"/>
        <w:jc w:val="right"/>
        <w:rPr>
          <w:rFonts w:ascii="Times New Roman" w:eastAsia="Times New Roman" w:hAnsi="Times New Roman" w:cs="Times New Roman"/>
          <w:b/>
          <w:sz w:val="24"/>
          <w:szCs w:val="24"/>
        </w:rPr>
      </w:pPr>
    </w:p>
    <w:p w:rsidR="007F029E" w:rsidRDefault="007F029E" w:rsidP="00AB2DC0">
      <w:pPr>
        <w:tabs>
          <w:tab w:val="right" w:leader="dot" w:pos="7938"/>
        </w:tabs>
        <w:spacing w:after="0" w:line="240" w:lineRule="auto"/>
        <w:ind w:right="91"/>
        <w:jc w:val="right"/>
        <w:rPr>
          <w:rFonts w:ascii="Times New Roman" w:eastAsia="Times New Roman" w:hAnsi="Times New Roman" w:cs="Times New Roman"/>
          <w:b/>
          <w:sz w:val="24"/>
          <w:szCs w:val="24"/>
        </w:rPr>
      </w:pPr>
    </w:p>
    <w:p w:rsidR="007F029E" w:rsidRDefault="007F029E" w:rsidP="00AB2DC0">
      <w:pPr>
        <w:tabs>
          <w:tab w:val="right" w:leader="dot" w:pos="7938"/>
        </w:tabs>
        <w:spacing w:after="0" w:line="240" w:lineRule="auto"/>
        <w:ind w:right="91"/>
        <w:jc w:val="right"/>
        <w:rPr>
          <w:rFonts w:ascii="Times New Roman" w:eastAsia="Times New Roman" w:hAnsi="Times New Roman" w:cs="Times New Roman"/>
          <w:b/>
          <w:sz w:val="24"/>
          <w:szCs w:val="24"/>
        </w:rPr>
      </w:pPr>
    </w:p>
    <w:p w:rsidR="007F029E" w:rsidRDefault="007F029E" w:rsidP="00AB2DC0">
      <w:pPr>
        <w:tabs>
          <w:tab w:val="right" w:leader="dot" w:pos="7938"/>
        </w:tabs>
        <w:spacing w:after="0" w:line="240" w:lineRule="auto"/>
        <w:ind w:right="91"/>
        <w:jc w:val="right"/>
        <w:rPr>
          <w:rFonts w:ascii="Times New Roman" w:eastAsia="Times New Roman" w:hAnsi="Times New Roman" w:cs="Times New Roman"/>
          <w:b/>
          <w:sz w:val="24"/>
          <w:szCs w:val="24"/>
        </w:rPr>
      </w:pPr>
    </w:p>
    <w:p w:rsidR="007F029E" w:rsidRDefault="007F029E" w:rsidP="00AB2DC0">
      <w:pPr>
        <w:tabs>
          <w:tab w:val="right" w:leader="dot" w:pos="7938"/>
        </w:tabs>
        <w:spacing w:after="0" w:line="240" w:lineRule="auto"/>
        <w:ind w:right="91"/>
        <w:jc w:val="right"/>
        <w:rPr>
          <w:rFonts w:ascii="Times New Roman" w:eastAsia="Times New Roman" w:hAnsi="Times New Roman" w:cs="Times New Roman"/>
          <w:b/>
          <w:sz w:val="24"/>
          <w:szCs w:val="24"/>
        </w:rPr>
      </w:pPr>
    </w:p>
    <w:p w:rsidR="007F029E" w:rsidRDefault="007F029E" w:rsidP="00AB2DC0">
      <w:pPr>
        <w:tabs>
          <w:tab w:val="right" w:leader="dot" w:pos="7938"/>
        </w:tabs>
        <w:spacing w:after="0" w:line="240" w:lineRule="auto"/>
        <w:ind w:right="91"/>
        <w:jc w:val="right"/>
        <w:rPr>
          <w:rFonts w:ascii="Times New Roman" w:eastAsia="Times New Roman" w:hAnsi="Times New Roman" w:cs="Times New Roman"/>
          <w:b/>
          <w:sz w:val="24"/>
          <w:szCs w:val="24"/>
        </w:rPr>
      </w:pPr>
    </w:p>
    <w:p w:rsidR="007F029E" w:rsidRDefault="007F029E" w:rsidP="00AB2DC0">
      <w:pPr>
        <w:tabs>
          <w:tab w:val="right" w:leader="dot" w:pos="7938"/>
        </w:tabs>
        <w:spacing w:after="0" w:line="240" w:lineRule="auto"/>
        <w:ind w:right="91"/>
        <w:jc w:val="right"/>
        <w:rPr>
          <w:rFonts w:ascii="Times New Roman" w:eastAsia="Times New Roman" w:hAnsi="Times New Roman" w:cs="Times New Roman"/>
          <w:b/>
          <w:sz w:val="24"/>
          <w:szCs w:val="24"/>
        </w:rPr>
      </w:pPr>
    </w:p>
    <w:p w:rsidR="007F029E" w:rsidRDefault="007F029E" w:rsidP="00AB2DC0">
      <w:pPr>
        <w:tabs>
          <w:tab w:val="right" w:leader="dot" w:pos="7938"/>
        </w:tabs>
        <w:spacing w:after="0" w:line="240" w:lineRule="auto"/>
        <w:ind w:right="91"/>
        <w:jc w:val="right"/>
        <w:rPr>
          <w:rFonts w:ascii="Times New Roman" w:eastAsia="Times New Roman" w:hAnsi="Times New Roman" w:cs="Times New Roman"/>
          <w:b/>
          <w:sz w:val="24"/>
          <w:szCs w:val="24"/>
        </w:rPr>
      </w:pPr>
    </w:p>
    <w:p w:rsidR="007F029E" w:rsidRDefault="007F029E" w:rsidP="00AB2DC0">
      <w:pPr>
        <w:tabs>
          <w:tab w:val="right" w:leader="dot" w:pos="7938"/>
        </w:tabs>
        <w:spacing w:after="0" w:line="240" w:lineRule="auto"/>
        <w:ind w:right="91"/>
        <w:jc w:val="right"/>
        <w:rPr>
          <w:rFonts w:ascii="Times New Roman" w:eastAsia="Times New Roman" w:hAnsi="Times New Roman" w:cs="Times New Roman"/>
          <w:b/>
          <w:sz w:val="24"/>
          <w:szCs w:val="24"/>
        </w:rPr>
      </w:pPr>
    </w:p>
    <w:p w:rsidR="007F029E" w:rsidRDefault="007F029E" w:rsidP="00AB2DC0">
      <w:pPr>
        <w:tabs>
          <w:tab w:val="right" w:leader="dot" w:pos="7938"/>
        </w:tabs>
        <w:spacing w:after="0" w:line="240" w:lineRule="auto"/>
        <w:ind w:right="91"/>
        <w:jc w:val="right"/>
        <w:rPr>
          <w:rFonts w:ascii="Times New Roman" w:eastAsia="Times New Roman" w:hAnsi="Times New Roman" w:cs="Times New Roman"/>
          <w:b/>
          <w:sz w:val="24"/>
          <w:szCs w:val="24"/>
        </w:rPr>
      </w:pPr>
    </w:p>
    <w:p w:rsidR="007F029E" w:rsidRDefault="007F029E" w:rsidP="00AB2DC0">
      <w:pPr>
        <w:tabs>
          <w:tab w:val="right" w:leader="dot" w:pos="7938"/>
        </w:tabs>
        <w:spacing w:after="0" w:line="240" w:lineRule="auto"/>
        <w:ind w:right="91"/>
        <w:jc w:val="right"/>
        <w:rPr>
          <w:rFonts w:ascii="Times New Roman" w:eastAsia="Times New Roman" w:hAnsi="Times New Roman" w:cs="Times New Roman"/>
          <w:b/>
          <w:sz w:val="24"/>
          <w:szCs w:val="24"/>
        </w:rPr>
      </w:pPr>
    </w:p>
    <w:p w:rsidR="007F029E" w:rsidRDefault="007F029E" w:rsidP="00AB2DC0">
      <w:pPr>
        <w:tabs>
          <w:tab w:val="right" w:leader="dot" w:pos="7938"/>
        </w:tabs>
        <w:spacing w:after="0" w:line="240" w:lineRule="auto"/>
        <w:ind w:right="91"/>
        <w:jc w:val="right"/>
        <w:rPr>
          <w:rFonts w:ascii="Times New Roman" w:eastAsia="Times New Roman" w:hAnsi="Times New Roman" w:cs="Times New Roman"/>
          <w:b/>
          <w:sz w:val="24"/>
          <w:szCs w:val="24"/>
        </w:rPr>
      </w:pPr>
    </w:p>
    <w:p w:rsidR="007F029E" w:rsidRDefault="007F029E" w:rsidP="00AB2DC0">
      <w:pPr>
        <w:tabs>
          <w:tab w:val="right" w:leader="dot" w:pos="7938"/>
        </w:tabs>
        <w:spacing w:after="0" w:line="240" w:lineRule="auto"/>
        <w:ind w:right="91"/>
        <w:jc w:val="right"/>
        <w:rPr>
          <w:rFonts w:ascii="Times New Roman" w:eastAsia="Times New Roman" w:hAnsi="Times New Roman" w:cs="Times New Roman"/>
          <w:b/>
          <w:sz w:val="24"/>
          <w:szCs w:val="24"/>
        </w:rPr>
      </w:pPr>
    </w:p>
    <w:p w:rsidR="007F029E" w:rsidRDefault="007F029E" w:rsidP="00AB2DC0">
      <w:pPr>
        <w:tabs>
          <w:tab w:val="right" w:leader="dot" w:pos="7938"/>
        </w:tabs>
        <w:spacing w:after="0" w:line="240" w:lineRule="auto"/>
        <w:ind w:right="91"/>
        <w:jc w:val="right"/>
        <w:rPr>
          <w:rFonts w:ascii="Times New Roman" w:eastAsia="Times New Roman" w:hAnsi="Times New Roman" w:cs="Times New Roman"/>
          <w:b/>
          <w:sz w:val="24"/>
          <w:szCs w:val="24"/>
        </w:rPr>
      </w:pPr>
    </w:p>
    <w:p w:rsidR="007F029E" w:rsidRDefault="007F029E" w:rsidP="00AB2DC0">
      <w:pPr>
        <w:tabs>
          <w:tab w:val="right" w:leader="dot" w:pos="7938"/>
        </w:tabs>
        <w:spacing w:after="0" w:line="240" w:lineRule="auto"/>
        <w:ind w:right="91"/>
        <w:jc w:val="right"/>
        <w:rPr>
          <w:rFonts w:ascii="Times New Roman" w:eastAsia="Times New Roman" w:hAnsi="Times New Roman" w:cs="Times New Roman"/>
          <w:b/>
          <w:sz w:val="24"/>
          <w:szCs w:val="24"/>
        </w:rPr>
      </w:pPr>
    </w:p>
    <w:p w:rsidR="007F029E" w:rsidRDefault="007F029E" w:rsidP="00AB2DC0">
      <w:pPr>
        <w:tabs>
          <w:tab w:val="right" w:leader="dot" w:pos="7938"/>
        </w:tabs>
        <w:spacing w:after="0" w:line="240" w:lineRule="auto"/>
        <w:ind w:right="91"/>
        <w:jc w:val="right"/>
        <w:rPr>
          <w:rFonts w:ascii="Times New Roman" w:eastAsia="Times New Roman" w:hAnsi="Times New Roman" w:cs="Times New Roman"/>
          <w:b/>
          <w:sz w:val="24"/>
          <w:szCs w:val="24"/>
        </w:rPr>
      </w:pPr>
    </w:p>
    <w:p w:rsidR="007F029E" w:rsidRDefault="007F029E" w:rsidP="00AB2DC0">
      <w:pPr>
        <w:tabs>
          <w:tab w:val="right" w:leader="dot" w:pos="7938"/>
        </w:tabs>
        <w:spacing w:after="0" w:line="240" w:lineRule="auto"/>
        <w:ind w:right="91"/>
        <w:jc w:val="right"/>
        <w:rPr>
          <w:rFonts w:ascii="Times New Roman" w:eastAsia="Times New Roman" w:hAnsi="Times New Roman" w:cs="Times New Roman"/>
          <w:b/>
          <w:sz w:val="24"/>
          <w:szCs w:val="24"/>
        </w:rPr>
      </w:pPr>
    </w:p>
    <w:p w:rsidR="007F029E" w:rsidRDefault="007F029E" w:rsidP="00AB2DC0">
      <w:pPr>
        <w:tabs>
          <w:tab w:val="right" w:leader="dot" w:pos="7938"/>
        </w:tabs>
        <w:spacing w:after="0" w:line="240" w:lineRule="auto"/>
        <w:ind w:right="91"/>
        <w:jc w:val="right"/>
        <w:rPr>
          <w:rFonts w:ascii="Times New Roman" w:eastAsia="Times New Roman" w:hAnsi="Times New Roman" w:cs="Times New Roman"/>
          <w:b/>
          <w:sz w:val="24"/>
          <w:szCs w:val="24"/>
        </w:rPr>
      </w:pPr>
    </w:p>
    <w:p w:rsidR="007F029E" w:rsidRDefault="007F029E" w:rsidP="00AB2DC0">
      <w:pPr>
        <w:tabs>
          <w:tab w:val="right" w:leader="dot" w:pos="7938"/>
        </w:tabs>
        <w:spacing w:after="0" w:line="240" w:lineRule="auto"/>
        <w:ind w:right="91"/>
        <w:jc w:val="right"/>
        <w:rPr>
          <w:rFonts w:ascii="Times New Roman" w:eastAsia="Times New Roman" w:hAnsi="Times New Roman" w:cs="Times New Roman"/>
          <w:b/>
          <w:sz w:val="24"/>
          <w:szCs w:val="24"/>
        </w:rPr>
      </w:pPr>
    </w:p>
    <w:p w:rsidR="007F029E" w:rsidRDefault="007F029E" w:rsidP="00AB2DC0">
      <w:pPr>
        <w:tabs>
          <w:tab w:val="right" w:leader="dot" w:pos="7938"/>
        </w:tabs>
        <w:spacing w:after="0" w:line="240" w:lineRule="auto"/>
        <w:ind w:right="91"/>
        <w:jc w:val="right"/>
        <w:rPr>
          <w:rFonts w:ascii="Times New Roman" w:eastAsia="Times New Roman" w:hAnsi="Times New Roman" w:cs="Times New Roman"/>
          <w:b/>
          <w:sz w:val="24"/>
          <w:szCs w:val="24"/>
        </w:rPr>
      </w:pPr>
    </w:p>
    <w:p w:rsidR="007F029E" w:rsidRDefault="007F029E" w:rsidP="00AB2DC0">
      <w:pPr>
        <w:tabs>
          <w:tab w:val="right" w:leader="dot" w:pos="7938"/>
        </w:tabs>
        <w:spacing w:after="0" w:line="240" w:lineRule="auto"/>
        <w:ind w:right="91"/>
        <w:jc w:val="right"/>
        <w:rPr>
          <w:rFonts w:ascii="Times New Roman" w:eastAsia="Times New Roman" w:hAnsi="Times New Roman" w:cs="Times New Roman"/>
          <w:b/>
          <w:sz w:val="24"/>
          <w:szCs w:val="24"/>
        </w:rPr>
      </w:pPr>
    </w:p>
    <w:p w:rsidR="007F029E" w:rsidRDefault="007F029E" w:rsidP="00AB2DC0">
      <w:pPr>
        <w:tabs>
          <w:tab w:val="right" w:leader="dot" w:pos="7938"/>
        </w:tabs>
        <w:spacing w:after="0" w:line="240" w:lineRule="auto"/>
        <w:ind w:right="91"/>
        <w:jc w:val="right"/>
        <w:rPr>
          <w:rFonts w:ascii="Times New Roman" w:eastAsia="Times New Roman" w:hAnsi="Times New Roman" w:cs="Times New Roman"/>
          <w:b/>
          <w:sz w:val="24"/>
          <w:szCs w:val="24"/>
        </w:rPr>
      </w:pPr>
    </w:p>
    <w:p w:rsidR="007F029E" w:rsidRDefault="007F029E" w:rsidP="00AB2DC0">
      <w:pPr>
        <w:tabs>
          <w:tab w:val="right" w:leader="dot" w:pos="7938"/>
        </w:tabs>
        <w:spacing w:after="0" w:line="240" w:lineRule="auto"/>
        <w:ind w:right="91"/>
        <w:jc w:val="right"/>
        <w:rPr>
          <w:rFonts w:ascii="Times New Roman" w:eastAsia="Times New Roman" w:hAnsi="Times New Roman" w:cs="Times New Roman"/>
          <w:b/>
          <w:sz w:val="24"/>
          <w:szCs w:val="24"/>
        </w:rPr>
      </w:pPr>
    </w:p>
    <w:p w:rsidR="007F029E" w:rsidRDefault="007F029E" w:rsidP="00AB2DC0">
      <w:pPr>
        <w:tabs>
          <w:tab w:val="right" w:leader="dot" w:pos="7938"/>
        </w:tabs>
        <w:spacing w:after="0" w:line="240" w:lineRule="auto"/>
        <w:ind w:right="91"/>
        <w:jc w:val="right"/>
        <w:rPr>
          <w:rFonts w:ascii="Times New Roman" w:eastAsia="Times New Roman" w:hAnsi="Times New Roman" w:cs="Times New Roman"/>
          <w:b/>
          <w:sz w:val="24"/>
          <w:szCs w:val="24"/>
        </w:rPr>
      </w:pPr>
    </w:p>
    <w:p w:rsidR="007F029E" w:rsidRDefault="007F029E" w:rsidP="00AB2DC0">
      <w:pPr>
        <w:tabs>
          <w:tab w:val="right" w:leader="dot" w:pos="7938"/>
        </w:tabs>
        <w:spacing w:after="0" w:line="240" w:lineRule="auto"/>
        <w:ind w:right="91"/>
        <w:jc w:val="right"/>
        <w:rPr>
          <w:rFonts w:ascii="Times New Roman" w:eastAsia="Times New Roman" w:hAnsi="Times New Roman" w:cs="Times New Roman"/>
          <w:b/>
          <w:sz w:val="24"/>
          <w:szCs w:val="24"/>
        </w:rPr>
      </w:pPr>
    </w:p>
    <w:p w:rsidR="007F029E" w:rsidRDefault="007F029E" w:rsidP="00AB2DC0">
      <w:pPr>
        <w:tabs>
          <w:tab w:val="right" w:leader="dot" w:pos="7938"/>
        </w:tabs>
        <w:spacing w:after="0" w:line="240" w:lineRule="auto"/>
        <w:ind w:right="91"/>
        <w:jc w:val="right"/>
        <w:rPr>
          <w:rFonts w:ascii="Times New Roman" w:eastAsia="Times New Roman" w:hAnsi="Times New Roman" w:cs="Times New Roman"/>
          <w:b/>
          <w:sz w:val="24"/>
          <w:szCs w:val="24"/>
        </w:rPr>
      </w:pPr>
    </w:p>
    <w:p w:rsidR="007F029E" w:rsidRDefault="007F029E" w:rsidP="00AB2DC0">
      <w:pPr>
        <w:tabs>
          <w:tab w:val="right" w:leader="dot" w:pos="7938"/>
        </w:tabs>
        <w:spacing w:after="0" w:line="240" w:lineRule="auto"/>
        <w:ind w:right="91"/>
        <w:jc w:val="right"/>
        <w:rPr>
          <w:rFonts w:ascii="Times New Roman" w:eastAsia="Times New Roman" w:hAnsi="Times New Roman" w:cs="Times New Roman"/>
          <w:b/>
          <w:sz w:val="24"/>
          <w:szCs w:val="24"/>
        </w:rPr>
      </w:pPr>
    </w:p>
    <w:p w:rsidR="007F029E" w:rsidRDefault="007F029E" w:rsidP="00AB2DC0">
      <w:pPr>
        <w:tabs>
          <w:tab w:val="right" w:leader="dot" w:pos="7938"/>
        </w:tabs>
        <w:spacing w:after="0" w:line="240" w:lineRule="auto"/>
        <w:ind w:right="91"/>
        <w:jc w:val="right"/>
        <w:rPr>
          <w:rFonts w:ascii="Times New Roman" w:eastAsia="Times New Roman" w:hAnsi="Times New Roman" w:cs="Times New Roman"/>
          <w:b/>
          <w:sz w:val="24"/>
          <w:szCs w:val="24"/>
        </w:rPr>
      </w:pPr>
    </w:p>
    <w:p w:rsidR="007F029E" w:rsidRDefault="007F029E" w:rsidP="00AB2DC0">
      <w:pPr>
        <w:tabs>
          <w:tab w:val="right" w:leader="dot" w:pos="7938"/>
        </w:tabs>
        <w:spacing w:after="0" w:line="240" w:lineRule="auto"/>
        <w:ind w:right="91"/>
        <w:jc w:val="right"/>
        <w:rPr>
          <w:rFonts w:ascii="Times New Roman" w:eastAsia="Times New Roman" w:hAnsi="Times New Roman" w:cs="Times New Roman"/>
          <w:b/>
          <w:sz w:val="24"/>
          <w:szCs w:val="24"/>
        </w:rPr>
      </w:pPr>
    </w:p>
    <w:p w:rsidR="007F029E" w:rsidRDefault="007F029E" w:rsidP="00AB2DC0">
      <w:pPr>
        <w:tabs>
          <w:tab w:val="right" w:leader="dot" w:pos="7938"/>
        </w:tabs>
        <w:spacing w:after="0" w:line="240" w:lineRule="auto"/>
        <w:ind w:right="91"/>
        <w:jc w:val="right"/>
        <w:rPr>
          <w:rFonts w:ascii="Times New Roman" w:eastAsia="Times New Roman" w:hAnsi="Times New Roman" w:cs="Times New Roman"/>
          <w:b/>
          <w:sz w:val="24"/>
          <w:szCs w:val="24"/>
        </w:rPr>
      </w:pPr>
    </w:p>
    <w:p w:rsidR="007F029E" w:rsidRDefault="007F029E" w:rsidP="00AB2DC0">
      <w:pPr>
        <w:tabs>
          <w:tab w:val="right" w:leader="dot" w:pos="7938"/>
        </w:tabs>
        <w:spacing w:after="0" w:line="240" w:lineRule="auto"/>
        <w:ind w:right="91"/>
        <w:jc w:val="right"/>
        <w:rPr>
          <w:rFonts w:ascii="Times New Roman" w:eastAsia="Times New Roman" w:hAnsi="Times New Roman" w:cs="Times New Roman"/>
          <w:b/>
          <w:sz w:val="24"/>
          <w:szCs w:val="24"/>
        </w:rPr>
      </w:pPr>
    </w:p>
    <w:p w:rsidR="007F029E" w:rsidRDefault="007F029E" w:rsidP="00AB2DC0">
      <w:pPr>
        <w:tabs>
          <w:tab w:val="right" w:leader="dot" w:pos="7938"/>
        </w:tabs>
        <w:spacing w:after="0" w:line="240" w:lineRule="auto"/>
        <w:ind w:right="91"/>
        <w:jc w:val="right"/>
        <w:rPr>
          <w:rFonts w:ascii="Times New Roman" w:eastAsia="Times New Roman" w:hAnsi="Times New Roman" w:cs="Times New Roman"/>
          <w:b/>
          <w:sz w:val="24"/>
          <w:szCs w:val="24"/>
        </w:rPr>
      </w:pPr>
    </w:p>
    <w:p w:rsidR="007F029E" w:rsidRDefault="007F029E" w:rsidP="00AB2DC0">
      <w:pPr>
        <w:tabs>
          <w:tab w:val="right" w:leader="dot" w:pos="7938"/>
        </w:tabs>
        <w:spacing w:after="0" w:line="240" w:lineRule="auto"/>
        <w:ind w:right="91"/>
        <w:jc w:val="right"/>
        <w:rPr>
          <w:rFonts w:ascii="Times New Roman" w:eastAsia="Times New Roman" w:hAnsi="Times New Roman" w:cs="Times New Roman"/>
          <w:b/>
          <w:sz w:val="24"/>
          <w:szCs w:val="24"/>
        </w:rPr>
      </w:pPr>
    </w:p>
    <w:p w:rsidR="007F029E" w:rsidRDefault="007F029E" w:rsidP="00AB2DC0">
      <w:pPr>
        <w:tabs>
          <w:tab w:val="right" w:leader="dot" w:pos="7938"/>
        </w:tabs>
        <w:spacing w:after="0" w:line="240" w:lineRule="auto"/>
        <w:ind w:right="91"/>
        <w:jc w:val="right"/>
        <w:rPr>
          <w:rFonts w:ascii="Times New Roman" w:eastAsia="Times New Roman" w:hAnsi="Times New Roman" w:cs="Times New Roman"/>
          <w:b/>
          <w:sz w:val="24"/>
          <w:szCs w:val="24"/>
        </w:rPr>
      </w:pPr>
    </w:p>
    <w:p w:rsidR="007F029E" w:rsidRDefault="007F029E" w:rsidP="00AB2DC0">
      <w:pPr>
        <w:tabs>
          <w:tab w:val="right" w:leader="dot" w:pos="7938"/>
        </w:tabs>
        <w:spacing w:after="0" w:line="240" w:lineRule="auto"/>
        <w:ind w:right="91"/>
        <w:jc w:val="right"/>
        <w:rPr>
          <w:rFonts w:ascii="Times New Roman" w:eastAsia="Times New Roman" w:hAnsi="Times New Roman" w:cs="Times New Roman"/>
          <w:b/>
          <w:sz w:val="24"/>
          <w:szCs w:val="24"/>
        </w:rPr>
      </w:pPr>
    </w:p>
    <w:p w:rsidR="007F029E" w:rsidRDefault="007F029E" w:rsidP="007F029E">
      <w:pPr>
        <w:tabs>
          <w:tab w:val="right" w:leader="dot" w:pos="7938"/>
        </w:tabs>
        <w:spacing w:after="0" w:line="240" w:lineRule="auto"/>
        <w:ind w:right="91"/>
        <w:rPr>
          <w:rFonts w:ascii="Times New Roman" w:eastAsia="Times New Roman" w:hAnsi="Times New Roman" w:cs="Times New Roman"/>
          <w:b/>
          <w:sz w:val="24"/>
          <w:szCs w:val="24"/>
        </w:rPr>
      </w:pPr>
    </w:p>
    <w:p w:rsidR="007F029E" w:rsidRDefault="007F029E" w:rsidP="00AB2DC0">
      <w:pPr>
        <w:tabs>
          <w:tab w:val="right" w:leader="dot" w:pos="7938"/>
        </w:tabs>
        <w:spacing w:after="0" w:line="240" w:lineRule="auto"/>
        <w:ind w:right="91"/>
        <w:jc w:val="right"/>
        <w:rPr>
          <w:rFonts w:ascii="Times New Roman" w:eastAsia="Times New Roman" w:hAnsi="Times New Roman" w:cs="Times New Roman"/>
          <w:b/>
          <w:sz w:val="24"/>
          <w:szCs w:val="24"/>
        </w:rPr>
      </w:pPr>
    </w:p>
    <w:p w:rsidR="00AB2DC0" w:rsidRPr="00737C42" w:rsidRDefault="00737C42" w:rsidP="00AB2DC0">
      <w:pPr>
        <w:tabs>
          <w:tab w:val="right" w:leader="dot" w:pos="7938"/>
        </w:tabs>
        <w:spacing w:after="0" w:line="240" w:lineRule="auto"/>
        <w:ind w:right="91"/>
        <w:jc w:val="right"/>
        <w:rPr>
          <w:rFonts w:ascii="Times New Roman" w:eastAsia="Times New Roman" w:hAnsi="Times New Roman" w:cs="Times New Roman"/>
          <w:sz w:val="24"/>
          <w:szCs w:val="24"/>
        </w:rPr>
      </w:pPr>
      <w:r w:rsidRPr="00737C42">
        <w:rPr>
          <w:rFonts w:ascii="Times New Roman" w:eastAsia="Times New Roman" w:hAnsi="Times New Roman" w:cs="Times New Roman"/>
          <w:sz w:val="24"/>
          <w:szCs w:val="24"/>
        </w:rPr>
        <w:lastRenderedPageBreak/>
        <w:t>ATTACHMENT</w:t>
      </w:r>
      <w:r w:rsidR="00AB2DC0" w:rsidRPr="00737C42">
        <w:rPr>
          <w:rFonts w:ascii="Times New Roman" w:eastAsia="Times New Roman" w:hAnsi="Times New Roman" w:cs="Times New Roman"/>
          <w:sz w:val="24"/>
          <w:szCs w:val="24"/>
        </w:rPr>
        <w:t xml:space="preserve"> </w:t>
      </w:r>
      <w:r w:rsidR="007F029E" w:rsidRPr="00737C42">
        <w:rPr>
          <w:rFonts w:ascii="Times New Roman" w:eastAsia="Times New Roman" w:hAnsi="Times New Roman" w:cs="Times New Roman"/>
          <w:sz w:val="24"/>
          <w:szCs w:val="24"/>
        </w:rPr>
        <w:t>B</w:t>
      </w:r>
    </w:p>
    <w:p w:rsidR="00817F81" w:rsidRDefault="00817F81" w:rsidP="00817F81">
      <w:pPr>
        <w:spacing w:after="0" w:line="240" w:lineRule="auto"/>
        <w:ind w:right="91"/>
        <w:jc w:val="right"/>
        <w:rPr>
          <w:rFonts w:ascii="Times New Roman" w:eastAsia="Times New Roman" w:hAnsi="Times New Roman" w:cs="Times New Roman"/>
          <w:sz w:val="24"/>
          <w:szCs w:val="24"/>
          <w:u w:val="single"/>
        </w:rPr>
      </w:pPr>
    </w:p>
    <w:p w:rsidR="00A572F3" w:rsidRDefault="003535EE">
      <w:pPr>
        <w:rPr>
          <w:rFonts w:ascii="Times New Roman" w:hAnsi="Times New Roman" w:cs="Times New Roman"/>
          <w:b/>
        </w:rPr>
      </w:pPr>
      <w:r w:rsidRPr="003535EE">
        <w:rPr>
          <w:rFonts w:ascii="Times New Roman" w:hAnsi="Times New Roman" w:cs="Times New Roman"/>
          <w:b/>
          <w:u w:val="single"/>
        </w:rPr>
        <w:t>Details</w:t>
      </w:r>
      <w:r>
        <w:rPr>
          <w:rFonts w:ascii="Times New Roman" w:hAnsi="Times New Roman" w:cs="Times New Roman"/>
          <w:b/>
          <w:u w:val="single"/>
        </w:rPr>
        <w:t xml:space="preserve"> of the </w:t>
      </w:r>
      <w:r w:rsidR="007B14EE" w:rsidRPr="007B14EE">
        <w:rPr>
          <w:rFonts w:ascii="Times New Roman" w:hAnsi="Times New Roman" w:cs="Times New Roman"/>
          <w:b/>
          <w:u w:val="single"/>
        </w:rPr>
        <w:t>Proceeds of Crime Amendment (Approved Examiners and Other Measures) Regulation 2016</w:t>
      </w:r>
    </w:p>
    <w:p w:rsidR="004543BC" w:rsidRPr="00813FC8" w:rsidRDefault="004543BC" w:rsidP="004543BC">
      <w:pPr>
        <w:pStyle w:val="ActHead5"/>
        <w:rPr>
          <w:b w:val="0"/>
          <w:u w:val="single"/>
        </w:rPr>
      </w:pPr>
      <w:bookmarkStart w:id="0" w:name="_Toc445373288"/>
      <w:r w:rsidRPr="00813FC8">
        <w:rPr>
          <w:rStyle w:val="CharSectno"/>
          <w:b w:val="0"/>
          <w:u w:val="single"/>
        </w:rPr>
        <w:t>Section 1</w:t>
      </w:r>
      <w:r w:rsidRPr="00813FC8">
        <w:rPr>
          <w:b w:val="0"/>
          <w:u w:val="single"/>
        </w:rPr>
        <w:t xml:space="preserve"> – Name</w:t>
      </w:r>
      <w:bookmarkEnd w:id="0"/>
      <w:r w:rsidRPr="00813FC8">
        <w:rPr>
          <w:b w:val="0"/>
          <w:u w:val="single"/>
        </w:rPr>
        <w:t xml:space="preserve"> of Regulation</w:t>
      </w:r>
    </w:p>
    <w:p w:rsidR="004543BC" w:rsidRPr="00C15362" w:rsidRDefault="004543BC" w:rsidP="004543BC">
      <w:pPr>
        <w:pStyle w:val="subsection"/>
        <w:tabs>
          <w:tab w:val="clear" w:pos="1021"/>
        </w:tabs>
        <w:ind w:left="0" w:firstLine="0"/>
      </w:pPr>
      <w:r w:rsidRPr="00C15362">
        <w:t xml:space="preserve">This </w:t>
      </w:r>
      <w:r>
        <w:t xml:space="preserve">section provides that the title of the Regulation </w:t>
      </w:r>
      <w:r w:rsidRPr="00C15362">
        <w:t>is the</w:t>
      </w:r>
      <w:r w:rsidR="007B14EE" w:rsidRPr="007B14EE">
        <w:t xml:space="preserve"> </w:t>
      </w:r>
      <w:r w:rsidR="007B14EE" w:rsidRPr="007B14EE">
        <w:rPr>
          <w:i/>
        </w:rPr>
        <w:t>Proceeds of Crime Amendment (Approved Examiners and Other Measures) Regulation 2016</w:t>
      </w:r>
      <w:r w:rsidRPr="00C15362">
        <w:t>.</w:t>
      </w:r>
    </w:p>
    <w:p w:rsidR="004543BC" w:rsidRPr="00813FC8" w:rsidRDefault="004543BC" w:rsidP="004543BC">
      <w:pPr>
        <w:pStyle w:val="ActHead5"/>
        <w:rPr>
          <w:b w:val="0"/>
          <w:u w:val="single"/>
        </w:rPr>
      </w:pPr>
      <w:bookmarkStart w:id="1" w:name="_Toc445373289"/>
      <w:r w:rsidRPr="00813FC8">
        <w:rPr>
          <w:rStyle w:val="CharSectno"/>
          <w:b w:val="0"/>
          <w:u w:val="single"/>
        </w:rPr>
        <w:t>Section 2</w:t>
      </w:r>
      <w:r w:rsidRPr="00813FC8">
        <w:rPr>
          <w:b w:val="0"/>
          <w:u w:val="single"/>
        </w:rPr>
        <w:t xml:space="preserve"> – Commencement</w:t>
      </w:r>
      <w:bookmarkEnd w:id="1"/>
    </w:p>
    <w:p w:rsidR="004543BC" w:rsidRPr="00C15362" w:rsidRDefault="004543BC" w:rsidP="004543BC">
      <w:pPr>
        <w:pStyle w:val="subsection"/>
        <w:tabs>
          <w:tab w:val="clear" w:pos="1021"/>
        </w:tabs>
        <w:ind w:left="0" w:firstLine="0"/>
      </w:pPr>
      <w:r>
        <w:t xml:space="preserve">This section provides for </w:t>
      </w:r>
      <w:r w:rsidR="007B14EE">
        <w:t>the legislative instrument</w:t>
      </w:r>
      <w:r>
        <w:t xml:space="preserve"> to commence on the day after the instrument is registered. </w:t>
      </w:r>
    </w:p>
    <w:p w:rsidR="004543BC" w:rsidRPr="00813FC8" w:rsidRDefault="004543BC" w:rsidP="004543BC">
      <w:pPr>
        <w:pStyle w:val="ActHead5"/>
        <w:rPr>
          <w:b w:val="0"/>
          <w:u w:val="single"/>
        </w:rPr>
      </w:pPr>
      <w:bookmarkStart w:id="2" w:name="_Toc445373290"/>
      <w:r w:rsidRPr="00813FC8">
        <w:rPr>
          <w:rStyle w:val="CharSectno"/>
          <w:b w:val="0"/>
          <w:u w:val="single"/>
        </w:rPr>
        <w:t>Section 3</w:t>
      </w:r>
      <w:r w:rsidRPr="00813FC8">
        <w:rPr>
          <w:b w:val="0"/>
          <w:u w:val="single"/>
        </w:rPr>
        <w:t xml:space="preserve"> – Authority</w:t>
      </w:r>
      <w:bookmarkEnd w:id="2"/>
    </w:p>
    <w:p w:rsidR="004543BC" w:rsidRPr="00C15362" w:rsidRDefault="004543BC" w:rsidP="004543BC">
      <w:pPr>
        <w:pStyle w:val="subsection"/>
      </w:pPr>
      <w:r>
        <w:tab/>
      </w:r>
      <w:r w:rsidRPr="00C15362">
        <w:t xml:space="preserve">This </w:t>
      </w:r>
      <w:r>
        <w:t xml:space="preserve">section provides that the </w:t>
      </w:r>
      <w:r w:rsidR="007B14EE">
        <w:t>instrument</w:t>
      </w:r>
      <w:r>
        <w:t xml:space="preserve"> is made </w:t>
      </w:r>
      <w:r w:rsidRPr="00C15362">
        <w:t>under the</w:t>
      </w:r>
      <w:r w:rsidR="00927BBA">
        <w:t xml:space="preserve"> POC Act</w:t>
      </w:r>
      <w:r w:rsidRPr="00C15362">
        <w:rPr>
          <w:i/>
        </w:rPr>
        <w:t>.</w:t>
      </w:r>
    </w:p>
    <w:p w:rsidR="004543BC" w:rsidRPr="00813FC8" w:rsidRDefault="004543BC" w:rsidP="004543BC">
      <w:pPr>
        <w:pStyle w:val="ActHead5"/>
        <w:rPr>
          <w:b w:val="0"/>
          <w:u w:val="single"/>
        </w:rPr>
      </w:pPr>
      <w:bookmarkStart w:id="3" w:name="_Toc445373291"/>
      <w:r w:rsidRPr="00813FC8">
        <w:rPr>
          <w:rStyle w:val="CharSectno"/>
          <w:b w:val="0"/>
          <w:u w:val="single"/>
        </w:rPr>
        <w:t>Section 4</w:t>
      </w:r>
      <w:r w:rsidRPr="00813FC8">
        <w:rPr>
          <w:b w:val="0"/>
          <w:u w:val="single"/>
        </w:rPr>
        <w:t xml:space="preserve"> – Schedules</w:t>
      </w:r>
      <w:bookmarkEnd w:id="3"/>
    </w:p>
    <w:p w:rsidR="004543BC" w:rsidRDefault="004543BC" w:rsidP="004543BC">
      <w:pPr>
        <w:pStyle w:val="subsection"/>
        <w:tabs>
          <w:tab w:val="clear" w:pos="1021"/>
        </w:tabs>
        <w:ind w:left="0" w:firstLine="0"/>
      </w:pPr>
      <w:r>
        <w:t xml:space="preserve">This section provides that the Principal Regulation </w:t>
      </w:r>
      <w:r w:rsidRPr="00C15362">
        <w:t xml:space="preserve">specified in a Schedule to </w:t>
      </w:r>
      <w:r>
        <w:t xml:space="preserve">the Regulation </w:t>
      </w:r>
      <w:r w:rsidRPr="00C15362">
        <w:t>is amended or repealed as set out in the applicable items in the Schedule concerned, and any other item in a Schedule to this instrument has effect according to its terms.</w:t>
      </w:r>
      <w:bookmarkStart w:id="4" w:name="_Toc445373293"/>
    </w:p>
    <w:p w:rsidR="004543BC" w:rsidRPr="00022030" w:rsidRDefault="004543BC" w:rsidP="004543BC">
      <w:pPr>
        <w:pStyle w:val="subsection"/>
        <w:tabs>
          <w:tab w:val="clear" w:pos="1021"/>
        </w:tabs>
        <w:ind w:left="0" w:firstLine="0"/>
        <w:rPr>
          <w:sz w:val="24"/>
          <w:szCs w:val="24"/>
          <w:u w:val="single"/>
        </w:rPr>
      </w:pPr>
      <w:r w:rsidRPr="00022030">
        <w:rPr>
          <w:sz w:val="24"/>
          <w:szCs w:val="24"/>
          <w:u w:val="single"/>
        </w:rPr>
        <w:t>Schedule 1 – Amendments</w:t>
      </w:r>
    </w:p>
    <w:p w:rsidR="00832DFD" w:rsidRPr="00022030" w:rsidRDefault="00832DFD" w:rsidP="00832DFD">
      <w:pPr>
        <w:pStyle w:val="subsection"/>
        <w:tabs>
          <w:tab w:val="clear" w:pos="1021"/>
        </w:tabs>
        <w:ind w:left="0" w:firstLine="0"/>
        <w:rPr>
          <w:b/>
        </w:rPr>
      </w:pPr>
      <w:r w:rsidRPr="00022030">
        <w:rPr>
          <w:b/>
          <w:i/>
        </w:rPr>
        <w:t>Proceeds of Crime Regulations 2002</w:t>
      </w:r>
    </w:p>
    <w:p w:rsidR="00022030" w:rsidRPr="00022030" w:rsidRDefault="00832DFD" w:rsidP="004543BC">
      <w:pPr>
        <w:pStyle w:val="subsection"/>
        <w:tabs>
          <w:tab w:val="clear" w:pos="1021"/>
        </w:tabs>
        <w:ind w:left="0" w:firstLine="0"/>
        <w:rPr>
          <w:b/>
        </w:rPr>
      </w:pPr>
      <w:r w:rsidRPr="00022030">
        <w:rPr>
          <w:b/>
        </w:rPr>
        <w:t>Item [</w:t>
      </w:r>
      <w:r w:rsidR="00022030" w:rsidRPr="00022030">
        <w:rPr>
          <w:b/>
        </w:rPr>
        <w:t>1</w:t>
      </w:r>
      <w:r w:rsidRPr="00022030">
        <w:rPr>
          <w:b/>
        </w:rPr>
        <w:t>] –</w:t>
      </w:r>
      <w:r w:rsidR="00022030" w:rsidRPr="00022030">
        <w:rPr>
          <w:b/>
        </w:rPr>
        <w:t xml:space="preserve"> Regulation 5</w:t>
      </w:r>
    </w:p>
    <w:p w:rsidR="00022030" w:rsidRDefault="0035081A" w:rsidP="004543BC">
      <w:pPr>
        <w:pStyle w:val="subsection"/>
        <w:tabs>
          <w:tab w:val="clear" w:pos="1021"/>
        </w:tabs>
        <w:ind w:left="0" w:firstLine="0"/>
        <w:rPr>
          <w:szCs w:val="22"/>
        </w:rPr>
      </w:pPr>
      <w:r w:rsidRPr="0035081A">
        <w:rPr>
          <w:szCs w:val="22"/>
        </w:rPr>
        <w:t xml:space="preserve">Includes declarations that property has been </w:t>
      </w:r>
      <w:r w:rsidR="00684B9F">
        <w:rPr>
          <w:szCs w:val="22"/>
        </w:rPr>
        <w:t xml:space="preserve">automatically </w:t>
      </w:r>
      <w:r w:rsidRPr="0035081A">
        <w:rPr>
          <w:szCs w:val="22"/>
        </w:rPr>
        <w:t xml:space="preserve">forfeited </w:t>
      </w:r>
      <w:r w:rsidR="00684B9F">
        <w:rPr>
          <w:szCs w:val="22"/>
        </w:rPr>
        <w:t>under a serious drug offender order or an unexplained wealth forfeiture</w:t>
      </w:r>
      <w:r w:rsidR="00927BBA">
        <w:rPr>
          <w:szCs w:val="22"/>
        </w:rPr>
        <w:t xml:space="preserve"> order</w:t>
      </w:r>
      <w:r w:rsidR="00684B9F">
        <w:rPr>
          <w:szCs w:val="22"/>
        </w:rPr>
        <w:t xml:space="preserve"> </w:t>
      </w:r>
      <w:r w:rsidRPr="0035081A">
        <w:rPr>
          <w:szCs w:val="22"/>
        </w:rPr>
        <w:t xml:space="preserve">under the </w:t>
      </w:r>
      <w:r w:rsidRPr="0035081A">
        <w:rPr>
          <w:i/>
          <w:szCs w:val="22"/>
        </w:rPr>
        <w:t>Confiscation Act 1997</w:t>
      </w:r>
      <w:r w:rsidRPr="0035081A">
        <w:rPr>
          <w:szCs w:val="22"/>
        </w:rPr>
        <w:t xml:space="preserve"> </w:t>
      </w:r>
      <w:r>
        <w:rPr>
          <w:szCs w:val="22"/>
        </w:rPr>
        <w:t xml:space="preserve">(Vic) </w:t>
      </w:r>
      <w:r w:rsidRPr="0035081A">
        <w:rPr>
          <w:szCs w:val="22"/>
        </w:rPr>
        <w:t xml:space="preserve">as ‘corresponding laws’ for the purposes of the POC Act. </w:t>
      </w:r>
    </w:p>
    <w:p w:rsidR="00684B9F" w:rsidRPr="00022030" w:rsidRDefault="00684B9F" w:rsidP="00684B9F">
      <w:pPr>
        <w:pStyle w:val="subsection"/>
        <w:tabs>
          <w:tab w:val="clear" w:pos="1021"/>
        </w:tabs>
        <w:ind w:left="0" w:firstLine="0"/>
        <w:rPr>
          <w:b/>
        </w:rPr>
      </w:pPr>
      <w:r w:rsidRPr="00022030">
        <w:rPr>
          <w:b/>
        </w:rPr>
        <w:t>Item [</w:t>
      </w:r>
      <w:r>
        <w:rPr>
          <w:b/>
        </w:rPr>
        <w:t>2</w:t>
      </w:r>
      <w:r w:rsidRPr="00022030">
        <w:rPr>
          <w:b/>
        </w:rPr>
        <w:t>]</w:t>
      </w:r>
      <w:r>
        <w:rPr>
          <w:b/>
        </w:rPr>
        <w:t xml:space="preserve"> and [3]</w:t>
      </w:r>
      <w:r w:rsidRPr="00022030">
        <w:rPr>
          <w:b/>
        </w:rPr>
        <w:t xml:space="preserve"> –</w:t>
      </w:r>
      <w:r>
        <w:rPr>
          <w:b/>
        </w:rPr>
        <w:t xml:space="preserve"> Regulation 7</w:t>
      </w:r>
    </w:p>
    <w:p w:rsidR="00684B9F" w:rsidRDefault="00684B9F" w:rsidP="00684B9F">
      <w:pPr>
        <w:pStyle w:val="subsection"/>
        <w:tabs>
          <w:tab w:val="clear" w:pos="1021"/>
        </w:tabs>
        <w:ind w:left="0" w:firstLine="0"/>
        <w:rPr>
          <w:szCs w:val="22"/>
        </w:rPr>
      </w:pPr>
      <w:r w:rsidRPr="0035081A">
        <w:rPr>
          <w:szCs w:val="22"/>
        </w:rPr>
        <w:t xml:space="preserve">Includes </w:t>
      </w:r>
      <w:r>
        <w:rPr>
          <w:szCs w:val="22"/>
        </w:rPr>
        <w:t xml:space="preserve">unexplained </w:t>
      </w:r>
      <w:r w:rsidR="00F511AB">
        <w:rPr>
          <w:szCs w:val="22"/>
        </w:rPr>
        <w:t xml:space="preserve">wealth </w:t>
      </w:r>
      <w:r>
        <w:rPr>
          <w:szCs w:val="22"/>
        </w:rPr>
        <w:t xml:space="preserve">restraining orders under the </w:t>
      </w:r>
      <w:r w:rsidRPr="0035081A">
        <w:rPr>
          <w:i/>
          <w:szCs w:val="22"/>
        </w:rPr>
        <w:t>Confiscation Act 1997</w:t>
      </w:r>
      <w:r w:rsidRPr="0035081A">
        <w:rPr>
          <w:szCs w:val="22"/>
        </w:rPr>
        <w:t xml:space="preserve"> </w:t>
      </w:r>
      <w:r>
        <w:rPr>
          <w:szCs w:val="22"/>
        </w:rPr>
        <w:t xml:space="preserve">(Vic) and interim restraining orders under the </w:t>
      </w:r>
      <w:r w:rsidRPr="00927BBA">
        <w:rPr>
          <w:i/>
          <w:szCs w:val="22"/>
        </w:rPr>
        <w:t>Criminal Property Forfeiture Act</w:t>
      </w:r>
      <w:r>
        <w:rPr>
          <w:szCs w:val="22"/>
        </w:rPr>
        <w:t xml:space="preserve"> (NT) as </w:t>
      </w:r>
      <w:r w:rsidRPr="0035081A">
        <w:rPr>
          <w:szCs w:val="22"/>
        </w:rPr>
        <w:t xml:space="preserve">‘corresponding laws’ for the purposes of the POC Act.  </w:t>
      </w:r>
    </w:p>
    <w:p w:rsidR="00684B9F" w:rsidRPr="00684B9F" w:rsidRDefault="00684B9F" w:rsidP="00684B9F">
      <w:pPr>
        <w:pStyle w:val="subsection"/>
        <w:tabs>
          <w:tab w:val="clear" w:pos="1021"/>
        </w:tabs>
        <w:ind w:left="0" w:firstLine="0"/>
        <w:rPr>
          <w:b/>
          <w:szCs w:val="22"/>
        </w:rPr>
      </w:pPr>
      <w:r w:rsidRPr="00684B9F">
        <w:rPr>
          <w:b/>
          <w:szCs w:val="22"/>
        </w:rPr>
        <w:t xml:space="preserve">Item [4] – Regulation 12 </w:t>
      </w:r>
    </w:p>
    <w:p w:rsidR="00B27BCA" w:rsidRPr="009D6DF1" w:rsidRDefault="00F511AB" w:rsidP="004543BC">
      <w:pPr>
        <w:pStyle w:val="subsection"/>
        <w:tabs>
          <w:tab w:val="clear" w:pos="1021"/>
        </w:tabs>
        <w:ind w:left="0" w:firstLine="0"/>
        <w:rPr>
          <w:iCs/>
          <w:szCs w:val="22"/>
        </w:rPr>
      </w:pPr>
      <w:r w:rsidRPr="00684B9F">
        <w:rPr>
          <w:szCs w:val="22"/>
        </w:rPr>
        <w:t>Removes the requirement that the Minister keep a register for the purposes of section 183 of t</w:t>
      </w:r>
      <w:r>
        <w:rPr>
          <w:szCs w:val="22"/>
        </w:rPr>
        <w:t>he POC Act and clarifies the persons and offices that can be appointed as approved examiners under this section as: presidential members of the Administrative Appeals Tribunal (AAT), non-presidential members of the AAT enrolled as a legal practitioner for at least 5 years, and persons who have held the office of judge or magistrate and have stated, in writing, willingness to be an approved examiner.</w:t>
      </w:r>
      <w:bookmarkStart w:id="5" w:name="_GoBack"/>
      <w:bookmarkEnd w:id="5"/>
    </w:p>
    <w:p w:rsidR="007B14EE" w:rsidRPr="00832DFD" w:rsidRDefault="007B14EE" w:rsidP="004543BC">
      <w:pPr>
        <w:pStyle w:val="subsection"/>
        <w:tabs>
          <w:tab w:val="clear" w:pos="1021"/>
        </w:tabs>
        <w:ind w:left="0" w:firstLine="0"/>
        <w:rPr>
          <w:rStyle w:val="CharAmSchNo"/>
          <w:rFonts w:ascii="Arial" w:hAnsi="Arial"/>
          <w:b/>
          <w:kern w:val="28"/>
          <w:sz w:val="24"/>
          <w:szCs w:val="24"/>
          <w:u w:val="single"/>
        </w:rPr>
      </w:pPr>
      <w:r w:rsidRPr="00832DFD">
        <w:rPr>
          <w:sz w:val="24"/>
          <w:szCs w:val="24"/>
          <w:u w:val="single"/>
        </w:rPr>
        <w:t>Schedule 2 – Amendments</w:t>
      </w:r>
    </w:p>
    <w:bookmarkEnd w:id="4"/>
    <w:p w:rsidR="004543BC" w:rsidRDefault="007B14EE" w:rsidP="004543BC">
      <w:pPr>
        <w:pStyle w:val="subsection"/>
        <w:tabs>
          <w:tab w:val="clear" w:pos="1021"/>
        </w:tabs>
        <w:ind w:left="0" w:firstLine="0"/>
        <w:rPr>
          <w:b/>
        </w:rPr>
      </w:pPr>
      <w:r w:rsidRPr="007B14EE">
        <w:rPr>
          <w:b/>
          <w:i/>
        </w:rPr>
        <w:t>Proceeds of Crime Regulations 2002</w:t>
      </w:r>
    </w:p>
    <w:p w:rsidR="004543BC" w:rsidRDefault="007B14EE" w:rsidP="004543BC">
      <w:pPr>
        <w:pStyle w:val="subsection"/>
        <w:tabs>
          <w:tab w:val="clear" w:pos="1021"/>
        </w:tabs>
        <w:ind w:left="0" w:firstLine="0"/>
        <w:rPr>
          <w:b/>
        </w:rPr>
      </w:pPr>
      <w:r>
        <w:rPr>
          <w:b/>
        </w:rPr>
        <w:t>Item</w:t>
      </w:r>
      <w:r w:rsidR="004543BC">
        <w:rPr>
          <w:b/>
        </w:rPr>
        <w:t xml:space="preserve"> [</w:t>
      </w:r>
      <w:r>
        <w:rPr>
          <w:b/>
        </w:rPr>
        <w:t>1</w:t>
      </w:r>
      <w:r w:rsidR="004543BC">
        <w:rPr>
          <w:b/>
        </w:rPr>
        <w:t xml:space="preserve">] – </w:t>
      </w:r>
      <w:r>
        <w:rPr>
          <w:b/>
        </w:rPr>
        <w:t>Regulation 15</w:t>
      </w:r>
    </w:p>
    <w:p w:rsidR="00737C42" w:rsidRPr="007B14EE" w:rsidRDefault="007B14EE" w:rsidP="007B14EE">
      <w:pPr>
        <w:pStyle w:val="subsection"/>
        <w:tabs>
          <w:tab w:val="clear" w:pos="1021"/>
        </w:tabs>
        <w:ind w:left="0" w:firstLine="0"/>
      </w:pPr>
      <w:proofErr w:type="gramStart"/>
      <w:r>
        <w:t>Increases the rate of remuneration for the Official Trustee in Bankruptcy</w:t>
      </w:r>
      <w:r w:rsidR="004543BC">
        <w:t xml:space="preserve"> </w:t>
      </w:r>
      <w:r>
        <w:t>from $50 per 15 minute period to $62.50 per 15 minute period.</w:t>
      </w:r>
      <w:proofErr w:type="gramEnd"/>
      <w:r w:rsidR="00832DFD">
        <w:t xml:space="preserve"> This increase align</w:t>
      </w:r>
      <w:r w:rsidR="00B33D17">
        <w:t>s</w:t>
      </w:r>
      <w:r w:rsidR="00832DFD">
        <w:t xml:space="preserve"> the Official Trustee’s remuneration rate under the Principal Regulation with the Official Trustee’s remuneration rate in bankruptcy. </w:t>
      </w:r>
    </w:p>
    <w:p w:rsidR="007B14EE" w:rsidRDefault="007B14EE" w:rsidP="007B14EE">
      <w:pPr>
        <w:pStyle w:val="subsection"/>
        <w:tabs>
          <w:tab w:val="clear" w:pos="1021"/>
        </w:tabs>
        <w:ind w:left="0" w:firstLine="0"/>
        <w:rPr>
          <w:b/>
        </w:rPr>
      </w:pPr>
      <w:r>
        <w:rPr>
          <w:b/>
        </w:rPr>
        <w:lastRenderedPageBreak/>
        <w:t>Items [2] and [3] – Regulation 17</w:t>
      </w:r>
    </w:p>
    <w:p w:rsidR="003535EE" w:rsidRDefault="007B14EE" w:rsidP="00832DFD">
      <w:pPr>
        <w:pStyle w:val="subsection"/>
        <w:tabs>
          <w:tab w:val="clear" w:pos="1021"/>
        </w:tabs>
        <w:ind w:left="0" w:firstLine="0"/>
      </w:pPr>
      <w:r>
        <w:t xml:space="preserve">Removes references to the previous annual management fee and increases the annual management fee to $272,500 </w:t>
      </w:r>
      <w:r w:rsidR="00832DFD">
        <w:t xml:space="preserve">for </w:t>
      </w:r>
      <w:r>
        <w:t>the 2016 calendar year</w:t>
      </w:r>
      <w:r w:rsidR="00832DFD">
        <w:t xml:space="preserve"> and each later calendar year</w:t>
      </w:r>
      <w:r>
        <w:t xml:space="preserve">. </w:t>
      </w:r>
      <w:r w:rsidR="00832DFD">
        <w:t>This increase to the annual management fee reflect</w:t>
      </w:r>
      <w:r w:rsidR="00B33D17">
        <w:t>s</w:t>
      </w:r>
      <w:r w:rsidR="00832DFD">
        <w:t xml:space="preserve"> the increased complexity and workload in the Official Trustee’s management of the Confiscated Assets Account. </w:t>
      </w:r>
    </w:p>
    <w:p w:rsidR="00AB2DC0" w:rsidRDefault="00AB2DC0" w:rsidP="00832DFD">
      <w:pPr>
        <w:pStyle w:val="subsection"/>
        <w:tabs>
          <w:tab w:val="clear" w:pos="1021"/>
        </w:tabs>
        <w:ind w:left="0" w:firstLine="0"/>
      </w:pPr>
    </w:p>
    <w:p w:rsidR="00AB2DC0" w:rsidRDefault="00AB2DC0" w:rsidP="00832DFD">
      <w:pPr>
        <w:pStyle w:val="subsection"/>
        <w:tabs>
          <w:tab w:val="clear" w:pos="1021"/>
        </w:tabs>
        <w:ind w:left="0" w:firstLine="0"/>
      </w:pPr>
    </w:p>
    <w:p w:rsidR="00AB2DC0" w:rsidRDefault="00AB2DC0" w:rsidP="00832DFD">
      <w:pPr>
        <w:pStyle w:val="subsection"/>
        <w:tabs>
          <w:tab w:val="clear" w:pos="1021"/>
        </w:tabs>
        <w:ind w:left="0" w:firstLine="0"/>
      </w:pPr>
    </w:p>
    <w:p w:rsidR="00AB2DC0" w:rsidRDefault="00AB2DC0" w:rsidP="00832DFD">
      <w:pPr>
        <w:pStyle w:val="subsection"/>
        <w:tabs>
          <w:tab w:val="clear" w:pos="1021"/>
        </w:tabs>
        <w:ind w:left="0" w:firstLine="0"/>
      </w:pPr>
    </w:p>
    <w:p w:rsidR="00AB2DC0" w:rsidRDefault="00AB2DC0" w:rsidP="00832DFD">
      <w:pPr>
        <w:pStyle w:val="subsection"/>
        <w:tabs>
          <w:tab w:val="clear" w:pos="1021"/>
        </w:tabs>
        <w:ind w:left="0" w:firstLine="0"/>
      </w:pPr>
    </w:p>
    <w:p w:rsidR="00AB2DC0" w:rsidRDefault="00AB2DC0" w:rsidP="00832DFD">
      <w:pPr>
        <w:pStyle w:val="subsection"/>
        <w:tabs>
          <w:tab w:val="clear" w:pos="1021"/>
        </w:tabs>
        <w:ind w:left="0" w:firstLine="0"/>
      </w:pPr>
    </w:p>
    <w:p w:rsidR="00AB2DC0" w:rsidRDefault="00AB2DC0" w:rsidP="00832DFD">
      <w:pPr>
        <w:pStyle w:val="subsection"/>
        <w:tabs>
          <w:tab w:val="clear" w:pos="1021"/>
        </w:tabs>
        <w:ind w:left="0" w:firstLine="0"/>
      </w:pPr>
    </w:p>
    <w:p w:rsidR="00AB2DC0" w:rsidRDefault="00AB2DC0" w:rsidP="00832DFD">
      <w:pPr>
        <w:pStyle w:val="subsection"/>
        <w:tabs>
          <w:tab w:val="clear" w:pos="1021"/>
        </w:tabs>
        <w:ind w:left="0" w:firstLine="0"/>
      </w:pPr>
    </w:p>
    <w:p w:rsidR="00AB2DC0" w:rsidRDefault="00AB2DC0" w:rsidP="00832DFD">
      <w:pPr>
        <w:pStyle w:val="subsection"/>
        <w:tabs>
          <w:tab w:val="clear" w:pos="1021"/>
        </w:tabs>
        <w:ind w:left="0" w:firstLine="0"/>
      </w:pPr>
    </w:p>
    <w:p w:rsidR="00AB2DC0" w:rsidRDefault="00AB2DC0" w:rsidP="00832DFD">
      <w:pPr>
        <w:pStyle w:val="subsection"/>
        <w:tabs>
          <w:tab w:val="clear" w:pos="1021"/>
        </w:tabs>
        <w:ind w:left="0" w:firstLine="0"/>
      </w:pPr>
    </w:p>
    <w:p w:rsidR="00AB2DC0" w:rsidRDefault="00AB2DC0" w:rsidP="00832DFD">
      <w:pPr>
        <w:pStyle w:val="subsection"/>
        <w:tabs>
          <w:tab w:val="clear" w:pos="1021"/>
        </w:tabs>
        <w:ind w:left="0" w:firstLine="0"/>
      </w:pPr>
    </w:p>
    <w:p w:rsidR="00AB2DC0" w:rsidRDefault="00AB2DC0" w:rsidP="00832DFD">
      <w:pPr>
        <w:pStyle w:val="subsection"/>
        <w:tabs>
          <w:tab w:val="clear" w:pos="1021"/>
        </w:tabs>
        <w:ind w:left="0" w:firstLine="0"/>
      </w:pPr>
    </w:p>
    <w:p w:rsidR="00AB2DC0" w:rsidRDefault="00AB2DC0" w:rsidP="00832DFD">
      <w:pPr>
        <w:pStyle w:val="subsection"/>
        <w:tabs>
          <w:tab w:val="clear" w:pos="1021"/>
        </w:tabs>
        <w:ind w:left="0" w:firstLine="0"/>
      </w:pPr>
    </w:p>
    <w:p w:rsidR="00AB2DC0" w:rsidRDefault="00AB2DC0" w:rsidP="00832DFD">
      <w:pPr>
        <w:pStyle w:val="subsection"/>
        <w:tabs>
          <w:tab w:val="clear" w:pos="1021"/>
        </w:tabs>
        <w:ind w:left="0" w:firstLine="0"/>
      </w:pPr>
    </w:p>
    <w:p w:rsidR="00AB2DC0" w:rsidRDefault="00AB2DC0" w:rsidP="00832DFD">
      <w:pPr>
        <w:pStyle w:val="subsection"/>
        <w:tabs>
          <w:tab w:val="clear" w:pos="1021"/>
        </w:tabs>
        <w:ind w:left="0" w:firstLine="0"/>
      </w:pPr>
    </w:p>
    <w:p w:rsidR="00AB2DC0" w:rsidRDefault="00AB2DC0" w:rsidP="00832DFD">
      <w:pPr>
        <w:pStyle w:val="subsection"/>
        <w:tabs>
          <w:tab w:val="clear" w:pos="1021"/>
        </w:tabs>
        <w:ind w:left="0" w:firstLine="0"/>
      </w:pPr>
    </w:p>
    <w:p w:rsidR="00AB2DC0" w:rsidRDefault="00AB2DC0" w:rsidP="00832DFD">
      <w:pPr>
        <w:pStyle w:val="subsection"/>
        <w:tabs>
          <w:tab w:val="clear" w:pos="1021"/>
        </w:tabs>
        <w:ind w:left="0" w:firstLine="0"/>
      </w:pPr>
    </w:p>
    <w:p w:rsidR="00AB2DC0" w:rsidRDefault="00AB2DC0" w:rsidP="00832DFD">
      <w:pPr>
        <w:pStyle w:val="subsection"/>
        <w:tabs>
          <w:tab w:val="clear" w:pos="1021"/>
        </w:tabs>
        <w:ind w:left="0" w:firstLine="0"/>
      </w:pPr>
    </w:p>
    <w:p w:rsidR="00AB2DC0" w:rsidRDefault="00AB2DC0" w:rsidP="00832DFD">
      <w:pPr>
        <w:pStyle w:val="subsection"/>
        <w:tabs>
          <w:tab w:val="clear" w:pos="1021"/>
        </w:tabs>
        <w:ind w:left="0" w:firstLine="0"/>
      </w:pPr>
    </w:p>
    <w:p w:rsidR="00AB2DC0" w:rsidRDefault="00AB2DC0" w:rsidP="00832DFD">
      <w:pPr>
        <w:pStyle w:val="subsection"/>
        <w:tabs>
          <w:tab w:val="clear" w:pos="1021"/>
        </w:tabs>
        <w:ind w:left="0" w:firstLine="0"/>
      </w:pPr>
    </w:p>
    <w:p w:rsidR="00AB2DC0" w:rsidRDefault="00AB2DC0" w:rsidP="00832DFD">
      <w:pPr>
        <w:pStyle w:val="subsection"/>
        <w:tabs>
          <w:tab w:val="clear" w:pos="1021"/>
        </w:tabs>
        <w:ind w:left="0" w:firstLine="0"/>
      </w:pPr>
    </w:p>
    <w:p w:rsidR="00AB2DC0" w:rsidRDefault="00AB2DC0" w:rsidP="00832DFD">
      <w:pPr>
        <w:pStyle w:val="subsection"/>
        <w:tabs>
          <w:tab w:val="clear" w:pos="1021"/>
        </w:tabs>
        <w:ind w:left="0" w:firstLine="0"/>
      </w:pPr>
    </w:p>
    <w:p w:rsidR="00182491" w:rsidRDefault="00182491" w:rsidP="00832DFD">
      <w:pPr>
        <w:pStyle w:val="subsection"/>
        <w:tabs>
          <w:tab w:val="clear" w:pos="1021"/>
        </w:tabs>
        <w:ind w:left="0" w:firstLine="0"/>
      </w:pPr>
    </w:p>
    <w:p w:rsidR="00841FCB" w:rsidRPr="00841FCB" w:rsidRDefault="00841FCB" w:rsidP="00841FCB">
      <w:pPr>
        <w:pStyle w:val="subsection"/>
        <w:tabs>
          <w:tab w:val="clear" w:pos="1021"/>
        </w:tabs>
        <w:ind w:left="0" w:firstLine="0"/>
        <w:rPr>
          <w:b/>
          <w:sz w:val="24"/>
          <w:szCs w:val="24"/>
        </w:rPr>
      </w:pPr>
    </w:p>
    <w:sectPr w:rsidR="00841FCB" w:rsidRPr="00841FCB" w:rsidSect="00EE312D">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6415" w:rsidRDefault="00BB6415" w:rsidP="003535EE">
      <w:pPr>
        <w:spacing w:after="0" w:line="240" w:lineRule="auto"/>
      </w:pPr>
      <w:r>
        <w:separator/>
      </w:r>
    </w:p>
  </w:endnote>
  <w:endnote w:type="continuationSeparator" w:id="0">
    <w:p w:rsidR="00BB6415" w:rsidRDefault="00BB6415" w:rsidP="003535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6415" w:rsidRDefault="00BB6415" w:rsidP="003535EE">
      <w:pPr>
        <w:spacing w:after="0" w:line="240" w:lineRule="auto"/>
      </w:pPr>
      <w:r>
        <w:separator/>
      </w:r>
    </w:p>
  </w:footnote>
  <w:footnote w:type="continuationSeparator" w:id="0">
    <w:p w:rsidR="00BB6415" w:rsidRDefault="00BB6415" w:rsidP="003535E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42011"/>
    <w:multiLevelType w:val="hybridMultilevel"/>
    <w:tmpl w:val="AC52399C"/>
    <w:lvl w:ilvl="0" w:tplc="0C090001">
      <w:start w:val="1"/>
      <w:numFmt w:val="bullet"/>
      <w:lvlText w:val=""/>
      <w:lvlJc w:val="left"/>
      <w:pPr>
        <w:ind w:left="786" w:hanging="360"/>
      </w:pPr>
      <w:rPr>
        <w:rFonts w:ascii="Symbol" w:hAnsi="Symbol" w:hint="default"/>
        <w:b w:val="0"/>
        <w:i w:val="0"/>
        <w:sz w:val="24"/>
        <w:szCs w:val="24"/>
      </w:rPr>
    </w:lvl>
    <w:lvl w:ilvl="1" w:tplc="0C090017">
      <w:start w:val="1"/>
      <w:numFmt w:val="lowerLetter"/>
      <w:lvlText w:val="%2)"/>
      <w:lvlJc w:val="left"/>
      <w:pPr>
        <w:ind w:left="1148" w:hanging="360"/>
      </w:pPr>
    </w:lvl>
    <w:lvl w:ilvl="2" w:tplc="0C09001B" w:tentative="1">
      <w:start w:val="1"/>
      <w:numFmt w:val="lowerRoman"/>
      <w:lvlText w:val="%3."/>
      <w:lvlJc w:val="right"/>
      <w:pPr>
        <w:ind w:left="1868" w:hanging="180"/>
      </w:pPr>
    </w:lvl>
    <w:lvl w:ilvl="3" w:tplc="0C09000F" w:tentative="1">
      <w:start w:val="1"/>
      <w:numFmt w:val="decimal"/>
      <w:lvlText w:val="%4."/>
      <w:lvlJc w:val="left"/>
      <w:pPr>
        <w:ind w:left="2588" w:hanging="360"/>
      </w:pPr>
    </w:lvl>
    <w:lvl w:ilvl="4" w:tplc="0C090019" w:tentative="1">
      <w:start w:val="1"/>
      <w:numFmt w:val="lowerLetter"/>
      <w:lvlText w:val="%5."/>
      <w:lvlJc w:val="left"/>
      <w:pPr>
        <w:ind w:left="3308" w:hanging="360"/>
      </w:pPr>
    </w:lvl>
    <w:lvl w:ilvl="5" w:tplc="0C09001B" w:tentative="1">
      <w:start w:val="1"/>
      <w:numFmt w:val="lowerRoman"/>
      <w:lvlText w:val="%6."/>
      <w:lvlJc w:val="right"/>
      <w:pPr>
        <w:ind w:left="4028" w:hanging="180"/>
      </w:pPr>
    </w:lvl>
    <w:lvl w:ilvl="6" w:tplc="0C09000F" w:tentative="1">
      <w:start w:val="1"/>
      <w:numFmt w:val="decimal"/>
      <w:lvlText w:val="%7."/>
      <w:lvlJc w:val="left"/>
      <w:pPr>
        <w:ind w:left="4748" w:hanging="360"/>
      </w:pPr>
    </w:lvl>
    <w:lvl w:ilvl="7" w:tplc="0C090019" w:tentative="1">
      <w:start w:val="1"/>
      <w:numFmt w:val="lowerLetter"/>
      <w:lvlText w:val="%8."/>
      <w:lvlJc w:val="left"/>
      <w:pPr>
        <w:ind w:left="5468" w:hanging="360"/>
      </w:pPr>
    </w:lvl>
    <w:lvl w:ilvl="8" w:tplc="0C09001B" w:tentative="1">
      <w:start w:val="1"/>
      <w:numFmt w:val="lowerRoman"/>
      <w:lvlText w:val="%9."/>
      <w:lvlJc w:val="right"/>
      <w:pPr>
        <w:ind w:left="6188" w:hanging="180"/>
      </w:pPr>
    </w:lvl>
  </w:abstractNum>
  <w:abstractNum w:abstractNumId="1">
    <w:nsid w:val="17123451"/>
    <w:multiLevelType w:val="hybridMultilevel"/>
    <w:tmpl w:val="664855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B204B72"/>
    <w:multiLevelType w:val="hybridMultilevel"/>
    <w:tmpl w:val="4770FCCC"/>
    <w:lvl w:ilvl="0" w:tplc="0C090001">
      <w:start w:val="1"/>
      <w:numFmt w:val="bullet"/>
      <w:lvlText w:val=""/>
      <w:lvlJc w:val="left"/>
      <w:pPr>
        <w:ind w:left="786" w:hanging="360"/>
      </w:pPr>
      <w:rPr>
        <w:rFonts w:ascii="Symbol" w:hAnsi="Symbol" w:hint="default"/>
        <w:b w:val="0"/>
        <w:i w:val="0"/>
        <w:sz w:val="24"/>
        <w:szCs w:val="24"/>
      </w:rPr>
    </w:lvl>
    <w:lvl w:ilvl="1" w:tplc="0C090017">
      <w:start w:val="1"/>
      <w:numFmt w:val="lowerLetter"/>
      <w:lvlText w:val="%2)"/>
      <w:lvlJc w:val="left"/>
      <w:pPr>
        <w:ind w:left="1148" w:hanging="360"/>
      </w:pPr>
    </w:lvl>
    <w:lvl w:ilvl="2" w:tplc="0C09001B" w:tentative="1">
      <w:start w:val="1"/>
      <w:numFmt w:val="lowerRoman"/>
      <w:lvlText w:val="%3."/>
      <w:lvlJc w:val="right"/>
      <w:pPr>
        <w:ind w:left="1868" w:hanging="180"/>
      </w:pPr>
    </w:lvl>
    <w:lvl w:ilvl="3" w:tplc="0C09000F" w:tentative="1">
      <w:start w:val="1"/>
      <w:numFmt w:val="decimal"/>
      <w:lvlText w:val="%4."/>
      <w:lvlJc w:val="left"/>
      <w:pPr>
        <w:ind w:left="2588" w:hanging="360"/>
      </w:pPr>
    </w:lvl>
    <w:lvl w:ilvl="4" w:tplc="0C090019" w:tentative="1">
      <w:start w:val="1"/>
      <w:numFmt w:val="lowerLetter"/>
      <w:lvlText w:val="%5."/>
      <w:lvlJc w:val="left"/>
      <w:pPr>
        <w:ind w:left="3308" w:hanging="360"/>
      </w:pPr>
    </w:lvl>
    <w:lvl w:ilvl="5" w:tplc="0C09001B" w:tentative="1">
      <w:start w:val="1"/>
      <w:numFmt w:val="lowerRoman"/>
      <w:lvlText w:val="%6."/>
      <w:lvlJc w:val="right"/>
      <w:pPr>
        <w:ind w:left="4028" w:hanging="180"/>
      </w:pPr>
    </w:lvl>
    <w:lvl w:ilvl="6" w:tplc="0C09000F" w:tentative="1">
      <w:start w:val="1"/>
      <w:numFmt w:val="decimal"/>
      <w:lvlText w:val="%7."/>
      <w:lvlJc w:val="left"/>
      <w:pPr>
        <w:ind w:left="4748" w:hanging="360"/>
      </w:pPr>
    </w:lvl>
    <w:lvl w:ilvl="7" w:tplc="0C090019" w:tentative="1">
      <w:start w:val="1"/>
      <w:numFmt w:val="lowerLetter"/>
      <w:lvlText w:val="%8."/>
      <w:lvlJc w:val="left"/>
      <w:pPr>
        <w:ind w:left="5468" w:hanging="360"/>
      </w:pPr>
    </w:lvl>
    <w:lvl w:ilvl="8" w:tplc="0C09001B" w:tentative="1">
      <w:start w:val="1"/>
      <w:numFmt w:val="lowerRoman"/>
      <w:lvlText w:val="%9."/>
      <w:lvlJc w:val="right"/>
      <w:pPr>
        <w:ind w:left="6188" w:hanging="180"/>
      </w:pPr>
    </w:lvl>
  </w:abstractNum>
  <w:abstractNum w:abstractNumId="3">
    <w:nsid w:val="3FB12640"/>
    <w:multiLevelType w:val="hybridMultilevel"/>
    <w:tmpl w:val="9C922F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5FA6206A"/>
    <w:multiLevelType w:val="hybridMultilevel"/>
    <w:tmpl w:val="EED4B9AA"/>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624F2BA9"/>
    <w:multiLevelType w:val="hybridMultilevel"/>
    <w:tmpl w:val="C3E6CA04"/>
    <w:lvl w:ilvl="0" w:tplc="80DE2884">
      <w:start w:val="1"/>
      <w:numFmt w:val="decimal"/>
      <w:lvlText w:val="%1."/>
      <w:lvlJc w:val="left"/>
      <w:pPr>
        <w:ind w:left="786" w:hanging="360"/>
      </w:pPr>
      <w:rPr>
        <w:rFonts w:ascii="Times New Roman" w:hAnsi="Times New Roman" w:cs="Times New Roman" w:hint="default"/>
        <w:b w:val="0"/>
        <w:i w:val="0"/>
        <w:sz w:val="24"/>
        <w:szCs w:val="24"/>
      </w:rPr>
    </w:lvl>
    <w:lvl w:ilvl="1" w:tplc="0C090017">
      <w:start w:val="1"/>
      <w:numFmt w:val="lowerLetter"/>
      <w:lvlText w:val="%2)"/>
      <w:lvlJc w:val="left"/>
      <w:pPr>
        <w:ind w:left="1148" w:hanging="360"/>
      </w:pPr>
    </w:lvl>
    <w:lvl w:ilvl="2" w:tplc="0C09001B" w:tentative="1">
      <w:start w:val="1"/>
      <w:numFmt w:val="lowerRoman"/>
      <w:lvlText w:val="%3."/>
      <w:lvlJc w:val="right"/>
      <w:pPr>
        <w:ind w:left="1868" w:hanging="180"/>
      </w:pPr>
    </w:lvl>
    <w:lvl w:ilvl="3" w:tplc="0C09000F" w:tentative="1">
      <w:start w:val="1"/>
      <w:numFmt w:val="decimal"/>
      <w:lvlText w:val="%4."/>
      <w:lvlJc w:val="left"/>
      <w:pPr>
        <w:ind w:left="2588" w:hanging="360"/>
      </w:pPr>
    </w:lvl>
    <w:lvl w:ilvl="4" w:tplc="0C090019" w:tentative="1">
      <w:start w:val="1"/>
      <w:numFmt w:val="lowerLetter"/>
      <w:lvlText w:val="%5."/>
      <w:lvlJc w:val="left"/>
      <w:pPr>
        <w:ind w:left="3308" w:hanging="360"/>
      </w:pPr>
    </w:lvl>
    <w:lvl w:ilvl="5" w:tplc="0C09001B" w:tentative="1">
      <w:start w:val="1"/>
      <w:numFmt w:val="lowerRoman"/>
      <w:lvlText w:val="%6."/>
      <w:lvlJc w:val="right"/>
      <w:pPr>
        <w:ind w:left="4028" w:hanging="180"/>
      </w:pPr>
    </w:lvl>
    <w:lvl w:ilvl="6" w:tplc="0C09000F" w:tentative="1">
      <w:start w:val="1"/>
      <w:numFmt w:val="decimal"/>
      <w:lvlText w:val="%7."/>
      <w:lvlJc w:val="left"/>
      <w:pPr>
        <w:ind w:left="4748" w:hanging="360"/>
      </w:pPr>
    </w:lvl>
    <w:lvl w:ilvl="7" w:tplc="0C090019" w:tentative="1">
      <w:start w:val="1"/>
      <w:numFmt w:val="lowerLetter"/>
      <w:lvlText w:val="%8."/>
      <w:lvlJc w:val="left"/>
      <w:pPr>
        <w:ind w:left="5468" w:hanging="360"/>
      </w:pPr>
    </w:lvl>
    <w:lvl w:ilvl="8" w:tplc="0C09001B" w:tentative="1">
      <w:start w:val="1"/>
      <w:numFmt w:val="lowerRoman"/>
      <w:lvlText w:val="%9."/>
      <w:lvlJc w:val="right"/>
      <w:pPr>
        <w:ind w:left="6188" w:hanging="180"/>
      </w:pPr>
    </w:lvl>
  </w:abstractNum>
  <w:abstractNum w:abstractNumId="6">
    <w:nsid w:val="69D602AC"/>
    <w:multiLevelType w:val="hybridMultilevel"/>
    <w:tmpl w:val="5DA291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0"/>
  </w:num>
  <w:num w:numId="4">
    <w:abstractNumId w:val="6"/>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424"/>
    <w:rsid w:val="00017D67"/>
    <w:rsid w:val="00022030"/>
    <w:rsid w:val="000C095B"/>
    <w:rsid w:val="001513A4"/>
    <w:rsid w:val="00154F13"/>
    <w:rsid w:val="00167F08"/>
    <w:rsid w:val="00182491"/>
    <w:rsid w:val="001834A6"/>
    <w:rsid w:val="001E737F"/>
    <w:rsid w:val="002B69AE"/>
    <w:rsid w:val="002B79B4"/>
    <w:rsid w:val="00331D82"/>
    <w:rsid w:val="0035081A"/>
    <w:rsid w:val="003535EE"/>
    <w:rsid w:val="0042582B"/>
    <w:rsid w:val="004543BC"/>
    <w:rsid w:val="00457F5B"/>
    <w:rsid w:val="0048259E"/>
    <w:rsid w:val="004F3FB9"/>
    <w:rsid w:val="005278A2"/>
    <w:rsid w:val="005C0BF8"/>
    <w:rsid w:val="00626EE8"/>
    <w:rsid w:val="00684B9F"/>
    <w:rsid w:val="007074A3"/>
    <w:rsid w:val="00737C42"/>
    <w:rsid w:val="00756424"/>
    <w:rsid w:val="007972C9"/>
    <w:rsid w:val="00797DC8"/>
    <w:rsid w:val="00797E9E"/>
    <w:rsid w:val="007B14EE"/>
    <w:rsid w:val="007F029E"/>
    <w:rsid w:val="00817F81"/>
    <w:rsid w:val="00832DFD"/>
    <w:rsid w:val="00841FCB"/>
    <w:rsid w:val="008D3030"/>
    <w:rsid w:val="008E717E"/>
    <w:rsid w:val="00927BBA"/>
    <w:rsid w:val="009D6DF1"/>
    <w:rsid w:val="00A572F3"/>
    <w:rsid w:val="00AA7AED"/>
    <w:rsid w:val="00AB2DC0"/>
    <w:rsid w:val="00AE46EE"/>
    <w:rsid w:val="00B27BCA"/>
    <w:rsid w:val="00B33D17"/>
    <w:rsid w:val="00BB6415"/>
    <w:rsid w:val="00C01DFF"/>
    <w:rsid w:val="00C4709C"/>
    <w:rsid w:val="00C70F03"/>
    <w:rsid w:val="00C970CF"/>
    <w:rsid w:val="00CD0012"/>
    <w:rsid w:val="00D22C13"/>
    <w:rsid w:val="00DF53C1"/>
    <w:rsid w:val="00E47304"/>
    <w:rsid w:val="00EE312D"/>
    <w:rsid w:val="00F2544F"/>
    <w:rsid w:val="00F25E92"/>
    <w:rsid w:val="00F322D2"/>
    <w:rsid w:val="00F511AB"/>
    <w:rsid w:val="00F81D6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35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35EE"/>
  </w:style>
  <w:style w:type="paragraph" w:styleId="Footer">
    <w:name w:val="footer"/>
    <w:basedOn w:val="Normal"/>
    <w:link w:val="FooterChar"/>
    <w:uiPriority w:val="99"/>
    <w:unhideWhenUsed/>
    <w:rsid w:val="003535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35EE"/>
  </w:style>
  <w:style w:type="paragraph" w:customStyle="1" w:styleId="ActHead5">
    <w:name w:val="ActHead 5"/>
    <w:aliases w:val="s"/>
    <w:basedOn w:val="Normal"/>
    <w:next w:val="subsection"/>
    <w:qFormat/>
    <w:rsid w:val="004543BC"/>
    <w:pPr>
      <w:keepNext/>
      <w:keepLines/>
      <w:spacing w:before="280" w:after="0" w:line="240" w:lineRule="auto"/>
      <w:ind w:left="1134" w:hanging="1134"/>
      <w:outlineLvl w:val="4"/>
    </w:pPr>
    <w:rPr>
      <w:rFonts w:ascii="Times New Roman" w:eastAsia="Times New Roman" w:hAnsi="Times New Roman" w:cs="Times New Roman"/>
      <w:b/>
      <w:kern w:val="28"/>
      <w:sz w:val="24"/>
      <w:szCs w:val="20"/>
      <w:lang w:eastAsia="en-AU"/>
    </w:rPr>
  </w:style>
  <w:style w:type="character" w:customStyle="1" w:styleId="CharAmSchNo">
    <w:name w:val="CharAmSchNo"/>
    <w:basedOn w:val="DefaultParagraphFont"/>
    <w:qFormat/>
    <w:rsid w:val="004543BC"/>
  </w:style>
  <w:style w:type="character" w:customStyle="1" w:styleId="CharSectno">
    <w:name w:val="CharSectno"/>
    <w:basedOn w:val="DefaultParagraphFont"/>
    <w:qFormat/>
    <w:rsid w:val="004543BC"/>
  </w:style>
  <w:style w:type="paragraph" w:customStyle="1" w:styleId="subsection">
    <w:name w:val="subsection"/>
    <w:aliases w:val="ss"/>
    <w:basedOn w:val="Normal"/>
    <w:link w:val="subsectionChar"/>
    <w:rsid w:val="004543BC"/>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character" w:customStyle="1" w:styleId="subsectionChar">
    <w:name w:val="subsection Char"/>
    <w:aliases w:val="ss Char"/>
    <w:link w:val="subsection"/>
    <w:locked/>
    <w:rsid w:val="004543BC"/>
    <w:rPr>
      <w:rFonts w:ascii="Times New Roman" w:eastAsia="Times New Roman" w:hAnsi="Times New Roman" w:cs="Times New Roman"/>
      <w:szCs w:val="20"/>
      <w:lang w:eastAsia="en-AU"/>
    </w:rPr>
  </w:style>
  <w:style w:type="character" w:styleId="CommentReference">
    <w:name w:val="annotation reference"/>
    <w:basedOn w:val="DefaultParagraphFont"/>
    <w:uiPriority w:val="99"/>
    <w:semiHidden/>
    <w:unhideWhenUsed/>
    <w:rsid w:val="00B33D17"/>
    <w:rPr>
      <w:sz w:val="16"/>
      <w:szCs w:val="16"/>
    </w:rPr>
  </w:style>
  <w:style w:type="paragraph" w:styleId="CommentText">
    <w:name w:val="annotation text"/>
    <w:basedOn w:val="Normal"/>
    <w:link w:val="CommentTextChar"/>
    <w:uiPriority w:val="99"/>
    <w:semiHidden/>
    <w:unhideWhenUsed/>
    <w:rsid w:val="00B33D17"/>
    <w:pPr>
      <w:spacing w:line="240" w:lineRule="auto"/>
    </w:pPr>
    <w:rPr>
      <w:sz w:val="20"/>
      <w:szCs w:val="20"/>
    </w:rPr>
  </w:style>
  <w:style w:type="character" w:customStyle="1" w:styleId="CommentTextChar">
    <w:name w:val="Comment Text Char"/>
    <w:basedOn w:val="DefaultParagraphFont"/>
    <w:link w:val="CommentText"/>
    <w:uiPriority w:val="99"/>
    <w:semiHidden/>
    <w:rsid w:val="00B33D17"/>
    <w:rPr>
      <w:sz w:val="20"/>
      <w:szCs w:val="20"/>
    </w:rPr>
  </w:style>
  <w:style w:type="paragraph" w:styleId="CommentSubject">
    <w:name w:val="annotation subject"/>
    <w:basedOn w:val="CommentText"/>
    <w:next w:val="CommentText"/>
    <w:link w:val="CommentSubjectChar"/>
    <w:uiPriority w:val="99"/>
    <w:semiHidden/>
    <w:unhideWhenUsed/>
    <w:rsid w:val="00B33D17"/>
    <w:rPr>
      <w:b/>
      <w:bCs/>
    </w:rPr>
  </w:style>
  <w:style w:type="character" w:customStyle="1" w:styleId="CommentSubjectChar">
    <w:name w:val="Comment Subject Char"/>
    <w:basedOn w:val="CommentTextChar"/>
    <w:link w:val="CommentSubject"/>
    <w:uiPriority w:val="99"/>
    <w:semiHidden/>
    <w:rsid w:val="00B33D17"/>
    <w:rPr>
      <w:b/>
      <w:bCs/>
      <w:sz w:val="20"/>
      <w:szCs w:val="20"/>
    </w:rPr>
  </w:style>
  <w:style w:type="paragraph" w:styleId="BalloonText">
    <w:name w:val="Balloon Text"/>
    <w:basedOn w:val="Normal"/>
    <w:link w:val="BalloonTextChar"/>
    <w:uiPriority w:val="99"/>
    <w:semiHidden/>
    <w:unhideWhenUsed/>
    <w:rsid w:val="00B33D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3D17"/>
    <w:rPr>
      <w:rFonts w:ascii="Tahoma" w:hAnsi="Tahoma" w:cs="Tahoma"/>
      <w:sz w:val="16"/>
      <w:szCs w:val="16"/>
    </w:rPr>
  </w:style>
  <w:style w:type="paragraph" w:styleId="ListParagraph">
    <w:name w:val="List Paragraph"/>
    <w:aliases w:val="List Paragraph1,Recommendation"/>
    <w:basedOn w:val="Normal"/>
    <w:link w:val="ListParagraphChar"/>
    <w:uiPriority w:val="34"/>
    <w:qFormat/>
    <w:rsid w:val="007F029E"/>
    <w:pPr>
      <w:ind w:left="720"/>
      <w:contextualSpacing/>
    </w:pPr>
    <w:rPr>
      <w:rFonts w:ascii="Cambria" w:eastAsia="Calibri" w:hAnsi="Cambria" w:cs="Times New Roman"/>
    </w:rPr>
  </w:style>
  <w:style w:type="character" w:customStyle="1" w:styleId="ListParagraphChar">
    <w:name w:val="List Paragraph Char"/>
    <w:aliases w:val="List Paragraph1 Char,Recommendation Char"/>
    <w:link w:val="ListParagraph"/>
    <w:uiPriority w:val="34"/>
    <w:locked/>
    <w:rsid w:val="007F029E"/>
    <w:rPr>
      <w:rFonts w:ascii="Cambria" w:eastAsia="Calibri" w:hAnsi="Cambria"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35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35EE"/>
  </w:style>
  <w:style w:type="paragraph" w:styleId="Footer">
    <w:name w:val="footer"/>
    <w:basedOn w:val="Normal"/>
    <w:link w:val="FooterChar"/>
    <w:uiPriority w:val="99"/>
    <w:unhideWhenUsed/>
    <w:rsid w:val="003535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35EE"/>
  </w:style>
  <w:style w:type="paragraph" w:customStyle="1" w:styleId="ActHead5">
    <w:name w:val="ActHead 5"/>
    <w:aliases w:val="s"/>
    <w:basedOn w:val="Normal"/>
    <w:next w:val="subsection"/>
    <w:qFormat/>
    <w:rsid w:val="004543BC"/>
    <w:pPr>
      <w:keepNext/>
      <w:keepLines/>
      <w:spacing w:before="280" w:after="0" w:line="240" w:lineRule="auto"/>
      <w:ind w:left="1134" w:hanging="1134"/>
      <w:outlineLvl w:val="4"/>
    </w:pPr>
    <w:rPr>
      <w:rFonts w:ascii="Times New Roman" w:eastAsia="Times New Roman" w:hAnsi="Times New Roman" w:cs="Times New Roman"/>
      <w:b/>
      <w:kern w:val="28"/>
      <w:sz w:val="24"/>
      <w:szCs w:val="20"/>
      <w:lang w:eastAsia="en-AU"/>
    </w:rPr>
  </w:style>
  <w:style w:type="character" w:customStyle="1" w:styleId="CharAmSchNo">
    <w:name w:val="CharAmSchNo"/>
    <w:basedOn w:val="DefaultParagraphFont"/>
    <w:qFormat/>
    <w:rsid w:val="004543BC"/>
  </w:style>
  <w:style w:type="character" w:customStyle="1" w:styleId="CharSectno">
    <w:name w:val="CharSectno"/>
    <w:basedOn w:val="DefaultParagraphFont"/>
    <w:qFormat/>
    <w:rsid w:val="004543BC"/>
  </w:style>
  <w:style w:type="paragraph" w:customStyle="1" w:styleId="subsection">
    <w:name w:val="subsection"/>
    <w:aliases w:val="ss"/>
    <w:basedOn w:val="Normal"/>
    <w:link w:val="subsectionChar"/>
    <w:rsid w:val="004543BC"/>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character" w:customStyle="1" w:styleId="subsectionChar">
    <w:name w:val="subsection Char"/>
    <w:aliases w:val="ss Char"/>
    <w:link w:val="subsection"/>
    <w:locked/>
    <w:rsid w:val="004543BC"/>
    <w:rPr>
      <w:rFonts w:ascii="Times New Roman" w:eastAsia="Times New Roman" w:hAnsi="Times New Roman" w:cs="Times New Roman"/>
      <w:szCs w:val="20"/>
      <w:lang w:eastAsia="en-AU"/>
    </w:rPr>
  </w:style>
  <w:style w:type="character" w:styleId="CommentReference">
    <w:name w:val="annotation reference"/>
    <w:basedOn w:val="DefaultParagraphFont"/>
    <w:uiPriority w:val="99"/>
    <w:semiHidden/>
    <w:unhideWhenUsed/>
    <w:rsid w:val="00B33D17"/>
    <w:rPr>
      <w:sz w:val="16"/>
      <w:szCs w:val="16"/>
    </w:rPr>
  </w:style>
  <w:style w:type="paragraph" w:styleId="CommentText">
    <w:name w:val="annotation text"/>
    <w:basedOn w:val="Normal"/>
    <w:link w:val="CommentTextChar"/>
    <w:uiPriority w:val="99"/>
    <w:semiHidden/>
    <w:unhideWhenUsed/>
    <w:rsid w:val="00B33D17"/>
    <w:pPr>
      <w:spacing w:line="240" w:lineRule="auto"/>
    </w:pPr>
    <w:rPr>
      <w:sz w:val="20"/>
      <w:szCs w:val="20"/>
    </w:rPr>
  </w:style>
  <w:style w:type="character" w:customStyle="1" w:styleId="CommentTextChar">
    <w:name w:val="Comment Text Char"/>
    <w:basedOn w:val="DefaultParagraphFont"/>
    <w:link w:val="CommentText"/>
    <w:uiPriority w:val="99"/>
    <w:semiHidden/>
    <w:rsid w:val="00B33D17"/>
    <w:rPr>
      <w:sz w:val="20"/>
      <w:szCs w:val="20"/>
    </w:rPr>
  </w:style>
  <w:style w:type="paragraph" w:styleId="CommentSubject">
    <w:name w:val="annotation subject"/>
    <w:basedOn w:val="CommentText"/>
    <w:next w:val="CommentText"/>
    <w:link w:val="CommentSubjectChar"/>
    <w:uiPriority w:val="99"/>
    <w:semiHidden/>
    <w:unhideWhenUsed/>
    <w:rsid w:val="00B33D17"/>
    <w:rPr>
      <w:b/>
      <w:bCs/>
    </w:rPr>
  </w:style>
  <w:style w:type="character" w:customStyle="1" w:styleId="CommentSubjectChar">
    <w:name w:val="Comment Subject Char"/>
    <w:basedOn w:val="CommentTextChar"/>
    <w:link w:val="CommentSubject"/>
    <w:uiPriority w:val="99"/>
    <w:semiHidden/>
    <w:rsid w:val="00B33D17"/>
    <w:rPr>
      <w:b/>
      <w:bCs/>
      <w:sz w:val="20"/>
      <w:szCs w:val="20"/>
    </w:rPr>
  </w:style>
  <w:style w:type="paragraph" w:styleId="BalloonText">
    <w:name w:val="Balloon Text"/>
    <w:basedOn w:val="Normal"/>
    <w:link w:val="BalloonTextChar"/>
    <w:uiPriority w:val="99"/>
    <w:semiHidden/>
    <w:unhideWhenUsed/>
    <w:rsid w:val="00B33D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3D17"/>
    <w:rPr>
      <w:rFonts w:ascii="Tahoma" w:hAnsi="Tahoma" w:cs="Tahoma"/>
      <w:sz w:val="16"/>
      <w:szCs w:val="16"/>
    </w:rPr>
  </w:style>
  <w:style w:type="paragraph" w:styleId="ListParagraph">
    <w:name w:val="List Paragraph"/>
    <w:aliases w:val="List Paragraph1,Recommendation"/>
    <w:basedOn w:val="Normal"/>
    <w:link w:val="ListParagraphChar"/>
    <w:uiPriority w:val="34"/>
    <w:qFormat/>
    <w:rsid w:val="007F029E"/>
    <w:pPr>
      <w:ind w:left="720"/>
      <w:contextualSpacing/>
    </w:pPr>
    <w:rPr>
      <w:rFonts w:ascii="Cambria" w:eastAsia="Calibri" w:hAnsi="Cambria" w:cs="Times New Roman"/>
    </w:rPr>
  </w:style>
  <w:style w:type="character" w:customStyle="1" w:styleId="ListParagraphChar">
    <w:name w:val="List Paragraph Char"/>
    <w:aliases w:val="List Paragraph1 Char,Recommendation Char"/>
    <w:link w:val="ListParagraph"/>
    <w:uiPriority w:val="34"/>
    <w:locked/>
    <w:rsid w:val="007F029E"/>
    <w:rPr>
      <w:rFonts w:ascii="Cambria" w:eastAsia="Calibri" w:hAnsi="Cambr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dms_AttachedBy xmlns="0301444D-72A1-401A-AD4E-D58DBACB4924" xsi:nil="true"/>
    <pdms_SecurityClassification xmlns="0301444D-72A1-401A-AD4E-D58DBACB4924" xsi:nil="true"/>
    <SecurityClassification xmlns="0301444D-72A1-401A-AD4E-D58DBACB4924" xsi:nil="true"/>
    <pdms_Reason xmlns="0301444D-72A1-401A-AD4E-D58DBACB4924" xsi:nil="true"/>
    <pdms_DocumentType xmlns="0301444D-72A1-401A-AD4E-D58DBACB492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DMS Documentation" ma:contentTypeID="0x010100266966F133664895A6EE3632470D45F501003AD122DE2E020D4DA6845C67E80C963A" ma:contentTypeVersion="" ma:contentTypeDescription="PDMS Documentation Content Type" ma:contentTypeScope="" ma:versionID="e95c7876a1224d853faa5a88c3b1a8e0">
  <xsd:schema xmlns:xsd="http://www.w3.org/2001/XMLSchema" xmlns:xs="http://www.w3.org/2001/XMLSchema" xmlns:p="http://schemas.microsoft.com/office/2006/metadata/properties" xmlns:ns2="0301444D-72A1-401A-AD4E-D58DBACB4924" targetNamespace="http://schemas.microsoft.com/office/2006/metadata/properties" ma:root="true" ma:fieldsID="b1d28922ed063cd4ab0b9cde61cb62bb" ns2:_="">
    <xsd:import namespace="0301444D-72A1-401A-AD4E-D58DBACB4924"/>
    <xsd:element name="properties">
      <xsd:complexType>
        <xsd:sequence>
          <xsd:element name="documentManagement">
            <xsd:complexType>
              <xsd:all>
                <xsd:element ref="ns2:SecurityClassification" minOccurs="0"/>
                <xsd:element ref="ns2:pdms_DocumentType" minOccurs="0"/>
                <xsd:element ref="ns2:pdms_AttachedBy" minOccurs="0"/>
                <xsd:element ref="ns2:pdms_Reason" minOccurs="0"/>
                <xsd:element ref="ns2:pdms_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01444D-72A1-401A-AD4E-D58DBACB4924"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element name="pdms_DocumentType" ma:index="9" nillable="true" ma:displayName="Document Type" ma:internalName="pdms_DocumentType">
      <xsd:simpleType>
        <xsd:restriction base="dms:Text"/>
      </xsd:simpleType>
    </xsd:element>
    <xsd:element name="pdms_AttachedBy" ma:index="10" nillable="true" ma:displayName="Attached By" ma:internalName="pdms_AttachedBy">
      <xsd:simpleType>
        <xsd:restriction base="dms:Text"/>
      </xsd:simpleType>
    </xsd:element>
    <xsd:element name="pdms_Reason" ma:index="11" nillable="true" ma:displayName="Reason" ma:internalName="pdms_Reason">
      <xsd:simpleType>
        <xsd:restriction base="dms:Text"/>
      </xsd:simpleType>
    </xsd:element>
    <xsd:element name="pdms_SecurityClassification" ma:index="12" nillable="true" ma:displayName="Security Classification" ma:internalName="pdms_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D47995-4F68-4D7C-B7A1-1DE3B2C83B3E}">
  <ds:schemaRefs>
    <ds:schemaRef ds:uri="0301444D-72A1-401A-AD4E-D58DBACB4924"/>
    <ds:schemaRef ds:uri="http://schemas.microsoft.com/office/2006/documentManagement/types"/>
    <ds:schemaRef ds:uri="http://schemas.microsoft.com/office/infopath/2007/PartnerControls"/>
    <ds:schemaRef ds:uri="http://purl.org/dc/dcmitype/"/>
    <ds:schemaRef ds:uri="http://purl.org/dc/terms/"/>
    <ds:schemaRef ds:uri="http://purl.org/dc/elements/1.1/"/>
    <ds:schemaRef ds:uri="http://www.w3.org/XML/1998/namespace"/>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FA495D49-82F3-4425-AEC0-EA80A17B1E6C}">
  <ds:schemaRefs>
    <ds:schemaRef ds:uri="http://schemas.microsoft.com/sharepoint/v3/contenttype/forms"/>
  </ds:schemaRefs>
</ds:datastoreItem>
</file>

<file path=customXml/itemProps3.xml><?xml version="1.0" encoding="utf-8"?>
<ds:datastoreItem xmlns:ds="http://schemas.openxmlformats.org/officeDocument/2006/customXml" ds:itemID="{F82D3E56-4B99-44F8-A144-610BFCC165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01444D-72A1-401A-AD4E-D58DBACB49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DD6905-13D0-41F5-966A-63D646AD3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3344</Words>
  <Characters>18327</Characters>
  <Application>Microsoft Office Word</Application>
  <DocSecurity>0</DocSecurity>
  <Lines>426</Lines>
  <Paragraphs>125</Paragraphs>
  <ScaleCrop>false</ScaleCrop>
  <HeadingPairs>
    <vt:vector size="2" baseType="variant">
      <vt:variant>
        <vt:lpstr>Title</vt:lpstr>
      </vt:variant>
      <vt:variant>
        <vt:i4>1</vt:i4>
      </vt:variant>
    </vt:vector>
  </HeadingPairs>
  <TitlesOfParts>
    <vt:vector size="1" baseType="lpstr">
      <vt:lpstr/>
    </vt:vector>
  </TitlesOfParts>
  <Company>Australian Attorney General's Department</Company>
  <LinksUpToDate>false</LinksUpToDate>
  <CharactersWithSpaces>21546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ledlid</dc:creator>
  <cp:lastModifiedBy>morrwi</cp:lastModifiedBy>
  <cp:revision>4</cp:revision>
  <dcterms:created xsi:type="dcterms:W3CDTF">2016-10-13T04:13:00Z</dcterms:created>
  <dcterms:modified xsi:type="dcterms:W3CDTF">2016-10-13T04:20:00Z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0x010100266966F133664895A6EE3632470D45F501003AD122DE2E020D4DA6845C67E80C963A</vt:lpwstr>
  </property>
  <property fmtid="{D5CDD505-2E9C-101B-9397-08002B2CF9AE}" pid="3" name="_dlc_DocIdItemGuid">
    <vt:lpwstr>346f9bfc-6a67-42c7-9274-be0879db6c65</vt:lpwstr>
  </property>
</Properties>
</file>