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D4D2E" w:rsidRDefault="00193461" w:rsidP="00C63713">
      <w:pPr>
        <w:rPr>
          <w:sz w:val="28"/>
        </w:rPr>
      </w:pPr>
      <w:r w:rsidRPr="009D4D2E">
        <w:rPr>
          <w:noProof/>
          <w:lang w:eastAsia="en-AU"/>
        </w:rPr>
        <w:drawing>
          <wp:inline distT="0" distB="0" distL="0" distR="0" wp14:anchorId="5AEEB1A3" wp14:editId="1221A94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9D4D2E" w:rsidRDefault="0048364F" w:rsidP="0048364F">
      <w:pPr>
        <w:rPr>
          <w:sz w:val="19"/>
        </w:rPr>
      </w:pPr>
    </w:p>
    <w:p w:rsidR="0048364F" w:rsidRPr="009D4D2E" w:rsidRDefault="008B3DA6" w:rsidP="0048364F">
      <w:pPr>
        <w:pStyle w:val="ShortT"/>
      </w:pPr>
      <w:r w:rsidRPr="009D4D2E">
        <w:t>Treasury Laws Amendment (2016 Measures No.</w:t>
      </w:r>
      <w:r w:rsidR="009D4D2E" w:rsidRPr="009D4D2E">
        <w:t> </w:t>
      </w:r>
      <w:r w:rsidRPr="009D4D2E">
        <w:t>3) Regulation</w:t>
      </w:r>
      <w:r w:rsidR="009D4D2E" w:rsidRPr="009D4D2E">
        <w:t> </w:t>
      </w:r>
      <w:r w:rsidRPr="009D4D2E">
        <w:t>2016</w:t>
      </w:r>
    </w:p>
    <w:p w:rsidR="00350EC1" w:rsidRPr="009D4D2E" w:rsidRDefault="00350EC1" w:rsidP="007517B8">
      <w:pPr>
        <w:pStyle w:val="SignCoverPageStart"/>
        <w:spacing w:before="240"/>
        <w:rPr>
          <w:szCs w:val="22"/>
        </w:rPr>
      </w:pPr>
      <w:r w:rsidRPr="009D4D2E">
        <w:rPr>
          <w:szCs w:val="22"/>
        </w:rPr>
        <w:t>I, General the Honourable Sir Peter Cosgrove AK MC (</w:t>
      </w:r>
      <w:proofErr w:type="spellStart"/>
      <w:r w:rsidRPr="009D4D2E">
        <w:rPr>
          <w:szCs w:val="22"/>
        </w:rPr>
        <w:t>Ret’d</w:t>
      </w:r>
      <w:proofErr w:type="spellEnd"/>
      <w:r w:rsidRPr="009D4D2E">
        <w:rPr>
          <w:szCs w:val="22"/>
        </w:rPr>
        <w:t xml:space="preserve">), </w:t>
      </w:r>
      <w:r w:rsidR="009D4D2E" w:rsidRPr="009D4D2E">
        <w:rPr>
          <w:szCs w:val="22"/>
        </w:rPr>
        <w:t>Governor</w:t>
      </w:r>
      <w:r w:rsidR="009D4D2E">
        <w:rPr>
          <w:szCs w:val="22"/>
        </w:rPr>
        <w:noBreakHyphen/>
      </w:r>
      <w:r w:rsidR="009D4D2E" w:rsidRPr="009D4D2E">
        <w:rPr>
          <w:szCs w:val="22"/>
        </w:rPr>
        <w:t>General</w:t>
      </w:r>
      <w:r w:rsidRPr="009D4D2E">
        <w:rPr>
          <w:szCs w:val="22"/>
        </w:rPr>
        <w:t xml:space="preserve"> of the Commonwealth of Australia, acting with the advice of the Federal Executive Council, make the following regulation.</w:t>
      </w:r>
    </w:p>
    <w:p w:rsidR="00350EC1" w:rsidRPr="009D4D2E" w:rsidRDefault="00350EC1" w:rsidP="007517B8">
      <w:pPr>
        <w:keepNext/>
        <w:spacing w:before="720" w:line="240" w:lineRule="atLeast"/>
        <w:ind w:right="397"/>
        <w:jc w:val="both"/>
        <w:rPr>
          <w:szCs w:val="22"/>
        </w:rPr>
      </w:pPr>
      <w:r w:rsidRPr="009D4D2E">
        <w:rPr>
          <w:szCs w:val="22"/>
        </w:rPr>
        <w:t xml:space="preserve">Dated </w:t>
      </w:r>
      <w:bookmarkStart w:id="0" w:name="BKCheck15B_1"/>
      <w:bookmarkEnd w:id="0"/>
      <w:r w:rsidRPr="009D4D2E">
        <w:rPr>
          <w:szCs w:val="22"/>
        </w:rPr>
        <w:fldChar w:fldCharType="begin"/>
      </w:r>
      <w:r w:rsidRPr="009D4D2E">
        <w:rPr>
          <w:szCs w:val="22"/>
        </w:rPr>
        <w:instrText xml:space="preserve"> DOCPROPERTY  DateMade </w:instrText>
      </w:r>
      <w:r w:rsidRPr="009D4D2E">
        <w:rPr>
          <w:szCs w:val="22"/>
        </w:rPr>
        <w:fldChar w:fldCharType="separate"/>
      </w:r>
      <w:r w:rsidR="008E4BEC">
        <w:rPr>
          <w:szCs w:val="22"/>
        </w:rPr>
        <w:t>13 October 2016</w:t>
      </w:r>
      <w:r w:rsidRPr="009D4D2E">
        <w:rPr>
          <w:szCs w:val="22"/>
        </w:rPr>
        <w:fldChar w:fldCharType="end"/>
      </w:r>
    </w:p>
    <w:p w:rsidR="00350EC1" w:rsidRPr="009D4D2E" w:rsidRDefault="00350EC1" w:rsidP="007517B8">
      <w:pPr>
        <w:keepNext/>
        <w:tabs>
          <w:tab w:val="left" w:pos="3402"/>
        </w:tabs>
        <w:spacing w:before="1080" w:line="300" w:lineRule="atLeast"/>
        <w:ind w:left="397" w:right="397"/>
        <w:jc w:val="right"/>
        <w:rPr>
          <w:szCs w:val="22"/>
        </w:rPr>
      </w:pPr>
      <w:r w:rsidRPr="009D4D2E">
        <w:rPr>
          <w:szCs w:val="22"/>
        </w:rPr>
        <w:t>Peter Cosgrove</w:t>
      </w:r>
    </w:p>
    <w:p w:rsidR="00350EC1" w:rsidRPr="009D4D2E" w:rsidRDefault="009D4D2E" w:rsidP="007517B8">
      <w:pPr>
        <w:keepNext/>
        <w:tabs>
          <w:tab w:val="left" w:pos="3402"/>
        </w:tabs>
        <w:spacing w:line="300" w:lineRule="atLeast"/>
        <w:ind w:left="397" w:right="397"/>
        <w:jc w:val="right"/>
        <w:rPr>
          <w:szCs w:val="22"/>
        </w:rPr>
      </w:pPr>
      <w:r w:rsidRPr="009D4D2E">
        <w:rPr>
          <w:szCs w:val="22"/>
        </w:rPr>
        <w:t>Governor</w:t>
      </w:r>
      <w:r>
        <w:rPr>
          <w:szCs w:val="22"/>
        </w:rPr>
        <w:noBreakHyphen/>
      </w:r>
      <w:r w:rsidRPr="009D4D2E">
        <w:rPr>
          <w:szCs w:val="22"/>
        </w:rPr>
        <w:t>General</w:t>
      </w:r>
    </w:p>
    <w:p w:rsidR="00350EC1" w:rsidRPr="009D4D2E" w:rsidRDefault="00350EC1" w:rsidP="007517B8">
      <w:pPr>
        <w:keepNext/>
        <w:tabs>
          <w:tab w:val="left" w:pos="3402"/>
        </w:tabs>
        <w:spacing w:before="840" w:after="1080" w:line="300" w:lineRule="atLeast"/>
        <w:ind w:right="397"/>
        <w:rPr>
          <w:szCs w:val="22"/>
        </w:rPr>
      </w:pPr>
      <w:r w:rsidRPr="009D4D2E">
        <w:rPr>
          <w:szCs w:val="22"/>
        </w:rPr>
        <w:t>By His Excellency’s Command</w:t>
      </w:r>
    </w:p>
    <w:p w:rsidR="00350EC1" w:rsidRPr="009D4D2E" w:rsidRDefault="00350EC1" w:rsidP="007517B8">
      <w:pPr>
        <w:keepNext/>
        <w:tabs>
          <w:tab w:val="left" w:pos="3402"/>
        </w:tabs>
        <w:spacing w:before="480" w:line="300" w:lineRule="atLeast"/>
        <w:ind w:right="397"/>
        <w:rPr>
          <w:szCs w:val="22"/>
        </w:rPr>
      </w:pPr>
      <w:r w:rsidRPr="009D4D2E">
        <w:rPr>
          <w:szCs w:val="22"/>
        </w:rPr>
        <w:t xml:space="preserve">Kelly </w:t>
      </w:r>
      <w:proofErr w:type="spellStart"/>
      <w:r w:rsidRPr="009D4D2E">
        <w:rPr>
          <w:szCs w:val="22"/>
        </w:rPr>
        <w:t>O’Dwyer</w:t>
      </w:r>
      <w:proofErr w:type="spellEnd"/>
    </w:p>
    <w:p w:rsidR="00350EC1" w:rsidRPr="009D4D2E" w:rsidRDefault="00350EC1" w:rsidP="007517B8">
      <w:pPr>
        <w:pStyle w:val="SignCoverPageEnd"/>
        <w:rPr>
          <w:szCs w:val="22"/>
        </w:rPr>
      </w:pPr>
      <w:r w:rsidRPr="009D4D2E">
        <w:rPr>
          <w:szCs w:val="22"/>
        </w:rPr>
        <w:t>Minister for Revenue and Financial Services</w:t>
      </w:r>
    </w:p>
    <w:p w:rsidR="00350EC1" w:rsidRPr="009D4D2E" w:rsidRDefault="00350EC1" w:rsidP="007517B8"/>
    <w:p w:rsidR="00350EC1" w:rsidRPr="009D4D2E" w:rsidRDefault="00350EC1" w:rsidP="007517B8"/>
    <w:p w:rsidR="00350EC1" w:rsidRPr="009D4D2E" w:rsidRDefault="00350EC1" w:rsidP="007517B8"/>
    <w:p w:rsidR="00350EC1" w:rsidRPr="009D4D2E" w:rsidRDefault="00350EC1" w:rsidP="00350EC1"/>
    <w:p w:rsidR="0048364F" w:rsidRPr="009D4D2E" w:rsidRDefault="0048364F" w:rsidP="0048364F">
      <w:pPr>
        <w:pStyle w:val="Header"/>
        <w:tabs>
          <w:tab w:val="clear" w:pos="4150"/>
          <w:tab w:val="clear" w:pos="8307"/>
        </w:tabs>
      </w:pPr>
      <w:r w:rsidRPr="009D4D2E">
        <w:rPr>
          <w:rStyle w:val="CharAmSchNo"/>
        </w:rPr>
        <w:t xml:space="preserve"> </w:t>
      </w:r>
      <w:r w:rsidRPr="009D4D2E">
        <w:rPr>
          <w:rStyle w:val="CharAmSchText"/>
        </w:rPr>
        <w:t xml:space="preserve"> </w:t>
      </w:r>
    </w:p>
    <w:p w:rsidR="0048364F" w:rsidRPr="009D4D2E" w:rsidRDefault="0048364F" w:rsidP="0048364F">
      <w:pPr>
        <w:pStyle w:val="Header"/>
        <w:tabs>
          <w:tab w:val="clear" w:pos="4150"/>
          <w:tab w:val="clear" w:pos="8307"/>
        </w:tabs>
      </w:pPr>
      <w:r w:rsidRPr="009D4D2E">
        <w:rPr>
          <w:rStyle w:val="CharAmPartNo"/>
        </w:rPr>
        <w:t xml:space="preserve"> </w:t>
      </w:r>
      <w:r w:rsidRPr="009D4D2E">
        <w:rPr>
          <w:rStyle w:val="CharAmPartText"/>
        </w:rPr>
        <w:t xml:space="preserve"> </w:t>
      </w:r>
    </w:p>
    <w:p w:rsidR="0048364F" w:rsidRPr="009D4D2E" w:rsidRDefault="0048364F" w:rsidP="0048364F">
      <w:pPr>
        <w:sectPr w:rsidR="0048364F" w:rsidRPr="009D4D2E" w:rsidSect="007C7D8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9D4D2E" w:rsidRDefault="0048364F" w:rsidP="00EC4243">
      <w:pPr>
        <w:rPr>
          <w:sz w:val="36"/>
        </w:rPr>
      </w:pPr>
      <w:r w:rsidRPr="009D4D2E">
        <w:rPr>
          <w:sz w:val="36"/>
        </w:rPr>
        <w:lastRenderedPageBreak/>
        <w:t>Contents</w:t>
      </w:r>
    </w:p>
    <w:bookmarkStart w:id="1" w:name="BKCheck15B_2"/>
    <w:bookmarkEnd w:id="1"/>
    <w:p w:rsidR="00CE1D55" w:rsidRPr="009D4D2E" w:rsidRDefault="00CE1D55">
      <w:pPr>
        <w:pStyle w:val="TOC5"/>
        <w:rPr>
          <w:rFonts w:asciiTheme="minorHAnsi" w:eastAsiaTheme="minorEastAsia" w:hAnsiTheme="minorHAnsi" w:cstheme="minorBidi"/>
          <w:noProof/>
          <w:kern w:val="0"/>
          <w:sz w:val="22"/>
          <w:szCs w:val="22"/>
        </w:rPr>
      </w:pPr>
      <w:r w:rsidRPr="009D4D2E">
        <w:fldChar w:fldCharType="begin"/>
      </w:r>
      <w:r w:rsidRPr="009D4D2E">
        <w:instrText xml:space="preserve"> TOC \o "1-9" </w:instrText>
      </w:r>
      <w:r w:rsidRPr="009D4D2E">
        <w:fldChar w:fldCharType="separate"/>
      </w:r>
      <w:r w:rsidRPr="009D4D2E">
        <w:rPr>
          <w:noProof/>
        </w:rPr>
        <w:t>1</w:t>
      </w:r>
      <w:r w:rsidRPr="009D4D2E">
        <w:rPr>
          <w:noProof/>
        </w:rPr>
        <w:tab/>
        <w:t>Name</w:t>
      </w:r>
      <w:r w:rsidRPr="009D4D2E">
        <w:rPr>
          <w:noProof/>
        </w:rPr>
        <w:tab/>
      </w:r>
      <w:r w:rsidRPr="009D4D2E">
        <w:rPr>
          <w:noProof/>
        </w:rPr>
        <w:fldChar w:fldCharType="begin"/>
      </w:r>
      <w:r w:rsidRPr="009D4D2E">
        <w:rPr>
          <w:noProof/>
        </w:rPr>
        <w:instrText xml:space="preserve"> PAGEREF _Toc462908756 \h </w:instrText>
      </w:r>
      <w:r w:rsidRPr="009D4D2E">
        <w:rPr>
          <w:noProof/>
        </w:rPr>
      </w:r>
      <w:r w:rsidRPr="009D4D2E">
        <w:rPr>
          <w:noProof/>
        </w:rPr>
        <w:fldChar w:fldCharType="separate"/>
      </w:r>
      <w:r w:rsidR="008E4BEC">
        <w:rPr>
          <w:noProof/>
        </w:rPr>
        <w:t>1</w:t>
      </w:r>
      <w:r w:rsidRPr="009D4D2E">
        <w:rPr>
          <w:noProof/>
        </w:rPr>
        <w:fldChar w:fldCharType="end"/>
      </w:r>
    </w:p>
    <w:p w:rsidR="00CE1D55" w:rsidRPr="009D4D2E" w:rsidRDefault="00CE1D55">
      <w:pPr>
        <w:pStyle w:val="TOC5"/>
        <w:rPr>
          <w:rFonts w:asciiTheme="minorHAnsi" w:eastAsiaTheme="minorEastAsia" w:hAnsiTheme="minorHAnsi" w:cstheme="minorBidi"/>
          <w:noProof/>
          <w:kern w:val="0"/>
          <w:sz w:val="22"/>
          <w:szCs w:val="22"/>
        </w:rPr>
      </w:pPr>
      <w:r w:rsidRPr="009D4D2E">
        <w:rPr>
          <w:noProof/>
        </w:rPr>
        <w:t>2</w:t>
      </w:r>
      <w:r w:rsidRPr="009D4D2E">
        <w:rPr>
          <w:noProof/>
        </w:rPr>
        <w:tab/>
        <w:t>Commencement</w:t>
      </w:r>
      <w:r w:rsidRPr="009D4D2E">
        <w:rPr>
          <w:noProof/>
        </w:rPr>
        <w:tab/>
      </w:r>
      <w:r w:rsidRPr="009D4D2E">
        <w:rPr>
          <w:noProof/>
        </w:rPr>
        <w:fldChar w:fldCharType="begin"/>
      </w:r>
      <w:r w:rsidRPr="009D4D2E">
        <w:rPr>
          <w:noProof/>
        </w:rPr>
        <w:instrText xml:space="preserve"> PAGEREF _Toc462908757 \h </w:instrText>
      </w:r>
      <w:r w:rsidRPr="009D4D2E">
        <w:rPr>
          <w:noProof/>
        </w:rPr>
      </w:r>
      <w:r w:rsidRPr="009D4D2E">
        <w:rPr>
          <w:noProof/>
        </w:rPr>
        <w:fldChar w:fldCharType="separate"/>
      </w:r>
      <w:r w:rsidR="008E4BEC">
        <w:rPr>
          <w:noProof/>
        </w:rPr>
        <w:t>1</w:t>
      </w:r>
      <w:r w:rsidRPr="009D4D2E">
        <w:rPr>
          <w:noProof/>
        </w:rPr>
        <w:fldChar w:fldCharType="end"/>
      </w:r>
    </w:p>
    <w:p w:rsidR="00CE1D55" w:rsidRPr="009D4D2E" w:rsidRDefault="00CE1D55">
      <w:pPr>
        <w:pStyle w:val="TOC5"/>
        <w:rPr>
          <w:rFonts w:asciiTheme="minorHAnsi" w:eastAsiaTheme="minorEastAsia" w:hAnsiTheme="minorHAnsi" w:cstheme="minorBidi"/>
          <w:noProof/>
          <w:kern w:val="0"/>
          <w:sz w:val="22"/>
          <w:szCs w:val="22"/>
        </w:rPr>
      </w:pPr>
      <w:r w:rsidRPr="009D4D2E">
        <w:rPr>
          <w:noProof/>
        </w:rPr>
        <w:t>3</w:t>
      </w:r>
      <w:r w:rsidRPr="009D4D2E">
        <w:rPr>
          <w:noProof/>
        </w:rPr>
        <w:tab/>
        <w:t>Authority</w:t>
      </w:r>
      <w:r w:rsidRPr="009D4D2E">
        <w:rPr>
          <w:noProof/>
        </w:rPr>
        <w:tab/>
      </w:r>
      <w:r w:rsidRPr="009D4D2E">
        <w:rPr>
          <w:noProof/>
        </w:rPr>
        <w:fldChar w:fldCharType="begin"/>
      </w:r>
      <w:r w:rsidRPr="009D4D2E">
        <w:rPr>
          <w:noProof/>
        </w:rPr>
        <w:instrText xml:space="preserve"> PAGEREF _Toc462908758 \h </w:instrText>
      </w:r>
      <w:r w:rsidRPr="009D4D2E">
        <w:rPr>
          <w:noProof/>
        </w:rPr>
      </w:r>
      <w:r w:rsidRPr="009D4D2E">
        <w:rPr>
          <w:noProof/>
        </w:rPr>
        <w:fldChar w:fldCharType="separate"/>
      </w:r>
      <w:r w:rsidR="008E4BEC">
        <w:rPr>
          <w:noProof/>
        </w:rPr>
        <w:t>1</w:t>
      </w:r>
      <w:r w:rsidRPr="009D4D2E">
        <w:rPr>
          <w:noProof/>
        </w:rPr>
        <w:fldChar w:fldCharType="end"/>
      </w:r>
    </w:p>
    <w:p w:rsidR="00CE1D55" w:rsidRPr="009D4D2E" w:rsidRDefault="00CE1D55">
      <w:pPr>
        <w:pStyle w:val="TOC5"/>
        <w:rPr>
          <w:rFonts w:asciiTheme="minorHAnsi" w:eastAsiaTheme="minorEastAsia" w:hAnsiTheme="minorHAnsi" w:cstheme="minorBidi"/>
          <w:noProof/>
          <w:kern w:val="0"/>
          <w:sz w:val="22"/>
          <w:szCs w:val="22"/>
        </w:rPr>
      </w:pPr>
      <w:r w:rsidRPr="009D4D2E">
        <w:rPr>
          <w:noProof/>
        </w:rPr>
        <w:t>4</w:t>
      </w:r>
      <w:r w:rsidRPr="009D4D2E">
        <w:rPr>
          <w:noProof/>
        </w:rPr>
        <w:tab/>
        <w:t>Schedules</w:t>
      </w:r>
      <w:r w:rsidRPr="009D4D2E">
        <w:rPr>
          <w:noProof/>
        </w:rPr>
        <w:tab/>
      </w:r>
      <w:r w:rsidRPr="009D4D2E">
        <w:rPr>
          <w:noProof/>
        </w:rPr>
        <w:fldChar w:fldCharType="begin"/>
      </w:r>
      <w:r w:rsidRPr="009D4D2E">
        <w:rPr>
          <w:noProof/>
        </w:rPr>
        <w:instrText xml:space="preserve"> PAGEREF _Toc462908759 \h </w:instrText>
      </w:r>
      <w:r w:rsidRPr="009D4D2E">
        <w:rPr>
          <w:noProof/>
        </w:rPr>
      </w:r>
      <w:r w:rsidRPr="009D4D2E">
        <w:rPr>
          <w:noProof/>
        </w:rPr>
        <w:fldChar w:fldCharType="separate"/>
      </w:r>
      <w:r w:rsidR="008E4BEC">
        <w:rPr>
          <w:noProof/>
        </w:rPr>
        <w:t>1</w:t>
      </w:r>
      <w:r w:rsidRPr="009D4D2E">
        <w:rPr>
          <w:noProof/>
        </w:rPr>
        <w:fldChar w:fldCharType="end"/>
      </w:r>
    </w:p>
    <w:p w:rsidR="00CE1D55" w:rsidRPr="009D4D2E" w:rsidRDefault="00CE1D55">
      <w:pPr>
        <w:pStyle w:val="TOC6"/>
        <w:rPr>
          <w:rFonts w:asciiTheme="minorHAnsi" w:eastAsiaTheme="minorEastAsia" w:hAnsiTheme="minorHAnsi" w:cstheme="minorBidi"/>
          <w:b w:val="0"/>
          <w:noProof/>
          <w:kern w:val="0"/>
          <w:sz w:val="22"/>
          <w:szCs w:val="22"/>
        </w:rPr>
      </w:pPr>
      <w:r w:rsidRPr="009D4D2E">
        <w:rPr>
          <w:noProof/>
        </w:rPr>
        <w:t>Schedule</w:t>
      </w:r>
      <w:r w:rsidR="009D4D2E" w:rsidRPr="009D4D2E">
        <w:rPr>
          <w:noProof/>
        </w:rPr>
        <w:t> </w:t>
      </w:r>
      <w:r w:rsidRPr="009D4D2E">
        <w:rPr>
          <w:noProof/>
        </w:rPr>
        <w:t>1—Queensland home warranty scheme</w:t>
      </w:r>
      <w:r w:rsidRPr="009D4D2E">
        <w:rPr>
          <w:b w:val="0"/>
          <w:noProof/>
          <w:sz w:val="18"/>
        </w:rPr>
        <w:tab/>
      </w:r>
      <w:r w:rsidRPr="009D4D2E">
        <w:rPr>
          <w:b w:val="0"/>
          <w:noProof/>
          <w:sz w:val="18"/>
        </w:rPr>
        <w:fldChar w:fldCharType="begin"/>
      </w:r>
      <w:r w:rsidRPr="009D4D2E">
        <w:rPr>
          <w:b w:val="0"/>
          <w:noProof/>
          <w:sz w:val="18"/>
        </w:rPr>
        <w:instrText xml:space="preserve"> PAGEREF _Toc462908760 \h </w:instrText>
      </w:r>
      <w:r w:rsidRPr="009D4D2E">
        <w:rPr>
          <w:b w:val="0"/>
          <w:noProof/>
          <w:sz w:val="18"/>
        </w:rPr>
      </w:r>
      <w:r w:rsidRPr="009D4D2E">
        <w:rPr>
          <w:b w:val="0"/>
          <w:noProof/>
          <w:sz w:val="18"/>
        </w:rPr>
        <w:fldChar w:fldCharType="separate"/>
      </w:r>
      <w:r w:rsidR="008E4BEC">
        <w:rPr>
          <w:b w:val="0"/>
          <w:noProof/>
          <w:sz w:val="18"/>
        </w:rPr>
        <w:t>2</w:t>
      </w:r>
      <w:r w:rsidRPr="009D4D2E">
        <w:rPr>
          <w:b w:val="0"/>
          <w:noProof/>
          <w:sz w:val="18"/>
        </w:rPr>
        <w:fldChar w:fldCharType="end"/>
      </w:r>
    </w:p>
    <w:p w:rsidR="00CE1D55" w:rsidRPr="009D4D2E" w:rsidRDefault="00CE1D55">
      <w:pPr>
        <w:pStyle w:val="TOC9"/>
        <w:rPr>
          <w:rFonts w:asciiTheme="minorHAnsi" w:eastAsiaTheme="minorEastAsia" w:hAnsiTheme="minorHAnsi" w:cstheme="minorBidi"/>
          <w:i w:val="0"/>
          <w:noProof/>
          <w:kern w:val="0"/>
          <w:sz w:val="22"/>
          <w:szCs w:val="22"/>
        </w:rPr>
      </w:pPr>
      <w:r w:rsidRPr="009D4D2E">
        <w:rPr>
          <w:noProof/>
        </w:rPr>
        <w:t>A New Tax System (Goods and Services Tax) Regulations</w:t>
      </w:r>
      <w:r w:rsidR="009D4D2E" w:rsidRPr="009D4D2E">
        <w:rPr>
          <w:noProof/>
        </w:rPr>
        <w:t> </w:t>
      </w:r>
      <w:r w:rsidRPr="009D4D2E">
        <w:rPr>
          <w:noProof/>
        </w:rPr>
        <w:t>1999</w:t>
      </w:r>
      <w:r w:rsidRPr="009D4D2E">
        <w:rPr>
          <w:i w:val="0"/>
          <w:noProof/>
          <w:sz w:val="18"/>
        </w:rPr>
        <w:tab/>
      </w:r>
      <w:r w:rsidRPr="009D4D2E">
        <w:rPr>
          <w:i w:val="0"/>
          <w:noProof/>
          <w:sz w:val="18"/>
        </w:rPr>
        <w:fldChar w:fldCharType="begin"/>
      </w:r>
      <w:r w:rsidRPr="009D4D2E">
        <w:rPr>
          <w:i w:val="0"/>
          <w:noProof/>
          <w:sz w:val="18"/>
        </w:rPr>
        <w:instrText xml:space="preserve"> PAGEREF _Toc462908761 \h </w:instrText>
      </w:r>
      <w:r w:rsidRPr="009D4D2E">
        <w:rPr>
          <w:i w:val="0"/>
          <w:noProof/>
          <w:sz w:val="18"/>
        </w:rPr>
      </w:r>
      <w:r w:rsidRPr="009D4D2E">
        <w:rPr>
          <w:i w:val="0"/>
          <w:noProof/>
          <w:sz w:val="18"/>
        </w:rPr>
        <w:fldChar w:fldCharType="separate"/>
      </w:r>
      <w:r w:rsidR="008E4BEC">
        <w:rPr>
          <w:i w:val="0"/>
          <w:noProof/>
          <w:sz w:val="18"/>
        </w:rPr>
        <w:t>2</w:t>
      </w:r>
      <w:r w:rsidRPr="009D4D2E">
        <w:rPr>
          <w:i w:val="0"/>
          <w:noProof/>
          <w:sz w:val="18"/>
        </w:rPr>
        <w:fldChar w:fldCharType="end"/>
      </w:r>
    </w:p>
    <w:p w:rsidR="00CE1D55" w:rsidRPr="009D4D2E" w:rsidRDefault="00CE1D55">
      <w:pPr>
        <w:pStyle w:val="TOC6"/>
        <w:rPr>
          <w:rFonts w:asciiTheme="minorHAnsi" w:eastAsiaTheme="minorEastAsia" w:hAnsiTheme="minorHAnsi" w:cstheme="minorBidi"/>
          <w:b w:val="0"/>
          <w:noProof/>
          <w:kern w:val="0"/>
          <w:sz w:val="22"/>
          <w:szCs w:val="22"/>
        </w:rPr>
      </w:pPr>
      <w:r w:rsidRPr="009D4D2E">
        <w:rPr>
          <w:noProof/>
        </w:rPr>
        <w:t>Schedule</w:t>
      </w:r>
      <w:r w:rsidR="009D4D2E" w:rsidRPr="009D4D2E">
        <w:rPr>
          <w:noProof/>
        </w:rPr>
        <w:t> </w:t>
      </w:r>
      <w:r w:rsidRPr="009D4D2E">
        <w:rPr>
          <w:noProof/>
        </w:rPr>
        <w:t>2—Farm management deposits</w:t>
      </w:r>
      <w:r w:rsidRPr="009D4D2E">
        <w:rPr>
          <w:b w:val="0"/>
          <w:noProof/>
          <w:sz w:val="18"/>
        </w:rPr>
        <w:tab/>
      </w:r>
      <w:r w:rsidRPr="009D4D2E">
        <w:rPr>
          <w:b w:val="0"/>
          <w:noProof/>
          <w:sz w:val="18"/>
        </w:rPr>
        <w:fldChar w:fldCharType="begin"/>
      </w:r>
      <w:r w:rsidRPr="009D4D2E">
        <w:rPr>
          <w:b w:val="0"/>
          <w:noProof/>
          <w:sz w:val="18"/>
        </w:rPr>
        <w:instrText xml:space="preserve"> PAGEREF _Toc462908762 \h </w:instrText>
      </w:r>
      <w:r w:rsidRPr="009D4D2E">
        <w:rPr>
          <w:b w:val="0"/>
          <w:noProof/>
          <w:sz w:val="18"/>
        </w:rPr>
      </w:r>
      <w:r w:rsidRPr="009D4D2E">
        <w:rPr>
          <w:b w:val="0"/>
          <w:noProof/>
          <w:sz w:val="18"/>
        </w:rPr>
        <w:fldChar w:fldCharType="separate"/>
      </w:r>
      <w:r w:rsidR="008E4BEC">
        <w:rPr>
          <w:b w:val="0"/>
          <w:noProof/>
          <w:sz w:val="18"/>
        </w:rPr>
        <w:t>3</w:t>
      </w:r>
      <w:r w:rsidRPr="009D4D2E">
        <w:rPr>
          <w:b w:val="0"/>
          <w:noProof/>
          <w:sz w:val="18"/>
        </w:rPr>
        <w:fldChar w:fldCharType="end"/>
      </w:r>
    </w:p>
    <w:p w:rsidR="00CE1D55" w:rsidRPr="009D4D2E" w:rsidRDefault="00CE1D55">
      <w:pPr>
        <w:pStyle w:val="TOC7"/>
        <w:rPr>
          <w:rFonts w:asciiTheme="minorHAnsi" w:eastAsiaTheme="minorEastAsia" w:hAnsiTheme="minorHAnsi" w:cstheme="minorBidi"/>
          <w:noProof/>
          <w:kern w:val="0"/>
          <w:sz w:val="22"/>
          <w:szCs w:val="22"/>
        </w:rPr>
      </w:pPr>
      <w:r w:rsidRPr="009D4D2E">
        <w:rPr>
          <w:noProof/>
        </w:rPr>
        <w:t>Part</w:t>
      </w:r>
      <w:r w:rsidR="009D4D2E" w:rsidRPr="009D4D2E">
        <w:rPr>
          <w:noProof/>
        </w:rPr>
        <w:t> </w:t>
      </w:r>
      <w:r w:rsidRPr="009D4D2E">
        <w:rPr>
          <w:noProof/>
        </w:rPr>
        <w:t>1—Amendments</w:t>
      </w:r>
      <w:r w:rsidRPr="009D4D2E">
        <w:rPr>
          <w:noProof/>
          <w:sz w:val="18"/>
        </w:rPr>
        <w:tab/>
      </w:r>
      <w:r w:rsidRPr="009D4D2E">
        <w:rPr>
          <w:noProof/>
          <w:sz w:val="18"/>
        </w:rPr>
        <w:fldChar w:fldCharType="begin"/>
      </w:r>
      <w:r w:rsidRPr="009D4D2E">
        <w:rPr>
          <w:noProof/>
          <w:sz w:val="18"/>
        </w:rPr>
        <w:instrText xml:space="preserve"> PAGEREF _Toc462908763 \h </w:instrText>
      </w:r>
      <w:r w:rsidRPr="009D4D2E">
        <w:rPr>
          <w:noProof/>
          <w:sz w:val="18"/>
        </w:rPr>
      </w:r>
      <w:r w:rsidRPr="009D4D2E">
        <w:rPr>
          <w:noProof/>
          <w:sz w:val="18"/>
        </w:rPr>
        <w:fldChar w:fldCharType="separate"/>
      </w:r>
      <w:r w:rsidR="008E4BEC">
        <w:rPr>
          <w:noProof/>
          <w:sz w:val="18"/>
        </w:rPr>
        <w:t>3</w:t>
      </w:r>
      <w:r w:rsidRPr="009D4D2E">
        <w:rPr>
          <w:noProof/>
          <w:sz w:val="18"/>
        </w:rPr>
        <w:fldChar w:fldCharType="end"/>
      </w:r>
    </w:p>
    <w:p w:rsidR="00CE1D55" w:rsidRPr="009D4D2E" w:rsidRDefault="00CE1D55">
      <w:pPr>
        <w:pStyle w:val="TOC9"/>
        <w:rPr>
          <w:rFonts w:asciiTheme="minorHAnsi" w:eastAsiaTheme="minorEastAsia" w:hAnsiTheme="minorHAnsi" w:cstheme="minorBidi"/>
          <w:i w:val="0"/>
          <w:noProof/>
          <w:kern w:val="0"/>
          <w:sz w:val="22"/>
          <w:szCs w:val="22"/>
        </w:rPr>
      </w:pPr>
      <w:r w:rsidRPr="009D4D2E">
        <w:rPr>
          <w:noProof/>
        </w:rPr>
        <w:t>Banking Regulations</w:t>
      </w:r>
      <w:r w:rsidR="009D4D2E" w:rsidRPr="009D4D2E">
        <w:rPr>
          <w:noProof/>
        </w:rPr>
        <w:t> </w:t>
      </w:r>
      <w:r w:rsidRPr="009D4D2E">
        <w:rPr>
          <w:noProof/>
        </w:rPr>
        <w:t>1966</w:t>
      </w:r>
      <w:r w:rsidRPr="009D4D2E">
        <w:rPr>
          <w:i w:val="0"/>
          <w:noProof/>
          <w:sz w:val="18"/>
        </w:rPr>
        <w:tab/>
      </w:r>
      <w:r w:rsidRPr="009D4D2E">
        <w:rPr>
          <w:i w:val="0"/>
          <w:noProof/>
          <w:sz w:val="18"/>
        </w:rPr>
        <w:fldChar w:fldCharType="begin"/>
      </w:r>
      <w:r w:rsidRPr="009D4D2E">
        <w:rPr>
          <w:i w:val="0"/>
          <w:noProof/>
          <w:sz w:val="18"/>
        </w:rPr>
        <w:instrText xml:space="preserve"> PAGEREF _Toc462908764 \h </w:instrText>
      </w:r>
      <w:r w:rsidRPr="009D4D2E">
        <w:rPr>
          <w:i w:val="0"/>
          <w:noProof/>
          <w:sz w:val="18"/>
        </w:rPr>
      </w:r>
      <w:r w:rsidRPr="009D4D2E">
        <w:rPr>
          <w:i w:val="0"/>
          <w:noProof/>
          <w:sz w:val="18"/>
        </w:rPr>
        <w:fldChar w:fldCharType="separate"/>
      </w:r>
      <w:r w:rsidR="008E4BEC">
        <w:rPr>
          <w:i w:val="0"/>
          <w:noProof/>
          <w:sz w:val="18"/>
        </w:rPr>
        <w:t>3</w:t>
      </w:r>
      <w:r w:rsidRPr="009D4D2E">
        <w:rPr>
          <w:i w:val="0"/>
          <w:noProof/>
          <w:sz w:val="18"/>
        </w:rPr>
        <w:fldChar w:fldCharType="end"/>
      </w:r>
    </w:p>
    <w:p w:rsidR="00CE1D55" w:rsidRPr="009D4D2E" w:rsidRDefault="00CE1D55">
      <w:pPr>
        <w:pStyle w:val="TOC9"/>
        <w:rPr>
          <w:rFonts w:asciiTheme="minorHAnsi" w:eastAsiaTheme="minorEastAsia" w:hAnsiTheme="minorHAnsi" w:cstheme="minorBidi"/>
          <w:i w:val="0"/>
          <w:noProof/>
          <w:kern w:val="0"/>
          <w:sz w:val="22"/>
          <w:szCs w:val="22"/>
        </w:rPr>
      </w:pPr>
      <w:r w:rsidRPr="009D4D2E">
        <w:rPr>
          <w:noProof/>
        </w:rPr>
        <w:t>Income Tax Assessment Regulations</w:t>
      </w:r>
      <w:r w:rsidR="009D4D2E" w:rsidRPr="009D4D2E">
        <w:rPr>
          <w:noProof/>
        </w:rPr>
        <w:t> </w:t>
      </w:r>
      <w:r w:rsidRPr="009D4D2E">
        <w:rPr>
          <w:noProof/>
        </w:rPr>
        <w:t>1997</w:t>
      </w:r>
      <w:r w:rsidRPr="009D4D2E">
        <w:rPr>
          <w:i w:val="0"/>
          <w:noProof/>
          <w:sz w:val="18"/>
        </w:rPr>
        <w:tab/>
      </w:r>
      <w:r w:rsidRPr="009D4D2E">
        <w:rPr>
          <w:i w:val="0"/>
          <w:noProof/>
          <w:sz w:val="18"/>
        </w:rPr>
        <w:fldChar w:fldCharType="begin"/>
      </w:r>
      <w:r w:rsidRPr="009D4D2E">
        <w:rPr>
          <w:i w:val="0"/>
          <w:noProof/>
          <w:sz w:val="18"/>
        </w:rPr>
        <w:instrText xml:space="preserve"> PAGEREF _Toc462908765 \h </w:instrText>
      </w:r>
      <w:r w:rsidRPr="009D4D2E">
        <w:rPr>
          <w:i w:val="0"/>
          <w:noProof/>
          <w:sz w:val="18"/>
        </w:rPr>
      </w:r>
      <w:r w:rsidRPr="009D4D2E">
        <w:rPr>
          <w:i w:val="0"/>
          <w:noProof/>
          <w:sz w:val="18"/>
        </w:rPr>
        <w:fldChar w:fldCharType="separate"/>
      </w:r>
      <w:r w:rsidR="008E4BEC">
        <w:rPr>
          <w:i w:val="0"/>
          <w:noProof/>
          <w:sz w:val="18"/>
        </w:rPr>
        <w:t>3</w:t>
      </w:r>
      <w:r w:rsidRPr="009D4D2E">
        <w:rPr>
          <w:i w:val="0"/>
          <w:noProof/>
          <w:sz w:val="18"/>
        </w:rPr>
        <w:fldChar w:fldCharType="end"/>
      </w:r>
    </w:p>
    <w:p w:rsidR="00CE1D55" w:rsidRPr="009D4D2E" w:rsidRDefault="00CE1D55">
      <w:pPr>
        <w:pStyle w:val="TOC9"/>
        <w:rPr>
          <w:rFonts w:asciiTheme="minorHAnsi" w:eastAsiaTheme="minorEastAsia" w:hAnsiTheme="minorHAnsi" w:cstheme="minorBidi"/>
          <w:i w:val="0"/>
          <w:noProof/>
          <w:kern w:val="0"/>
          <w:sz w:val="22"/>
          <w:szCs w:val="22"/>
        </w:rPr>
      </w:pPr>
      <w:r w:rsidRPr="009D4D2E">
        <w:rPr>
          <w:noProof/>
        </w:rPr>
        <w:t>Taxation Administration Regulations</w:t>
      </w:r>
      <w:r w:rsidR="009D4D2E" w:rsidRPr="009D4D2E">
        <w:rPr>
          <w:noProof/>
        </w:rPr>
        <w:t> </w:t>
      </w:r>
      <w:r w:rsidRPr="009D4D2E">
        <w:rPr>
          <w:noProof/>
        </w:rPr>
        <w:t>1976</w:t>
      </w:r>
      <w:r w:rsidRPr="009D4D2E">
        <w:rPr>
          <w:i w:val="0"/>
          <w:noProof/>
          <w:sz w:val="18"/>
        </w:rPr>
        <w:tab/>
      </w:r>
      <w:r w:rsidRPr="009D4D2E">
        <w:rPr>
          <w:i w:val="0"/>
          <w:noProof/>
          <w:sz w:val="18"/>
        </w:rPr>
        <w:fldChar w:fldCharType="begin"/>
      </w:r>
      <w:r w:rsidRPr="009D4D2E">
        <w:rPr>
          <w:i w:val="0"/>
          <w:noProof/>
          <w:sz w:val="18"/>
        </w:rPr>
        <w:instrText xml:space="preserve"> PAGEREF _Toc462908776 \h </w:instrText>
      </w:r>
      <w:r w:rsidRPr="009D4D2E">
        <w:rPr>
          <w:i w:val="0"/>
          <w:noProof/>
          <w:sz w:val="18"/>
        </w:rPr>
      </w:r>
      <w:r w:rsidRPr="009D4D2E">
        <w:rPr>
          <w:i w:val="0"/>
          <w:noProof/>
          <w:sz w:val="18"/>
        </w:rPr>
        <w:fldChar w:fldCharType="separate"/>
      </w:r>
      <w:r w:rsidR="008E4BEC">
        <w:rPr>
          <w:i w:val="0"/>
          <w:noProof/>
          <w:sz w:val="18"/>
        </w:rPr>
        <w:t>7</w:t>
      </w:r>
      <w:r w:rsidRPr="009D4D2E">
        <w:rPr>
          <w:i w:val="0"/>
          <w:noProof/>
          <w:sz w:val="18"/>
        </w:rPr>
        <w:fldChar w:fldCharType="end"/>
      </w:r>
    </w:p>
    <w:p w:rsidR="00CE1D55" w:rsidRPr="009D4D2E" w:rsidRDefault="00CE1D55">
      <w:pPr>
        <w:pStyle w:val="TOC7"/>
        <w:rPr>
          <w:rFonts w:asciiTheme="minorHAnsi" w:eastAsiaTheme="minorEastAsia" w:hAnsiTheme="minorHAnsi" w:cstheme="minorBidi"/>
          <w:noProof/>
          <w:kern w:val="0"/>
          <w:sz w:val="22"/>
          <w:szCs w:val="22"/>
        </w:rPr>
      </w:pPr>
      <w:r w:rsidRPr="009D4D2E">
        <w:rPr>
          <w:noProof/>
        </w:rPr>
        <w:t>Part</w:t>
      </w:r>
      <w:r w:rsidR="009D4D2E" w:rsidRPr="009D4D2E">
        <w:rPr>
          <w:noProof/>
        </w:rPr>
        <w:t> </w:t>
      </w:r>
      <w:r w:rsidRPr="009D4D2E">
        <w:rPr>
          <w:noProof/>
        </w:rPr>
        <w:t>2—Repeals</w:t>
      </w:r>
      <w:r w:rsidRPr="009D4D2E">
        <w:rPr>
          <w:noProof/>
          <w:sz w:val="18"/>
        </w:rPr>
        <w:tab/>
      </w:r>
      <w:r w:rsidRPr="009D4D2E">
        <w:rPr>
          <w:noProof/>
          <w:sz w:val="18"/>
        </w:rPr>
        <w:fldChar w:fldCharType="begin"/>
      </w:r>
      <w:r w:rsidRPr="009D4D2E">
        <w:rPr>
          <w:noProof/>
          <w:sz w:val="18"/>
        </w:rPr>
        <w:instrText xml:space="preserve"> PAGEREF _Toc462908779 \h </w:instrText>
      </w:r>
      <w:r w:rsidRPr="009D4D2E">
        <w:rPr>
          <w:noProof/>
          <w:sz w:val="18"/>
        </w:rPr>
      </w:r>
      <w:r w:rsidRPr="009D4D2E">
        <w:rPr>
          <w:noProof/>
          <w:sz w:val="18"/>
        </w:rPr>
        <w:fldChar w:fldCharType="separate"/>
      </w:r>
      <w:r w:rsidR="008E4BEC">
        <w:rPr>
          <w:noProof/>
          <w:sz w:val="18"/>
        </w:rPr>
        <w:t>9</w:t>
      </w:r>
      <w:r w:rsidRPr="009D4D2E">
        <w:rPr>
          <w:noProof/>
          <w:sz w:val="18"/>
        </w:rPr>
        <w:fldChar w:fldCharType="end"/>
      </w:r>
    </w:p>
    <w:p w:rsidR="00CE1D55" w:rsidRPr="009D4D2E" w:rsidRDefault="00CE1D55">
      <w:pPr>
        <w:pStyle w:val="TOC9"/>
        <w:rPr>
          <w:rFonts w:asciiTheme="minorHAnsi" w:eastAsiaTheme="minorEastAsia" w:hAnsiTheme="minorHAnsi" w:cstheme="minorBidi"/>
          <w:i w:val="0"/>
          <w:noProof/>
          <w:kern w:val="0"/>
          <w:sz w:val="22"/>
          <w:szCs w:val="22"/>
        </w:rPr>
      </w:pPr>
      <w:r w:rsidRPr="009D4D2E">
        <w:rPr>
          <w:noProof/>
        </w:rPr>
        <w:t>Income Tax (Farm Management Deposits) Regulations</w:t>
      </w:r>
      <w:r w:rsidR="009D4D2E" w:rsidRPr="009D4D2E">
        <w:rPr>
          <w:noProof/>
        </w:rPr>
        <w:t> </w:t>
      </w:r>
      <w:r w:rsidRPr="009D4D2E">
        <w:rPr>
          <w:noProof/>
        </w:rPr>
        <w:t>1998</w:t>
      </w:r>
      <w:r w:rsidRPr="009D4D2E">
        <w:rPr>
          <w:i w:val="0"/>
          <w:noProof/>
          <w:sz w:val="18"/>
        </w:rPr>
        <w:tab/>
      </w:r>
      <w:r w:rsidRPr="009D4D2E">
        <w:rPr>
          <w:i w:val="0"/>
          <w:noProof/>
          <w:sz w:val="18"/>
        </w:rPr>
        <w:fldChar w:fldCharType="begin"/>
      </w:r>
      <w:r w:rsidRPr="009D4D2E">
        <w:rPr>
          <w:i w:val="0"/>
          <w:noProof/>
          <w:sz w:val="18"/>
        </w:rPr>
        <w:instrText xml:space="preserve"> PAGEREF _Toc462908780 \h </w:instrText>
      </w:r>
      <w:r w:rsidRPr="009D4D2E">
        <w:rPr>
          <w:i w:val="0"/>
          <w:noProof/>
          <w:sz w:val="18"/>
        </w:rPr>
      </w:r>
      <w:r w:rsidRPr="009D4D2E">
        <w:rPr>
          <w:i w:val="0"/>
          <w:noProof/>
          <w:sz w:val="18"/>
        </w:rPr>
        <w:fldChar w:fldCharType="separate"/>
      </w:r>
      <w:r w:rsidR="008E4BEC">
        <w:rPr>
          <w:i w:val="0"/>
          <w:noProof/>
          <w:sz w:val="18"/>
        </w:rPr>
        <w:t>9</w:t>
      </w:r>
      <w:r w:rsidRPr="009D4D2E">
        <w:rPr>
          <w:i w:val="0"/>
          <w:noProof/>
          <w:sz w:val="18"/>
        </w:rPr>
        <w:fldChar w:fldCharType="end"/>
      </w:r>
    </w:p>
    <w:p w:rsidR="00833416" w:rsidRPr="009D4D2E" w:rsidRDefault="00CE1D55" w:rsidP="0048364F">
      <w:r w:rsidRPr="009D4D2E">
        <w:fldChar w:fldCharType="end"/>
      </w:r>
    </w:p>
    <w:p w:rsidR="00722023" w:rsidRPr="009D4D2E" w:rsidRDefault="00722023" w:rsidP="0048364F">
      <w:pPr>
        <w:sectPr w:rsidR="00722023" w:rsidRPr="009D4D2E" w:rsidSect="007C7D82">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9D4D2E" w:rsidRDefault="0048364F" w:rsidP="0048364F">
      <w:pPr>
        <w:pStyle w:val="ActHead5"/>
      </w:pPr>
      <w:bookmarkStart w:id="2" w:name="_Toc462908756"/>
      <w:r w:rsidRPr="009D4D2E">
        <w:rPr>
          <w:rStyle w:val="CharSectno"/>
        </w:rPr>
        <w:lastRenderedPageBreak/>
        <w:t>1</w:t>
      </w:r>
      <w:r w:rsidRPr="009D4D2E">
        <w:t xml:space="preserve">  </w:t>
      </w:r>
      <w:r w:rsidR="004F676E" w:rsidRPr="009D4D2E">
        <w:t>Name</w:t>
      </w:r>
      <w:bookmarkEnd w:id="2"/>
    </w:p>
    <w:p w:rsidR="0048364F" w:rsidRPr="009D4D2E" w:rsidRDefault="0048364F" w:rsidP="0048364F">
      <w:pPr>
        <w:pStyle w:val="subsection"/>
      </w:pPr>
      <w:r w:rsidRPr="009D4D2E">
        <w:tab/>
      </w:r>
      <w:r w:rsidRPr="009D4D2E">
        <w:tab/>
        <w:t>Th</w:t>
      </w:r>
      <w:r w:rsidR="00F24C35" w:rsidRPr="009D4D2E">
        <w:t>is</w:t>
      </w:r>
      <w:r w:rsidRPr="009D4D2E">
        <w:t xml:space="preserve"> </w:t>
      </w:r>
      <w:r w:rsidR="00F24C35" w:rsidRPr="009D4D2E">
        <w:t>is</w:t>
      </w:r>
      <w:r w:rsidR="003801D0" w:rsidRPr="009D4D2E">
        <w:t xml:space="preserve"> the</w:t>
      </w:r>
      <w:r w:rsidRPr="009D4D2E">
        <w:t xml:space="preserve"> </w:t>
      </w:r>
      <w:bookmarkStart w:id="3" w:name="BKCheck15B_3"/>
      <w:bookmarkEnd w:id="3"/>
      <w:r w:rsidR="00CB0180" w:rsidRPr="009D4D2E">
        <w:rPr>
          <w:i/>
        </w:rPr>
        <w:fldChar w:fldCharType="begin"/>
      </w:r>
      <w:r w:rsidR="00CB0180" w:rsidRPr="009D4D2E">
        <w:rPr>
          <w:i/>
        </w:rPr>
        <w:instrText xml:space="preserve"> STYLEREF  ShortT </w:instrText>
      </w:r>
      <w:r w:rsidR="00CB0180" w:rsidRPr="009D4D2E">
        <w:rPr>
          <w:i/>
        </w:rPr>
        <w:fldChar w:fldCharType="separate"/>
      </w:r>
      <w:r w:rsidR="008E4BEC">
        <w:rPr>
          <w:i/>
          <w:noProof/>
        </w:rPr>
        <w:t>Treasury Laws Amendment (2016 Measures No. 3) Regulation 2016</w:t>
      </w:r>
      <w:r w:rsidR="00CB0180" w:rsidRPr="009D4D2E">
        <w:rPr>
          <w:i/>
        </w:rPr>
        <w:fldChar w:fldCharType="end"/>
      </w:r>
      <w:r w:rsidRPr="009D4D2E">
        <w:t>.</w:t>
      </w:r>
    </w:p>
    <w:p w:rsidR="0048364F" w:rsidRPr="009D4D2E" w:rsidRDefault="0048364F" w:rsidP="0048364F">
      <w:pPr>
        <w:pStyle w:val="ActHead5"/>
      </w:pPr>
      <w:bookmarkStart w:id="4" w:name="_Toc462908757"/>
      <w:r w:rsidRPr="009D4D2E">
        <w:rPr>
          <w:rStyle w:val="CharSectno"/>
        </w:rPr>
        <w:t>2</w:t>
      </w:r>
      <w:r w:rsidRPr="009D4D2E">
        <w:t xml:space="preserve">  Commencement</w:t>
      </w:r>
      <w:bookmarkEnd w:id="4"/>
    </w:p>
    <w:p w:rsidR="008B3DA6" w:rsidRPr="009D4D2E" w:rsidRDefault="008B3DA6" w:rsidP="00A664CA">
      <w:pPr>
        <w:pStyle w:val="subsection"/>
      </w:pPr>
      <w:r w:rsidRPr="009D4D2E">
        <w:tab/>
        <w:t>(1)</w:t>
      </w:r>
      <w:r w:rsidRPr="009D4D2E">
        <w:tab/>
        <w:t>Each provision of this instrument specified in column 1 of the table commences, or is taken to have commenced, in accordance with column 2 of the table. Any other statement in column 2 has effect according to its terms.</w:t>
      </w:r>
    </w:p>
    <w:p w:rsidR="008B3DA6" w:rsidRPr="009D4D2E" w:rsidRDefault="008B3DA6" w:rsidP="00A664C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8B3DA6" w:rsidRPr="009D4D2E" w:rsidTr="008B3DA6">
        <w:trPr>
          <w:tblHeader/>
        </w:trPr>
        <w:tc>
          <w:tcPr>
            <w:tcW w:w="5000" w:type="pct"/>
            <w:gridSpan w:val="3"/>
            <w:tcBorders>
              <w:top w:val="single" w:sz="12" w:space="0" w:color="auto"/>
              <w:bottom w:val="single" w:sz="6" w:space="0" w:color="auto"/>
            </w:tcBorders>
            <w:shd w:val="clear" w:color="auto" w:fill="auto"/>
            <w:hideMark/>
          </w:tcPr>
          <w:p w:rsidR="008B3DA6" w:rsidRPr="009D4D2E" w:rsidRDefault="008B3DA6" w:rsidP="00A664CA">
            <w:pPr>
              <w:pStyle w:val="TableHeading"/>
            </w:pPr>
            <w:r w:rsidRPr="009D4D2E">
              <w:t>Commencement information</w:t>
            </w:r>
          </w:p>
        </w:tc>
      </w:tr>
      <w:tr w:rsidR="008B3DA6" w:rsidRPr="009D4D2E" w:rsidTr="008B3DA6">
        <w:trPr>
          <w:tblHeader/>
        </w:trPr>
        <w:tc>
          <w:tcPr>
            <w:tcW w:w="1196" w:type="pct"/>
            <w:tcBorders>
              <w:top w:val="single" w:sz="6" w:space="0" w:color="auto"/>
              <w:bottom w:val="single" w:sz="6" w:space="0" w:color="auto"/>
            </w:tcBorders>
            <w:shd w:val="clear" w:color="auto" w:fill="auto"/>
            <w:hideMark/>
          </w:tcPr>
          <w:p w:rsidR="008B3DA6" w:rsidRPr="009D4D2E" w:rsidRDefault="008B3DA6" w:rsidP="00A664CA">
            <w:pPr>
              <w:pStyle w:val="TableHeading"/>
            </w:pPr>
            <w:r w:rsidRPr="009D4D2E">
              <w:t>Column 1</w:t>
            </w:r>
          </w:p>
        </w:tc>
        <w:tc>
          <w:tcPr>
            <w:tcW w:w="2692" w:type="pct"/>
            <w:tcBorders>
              <w:top w:val="single" w:sz="6" w:space="0" w:color="auto"/>
              <w:bottom w:val="single" w:sz="6" w:space="0" w:color="auto"/>
            </w:tcBorders>
            <w:shd w:val="clear" w:color="auto" w:fill="auto"/>
            <w:hideMark/>
          </w:tcPr>
          <w:p w:rsidR="008B3DA6" w:rsidRPr="009D4D2E" w:rsidRDefault="008B3DA6" w:rsidP="00A664CA">
            <w:pPr>
              <w:pStyle w:val="TableHeading"/>
            </w:pPr>
            <w:r w:rsidRPr="009D4D2E">
              <w:t>Column 2</w:t>
            </w:r>
          </w:p>
        </w:tc>
        <w:tc>
          <w:tcPr>
            <w:tcW w:w="1112" w:type="pct"/>
            <w:tcBorders>
              <w:top w:val="single" w:sz="6" w:space="0" w:color="auto"/>
              <w:bottom w:val="single" w:sz="6" w:space="0" w:color="auto"/>
            </w:tcBorders>
            <w:shd w:val="clear" w:color="auto" w:fill="auto"/>
            <w:hideMark/>
          </w:tcPr>
          <w:p w:rsidR="008B3DA6" w:rsidRPr="009D4D2E" w:rsidRDefault="008B3DA6" w:rsidP="00A664CA">
            <w:pPr>
              <w:pStyle w:val="TableHeading"/>
            </w:pPr>
            <w:r w:rsidRPr="009D4D2E">
              <w:t>Column 3</w:t>
            </w:r>
          </w:p>
        </w:tc>
      </w:tr>
      <w:tr w:rsidR="008B3DA6" w:rsidRPr="009D4D2E" w:rsidTr="008B3DA6">
        <w:trPr>
          <w:tblHeader/>
        </w:trPr>
        <w:tc>
          <w:tcPr>
            <w:tcW w:w="1196" w:type="pct"/>
            <w:tcBorders>
              <w:top w:val="single" w:sz="6" w:space="0" w:color="auto"/>
              <w:bottom w:val="single" w:sz="12" w:space="0" w:color="auto"/>
            </w:tcBorders>
            <w:shd w:val="clear" w:color="auto" w:fill="auto"/>
            <w:hideMark/>
          </w:tcPr>
          <w:p w:rsidR="008B3DA6" w:rsidRPr="009D4D2E" w:rsidRDefault="008B3DA6" w:rsidP="00A664CA">
            <w:pPr>
              <w:pStyle w:val="TableHeading"/>
            </w:pPr>
            <w:r w:rsidRPr="009D4D2E">
              <w:t>Provisions</w:t>
            </w:r>
          </w:p>
        </w:tc>
        <w:tc>
          <w:tcPr>
            <w:tcW w:w="2692" w:type="pct"/>
            <w:tcBorders>
              <w:top w:val="single" w:sz="6" w:space="0" w:color="auto"/>
              <w:bottom w:val="single" w:sz="12" w:space="0" w:color="auto"/>
            </w:tcBorders>
            <w:shd w:val="clear" w:color="auto" w:fill="auto"/>
            <w:hideMark/>
          </w:tcPr>
          <w:p w:rsidR="008B3DA6" w:rsidRPr="009D4D2E" w:rsidRDefault="008B3DA6" w:rsidP="00A664CA">
            <w:pPr>
              <w:pStyle w:val="TableHeading"/>
            </w:pPr>
            <w:r w:rsidRPr="009D4D2E">
              <w:t>Commencement</w:t>
            </w:r>
          </w:p>
        </w:tc>
        <w:tc>
          <w:tcPr>
            <w:tcW w:w="1112" w:type="pct"/>
            <w:tcBorders>
              <w:top w:val="single" w:sz="6" w:space="0" w:color="auto"/>
              <w:bottom w:val="single" w:sz="12" w:space="0" w:color="auto"/>
            </w:tcBorders>
            <w:shd w:val="clear" w:color="auto" w:fill="auto"/>
            <w:hideMark/>
          </w:tcPr>
          <w:p w:rsidR="008B3DA6" w:rsidRPr="009D4D2E" w:rsidRDefault="008B3DA6" w:rsidP="00A664CA">
            <w:pPr>
              <w:pStyle w:val="TableHeading"/>
            </w:pPr>
            <w:r w:rsidRPr="009D4D2E">
              <w:t>Date/Details</w:t>
            </w:r>
          </w:p>
        </w:tc>
      </w:tr>
      <w:tr w:rsidR="008B3DA6" w:rsidRPr="009D4D2E" w:rsidTr="008B3DA6">
        <w:tc>
          <w:tcPr>
            <w:tcW w:w="1196" w:type="pct"/>
            <w:tcBorders>
              <w:top w:val="single" w:sz="12" w:space="0" w:color="auto"/>
            </w:tcBorders>
            <w:shd w:val="clear" w:color="auto" w:fill="auto"/>
            <w:hideMark/>
          </w:tcPr>
          <w:p w:rsidR="008B3DA6" w:rsidRPr="009D4D2E" w:rsidRDefault="008B3DA6" w:rsidP="00A664CA">
            <w:pPr>
              <w:pStyle w:val="Tabletext"/>
            </w:pPr>
            <w:r w:rsidRPr="009D4D2E">
              <w:t>1.  Sections</w:t>
            </w:r>
            <w:r w:rsidR="009D4D2E" w:rsidRPr="009D4D2E">
              <w:t> </w:t>
            </w:r>
            <w:r w:rsidRPr="009D4D2E">
              <w:t>1 to 4 and anything in this instrument not elsewhere covered by this table</w:t>
            </w:r>
          </w:p>
        </w:tc>
        <w:tc>
          <w:tcPr>
            <w:tcW w:w="2692" w:type="pct"/>
            <w:tcBorders>
              <w:top w:val="single" w:sz="12" w:space="0" w:color="auto"/>
            </w:tcBorders>
            <w:shd w:val="clear" w:color="auto" w:fill="auto"/>
            <w:hideMark/>
          </w:tcPr>
          <w:p w:rsidR="008B3DA6" w:rsidRPr="009D4D2E" w:rsidRDefault="00EC4243" w:rsidP="00A664CA">
            <w:pPr>
              <w:pStyle w:val="Tabletext"/>
            </w:pPr>
            <w:r w:rsidRPr="009D4D2E">
              <w:t>The day after this instrument is registered.</w:t>
            </w:r>
          </w:p>
        </w:tc>
        <w:tc>
          <w:tcPr>
            <w:tcW w:w="1112" w:type="pct"/>
            <w:tcBorders>
              <w:top w:val="single" w:sz="12" w:space="0" w:color="auto"/>
            </w:tcBorders>
            <w:shd w:val="clear" w:color="auto" w:fill="auto"/>
          </w:tcPr>
          <w:p w:rsidR="008B3DA6" w:rsidRPr="009D4D2E" w:rsidRDefault="00884C9D" w:rsidP="00A664CA">
            <w:pPr>
              <w:pStyle w:val="Tabletext"/>
            </w:pPr>
            <w:r>
              <w:t>18 October 2016</w:t>
            </w:r>
          </w:p>
        </w:tc>
      </w:tr>
      <w:tr w:rsidR="008B3DA6" w:rsidRPr="009D4D2E" w:rsidTr="008B3DA6">
        <w:tc>
          <w:tcPr>
            <w:tcW w:w="1196" w:type="pct"/>
            <w:tcBorders>
              <w:bottom w:val="single" w:sz="2" w:space="0" w:color="auto"/>
            </w:tcBorders>
            <w:shd w:val="clear" w:color="auto" w:fill="auto"/>
          </w:tcPr>
          <w:p w:rsidR="008B3DA6" w:rsidRPr="009D4D2E" w:rsidRDefault="008B3DA6" w:rsidP="00A664CA">
            <w:pPr>
              <w:pStyle w:val="Tabletext"/>
            </w:pPr>
            <w:r w:rsidRPr="009D4D2E">
              <w:t>2.  Schedule</w:t>
            </w:r>
            <w:r w:rsidR="009D4D2E" w:rsidRPr="009D4D2E">
              <w:t> </w:t>
            </w:r>
            <w:r w:rsidRPr="009D4D2E">
              <w:t>1</w:t>
            </w:r>
          </w:p>
        </w:tc>
        <w:tc>
          <w:tcPr>
            <w:tcW w:w="2692" w:type="pct"/>
            <w:tcBorders>
              <w:bottom w:val="single" w:sz="2" w:space="0" w:color="auto"/>
            </w:tcBorders>
            <w:shd w:val="clear" w:color="auto" w:fill="auto"/>
          </w:tcPr>
          <w:p w:rsidR="003A4691" w:rsidRPr="009D4D2E" w:rsidRDefault="003A4691" w:rsidP="003A4691">
            <w:pPr>
              <w:pStyle w:val="Tabletext"/>
            </w:pPr>
            <w:r w:rsidRPr="009D4D2E">
              <w:t>The later of:</w:t>
            </w:r>
          </w:p>
          <w:p w:rsidR="003A4691" w:rsidRPr="009D4D2E" w:rsidRDefault="003A4691" w:rsidP="003A4691">
            <w:pPr>
              <w:pStyle w:val="Tablea"/>
            </w:pPr>
            <w:r w:rsidRPr="009D4D2E">
              <w:t>(a) the d</w:t>
            </w:r>
            <w:bookmarkStart w:id="5" w:name="_GoBack"/>
            <w:bookmarkEnd w:id="5"/>
            <w:r w:rsidRPr="009D4D2E">
              <w:t>ay after this instrument is registered; and</w:t>
            </w:r>
          </w:p>
          <w:p w:rsidR="003A4691" w:rsidRPr="009D4D2E" w:rsidRDefault="003A4691" w:rsidP="003A4691">
            <w:pPr>
              <w:pStyle w:val="Tablea"/>
            </w:pPr>
            <w:r w:rsidRPr="009D4D2E">
              <w:t>(b) the day that section</w:t>
            </w:r>
            <w:r w:rsidR="009D4D2E" w:rsidRPr="009D4D2E">
              <w:t> </w:t>
            </w:r>
            <w:r w:rsidRPr="009D4D2E">
              <w:t xml:space="preserve">36 of the </w:t>
            </w:r>
            <w:r w:rsidRPr="009D4D2E">
              <w:rPr>
                <w:i/>
              </w:rPr>
              <w:t>Queensland Building and Construction Commission and Other Legislation Amendment Act 2014</w:t>
            </w:r>
            <w:r w:rsidRPr="009D4D2E">
              <w:t xml:space="preserve"> (Qld) commences.</w:t>
            </w:r>
          </w:p>
          <w:p w:rsidR="008B3DA6" w:rsidRPr="009D4D2E" w:rsidRDefault="003A4691" w:rsidP="003A4691">
            <w:pPr>
              <w:pStyle w:val="Tabletext"/>
            </w:pPr>
            <w:r w:rsidRPr="009D4D2E">
              <w:t xml:space="preserve">However, the provisions do not commence at all if the event mentioned in </w:t>
            </w:r>
            <w:r w:rsidR="009D4D2E" w:rsidRPr="009D4D2E">
              <w:t>paragraph (</w:t>
            </w:r>
            <w:r w:rsidRPr="009D4D2E">
              <w:t>b) does not occur.</w:t>
            </w:r>
          </w:p>
        </w:tc>
        <w:tc>
          <w:tcPr>
            <w:tcW w:w="1112" w:type="pct"/>
            <w:tcBorders>
              <w:bottom w:val="single" w:sz="2" w:space="0" w:color="auto"/>
            </w:tcBorders>
            <w:shd w:val="clear" w:color="auto" w:fill="auto"/>
          </w:tcPr>
          <w:p w:rsidR="008B3DA6" w:rsidRPr="009D4D2E" w:rsidRDefault="009A0BA3" w:rsidP="00A664CA">
            <w:pPr>
              <w:pStyle w:val="Tabletext"/>
            </w:pPr>
            <w:r w:rsidRPr="009A0BA3">
              <w:t>28 October 2016 (paragraph (b) applies)</w:t>
            </w:r>
          </w:p>
        </w:tc>
      </w:tr>
      <w:tr w:rsidR="008B3DA6" w:rsidRPr="009D4D2E" w:rsidTr="008B3DA6">
        <w:tc>
          <w:tcPr>
            <w:tcW w:w="1196" w:type="pct"/>
            <w:tcBorders>
              <w:top w:val="single" w:sz="2" w:space="0" w:color="auto"/>
              <w:bottom w:val="single" w:sz="12" w:space="0" w:color="auto"/>
            </w:tcBorders>
            <w:shd w:val="clear" w:color="auto" w:fill="auto"/>
          </w:tcPr>
          <w:p w:rsidR="008B3DA6" w:rsidRPr="009D4D2E" w:rsidRDefault="008B3DA6" w:rsidP="00A664CA">
            <w:pPr>
              <w:pStyle w:val="Tabletext"/>
            </w:pPr>
            <w:r w:rsidRPr="009D4D2E">
              <w:t>3.  Schedule</w:t>
            </w:r>
            <w:r w:rsidR="009D4D2E" w:rsidRPr="009D4D2E">
              <w:t> </w:t>
            </w:r>
            <w:r w:rsidRPr="009D4D2E">
              <w:t>2</w:t>
            </w:r>
          </w:p>
        </w:tc>
        <w:tc>
          <w:tcPr>
            <w:tcW w:w="2692" w:type="pct"/>
            <w:tcBorders>
              <w:top w:val="single" w:sz="2" w:space="0" w:color="auto"/>
              <w:bottom w:val="single" w:sz="12" w:space="0" w:color="auto"/>
            </w:tcBorders>
            <w:shd w:val="clear" w:color="auto" w:fill="auto"/>
          </w:tcPr>
          <w:p w:rsidR="008B3DA6" w:rsidRPr="009D4D2E" w:rsidRDefault="003A4691" w:rsidP="00A664CA">
            <w:pPr>
              <w:pStyle w:val="Tabletext"/>
            </w:pPr>
            <w:r w:rsidRPr="009D4D2E">
              <w:t>The day after this instrument is registered.</w:t>
            </w:r>
          </w:p>
        </w:tc>
        <w:tc>
          <w:tcPr>
            <w:tcW w:w="1112" w:type="pct"/>
            <w:tcBorders>
              <w:top w:val="single" w:sz="2" w:space="0" w:color="auto"/>
              <w:bottom w:val="single" w:sz="12" w:space="0" w:color="auto"/>
            </w:tcBorders>
            <w:shd w:val="clear" w:color="auto" w:fill="auto"/>
          </w:tcPr>
          <w:p w:rsidR="008B3DA6" w:rsidRPr="009D4D2E" w:rsidRDefault="00884C9D" w:rsidP="00A664CA">
            <w:pPr>
              <w:pStyle w:val="Tabletext"/>
            </w:pPr>
            <w:r>
              <w:t>18 October 2016</w:t>
            </w:r>
          </w:p>
        </w:tc>
      </w:tr>
    </w:tbl>
    <w:p w:rsidR="008B3DA6" w:rsidRPr="009D4D2E" w:rsidRDefault="008B3DA6" w:rsidP="00A664CA">
      <w:pPr>
        <w:pStyle w:val="notetext"/>
      </w:pPr>
      <w:r w:rsidRPr="009D4D2E">
        <w:rPr>
          <w:snapToGrid w:val="0"/>
          <w:lang w:eastAsia="en-US"/>
        </w:rPr>
        <w:t>Note:</w:t>
      </w:r>
      <w:r w:rsidRPr="009D4D2E">
        <w:rPr>
          <w:snapToGrid w:val="0"/>
          <w:lang w:eastAsia="en-US"/>
        </w:rPr>
        <w:tab/>
        <w:t xml:space="preserve">This table relates only to the provisions of this </w:t>
      </w:r>
      <w:r w:rsidRPr="009D4D2E">
        <w:t xml:space="preserve">instrument </w:t>
      </w:r>
      <w:r w:rsidRPr="009D4D2E">
        <w:rPr>
          <w:snapToGrid w:val="0"/>
          <w:lang w:eastAsia="en-US"/>
        </w:rPr>
        <w:t xml:space="preserve">as originally made. It will not be amended to deal with any later amendments of this </w:t>
      </w:r>
      <w:r w:rsidRPr="009D4D2E">
        <w:t>instrument</w:t>
      </w:r>
      <w:r w:rsidRPr="009D4D2E">
        <w:rPr>
          <w:snapToGrid w:val="0"/>
          <w:lang w:eastAsia="en-US"/>
        </w:rPr>
        <w:t>.</w:t>
      </w:r>
    </w:p>
    <w:p w:rsidR="008B3DA6" w:rsidRPr="009D4D2E" w:rsidRDefault="008B3DA6" w:rsidP="00D455E3">
      <w:pPr>
        <w:pStyle w:val="subsection"/>
      </w:pPr>
      <w:r w:rsidRPr="009D4D2E">
        <w:tab/>
        <w:t>(2)</w:t>
      </w:r>
      <w:r w:rsidRPr="009D4D2E">
        <w:tab/>
        <w:t>Any information in column 3 of the table is not part of this instrument. Information may be inserted in this column, or information in it may be edited, in any published version of this instrument.</w:t>
      </w:r>
    </w:p>
    <w:p w:rsidR="007769D4" w:rsidRPr="009D4D2E" w:rsidRDefault="007769D4" w:rsidP="007769D4">
      <w:pPr>
        <w:pStyle w:val="ActHead5"/>
      </w:pPr>
      <w:bookmarkStart w:id="6" w:name="_Toc462908758"/>
      <w:r w:rsidRPr="009D4D2E">
        <w:rPr>
          <w:rStyle w:val="CharSectno"/>
        </w:rPr>
        <w:t>3</w:t>
      </w:r>
      <w:r w:rsidRPr="009D4D2E">
        <w:t xml:space="preserve">  Authority</w:t>
      </w:r>
      <w:bookmarkEnd w:id="6"/>
    </w:p>
    <w:p w:rsidR="00CB2BB7" w:rsidRPr="009D4D2E" w:rsidRDefault="007769D4" w:rsidP="007769D4">
      <w:pPr>
        <w:pStyle w:val="subsection"/>
      </w:pPr>
      <w:r w:rsidRPr="009D4D2E">
        <w:tab/>
      </w:r>
      <w:r w:rsidRPr="009D4D2E">
        <w:tab/>
      </w:r>
      <w:r w:rsidR="00AF0336" w:rsidRPr="009D4D2E">
        <w:t xml:space="preserve">This </w:t>
      </w:r>
      <w:r w:rsidR="008B3DA6" w:rsidRPr="009D4D2E">
        <w:t>instrument</w:t>
      </w:r>
      <w:r w:rsidR="00AF0336" w:rsidRPr="009D4D2E">
        <w:t xml:space="preserve"> is made under the</w:t>
      </w:r>
      <w:r w:rsidR="00CB2BB7" w:rsidRPr="009D4D2E">
        <w:t xml:space="preserve"> following:</w:t>
      </w:r>
    </w:p>
    <w:p w:rsidR="00CB2BB7" w:rsidRPr="009D4D2E" w:rsidRDefault="00CB2BB7" w:rsidP="00CB2BB7">
      <w:pPr>
        <w:pStyle w:val="paragraph"/>
      </w:pPr>
      <w:r w:rsidRPr="009D4D2E">
        <w:tab/>
        <w:t>(a)</w:t>
      </w:r>
      <w:r w:rsidRPr="009D4D2E">
        <w:tab/>
        <w:t>the</w:t>
      </w:r>
      <w:r w:rsidR="00AF0336" w:rsidRPr="009D4D2E">
        <w:t xml:space="preserve"> </w:t>
      </w:r>
      <w:r w:rsidR="008B3DA6" w:rsidRPr="009D4D2E">
        <w:rPr>
          <w:i/>
        </w:rPr>
        <w:t>A New Tax System (Goods and Services Tax) Act 1999</w:t>
      </w:r>
      <w:r w:rsidRPr="009D4D2E">
        <w:t>;</w:t>
      </w:r>
    </w:p>
    <w:p w:rsidR="00CB2BB7" w:rsidRPr="009D4D2E" w:rsidRDefault="00CB2BB7" w:rsidP="00CB2BB7">
      <w:pPr>
        <w:pStyle w:val="paragraph"/>
      </w:pPr>
      <w:r w:rsidRPr="009D4D2E">
        <w:tab/>
        <w:t>(b)</w:t>
      </w:r>
      <w:r w:rsidRPr="009D4D2E">
        <w:tab/>
        <w:t xml:space="preserve">the </w:t>
      </w:r>
      <w:r w:rsidRPr="009D4D2E">
        <w:rPr>
          <w:i/>
        </w:rPr>
        <w:t>Banking Act 1959</w:t>
      </w:r>
      <w:r w:rsidRPr="009D4D2E">
        <w:t>;</w:t>
      </w:r>
    </w:p>
    <w:p w:rsidR="00CB2BB7" w:rsidRPr="009D4D2E" w:rsidRDefault="00CB2BB7" w:rsidP="00CB2BB7">
      <w:pPr>
        <w:pStyle w:val="paragraph"/>
      </w:pPr>
      <w:r w:rsidRPr="009D4D2E">
        <w:tab/>
        <w:t>(c)</w:t>
      </w:r>
      <w:r w:rsidRPr="009D4D2E">
        <w:tab/>
        <w:t xml:space="preserve">the </w:t>
      </w:r>
      <w:r w:rsidRPr="009D4D2E">
        <w:rPr>
          <w:i/>
        </w:rPr>
        <w:t>Income Tax Assessment Act 1936</w:t>
      </w:r>
      <w:r w:rsidRPr="009D4D2E">
        <w:t>;</w:t>
      </w:r>
    </w:p>
    <w:p w:rsidR="00CB2BB7" w:rsidRPr="009D4D2E" w:rsidRDefault="00CB2BB7" w:rsidP="00CB2BB7">
      <w:pPr>
        <w:pStyle w:val="paragraph"/>
      </w:pPr>
      <w:r w:rsidRPr="009D4D2E">
        <w:tab/>
        <w:t>(d)</w:t>
      </w:r>
      <w:r w:rsidRPr="009D4D2E">
        <w:tab/>
        <w:t xml:space="preserve">the </w:t>
      </w:r>
      <w:r w:rsidRPr="009D4D2E">
        <w:rPr>
          <w:i/>
        </w:rPr>
        <w:t>Income Tax Assessment Act 1997</w:t>
      </w:r>
      <w:r w:rsidRPr="009D4D2E">
        <w:t>;</w:t>
      </w:r>
    </w:p>
    <w:p w:rsidR="007769D4" w:rsidRPr="009D4D2E" w:rsidRDefault="00CB2BB7" w:rsidP="00CB2BB7">
      <w:pPr>
        <w:pStyle w:val="paragraph"/>
      </w:pPr>
      <w:r w:rsidRPr="009D4D2E">
        <w:tab/>
        <w:t>(e)</w:t>
      </w:r>
      <w:r w:rsidRPr="009D4D2E">
        <w:tab/>
        <w:t xml:space="preserve">the </w:t>
      </w:r>
      <w:r w:rsidRPr="009D4D2E">
        <w:rPr>
          <w:i/>
        </w:rPr>
        <w:t>Taxation Administration Act 1953</w:t>
      </w:r>
      <w:r w:rsidR="00D83D21" w:rsidRPr="009D4D2E">
        <w:t>.</w:t>
      </w:r>
    </w:p>
    <w:p w:rsidR="00557C7A" w:rsidRPr="009D4D2E" w:rsidRDefault="007769D4" w:rsidP="00557C7A">
      <w:pPr>
        <w:pStyle w:val="ActHead5"/>
      </w:pPr>
      <w:bookmarkStart w:id="7" w:name="_Toc462908759"/>
      <w:r w:rsidRPr="009D4D2E">
        <w:rPr>
          <w:rStyle w:val="CharSectno"/>
        </w:rPr>
        <w:t>4</w:t>
      </w:r>
      <w:r w:rsidR="00557C7A" w:rsidRPr="009D4D2E">
        <w:t xml:space="preserve">  </w:t>
      </w:r>
      <w:r w:rsidR="00B332B8" w:rsidRPr="009D4D2E">
        <w:t>Schedules</w:t>
      </w:r>
      <w:bookmarkEnd w:id="7"/>
    </w:p>
    <w:p w:rsidR="000F6B02" w:rsidRPr="009D4D2E" w:rsidRDefault="00557C7A" w:rsidP="000F6B02">
      <w:pPr>
        <w:pStyle w:val="subsection"/>
      </w:pPr>
      <w:r w:rsidRPr="009D4D2E">
        <w:tab/>
      </w:r>
      <w:r w:rsidRPr="009D4D2E">
        <w:tab/>
      </w:r>
      <w:r w:rsidR="000F6B02" w:rsidRPr="009D4D2E">
        <w:t xml:space="preserve">Each instrument that is specified in a Schedule to </w:t>
      </w:r>
      <w:r w:rsidR="008B3DA6" w:rsidRPr="009D4D2E">
        <w:t>this instrument</w:t>
      </w:r>
      <w:r w:rsidR="000F6B02" w:rsidRPr="009D4D2E">
        <w:t xml:space="preserve"> is amended or repealed as set out in the applicable items in the Schedule concerned, and any other item in a Schedule to </w:t>
      </w:r>
      <w:r w:rsidR="008B3DA6" w:rsidRPr="009D4D2E">
        <w:t>this instrument</w:t>
      </w:r>
      <w:r w:rsidR="000F6B02" w:rsidRPr="009D4D2E">
        <w:t xml:space="preserve"> has effect according to its terms.</w:t>
      </w:r>
    </w:p>
    <w:p w:rsidR="003A4691" w:rsidRPr="009D4D2E" w:rsidRDefault="0048364F" w:rsidP="003A4691">
      <w:pPr>
        <w:pStyle w:val="ActHead6"/>
      </w:pPr>
      <w:bookmarkStart w:id="8" w:name="_Toc462908760"/>
      <w:bookmarkStart w:id="9" w:name="opcAmSched"/>
      <w:r w:rsidRPr="009D4D2E">
        <w:rPr>
          <w:rStyle w:val="CharAmSchNo"/>
        </w:rPr>
        <w:lastRenderedPageBreak/>
        <w:t>Schedule</w:t>
      </w:r>
      <w:r w:rsidR="009D4D2E" w:rsidRPr="009D4D2E">
        <w:rPr>
          <w:rStyle w:val="CharAmSchNo"/>
        </w:rPr>
        <w:t> </w:t>
      </w:r>
      <w:r w:rsidRPr="009D4D2E">
        <w:rPr>
          <w:rStyle w:val="CharAmSchNo"/>
        </w:rPr>
        <w:t>1</w:t>
      </w:r>
      <w:r w:rsidRPr="009D4D2E">
        <w:t>—</w:t>
      </w:r>
      <w:r w:rsidR="003A4691" w:rsidRPr="009D4D2E">
        <w:rPr>
          <w:rStyle w:val="CharAmSchText"/>
        </w:rPr>
        <w:t>Queensland home warranty scheme</w:t>
      </w:r>
      <w:bookmarkEnd w:id="8"/>
    </w:p>
    <w:bookmarkEnd w:id="9"/>
    <w:p w:rsidR="003A4691" w:rsidRPr="009D4D2E" w:rsidRDefault="003A4691" w:rsidP="003A4691">
      <w:pPr>
        <w:pStyle w:val="Header"/>
      </w:pPr>
      <w:r w:rsidRPr="009D4D2E">
        <w:rPr>
          <w:rStyle w:val="CharAmPartNo"/>
        </w:rPr>
        <w:t xml:space="preserve"> </w:t>
      </w:r>
      <w:r w:rsidRPr="009D4D2E">
        <w:rPr>
          <w:rStyle w:val="CharAmPartText"/>
        </w:rPr>
        <w:t xml:space="preserve"> </w:t>
      </w:r>
    </w:p>
    <w:p w:rsidR="003A4691" w:rsidRPr="009D4D2E" w:rsidRDefault="003A4691" w:rsidP="003A4691">
      <w:pPr>
        <w:pStyle w:val="ActHead9"/>
      </w:pPr>
      <w:bookmarkStart w:id="10" w:name="_Toc462908761"/>
      <w:r w:rsidRPr="009D4D2E">
        <w:t>A New Tax System (Goods and Services Tax) Regulations</w:t>
      </w:r>
      <w:r w:rsidR="009D4D2E" w:rsidRPr="009D4D2E">
        <w:t> </w:t>
      </w:r>
      <w:r w:rsidRPr="009D4D2E">
        <w:t>1999</w:t>
      </w:r>
      <w:bookmarkEnd w:id="10"/>
    </w:p>
    <w:p w:rsidR="003A4691" w:rsidRPr="009D4D2E" w:rsidRDefault="003A4691" w:rsidP="003A4691">
      <w:pPr>
        <w:pStyle w:val="ItemHead"/>
        <w:tabs>
          <w:tab w:val="left" w:pos="6663"/>
        </w:tabs>
      </w:pPr>
      <w:r w:rsidRPr="009D4D2E">
        <w:t>1  Schedule</w:t>
      </w:r>
      <w:r w:rsidR="009D4D2E" w:rsidRPr="009D4D2E">
        <w:t> </w:t>
      </w:r>
      <w:r w:rsidRPr="009D4D2E">
        <w:t>10 (after table item</w:t>
      </w:r>
      <w:r w:rsidR="009D4D2E" w:rsidRPr="009D4D2E">
        <w:t> </w:t>
      </w:r>
      <w:r w:rsidRPr="009D4D2E">
        <w:t>9)</w:t>
      </w:r>
    </w:p>
    <w:p w:rsidR="003A4691" w:rsidRPr="009D4D2E" w:rsidRDefault="003A4691" w:rsidP="003A4691">
      <w:pPr>
        <w:pStyle w:val="Item"/>
      </w:pPr>
      <w:r w:rsidRPr="009D4D2E">
        <w:t>Insert:</w:t>
      </w:r>
    </w:p>
    <w:tbl>
      <w:tblPr>
        <w:tblW w:w="5000" w:type="pct"/>
        <w:tblLook w:val="0000" w:firstRow="0" w:lastRow="0" w:firstColumn="0" w:lastColumn="0" w:noHBand="0" w:noVBand="0"/>
      </w:tblPr>
      <w:tblGrid>
        <w:gridCol w:w="757"/>
        <w:gridCol w:w="3886"/>
        <w:gridCol w:w="3886"/>
      </w:tblGrid>
      <w:tr w:rsidR="003A4691" w:rsidRPr="009D4D2E" w:rsidTr="00A278C5">
        <w:trPr>
          <w:trHeight w:val="240"/>
        </w:trPr>
        <w:tc>
          <w:tcPr>
            <w:tcW w:w="444" w:type="pct"/>
            <w:shd w:val="clear" w:color="auto" w:fill="auto"/>
          </w:tcPr>
          <w:p w:rsidR="003A4691" w:rsidRPr="009D4D2E" w:rsidRDefault="003A4691" w:rsidP="00A278C5">
            <w:pPr>
              <w:pStyle w:val="Tabletext"/>
            </w:pPr>
            <w:r w:rsidRPr="009D4D2E">
              <w:t>10</w:t>
            </w:r>
          </w:p>
        </w:tc>
        <w:tc>
          <w:tcPr>
            <w:tcW w:w="2278" w:type="pct"/>
            <w:shd w:val="clear" w:color="auto" w:fill="auto"/>
          </w:tcPr>
          <w:p w:rsidR="003A4691" w:rsidRPr="009D4D2E" w:rsidRDefault="003A4691" w:rsidP="00A278C5">
            <w:pPr>
              <w:pStyle w:val="Tabletext"/>
            </w:pPr>
            <w:r w:rsidRPr="009D4D2E">
              <w:t>Statutory insurance scheme</w:t>
            </w:r>
          </w:p>
        </w:tc>
        <w:tc>
          <w:tcPr>
            <w:tcW w:w="2278" w:type="pct"/>
            <w:shd w:val="clear" w:color="auto" w:fill="auto"/>
          </w:tcPr>
          <w:p w:rsidR="003A4691" w:rsidRPr="009D4D2E" w:rsidRDefault="003A4691" w:rsidP="00A278C5">
            <w:pPr>
              <w:pStyle w:val="Tabletext"/>
            </w:pPr>
            <w:r w:rsidRPr="009D4D2E">
              <w:rPr>
                <w:i/>
                <w:iCs/>
              </w:rPr>
              <w:t xml:space="preserve">Queensland Building and Construction Commission Act 1991 </w:t>
            </w:r>
            <w:r w:rsidRPr="009D4D2E">
              <w:t>(Qld)</w:t>
            </w:r>
          </w:p>
        </w:tc>
      </w:tr>
    </w:tbl>
    <w:p w:rsidR="003A4691" w:rsidRPr="009D4D2E" w:rsidRDefault="008B3DA6" w:rsidP="003A4691">
      <w:pPr>
        <w:pStyle w:val="ActHead6"/>
        <w:pageBreakBefore/>
      </w:pPr>
      <w:bookmarkStart w:id="11" w:name="_Toc462908762"/>
      <w:bookmarkStart w:id="12" w:name="opcCurrentFind"/>
      <w:r w:rsidRPr="009D4D2E">
        <w:rPr>
          <w:rStyle w:val="CharAmSchNo"/>
        </w:rPr>
        <w:lastRenderedPageBreak/>
        <w:t>Schedule</w:t>
      </w:r>
      <w:r w:rsidR="009D4D2E" w:rsidRPr="009D4D2E">
        <w:rPr>
          <w:rStyle w:val="CharAmSchNo"/>
        </w:rPr>
        <w:t> </w:t>
      </w:r>
      <w:r w:rsidRPr="009D4D2E">
        <w:rPr>
          <w:rStyle w:val="CharAmSchNo"/>
        </w:rPr>
        <w:t>2</w:t>
      </w:r>
      <w:r w:rsidRPr="009D4D2E">
        <w:t>—</w:t>
      </w:r>
      <w:r w:rsidR="003A4691" w:rsidRPr="009D4D2E">
        <w:rPr>
          <w:rStyle w:val="CharAmSchText"/>
        </w:rPr>
        <w:t>Farm management deposits</w:t>
      </w:r>
      <w:bookmarkEnd w:id="11"/>
    </w:p>
    <w:p w:rsidR="003A4691" w:rsidRPr="009D4D2E" w:rsidRDefault="003A4691" w:rsidP="003A4691">
      <w:pPr>
        <w:pStyle w:val="ActHead7"/>
      </w:pPr>
      <w:bookmarkStart w:id="13" w:name="_Toc462908763"/>
      <w:bookmarkEnd w:id="12"/>
      <w:r w:rsidRPr="009D4D2E">
        <w:rPr>
          <w:rStyle w:val="CharAmPartNo"/>
        </w:rPr>
        <w:t>Part</w:t>
      </w:r>
      <w:r w:rsidR="009D4D2E" w:rsidRPr="009D4D2E">
        <w:rPr>
          <w:rStyle w:val="CharAmPartNo"/>
        </w:rPr>
        <w:t> </w:t>
      </w:r>
      <w:r w:rsidRPr="009D4D2E">
        <w:rPr>
          <w:rStyle w:val="CharAmPartNo"/>
        </w:rPr>
        <w:t>1</w:t>
      </w:r>
      <w:r w:rsidRPr="009D4D2E">
        <w:t>—</w:t>
      </w:r>
      <w:r w:rsidRPr="009D4D2E">
        <w:rPr>
          <w:rStyle w:val="CharAmPartText"/>
        </w:rPr>
        <w:t>Amendments</w:t>
      </w:r>
      <w:bookmarkEnd w:id="13"/>
    </w:p>
    <w:p w:rsidR="003A4691" w:rsidRPr="009D4D2E" w:rsidRDefault="003A4691" w:rsidP="003A4691">
      <w:pPr>
        <w:pStyle w:val="ActHead9"/>
      </w:pPr>
      <w:bookmarkStart w:id="14" w:name="_Toc462908764"/>
      <w:r w:rsidRPr="009D4D2E">
        <w:t>Banking Regulations</w:t>
      </w:r>
      <w:r w:rsidR="009D4D2E" w:rsidRPr="009D4D2E">
        <w:t> </w:t>
      </w:r>
      <w:r w:rsidRPr="009D4D2E">
        <w:t>1966</w:t>
      </w:r>
      <w:bookmarkEnd w:id="14"/>
    </w:p>
    <w:p w:rsidR="003A4691" w:rsidRPr="009D4D2E" w:rsidRDefault="003A4691" w:rsidP="003A4691">
      <w:pPr>
        <w:pStyle w:val="ItemHead"/>
      </w:pPr>
      <w:r w:rsidRPr="009D4D2E">
        <w:t>1  Paragraph 10(e)</w:t>
      </w:r>
    </w:p>
    <w:p w:rsidR="003A4691" w:rsidRPr="009D4D2E" w:rsidRDefault="003A4691" w:rsidP="003A4691">
      <w:pPr>
        <w:pStyle w:val="Item"/>
      </w:pPr>
      <w:r w:rsidRPr="009D4D2E">
        <w:t>Omit “Schedule</w:t>
      </w:r>
      <w:r w:rsidR="009D4D2E" w:rsidRPr="009D4D2E">
        <w:t> </w:t>
      </w:r>
      <w:r w:rsidRPr="009D4D2E">
        <w:t xml:space="preserve">1 to the </w:t>
      </w:r>
      <w:r w:rsidRPr="009D4D2E">
        <w:rPr>
          <w:i/>
        </w:rPr>
        <w:t>Income Tax (Farm Management Deposits) Regulations</w:t>
      </w:r>
      <w:r w:rsidR="009D4D2E" w:rsidRPr="009D4D2E">
        <w:rPr>
          <w:i/>
        </w:rPr>
        <w:t> </w:t>
      </w:r>
      <w:r w:rsidRPr="009D4D2E">
        <w:rPr>
          <w:i/>
        </w:rPr>
        <w:t>1998</w:t>
      </w:r>
      <w:r w:rsidRPr="009D4D2E">
        <w:t>”, substitute “regulation</w:t>
      </w:r>
      <w:r w:rsidR="009D4D2E" w:rsidRPr="009D4D2E">
        <w:t> </w:t>
      </w:r>
      <w:r w:rsidRPr="009D4D2E">
        <w:t>393</w:t>
      </w:r>
      <w:r w:rsidR="009D4D2E">
        <w:noBreakHyphen/>
      </w:r>
      <w:r w:rsidRPr="009D4D2E">
        <w:t xml:space="preserve">5 of the </w:t>
      </w:r>
      <w:r w:rsidRPr="009D4D2E">
        <w:rPr>
          <w:i/>
        </w:rPr>
        <w:t>Income Tax Assessment Regulations</w:t>
      </w:r>
      <w:r w:rsidR="009D4D2E" w:rsidRPr="009D4D2E">
        <w:rPr>
          <w:i/>
        </w:rPr>
        <w:t> </w:t>
      </w:r>
      <w:r w:rsidRPr="009D4D2E">
        <w:rPr>
          <w:i/>
        </w:rPr>
        <w:t>1997</w:t>
      </w:r>
      <w:r w:rsidRPr="009D4D2E">
        <w:t>”.</w:t>
      </w:r>
    </w:p>
    <w:p w:rsidR="003A4691" w:rsidRPr="009D4D2E" w:rsidRDefault="003A4691" w:rsidP="003A4691">
      <w:pPr>
        <w:pStyle w:val="ActHead9"/>
      </w:pPr>
      <w:bookmarkStart w:id="15" w:name="_Toc462908765"/>
      <w:r w:rsidRPr="009D4D2E">
        <w:t>Income Tax Assessment Regulations</w:t>
      </w:r>
      <w:r w:rsidR="009D4D2E" w:rsidRPr="009D4D2E">
        <w:t> </w:t>
      </w:r>
      <w:r w:rsidRPr="009D4D2E">
        <w:t>1997</w:t>
      </w:r>
      <w:bookmarkEnd w:id="15"/>
    </w:p>
    <w:p w:rsidR="003A4691" w:rsidRPr="009D4D2E" w:rsidRDefault="003A4691" w:rsidP="003A4691">
      <w:pPr>
        <w:pStyle w:val="ItemHead"/>
      </w:pPr>
      <w:r w:rsidRPr="009D4D2E">
        <w:t>2  After Part</w:t>
      </w:r>
      <w:r w:rsidR="009D4D2E" w:rsidRPr="009D4D2E">
        <w:t> </w:t>
      </w:r>
      <w:r w:rsidRPr="009D4D2E">
        <w:t>3</w:t>
      </w:r>
    </w:p>
    <w:p w:rsidR="003A4691" w:rsidRPr="009D4D2E" w:rsidRDefault="003A4691" w:rsidP="003A4691">
      <w:pPr>
        <w:pStyle w:val="Item"/>
      </w:pPr>
      <w:r w:rsidRPr="009D4D2E">
        <w:t>Insert:</w:t>
      </w:r>
    </w:p>
    <w:p w:rsidR="003A4691" w:rsidRPr="009D4D2E" w:rsidRDefault="003A4691" w:rsidP="003A4691">
      <w:pPr>
        <w:pStyle w:val="ActHead2"/>
      </w:pPr>
      <w:bookmarkStart w:id="16" w:name="_Toc462908766"/>
      <w:r w:rsidRPr="009D4D2E">
        <w:rPr>
          <w:rStyle w:val="CharPartNo"/>
        </w:rPr>
        <w:t>Part</w:t>
      </w:r>
      <w:r w:rsidR="009D4D2E" w:rsidRPr="009D4D2E">
        <w:rPr>
          <w:rStyle w:val="CharPartNo"/>
        </w:rPr>
        <w:t> </w:t>
      </w:r>
      <w:r w:rsidRPr="009D4D2E">
        <w:rPr>
          <w:rStyle w:val="CharPartNo"/>
        </w:rPr>
        <w:t>3A</w:t>
      </w:r>
      <w:r w:rsidRPr="009D4D2E">
        <w:t>—</w:t>
      </w:r>
      <w:r w:rsidRPr="009D4D2E">
        <w:rPr>
          <w:rStyle w:val="CharPartText"/>
        </w:rPr>
        <w:t>Rules for particular industries and occupations</w:t>
      </w:r>
      <w:bookmarkEnd w:id="16"/>
    </w:p>
    <w:p w:rsidR="003A4691" w:rsidRPr="009D4D2E" w:rsidRDefault="003A4691" w:rsidP="003A4691">
      <w:pPr>
        <w:pStyle w:val="ActHead3"/>
      </w:pPr>
      <w:bookmarkStart w:id="17" w:name="_Toc462908767"/>
      <w:r w:rsidRPr="009D4D2E">
        <w:rPr>
          <w:rStyle w:val="CharDivNo"/>
        </w:rPr>
        <w:t>Division</w:t>
      </w:r>
      <w:r w:rsidR="009D4D2E" w:rsidRPr="009D4D2E">
        <w:rPr>
          <w:rStyle w:val="CharDivNo"/>
        </w:rPr>
        <w:t> </w:t>
      </w:r>
      <w:r w:rsidRPr="009D4D2E">
        <w:rPr>
          <w:rStyle w:val="CharDivNo"/>
        </w:rPr>
        <w:t>393</w:t>
      </w:r>
      <w:r w:rsidRPr="009D4D2E">
        <w:t>—</w:t>
      </w:r>
      <w:r w:rsidRPr="009D4D2E">
        <w:rPr>
          <w:rStyle w:val="CharDivText"/>
        </w:rPr>
        <w:t>Farm management deposits</w:t>
      </w:r>
      <w:bookmarkEnd w:id="17"/>
    </w:p>
    <w:p w:rsidR="003A4691" w:rsidRPr="009D4D2E" w:rsidRDefault="003A4691" w:rsidP="003A4691">
      <w:pPr>
        <w:pStyle w:val="ActHead5"/>
      </w:pPr>
      <w:bookmarkStart w:id="18" w:name="_Toc462908768"/>
      <w:r w:rsidRPr="009D4D2E">
        <w:rPr>
          <w:rStyle w:val="CharSectno"/>
        </w:rPr>
        <w:t>393</w:t>
      </w:r>
      <w:r w:rsidR="009D4D2E" w:rsidRPr="009D4D2E">
        <w:rPr>
          <w:rStyle w:val="CharSectno"/>
        </w:rPr>
        <w:noBreakHyphen/>
      </w:r>
      <w:r w:rsidRPr="009D4D2E">
        <w:rPr>
          <w:rStyle w:val="CharSectno"/>
        </w:rPr>
        <w:t>1</w:t>
      </w:r>
      <w:r w:rsidRPr="009D4D2E">
        <w:t xml:space="preserve">  Simplified outline of the farm management deposits scheme</w:t>
      </w:r>
      <w:bookmarkEnd w:id="18"/>
    </w:p>
    <w:p w:rsidR="003A4691" w:rsidRPr="009D4D2E" w:rsidRDefault="003A4691" w:rsidP="003A4691">
      <w:pPr>
        <w:pStyle w:val="SOText"/>
      </w:pPr>
      <w:r w:rsidRPr="009D4D2E">
        <w:t>Division</w:t>
      </w:r>
      <w:r w:rsidR="009D4D2E" w:rsidRPr="009D4D2E">
        <w:t> </w:t>
      </w:r>
      <w:r w:rsidRPr="009D4D2E">
        <w:t xml:space="preserve">393 of the Act establishes the farm management deposits scheme, which are deposits made with </w:t>
      </w:r>
      <w:proofErr w:type="spellStart"/>
      <w:r w:rsidRPr="009D4D2E">
        <w:t>FMD</w:t>
      </w:r>
      <w:proofErr w:type="spellEnd"/>
      <w:r w:rsidRPr="009D4D2E">
        <w:t xml:space="preserve"> providers in the circumstances described in that Division.</w:t>
      </w:r>
    </w:p>
    <w:p w:rsidR="003A4691" w:rsidRPr="009D4D2E" w:rsidRDefault="003A4691" w:rsidP="003A4691">
      <w:pPr>
        <w:pStyle w:val="SOText"/>
      </w:pPr>
      <w:r w:rsidRPr="009D4D2E">
        <w:t>You can deduct a farm management deposit you make if:</w:t>
      </w:r>
    </w:p>
    <w:p w:rsidR="003A4691" w:rsidRPr="009D4D2E" w:rsidRDefault="003A4691" w:rsidP="003A4691">
      <w:pPr>
        <w:pStyle w:val="SOPara"/>
      </w:pPr>
      <w:r w:rsidRPr="009D4D2E">
        <w:tab/>
        <w:t>(a)</w:t>
      </w:r>
      <w:r w:rsidRPr="009D4D2E">
        <w:tab/>
        <w:t>you are an individual carrying on a primary production business (including a primary production business you carry on as a partner in a partnership or as a beneficiary of a trust); and</w:t>
      </w:r>
    </w:p>
    <w:p w:rsidR="003A4691" w:rsidRPr="009D4D2E" w:rsidRDefault="003A4691" w:rsidP="003A4691">
      <w:pPr>
        <w:pStyle w:val="SOPara"/>
      </w:pPr>
      <w:r w:rsidRPr="009D4D2E">
        <w:tab/>
        <w:t>(b)</w:t>
      </w:r>
      <w:r w:rsidRPr="009D4D2E">
        <w:tab/>
        <w:t>you hold the deposit for at least 12 months; and</w:t>
      </w:r>
    </w:p>
    <w:p w:rsidR="003A4691" w:rsidRPr="009D4D2E" w:rsidRDefault="003A4691" w:rsidP="003A4691">
      <w:pPr>
        <w:pStyle w:val="SOPara"/>
      </w:pPr>
      <w:r w:rsidRPr="009D4D2E">
        <w:tab/>
        <w:t>(c)</w:t>
      </w:r>
      <w:r w:rsidRPr="009D4D2E">
        <w:tab/>
        <w:t>you meet some other requirements.</w:t>
      </w:r>
    </w:p>
    <w:p w:rsidR="003A4691" w:rsidRPr="009D4D2E" w:rsidRDefault="003A4691" w:rsidP="003A4691">
      <w:pPr>
        <w:pStyle w:val="SOText"/>
      </w:pPr>
      <w:r w:rsidRPr="009D4D2E">
        <w:t>The amount of the deposit repaid is included in your assessable income in the income year in which it is repaid. Special rules apply if the deposit is repaid in the event of a severe drought or an applicable natural disaster.</w:t>
      </w:r>
    </w:p>
    <w:p w:rsidR="003A4691" w:rsidRPr="009D4D2E" w:rsidRDefault="003A4691" w:rsidP="003A4691">
      <w:pPr>
        <w:pStyle w:val="SOText"/>
      </w:pPr>
      <w:r w:rsidRPr="009D4D2E">
        <w:t>Farm management deposits allow you to carry over income from years of good cash flow and to draw down on that income in years when you need the cash. This enables you to defer the income tax on your taxable primary production income from the income year in which you make the deposit until the income year in which the deposit is repaid.</w:t>
      </w:r>
    </w:p>
    <w:p w:rsidR="003A4691" w:rsidRPr="009D4D2E" w:rsidRDefault="003A4691" w:rsidP="003A4691">
      <w:pPr>
        <w:pStyle w:val="ActHead5"/>
      </w:pPr>
      <w:bookmarkStart w:id="19" w:name="_Toc462908769"/>
      <w:r w:rsidRPr="009D4D2E">
        <w:rPr>
          <w:rStyle w:val="CharSectno"/>
        </w:rPr>
        <w:t>393</w:t>
      </w:r>
      <w:r w:rsidR="009D4D2E" w:rsidRPr="009D4D2E">
        <w:rPr>
          <w:rStyle w:val="CharSectno"/>
        </w:rPr>
        <w:noBreakHyphen/>
      </w:r>
      <w:r w:rsidRPr="009D4D2E">
        <w:rPr>
          <w:rStyle w:val="CharSectno"/>
        </w:rPr>
        <w:t>5</w:t>
      </w:r>
      <w:r w:rsidRPr="009D4D2E">
        <w:t xml:space="preserve">  Application form for a farm management deposit: information given by depositor</w:t>
      </w:r>
      <w:bookmarkEnd w:id="19"/>
    </w:p>
    <w:p w:rsidR="003A4691" w:rsidRPr="009D4D2E" w:rsidRDefault="003A4691" w:rsidP="003A4691">
      <w:pPr>
        <w:pStyle w:val="subsection"/>
      </w:pPr>
      <w:r w:rsidRPr="009D4D2E">
        <w:tab/>
      </w:r>
      <w:r w:rsidRPr="009D4D2E">
        <w:tab/>
        <w:t>For paragraph</w:t>
      </w:r>
      <w:r w:rsidR="009D4D2E" w:rsidRPr="009D4D2E">
        <w:t> </w:t>
      </w:r>
      <w:r w:rsidRPr="009D4D2E">
        <w:t>393</w:t>
      </w:r>
      <w:r w:rsidR="009D4D2E">
        <w:noBreakHyphen/>
      </w:r>
      <w:r w:rsidRPr="009D4D2E">
        <w:t xml:space="preserve">20(2)(b) of the Act, the following information is to be provided by a depositor to an </w:t>
      </w:r>
      <w:proofErr w:type="spellStart"/>
      <w:r w:rsidRPr="009D4D2E">
        <w:t>FMD</w:t>
      </w:r>
      <w:proofErr w:type="spellEnd"/>
      <w:r w:rsidRPr="009D4D2E">
        <w:t xml:space="preserve"> provider:</w:t>
      </w:r>
    </w:p>
    <w:p w:rsidR="003A4691" w:rsidRPr="009D4D2E" w:rsidRDefault="003A4691" w:rsidP="003A4691">
      <w:pPr>
        <w:pStyle w:val="paragraph"/>
      </w:pPr>
      <w:r w:rsidRPr="009D4D2E">
        <w:tab/>
        <w:t>(a)</w:t>
      </w:r>
      <w:r w:rsidRPr="009D4D2E">
        <w:tab/>
        <w:t>the depositor’s name, address, date of birth and telephone number;</w:t>
      </w:r>
    </w:p>
    <w:p w:rsidR="003A4691" w:rsidRPr="009D4D2E" w:rsidRDefault="003A4691" w:rsidP="003A4691">
      <w:pPr>
        <w:pStyle w:val="paragraph"/>
      </w:pPr>
      <w:r w:rsidRPr="009D4D2E">
        <w:lastRenderedPageBreak/>
        <w:tab/>
        <w:t>(b)</w:t>
      </w:r>
      <w:r w:rsidRPr="009D4D2E">
        <w:tab/>
        <w:t>the amount of the deposit;</w:t>
      </w:r>
    </w:p>
    <w:p w:rsidR="003A4691" w:rsidRPr="009D4D2E" w:rsidRDefault="003A4691" w:rsidP="003A4691">
      <w:pPr>
        <w:pStyle w:val="paragraph"/>
      </w:pPr>
      <w:r w:rsidRPr="009D4D2E">
        <w:tab/>
        <w:t>(c)</w:t>
      </w:r>
      <w:r w:rsidRPr="009D4D2E">
        <w:tab/>
        <w:t>a description of the major commodity or commodities produced in the year of the deposit;</w:t>
      </w:r>
    </w:p>
    <w:p w:rsidR="003A4691" w:rsidRPr="009D4D2E" w:rsidRDefault="003A4691" w:rsidP="003A4691">
      <w:pPr>
        <w:pStyle w:val="paragraph"/>
      </w:pPr>
      <w:r w:rsidRPr="009D4D2E">
        <w:tab/>
        <w:t>(d)</w:t>
      </w:r>
      <w:r w:rsidRPr="009D4D2E">
        <w:tab/>
        <w:t>if the depositor is not the owner of the deposit—the owner’s name, address and date of birth.</w:t>
      </w:r>
    </w:p>
    <w:p w:rsidR="003A4691" w:rsidRPr="009D4D2E" w:rsidRDefault="003A4691" w:rsidP="003A4691">
      <w:pPr>
        <w:pStyle w:val="notetext"/>
      </w:pPr>
      <w:r w:rsidRPr="009D4D2E">
        <w:t>Note:</w:t>
      </w:r>
      <w:r w:rsidRPr="009D4D2E">
        <w:tab/>
        <w:t>Subsection</w:t>
      </w:r>
      <w:r w:rsidR="009D4D2E" w:rsidRPr="009D4D2E">
        <w:t> </w:t>
      </w:r>
      <w:r w:rsidRPr="009D4D2E">
        <w:t>393</w:t>
      </w:r>
      <w:r w:rsidR="009D4D2E">
        <w:noBreakHyphen/>
      </w:r>
      <w:r w:rsidRPr="009D4D2E">
        <w:t xml:space="preserve">20(2) of the Act requires a depositor to apply to an </w:t>
      </w:r>
      <w:proofErr w:type="spellStart"/>
      <w:r w:rsidRPr="009D4D2E">
        <w:t>FMD</w:t>
      </w:r>
      <w:proofErr w:type="spellEnd"/>
      <w:r w:rsidRPr="009D4D2E">
        <w:t xml:space="preserve"> provider to make a farm management deposit with the </w:t>
      </w:r>
      <w:proofErr w:type="spellStart"/>
      <w:r w:rsidRPr="009D4D2E">
        <w:t>FMD</w:t>
      </w:r>
      <w:proofErr w:type="spellEnd"/>
      <w:r w:rsidRPr="009D4D2E">
        <w:t xml:space="preserve"> provider.</w:t>
      </w:r>
    </w:p>
    <w:p w:rsidR="003A4691" w:rsidRPr="009D4D2E" w:rsidRDefault="003A4691" w:rsidP="003A4691">
      <w:pPr>
        <w:pStyle w:val="notetext"/>
      </w:pPr>
      <w:r w:rsidRPr="009D4D2E">
        <w:tab/>
        <w:t>Under paragraph</w:t>
      </w:r>
      <w:r w:rsidR="009D4D2E" w:rsidRPr="009D4D2E">
        <w:t> </w:t>
      </w:r>
      <w:r w:rsidRPr="009D4D2E">
        <w:t>393</w:t>
      </w:r>
      <w:r w:rsidR="009D4D2E">
        <w:noBreakHyphen/>
      </w:r>
      <w:r w:rsidRPr="009D4D2E">
        <w:t>20(2)(b) of the Act, the application form must require the depositor to provide any information required by regulations.</w:t>
      </w:r>
    </w:p>
    <w:p w:rsidR="003A4691" w:rsidRPr="009D4D2E" w:rsidRDefault="003A4691" w:rsidP="003A4691">
      <w:pPr>
        <w:pStyle w:val="notetext"/>
      </w:pPr>
      <w:r w:rsidRPr="009D4D2E">
        <w:tab/>
        <w:t>Under paragraph</w:t>
      </w:r>
      <w:r w:rsidR="009D4D2E" w:rsidRPr="009D4D2E">
        <w:t> </w:t>
      </w:r>
      <w:r w:rsidRPr="009D4D2E">
        <w:t>393</w:t>
      </w:r>
      <w:r w:rsidR="009D4D2E">
        <w:noBreakHyphen/>
      </w:r>
      <w:r w:rsidRPr="009D4D2E">
        <w:t>20(2)(a) of the Act, the application form must also permit the depositor to state the owner’s tax file number in the form.</w:t>
      </w:r>
    </w:p>
    <w:p w:rsidR="003A4691" w:rsidRPr="009D4D2E" w:rsidRDefault="003A4691" w:rsidP="003A4691">
      <w:pPr>
        <w:pStyle w:val="ActHead5"/>
      </w:pPr>
      <w:bookmarkStart w:id="20" w:name="_Toc462908770"/>
      <w:r w:rsidRPr="009D4D2E">
        <w:rPr>
          <w:rStyle w:val="CharSectno"/>
        </w:rPr>
        <w:t>393</w:t>
      </w:r>
      <w:r w:rsidR="009D4D2E" w:rsidRPr="009D4D2E">
        <w:rPr>
          <w:rStyle w:val="CharSectno"/>
        </w:rPr>
        <w:noBreakHyphen/>
      </w:r>
      <w:r w:rsidRPr="009D4D2E">
        <w:rPr>
          <w:rStyle w:val="CharSectno"/>
        </w:rPr>
        <w:t>10</w:t>
      </w:r>
      <w:r w:rsidRPr="009D4D2E">
        <w:t xml:space="preserve">  Application form for a farm management deposit: information given to depositor</w:t>
      </w:r>
      <w:bookmarkEnd w:id="20"/>
    </w:p>
    <w:p w:rsidR="003A4691" w:rsidRPr="009D4D2E" w:rsidRDefault="003A4691" w:rsidP="003A4691">
      <w:pPr>
        <w:pStyle w:val="subsection"/>
      </w:pPr>
      <w:r w:rsidRPr="009D4D2E">
        <w:tab/>
      </w:r>
      <w:r w:rsidRPr="009D4D2E">
        <w:tab/>
        <w:t>For paragraph</w:t>
      </w:r>
      <w:r w:rsidR="009D4D2E" w:rsidRPr="009D4D2E">
        <w:t> </w:t>
      </w:r>
      <w:r w:rsidRPr="009D4D2E">
        <w:t>393</w:t>
      </w:r>
      <w:r w:rsidR="009D4D2E">
        <w:noBreakHyphen/>
      </w:r>
      <w:r w:rsidRPr="009D4D2E">
        <w:t xml:space="preserve">20(2)(c) of the Act, the form used to apply to an </w:t>
      </w:r>
      <w:proofErr w:type="spellStart"/>
      <w:r w:rsidRPr="009D4D2E">
        <w:t>FMD</w:t>
      </w:r>
      <w:proofErr w:type="spellEnd"/>
      <w:r w:rsidRPr="009D4D2E">
        <w:t xml:space="preserve"> provider to make a farm management deposit must contain:</w:t>
      </w:r>
    </w:p>
    <w:p w:rsidR="003A4691" w:rsidRPr="009D4D2E" w:rsidRDefault="003A4691" w:rsidP="003A4691">
      <w:pPr>
        <w:pStyle w:val="paragraph"/>
      </w:pPr>
      <w:r w:rsidRPr="009D4D2E">
        <w:tab/>
        <w:t>(a)</w:t>
      </w:r>
      <w:r w:rsidRPr="009D4D2E">
        <w:tab/>
        <w:t>either of the statements set out in Part</w:t>
      </w:r>
      <w:r w:rsidR="009D4D2E" w:rsidRPr="009D4D2E">
        <w:t> </w:t>
      </w:r>
      <w:r w:rsidRPr="009D4D2E">
        <w:t>1 of Schedule</w:t>
      </w:r>
      <w:r w:rsidR="009D4D2E" w:rsidRPr="009D4D2E">
        <w:t> </w:t>
      </w:r>
      <w:r w:rsidRPr="009D4D2E">
        <w:t>1C; and</w:t>
      </w:r>
    </w:p>
    <w:p w:rsidR="003A4691" w:rsidRPr="009D4D2E" w:rsidRDefault="003A4691" w:rsidP="003A4691">
      <w:pPr>
        <w:pStyle w:val="paragraph"/>
      </w:pPr>
      <w:r w:rsidRPr="009D4D2E">
        <w:tab/>
        <w:t>(b)</w:t>
      </w:r>
      <w:r w:rsidRPr="009D4D2E">
        <w:tab/>
        <w:t>the statements set out in Part</w:t>
      </w:r>
      <w:r w:rsidR="009D4D2E" w:rsidRPr="009D4D2E">
        <w:t> </w:t>
      </w:r>
      <w:r w:rsidRPr="009D4D2E">
        <w:t>2 of Schedule</w:t>
      </w:r>
      <w:r w:rsidR="009D4D2E" w:rsidRPr="009D4D2E">
        <w:t> </w:t>
      </w:r>
      <w:r w:rsidRPr="009D4D2E">
        <w:t>1C; and</w:t>
      </w:r>
    </w:p>
    <w:p w:rsidR="003A4691" w:rsidRPr="009D4D2E" w:rsidRDefault="003A4691" w:rsidP="003A4691">
      <w:pPr>
        <w:pStyle w:val="paragraph"/>
      </w:pPr>
      <w:r w:rsidRPr="009D4D2E">
        <w:tab/>
        <w:t>(c)</w:t>
      </w:r>
      <w:r w:rsidRPr="009D4D2E">
        <w:tab/>
        <w:t>the additional information required by Part</w:t>
      </w:r>
      <w:r w:rsidR="009D4D2E" w:rsidRPr="009D4D2E">
        <w:t> </w:t>
      </w:r>
      <w:r w:rsidRPr="009D4D2E">
        <w:t>3 of Schedule</w:t>
      </w:r>
      <w:r w:rsidR="009D4D2E" w:rsidRPr="009D4D2E">
        <w:t> </w:t>
      </w:r>
      <w:r w:rsidRPr="009D4D2E">
        <w:t>1C.</w:t>
      </w:r>
    </w:p>
    <w:p w:rsidR="003A4691" w:rsidRPr="009D4D2E" w:rsidRDefault="003A4691" w:rsidP="003A4691">
      <w:pPr>
        <w:pStyle w:val="notetext"/>
      </w:pPr>
      <w:r w:rsidRPr="009D4D2E">
        <w:t>Note:</w:t>
      </w:r>
      <w:r w:rsidRPr="009D4D2E">
        <w:tab/>
        <w:t>Subsection</w:t>
      </w:r>
      <w:r w:rsidR="009D4D2E" w:rsidRPr="009D4D2E">
        <w:t> </w:t>
      </w:r>
      <w:r w:rsidRPr="009D4D2E">
        <w:t>393</w:t>
      </w:r>
      <w:r w:rsidR="009D4D2E">
        <w:noBreakHyphen/>
      </w:r>
      <w:r w:rsidRPr="009D4D2E">
        <w:t xml:space="preserve">20(2) of the Act requires a depositor to apply to an </w:t>
      </w:r>
      <w:proofErr w:type="spellStart"/>
      <w:r w:rsidRPr="009D4D2E">
        <w:t>FMD</w:t>
      </w:r>
      <w:proofErr w:type="spellEnd"/>
      <w:r w:rsidRPr="009D4D2E">
        <w:t xml:space="preserve"> provider to make a farm management deposit with the </w:t>
      </w:r>
      <w:proofErr w:type="spellStart"/>
      <w:r w:rsidRPr="009D4D2E">
        <w:t>FMD</w:t>
      </w:r>
      <w:proofErr w:type="spellEnd"/>
      <w:r w:rsidRPr="009D4D2E">
        <w:t xml:space="preserve"> provider.</w:t>
      </w:r>
    </w:p>
    <w:p w:rsidR="003A4691" w:rsidRPr="009D4D2E" w:rsidRDefault="003A4691" w:rsidP="003A4691">
      <w:pPr>
        <w:pStyle w:val="notetext"/>
      </w:pPr>
      <w:r w:rsidRPr="009D4D2E">
        <w:tab/>
        <w:t>Under paragraph</w:t>
      </w:r>
      <w:r w:rsidR="009D4D2E" w:rsidRPr="009D4D2E">
        <w:t> </w:t>
      </w:r>
      <w:r w:rsidRPr="009D4D2E">
        <w:t>393</w:t>
      </w:r>
      <w:r w:rsidR="009D4D2E">
        <w:noBreakHyphen/>
      </w:r>
      <w:r w:rsidRPr="009D4D2E">
        <w:t>20(2)(c) of the Act, the application form must include any statements, required by regulations, that are to be read by the depositor when completing the form.</w:t>
      </w:r>
    </w:p>
    <w:p w:rsidR="003A4691" w:rsidRPr="009D4D2E" w:rsidRDefault="003A4691" w:rsidP="003A4691">
      <w:pPr>
        <w:pStyle w:val="ActHead5"/>
      </w:pPr>
      <w:bookmarkStart w:id="21" w:name="_Toc462908771"/>
      <w:r w:rsidRPr="009D4D2E">
        <w:rPr>
          <w:rStyle w:val="CharSectno"/>
        </w:rPr>
        <w:t>393</w:t>
      </w:r>
      <w:r w:rsidR="009D4D2E" w:rsidRPr="009D4D2E">
        <w:rPr>
          <w:rStyle w:val="CharSectno"/>
        </w:rPr>
        <w:noBreakHyphen/>
      </w:r>
      <w:r w:rsidRPr="009D4D2E">
        <w:rPr>
          <w:rStyle w:val="CharSectno"/>
        </w:rPr>
        <w:t>15</w:t>
      </w:r>
      <w:r w:rsidRPr="009D4D2E">
        <w:t xml:space="preserve">  Repayment of farm management deposit in the event of a natural disaster</w:t>
      </w:r>
      <w:bookmarkEnd w:id="21"/>
    </w:p>
    <w:p w:rsidR="003A4691" w:rsidRPr="009D4D2E" w:rsidRDefault="003A4691" w:rsidP="003A4691">
      <w:pPr>
        <w:pStyle w:val="subsection"/>
      </w:pPr>
      <w:r w:rsidRPr="009D4D2E">
        <w:tab/>
      </w:r>
      <w:r w:rsidRPr="009D4D2E">
        <w:tab/>
        <w:t>For paragraph</w:t>
      </w:r>
      <w:r w:rsidR="009D4D2E" w:rsidRPr="009D4D2E">
        <w:t> </w:t>
      </w:r>
      <w:r w:rsidRPr="009D4D2E">
        <w:t>393</w:t>
      </w:r>
      <w:r w:rsidR="009D4D2E">
        <w:noBreakHyphen/>
      </w:r>
      <w:r w:rsidRPr="009D4D2E">
        <w:t>40(3A)(b) of the Act, the circumstances that are to be satisfied in relation to a repayment of the whole or a part of a farm management deposit are:</w:t>
      </w:r>
    </w:p>
    <w:p w:rsidR="003A4691" w:rsidRPr="009D4D2E" w:rsidRDefault="003A4691" w:rsidP="003A4691">
      <w:pPr>
        <w:pStyle w:val="paragraph"/>
      </w:pPr>
      <w:r w:rsidRPr="009D4D2E">
        <w:tab/>
        <w:t>(a)</w:t>
      </w:r>
      <w:r w:rsidRPr="009D4D2E">
        <w:tab/>
        <w:t>recovery assistance has been provided:</w:t>
      </w:r>
    </w:p>
    <w:p w:rsidR="003A4691" w:rsidRPr="009D4D2E" w:rsidRDefault="003A4691" w:rsidP="003A4691">
      <w:pPr>
        <w:pStyle w:val="paragraphsub"/>
      </w:pPr>
      <w:r w:rsidRPr="009D4D2E">
        <w:tab/>
        <w:t>(</w:t>
      </w:r>
      <w:proofErr w:type="spellStart"/>
      <w:r w:rsidRPr="009D4D2E">
        <w:t>i</w:t>
      </w:r>
      <w:proofErr w:type="spellEnd"/>
      <w:r w:rsidRPr="009D4D2E">
        <w:t>)</w:t>
      </w:r>
      <w:r w:rsidRPr="009D4D2E">
        <w:tab/>
        <w:t>as a Category C measure, as defined in the Natural Disaster Relief and Recovery Determination Version 2.0 determined by the Minister for Justice on 29</w:t>
      </w:r>
      <w:r w:rsidR="009D4D2E" w:rsidRPr="009D4D2E">
        <w:t> </w:t>
      </w:r>
      <w:r w:rsidRPr="009D4D2E">
        <w:t>October 2015; and</w:t>
      </w:r>
    </w:p>
    <w:p w:rsidR="003A4691" w:rsidRPr="009D4D2E" w:rsidRDefault="003A4691" w:rsidP="003A4691">
      <w:pPr>
        <w:pStyle w:val="paragraphsub"/>
      </w:pPr>
      <w:r w:rsidRPr="009D4D2E">
        <w:tab/>
        <w:t>(ii)</w:t>
      </w:r>
      <w:r w:rsidRPr="009D4D2E">
        <w:tab/>
        <w:t>in the form of a recovery grant for a primary producer, as described in that Determination; and</w:t>
      </w:r>
    </w:p>
    <w:p w:rsidR="003A4691" w:rsidRPr="009D4D2E" w:rsidRDefault="003A4691" w:rsidP="003A4691">
      <w:pPr>
        <w:pStyle w:val="paragraph"/>
      </w:pPr>
      <w:r w:rsidRPr="009D4D2E">
        <w:tab/>
        <w:t>(b)</w:t>
      </w:r>
      <w:r w:rsidRPr="009D4D2E">
        <w:tab/>
        <w:t>the recovery assistance was first provided during the 12 month period mentioned in subsection</w:t>
      </w:r>
      <w:r w:rsidR="009D4D2E" w:rsidRPr="009D4D2E">
        <w:t> </w:t>
      </w:r>
      <w:r w:rsidRPr="009D4D2E">
        <w:t>393</w:t>
      </w:r>
      <w:r w:rsidR="009D4D2E">
        <w:noBreakHyphen/>
      </w:r>
      <w:r w:rsidRPr="009D4D2E">
        <w:t>40(1) of the Act; and</w:t>
      </w:r>
    </w:p>
    <w:p w:rsidR="003A4691" w:rsidRPr="009D4D2E" w:rsidRDefault="003A4691" w:rsidP="003A4691">
      <w:pPr>
        <w:pStyle w:val="paragraph"/>
      </w:pPr>
      <w:r w:rsidRPr="009D4D2E">
        <w:tab/>
        <w:t>(c)</w:t>
      </w:r>
      <w:r w:rsidRPr="009D4D2E">
        <w:tab/>
        <w:t>the farm management deposit was repaid after the recovery assistance was first provided.</w:t>
      </w:r>
    </w:p>
    <w:p w:rsidR="003A4691" w:rsidRPr="009D4D2E" w:rsidRDefault="003A4691" w:rsidP="003A4691">
      <w:pPr>
        <w:pStyle w:val="notetext"/>
      </w:pPr>
      <w:r w:rsidRPr="009D4D2E">
        <w:t>Note:</w:t>
      </w:r>
      <w:r w:rsidRPr="009D4D2E">
        <w:tab/>
        <w:t>Paragraph 393</w:t>
      </w:r>
      <w:r w:rsidR="009D4D2E">
        <w:noBreakHyphen/>
      </w:r>
      <w:r w:rsidRPr="009D4D2E">
        <w:t>40(3A)(b) of the Act relates to a repayment if natural disaster relief and recovery arrangements made by or on behalf of the Commonwealth apply.</w:t>
      </w:r>
    </w:p>
    <w:p w:rsidR="003A4691" w:rsidRPr="009D4D2E" w:rsidRDefault="003A4691" w:rsidP="003A4691">
      <w:pPr>
        <w:pStyle w:val="ItemHead"/>
      </w:pPr>
      <w:r w:rsidRPr="009D4D2E">
        <w:t>3  After Schedule</w:t>
      </w:r>
      <w:r w:rsidR="009D4D2E" w:rsidRPr="009D4D2E">
        <w:t> </w:t>
      </w:r>
      <w:r w:rsidRPr="009D4D2E">
        <w:t>1B</w:t>
      </w:r>
    </w:p>
    <w:p w:rsidR="003A4691" w:rsidRPr="009D4D2E" w:rsidRDefault="003A4691" w:rsidP="003A4691">
      <w:pPr>
        <w:pStyle w:val="Item"/>
      </w:pPr>
      <w:r w:rsidRPr="009D4D2E">
        <w:t>Insert:</w:t>
      </w:r>
    </w:p>
    <w:p w:rsidR="003A4691" w:rsidRPr="009D4D2E" w:rsidRDefault="003A4691" w:rsidP="003A4691">
      <w:pPr>
        <w:pStyle w:val="ActHead1"/>
      </w:pPr>
      <w:bookmarkStart w:id="22" w:name="_Toc462908772"/>
      <w:r w:rsidRPr="009D4D2E">
        <w:rPr>
          <w:rStyle w:val="CharChapNo"/>
        </w:rPr>
        <w:lastRenderedPageBreak/>
        <w:t>Schedule</w:t>
      </w:r>
      <w:r w:rsidR="009D4D2E" w:rsidRPr="009D4D2E">
        <w:rPr>
          <w:rStyle w:val="CharChapNo"/>
        </w:rPr>
        <w:t> </w:t>
      </w:r>
      <w:r w:rsidRPr="009D4D2E">
        <w:rPr>
          <w:rStyle w:val="CharChapNo"/>
        </w:rPr>
        <w:t>1C</w:t>
      </w:r>
      <w:r w:rsidRPr="009D4D2E">
        <w:t>—</w:t>
      </w:r>
      <w:r w:rsidRPr="009D4D2E">
        <w:rPr>
          <w:rStyle w:val="CharChapText"/>
        </w:rPr>
        <w:t>Farm management deposits: statements to be read by depositors</w:t>
      </w:r>
      <w:bookmarkEnd w:id="22"/>
    </w:p>
    <w:p w:rsidR="003A4691" w:rsidRPr="009D4D2E" w:rsidRDefault="003A4691" w:rsidP="003A4691">
      <w:pPr>
        <w:pStyle w:val="notemargin"/>
      </w:pPr>
      <w:r w:rsidRPr="009D4D2E">
        <w:t>(regulation</w:t>
      </w:r>
      <w:r w:rsidR="009D4D2E" w:rsidRPr="009D4D2E">
        <w:t> </w:t>
      </w:r>
      <w:r w:rsidRPr="009D4D2E">
        <w:t>393</w:t>
      </w:r>
      <w:r w:rsidR="009D4D2E">
        <w:noBreakHyphen/>
      </w:r>
      <w:r w:rsidRPr="009D4D2E">
        <w:t>10)</w:t>
      </w:r>
    </w:p>
    <w:p w:rsidR="003A4691" w:rsidRPr="009D4D2E" w:rsidRDefault="003A4691" w:rsidP="003A4691">
      <w:pPr>
        <w:pStyle w:val="ActHead2"/>
      </w:pPr>
      <w:bookmarkStart w:id="23" w:name="_Toc462908773"/>
      <w:r w:rsidRPr="009D4D2E">
        <w:rPr>
          <w:rStyle w:val="CharPartNo"/>
        </w:rPr>
        <w:t>Part</w:t>
      </w:r>
      <w:r w:rsidR="009D4D2E" w:rsidRPr="009D4D2E">
        <w:rPr>
          <w:rStyle w:val="CharPartNo"/>
        </w:rPr>
        <w:t> </w:t>
      </w:r>
      <w:r w:rsidRPr="009D4D2E">
        <w:rPr>
          <w:rStyle w:val="CharPartNo"/>
        </w:rPr>
        <w:t>1</w:t>
      </w:r>
      <w:r w:rsidRPr="009D4D2E">
        <w:t>—</w:t>
      </w:r>
      <w:r w:rsidRPr="009D4D2E">
        <w:rPr>
          <w:rStyle w:val="CharPartText"/>
        </w:rPr>
        <w:t>Statements</w:t>
      </w:r>
      <w:bookmarkEnd w:id="23"/>
    </w:p>
    <w:p w:rsidR="003A4691" w:rsidRPr="009D4D2E" w:rsidRDefault="003A4691" w:rsidP="003A4691">
      <w:pPr>
        <w:spacing w:before="240"/>
        <w:jc w:val="both"/>
      </w:pPr>
      <w:r w:rsidRPr="009D4D2E">
        <w:t>1</w:t>
      </w:r>
      <w:r w:rsidRPr="009D4D2E">
        <w:tab/>
      </w:r>
      <w:r w:rsidRPr="009D4D2E">
        <w:rPr>
          <w:i/>
        </w:rPr>
        <w:t>Authorised deposit</w:t>
      </w:r>
      <w:r w:rsidR="009D4D2E">
        <w:rPr>
          <w:i/>
        </w:rPr>
        <w:noBreakHyphen/>
      </w:r>
      <w:r w:rsidRPr="009D4D2E">
        <w:rPr>
          <w:i/>
        </w:rPr>
        <w:t>taking institution</w:t>
      </w:r>
    </w:p>
    <w:p w:rsidR="003A4691" w:rsidRPr="009D4D2E" w:rsidRDefault="003A4691" w:rsidP="003A4691">
      <w:pPr>
        <w:spacing w:before="240"/>
        <w:jc w:val="both"/>
      </w:pPr>
      <w:r w:rsidRPr="009D4D2E">
        <w:t xml:space="preserve">The </w:t>
      </w:r>
      <w:proofErr w:type="spellStart"/>
      <w:r w:rsidRPr="009D4D2E">
        <w:t>FMD</w:t>
      </w:r>
      <w:proofErr w:type="spellEnd"/>
      <w:r w:rsidRPr="009D4D2E">
        <w:t xml:space="preserve"> provider issuing this application form is an authorised deposit</w:t>
      </w:r>
      <w:r w:rsidR="009D4D2E">
        <w:noBreakHyphen/>
      </w:r>
      <w:r w:rsidRPr="009D4D2E">
        <w:t xml:space="preserve">taking institution for the purposes of the </w:t>
      </w:r>
      <w:r w:rsidRPr="009D4D2E">
        <w:rPr>
          <w:i/>
        </w:rPr>
        <w:t>Banking Act 1959</w:t>
      </w:r>
      <w:r w:rsidRPr="009D4D2E">
        <w:t>.</w:t>
      </w:r>
    </w:p>
    <w:p w:rsidR="003A4691" w:rsidRPr="009D4D2E" w:rsidRDefault="003A4691" w:rsidP="003A4691">
      <w:pPr>
        <w:spacing w:before="240"/>
        <w:jc w:val="both"/>
      </w:pPr>
      <w:r w:rsidRPr="009D4D2E">
        <w:t>2</w:t>
      </w:r>
      <w:r w:rsidRPr="009D4D2E">
        <w:tab/>
      </w:r>
      <w:r w:rsidRPr="009D4D2E">
        <w:rPr>
          <w:i/>
        </w:rPr>
        <w:t>Financial Claims Scheme</w:t>
      </w:r>
    </w:p>
    <w:p w:rsidR="003A4691" w:rsidRPr="009D4D2E" w:rsidRDefault="003A4691" w:rsidP="003A4691">
      <w:pPr>
        <w:spacing w:before="240"/>
        <w:jc w:val="both"/>
      </w:pPr>
      <w:r w:rsidRPr="009D4D2E">
        <w:t>The account holder may be entitled to payment under the Financial Claims Scheme. Payments under the Financial Claims Scheme are subject to a limit for each depositor in respect of total deposits held by that depositor at a locally incorporated authorised deposit</w:t>
      </w:r>
      <w:r w:rsidR="009D4D2E">
        <w:noBreakHyphen/>
      </w:r>
      <w:r w:rsidRPr="009D4D2E">
        <w:t>taking institution. For further information contact the Australian Prudential Regulation Authority or visit www.fcs.gov.au.</w:t>
      </w:r>
    </w:p>
    <w:p w:rsidR="003A4691" w:rsidRPr="009D4D2E" w:rsidRDefault="003A4691" w:rsidP="003A4691">
      <w:pPr>
        <w:pStyle w:val="ActHead2"/>
      </w:pPr>
      <w:bookmarkStart w:id="24" w:name="_Toc462908774"/>
      <w:r w:rsidRPr="009D4D2E">
        <w:rPr>
          <w:rStyle w:val="CharPartNo"/>
        </w:rPr>
        <w:t>Part</w:t>
      </w:r>
      <w:r w:rsidR="009D4D2E" w:rsidRPr="009D4D2E">
        <w:rPr>
          <w:rStyle w:val="CharPartNo"/>
        </w:rPr>
        <w:t> </w:t>
      </w:r>
      <w:r w:rsidRPr="009D4D2E">
        <w:rPr>
          <w:rStyle w:val="CharPartNo"/>
        </w:rPr>
        <w:t>2</w:t>
      </w:r>
      <w:r w:rsidRPr="009D4D2E">
        <w:t>—</w:t>
      </w:r>
      <w:r w:rsidRPr="009D4D2E">
        <w:rPr>
          <w:rStyle w:val="CharPartText"/>
        </w:rPr>
        <w:t>Required statements</w:t>
      </w:r>
      <w:bookmarkEnd w:id="24"/>
    </w:p>
    <w:p w:rsidR="003A4691" w:rsidRPr="009D4D2E" w:rsidRDefault="003A4691" w:rsidP="003A4691">
      <w:pPr>
        <w:spacing w:before="240"/>
        <w:jc w:val="both"/>
      </w:pPr>
      <w:r w:rsidRPr="009D4D2E">
        <w:t>1</w:t>
      </w:r>
      <w:r w:rsidRPr="009D4D2E">
        <w:tab/>
      </w:r>
      <w:r w:rsidRPr="009D4D2E">
        <w:rPr>
          <w:i/>
        </w:rPr>
        <w:t>Purpose of farm management deposits scheme</w:t>
      </w:r>
    </w:p>
    <w:p w:rsidR="003A4691" w:rsidRPr="009D4D2E" w:rsidRDefault="003A4691" w:rsidP="003A4691">
      <w:pPr>
        <w:spacing w:before="240"/>
        <w:jc w:val="both"/>
      </w:pPr>
      <w:r w:rsidRPr="009D4D2E">
        <w:t xml:space="preserve">The farm management deposits scheme is designed to allow </w:t>
      </w:r>
      <w:r w:rsidRPr="009D4D2E">
        <w:rPr>
          <w:szCs w:val="22"/>
        </w:rPr>
        <w:t>individuals carrying on a primary production business in Australia</w:t>
      </w:r>
      <w:r w:rsidRPr="009D4D2E">
        <w:t xml:space="preserve"> to shift before</w:t>
      </w:r>
      <w:r w:rsidR="009D4D2E">
        <w:noBreakHyphen/>
      </w:r>
      <w:r w:rsidRPr="009D4D2E">
        <w:t xml:space="preserve">tax income from years when they need it least </w:t>
      </w:r>
      <w:proofErr w:type="spellStart"/>
      <w:r w:rsidRPr="009D4D2E">
        <w:t>to</w:t>
      </w:r>
      <w:proofErr w:type="spellEnd"/>
      <w:r w:rsidRPr="009D4D2E">
        <w:t xml:space="preserve"> years when it is most needed. The scheme helps those individuals to manage their exposure to adverse economic events and seasonal fluctuations.</w:t>
      </w:r>
    </w:p>
    <w:p w:rsidR="003A4691" w:rsidRPr="009D4D2E" w:rsidRDefault="003A4691" w:rsidP="003A4691">
      <w:pPr>
        <w:spacing w:before="240"/>
        <w:jc w:val="both"/>
      </w:pPr>
      <w:r w:rsidRPr="009D4D2E">
        <w:t xml:space="preserve">Eligibility criteria apply to </w:t>
      </w:r>
      <w:r w:rsidRPr="009D4D2E">
        <w:rPr>
          <w:szCs w:val="22"/>
        </w:rPr>
        <w:t>individuals carrying on a primary production business in Australia</w:t>
      </w:r>
      <w:r w:rsidRPr="009D4D2E">
        <w:t xml:space="preserve"> under the scheme.</w:t>
      </w:r>
    </w:p>
    <w:p w:rsidR="003A4691" w:rsidRPr="009D4D2E" w:rsidRDefault="003A4691" w:rsidP="003A4691">
      <w:pPr>
        <w:pStyle w:val="notemargin"/>
      </w:pPr>
      <w:r w:rsidRPr="009D4D2E">
        <w:t>Note:</w:t>
      </w:r>
      <w:r w:rsidRPr="009D4D2E">
        <w:tab/>
      </w:r>
      <w:r w:rsidRPr="009D4D2E">
        <w:rPr>
          <w:b/>
          <w:i/>
        </w:rPr>
        <w:t>Primary production business</w:t>
      </w:r>
      <w:r w:rsidRPr="009D4D2E">
        <w:t xml:space="preserve"> and carrying on a primary production business are explained in subsection</w:t>
      </w:r>
      <w:r w:rsidR="009D4D2E" w:rsidRPr="009D4D2E">
        <w:t> </w:t>
      </w:r>
      <w:r w:rsidRPr="009D4D2E">
        <w:t>995</w:t>
      </w:r>
      <w:r w:rsidR="009D4D2E">
        <w:noBreakHyphen/>
      </w:r>
      <w:r w:rsidRPr="009D4D2E">
        <w:t>1(1) of the Act.</w:t>
      </w:r>
    </w:p>
    <w:p w:rsidR="003A4691" w:rsidRPr="009D4D2E" w:rsidRDefault="003A4691" w:rsidP="003A4691">
      <w:pPr>
        <w:spacing w:before="240"/>
        <w:jc w:val="both"/>
      </w:pPr>
      <w:r w:rsidRPr="009D4D2E">
        <w:t>2</w:t>
      </w:r>
      <w:r w:rsidRPr="009D4D2E">
        <w:tab/>
      </w:r>
      <w:r w:rsidRPr="009D4D2E">
        <w:rPr>
          <w:i/>
        </w:rPr>
        <w:t>Tax consequences of farm management deposits</w:t>
      </w:r>
    </w:p>
    <w:p w:rsidR="003A4691" w:rsidRPr="009D4D2E" w:rsidRDefault="003A4691" w:rsidP="003A4691">
      <w:pPr>
        <w:spacing w:before="240"/>
        <w:jc w:val="both"/>
      </w:pPr>
      <w:r w:rsidRPr="009D4D2E">
        <w:t xml:space="preserve">The scheme allows </w:t>
      </w:r>
      <w:r w:rsidRPr="009D4D2E">
        <w:rPr>
          <w:szCs w:val="22"/>
        </w:rPr>
        <w:t>individuals carrying on a primary production business in Australia</w:t>
      </w:r>
      <w:r w:rsidRPr="009D4D2E">
        <w:t xml:space="preserve"> to deduct the amount of any farm management deposit they own from their assessable income for the income year in which the deposit is made. However, the amount of the deductions cannot exceed the owner’s taxable primary production income for the income year.</w:t>
      </w:r>
    </w:p>
    <w:p w:rsidR="003A4691" w:rsidRPr="009D4D2E" w:rsidRDefault="003A4691" w:rsidP="003A4691">
      <w:pPr>
        <w:spacing w:before="240"/>
        <w:jc w:val="both"/>
      </w:pPr>
      <w:r w:rsidRPr="009D4D2E">
        <w:t>Under the Pay As You Go system, owners may reduce their instalment income for an instalment period by the amount of farm management deposits made during that period. The reduction is limited to the amount that the owners can reasonably expect to deduct for the deposit for the income year in which the deposit is made. However, the instalment income for the period cannot be reduced below nil.</w:t>
      </w:r>
    </w:p>
    <w:p w:rsidR="003A4691" w:rsidRPr="009D4D2E" w:rsidRDefault="003A4691" w:rsidP="003A4691">
      <w:pPr>
        <w:spacing w:before="240"/>
        <w:jc w:val="both"/>
      </w:pPr>
      <w:r w:rsidRPr="009D4D2E">
        <w:t>When a farm management deposit is repaid to an owner in an instalment period, the instalment income of the period will include the amount of the repayment. But the owner’s instalment income will only include so much of the repayment as will be included in the owner’s assessable income for the income year in which the repayment is made.</w:t>
      </w:r>
    </w:p>
    <w:p w:rsidR="003A4691" w:rsidRPr="009D4D2E" w:rsidRDefault="003A4691" w:rsidP="003A4691">
      <w:pPr>
        <w:keepLines/>
        <w:spacing w:before="240"/>
        <w:jc w:val="both"/>
      </w:pPr>
      <w:r w:rsidRPr="009D4D2E">
        <w:lastRenderedPageBreak/>
        <w:t xml:space="preserve">If neither the owner’s tax file number nor Australian Business Number has been quoted to the </w:t>
      </w:r>
      <w:proofErr w:type="spellStart"/>
      <w:r w:rsidRPr="009D4D2E">
        <w:t>FMD</w:t>
      </w:r>
      <w:proofErr w:type="spellEnd"/>
      <w:r w:rsidRPr="009D4D2E">
        <w:t xml:space="preserve"> provider that holds the deposit, the amount repaid will also be subject to withholding at a rate equal to the sum of the top marginal tax rate and the Medicare levy.</w:t>
      </w:r>
    </w:p>
    <w:p w:rsidR="003A4691" w:rsidRPr="009D4D2E" w:rsidRDefault="003A4691" w:rsidP="003A4691">
      <w:pPr>
        <w:spacing w:before="240"/>
        <w:jc w:val="both"/>
      </w:pPr>
      <w:r w:rsidRPr="009D4D2E">
        <w:t>3</w:t>
      </w:r>
      <w:r w:rsidRPr="009D4D2E">
        <w:tab/>
      </w:r>
      <w:r w:rsidRPr="009D4D2E">
        <w:rPr>
          <w:i/>
        </w:rPr>
        <w:t>Important requirements for farm management deposits</w:t>
      </w:r>
    </w:p>
    <w:p w:rsidR="003A4691" w:rsidRPr="009D4D2E" w:rsidRDefault="003A4691" w:rsidP="003A4691">
      <w:bookmarkStart w:id="25" w:name="bkSelection"/>
      <w:r w:rsidRPr="009D4D2E">
        <w:t>Some of the requirements for farm management deposits are summarised below. There are also other requirements set out in the Act. A breach of some of the requirements will result in the deposit not being treated as a farm management deposit, and the tax benefits will be lost.</w:t>
      </w:r>
    </w:p>
    <w:bookmarkEnd w:id="25"/>
    <w:p w:rsidR="003A4691" w:rsidRPr="009D4D2E" w:rsidRDefault="003A4691" w:rsidP="003A4691">
      <w:pPr>
        <w:numPr>
          <w:ilvl w:val="0"/>
          <w:numId w:val="13"/>
        </w:numPr>
        <w:autoSpaceDE w:val="0"/>
        <w:autoSpaceDN w:val="0"/>
        <w:spacing w:before="120"/>
        <w:jc w:val="both"/>
      </w:pPr>
      <w:r w:rsidRPr="009D4D2E">
        <w:t>The owner must be an individual who is carrying on a primary production business in Australia when the deposit is made.</w:t>
      </w:r>
    </w:p>
    <w:p w:rsidR="003A4691" w:rsidRPr="009D4D2E" w:rsidRDefault="003A4691" w:rsidP="003A4691">
      <w:pPr>
        <w:numPr>
          <w:ilvl w:val="0"/>
          <w:numId w:val="13"/>
        </w:numPr>
        <w:autoSpaceDE w:val="0"/>
        <w:autoSpaceDN w:val="0"/>
        <w:spacing w:before="120"/>
        <w:jc w:val="both"/>
      </w:pPr>
      <w:r w:rsidRPr="009D4D2E">
        <w:t>The deposit must be made by only one individual and on behalf of only one individual.</w:t>
      </w:r>
    </w:p>
    <w:p w:rsidR="003A4691" w:rsidRPr="009D4D2E" w:rsidRDefault="003A4691" w:rsidP="003A4691">
      <w:pPr>
        <w:numPr>
          <w:ilvl w:val="0"/>
          <w:numId w:val="13"/>
        </w:numPr>
        <w:autoSpaceDE w:val="0"/>
        <w:autoSpaceDN w:val="0"/>
        <w:spacing w:before="120"/>
        <w:jc w:val="both"/>
      </w:pPr>
      <w:r w:rsidRPr="009D4D2E">
        <w:t>Rights of the depositor must not be transferable to another entity.</w:t>
      </w:r>
    </w:p>
    <w:p w:rsidR="003A4691" w:rsidRPr="009D4D2E" w:rsidRDefault="003A4691" w:rsidP="003A4691">
      <w:pPr>
        <w:numPr>
          <w:ilvl w:val="0"/>
          <w:numId w:val="13"/>
        </w:numPr>
        <w:autoSpaceDE w:val="0"/>
        <w:autoSpaceDN w:val="0"/>
        <w:spacing w:before="120"/>
        <w:jc w:val="both"/>
      </w:pPr>
      <w:r w:rsidRPr="009D4D2E">
        <w:t xml:space="preserve">The deposit must not be used as security for any amount that the depositor or any other entity owes to the </w:t>
      </w:r>
      <w:proofErr w:type="spellStart"/>
      <w:r w:rsidRPr="009D4D2E">
        <w:t>FMD</w:t>
      </w:r>
      <w:proofErr w:type="spellEnd"/>
      <w:r w:rsidRPr="009D4D2E">
        <w:t xml:space="preserve"> provider or any other entity.</w:t>
      </w:r>
    </w:p>
    <w:p w:rsidR="003A4691" w:rsidRPr="009D4D2E" w:rsidRDefault="003A4691" w:rsidP="003A4691">
      <w:pPr>
        <w:numPr>
          <w:ilvl w:val="0"/>
          <w:numId w:val="13"/>
        </w:numPr>
        <w:autoSpaceDE w:val="0"/>
        <w:autoSpaceDN w:val="0"/>
        <w:spacing w:before="120"/>
        <w:jc w:val="both"/>
      </w:pPr>
      <w:r w:rsidRPr="009D4D2E">
        <w:t xml:space="preserve">Interest or other earnings on the deposit must not be invested as a farm management deposit with the </w:t>
      </w:r>
      <w:proofErr w:type="spellStart"/>
      <w:r w:rsidRPr="009D4D2E">
        <w:t>FMD</w:t>
      </w:r>
      <w:proofErr w:type="spellEnd"/>
      <w:r w:rsidRPr="009D4D2E">
        <w:t xml:space="preserve"> provider without having first been paid to the depositor.</w:t>
      </w:r>
    </w:p>
    <w:p w:rsidR="003A4691" w:rsidRPr="009D4D2E" w:rsidRDefault="003A4691" w:rsidP="003A4691">
      <w:pPr>
        <w:numPr>
          <w:ilvl w:val="0"/>
          <w:numId w:val="13"/>
        </w:numPr>
        <w:autoSpaceDE w:val="0"/>
        <w:autoSpaceDN w:val="0"/>
        <w:spacing w:before="120"/>
        <w:jc w:val="both"/>
      </w:pPr>
      <w:r w:rsidRPr="009D4D2E">
        <w:t xml:space="preserve">If the depositor requests in writing, the </w:t>
      </w:r>
      <w:proofErr w:type="spellStart"/>
      <w:r w:rsidRPr="009D4D2E">
        <w:t>FMD</w:t>
      </w:r>
      <w:proofErr w:type="spellEnd"/>
      <w:r w:rsidRPr="009D4D2E">
        <w:t xml:space="preserve"> provider must electronically transfer the deposit, or part of the deposit, to another </w:t>
      </w:r>
      <w:proofErr w:type="spellStart"/>
      <w:r w:rsidRPr="009D4D2E">
        <w:t>FMD</w:t>
      </w:r>
      <w:proofErr w:type="spellEnd"/>
      <w:r w:rsidRPr="009D4D2E">
        <w:t xml:space="preserve"> provider that agrees to accept it as a farm management deposit.</w:t>
      </w:r>
    </w:p>
    <w:p w:rsidR="003A4691" w:rsidRPr="009D4D2E" w:rsidRDefault="003A4691" w:rsidP="003A4691">
      <w:pPr>
        <w:numPr>
          <w:ilvl w:val="0"/>
          <w:numId w:val="13"/>
        </w:numPr>
        <w:autoSpaceDE w:val="0"/>
        <w:autoSpaceDN w:val="0"/>
        <w:spacing w:before="120"/>
        <w:jc w:val="both"/>
      </w:pPr>
      <w:r w:rsidRPr="009D4D2E">
        <w:t xml:space="preserve">The </w:t>
      </w:r>
      <w:proofErr w:type="spellStart"/>
      <w:r w:rsidRPr="009D4D2E">
        <w:t>FMD</w:t>
      </w:r>
      <w:proofErr w:type="spellEnd"/>
      <w:r w:rsidRPr="009D4D2E">
        <w:t xml:space="preserve"> provider must not deduct any fees from the principal of a farm management deposit. However, it may charge fees on the deposit.</w:t>
      </w:r>
    </w:p>
    <w:p w:rsidR="003A4691" w:rsidRPr="009D4D2E" w:rsidRDefault="003A4691" w:rsidP="003A4691">
      <w:pPr>
        <w:spacing w:before="240"/>
        <w:jc w:val="both"/>
      </w:pPr>
      <w:r w:rsidRPr="009D4D2E">
        <w:t>4</w:t>
      </w:r>
      <w:r w:rsidRPr="009D4D2E">
        <w:tab/>
      </w:r>
      <w:r w:rsidRPr="009D4D2E">
        <w:rPr>
          <w:i/>
        </w:rPr>
        <w:t>Repayment of farm management deposits</w:t>
      </w:r>
    </w:p>
    <w:p w:rsidR="003A4691" w:rsidRPr="009D4D2E" w:rsidRDefault="003A4691" w:rsidP="003A4691">
      <w:pPr>
        <w:spacing w:before="240"/>
        <w:jc w:val="both"/>
      </w:pPr>
      <w:r w:rsidRPr="009D4D2E">
        <w:t>The tax benefits are not retained for deposit amounts repaid within the first 12 months after the deposit was made, unless the repayment is made:</w:t>
      </w:r>
    </w:p>
    <w:p w:rsidR="003A4691" w:rsidRPr="009D4D2E" w:rsidRDefault="003A4691" w:rsidP="003A4691">
      <w:pPr>
        <w:pStyle w:val="paragraph"/>
      </w:pPr>
      <w:r w:rsidRPr="009D4D2E">
        <w:tab/>
        <w:t>(a)</w:t>
      </w:r>
      <w:r w:rsidRPr="009D4D2E">
        <w:tab/>
        <w:t>because the owner:</w:t>
      </w:r>
    </w:p>
    <w:p w:rsidR="003A4691" w:rsidRPr="009D4D2E" w:rsidRDefault="003A4691" w:rsidP="003A4691">
      <w:pPr>
        <w:pStyle w:val="paragraphsub"/>
      </w:pPr>
      <w:r w:rsidRPr="009D4D2E">
        <w:tab/>
        <w:t>(</w:t>
      </w:r>
      <w:proofErr w:type="spellStart"/>
      <w:r w:rsidRPr="009D4D2E">
        <w:t>i</w:t>
      </w:r>
      <w:proofErr w:type="spellEnd"/>
      <w:r w:rsidRPr="009D4D2E">
        <w:t>)</w:t>
      </w:r>
      <w:r w:rsidRPr="009D4D2E">
        <w:tab/>
        <w:t>dies; or</w:t>
      </w:r>
    </w:p>
    <w:p w:rsidR="003A4691" w:rsidRPr="009D4D2E" w:rsidRDefault="003A4691" w:rsidP="003A4691">
      <w:pPr>
        <w:pStyle w:val="paragraphsub"/>
      </w:pPr>
      <w:r w:rsidRPr="009D4D2E">
        <w:tab/>
        <w:t>(ii)</w:t>
      </w:r>
      <w:r w:rsidRPr="009D4D2E">
        <w:tab/>
        <w:t>becomes bankrupt; or</w:t>
      </w:r>
    </w:p>
    <w:p w:rsidR="003A4691" w:rsidRPr="009D4D2E" w:rsidRDefault="003A4691" w:rsidP="003A4691">
      <w:pPr>
        <w:pStyle w:val="paragraphsub"/>
      </w:pPr>
      <w:r w:rsidRPr="009D4D2E">
        <w:tab/>
        <w:t>(iii)</w:t>
      </w:r>
      <w:r w:rsidRPr="009D4D2E">
        <w:tab/>
        <w:t>ceases to carry on a primary production business in Australia and does not start carrying on such a business again within 120 days; or</w:t>
      </w:r>
    </w:p>
    <w:p w:rsidR="003A4691" w:rsidRPr="009D4D2E" w:rsidRDefault="003A4691" w:rsidP="003A4691">
      <w:pPr>
        <w:pStyle w:val="paragraphsub"/>
      </w:pPr>
      <w:r w:rsidRPr="009D4D2E">
        <w:tab/>
        <w:t>(iv)</w:t>
      </w:r>
      <w:r w:rsidRPr="009D4D2E">
        <w:tab/>
        <w:t xml:space="preserve">has requested the deposit, or part of the deposit, to be transferred to another </w:t>
      </w:r>
      <w:proofErr w:type="spellStart"/>
      <w:r w:rsidRPr="009D4D2E">
        <w:t>FMD</w:t>
      </w:r>
      <w:proofErr w:type="spellEnd"/>
      <w:r w:rsidRPr="009D4D2E">
        <w:t xml:space="preserve"> provider and the repayment relates to the transfer; or</w:t>
      </w:r>
    </w:p>
    <w:p w:rsidR="003A4691" w:rsidRPr="009D4D2E" w:rsidRDefault="003A4691" w:rsidP="003A4691">
      <w:pPr>
        <w:pStyle w:val="paragraph"/>
      </w:pPr>
      <w:r w:rsidRPr="009D4D2E">
        <w:tab/>
        <w:t>(b)</w:t>
      </w:r>
      <w:r w:rsidRPr="009D4D2E">
        <w:tab/>
        <w:t>because the circumstances specified in subsection</w:t>
      </w:r>
      <w:r w:rsidR="009D4D2E" w:rsidRPr="009D4D2E">
        <w:t> </w:t>
      </w:r>
      <w:r w:rsidRPr="009D4D2E">
        <w:t>393</w:t>
      </w:r>
      <w:r w:rsidR="009D4D2E">
        <w:noBreakHyphen/>
      </w:r>
      <w:r w:rsidRPr="009D4D2E">
        <w:t>40(3) of the Act or in regulations made for the purposes of that subsection, relating to repayment in the event of severe drought, exist; or</w:t>
      </w:r>
    </w:p>
    <w:p w:rsidR="003A4691" w:rsidRPr="009D4D2E" w:rsidRDefault="003A4691" w:rsidP="003A4691">
      <w:pPr>
        <w:pStyle w:val="paragraph"/>
      </w:pPr>
      <w:r w:rsidRPr="009D4D2E">
        <w:tab/>
        <w:t>(c)</w:t>
      </w:r>
      <w:r w:rsidRPr="009D4D2E">
        <w:tab/>
        <w:t>because the circumstances specified in regulation</w:t>
      </w:r>
      <w:r w:rsidR="009D4D2E" w:rsidRPr="009D4D2E">
        <w:t> </w:t>
      </w:r>
      <w:r w:rsidRPr="009D4D2E">
        <w:t>393</w:t>
      </w:r>
      <w:r w:rsidR="009D4D2E">
        <w:noBreakHyphen/>
      </w:r>
      <w:r w:rsidRPr="009D4D2E">
        <w:t xml:space="preserve">15, relating to repayment in </w:t>
      </w:r>
      <w:r w:rsidR="006E55FD" w:rsidRPr="009D4D2E">
        <w:t>the</w:t>
      </w:r>
      <w:r w:rsidRPr="009D4D2E">
        <w:t xml:space="preserve"> event of a natural disaster, exist.</w:t>
      </w:r>
    </w:p>
    <w:p w:rsidR="003A4691" w:rsidRPr="009D4D2E" w:rsidRDefault="003A4691" w:rsidP="003A4691">
      <w:pPr>
        <w:pStyle w:val="ActHead2"/>
      </w:pPr>
      <w:bookmarkStart w:id="26" w:name="f_Check_Lines_above"/>
      <w:bookmarkStart w:id="27" w:name="_Toc462908775"/>
      <w:bookmarkEnd w:id="26"/>
      <w:r w:rsidRPr="009D4D2E">
        <w:rPr>
          <w:rStyle w:val="CharPartNo"/>
        </w:rPr>
        <w:t>Part</w:t>
      </w:r>
      <w:r w:rsidR="009D4D2E" w:rsidRPr="009D4D2E">
        <w:rPr>
          <w:rStyle w:val="CharPartNo"/>
        </w:rPr>
        <w:t> </w:t>
      </w:r>
      <w:r w:rsidRPr="009D4D2E">
        <w:rPr>
          <w:rStyle w:val="CharPartNo"/>
        </w:rPr>
        <w:t>3</w:t>
      </w:r>
      <w:r w:rsidRPr="009D4D2E">
        <w:t>—</w:t>
      </w:r>
      <w:r w:rsidRPr="009D4D2E">
        <w:rPr>
          <w:rStyle w:val="CharPartText"/>
        </w:rPr>
        <w:t>Additional information</w:t>
      </w:r>
      <w:bookmarkEnd w:id="27"/>
    </w:p>
    <w:p w:rsidR="003A4691" w:rsidRPr="009D4D2E" w:rsidRDefault="003A4691" w:rsidP="003A4691">
      <w:pPr>
        <w:pStyle w:val="notetext"/>
      </w:pPr>
      <w:r w:rsidRPr="009D4D2E">
        <w:t>Note:</w:t>
      </w:r>
      <w:r w:rsidRPr="009D4D2E">
        <w:tab/>
        <w:t>Under paragraph</w:t>
      </w:r>
      <w:r w:rsidR="009D4D2E" w:rsidRPr="009D4D2E">
        <w:t> </w:t>
      </w:r>
      <w:r w:rsidRPr="009D4D2E">
        <w:t>393</w:t>
      </w:r>
      <w:r w:rsidR="009D4D2E">
        <w:noBreakHyphen/>
      </w:r>
      <w:r w:rsidRPr="009D4D2E">
        <w:t xml:space="preserve">10(1)(c) of the Act, an </w:t>
      </w:r>
      <w:proofErr w:type="spellStart"/>
      <w:r w:rsidRPr="009D4D2E">
        <w:t>FMD</w:t>
      </w:r>
      <w:proofErr w:type="spellEnd"/>
      <w:r w:rsidRPr="009D4D2E">
        <w:t xml:space="preserve"> provider is required to insert the figures that are stated in the provisions mentioned in this Part.</w:t>
      </w:r>
    </w:p>
    <w:p w:rsidR="003A4691" w:rsidRPr="009D4D2E" w:rsidRDefault="003A4691" w:rsidP="003A4691">
      <w:pPr>
        <w:pStyle w:val="subsection"/>
      </w:pPr>
      <w:r w:rsidRPr="009D4D2E">
        <w:tab/>
        <w:t>1</w:t>
      </w:r>
      <w:r w:rsidRPr="009D4D2E">
        <w:tab/>
        <w:t>The minimum deposit threshold is the amount stated in item</w:t>
      </w:r>
      <w:r w:rsidR="009D4D2E" w:rsidRPr="009D4D2E">
        <w:t> </w:t>
      </w:r>
      <w:r w:rsidRPr="009D4D2E">
        <w:t>4 of the table in section</w:t>
      </w:r>
      <w:r w:rsidR="009D4D2E" w:rsidRPr="009D4D2E">
        <w:t> </w:t>
      </w:r>
      <w:r w:rsidRPr="009D4D2E">
        <w:t>393</w:t>
      </w:r>
      <w:r w:rsidR="009D4D2E">
        <w:noBreakHyphen/>
      </w:r>
      <w:r w:rsidRPr="009D4D2E">
        <w:t>35 of the Act.</w:t>
      </w:r>
    </w:p>
    <w:p w:rsidR="003A4691" w:rsidRPr="009D4D2E" w:rsidRDefault="003A4691" w:rsidP="003A4691">
      <w:pPr>
        <w:pStyle w:val="subsection"/>
      </w:pPr>
      <w:r w:rsidRPr="009D4D2E">
        <w:tab/>
        <w:t>2</w:t>
      </w:r>
      <w:r w:rsidRPr="009D4D2E">
        <w:tab/>
        <w:t>The maximum deposit limit is the amount stated in item</w:t>
      </w:r>
      <w:r w:rsidR="009D4D2E" w:rsidRPr="009D4D2E">
        <w:t> </w:t>
      </w:r>
      <w:r w:rsidRPr="009D4D2E">
        <w:t>10 of the table in section</w:t>
      </w:r>
      <w:r w:rsidR="009D4D2E" w:rsidRPr="009D4D2E">
        <w:t> </w:t>
      </w:r>
      <w:r w:rsidRPr="009D4D2E">
        <w:t>393</w:t>
      </w:r>
      <w:r w:rsidR="009D4D2E">
        <w:noBreakHyphen/>
      </w:r>
      <w:r w:rsidRPr="009D4D2E">
        <w:t>35 of the Act.</w:t>
      </w:r>
    </w:p>
    <w:p w:rsidR="003A4691" w:rsidRPr="009D4D2E" w:rsidRDefault="003A4691" w:rsidP="003A4691">
      <w:pPr>
        <w:pStyle w:val="subsection"/>
      </w:pPr>
      <w:r w:rsidRPr="009D4D2E">
        <w:lastRenderedPageBreak/>
        <w:tab/>
        <w:t>3</w:t>
      </w:r>
      <w:r w:rsidRPr="009D4D2E">
        <w:tab/>
        <w:t xml:space="preserve">An individual can own more than one farm management deposit, and can own farm management deposits with different </w:t>
      </w:r>
      <w:proofErr w:type="spellStart"/>
      <w:r w:rsidRPr="009D4D2E">
        <w:t>FMD</w:t>
      </w:r>
      <w:proofErr w:type="spellEnd"/>
      <w:r w:rsidRPr="009D4D2E">
        <w:t xml:space="preserve"> providers, but the sum of the balances of all of the farm management deposits of an owner claimed as a deduction must not be more than the maximum deposit limit.</w:t>
      </w:r>
    </w:p>
    <w:p w:rsidR="003A4691" w:rsidRPr="009D4D2E" w:rsidRDefault="003A4691" w:rsidP="003A4691">
      <w:pPr>
        <w:pStyle w:val="subsection"/>
      </w:pPr>
      <w:r w:rsidRPr="009D4D2E">
        <w:tab/>
        <w:t>4</w:t>
      </w:r>
      <w:r w:rsidRPr="009D4D2E">
        <w:tab/>
        <w:t>The amount of any repayment of the deposit must be at least the amount stated in item</w:t>
      </w:r>
      <w:r w:rsidR="009D4D2E" w:rsidRPr="009D4D2E">
        <w:t> </w:t>
      </w:r>
      <w:r w:rsidRPr="009D4D2E">
        <w:t>12 of the table in section</w:t>
      </w:r>
      <w:r w:rsidR="009D4D2E" w:rsidRPr="009D4D2E">
        <w:t> </w:t>
      </w:r>
      <w:r w:rsidRPr="009D4D2E">
        <w:t>393</w:t>
      </w:r>
      <w:r w:rsidR="009D4D2E">
        <w:noBreakHyphen/>
      </w:r>
      <w:r w:rsidRPr="009D4D2E">
        <w:t>35 of the Act, except where the entire amount of the deposit is repaid.</w:t>
      </w:r>
    </w:p>
    <w:p w:rsidR="003A4691" w:rsidRPr="009D4D2E" w:rsidRDefault="003A4691" w:rsidP="003A4691">
      <w:pPr>
        <w:pStyle w:val="subsection"/>
      </w:pPr>
      <w:r w:rsidRPr="009D4D2E">
        <w:tab/>
        <w:t>5</w:t>
      </w:r>
      <w:r w:rsidRPr="009D4D2E">
        <w:tab/>
        <w:t>The deposit will not be deductible if taxable non</w:t>
      </w:r>
      <w:r w:rsidR="009D4D2E">
        <w:noBreakHyphen/>
      </w:r>
      <w:r w:rsidRPr="009D4D2E">
        <w:t>primary production income for the year of income exceeds the amount stated in paragraph</w:t>
      </w:r>
      <w:r w:rsidR="009D4D2E" w:rsidRPr="009D4D2E">
        <w:t> </w:t>
      </w:r>
      <w:r w:rsidRPr="009D4D2E">
        <w:t>393</w:t>
      </w:r>
      <w:r w:rsidR="009D4D2E">
        <w:noBreakHyphen/>
      </w:r>
      <w:r w:rsidRPr="009D4D2E">
        <w:t>5(1)(d) of the Act.</w:t>
      </w:r>
    </w:p>
    <w:p w:rsidR="003A4691" w:rsidRPr="009D4D2E" w:rsidRDefault="003A4691" w:rsidP="003A4691">
      <w:pPr>
        <w:pStyle w:val="subsection"/>
      </w:pPr>
      <w:r w:rsidRPr="009D4D2E">
        <w:tab/>
        <w:t>6</w:t>
      </w:r>
      <w:r w:rsidRPr="009D4D2E">
        <w:tab/>
        <w:t xml:space="preserve">If neither the owner’s tax file number nor Australian Business Number has been quoted to the </w:t>
      </w:r>
      <w:proofErr w:type="spellStart"/>
      <w:r w:rsidRPr="009D4D2E">
        <w:t>FMD</w:t>
      </w:r>
      <w:proofErr w:type="spellEnd"/>
      <w:r w:rsidRPr="009D4D2E">
        <w:t xml:space="preserve"> provider, any repayment will be subject to the withholding rate, which is the sum of:</w:t>
      </w:r>
    </w:p>
    <w:p w:rsidR="003A4691" w:rsidRPr="009D4D2E" w:rsidRDefault="003A4691" w:rsidP="003A4691">
      <w:pPr>
        <w:pStyle w:val="paragraph"/>
      </w:pPr>
      <w:r w:rsidRPr="009D4D2E">
        <w:tab/>
        <w:t>(a)</w:t>
      </w:r>
      <w:r w:rsidRPr="009D4D2E">
        <w:tab/>
        <w:t>the top marginal tax rate for the income year in the year of deposit; and</w:t>
      </w:r>
    </w:p>
    <w:p w:rsidR="003A4691" w:rsidRPr="009D4D2E" w:rsidRDefault="003A4691" w:rsidP="003A4691">
      <w:pPr>
        <w:pStyle w:val="paragraph"/>
      </w:pPr>
      <w:r w:rsidRPr="009D4D2E">
        <w:tab/>
        <w:t>(b)</w:t>
      </w:r>
      <w:r w:rsidRPr="009D4D2E">
        <w:tab/>
        <w:t>the Medicare levy.</w:t>
      </w:r>
    </w:p>
    <w:p w:rsidR="003A4691" w:rsidRPr="009D4D2E" w:rsidRDefault="003A4691" w:rsidP="003A4691">
      <w:pPr>
        <w:pStyle w:val="notetext"/>
      </w:pPr>
      <w:r w:rsidRPr="009D4D2E">
        <w:t>Note 1:</w:t>
      </w:r>
      <w:r w:rsidRPr="009D4D2E">
        <w:tab/>
        <w:t>The top marginal tax rate is the maximum rate specified in column 3 of the table in Part</w:t>
      </w:r>
      <w:r w:rsidR="009D4D2E" w:rsidRPr="009D4D2E">
        <w:t> </w:t>
      </w:r>
      <w:r w:rsidRPr="009D4D2E">
        <w:t>1 of Schedule</w:t>
      </w:r>
      <w:r w:rsidR="009D4D2E" w:rsidRPr="009D4D2E">
        <w:t> </w:t>
      </w:r>
      <w:r w:rsidRPr="009D4D2E">
        <w:t xml:space="preserve">7 to the </w:t>
      </w:r>
      <w:r w:rsidRPr="009D4D2E">
        <w:rPr>
          <w:i/>
        </w:rPr>
        <w:t>Income Tax Rates Act 1986</w:t>
      </w:r>
      <w:r w:rsidRPr="009D4D2E">
        <w:t>.</w:t>
      </w:r>
    </w:p>
    <w:p w:rsidR="003A4691" w:rsidRPr="009D4D2E" w:rsidRDefault="003A4691" w:rsidP="003A4691">
      <w:pPr>
        <w:pStyle w:val="notetext"/>
      </w:pPr>
      <w:r w:rsidRPr="009D4D2E">
        <w:t>Note 2:</w:t>
      </w:r>
      <w:r w:rsidRPr="009D4D2E">
        <w:tab/>
        <w:t>The Medicare levy is specified in subsection</w:t>
      </w:r>
      <w:r w:rsidR="009D4D2E" w:rsidRPr="009D4D2E">
        <w:t> </w:t>
      </w:r>
      <w:r w:rsidRPr="009D4D2E">
        <w:t xml:space="preserve">6(1) of the </w:t>
      </w:r>
      <w:r w:rsidRPr="009D4D2E">
        <w:rPr>
          <w:i/>
        </w:rPr>
        <w:t>Medicare Levy Act 1986</w:t>
      </w:r>
      <w:r w:rsidRPr="009D4D2E">
        <w:t>.</w:t>
      </w:r>
    </w:p>
    <w:p w:rsidR="003A4691" w:rsidRPr="009D4D2E" w:rsidRDefault="003A4691" w:rsidP="003A4691">
      <w:pPr>
        <w:pStyle w:val="subsection"/>
      </w:pPr>
      <w:r w:rsidRPr="009D4D2E">
        <w:tab/>
        <w:t>7</w:t>
      </w:r>
      <w:r w:rsidRPr="009D4D2E">
        <w:tab/>
        <w:t xml:space="preserve">If the deposit is used to offset a liability to pay interest on debts to the </w:t>
      </w:r>
      <w:proofErr w:type="spellStart"/>
      <w:r w:rsidRPr="009D4D2E">
        <w:t>FMD</w:t>
      </w:r>
      <w:proofErr w:type="spellEnd"/>
      <w:r w:rsidRPr="009D4D2E">
        <w:t xml:space="preserve"> provider that do not </w:t>
      </w:r>
      <w:r w:rsidR="005C1134" w:rsidRPr="009D4D2E">
        <w:t xml:space="preserve">wholly </w:t>
      </w:r>
      <w:r w:rsidRPr="009D4D2E">
        <w:t xml:space="preserve">relate to a primary production business that the owner </w:t>
      </w:r>
      <w:r w:rsidR="005C1134" w:rsidRPr="009D4D2E">
        <w:t xml:space="preserve">(or a partnership of which the owner is a partner) </w:t>
      </w:r>
      <w:r w:rsidRPr="009D4D2E">
        <w:t>carries on, the owner is liable to an administrative penalty of up to 200% of that offset.</w:t>
      </w:r>
    </w:p>
    <w:p w:rsidR="003A4691" w:rsidRPr="009D4D2E" w:rsidRDefault="003A4691" w:rsidP="003A4691">
      <w:pPr>
        <w:pStyle w:val="ActHead9"/>
      </w:pPr>
      <w:bookmarkStart w:id="28" w:name="_Toc462908776"/>
      <w:r w:rsidRPr="009D4D2E">
        <w:t>Taxation Administration Regulations</w:t>
      </w:r>
      <w:r w:rsidR="009D4D2E" w:rsidRPr="009D4D2E">
        <w:t> </w:t>
      </w:r>
      <w:r w:rsidRPr="009D4D2E">
        <w:t>1976</w:t>
      </w:r>
      <w:bookmarkEnd w:id="28"/>
    </w:p>
    <w:p w:rsidR="003A4691" w:rsidRPr="009D4D2E" w:rsidRDefault="003A4691" w:rsidP="003A4691">
      <w:pPr>
        <w:pStyle w:val="ItemHead"/>
      </w:pPr>
      <w:r w:rsidRPr="009D4D2E">
        <w:t>4  Regulation</w:t>
      </w:r>
      <w:r w:rsidR="009D4D2E" w:rsidRPr="009D4D2E">
        <w:t> </w:t>
      </w:r>
      <w:r w:rsidRPr="009D4D2E">
        <w:t>2</w:t>
      </w:r>
    </w:p>
    <w:p w:rsidR="003A4691" w:rsidRPr="009D4D2E" w:rsidRDefault="003A4691" w:rsidP="003A4691">
      <w:pPr>
        <w:pStyle w:val="Item"/>
      </w:pPr>
      <w:r w:rsidRPr="009D4D2E">
        <w:t>Insert:</w:t>
      </w:r>
    </w:p>
    <w:p w:rsidR="003A4691" w:rsidRPr="009D4D2E" w:rsidRDefault="003A4691" w:rsidP="003A4691">
      <w:pPr>
        <w:pStyle w:val="Definition"/>
      </w:pPr>
      <w:r w:rsidRPr="009D4D2E">
        <w:rPr>
          <w:b/>
          <w:i/>
        </w:rPr>
        <w:t>Agriculture Secretary</w:t>
      </w:r>
      <w:r w:rsidRPr="009D4D2E">
        <w:t xml:space="preserve"> has the meaning given in subsection</w:t>
      </w:r>
      <w:r w:rsidR="009D4D2E" w:rsidRPr="009D4D2E">
        <w:t> </w:t>
      </w:r>
      <w:r w:rsidRPr="009D4D2E">
        <w:t>995</w:t>
      </w:r>
      <w:r w:rsidR="009D4D2E">
        <w:noBreakHyphen/>
      </w:r>
      <w:r w:rsidRPr="009D4D2E">
        <w:t xml:space="preserve">1(1) of the </w:t>
      </w:r>
      <w:r w:rsidRPr="009D4D2E">
        <w:rPr>
          <w:i/>
        </w:rPr>
        <w:t>Income Tax Assessment Act 1997</w:t>
      </w:r>
      <w:r w:rsidRPr="009D4D2E">
        <w:t>.</w:t>
      </w:r>
    </w:p>
    <w:p w:rsidR="003A4691" w:rsidRPr="009D4D2E" w:rsidRDefault="003A4691" w:rsidP="003A4691">
      <w:pPr>
        <w:pStyle w:val="Definition"/>
      </w:pPr>
      <w:proofErr w:type="spellStart"/>
      <w:r w:rsidRPr="009D4D2E">
        <w:rPr>
          <w:b/>
          <w:i/>
        </w:rPr>
        <w:t>FMD</w:t>
      </w:r>
      <w:proofErr w:type="spellEnd"/>
      <w:r w:rsidRPr="009D4D2E">
        <w:rPr>
          <w:b/>
          <w:i/>
        </w:rPr>
        <w:t xml:space="preserve"> provider</w:t>
      </w:r>
      <w:r w:rsidRPr="009D4D2E">
        <w:t xml:space="preserve"> has the meaning given in subsection</w:t>
      </w:r>
      <w:r w:rsidR="009D4D2E" w:rsidRPr="009D4D2E">
        <w:t> </w:t>
      </w:r>
      <w:r w:rsidRPr="009D4D2E">
        <w:t>995</w:t>
      </w:r>
      <w:r w:rsidR="009D4D2E">
        <w:noBreakHyphen/>
      </w:r>
      <w:r w:rsidRPr="009D4D2E">
        <w:t xml:space="preserve">1(1) of the </w:t>
      </w:r>
      <w:r w:rsidRPr="009D4D2E">
        <w:rPr>
          <w:i/>
        </w:rPr>
        <w:t>Income Tax Assessment Act 1997</w:t>
      </w:r>
      <w:r w:rsidRPr="009D4D2E">
        <w:t>.</w:t>
      </w:r>
    </w:p>
    <w:p w:rsidR="003A4691" w:rsidRPr="009D4D2E" w:rsidRDefault="003A4691" w:rsidP="003A4691">
      <w:pPr>
        <w:pStyle w:val="ItemHead"/>
      </w:pPr>
      <w:r w:rsidRPr="009D4D2E">
        <w:t>5  After Part</w:t>
      </w:r>
      <w:r w:rsidR="009D4D2E" w:rsidRPr="009D4D2E">
        <w:t> </w:t>
      </w:r>
      <w:r w:rsidRPr="009D4D2E">
        <w:t>7</w:t>
      </w:r>
    </w:p>
    <w:p w:rsidR="003A4691" w:rsidRPr="009D4D2E" w:rsidRDefault="003A4691" w:rsidP="003A4691">
      <w:pPr>
        <w:pStyle w:val="Item"/>
      </w:pPr>
      <w:r w:rsidRPr="009D4D2E">
        <w:t>Insert:</w:t>
      </w:r>
    </w:p>
    <w:p w:rsidR="003A4691" w:rsidRPr="009D4D2E" w:rsidRDefault="003A4691" w:rsidP="003A4691">
      <w:pPr>
        <w:pStyle w:val="ActHead2"/>
      </w:pPr>
      <w:bookmarkStart w:id="29" w:name="_Toc462908777"/>
      <w:r w:rsidRPr="009D4D2E">
        <w:rPr>
          <w:rStyle w:val="CharPartNo"/>
        </w:rPr>
        <w:t>Part</w:t>
      </w:r>
      <w:r w:rsidR="009D4D2E" w:rsidRPr="009D4D2E">
        <w:rPr>
          <w:rStyle w:val="CharPartNo"/>
        </w:rPr>
        <w:t> </w:t>
      </w:r>
      <w:r w:rsidRPr="009D4D2E">
        <w:rPr>
          <w:rStyle w:val="CharPartNo"/>
        </w:rPr>
        <w:t>7A</w:t>
      </w:r>
      <w:r w:rsidRPr="009D4D2E">
        <w:t>—</w:t>
      </w:r>
      <w:r w:rsidRPr="009D4D2E">
        <w:rPr>
          <w:rStyle w:val="CharPartText"/>
        </w:rPr>
        <w:t>Farm management deposits</w:t>
      </w:r>
      <w:bookmarkEnd w:id="29"/>
    </w:p>
    <w:p w:rsidR="006E55FD" w:rsidRPr="009D4D2E" w:rsidRDefault="006E55FD" w:rsidP="006E55FD">
      <w:pPr>
        <w:pStyle w:val="Header"/>
      </w:pPr>
      <w:r w:rsidRPr="009D4D2E">
        <w:rPr>
          <w:rStyle w:val="CharDivNo"/>
        </w:rPr>
        <w:t xml:space="preserve"> </w:t>
      </w:r>
      <w:r w:rsidRPr="009D4D2E">
        <w:rPr>
          <w:rStyle w:val="CharDivText"/>
        </w:rPr>
        <w:t xml:space="preserve"> </w:t>
      </w:r>
    </w:p>
    <w:p w:rsidR="003A4691" w:rsidRPr="009D4D2E" w:rsidRDefault="003A4691" w:rsidP="003A4691">
      <w:pPr>
        <w:pStyle w:val="ActHead5"/>
      </w:pPr>
      <w:bookmarkStart w:id="30" w:name="_Toc462908778"/>
      <w:r w:rsidRPr="009D4D2E">
        <w:rPr>
          <w:rStyle w:val="CharSectno"/>
        </w:rPr>
        <w:t>63A</w:t>
      </w:r>
      <w:r w:rsidRPr="009D4D2E">
        <w:t xml:space="preserve">  Information to be given to Agriculture Secretary</w:t>
      </w:r>
      <w:bookmarkEnd w:id="30"/>
    </w:p>
    <w:p w:rsidR="003A4691" w:rsidRPr="009D4D2E" w:rsidRDefault="003A4691" w:rsidP="003A4691">
      <w:pPr>
        <w:pStyle w:val="subsection"/>
      </w:pPr>
      <w:r w:rsidRPr="009D4D2E">
        <w:tab/>
      </w:r>
      <w:r w:rsidRPr="009D4D2E">
        <w:rPr>
          <w:b/>
        </w:rPr>
        <w:tab/>
      </w:r>
      <w:r w:rsidRPr="009D4D2E">
        <w:t>For paragraph</w:t>
      </w:r>
      <w:r w:rsidR="009D4D2E" w:rsidRPr="009D4D2E">
        <w:t> </w:t>
      </w:r>
      <w:r w:rsidRPr="009D4D2E">
        <w:t>398</w:t>
      </w:r>
      <w:r w:rsidR="009D4D2E">
        <w:noBreakHyphen/>
      </w:r>
      <w:r w:rsidRPr="009D4D2E">
        <w:t>5(3)(d) in Schedule</w:t>
      </w:r>
      <w:r w:rsidR="009D4D2E" w:rsidRPr="009D4D2E">
        <w:t> </w:t>
      </w:r>
      <w:r w:rsidRPr="009D4D2E">
        <w:t xml:space="preserve">1 to the Act, an </w:t>
      </w:r>
      <w:proofErr w:type="spellStart"/>
      <w:r w:rsidRPr="009D4D2E">
        <w:t>FMD</w:t>
      </w:r>
      <w:proofErr w:type="spellEnd"/>
      <w:r w:rsidRPr="009D4D2E">
        <w:t xml:space="preserve"> provider must give the following information to the Agriculture Secretary:</w:t>
      </w:r>
    </w:p>
    <w:p w:rsidR="003A4691" w:rsidRPr="009D4D2E" w:rsidRDefault="003A4691" w:rsidP="003A4691">
      <w:pPr>
        <w:pStyle w:val="paragraph"/>
      </w:pPr>
      <w:r w:rsidRPr="009D4D2E">
        <w:tab/>
        <w:t>(a)</w:t>
      </w:r>
      <w:r w:rsidRPr="009D4D2E">
        <w:tab/>
        <w:t>the month being reported;</w:t>
      </w:r>
    </w:p>
    <w:p w:rsidR="003A4691" w:rsidRPr="009D4D2E" w:rsidRDefault="003A4691" w:rsidP="003A4691">
      <w:pPr>
        <w:pStyle w:val="paragraph"/>
      </w:pPr>
      <w:r w:rsidRPr="009D4D2E">
        <w:tab/>
        <w:t>(b)</w:t>
      </w:r>
      <w:r w:rsidRPr="009D4D2E">
        <w:tab/>
        <w:t>in relation to each farm management deposit:</w:t>
      </w:r>
    </w:p>
    <w:p w:rsidR="003A4691" w:rsidRPr="009D4D2E" w:rsidRDefault="003A4691" w:rsidP="003A4691">
      <w:pPr>
        <w:pStyle w:val="paragraphsub"/>
      </w:pPr>
      <w:r w:rsidRPr="009D4D2E">
        <w:tab/>
        <w:t>(</w:t>
      </w:r>
      <w:proofErr w:type="spellStart"/>
      <w:r w:rsidRPr="009D4D2E">
        <w:t>i</w:t>
      </w:r>
      <w:proofErr w:type="spellEnd"/>
      <w:r w:rsidRPr="009D4D2E">
        <w:t>)</w:t>
      </w:r>
      <w:r w:rsidRPr="009D4D2E">
        <w:tab/>
        <w:t>the industry code for the depositor, by reference to the Australian and New Zealand Standard Industrial Classification Code; and</w:t>
      </w:r>
    </w:p>
    <w:p w:rsidR="003A4691" w:rsidRPr="009D4D2E" w:rsidRDefault="003A4691" w:rsidP="003A4691">
      <w:pPr>
        <w:pStyle w:val="paragraphsub"/>
      </w:pPr>
      <w:r w:rsidRPr="009D4D2E">
        <w:lastRenderedPageBreak/>
        <w:tab/>
        <w:t>(ii)</w:t>
      </w:r>
      <w:r w:rsidRPr="009D4D2E">
        <w:tab/>
        <w:t xml:space="preserve">an account number that is modified by the </w:t>
      </w:r>
      <w:proofErr w:type="spellStart"/>
      <w:r w:rsidRPr="009D4D2E">
        <w:t>FMD</w:t>
      </w:r>
      <w:proofErr w:type="spellEnd"/>
      <w:r w:rsidRPr="009D4D2E">
        <w:t xml:space="preserve"> provider to prevent the disclosure of the identity of the depositor and the identity of the owner (if the owner is not the depositor), and that remains the same while the owner holds the farm management deposit; and</w:t>
      </w:r>
    </w:p>
    <w:p w:rsidR="003A4691" w:rsidRPr="009D4D2E" w:rsidRDefault="003A4691" w:rsidP="003A4691">
      <w:pPr>
        <w:pStyle w:val="paragraphsub"/>
      </w:pPr>
      <w:r w:rsidRPr="009D4D2E">
        <w:tab/>
        <w:t>(iii)</w:t>
      </w:r>
      <w:r w:rsidRPr="009D4D2E">
        <w:tab/>
        <w:t xml:space="preserve">a personal identification number that is modified by the </w:t>
      </w:r>
      <w:proofErr w:type="spellStart"/>
      <w:r w:rsidRPr="009D4D2E">
        <w:t>FMD</w:t>
      </w:r>
      <w:proofErr w:type="spellEnd"/>
      <w:r w:rsidRPr="009D4D2E">
        <w:t xml:space="preserve"> provider to prevent the disclosure of the identity of the depositor and the identity of the owner (if the owner is not the depositor), and that remains the same while the owner holds any farm management deposits with the </w:t>
      </w:r>
      <w:proofErr w:type="spellStart"/>
      <w:r w:rsidRPr="009D4D2E">
        <w:t>FMD</w:t>
      </w:r>
      <w:proofErr w:type="spellEnd"/>
      <w:r w:rsidRPr="009D4D2E">
        <w:t xml:space="preserve"> provider; and</w:t>
      </w:r>
    </w:p>
    <w:p w:rsidR="003A4691" w:rsidRPr="009D4D2E" w:rsidRDefault="003A4691" w:rsidP="003A4691">
      <w:pPr>
        <w:pStyle w:val="paragraphsub"/>
      </w:pPr>
      <w:r w:rsidRPr="009D4D2E">
        <w:tab/>
        <w:t>(iv)</w:t>
      </w:r>
      <w:r w:rsidRPr="009D4D2E">
        <w:tab/>
        <w:t>the closing balance of the farm management deposit at the end of the month to which the report relates; and</w:t>
      </w:r>
    </w:p>
    <w:p w:rsidR="003A4691" w:rsidRPr="009D4D2E" w:rsidRDefault="003A4691" w:rsidP="003A4691">
      <w:pPr>
        <w:pStyle w:val="paragraphsub"/>
      </w:pPr>
      <w:r w:rsidRPr="009D4D2E">
        <w:tab/>
        <w:t>(v)</w:t>
      </w:r>
      <w:r w:rsidRPr="009D4D2E">
        <w:tab/>
        <w:t>the State or Territory of the residence of the owner; and</w:t>
      </w:r>
    </w:p>
    <w:p w:rsidR="003A4691" w:rsidRPr="009D4D2E" w:rsidRDefault="003A4691" w:rsidP="003A4691">
      <w:pPr>
        <w:pStyle w:val="paragraphsub"/>
      </w:pPr>
      <w:r w:rsidRPr="009D4D2E">
        <w:tab/>
        <w:t>(vi)</w:t>
      </w:r>
      <w:r w:rsidRPr="009D4D2E">
        <w:tab/>
        <w:t>the year of birth of the owner; and</w:t>
      </w:r>
    </w:p>
    <w:p w:rsidR="003A4691" w:rsidRPr="009D4D2E" w:rsidRDefault="003A4691" w:rsidP="003A4691">
      <w:pPr>
        <w:pStyle w:val="paragraphsub"/>
      </w:pPr>
      <w:r w:rsidRPr="009D4D2E">
        <w:tab/>
        <w:t>(vii)</w:t>
      </w:r>
      <w:r w:rsidRPr="009D4D2E">
        <w:tab/>
        <w:t>the year and month of the deposit.</w:t>
      </w:r>
    </w:p>
    <w:p w:rsidR="003A4691" w:rsidRPr="009D4D2E" w:rsidRDefault="003A4691" w:rsidP="003A4691">
      <w:pPr>
        <w:pStyle w:val="notetext"/>
      </w:pPr>
      <w:r w:rsidRPr="009D4D2E">
        <w:t>Note 1:</w:t>
      </w:r>
      <w:r w:rsidRPr="009D4D2E">
        <w:tab/>
        <w:t>Section</w:t>
      </w:r>
      <w:r w:rsidR="009D4D2E" w:rsidRPr="009D4D2E">
        <w:t> </w:t>
      </w:r>
      <w:r w:rsidRPr="009D4D2E">
        <w:t>398</w:t>
      </w:r>
      <w:r w:rsidR="009D4D2E">
        <w:noBreakHyphen/>
      </w:r>
      <w:r w:rsidRPr="009D4D2E">
        <w:t>5 in Schedule</w:t>
      </w:r>
      <w:r w:rsidR="009D4D2E" w:rsidRPr="009D4D2E">
        <w:t> </w:t>
      </w:r>
      <w:r w:rsidRPr="009D4D2E">
        <w:t xml:space="preserve">1 to the Act requires an </w:t>
      </w:r>
      <w:proofErr w:type="spellStart"/>
      <w:r w:rsidRPr="009D4D2E">
        <w:t>FMD</w:t>
      </w:r>
      <w:proofErr w:type="spellEnd"/>
      <w:r w:rsidRPr="009D4D2E">
        <w:t xml:space="preserve"> provider that holds an </w:t>
      </w:r>
      <w:proofErr w:type="spellStart"/>
      <w:r w:rsidRPr="009D4D2E">
        <w:t>FMD</w:t>
      </w:r>
      <w:proofErr w:type="spellEnd"/>
      <w:r w:rsidRPr="009D4D2E">
        <w:t xml:space="preserve"> at the end of a month to give information in writing, before the 11th day after the end of that month, to the Agriculture Secretary. The information is described in subsection</w:t>
      </w:r>
      <w:r w:rsidR="009D4D2E" w:rsidRPr="009D4D2E">
        <w:t> </w:t>
      </w:r>
      <w:r w:rsidRPr="009D4D2E">
        <w:t>398</w:t>
      </w:r>
      <w:r w:rsidR="009D4D2E">
        <w:noBreakHyphen/>
      </w:r>
      <w:r w:rsidRPr="009D4D2E">
        <w:t>5(3) in Schedule</w:t>
      </w:r>
      <w:r w:rsidR="009D4D2E" w:rsidRPr="009D4D2E">
        <w:t> </w:t>
      </w:r>
      <w:r w:rsidRPr="009D4D2E">
        <w:t xml:space="preserve">1 to the Act, and includes any other information, in relation to farm management deposits held by the </w:t>
      </w:r>
      <w:proofErr w:type="spellStart"/>
      <w:r w:rsidRPr="009D4D2E">
        <w:t>FMD</w:t>
      </w:r>
      <w:proofErr w:type="spellEnd"/>
      <w:r w:rsidRPr="009D4D2E">
        <w:t xml:space="preserve"> provider, that is required by the regulations.</w:t>
      </w:r>
    </w:p>
    <w:p w:rsidR="003A4691" w:rsidRPr="009D4D2E" w:rsidRDefault="003A4691" w:rsidP="003A4691">
      <w:pPr>
        <w:pStyle w:val="notetext"/>
      </w:pPr>
      <w:r w:rsidRPr="009D4D2E">
        <w:tab/>
        <w:t>Under subsection</w:t>
      </w:r>
      <w:r w:rsidR="009D4D2E" w:rsidRPr="009D4D2E">
        <w:t> </w:t>
      </w:r>
      <w:r w:rsidRPr="009D4D2E">
        <w:t>398</w:t>
      </w:r>
      <w:r w:rsidR="009D4D2E">
        <w:noBreakHyphen/>
      </w:r>
      <w:r w:rsidRPr="009D4D2E">
        <w:t>5(4) in Schedule</w:t>
      </w:r>
      <w:r w:rsidR="009D4D2E" w:rsidRPr="009D4D2E">
        <w:t> </w:t>
      </w:r>
      <w:r w:rsidRPr="009D4D2E">
        <w:t>1 to the Act, the regulations must not require information that discloses the depositor’s identity or from which the depositor’s identity could be reasonably inferred.</w:t>
      </w:r>
    </w:p>
    <w:p w:rsidR="003A4691" w:rsidRPr="009D4D2E" w:rsidRDefault="003A4691" w:rsidP="003A4691">
      <w:pPr>
        <w:pStyle w:val="notetext"/>
      </w:pPr>
      <w:r w:rsidRPr="009D4D2E">
        <w:t>Note 2:</w:t>
      </w:r>
      <w:r w:rsidRPr="009D4D2E">
        <w:tab/>
        <w:t xml:space="preserve">This information is additional to the information that an </w:t>
      </w:r>
      <w:proofErr w:type="spellStart"/>
      <w:r w:rsidRPr="009D4D2E">
        <w:t>FMD</w:t>
      </w:r>
      <w:proofErr w:type="spellEnd"/>
      <w:r w:rsidRPr="009D4D2E">
        <w:t xml:space="preserve"> provider must give to the Agriculture Secretary under paragraphs 398</w:t>
      </w:r>
      <w:r w:rsidR="009D4D2E">
        <w:noBreakHyphen/>
      </w:r>
      <w:r w:rsidRPr="009D4D2E">
        <w:t>5(3)(a), (b) and (c) in Schedule</w:t>
      </w:r>
      <w:r w:rsidR="009D4D2E" w:rsidRPr="009D4D2E">
        <w:t> </w:t>
      </w:r>
      <w:r w:rsidRPr="009D4D2E">
        <w:t>1 to the Act.</w:t>
      </w:r>
    </w:p>
    <w:p w:rsidR="003A4691" w:rsidRPr="009D4D2E" w:rsidRDefault="003A4691" w:rsidP="003A4691">
      <w:pPr>
        <w:pStyle w:val="ActHead7"/>
        <w:pageBreakBefore/>
      </w:pPr>
      <w:bookmarkStart w:id="31" w:name="_Toc462908779"/>
      <w:r w:rsidRPr="009D4D2E">
        <w:rPr>
          <w:rStyle w:val="CharAmPartNo"/>
        </w:rPr>
        <w:lastRenderedPageBreak/>
        <w:t>Part</w:t>
      </w:r>
      <w:r w:rsidR="009D4D2E" w:rsidRPr="009D4D2E">
        <w:rPr>
          <w:rStyle w:val="CharAmPartNo"/>
        </w:rPr>
        <w:t> </w:t>
      </w:r>
      <w:r w:rsidRPr="009D4D2E">
        <w:rPr>
          <w:rStyle w:val="CharAmPartNo"/>
        </w:rPr>
        <w:t>2</w:t>
      </w:r>
      <w:r w:rsidRPr="009D4D2E">
        <w:t>—</w:t>
      </w:r>
      <w:r w:rsidRPr="009D4D2E">
        <w:rPr>
          <w:rStyle w:val="CharAmPartText"/>
        </w:rPr>
        <w:t>Repeals</w:t>
      </w:r>
      <w:bookmarkEnd w:id="31"/>
    </w:p>
    <w:p w:rsidR="003A4691" w:rsidRPr="009D4D2E" w:rsidRDefault="003A4691" w:rsidP="003A4691">
      <w:pPr>
        <w:pStyle w:val="ActHead9"/>
      </w:pPr>
      <w:bookmarkStart w:id="32" w:name="_Toc462908780"/>
      <w:r w:rsidRPr="009D4D2E">
        <w:t>Income Tax (Farm Management Deposits) Regulations</w:t>
      </w:r>
      <w:r w:rsidR="009D4D2E" w:rsidRPr="009D4D2E">
        <w:t> </w:t>
      </w:r>
      <w:r w:rsidRPr="009D4D2E">
        <w:t>1998</w:t>
      </w:r>
      <w:bookmarkEnd w:id="32"/>
    </w:p>
    <w:p w:rsidR="003A4691" w:rsidRPr="009D4D2E" w:rsidRDefault="003A4691" w:rsidP="003A4691">
      <w:pPr>
        <w:pStyle w:val="ItemHead"/>
      </w:pPr>
      <w:r w:rsidRPr="009D4D2E">
        <w:t>6  The whole of the Regulations</w:t>
      </w:r>
    </w:p>
    <w:p w:rsidR="003A4691" w:rsidRPr="009D4D2E" w:rsidRDefault="003A4691" w:rsidP="003A4691">
      <w:pPr>
        <w:pStyle w:val="Item"/>
      </w:pPr>
      <w:r w:rsidRPr="009D4D2E">
        <w:t>Repeal the Regulations.</w:t>
      </w:r>
    </w:p>
    <w:sectPr w:rsidR="003A4691" w:rsidRPr="009D4D2E" w:rsidSect="007C7D82">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DA6" w:rsidRDefault="008B3DA6" w:rsidP="0048364F">
      <w:pPr>
        <w:spacing w:line="240" w:lineRule="auto"/>
      </w:pPr>
      <w:r>
        <w:separator/>
      </w:r>
    </w:p>
  </w:endnote>
  <w:endnote w:type="continuationSeparator" w:id="0">
    <w:p w:rsidR="008B3DA6" w:rsidRDefault="008B3DA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7C7D82" w:rsidRDefault="0048364F" w:rsidP="007C7D82">
    <w:pPr>
      <w:pStyle w:val="Footer"/>
      <w:tabs>
        <w:tab w:val="clear" w:pos="4153"/>
        <w:tab w:val="clear" w:pos="8306"/>
        <w:tab w:val="center" w:pos="4150"/>
        <w:tab w:val="right" w:pos="8307"/>
      </w:tabs>
      <w:spacing w:before="120"/>
      <w:rPr>
        <w:i/>
        <w:sz w:val="18"/>
      </w:rPr>
    </w:pPr>
    <w:r w:rsidRPr="007C7D82">
      <w:rPr>
        <w:i/>
        <w:sz w:val="18"/>
      </w:rPr>
      <w:t xml:space="preserve"> </w:t>
    </w:r>
    <w:r w:rsidR="007C7D82" w:rsidRPr="007C7D82">
      <w:rPr>
        <w:i/>
        <w:sz w:val="18"/>
      </w:rPr>
      <w:t>OPC62261 -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D82" w:rsidRDefault="007C7D82" w:rsidP="007C7D82">
    <w:pPr>
      <w:pStyle w:val="Footer"/>
    </w:pPr>
    <w:r w:rsidRPr="007C7D82">
      <w:rPr>
        <w:i/>
        <w:sz w:val="18"/>
      </w:rPr>
      <w:t>OPC62261 -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7C7D82" w:rsidRDefault="007A7F9F" w:rsidP="00486382">
    <w:pPr>
      <w:pStyle w:val="Footer"/>
      <w:rPr>
        <w:sz w:val="18"/>
      </w:rPr>
    </w:pPr>
  </w:p>
  <w:p w:rsidR="00486382" w:rsidRPr="007C7D82" w:rsidRDefault="007C7D82" w:rsidP="007C7D82">
    <w:pPr>
      <w:pStyle w:val="Footer"/>
      <w:rPr>
        <w:sz w:val="18"/>
      </w:rPr>
    </w:pPr>
    <w:r w:rsidRPr="007C7D82">
      <w:rPr>
        <w:i/>
        <w:sz w:val="18"/>
      </w:rPr>
      <w:t>OPC62261 -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7C7D82" w:rsidRDefault="006D3667"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6D3667" w:rsidRPr="007C7D82" w:rsidTr="008B3DA6">
      <w:tc>
        <w:tcPr>
          <w:tcW w:w="365" w:type="pct"/>
          <w:tcBorders>
            <w:top w:val="nil"/>
            <w:left w:val="nil"/>
            <w:bottom w:val="nil"/>
            <w:right w:val="nil"/>
          </w:tcBorders>
        </w:tcPr>
        <w:p w:rsidR="006D3667" w:rsidRPr="007C7D82" w:rsidRDefault="006D3667" w:rsidP="00E33C1C">
          <w:pPr>
            <w:spacing w:line="0" w:lineRule="atLeast"/>
            <w:rPr>
              <w:rFonts w:cs="Times New Roman"/>
              <w:i/>
              <w:sz w:val="18"/>
            </w:rPr>
          </w:pPr>
          <w:r w:rsidRPr="007C7D82">
            <w:rPr>
              <w:rFonts w:cs="Times New Roman"/>
              <w:i/>
              <w:sz w:val="18"/>
            </w:rPr>
            <w:fldChar w:fldCharType="begin"/>
          </w:r>
          <w:r w:rsidRPr="007C7D82">
            <w:rPr>
              <w:rFonts w:cs="Times New Roman"/>
              <w:i/>
              <w:sz w:val="18"/>
            </w:rPr>
            <w:instrText xml:space="preserve"> PAGE </w:instrText>
          </w:r>
          <w:r w:rsidRPr="007C7D82">
            <w:rPr>
              <w:rFonts w:cs="Times New Roman"/>
              <w:i/>
              <w:sz w:val="18"/>
            </w:rPr>
            <w:fldChar w:fldCharType="separate"/>
          </w:r>
          <w:r w:rsidR="001037FF">
            <w:rPr>
              <w:rFonts w:cs="Times New Roman"/>
              <w:i/>
              <w:noProof/>
              <w:sz w:val="18"/>
            </w:rPr>
            <w:t>ix</w:t>
          </w:r>
          <w:r w:rsidRPr="007C7D82">
            <w:rPr>
              <w:rFonts w:cs="Times New Roman"/>
              <w:i/>
              <w:sz w:val="18"/>
            </w:rPr>
            <w:fldChar w:fldCharType="end"/>
          </w:r>
        </w:p>
      </w:tc>
      <w:tc>
        <w:tcPr>
          <w:tcW w:w="3688" w:type="pct"/>
          <w:tcBorders>
            <w:top w:val="nil"/>
            <w:left w:val="nil"/>
            <w:bottom w:val="nil"/>
            <w:right w:val="nil"/>
          </w:tcBorders>
        </w:tcPr>
        <w:p w:rsidR="006D3667" w:rsidRPr="007C7D82" w:rsidRDefault="00A2057D" w:rsidP="00E33C1C">
          <w:pPr>
            <w:spacing w:line="0" w:lineRule="atLeast"/>
            <w:jc w:val="center"/>
            <w:rPr>
              <w:rFonts w:cs="Times New Roman"/>
              <w:i/>
              <w:sz w:val="18"/>
            </w:rPr>
          </w:pPr>
          <w:r w:rsidRPr="007C7D82">
            <w:rPr>
              <w:rFonts w:cs="Times New Roman"/>
              <w:i/>
              <w:sz w:val="18"/>
            </w:rPr>
            <w:fldChar w:fldCharType="begin"/>
          </w:r>
          <w:r w:rsidRPr="007C7D82">
            <w:rPr>
              <w:rFonts w:cs="Times New Roman"/>
              <w:i/>
              <w:sz w:val="18"/>
            </w:rPr>
            <w:instrText xml:space="preserve"> DOCPROPERTY ShortT </w:instrText>
          </w:r>
          <w:r w:rsidRPr="007C7D82">
            <w:rPr>
              <w:rFonts w:cs="Times New Roman"/>
              <w:i/>
              <w:sz w:val="18"/>
            </w:rPr>
            <w:fldChar w:fldCharType="separate"/>
          </w:r>
          <w:r w:rsidR="008E4BEC">
            <w:rPr>
              <w:rFonts w:cs="Times New Roman"/>
              <w:i/>
              <w:sz w:val="18"/>
            </w:rPr>
            <w:t>Treasury Laws Amendment (2016 Measures No. 3) Regulation 2016</w:t>
          </w:r>
          <w:r w:rsidRPr="007C7D82">
            <w:rPr>
              <w:rFonts w:cs="Times New Roman"/>
              <w:i/>
              <w:sz w:val="18"/>
            </w:rPr>
            <w:fldChar w:fldCharType="end"/>
          </w:r>
        </w:p>
      </w:tc>
      <w:tc>
        <w:tcPr>
          <w:tcW w:w="947" w:type="pct"/>
          <w:tcBorders>
            <w:top w:val="nil"/>
            <w:left w:val="nil"/>
            <w:bottom w:val="nil"/>
            <w:right w:val="nil"/>
          </w:tcBorders>
        </w:tcPr>
        <w:p w:rsidR="006D3667" w:rsidRPr="007C7D82" w:rsidRDefault="006D3667" w:rsidP="00E33C1C">
          <w:pPr>
            <w:spacing w:line="0" w:lineRule="atLeast"/>
            <w:jc w:val="right"/>
            <w:rPr>
              <w:rFonts w:cs="Times New Roman"/>
              <w:i/>
              <w:sz w:val="18"/>
            </w:rPr>
          </w:pPr>
        </w:p>
      </w:tc>
    </w:tr>
  </w:tbl>
  <w:p w:rsidR="006D3667" w:rsidRPr="007C7D82" w:rsidRDefault="007C7D82" w:rsidP="007C7D82">
    <w:pPr>
      <w:rPr>
        <w:rFonts w:cs="Times New Roman"/>
        <w:i/>
        <w:sz w:val="18"/>
      </w:rPr>
    </w:pPr>
    <w:r w:rsidRPr="007C7D82">
      <w:rPr>
        <w:rFonts w:cs="Times New Roman"/>
        <w:i/>
        <w:sz w:val="18"/>
      </w:rPr>
      <w:t>OPC62261 -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6D3667" w:rsidTr="008B3DA6">
      <w:tc>
        <w:tcPr>
          <w:tcW w:w="947" w:type="pct"/>
          <w:tcBorders>
            <w:top w:val="nil"/>
            <w:left w:val="nil"/>
            <w:bottom w:val="nil"/>
            <w:right w:val="nil"/>
          </w:tcBorders>
        </w:tcPr>
        <w:p w:rsidR="006D3667" w:rsidRDefault="006D3667" w:rsidP="00E33C1C">
          <w:pPr>
            <w:spacing w:line="0" w:lineRule="atLeast"/>
            <w:rPr>
              <w:sz w:val="18"/>
            </w:rPr>
          </w:pPr>
        </w:p>
      </w:tc>
      <w:tc>
        <w:tcPr>
          <w:tcW w:w="3688" w:type="pct"/>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4BEC">
            <w:rPr>
              <w:i/>
              <w:sz w:val="18"/>
            </w:rPr>
            <w:t>Treasury Laws Amendment (2016 Measures No. 3) Regulation 2016</w:t>
          </w:r>
          <w:r w:rsidRPr="007A1328">
            <w:rPr>
              <w:i/>
              <w:sz w:val="18"/>
            </w:rPr>
            <w:fldChar w:fldCharType="end"/>
          </w:r>
        </w:p>
      </w:tc>
      <w:tc>
        <w:tcPr>
          <w:tcW w:w="365" w:type="pct"/>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A0BA3">
            <w:rPr>
              <w:i/>
              <w:noProof/>
              <w:sz w:val="18"/>
            </w:rPr>
            <w:t>i</w:t>
          </w:r>
          <w:r w:rsidRPr="00ED79B6">
            <w:rPr>
              <w:i/>
              <w:sz w:val="18"/>
            </w:rPr>
            <w:fldChar w:fldCharType="end"/>
          </w:r>
        </w:p>
      </w:tc>
    </w:tr>
  </w:tbl>
  <w:p w:rsidR="006D3667" w:rsidRPr="00ED79B6" w:rsidRDefault="007C7D82" w:rsidP="007C7D82">
    <w:pPr>
      <w:rPr>
        <w:i/>
        <w:sz w:val="18"/>
      </w:rPr>
    </w:pPr>
    <w:r w:rsidRPr="007C7D82">
      <w:rPr>
        <w:rFonts w:cs="Times New Roman"/>
        <w:i/>
        <w:sz w:val="18"/>
      </w:rPr>
      <w:t>OPC62261 -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7C7D82" w:rsidRDefault="00304E75"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304E75" w:rsidRPr="007C7D82" w:rsidTr="008B3DA6">
      <w:tc>
        <w:tcPr>
          <w:tcW w:w="365" w:type="pct"/>
          <w:tcBorders>
            <w:top w:val="nil"/>
            <w:left w:val="nil"/>
            <w:bottom w:val="nil"/>
            <w:right w:val="nil"/>
          </w:tcBorders>
        </w:tcPr>
        <w:p w:rsidR="00304E75" w:rsidRPr="007C7D82" w:rsidRDefault="00304E75" w:rsidP="00E33C1C">
          <w:pPr>
            <w:spacing w:line="0" w:lineRule="atLeast"/>
            <w:rPr>
              <w:rFonts w:cs="Times New Roman"/>
              <w:i/>
              <w:sz w:val="18"/>
            </w:rPr>
          </w:pPr>
          <w:r w:rsidRPr="007C7D82">
            <w:rPr>
              <w:rFonts w:cs="Times New Roman"/>
              <w:i/>
              <w:sz w:val="18"/>
            </w:rPr>
            <w:fldChar w:fldCharType="begin"/>
          </w:r>
          <w:r w:rsidRPr="007C7D82">
            <w:rPr>
              <w:rFonts w:cs="Times New Roman"/>
              <w:i/>
              <w:sz w:val="18"/>
            </w:rPr>
            <w:instrText xml:space="preserve"> PAGE </w:instrText>
          </w:r>
          <w:r w:rsidRPr="007C7D82">
            <w:rPr>
              <w:rFonts w:cs="Times New Roman"/>
              <w:i/>
              <w:sz w:val="18"/>
            </w:rPr>
            <w:fldChar w:fldCharType="separate"/>
          </w:r>
          <w:r w:rsidR="009A0BA3">
            <w:rPr>
              <w:rFonts w:cs="Times New Roman"/>
              <w:i/>
              <w:noProof/>
              <w:sz w:val="18"/>
            </w:rPr>
            <w:t>8</w:t>
          </w:r>
          <w:r w:rsidRPr="007C7D82">
            <w:rPr>
              <w:rFonts w:cs="Times New Roman"/>
              <w:i/>
              <w:sz w:val="18"/>
            </w:rPr>
            <w:fldChar w:fldCharType="end"/>
          </w:r>
        </w:p>
      </w:tc>
      <w:tc>
        <w:tcPr>
          <w:tcW w:w="3688" w:type="pct"/>
          <w:tcBorders>
            <w:top w:val="nil"/>
            <w:left w:val="nil"/>
            <w:bottom w:val="nil"/>
            <w:right w:val="nil"/>
          </w:tcBorders>
        </w:tcPr>
        <w:p w:rsidR="00304E75" w:rsidRPr="007C7D82" w:rsidRDefault="00304E75" w:rsidP="00E33C1C">
          <w:pPr>
            <w:spacing w:line="0" w:lineRule="atLeast"/>
            <w:jc w:val="center"/>
            <w:rPr>
              <w:rFonts w:cs="Times New Roman"/>
              <w:i/>
              <w:sz w:val="18"/>
            </w:rPr>
          </w:pPr>
          <w:r w:rsidRPr="007C7D82">
            <w:rPr>
              <w:rFonts w:cs="Times New Roman"/>
              <w:i/>
              <w:sz w:val="18"/>
            </w:rPr>
            <w:fldChar w:fldCharType="begin"/>
          </w:r>
          <w:r w:rsidRPr="007C7D82">
            <w:rPr>
              <w:rFonts w:cs="Times New Roman"/>
              <w:i/>
              <w:sz w:val="18"/>
            </w:rPr>
            <w:instrText xml:space="preserve"> DOCPROPERTY ShortT </w:instrText>
          </w:r>
          <w:r w:rsidRPr="007C7D82">
            <w:rPr>
              <w:rFonts w:cs="Times New Roman"/>
              <w:i/>
              <w:sz w:val="18"/>
            </w:rPr>
            <w:fldChar w:fldCharType="separate"/>
          </w:r>
          <w:r w:rsidR="008E4BEC">
            <w:rPr>
              <w:rFonts w:cs="Times New Roman"/>
              <w:i/>
              <w:sz w:val="18"/>
            </w:rPr>
            <w:t>Treasury Laws Amendment (2016 Measures No. 3) Regulation 2016</w:t>
          </w:r>
          <w:r w:rsidRPr="007C7D82">
            <w:rPr>
              <w:rFonts w:cs="Times New Roman"/>
              <w:i/>
              <w:sz w:val="18"/>
            </w:rPr>
            <w:fldChar w:fldCharType="end"/>
          </w:r>
        </w:p>
      </w:tc>
      <w:tc>
        <w:tcPr>
          <w:tcW w:w="947" w:type="pct"/>
          <w:tcBorders>
            <w:top w:val="nil"/>
            <w:left w:val="nil"/>
            <w:bottom w:val="nil"/>
            <w:right w:val="nil"/>
          </w:tcBorders>
        </w:tcPr>
        <w:p w:rsidR="00304E75" w:rsidRPr="007C7D82" w:rsidRDefault="00304E75" w:rsidP="00E33C1C">
          <w:pPr>
            <w:spacing w:line="0" w:lineRule="atLeast"/>
            <w:jc w:val="right"/>
            <w:rPr>
              <w:rFonts w:cs="Times New Roman"/>
              <w:i/>
              <w:sz w:val="18"/>
            </w:rPr>
          </w:pPr>
        </w:p>
      </w:tc>
    </w:tr>
  </w:tbl>
  <w:p w:rsidR="00304E75" w:rsidRPr="007C7D82" w:rsidRDefault="007C7D82" w:rsidP="007C7D82">
    <w:pPr>
      <w:rPr>
        <w:rFonts w:cs="Times New Roman"/>
        <w:i/>
        <w:sz w:val="18"/>
      </w:rPr>
    </w:pPr>
    <w:r w:rsidRPr="007C7D82">
      <w:rPr>
        <w:rFonts w:cs="Times New Roman"/>
        <w:i/>
        <w:sz w:val="18"/>
      </w:rPr>
      <w:t>OPC62261 -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63BDE" w:rsidTr="008B3DA6">
      <w:tc>
        <w:tcPr>
          <w:tcW w:w="947" w:type="pct"/>
          <w:tcBorders>
            <w:top w:val="nil"/>
            <w:left w:val="nil"/>
            <w:bottom w:val="nil"/>
            <w:right w:val="nil"/>
          </w:tcBorders>
        </w:tcPr>
        <w:p w:rsidR="00B63BDE" w:rsidRDefault="00B63BDE" w:rsidP="00E33C1C">
          <w:pPr>
            <w:spacing w:line="0" w:lineRule="atLeast"/>
            <w:rPr>
              <w:sz w:val="18"/>
            </w:rPr>
          </w:pPr>
        </w:p>
      </w:tc>
      <w:tc>
        <w:tcPr>
          <w:tcW w:w="3688" w:type="pct"/>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4BEC">
            <w:rPr>
              <w:i/>
              <w:sz w:val="18"/>
            </w:rPr>
            <w:t>Treasury Laws Amendment (2016 Measures No. 3) Regulation 2016</w:t>
          </w:r>
          <w:r w:rsidRPr="007A1328">
            <w:rPr>
              <w:i/>
              <w:sz w:val="18"/>
            </w:rPr>
            <w:fldChar w:fldCharType="end"/>
          </w:r>
        </w:p>
      </w:tc>
      <w:tc>
        <w:tcPr>
          <w:tcW w:w="365" w:type="pct"/>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A0BA3">
            <w:rPr>
              <w:i/>
              <w:noProof/>
              <w:sz w:val="18"/>
            </w:rPr>
            <w:t>1</w:t>
          </w:r>
          <w:r w:rsidRPr="00ED79B6">
            <w:rPr>
              <w:i/>
              <w:sz w:val="18"/>
            </w:rPr>
            <w:fldChar w:fldCharType="end"/>
          </w:r>
        </w:p>
      </w:tc>
    </w:tr>
  </w:tbl>
  <w:p w:rsidR="00B63BDE" w:rsidRPr="00ED79B6" w:rsidRDefault="007C7D82" w:rsidP="007C7D82">
    <w:pPr>
      <w:rPr>
        <w:i/>
        <w:sz w:val="18"/>
      </w:rPr>
    </w:pPr>
    <w:r w:rsidRPr="007C7D82">
      <w:rPr>
        <w:rFonts w:cs="Times New Roman"/>
        <w:i/>
        <w:sz w:val="18"/>
      </w:rPr>
      <w:t>OPC62261 -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63BDE" w:rsidTr="008B3DA6">
      <w:tc>
        <w:tcPr>
          <w:tcW w:w="947" w:type="pct"/>
          <w:tcBorders>
            <w:top w:val="nil"/>
            <w:left w:val="nil"/>
            <w:bottom w:val="nil"/>
            <w:right w:val="nil"/>
          </w:tcBorders>
        </w:tcPr>
        <w:p w:rsidR="00B63BDE" w:rsidRDefault="00B63BDE" w:rsidP="00533C52">
          <w:pPr>
            <w:spacing w:line="0" w:lineRule="atLeast"/>
            <w:rPr>
              <w:sz w:val="18"/>
            </w:rPr>
          </w:pPr>
        </w:p>
      </w:tc>
      <w:tc>
        <w:tcPr>
          <w:tcW w:w="3688" w:type="pct"/>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4BEC">
            <w:rPr>
              <w:i/>
              <w:sz w:val="18"/>
            </w:rPr>
            <w:t>Treasury Laws Amendment (2016 Measures No. 3) Regulation 2016</w:t>
          </w:r>
          <w:r w:rsidRPr="007A1328">
            <w:rPr>
              <w:i/>
              <w:sz w:val="18"/>
            </w:rPr>
            <w:fldChar w:fldCharType="end"/>
          </w:r>
        </w:p>
      </w:tc>
      <w:tc>
        <w:tcPr>
          <w:tcW w:w="365" w:type="pct"/>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037FF">
            <w:rPr>
              <w:i/>
              <w:noProof/>
              <w:sz w:val="18"/>
            </w:rPr>
            <w:t>9</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DA6" w:rsidRDefault="008B3DA6" w:rsidP="0048364F">
      <w:pPr>
        <w:spacing w:line="240" w:lineRule="auto"/>
      </w:pPr>
      <w:r>
        <w:separator/>
      </w:r>
    </w:p>
  </w:footnote>
  <w:footnote w:type="continuationSeparator" w:id="0">
    <w:p w:rsidR="008B3DA6" w:rsidRDefault="008B3DA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Pr>
        <w:b/>
        <w:sz w:val="20"/>
      </w:rPr>
      <w:fldChar w:fldCharType="separate"/>
    </w:r>
    <w:r w:rsidR="009A0BA3">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9A0BA3">
      <w:rPr>
        <w:noProof/>
        <w:sz w:val="20"/>
      </w:rPr>
      <w:t>Farm management deposits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sidR="009A0BA3">
      <w:rPr>
        <w:b/>
        <w:sz w:val="20"/>
      </w:rPr>
      <w:fldChar w:fldCharType="separate"/>
    </w:r>
    <w:r w:rsidR="009A0BA3">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9A0BA3">
      <w:rPr>
        <w:sz w:val="20"/>
      </w:rPr>
      <w:fldChar w:fldCharType="separate"/>
    </w:r>
    <w:r w:rsidR="009A0BA3">
      <w:rPr>
        <w:noProof/>
        <w:sz w:val="20"/>
      </w:rPr>
      <w:t>Amendments</w: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lvlOverride w:ilvl="0">
      <w:lvl w:ilvl="0">
        <w:start w:val="1"/>
        <w:numFmt w:val="bullet"/>
        <w:lvlText w:val=""/>
        <w:legacy w:legacy="1" w:legacySpace="0" w:legacyIndent="567"/>
        <w:lvlJc w:val="left"/>
        <w:pPr>
          <w:ind w:left="567" w:hanging="567"/>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DA6"/>
    <w:rsid w:val="000041C6"/>
    <w:rsid w:val="000063E4"/>
    <w:rsid w:val="00011222"/>
    <w:rsid w:val="000113BC"/>
    <w:rsid w:val="000136AF"/>
    <w:rsid w:val="00025060"/>
    <w:rsid w:val="0004044E"/>
    <w:rsid w:val="000614BF"/>
    <w:rsid w:val="000C4E79"/>
    <w:rsid w:val="000D05EF"/>
    <w:rsid w:val="000F21C1"/>
    <w:rsid w:val="000F6B02"/>
    <w:rsid w:val="000F7427"/>
    <w:rsid w:val="001037FF"/>
    <w:rsid w:val="0010745C"/>
    <w:rsid w:val="00116975"/>
    <w:rsid w:val="00125A70"/>
    <w:rsid w:val="00126F1A"/>
    <w:rsid w:val="00154EAC"/>
    <w:rsid w:val="001643C9"/>
    <w:rsid w:val="00165568"/>
    <w:rsid w:val="00166C2F"/>
    <w:rsid w:val="001716C9"/>
    <w:rsid w:val="00171EAE"/>
    <w:rsid w:val="00187A5A"/>
    <w:rsid w:val="00191859"/>
    <w:rsid w:val="00193461"/>
    <w:rsid w:val="001939E1"/>
    <w:rsid w:val="00195382"/>
    <w:rsid w:val="001B3097"/>
    <w:rsid w:val="001B7A5D"/>
    <w:rsid w:val="001C69C4"/>
    <w:rsid w:val="001D4229"/>
    <w:rsid w:val="001D7F83"/>
    <w:rsid w:val="001E04A3"/>
    <w:rsid w:val="001E16D0"/>
    <w:rsid w:val="001E3590"/>
    <w:rsid w:val="001E562E"/>
    <w:rsid w:val="001E7407"/>
    <w:rsid w:val="001F6924"/>
    <w:rsid w:val="00201D27"/>
    <w:rsid w:val="00231427"/>
    <w:rsid w:val="00240749"/>
    <w:rsid w:val="00265FBC"/>
    <w:rsid w:val="00266D05"/>
    <w:rsid w:val="002932B1"/>
    <w:rsid w:val="00295408"/>
    <w:rsid w:val="00297ECB"/>
    <w:rsid w:val="002A0FFD"/>
    <w:rsid w:val="002B2731"/>
    <w:rsid w:val="002B5B89"/>
    <w:rsid w:val="002B7D96"/>
    <w:rsid w:val="002D043A"/>
    <w:rsid w:val="00304E75"/>
    <w:rsid w:val="003072FA"/>
    <w:rsid w:val="0031713F"/>
    <w:rsid w:val="003415D3"/>
    <w:rsid w:val="00350EC1"/>
    <w:rsid w:val="00352B0F"/>
    <w:rsid w:val="00361BD9"/>
    <w:rsid w:val="00363549"/>
    <w:rsid w:val="003801D0"/>
    <w:rsid w:val="0039228E"/>
    <w:rsid w:val="003926B5"/>
    <w:rsid w:val="003A4691"/>
    <w:rsid w:val="003B04EC"/>
    <w:rsid w:val="003C5F2B"/>
    <w:rsid w:val="003D0BFE"/>
    <w:rsid w:val="003D5700"/>
    <w:rsid w:val="003E5FF5"/>
    <w:rsid w:val="003F4CA9"/>
    <w:rsid w:val="003F567B"/>
    <w:rsid w:val="004010E7"/>
    <w:rsid w:val="00401403"/>
    <w:rsid w:val="004116CD"/>
    <w:rsid w:val="00412B83"/>
    <w:rsid w:val="00424CA9"/>
    <w:rsid w:val="00433910"/>
    <w:rsid w:val="0044291A"/>
    <w:rsid w:val="004541B9"/>
    <w:rsid w:val="00460499"/>
    <w:rsid w:val="00480FB9"/>
    <w:rsid w:val="0048364F"/>
    <w:rsid w:val="00486382"/>
    <w:rsid w:val="00496F97"/>
    <w:rsid w:val="004A2484"/>
    <w:rsid w:val="004C0255"/>
    <w:rsid w:val="004C5B5A"/>
    <w:rsid w:val="004C6444"/>
    <w:rsid w:val="004C6DE1"/>
    <w:rsid w:val="004F1FAC"/>
    <w:rsid w:val="004F3A90"/>
    <w:rsid w:val="004F676E"/>
    <w:rsid w:val="00516B8D"/>
    <w:rsid w:val="00520A1E"/>
    <w:rsid w:val="00537FBC"/>
    <w:rsid w:val="00543469"/>
    <w:rsid w:val="00557C7A"/>
    <w:rsid w:val="00584811"/>
    <w:rsid w:val="005851A5"/>
    <w:rsid w:val="0058646E"/>
    <w:rsid w:val="00591E07"/>
    <w:rsid w:val="00593AA6"/>
    <w:rsid w:val="00594161"/>
    <w:rsid w:val="00594749"/>
    <w:rsid w:val="005B4067"/>
    <w:rsid w:val="005C1134"/>
    <w:rsid w:val="005C12DE"/>
    <w:rsid w:val="005C3F41"/>
    <w:rsid w:val="005E552A"/>
    <w:rsid w:val="00600219"/>
    <w:rsid w:val="006249E6"/>
    <w:rsid w:val="00630733"/>
    <w:rsid w:val="0064468A"/>
    <w:rsid w:val="00654CCA"/>
    <w:rsid w:val="00656DE9"/>
    <w:rsid w:val="00663BDD"/>
    <w:rsid w:val="00677CC2"/>
    <w:rsid w:val="00680F17"/>
    <w:rsid w:val="00685F42"/>
    <w:rsid w:val="0069207B"/>
    <w:rsid w:val="006937E2"/>
    <w:rsid w:val="0069392E"/>
    <w:rsid w:val="006977FB"/>
    <w:rsid w:val="006B262A"/>
    <w:rsid w:val="006C2C12"/>
    <w:rsid w:val="006C3FFF"/>
    <w:rsid w:val="006C7F8C"/>
    <w:rsid w:val="006D3667"/>
    <w:rsid w:val="006D4E91"/>
    <w:rsid w:val="006E004B"/>
    <w:rsid w:val="006E55FD"/>
    <w:rsid w:val="006E7147"/>
    <w:rsid w:val="00700B2C"/>
    <w:rsid w:val="00701E6A"/>
    <w:rsid w:val="00713084"/>
    <w:rsid w:val="00722023"/>
    <w:rsid w:val="00731E00"/>
    <w:rsid w:val="007440B7"/>
    <w:rsid w:val="007634AD"/>
    <w:rsid w:val="007715C9"/>
    <w:rsid w:val="00774EDD"/>
    <w:rsid w:val="007757EC"/>
    <w:rsid w:val="007769D4"/>
    <w:rsid w:val="00785AFA"/>
    <w:rsid w:val="007903AC"/>
    <w:rsid w:val="007A7F9F"/>
    <w:rsid w:val="007C7D82"/>
    <w:rsid w:val="007E7D4A"/>
    <w:rsid w:val="00826DA5"/>
    <w:rsid w:val="00833416"/>
    <w:rsid w:val="00856A31"/>
    <w:rsid w:val="00874B69"/>
    <w:rsid w:val="008754D0"/>
    <w:rsid w:val="00877D48"/>
    <w:rsid w:val="00880795"/>
    <w:rsid w:val="00884C9D"/>
    <w:rsid w:val="0089783B"/>
    <w:rsid w:val="008B3DA6"/>
    <w:rsid w:val="008D0EE0"/>
    <w:rsid w:val="008E4BEC"/>
    <w:rsid w:val="008F07E3"/>
    <w:rsid w:val="008F4F1C"/>
    <w:rsid w:val="00907271"/>
    <w:rsid w:val="00932377"/>
    <w:rsid w:val="00932A33"/>
    <w:rsid w:val="009848EC"/>
    <w:rsid w:val="009A0BA3"/>
    <w:rsid w:val="009B3629"/>
    <w:rsid w:val="009C49D8"/>
    <w:rsid w:val="009C7833"/>
    <w:rsid w:val="009D04BE"/>
    <w:rsid w:val="009D4D2E"/>
    <w:rsid w:val="009E3601"/>
    <w:rsid w:val="009F727E"/>
    <w:rsid w:val="00A1027A"/>
    <w:rsid w:val="00A2057D"/>
    <w:rsid w:val="00A231E2"/>
    <w:rsid w:val="00A2550D"/>
    <w:rsid w:val="00A26DBE"/>
    <w:rsid w:val="00A326A4"/>
    <w:rsid w:val="00A4169B"/>
    <w:rsid w:val="00A4361F"/>
    <w:rsid w:val="00A511A2"/>
    <w:rsid w:val="00A5197F"/>
    <w:rsid w:val="00A64912"/>
    <w:rsid w:val="00A70A74"/>
    <w:rsid w:val="00A71C4E"/>
    <w:rsid w:val="00A7461D"/>
    <w:rsid w:val="00A87AB9"/>
    <w:rsid w:val="00AB3315"/>
    <w:rsid w:val="00AB7B41"/>
    <w:rsid w:val="00AC06B3"/>
    <w:rsid w:val="00AD5641"/>
    <w:rsid w:val="00AE50A2"/>
    <w:rsid w:val="00AF0336"/>
    <w:rsid w:val="00AF6613"/>
    <w:rsid w:val="00B00902"/>
    <w:rsid w:val="00B032D8"/>
    <w:rsid w:val="00B332B8"/>
    <w:rsid w:val="00B33B3C"/>
    <w:rsid w:val="00B44657"/>
    <w:rsid w:val="00B61D2C"/>
    <w:rsid w:val="00B63BDE"/>
    <w:rsid w:val="00B655DE"/>
    <w:rsid w:val="00BA5026"/>
    <w:rsid w:val="00BB6E79"/>
    <w:rsid w:val="00BC4F91"/>
    <w:rsid w:val="00BD60E6"/>
    <w:rsid w:val="00BE253A"/>
    <w:rsid w:val="00BE719A"/>
    <w:rsid w:val="00BE720A"/>
    <w:rsid w:val="00BF3D79"/>
    <w:rsid w:val="00BF4533"/>
    <w:rsid w:val="00C050B7"/>
    <w:rsid w:val="00C067E5"/>
    <w:rsid w:val="00C15528"/>
    <w:rsid w:val="00C164CA"/>
    <w:rsid w:val="00C21B63"/>
    <w:rsid w:val="00C42BF8"/>
    <w:rsid w:val="00C460AE"/>
    <w:rsid w:val="00C50043"/>
    <w:rsid w:val="00C63713"/>
    <w:rsid w:val="00C7573B"/>
    <w:rsid w:val="00C76CF3"/>
    <w:rsid w:val="00C77E30"/>
    <w:rsid w:val="00C814F5"/>
    <w:rsid w:val="00CB0180"/>
    <w:rsid w:val="00CB2BB7"/>
    <w:rsid w:val="00CB3470"/>
    <w:rsid w:val="00CD606E"/>
    <w:rsid w:val="00CD7ECB"/>
    <w:rsid w:val="00CE1D55"/>
    <w:rsid w:val="00CF0BB2"/>
    <w:rsid w:val="00D0104A"/>
    <w:rsid w:val="00D13441"/>
    <w:rsid w:val="00D17B17"/>
    <w:rsid w:val="00D243A3"/>
    <w:rsid w:val="00D333D9"/>
    <w:rsid w:val="00D33440"/>
    <w:rsid w:val="00D40403"/>
    <w:rsid w:val="00D52EFE"/>
    <w:rsid w:val="00D63EF6"/>
    <w:rsid w:val="00D70DFB"/>
    <w:rsid w:val="00D766DF"/>
    <w:rsid w:val="00D83D21"/>
    <w:rsid w:val="00D84B58"/>
    <w:rsid w:val="00D925D1"/>
    <w:rsid w:val="00E0547C"/>
    <w:rsid w:val="00E05704"/>
    <w:rsid w:val="00E05C46"/>
    <w:rsid w:val="00E275CE"/>
    <w:rsid w:val="00E30206"/>
    <w:rsid w:val="00E33C1C"/>
    <w:rsid w:val="00E443FC"/>
    <w:rsid w:val="00E45FE7"/>
    <w:rsid w:val="00E476B8"/>
    <w:rsid w:val="00E54292"/>
    <w:rsid w:val="00E55BCD"/>
    <w:rsid w:val="00E73EC4"/>
    <w:rsid w:val="00E74DC7"/>
    <w:rsid w:val="00E76FAB"/>
    <w:rsid w:val="00E83E2E"/>
    <w:rsid w:val="00E84B32"/>
    <w:rsid w:val="00E87699"/>
    <w:rsid w:val="00EC4243"/>
    <w:rsid w:val="00ED3A7D"/>
    <w:rsid w:val="00ED4894"/>
    <w:rsid w:val="00EF1C40"/>
    <w:rsid w:val="00EF2E3A"/>
    <w:rsid w:val="00F047E2"/>
    <w:rsid w:val="00F078DC"/>
    <w:rsid w:val="00F13E86"/>
    <w:rsid w:val="00F24C35"/>
    <w:rsid w:val="00F56759"/>
    <w:rsid w:val="00F677A9"/>
    <w:rsid w:val="00F84CF5"/>
    <w:rsid w:val="00FA420B"/>
    <w:rsid w:val="00FB03B3"/>
    <w:rsid w:val="00FB192C"/>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4D2E"/>
    <w:pPr>
      <w:spacing w:line="260" w:lineRule="atLeast"/>
    </w:pPr>
    <w:rPr>
      <w:sz w:val="22"/>
    </w:rPr>
  </w:style>
  <w:style w:type="paragraph" w:styleId="Heading1">
    <w:name w:val="heading 1"/>
    <w:basedOn w:val="Normal"/>
    <w:next w:val="Normal"/>
    <w:link w:val="Heading1Char"/>
    <w:uiPriority w:val="9"/>
    <w:qFormat/>
    <w:rsid w:val="008B3D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3D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3DA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3D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3D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B3D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3D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3DA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B3D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D4D2E"/>
  </w:style>
  <w:style w:type="paragraph" w:customStyle="1" w:styleId="OPCParaBase">
    <w:name w:val="OPCParaBase"/>
    <w:qFormat/>
    <w:rsid w:val="009D4D2E"/>
    <w:pPr>
      <w:spacing w:line="260" w:lineRule="atLeast"/>
    </w:pPr>
    <w:rPr>
      <w:rFonts w:eastAsia="Times New Roman" w:cs="Times New Roman"/>
      <w:sz w:val="22"/>
      <w:lang w:eastAsia="en-AU"/>
    </w:rPr>
  </w:style>
  <w:style w:type="paragraph" w:customStyle="1" w:styleId="ShortT">
    <w:name w:val="ShortT"/>
    <w:basedOn w:val="OPCParaBase"/>
    <w:next w:val="Normal"/>
    <w:qFormat/>
    <w:rsid w:val="009D4D2E"/>
    <w:pPr>
      <w:spacing w:line="240" w:lineRule="auto"/>
    </w:pPr>
    <w:rPr>
      <w:b/>
      <w:sz w:val="40"/>
    </w:rPr>
  </w:style>
  <w:style w:type="paragraph" w:customStyle="1" w:styleId="ActHead1">
    <w:name w:val="ActHead 1"/>
    <w:aliases w:val="c"/>
    <w:basedOn w:val="OPCParaBase"/>
    <w:next w:val="Normal"/>
    <w:qFormat/>
    <w:rsid w:val="009D4D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4D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4D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D4D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D4D2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4D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4D2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4D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4D2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D4D2E"/>
  </w:style>
  <w:style w:type="paragraph" w:customStyle="1" w:styleId="Blocks">
    <w:name w:val="Blocks"/>
    <w:aliases w:val="bb"/>
    <w:basedOn w:val="OPCParaBase"/>
    <w:qFormat/>
    <w:rsid w:val="009D4D2E"/>
    <w:pPr>
      <w:spacing w:line="240" w:lineRule="auto"/>
    </w:pPr>
    <w:rPr>
      <w:sz w:val="24"/>
    </w:rPr>
  </w:style>
  <w:style w:type="paragraph" w:customStyle="1" w:styleId="BoxText">
    <w:name w:val="BoxText"/>
    <w:aliases w:val="bt"/>
    <w:basedOn w:val="OPCParaBase"/>
    <w:qFormat/>
    <w:rsid w:val="009D4D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4D2E"/>
    <w:rPr>
      <w:b/>
    </w:rPr>
  </w:style>
  <w:style w:type="paragraph" w:customStyle="1" w:styleId="BoxHeadItalic">
    <w:name w:val="BoxHeadItalic"/>
    <w:aliases w:val="bhi"/>
    <w:basedOn w:val="BoxText"/>
    <w:next w:val="BoxStep"/>
    <w:qFormat/>
    <w:rsid w:val="009D4D2E"/>
    <w:rPr>
      <w:i/>
    </w:rPr>
  </w:style>
  <w:style w:type="paragraph" w:customStyle="1" w:styleId="BoxList">
    <w:name w:val="BoxList"/>
    <w:aliases w:val="bl"/>
    <w:basedOn w:val="BoxText"/>
    <w:qFormat/>
    <w:rsid w:val="009D4D2E"/>
    <w:pPr>
      <w:ind w:left="1559" w:hanging="425"/>
    </w:pPr>
  </w:style>
  <w:style w:type="paragraph" w:customStyle="1" w:styleId="BoxNote">
    <w:name w:val="BoxNote"/>
    <w:aliases w:val="bn"/>
    <w:basedOn w:val="BoxText"/>
    <w:qFormat/>
    <w:rsid w:val="009D4D2E"/>
    <w:pPr>
      <w:tabs>
        <w:tab w:val="left" w:pos="1985"/>
      </w:tabs>
      <w:spacing w:before="122" w:line="198" w:lineRule="exact"/>
      <w:ind w:left="2948" w:hanging="1814"/>
    </w:pPr>
    <w:rPr>
      <w:sz w:val="18"/>
    </w:rPr>
  </w:style>
  <w:style w:type="paragraph" w:customStyle="1" w:styleId="BoxPara">
    <w:name w:val="BoxPara"/>
    <w:aliases w:val="bp"/>
    <w:basedOn w:val="BoxText"/>
    <w:qFormat/>
    <w:rsid w:val="009D4D2E"/>
    <w:pPr>
      <w:tabs>
        <w:tab w:val="right" w:pos="2268"/>
      </w:tabs>
      <w:ind w:left="2552" w:hanging="1418"/>
    </w:pPr>
  </w:style>
  <w:style w:type="paragraph" w:customStyle="1" w:styleId="BoxStep">
    <w:name w:val="BoxStep"/>
    <w:aliases w:val="bs"/>
    <w:basedOn w:val="BoxText"/>
    <w:qFormat/>
    <w:rsid w:val="009D4D2E"/>
    <w:pPr>
      <w:ind w:left="1985" w:hanging="851"/>
    </w:pPr>
  </w:style>
  <w:style w:type="character" w:customStyle="1" w:styleId="CharAmPartNo">
    <w:name w:val="CharAmPartNo"/>
    <w:basedOn w:val="OPCCharBase"/>
    <w:qFormat/>
    <w:rsid w:val="009D4D2E"/>
  </w:style>
  <w:style w:type="character" w:customStyle="1" w:styleId="CharAmPartText">
    <w:name w:val="CharAmPartText"/>
    <w:basedOn w:val="OPCCharBase"/>
    <w:qFormat/>
    <w:rsid w:val="009D4D2E"/>
  </w:style>
  <w:style w:type="character" w:customStyle="1" w:styleId="CharAmSchNo">
    <w:name w:val="CharAmSchNo"/>
    <w:basedOn w:val="OPCCharBase"/>
    <w:qFormat/>
    <w:rsid w:val="009D4D2E"/>
  </w:style>
  <w:style w:type="character" w:customStyle="1" w:styleId="CharAmSchText">
    <w:name w:val="CharAmSchText"/>
    <w:basedOn w:val="OPCCharBase"/>
    <w:qFormat/>
    <w:rsid w:val="009D4D2E"/>
  </w:style>
  <w:style w:type="character" w:customStyle="1" w:styleId="CharBoldItalic">
    <w:name w:val="CharBoldItalic"/>
    <w:basedOn w:val="OPCCharBase"/>
    <w:uiPriority w:val="1"/>
    <w:qFormat/>
    <w:rsid w:val="009D4D2E"/>
    <w:rPr>
      <w:b/>
      <w:i/>
    </w:rPr>
  </w:style>
  <w:style w:type="character" w:customStyle="1" w:styleId="CharChapNo">
    <w:name w:val="CharChapNo"/>
    <w:basedOn w:val="OPCCharBase"/>
    <w:uiPriority w:val="1"/>
    <w:qFormat/>
    <w:rsid w:val="009D4D2E"/>
  </w:style>
  <w:style w:type="character" w:customStyle="1" w:styleId="CharChapText">
    <w:name w:val="CharChapText"/>
    <w:basedOn w:val="OPCCharBase"/>
    <w:uiPriority w:val="1"/>
    <w:qFormat/>
    <w:rsid w:val="009D4D2E"/>
  </w:style>
  <w:style w:type="character" w:customStyle="1" w:styleId="CharDivNo">
    <w:name w:val="CharDivNo"/>
    <w:basedOn w:val="OPCCharBase"/>
    <w:uiPriority w:val="1"/>
    <w:qFormat/>
    <w:rsid w:val="009D4D2E"/>
  </w:style>
  <w:style w:type="character" w:customStyle="1" w:styleId="CharDivText">
    <w:name w:val="CharDivText"/>
    <w:basedOn w:val="OPCCharBase"/>
    <w:uiPriority w:val="1"/>
    <w:qFormat/>
    <w:rsid w:val="009D4D2E"/>
  </w:style>
  <w:style w:type="character" w:customStyle="1" w:styleId="CharItalic">
    <w:name w:val="CharItalic"/>
    <w:basedOn w:val="OPCCharBase"/>
    <w:uiPriority w:val="1"/>
    <w:qFormat/>
    <w:rsid w:val="009D4D2E"/>
    <w:rPr>
      <w:i/>
    </w:rPr>
  </w:style>
  <w:style w:type="character" w:customStyle="1" w:styleId="CharPartNo">
    <w:name w:val="CharPartNo"/>
    <w:basedOn w:val="OPCCharBase"/>
    <w:uiPriority w:val="1"/>
    <w:qFormat/>
    <w:rsid w:val="009D4D2E"/>
  </w:style>
  <w:style w:type="character" w:customStyle="1" w:styleId="CharPartText">
    <w:name w:val="CharPartText"/>
    <w:basedOn w:val="OPCCharBase"/>
    <w:uiPriority w:val="1"/>
    <w:qFormat/>
    <w:rsid w:val="009D4D2E"/>
  </w:style>
  <w:style w:type="character" w:customStyle="1" w:styleId="CharSectno">
    <w:name w:val="CharSectno"/>
    <w:basedOn w:val="OPCCharBase"/>
    <w:qFormat/>
    <w:rsid w:val="009D4D2E"/>
  </w:style>
  <w:style w:type="character" w:customStyle="1" w:styleId="CharSubdNo">
    <w:name w:val="CharSubdNo"/>
    <w:basedOn w:val="OPCCharBase"/>
    <w:uiPriority w:val="1"/>
    <w:qFormat/>
    <w:rsid w:val="009D4D2E"/>
  </w:style>
  <w:style w:type="character" w:customStyle="1" w:styleId="CharSubdText">
    <w:name w:val="CharSubdText"/>
    <w:basedOn w:val="OPCCharBase"/>
    <w:uiPriority w:val="1"/>
    <w:qFormat/>
    <w:rsid w:val="009D4D2E"/>
  </w:style>
  <w:style w:type="paragraph" w:customStyle="1" w:styleId="CTA--">
    <w:name w:val="CTA --"/>
    <w:basedOn w:val="OPCParaBase"/>
    <w:next w:val="Normal"/>
    <w:rsid w:val="009D4D2E"/>
    <w:pPr>
      <w:spacing w:before="60" w:line="240" w:lineRule="atLeast"/>
      <w:ind w:left="142" w:hanging="142"/>
    </w:pPr>
    <w:rPr>
      <w:sz w:val="20"/>
    </w:rPr>
  </w:style>
  <w:style w:type="paragraph" w:customStyle="1" w:styleId="CTA-">
    <w:name w:val="CTA -"/>
    <w:basedOn w:val="OPCParaBase"/>
    <w:rsid w:val="009D4D2E"/>
    <w:pPr>
      <w:spacing w:before="60" w:line="240" w:lineRule="atLeast"/>
      <w:ind w:left="85" w:hanging="85"/>
    </w:pPr>
    <w:rPr>
      <w:sz w:val="20"/>
    </w:rPr>
  </w:style>
  <w:style w:type="paragraph" w:customStyle="1" w:styleId="CTA---">
    <w:name w:val="CTA ---"/>
    <w:basedOn w:val="OPCParaBase"/>
    <w:next w:val="Normal"/>
    <w:rsid w:val="009D4D2E"/>
    <w:pPr>
      <w:spacing w:before="60" w:line="240" w:lineRule="atLeast"/>
      <w:ind w:left="198" w:hanging="198"/>
    </w:pPr>
    <w:rPr>
      <w:sz w:val="20"/>
    </w:rPr>
  </w:style>
  <w:style w:type="paragraph" w:customStyle="1" w:styleId="CTA----">
    <w:name w:val="CTA ----"/>
    <w:basedOn w:val="OPCParaBase"/>
    <w:next w:val="Normal"/>
    <w:rsid w:val="009D4D2E"/>
    <w:pPr>
      <w:spacing w:before="60" w:line="240" w:lineRule="atLeast"/>
      <w:ind w:left="255" w:hanging="255"/>
    </w:pPr>
    <w:rPr>
      <w:sz w:val="20"/>
    </w:rPr>
  </w:style>
  <w:style w:type="paragraph" w:customStyle="1" w:styleId="CTA1a">
    <w:name w:val="CTA 1(a)"/>
    <w:basedOn w:val="OPCParaBase"/>
    <w:rsid w:val="009D4D2E"/>
    <w:pPr>
      <w:tabs>
        <w:tab w:val="right" w:pos="414"/>
      </w:tabs>
      <w:spacing w:before="40" w:line="240" w:lineRule="atLeast"/>
      <w:ind w:left="675" w:hanging="675"/>
    </w:pPr>
    <w:rPr>
      <w:sz w:val="20"/>
    </w:rPr>
  </w:style>
  <w:style w:type="paragraph" w:customStyle="1" w:styleId="CTA1ai">
    <w:name w:val="CTA 1(a)(i)"/>
    <w:basedOn w:val="OPCParaBase"/>
    <w:rsid w:val="009D4D2E"/>
    <w:pPr>
      <w:tabs>
        <w:tab w:val="right" w:pos="1004"/>
      </w:tabs>
      <w:spacing w:before="40" w:line="240" w:lineRule="atLeast"/>
      <w:ind w:left="1253" w:hanging="1253"/>
    </w:pPr>
    <w:rPr>
      <w:sz w:val="20"/>
    </w:rPr>
  </w:style>
  <w:style w:type="paragraph" w:customStyle="1" w:styleId="CTA2a">
    <w:name w:val="CTA 2(a)"/>
    <w:basedOn w:val="OPCParaBase"/>
    <w:rsid w:val="009D4D2E"/>
    <w:pPr>
      <w:tabs>
        <w:tab w:val="right" w:pos="482"/>
      </w:tabs>
      <w:spacing w:before="40" w:line="240" w:lineRule="atLeast"/>
      <w:ind w:left="748" w:hanging="748"/>
    </w:pPr>
    <w:rPr>
      <w:sz w:val="20"/>
    </w:rPr>
  </w:style>
  <w:style w:type="paragraph" w:customStyle="1" w:styleId="CTA2ai">
    <w:name w:val="CTA 2(a)(i)"/>
    <w:basedOn w:val="OPCParaBase"/>
    <w:rsid w:val="009D4D2E"/>
    <w:pPr>
      <w:tabs>
        <w:tab w:val="right" w:pos="1089"/>
      </w:tabs>
      <w:spacing w:before="40" w:line="240" w:lineRule="atLeast"/>
      <w:ind w:left="1327" w:hanging="1327"/>
    </w:pPr>
    <w:rPr>
      <w:sz w:val="20"/>
    </w:rPr>
  </w:style>
  <w:style w:type="paragraph" w:customStyle="1" w:styleId="CTA3a">
    <w:name w:val="CTA 3(a)"/>
    <w:basedOn w:val="OPCParaBase"/>
    <w:rsid w:val="009D4D2E"/>
    <w:pPr>
      <w:tabs>
        <w:tab w:val="right" w:pos="556"/>
      </w:tabs>
      <w:spacing w:before="40" w:line="240" w:lineRule="atLeast"/>
      <w:ind w:left="805" w:hanging="805"/>
    </w:pPr>
    <w:rPr>
      <w:sz w:val="20"/>
    </w:rPr>
  </w:style>
  <w:style w:type="paragraph" w:customStyle="1" w:styleId="CTA3ai">
    <w:name w:val="CTA 3(a)(i)"/>
    <w:basedOn w:val="OPCParaBase"/>
    <w:rsid w:val="009D4D2E"/>
    <w:pPr>
      <w:tabs>
        <w:tab w:val="right" w:pos="1140"/>
      </w:tabs>
      <w:spacing w:before="40" w:line="240" w:lineRule="atLeast"/>
      <w:ind w:left="1361" w:hanging="1361"/>
    </w:pPr>
    <w:rPr>
      <w:sz w:val="20"/>
    </w:rPr>
  </w:style>
  <w:style w:type="paragraph" w:customStyle="1" w:styleId="CTA4a">
    <w:name w:val="CTA 4(a)"/>
    <w:basedOn w:val="OPCParaBase"/>
    <w:rsid w:val="009D4D2E"/>
    <w:pPr>
      <w:tabs>
        <w:tab w:val="right" w:pos="624"/>
      </w:tabs>
      <w:spacing w:before="40" w:line="240" w:lineRule="atLeast"/>
      <w:ind w:left="873" w:hanging="873"/>
    </w:pPr>
    <w:rPr>
      <w:sz w:val="20"/>
    </w:rPr>
  </w:style>
  <w:style w:type="paragraph" w:customStyle="1" w:styleId="CTA4ai">
    <w:name w:val="CTA 4(a)(i)"/>
    <w:basedOn w:val="OPCParaBase"/>
    <w:rsid w:val="009D4D2E"/>
    <w:pPr>
      <w:tabs>
        <w:tab w:val="right" w:pos="1213"/>
      </w:tabs>
      <w:spacing w:before="40" w:line="240" w:lineRule="atLeast"/>
      <w:ind w:left="1452" w:hanging="1452"/>
    </w:pPr>
    <w:rPr>
      <w:sz w:val="20"/>
    </w:rPr>
  </w:style>
  <w:style w:type="paragraph" w:customStyle="1" w:styleId="CTACAPS">
    <w:name w:val="CTA CAPS"/>
    <w:basedOn w:val="OPCParaBase"/>
    <w:rsid w:val="009D4D2E"/>
    <w:pPr>
      <w:spacing w:before="60" w:line="240" w:lineRule="atLeast"/>
    </w:pPr>
    <w:rPr>
      <w:sz w:val="20"/>
    </w:rPr>
  </w:style>
  <w:style w:type="paragraph" w:customStyle="1" w:styleId="CTAright">
    <w:name w:val="CTA right"/>
    <w:basedOn w:val="OPCParaBase"/>
    <w:rsid w:val="009D4D2E"/>
    <w:pPr>
      <w:spacing w:before="60" w:line="240" w:lineRule="auto"/>
      <w:jc w:val="right"/>
    </w:pPr>
    <w:rPr>
      <w:sz w:val="20"/>
    </w:rPr>
  </w:style>
  <w:style w:type="paragraph" w:customStyle="1" w:styleId="subsection">
    <w:name w:val="subsection"/>
    <w:aliases w:val="ss"/>
    <w:basedOn w:val="OPCParaBase"/>
    <w:link w:val="subsectionChar"/>
    <w:rsid w:val="009D4D2E"/>
    <w:pPr>
      <w:tabs>
        <w:tab w:val="right" w:pos="1021"/>
      </w:tabs>
      <w:spacing w:before="180" w:line="240" w:lineRule="auto"/>
      <w:ind w:left="1134" w:hanging="1134"/>
    </w:pPr>
  </w:style>
  <w:style w:type="paragraph" w:customStyle="1" w:styleId="Definition">
    <w:name w:val="Definition"/>
    <w:aliases w:val="dd"/>
    <w:basedOn w:val="OPCParaBase"/>
    <w:rsid w:val="009D4D2E"/>
    <w:pPr>
      <w:spacing w:before="180" w:line="240" w:lineRule="auto"/>
      <w:ind w:left="1134"/>
    </w:pPr>
  </w:style>
  <w:style w:type="paragraph" w:customStyle="1" w:styleId="ETAsubitem">
    <w:name w:val="ETA(subitem)"/>
    <w:basedOn w:val="OPCParaBase"/>
    <w:rsid w:val="009D4D2E"/>
    <w:pPr>
      <w:tabs>
        <w:tab w:val="right" w:pos="340"/>
      </w:tabs>
      <w:spacing w:before="60" w:line="240" w:lineRule="auto"/>
      <w:ind w:left="454" w:hanging="454"/>
    </w:pPr>
    <w:rPr>
      <w:sz w:val="20"/>
    </w:rPr>
  </w:style>
  <w:style w:type="paragraph" w:customStyle="1" w:styleId="ETApara">
    <w:name w:val="ETA(para)"/>
    <w:basedOn w:val="OPCParaBase"/>
    <w:rsid w:val="009D4D2E"/>
    <w:pPr>
      <w:tabs>
        <w:tab w:val="right" w:pos="754"/>
      </w:tabs>
      <w:spacing w:before="60" w:line="240" w:lineRule="auto"/>
      <w:ind w:left="828" w:hanging="828"/>
    </w:pPr>
    <w:rPr>
      <w:sz w:val="20"/>
    </w:rPr>
  </w:style>
  <w:style w:type="paragraph" w:customStyle="1" w:styleId="ETAsubpara">
    <w:name w:val="ETA(subpara)"/>
    <w:basedOn w:val="OPCParaBase"/>
    <w:rsid w:val="009D4D2E"/>
    <w:pPr>
      <w:tabs>
        <w:tab w:val="right" w:pos="1083"/>
      </w:tabs>
      <w:spacing w:before="60" w:line="240" w:lineRule="auto"/>
      <w:ind w:left="1191" w:hanging="1191"/>
    </w:pPr>
    <w:rPr>
      <w:sz w:val="20"/>
    </w:rPr>
  </w:style>
  <w:style w:type="paragraph" w:customStyle="1" w:styleId="ETAsub-subpara">
    <w:name w:val="ETA(sub-subpara)"/>
    <w:basedOn w:val="OPCParaBase"/>
    <w:rsid w:val="009D4D2E"/>
    <w:pPr>
      <w:tabs>
        <w:tab w:val="right" w:pos="1412"/>
      </w:tabs>
      <w:spacing w:before="60" w:line="240" w:lineRule="auto"/>
      <w:ind w:left="1525" w:hanging="1525"/>
    </w:pPr>
    <w:rPr>
      <w:sz w:val="20"/>
    </w:rPr>
  </w:style>
  <w:style w:type="paragraph" w:customStyle="1" w:styleId="Formula">
    <w:name w:val="Formula"/>
    <w:basedOn w:val="OPCParaBase"/>
    <w:rsid w:val="009D4D2E"/>
    <w:pPr>
      <w:spacing w:line="240" w:lineRule="auto"/>
      <w:ind w:left="1134"/>
    </w:pPr>
    <w:rPr>
      <w:sz w:val="20"/>
    </w:rPr>
  </w:style>
  <w:style w:type="paragraph" w:styleId="Header">
    <w:name w:val="header"/>
    <w:basedOn w:val="OPCParaBase"/>
    <w:link w:val="HeaderChar"/>
    <w:unhideWhenUsed/>
    <w:rsid w:val="009D4D2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4D2E"/>
    <w:rPr>
      <w:rFonts w:eastAsia="Times New Roman" w:cs="Times New Roman"/>
      <w:sz w:val="16"/>
      <w:lang w:eastAsia="en-AU"/>
    </w:rPr>
  </w:style>
  <w:style w:type="paragraph" w:customStyle="1" w:styleId="House">
    <w:name w:val="House"/>
    <w:basedOn w:val="OPCParaBase"/>
    <w:rsid w:val="009D4D2E"/>
    <w:pPr>
      <w:spacing w:line="240" w:lineRule="auto"/>
    </w:pPr>
    <w:rPr>
      <w:sz w:val="28"/>
    </w:rPr>
  </w:style>
  <w:style w:type="paragraph" w:customStyle="1" w:styleId="Item">
    <w:name w:val="Item"/>
    <w:aliases w:val="i"/>
    <w:basedOn w:val="OPCParaBase"/>
    <w:next w:val="ItemHead"/>
    <w:rsid w:val="009D4D2E"/>
    <w:pPr>
      <w:keepLines/>
      <w:spacing w:before="80" w:line="240" w:lineRule="auto"/>
      <w:ind w:left="709"/>
    </w:pPr>
  </w:style>
  <w:style w:type="paragraph" w:customStyle="1" w:styleId="ItemHead">
    <w:name w:val="ItemHead"/>
    <w:aliases w:val="ih"/>
    <w:basedOn w:val="OPCParaBase"/>
    <w:next w:val="Item"/>
    <w:rsid w:val="009D4D2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D4D2E"/>
    <w:pPr>
      <w:spacing w:line="240" w:lineRule="auto"/>
    </w:pPr>
    <w:rPr>
      <w:b/>
      <w:sz w:val="32"/>
    </w:rPr>
  </w:style>
  <w:style w:type="paragraph" w:customStyle="1" w:styleId="notedraft">
    <w:name w:val="note(draft)"/>
    <w:aliases w:val="nd"/>
    <w:basedOn w:val="OPCParaBase"/>
    <w:rsid w:val="009D4D2E"/>
    <w:pPr>
      <w:spacing w:before="240" w:line="240" w:lineRule="auto"/>
      <w:ind w:left="284" w:hanging="284"/>
    </w:pPr>
    <w:rPr>
      <w:i/>
      <w:sz w:val="24"/>
    </w:rPr>
  </w:style>
  <w:style w:type="paragraph" w:customStyle="1" w:styleId="notemargin">
    <w:name w:val="note(margin)"/>
    <w:aliases w:val="nm"/>
    <w:basedOn w:val="OPCParaBase"/>
    <w:rsid w:val="009D4D2E"/>
    <w:pPr>
      <w:tabs>
        <w:tab w:val="left" w:pos="709"/>
      </w:tabs>
      <w:spacing w:before="122" w:line="198" w:lineRule="exact"/>
      <w:ind w:left="709" w:hanging="709"/>
    </w:pPr>
    <w:rPr>
      <w:sz w:val="18"/>
    </w:rPr>
  </w:style>
  <w:style w:type="paragraph" w:customStyle="1" w:styleId="noteToPara">
    <w:name w:val="noteToPara"/>
    <w:aliases w:val="ntp"/>
    <w:basedOn w:val="OPCParaBase"/>
    <w:rsid w:val="009D4D2E"/>
    <w:pPr>
      <w:spacing w:before="122" w:line="198" w:lineRule="exact"/>
      <w:ind w:left="2353" w:hanging="709"/>
    </w:pPr>
    <w:rPr>
      <w:sz w:val="18"/>
    </w:rPr>
  </w:style>
  <w:style w:type="paragraph" w:customStyle="1" w:styleId="noteParlAmend">
    <w:name w:val="note(ParlAmend)"/>
    <w:aliases w:val="npp"/>
    <w:basedOn w:val="OPCParaBase"/>
    <w:next w:val="ParlAmend"/>
    <w:rsid w:val="009D4D2E"/>
    <w:pPr>
      <w:spacing w:line="240" w:lineRule="auto"/>
      <w:jc w:val="right"/>
    </w:pPr>
    <w:rPr>
      <w:rFonts w:ascii="Arial" w:hAnsi="Arial"/>
      <w:b/>
      <w:i/>
    </w:rPr>
  </w:style>
  <w:style w:type="paragraph" w:customStyle="1" w:styleId="Page1">
    <w:name w:val="Page1"/>
    <w:basedOn w:val="OPCParaBase"/>
    <w:rsid w:val="009D4D2E"/>
    <w:pPr>
      <w:spacing w:before="5600" w:line="240" w:lineRule="auto"/>
    </w:pPr>
    <w:rPr>
      <w:b/>
      <w:sz w:val="32"/>
    </w:rPr>
  </w:style>
  <w:style w:type="paragraph" w:customStyle="1" w:styleId="PageBreak">
    <w:name w:val="PageBreak"/>
    <w:aliases w:val="pb"/>
    <w:basedOn w:val="OPCParaBase"/>
    <w:rsid w:val="009D4D2E"/>
    <w:pPr>
      <w:spacing w:line="240" w:lineRule="auto"/>
    </w:pPr>
    <w:rPr>
      <w:sz w:val="20"/>
    </w:rPr>
  </w:style>
  <w:style w:type="paragraph" w:customStyle="1" w:styleId="paragraphsub">
    <w:name w:val="paragraph(sub)"/>
    <w:aliases w:val="aa"/>
    <w:basedOn w:val="OPCParaBase"/>
    <w:rsid w:val="009D4D2E"/>
    <w:pPr>
      <w:tabs>
        <w:tab w:val="right" w:pos="1985"/>
      </w:tabs>
      <w:spacing w:before="40" w:line="240" w:lineRule="auto"/>
      <w:ind w:left="2098" w:hanging="2098"/>
    </w:pPr>
  </w:style>
  <w:style w:type="paragraph" w:customStyle="1" w:styleId="paragraphsub-sub">
    <w:name w:val="paragraph(sub-sub)"/>
    <w:aliases w:val="aaa"/>
    <w:basedOn w:val="OPCParaBase"/>
    <w:rsid w:val="009D4D2E"/>
    <w:pPr>
      <w:tabs>
        <w:tab w:val="right" w:pos="2722"/>
      </w:tabs>
      <w:spacing w:before="40" w:line="240" w:lineRule="auto"/>
      <w:ind w:left="2835" w:hanging="2835"/>
    </w:pPr>
  </w:style>
  <w:style w:type="paragraph" w:customStyle="1" w:styleId="paragraph">
    <w:name w:val="paragraph"/>
    <w:aliases w:val="a"/>
    <w:basedOn w:val="OPCParaBase"/>
    <w:rsid w:val="009D4D2E"/>
    <w:pPr>
      <w:tabs>
        <w:tab w:val="right" w:pos="1531"/>
      </w:tabs>
      <w:spacing w:before="40" w:line="240" w:lineRule="auto"/>
      <w:ind w:left="1644" w:hanging="1644"/>
    </w:pPr>
  </w:style>
  <w:style w:type="paragraph" w:customStyle="1" w:styleId="ParlAmend">
    <w:name w:val="ParlAmend"/>
    <w:aliases w:val="pp"/>
    <w:basedOn w:val="OPCParaBase"/>
    <w:rsid w:val="009D4D2E"/>
    <w:pPr>
      <w:spacing w:before="240" w:line="240" w:lineRule="atLeast"/>
      <w:ind w:hanging="567"/>
    </w:pPr>
    <w:rPr>
      <w:sz w:val="24"/>
    </w:rPr>
  </w:style>
  <w:style w:type="paragraph" w:customStyle="1" w:styleId="Penalty">
    <w:name w:val="Penalty"/>
    <w:basedOn w:val="OPCParaBase"/>
    <w:rsid w:val="009D4D2E"/>
    <w:pPr>
      <w:tabs>
        <w:tab w:val="left" w:pos="2977"/>
      </w:tabs>
      <w:spacing w:before="180" w:line="240" w:lineRule="auto"/>
      <w:ind w:left="1985" w:hanging="851"/>
    </w:pPr>
  </w:style>
  <w:style w:type="paragraph" w:customStyle="1" w:styleId="Portfolio">
    <w:name w:val="Portfolio"/>
    <w:basedOn w:val="OPCParaBase"/>
    <w:rsid w:val="009D4D2E"/>
    <w:pPr>
      <w:spacing w:line="240" w:lineRule="auto"/>
    </w:pPr>
    <w:rPr>
      <w:i/>
      <w:sz w:val="20"/>
    </w:rPr>
  </w:style>
  <w:style w:type="paragraph" w:customStyle="1" w:styleId="Preamble">
    <w:name w:val="Preamble"/>
    <w:basedOn w:val="OPCParaBase"/>
    <w:next w:val="Normal"/>
    <w:rsid w:val="009D4D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4D2E"/>
    <w:pPr>
      <w:spacing w:line="240" w:lineRule="auto"/>
    </w:pPr>
    <w:rPr>
      <w:i/>
      <w:sz w:val="20"/>
    </w:rPr>
  </w:style>
  <w:style w:type="paragraph" w:customStyle="1" w:styleId="Session">
    <w:name w:val="Session"/>
    <w:basedOn w:val="OPCParaBase"/>
    <w:rsid w:val="009D4D2E"/>
    <w:pPr>
      <w:spacing w:line="240" w:lineRule="auto"/>
    </w:pPr>
    <w:rPr>
      <w:sz w:val="28"/>
    </w:rPr>
  </w:style>
  <w:style w:type="paragraph" w:customStyle="1" w:styleId="Sponsor">
    <w:name w:val="Sponsor"/>
    <w:basedOn w:val="OPCParaBase"/>
    <w:rsid w:val="009D4D2E"/>
    <w:pPr>
      <w:spacing w:line="240" w:lineRule="auto"/>
    </w:pPr>
    <w:rPr>
      <w:i/>
    </w:rPr>
  </w:style>
  <w:style w:type="paragraph" w:customStyle="1" w:styleId="Subitem">
    <w:name w:val="Subitem"/>
    <w:aliases w:val="iss"/>
    <w:basedOn w:val="OPCParaBase"/>
    <w:rsid w:val="009D4D2E"/>
    <w:pPr>
      <w:spacing w:before="180" w:line="240" w:lineRule="auto"/>
      <w:ind w:left="709" w:hanging="709"/>
    </w:pPr>
  </w:style>
  <w:style w:type="paragraph" w:customStyle="1" w:styleId="SubitemHead">
    <w:name w:val="SubitemHead"/>
    <w:aliases w:val="issh"/>
    <w:basedOn w:val="OPCParaBase"/>
    <w:rsid w:val="009D4D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D4D2E"/>
    <w:pPr>
      <w:spacing w:before="40" w:line="240" w:lineRule="auto"/>
      <w:ind w:left="1134"/>
    </w:pPr>
  </w:style>
  <w:style w:type="paragraph" w:customStyle="1" w:styleId="SubsectionHead">
    <w:name w:val="SubsectionHead"/>
    <w:aliases w:val="ssh"/>
    <w:basedOn w:val="OPCParaBase"/>
    <w:next w:val="subsection"/>
    <w:rsid w:val="009D4D2E"/>
    <w:pPr>
      <w:keepNext/>
      <w:keepLines/>
      <w:spacing w:before="240" w:line="240" w:lineRule="auto"/>
      <w:ind w:left="1134"/>
    </w:pPr>
    <w:rPr>
      <w:i/>
    </w:rPr>
  </w:style>
  <w:style w:type="paragraph" w:customStyle="1" w:styleId="Tablea">
    <w:name w:val="Table(a)"/>
    <w:aliases w:val="ta"/>
    <w:basedOn w:val="OPCParaBase"/>
    <w:rsid w:val="009D4D2E"/>
    <w:pPr>
      <w:spacing w:before="60" w:line="240" w:lineRule="auto"/>
      <w:ind w:left="284" w:hanging="284"/>
    </w:pPr>
    <w:rPr>
      <w:sz w:val="20"/>
    </w:rPr>
  </w:style>
  <w:style w:type="paragraph" w:customStyle="1" w:styleId="TableAA">
    <w:name w:val="Table(AA)"/>
    <w:aliases w:val="taaa"/>
    <w:basedOn w:val="OPCParaBase"/>
    <w:rsid w:val="009D4D2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4D2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D4D2E"/>
    <w:pPr>
      <w:spacing w:before="60" w:line="240" w:lineRule="atLeast"/>
    </w:pPr>
    <w:rPr>
      <w:sz w:val="20"/>
    </w:rPr>
  </w:style>
  <w:style w:type="paragraph" w:customStyle="1" w:styleId="TLPBoxTextnote">
    <w:name w:val="TLPBoxText(note"/>
    <w:aliases w:val="right)"/>
    <w:basedOn w:val="OPCParaBase"/>
    <w:rsid w:val="009D4D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4D2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4D2E"/>
    <w:pPr>
      <w:spacing w:before="122" w:line="198" w:lineRule="exact"/>
      <w:ind w:left="1985" w:hanging="851"/>
      <w:jc w:val="right"/>
    </w:pPr>
    <w:rPr>
      <w:sz w:val="18"/>
    </w:rPr>
  </w:style>
  <w:style w:type="paragraph" w:customStyle="1" w:styleId="TLPTableBullet">
    <w:name w:val="TLPTableBullet"/>
    <w:aliases w:val="ttb"/>
    <w:basedOn w:val="OPCParaBase"/>
    <w:rsid w:val="009D4D2E"/>
    <w:pPr>
      <w:spacing w:line="240" w:lineRule="exact"/>
      <w:ind w:left="284" w:hanging="284"/>
    </w:pPr>
    <w:rPr>
      <w:sz w:val="20"/>
    </w:rPr>
  </w:style>
  <w:style w:type="paragraph" w:styleId="TOC1">
    <w:name w:val="toc 1"/>
    <w:basedOn w:val="OPCParaBase"/>
    <w:next w:val="Normal"/>
    <w:uiPriority w:val="39"/>
    <w:unhideWhenUsed/>
    <w:rsid w:val="009D4D2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D4D2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D4D2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D4D2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D4D2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D4D2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9D4D2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D4D2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D4D2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D4D2E"/>
    <w:pPr>
      <w:keepLines/>
      <w:spacing w:before="240" w:after="120" w:line="240" w:lineRule="auto"/>
      <w:ind w:left="794"/>
    </w:pPr>
    <w:rPr>
      <w:b/>
      <w:kern w:val="28"/>
      <w:sz w:val="20"/>
    </w:rPr>
  </w:style>
  <w:style w:type="paragraph" w:customStyle="1" w:styleId="TofSectsHeading">
    <w:name w:val="TofSects(Heading)"/>
    <w:basedOn w:val="OPCParaBase"/>
    <w:rsid w:val="009D4D2E"/>
    <w:pPr>
      <w:spacing w:before="240" w:after="120" w:line="240" w:lineRule="auto"/>
    </w:pPr>
    <w:rPr>
      <w:b/>
      <w:sz w:val="24"/>
    </w:rPr>
  </w:style>
  <w:style w:type="paragraph" w:customStyle="1" w:styleId="TofSectsSection">
    <w:name w:val="TofSects(Section)"/>
    <w:basedOn w:val="OPCParaBase"/>
    <w:rsid w:val="009D4D2E"/>
    <w:pPr>
      <w:keepLines/>
      <w:spacing w:before="40" w:line="240" w:lineRule="auto"/>
      <w:ind w:left="1588" w:hanging="794"/>
    </w:pPr>
    <w:rPr>
      <w:kern w:val="28"/>
      <w:sz w:val="18"/>
    </w:rPr>
  </w:style>
  <w:style w:type="paragraph" w:customStyle="1" w:styleId="TofSectsSubdiv">
    <w:name w:val="TofSects(Subdiv)"/>
    <w:basedOn w:val="OPCParaBase"/>
    <w:rsid w:val="009D4D2E"/>
    <w:pPr>
      <w:keepLines/>
      <w:spacing w:before="80" w:line="240" w:lineRule="auto"/>
      <w:ind w:left="1588" w:hanging="794"/>
    </w:pPr>
    <w:rPr>
      <w:kern w:val="28"/>
    </w:rPr>
  </w:style>
  <w:style w:type="paragraph" w:customStyle="1" w:styleId="WRStyle">
    <w:name w:val="WR Style"/>
    <w:aliases w:val="WR"/>
    <w:basedOn w:val="OPCParaBase"/>
    <w:rsid w:val="009D4D2E"/>
    <w:pPr>
      <w:spacing w:before="240" w:line="240" w:lineRule="auto"/>
      <w:ind w:left="284" w:hanging="284"/>
    </w:pPr>
    <w:rPr>
      <w:b/>
      <w:i/>
      <w:kern w:val="28"/>
      <w:sz w:val="24"/>
    </w:rPr>
  </w:style>
  <w:style w:type="paragraph" w:customStyle="1" w:styleId="notepara">
    <w:name w:val="note(para)"/>
    <w:aliases w:val="na"/>
    <w:basedOn w:val="OPCParaBase"/>
    <w:rsid w:val="009D4D2E"/>
    <w:pPr>
      <w:spacing w:before="40" w:line="198" w:lineRule="exact"/>
      <w:ind w:left="2354" w:hanging="369"/>
    </w:pPr>
    <w:rPr>
      <w:sz w:val="18"/>
    </w:rPr>
  </w:style>
  <w:style w:type="paragraph" w:styleId="Footer">
    <w:name w:val="footer"/>
    <w:link w:val="FooterChar"/>
    <w:rsid w:val="009D4D2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D4D2E"/>
    <w:rPr>
      <w:rFonts w:eastAsia="Times New Roman" w:cs="Times New Roman"/>
      <w:sz w:val="22"/>
      <w:szCs w:val="24"/>
      <w:lang w:eastAsia="en-AU"/>
    </w:rPr>
  </w:style>
  <w:style w:type="character" w:styleId="LineNumber">
    <w:name w:val="line number"/>
    <w:basedOn w:val="OPCCharBase"/>
    <w:uiPriority w:val="99"/>
    <w:semiHidden/>
    <w:unhideWhenUsed/>
    <w:rsid w:val="009D4D2E"/>
    <w:rPr>
      <w:sz w:val="16"/>
    </w:rPr>
  </w:style>
  <w:style w:type="table" w:customStyle="1" w:styleId="CFlag">
    <w:name w:val="CFlag"/>
    <w:basedOn w:val="TableNormal"/>
    <w:uiPriority w:val="99"/>
    <w:rsid w:val="009D4D2E"/>
    <w:rPr>
      <w:rFonts w:eastAsia="Times New Roman" w:cs="Times New Roman"/>
      <w:lang w:eastAsia="en-AU"/>
    </w:rPr>
    <w:tblPr/>
  </w:style>
  <w:style w:type="paragraph" w:styleId="BalloonText">
    <w:name w:val="Balloon Text"/>
    <w:basedOn w:val="Normal"/>
    <w:link w:val="BalloonTextChar"/>
    <w:uiPriority w:val="99"/>
    <w:semiHidden/>
    <w:unhideWhenUsed/>
    <w:rsid w:val="009D4D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D2E"/>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9D4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D4D2E"/>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9D4D2E"/>
    <w:rPr>
      <w:i/>
      <w:sz w:val="32"/>
      <w:szCs w:val="32"/>
    </w:rPr>
  </w:style>
  <w:style w:type="paragraph" w:customStyle="1" w:styleId="SignCoverPageEnd">
    <w:name w:val="SignCoverPageEnd"/>
    <w:basedOn w:val="OPCParaBase"/>
    <w:next w:val="Normal"/>
    <w:rsid w:val="009D4D2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D4D2E"/>
    <w:pPr>
      <w:pBdr>
        <w:top w:val="single" w:sz="4" w:space="1" w:color="auto"/>
      </w:pBdr>
      <w:spacing w:before="360"/>
      <w:ind w:right="397"/>
      <w:jc w:val="both"/>
    </w:pPr>
  </w:style>
  <w:style w:type="paragraph" w:customStyle="1" w:styleId="NotesHeading1">
    <w:name w:val="NotesHeading 1"/>
    <w:basedOn w:val="OPCParaBase"/>
    <w:next w:val="Normal"/>
    <w:rsid w:val="009D4D2E"/>
    <w:rPr>
      <w:b/>
      <w:sz w:val="28"/>
      <w:szCs w:val="28"/>
    </w:rPr>
  </w:style>
  <w:style w:type="paragraph" w:customStyle="1" w:styleId="NotesHeading2">
    <w:name w:val="NotesHeading 2"/>
    <w:basedOn w:val="OPCParaBase"/>
    <w:next w:val="Normal"/>
    <w:rsid w:val="009D4D2E"/>
    <w:rPr>
      <w:b/>
      <w:sz w:val="28"/>
      <w:szCs w:val="28"/>
    </w:rPr>
  </w:style>
  <w:style w:type="paragraph" w:customStyle="1" w:styleId="CompiledActNo">
    <w:name w:val="CompiledActNo"/>
    <w:basedOn w:val="OPCParaBase"/>
    <w:next w:val="Normal"/>
    <w:rsid w:val="009D4D2E"/>
    <w:rPr>
      <w:b/>
      <w:sz w:val="24"/>
      <w:szCs w:val="24"/>
    </w:rPr>
  </w:style>
  <w:style w:type="paragraph" w:customStyle="1" w:styleId="CompiledMadeUnder">
    <w:name w:val="CompiledMadeUnder"/>
    <w:basedOn w:val="OPCParaBase"/>
    <w:next w:val="Normal"/>
    <w:rsid w:val="009D4D2E"/>
    <w:rPr>
      <w:i/>
      <w:sz w:val="24"/>
      <w:szCs w:val="24"/>
    </w:rPr>
  </w:style>
  <w:style w:type="paragraph" w:customStyle="1" w:styleId="Paragraphsub-sub-sub">
    <w:name w:val="Paragraph(sub-sub-sub)"/>
    <w:aliases w:val="aaaa"/>
    <w:basedOn w:val="OPCParaBase"/>
    <w:rsid w:val="009D4D2E"/>
    <w:pPr>
      <w:tabs>
        <w:tab w:val="right" w:pos="3402"/>
      </w:tabs>
      <w:spacing w:before="40" w:line="240" w:lineRule="auto"/>
      <w:ind w:left="3402" w:hanging="3402"/>
    </w:pPr>
  </w:style>
  <w:style w:type="paragraph" w:customStyle="1" w:styleId="NoteToSubpara">
    <w:name w:val="NoteToSubpara"/>
    <w:aliases w:val="nts"/>
    <w:basedOn w:val="OPCParaBase"/>
    <w:rsid w:val="009D4D2E"/>
    <w:pPr>
      <w:spacing w:before="40" w:line="198" w:lineRule="exact"/>
      <w:ind w:left="2835" w:hanging="709"/>
    </w:pPr>
    <w:rPr>
      <w:sz w:val="18"/>
    </w:rPr>
  </w:style>
  <w:style w:type="paragraph" w:customStyle="1" w:styleId="EndNotespara">
    <w:name w:val="EndNotes(para)"/>
    <w:aliases w:val="eta"/>
    <w:basedOn w:val="OPCParaBase"/>
    <w:next w:val="EndNotessubpara"/>
    <w:rsid w:val="009D4D2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4D2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4D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4D2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9D4D2E"/>
    <w:pPr>
      <w:keepNext/>
      <w:spacing w:before="60" w:line="240" w:lineRule="atLeast"/>
    </w:pPr>
    <w:rPr>
      <w:rFonts w:ascii="Arial" w:hAnsi="Arial"/>
      <w:b/>
      <w:sz w:val="16"/>
    </w:rPr>
  </w:style>
  <w:style w:type="paragraph" w:customStyle="1" w:styleId="ENoteTTi">
    <w:name w:val="ENoteTTi"/>
    <w:aliases w:val="entti"/>
    <w:basedOn w:val="OPCParaBase"/>
    <w:rsid w:val="009D4D2E"/>
    <w:pPr>
      <w:keepNext/>
      <w:spacing w:before="60" w:line="240" w:lineRule="atLeast"/>
      <w:ind w:left="170"/>
    </w:pPr>
    <w:rPr>
      <w:sz w:val="16"/>
    </w:rPr>
  </w:style>
  <w:style w:type="paragraph" w:customStyle="1" w:styleId="ENotesHeading1">
    <w:name w:val="ENotesHeading 1"/>
    <w:aliases w:val="Enh1"/>
    <w:basedOn w:val="OPCParaBase"/>
    <w:next w:val="Normal"/>
    <w:rsid w:val="009D4D2E"/>
    <w:pPr>
      <w:spacing w:before="120"/>
      <w:outlineLvl w:val="1"/>
    </w:pPr>
    <w:rPr>
      <w:b/>
      <w:sz w:val="28"/>
      <w:szCs w:val="28"/>
    </w:rPr>
  </w:style>
  <w:style w:type="paragraph" w:customStyle="1" w:styleId="ENotesHeading2">
    <w:name w:val="ENotesHeading 2"/>
    <w:aliases w:val="Enh2"/>
    <w:basedOn w:val="OPCParaBase"/>
    <w:next w:val="Normal"/>
    <w:rsid w:val="009D4D2E"/>
    <w:pPr>
      <w:spacing w:before="120" w:after="120"/>
      <w:outlineLvl w:val="2"/>
    </w:pPr>
    <w:rPr>
      <w:b/>
      <w:sz w:val="24"/>
      <w:szCs w:val="28"/>
    </w:rPr>
  </w:style>
  <w:style w:type="paragraph" w:customStyle="1" w:styleId="ENoteTTIndentHeading">
    <w:name w:val="ENoteTTIndentHeading"/>
    <w:aliases w:val="enTTHi"/>
    <w:basedOn w:val="OPCParaBase"/>
    <w:rsid w:val="009D4D2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4D2E"/>
    <w:pPr>
      <w:spacing w:before="60" w:line="240" w:lineRule="atLeast"/>
    </w:pPr>
    <w:rPr>
      <w:sz w:val="16"/>
    </w:rPr>
  </w:style>
  <w:style w:type="paragraph" w:customStyle="1" w:styleId="MadeunderText">
    <w:name w:val="MadeunderText"/>
    <w:basedOn w:val="OPCParaBase"/>
    <w:next w:val="CompiledMadeUnder"/>
    <w:rsid w:val="009D4D2E"/>
    <w:pPr>
      <w:spacing w:before="240"/>
    </w:pPr>
    <w:rPr>
      <w:sz w:val="24"/>
      <w:szCs w:val="24"/>
    </w:rPr>
  </w:style>
  <w:style w:type="paragraph" w:customStyle="1" w:styleId="ENotesHeading3">
    <w:name w:val="ENotesHeading 3"/>
    <w:aliases w:val="Enh3"/>
    <w:basedOn w:val="OPCParaBase"/>
    <w:next w:val="Normal"/>
    <w:rsid w:val="009D4D2E"/>
    <w:pPr>
      <w:keepNext/>
      <w:spacing w:before="120" w:line="240" w:lineRule="auto"/>
      <w:outlineLvl w:val="4"/>
    </w:pPr>
    <w:rPr>
      <w:b/>
      <w:szCs w:val="24"/>
    </w:rPr>
  </w:style>
  <w:style w:type="character" w:customStyle="1" w:styleId="CharSubPartTextCASA">
    <w:name w:val="CharSubPartText(CASA)"/>
    <w:basedOn w:val="OPCCharBase"/>
    <w:uiPriority w:val="1"/>
    <w:rsid w:val="009D4D2E"/>
  </w:style>
  <w:style w:type="character" w:customStyle="1" w:styleId="CharSubPartNoCASA">
    <w:name w:val="CharSubPartNo(CASA)"/>
    <w:basedOn w:val="OPCCharBase"/>
    <w:uiPriority w:val="1"/>
    <w:rsid w:val="009D4D2E"/>
  </w:style>
  <w:style w:type="paragraph" w:customStyle="1" w:styleId="ENoteTTIndentHeadingSub">
    <w:name w:val="ENoteTTIndentHeadingSub"/>
    <w:aliases w:val="enTTHis"/>
    <w:basedOn w:val="OPCParaBase"/>
    <w:rsid w:val="009D4D2E"/>
    <w:pPr>
      <w:keepNext/>
      <w:spacing w:before="60" w:line="240" w:lineRule="atLeast"/>
      <w:ind w:left="340"/>
    </w:pPr>
    <w:rPr>
      <w:b/>
      <w:sz w:val="16"/>
    </w:rPr>
  </w:style>
  <w:style w:type="paragraph" w:customStyle="1" w:styleId="ENoteTTiSub">
    <w:name w:val="ENoteTTiSub"/>
    <w:aliases w:val="enttis"/>
    <w:basedOn w:val="OPCParaBase"/>
    <w:rsid w:val="009D4D2E"/>
    <w:pPr>
      <w:keepNext/>
      <w:spacing w:before="60" w:line="240" w:lineRule="atLeast"/>
      <w:ind w:left="340"/>
    </w:pPr>
    <w:rPr>
      <w:sz w:val="16"/>
    </w:rPr>
  </w:style>
  <w:style w:type="paragraph" w:customStyle="1" w:styleId="SubDivisionMigration">
    <w:name w:val="SubDivisionMigration"/>
    <w:aliases w:val="sdm"/>
    <w:basedOn w:val="OPCParaBase"/>
    <w:rsid w:val="009D4D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4D2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D4D2E"/>
    <w:pPr>
      <w:spacing w:before="122" w:line="240" w:lineRule="auto"/>
      <w:ind w:left="1985" w:hanging="851"/>
    </w:pPr>
    <w:rPr>
      <w:sz w:val="18"/>
    </w:rPr>
  </w:style>
  <w:style w:type="paragraph" w:customStyle="1" w:styleId="FreeForm">
    <w:name w:val="FreeForm"/>
    <w:rsid w:val="008B3DA6"/>
    <w:rPr>
      <w:rFonts w:ascii="Arial" w:hAnsi="Arial"/>
      <w:sz w:val="22"/>
    </w:rPr>
  </w:style>
  <w:style w:type="paragraph" w:customStyle="1" w:styleId="SOText">
    <w:name w:val="SO Text"/>
    <w:aliases w:val="sot"/>
    <w:link w:val="SOTextChar"/>
    <w:rsid w:val="009D4D2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D4D2E"/>
    <w:rPr>
      <w:sz w:val="22"/>
    </w:rPr>
  </w:style>
  <w:style w:type="paragraph" w:customStyle="1" w:styleId="SOTextNote">
    <w:name w:val="SO TextNote"/>
    <w:aliases w:val="sont"/>
    <w:basedOn w:val="SOText"/>
    <w:qFormat/>
    <w:rsid w:val="009D4D2E"/>
    <w:pPr>
      <w:spacing w:before="122" w:line="198" w:lineRule="exact"/>
      <w:ind w:left="1843" w:hanging="709"/>
    </w:pPr>
    <w:rPr>
      <w:sz w:val="18"/>
    </w:rPr>
  </w:style>
  <w:style w:type="paragraph" w:customStyle="1" w:styleId="SOPara">
    <w:name w:val="SO Para"/>
    <w:aliases w:val="soa"/>
    <w:basedOn w:val="SOText"/>
    <w:link w:val="SOParaChar"/>
    <w:qFormat/>
    <w:rsid w:val="009D4D2E"/>
    <w:pPr>
      <w:tabs>
        <w:tab w:val="right" w:pos="1786"/>
      </w:tabs>
      <w:spacing w:before="40"/>
      <w:ind w:left="2070" w:hanging="936"/>
    </w:pPr>
  </w:style>
  <w:style w:type="character" w:customStyle="1" w:styleId="SOParaChar">
    <w:name w:val="SO Para Char"/>
    <w:aliases w:val="soa Char"/>
    <w:basedOn w:val="DefaultParagraphFont"/>
    <w:link w:val="SOPara"/>
    <w:rsid w:val="009D4D2E"/>
    <w:rPr>
      <w:sz w:val="22"/>
    </w:rPr>
  </w:style>
  <w:style w:type="paragraph" w:customStyle="1" w:styleId="FileName">
    <w:name w:val="FileName"/>
    <w:basedOn w:val="Normal"/>
    <w:rsid w:val="009D4D2E"/>
  </w:style>
  <w:style w:type="paragraph" w:customStyle="1" w:styleId="TableHeading">
    <w:name w:val="TableHeading"/>
    <w:aliases w:val="th"/>
    <w:basedOn w:val="OPCParaBase"/>
    <w:next w:val="Tabletext"/>
    <w:rsid w:val="009D4D2E"/>
    <w:pPr>
      <w:keepNext/>
      <w:spacing w:before="60" w:line="240" w:lineRule="atLeast"/>
    </w:pPr>
    <w:rPr>
      <w:b/>
      <w:sz w:val="20"/>
    </w:rPr>
  </w:style>
  <w:style w:type="paragraph" w:customStyle="1" w:styleId="SOHeadBold">
    <w:name w:val="SO HeadBold"/>
    <w:aliases w:val="sohb"/>
    <w:basedOn w:val="SOText"/>
    <w:next w:val="SOText"/>
    <w:link w:val="SOHeadBoldChar"/>
    <w:qFormat/>
    <w:rsid w:val="009D4D2E"/>
    <w:rPr>
      <w:b/>
    </w:rPr>
  </w:style>
  <w:style w:type="character" w:customStyle="1" w:styleId="SOHeadBoldChar">
    <w:name w:val="SO HeadBold Char"/>
    <w:aliases w:val="sohb Char"/>
    <w:basedOn w:val="DefaultParagraphFont"/>
    <w:link w:val="SOHeadBold"/>
    <w:rsid w:val="009D4D2E"/>
    <w:rPr>
      <w:b/>
      <w:sz w:val="22"/>
    </w:rPr>
  </w:style>
  <w:style w:type="paragraph" w:customStyle="1" w:styleId="SOHeadItalic">
    <w:name w:val="SO HeadItalic"/>
    <w:aliases w:val="sohi"/>
    <w:basedOn w:val="SOText"/>
    <w:next w:val="SOText"/>
    <w:link w:val="SOHeadItalicChar"/>
    <w:qFormat/>
    <w:rsid w:val="009D4D2E"/>
    <w:rPr>
      <w:i/>
    </w:rPr>
  </w:style>
  <w:style w:type="character" w:customStyle="1" w:styleId="SOHeadItalicChar">
    <w:name w:val="SO HeadItalic Char"/>
    <w:aliases w:val="sohi Char"/>
    <w:basedOn w:val="DefaultParagraphFont"/>
    <w:link w:val="SOHeadItalic"/>
    <w:rsid w:val="009D4D2E"/>
    <w:rPr>
      <w:i/>
      <w:sz w:val="22"/>
    </w:rPr>
  </w:style>
  <w:style w:type="paragraph" w:customStyle="1" w:styleId="SOBullet">
    <w:name w:val="SO Bullet"/>
    <w:aliases w:val="sotb"/>
    <w:basedOn w:val="SOText"/>
    <w:link w:val="SOBulletChar"/>
    <w:qFormat/>
    <w:rsid w:val="009D4D2E"/>
    <w:pPr>
      <w:ind w:left="1559" w:hanging="425"/>
    </w:pPr>
  </w:style>
  <w:style w:type="character" w:customStyle="1" w:styleId="SOBulletChar">
    <w:name w:val="SO Bullet Char"/>
    <w:aliases w:val="sotb Char"/>
    <w:basedOn w:val="DefaultParagraphFont"/>
    <w:link w:val="SOBullet"/>
    <w:rsid w:val="009D4D2E"/>
    <w:rPr>
      <w:sz w:val="22"/>
    </w:rPr>
  </w:style>
  <w:style w:type="paragraph" w:customStyle="1" w:styleId="SOBulletNote">
    <w:name w:val="SO BulletNote"/>
    <w:aliases w:val="sonb"/>
    <w:basedOn w:val="SOTextNote"/>
    <w:link w:val="SOBulletNoteChar"/>
    <w:qFormat/>
    <w:rsid w:val="009D4D2E"/>
    <w:pPr>
      <w:tabs>
        <w:tab w:val="left" w:pos="1560"/>
      </w:tabs>
      <w:ind w:left="2268" w:hanging="1134"/>
    </w:pPr>
  </w:style>
  <w:style w:type="character" w:customStyle="1" w:styleId="SOBulletNoteChar">
    <w:name w:val="SO BulletNote Char"/>
    <w:aliases w:val="sonb Char"/>
    <w:basedOn w:val="DefaultParagraphFont"/>
    <w:link w:val="SOBulletNote"/>
    <w:rsid w:val="009D4D2E"/>
    <w:rPr>
      <w:sz w:val="18"/>
    </w:rPr>
  </w:style>
  <w:style w:type="paragraph" w:customStyle="1" w:styleId="SOText2">
    <w:name w:val="SO Text2"/>
    <w:aliases w:val="sot2"/>
    <w:basedOn w:val="Normal"/>
    <w:next w:val="SOText"/>
    <w:link w:val="SOText2Char"/>
    <w:rsid w:val="009D4D2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D4D2E"/>
    <w:rPr>
      <w:sz w:val="22"/>
    </w:rPr>
  </w:style>
  <w:style w:type="paragraph" w:customStyle="1" w:styleId="SubPartCASA">
    <w:name w:val="SubPart(CASA)"/>
    <w:aliases w:val="csp"/>
    <w:basedOn w:val="OPCParaBase"/>
    <w:next w:val="ActHead3"/>
    <w:rsid w:val="009D4D2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B3DA6"/>
    <w:rPr>
      <w:rFonts w:eastAsia="Times New Roman" w:cs="Times New Roman"/>
      <w:sz w:val="22"/>
      <w:lang w:eastAsia="en-AU"/>
    </w:rPr>
  </w:style>
  <w:style w:type="character" w:customStyle="1" w:styleId="notetextChar">
    <w:name w:val="note(text) Char"/>
    <w:aliases w:val="n Char"/>
    <w:basedOn w:val="DefaultParagraphFont"/>
    <w:link w:val="notetext"/>
    <w:rsid w:val="008B3DA6"/>
    <w:rPr>
      <w:rFonts w:eastAsia="Times New Roman" w:cs="Times New Roman"/>
      <w:sz w:val="18"/>
      <w:lang w:eastAsia="en-AU"/>
    </w:rPr>
  </w:style>
  <w:style w:type="character" w:customStyle="1" w:styleId="Heading1Char">
    <w:name w:val="Heading 1 Char"/>
    <w:basedOn w:val="DefaultParagraphFont"/>
    <w:link w:val="Heading1"/>
    <w:uiPriority w:val="9"/>
    <w:rsid w:val="008B3D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B3DA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3DA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B3DA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B3DA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B3DA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B3DA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B3DA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B3DA6"/>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4D2E"/>
    <w:pPr>
      <w:spacing w:line="260" w:lineRule="atLeast"/>
    </w:pPr>
    <w:rPr>
      <w:sz w:val="22"/>
    </w:rPr>
  </w:style>
  <w:style w:type="paragraph" w:styleId="Heading1">
    <w:name w:val="heading 1"/>
    <w:basedOn w:val="Normal"/>
    <w:next w:val="Normal"/>
    <w:link w:val="Heading1Char"/>
    <w:uiPriority w:val="9"/>
    <w:qFormat/>
    <w:rsid w:val="008B3D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3D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3DA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3D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3D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B3D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3D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3DA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B3D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D4D2E"/>
  </w:style>
  <w:style w:type="paragraph" w:customStyle="1" w:styleId="OPCParaBase">
    <w:name w:val="OPCParaBase"/>
    <w:qFormat/>
    <w:rsid w:val="009D4D2E"/>
    <w:pPr>
      <w:spacing w:line="260" w:lineRule="atLeast"/>
    </w:pPr>
    <w:rPr>
      <w:rFonts w:eastAsia="Times New Roman" w:cs="Times New Roman"/>
      <w:sz w:val="22"/>
      <w:lang w:eastAsia="en-AU"/>
    </w:rPr>
  </w:style>
  <w:style w:type="paragraph" w:customStyle="1" w:styleId="ShortT">
    <w:name w:val="ShortT"/>
    <w:basedOn w:val="OPCParaBase"/>
    <w:next w:val="Normal"/>
    <w:qFormat/>
    <w:rsid w:val="009D4D2E"/>
    <w:pPr>
      <w:spacing w:line="240" w:lineRule="auto"/>
    </w:pPr>
    <w:rPr>
      <w:b/>
      <w:sz w:val="40"/>
    </w:rPr>
  </w:style>
  <w:style w:type="paragraph" w:customStyle="1" w:styleId="ActHead1">
    <w:name w:val="ActHead 1"/>
    <w:aliases w:val="c"/>
    <w:basedOn w:val="OPCParaBase"/>
    <w:next w:val="Normal"/>
    <w:qFormat/>
    <w:rsid w:val="009D4D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4D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4D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D4D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D4D2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4D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4D2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4D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4D2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D4D2E"/>
  </w:style>
  <w:style w:type="paragraph" w:customStyle="1" w:styleId="Blocks">
    <w:name w:val="Blocks"/>
    <w:aliases w:val="bb"/>
    <w:basedOn w:val="OPCParaBase"/>
    <w:qFormat/>
    <w:rsid w:val="009D4D2E"/>
    <w:pPr>
      <w:spacing w:line="240" w:lineRule="auto"/>
    </w:pPr>
    <w:rPr>
      <w:sz w:val="24"/>
    </w:rPr>
  </w:style>
  <w:style w:type="paragraph" w:customStyle="1" w:styleId="BoxText">
    <w:name w:val="BoxText"/>
    <w:aliases w:val="bt"/>
    <w:basedOn w:val="OPCParaBase"/>
    <w:qFormat/>
    <w:rsid w:val="009D4D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4D2E"/>
    <w:rPr>
      <w:b/>
    </w:rPr>
  </w:style>
  <w:style w:type="paragraph" w:customStyle="1" w:styleId="BoxHeadItalic">
    <w:name w:val="BoxHeadItalic"/>
    <w:aliases w:val="bhi"/>
    <w:basedOn w:val="BoxText"/>
    <w:next w:val="BoxStep"/>
    <w:qFormat/>
    <w:rsid w:val="009D4D2E"/>
    <w:rPr>
      <w:i/>
    </w:rPr>
  </w:style>
  <w:style w:type="paragraph" w:customStyle="1" w:styleId="BoxList">
    <w:name w:val="BoxList"/>
    <w:aliases w:val="bl"/>
    <w:basedOn w:val="BoxText"/>
    <w:qFormat/>
    <w:rsid w:val="009D4D2E"/>
    <w:pPr>
      <w:ind w:left="1559" w:hanging="425"/>
    </w:pPr>
  </w:style>
  <w:style w:type="paragraph" w:customStyle="1" w:styleId="BoxNote">
    <w:name w:val="BoxNote"/>
    <w:aliases w:val="bn"/>
    <w:basedOn w:val="BoxText"/>
    <w:qFormat/>
    <w:rsid w:val="009D4D2E"/>
    <w:pPr>
      <w:tabs>
        <w:tab w:val="left" w:pos="1985"/>
      </w:tabs>
      <w:spacing w:before="122" w:line="198" w:lineRule="exact"/>
      <w:ind w:left="2948" w:hanging="1814"/>
    </w:pPr>
    <w:rPr>
      <w:sz w:val="18"/>
    </w:rPr>
  </w:style>
  <w:style w:type="paragraph" w:customStyle="1" w:styleId="BoxPara">
    <w:name w:val="BoxPara"/>
    <w:aliases w:val="bp"/>
    <w:basedOn w:val="BoxText"/>
    <w:qFormat/>
    <w:rsid w:val="009D4D2E"/>
    <w:pPr>
      <w:tabs>
        <w:tab w:val="right" w:pos="2268"/>
      </w:tabs>
      <w:ind w:left="2552" w:hanging="1418"/>
    </w:pPr>
  </w:style>
  <w:style w:type="paragraph" w:customStyle="1" w:styleId="BoxStep">
    <w:name w:val="BoxStep"/>
    <w:aliases w:val="bs"/>
    <w:basedOn w:val="BoxText"/>
    <w:qFormat/>
    <w:rsid w:val="009D4D2E"/>
    <w:pPr>
      <w:ind w:left="1985" w:hanging="851"/>
    </w:pPr>
  </w:style>
  <w:style w:type="character" w:customStyle="1" w:styleId="CharAmPartNo">
    <w:name w:val="CharAmPartNo"/>
    <w:basedOn w:val="OPCCharBase"/>
    <w:qFormat/>
    <w:rsid w:val="009D4D2E"/>
  </w:style>
  <w:style w:type="character" w:customStyle="1" w:styleId="CharAmPartText">
    <w:name w:val="CharAmPartText"/>
    <w:basedOn w:val="OPCCharBase"/>
    <w:qFormat/>
    <w:rsid w:val="009D4D2E"/>
  </w:style>
  <w:style w:type="character" w:customStyle="1" w:styleId="CharAmSchNo">
    <w:name w:val="CharAmSchNo"/>
    <w:basedOn w:val="OPCCharBase"/>
    <w:qFormat/>
    <w:rsid w:val="009D4D2E"/>
  </w:style>
  <w:style w:type="character" w:customStyle="1" w:styleId="CharAmSchText">
    <w:name w:val="CharAmSchText"/>
    <w:basedOn w:val="OPCCharBase"/>
    <w:qFormat/>
    <w:rsid w:val="009D4D2E"/>
  </w:style>
  <w:style w:type="character" w:customStyle="1" w:styleId="CharBoldItalic">
    <w:name w:val="CharBoldItalic"/>
    <w:basedOn w:val="OPCCharBase"/>
    <w:uiPriority w:val="1"/>
    <w:qFormat/>
    <w:rsid w:val="009D4D2E"/>
    <w:rPr>
      <w:b/>
      <w:i/>
    </w:rPr>
  </w:style>
  <w:style w:type="character" w:customStyle="1" w:styleId="CharChapNo">
    <w:name w:val="CharChapNo"/>
    <w:basedOn w:val="OPCCharBase"/>
    <w:uiPriority w:val="1"/>
    <w:qFormat/>
    <w:rsid w:val="009D4D2E"/>
  </w:style>
  <w:style w:type="character" w:customStyle="1" w:styleId="CharChapText">
    <w:name w:val="CharChapText"/>
    <w:basedOn w:val="OPCCharBase"/>
    <w:uiPriority w:val="1"/>
    <w:qFormat/>
    <w:rsid w:val="009D4D2E"/>
  </w:style>
  <w:style w:type="character" w:customStyle="1" w:styleId="CharDivNo">
    <w:name w:val="CharDivNo"/>
    <w:basedOn w:val="OPCCharBase"/>
    <w:uiPriority w:val="1"/>
    <w:qFormat/>
    <w:rsid w:val="009D4D2E"/>
  </w:style>
  <w:style w:type="character" w:customStyle="1" w:styleId="CharDivText">
    <w:name w:val="CharDivText"/>
    <w:basedOn w:val="OPCCharBase"/>
    <w:uiPriority w:val="1"/>
    <w:qFormat/>
    <w:rsid w:val="009D4D2E"/>
  </w:style>
  <w:style w:type="character" w:customStyle="1" w:styleId="CharItalic">
    <w:name w:val="CharItalic"/>
    <w:basedOn w:val="OPCCharBase"/>
    <w:uiPriority w:val="1"/>
    <w:qFormat/>
    <w:rsid w:val="009D4D2E"/>
    <w:rPr>
      <w:i/>
    </w:rPr>
  </w:style>
  <w:style w:type="character" w:customStyle="1" w:styleId="CharPartNo">
    <w:name w:val="CharPartNo"/>
    <w:basedOn w:val="OPCCharBase"/>
    <w:uiPriority w:val="1"/>
    <w:qFormat/>
    <w:rsid w:val="009D4D2E"/>
  </w:style>
  <w:style w:type="character" w:customStyle="1" w:styleId="CharPartText">
    <w:name w:val="CharPartText"/>
    <w:basedOn w:val="OPCCharBase"/>
    <w:uiPriority w:val="1"/>
    <w:qFormat/>
    <w:rsid w:val="009D4D2E"/>
  </w:style>
  <w:style w:type="character" w:customStyle="1" w:styleId="CharSectno">
    <w:name w:val="CharSectno"/>
    <w:basedOn w:val="OPCCharBase"/>
    <w:qFormat/>
    <w:rsid w:val="009D4D2E"/>
  </w:style>
  <w:style w:type="character" w:customStyle="1" w:styleId="CharSubdNo">
    <w:name w:val="CharSubdNo"/>
    <w:basedOn w:val="OPCCharBase"/>
    <w:uiPriority w:val="1"/>
    <w:qFormat/>
    <w:rsid w:val="009D4D2E"/>
  </w:style>
  <w:style w:type="character" w:customStyle="1" w:styleId="CharSubdText">
    <w:name w:val="CharSubdText"/>
    <w:basedOn w:val="OPCCharBase"/>
    <w:uiPriority w:val="1"/>
    <w:qFormat/>
    <w:rsid w:val="009D4D2E"/>
  </w:style>
  <w:style w:type="paragraph" w:customStyle="1" w:styleId="CTA--">
    <w:name w:val="CTA --"/>
    <w:basedOn w:val="OPCParaBase"/>
    <w:next w:val="Normal"/>
    <w:rsid w:val="009D4D2E"/>
    <w:pPr>
      <w:spacing w:before="60" w:line="240" w:lineRule="atLeast"/>
      <w:ind w:left="142" w:hanging="142"/>
    </w:pPr>
    <w:rPr>
      <w:sz w:val="20"/>
    </w:rPr>
  </w:style>
  <w:style w:type="paragraph" w:customStyle="1" w:styleId="CTA-">
    <w:name w:val="CTA -"/>
    <w:basedOn w:val="OPCParaBase"/>
    <w:rsid w:val="009D4D2E"/>
    <w:pPr>
      <w:spacing w:before="60" w:line="240" w:lineRule="atLeast"/>
      <w:ind w:left="85" w:hanging="85"/>
    </w:pPr>
    <w:rPr>
      <w:sz w:val="20"/>
    </w:rPr>
  </w:style>
  <w:style w:type="paragraph" w:customStyle="1" w:styleId="CTA---">
    <w:name w:val="CTA ---"/>
    <w:basedOn w:val="OPCParaBase"/>
    <w:next w:val="Normal"/>
    <w:rsid w:val="009D4D2E"/>
    <w:pPr>
      <w:spacing w:before="60" w:line="240" w:lineRule="atLeast"/>
      <w:ind w:left="198" w:hanging="198"/>
    </w:pPr>
    <w:rPr>
      <w:sz w:val="20"/>
    </w:rPr>
  </w:style>
  <w:style w:type="paragraph" w:customStyle="1" w:styleId="CTA----">
    <w:name w:val="CTA ----"/>
    <w:basedOn w:val="OPCParaBase"/>
    <w:next w:val="Normal"/>
    <w:rsid w:val="009D4D2E"/>
    <w:pPr>
      <w:spacing w:before="60" w:line="240" w:lineRule="atLeast"/>
      <w:ind w:left="255" w:hanging="255"/>
    </w:pPr>
    <w:rPr>
      <w:sz w:val="20"/>
    </w:rPr>
  </w:style>
  <w:style w:type="paragraph" w:customStyle="1" w:styleId="CTA1a">
    <w:name w:val="CTA 1(a)"/>
    <w:basedOn w:val="OPCParaBase"/>
    <w:rsid w:val="009D4D2E"/>
    <w:pPr>
      <w:tabs>
        <w:tab w:val="right" w:pos="414"/>
      </w:tabs>
      <w:spacing w:before="40" w:line="240" w:lineRule="atLeast"/>
      <w:ind w:left="675" w:hanging="675"/>
    </w:pPr>
    <w:rPr>
      <w:sz w:val="20"/>
    </w:rPr>
  </w:style>
  <w:style w:type="paragraph" w:customStyle="1" w:styleId="CTA1ai">
    <w:name w:val="CTA 1(a)(i)"/>
    <w:basedOn w:val="OPCParaBase"/>
    <w:rsid w:val="009D4D2E"/>
    <w:pPr>
      <w:tabs>
        <w:tab w:val="right" w:pos="1004"/>
      </w:tabs>
      <w:spacing w:before="40" w:line="240" w:lineRule="atLeast"/>
      <w:ind w:left="1253" w:hanging="1253"/>
    </w:pPr>
    <w:rPr>
      <w:sz w:val="20"/>
    </w:rPr>
  </w:style>
  <w:style w:type="paragraph" w:customStyle="1" w:styleId="CTA2a">
    <w:name w:val="CTA 2(a)"/>
    <w:basedOn w:val="OPCParaBase"/>
    <w:rsid w:val="009D4D2E"/>
    <w:pPr>
      <w:tabs>
        <w:tab w:val="right" w:pos="482"/>
      </w:tabs>
      <w:spacing w:before="40" w:line="240" w:lineRule="atLeast"/>
      <w:ind w:left="748" w:hanging="748"/>
    </w:pPr>
    <w:rPr>
      <w:sz w:val="20"/>
    </w:rPr>
  </w:style>
  <w:style w:type="paragraph" w:customStyle="1" w:styleId="CTA2ai">
    <w:name w:val="CTA 2(a)(i)"/>
    <w:basedOn w:val="OPCParaBase"/>
    <w:rsid w:val="009D4D2E"/>
    <w:pPr>
      <w:tabs>
        <w:tab w:val="right" w:pos="1089"/>
      </w:tabs>
      <w:spacing w:before="40" w:line="240" w:lineRule="atLeast"/>
      <w:ind w:left="1327" w:hanging="1327"/>
    </w:pPr>
    <w:rPr>
      <w:sz w:val="20"/>
    </w:rPr>
  </w:style>
  <w:style w:type="paragraph" w:customStyle="1" w:styleId="CTA3a">
    <w:name w:val="CTA 3(a)"/>
    <w:basedOn w:val="OPCParaBase"/>
    <w:rsid w:val="009D4D2E"/>
    <w:pPr>
      <w:tabs>
        <w:tab w:val="right" w:pos="556"/>
      </w:tabs>
      <w:spacing w:before="40" w:line="240" w:lineRule="atLeast"/>
      <w:ind w:left="805" w:hanging="805"/>
    </w:pPr>
    <w:rPr>
      <w:sz w:val="20"/>
    </w:rPr>
  </w:style>
  <w:style w:type="paragraph" w:customStyle="1" w:styleId="CTA3ai">
    <w:name w:val="CTA 3(a)(i)"/>
    <w:basedOn w:val="OPCParaBase"/>
    <w:rsid w:val="009D4D2E"/>
    <w:pPr>
      <w:tabs>
        <w:tab w:val="right" w:pos="1140"/>
      </w:tabs>
      <w:spacing w:before="40" w:line="240" w:lineRule="atLeast"/>
      <w:ind w:left="1361" w:hanging="1361"/>
    </w:pPr>
    <w:rPr>
      <w:sz w:val="20"/>
    </w:rPr>
  </w:style>
  <w:style w:type="paragraph" w:customStyle="1" w:styleId="CTA4a">
    <w:name w:val="CTA 4(a)"/>
    <w:basedOn w:val="OPCParaBase"/>
    <w:rsid w:val="009D4D2E"/>
    <w:pPr>
      <w:tabs>
        <w:tab w:val="right" w:pos="624"/>
      </w:tabs>
      <w:spacing w:before="40" w:line="240" w:lineRule="atLeast"/>
      <w:ind w:left="873" w:hanging="873"/>
    </w:pPr>
    <w:rPr>
      <w:sz w:val="20"/>
    </w:rPr>
  </w:style>
  <w:style w:type="paragraph" w:customStyle="1" w:styleId="CTA4ai">
    <w:name w:val="CTA 4(a)(i)"/>
    <w:basedOn w:val="OPCParaBase"/>
    <w:rsid w:val="009D4D2E"/>
    <w:pPr>
      <w:tabs>
        <w:tab w:val="right" w:pos="1213"/>
      </w:tabs>
      <w:spacing w:before="40" w:line="240" w:lineRule="atLeast"/>
      <w:ind w:left="1452" w:hanging="1452"/>
    </w:pPr>
    <w:rPr>
      <w:sz w:val="20"/>
    </w:rPr>
  </w:style>
  <w:style w:type="paragraph" w:customStyle="1" w:styleId="CTACAPS">
    <w:name w:val="CTA CAPS"/>
    <w:basedOn w:val="OPCParaBase"/>
    <w:rsid w:val="009D4D2E"/>
    <w:pPr>
      <w:spacing w:before="60" w:line="240" w:lineRule="atLeast"/>
    </w:pPr>
    <w:rPr>
      <w:sz w:val="20"/>
    </w:rPr>
  </w:style>
  <w:style w:type="paragraph" w:customStyle="1" w:styleId="CTAright">
    <w:name w:val="CTA right"/>
    <w:basedOn w:val="OPCParaBase"/>
    <w:rsid w:val="009D4D2E"/>
    <w:pPr>
      <w:spacing w:before="60" w:line="240" w:lineRule="auto"/>
      <w:jc w:val="right"/>
    </w:pPr>
    <w:rPr>
      <w:sz w:val="20"/>
    </w:rPr>
  </w:style>
  <w:style w:type="paragraph" w:customStyle="1" w:styleId="subsection">
    <w:name w:val="subsection"/>
    <w:aliases w:val="ss"/>
    <w:basedOn w:val="OPCParaBase"/>
    <w:link w:val="subsectionChar"/>
    <w:rsid w:val="009D4D2E"/>
    <w:pPr>
      <w:tabs>
        <w:tab w:val="right" w:pos="1021"/>
      </w:tabs>
      <w:spacing w:before="180" w:line="240" w:lineRule="auto"/>
      <w:ind w:left="1134" w:hanging="1134"/>
    </w:pPr>
  </w:style>
  <w:style w:type="paragraph" w:customStyle="1" w:styleId="Definition">
    <w:name w:val="Definition"/>
    <w:aliases w:val="dd"/>
    <w:basedOn w:val="OPCParaBase"/>
    <w:rsid w:val="009D4D2E"/>
    <w:pPr>
      <w:spacing w:before="180" w:line="240" w:lineRule="auto"/>
      <w:ind w:left="1134"/>
    </w:pPr>
  </w:style>
  <w:style w:type="paragraph" w:customStyle="1" w:styleId="ETAsubitem">
    <w:name w:val="ETA(subitem)"/>
    <w:basedOn w:val="OPCParaBase"/>
    <w:rsid w:val="009D4D2E"/>
    <w:pPr>
      <w:tabs>
        <w:tab w:val="right" w:pos="340"/>
      </w:tabs>
      <w:spacing w:before="60" w:line="240" w:lineRule="auto"/>
      <w:ind w:left="454" w:hanging="454"/>
    </w:pPr>
    <w:rPr>
      <w:sz w:val="20"/>
    </w:rPr>
  </w:style>
  <w:style w:type="paragraph" w:customStyle="1" w:styleId="ETApara">
    <w:name w:val="ETA(para)"/>
    <w:basedOn w:val="OPCParaBase"/>
    <w:rsid w:val="009D4D2E"/>
    <w:pPr>
      <w:tabs>
        <w:tab w:val="right" w:pos="754"/>
      </w:tabs>
      <w:spacing w:before="60" w:line="240" w:lineRule="auto"/>
      <w:ind w:left="828" w:hanging="828"/>
    </w:pPr>
    <w:rPr>
      <w:sz w:val="20"/>
    </w:rPr>
  </w:style>
  <w:style w:type="paragraph" w:customStyle="1" w:styleId="ETAsubpara">
    <w:name w:val="ETA(subpara)"/>
    <w:basedOn w:val="OPCParaBase"/>
    <w:rsid w:val="009D4D2E"/>
    <w:pPr>
      <w:tabs>
        <w:tab w:val="right" w:pos="1083"/>
      </w:tabs>
      <w:spacing w:before="60" w:line="240" w:lineRule="auto"/>
      <w:ind w:left="1191" w:hanging="1191"/>
    </w:pPr>
    <w:rPr>
      <w:sz w:val="20"/>
    </w:rPr>
  </w:style>
  <w:style w:type="paragraph" w:customStyle="1" w:styleId="ETAsub-subpara">
    <w:name w:val="ETA(sub-subpara)"/>
    <w:basedOn w:val="OPCParaBase"/>
    <w:rsid w:val="009D4D2E"/>
    <w:pPr>
      <w:tabs>
        <w:tab w:val="right" w:pos="1412"/>
      </w:tabs>
      <w:spacing w:before="60" w:line="240" w:lineRule="auto"/>
      <w:ind w:left="1525" w:hanging="1525"/>
    </w:pPr>
    <w:rPr>
      <w:sz w:val="20"/>
    </w:rPr>
  </w:style>
  <w:style w:type="paragraph" w:customStyle="1" w:styleId="Formula">
    <w:name w:val="Formula"/>
    <w:basedOn w:val="OPCParaBase"/>
    <w:rsid w:val="009D4D2E"/>
    <w:pPr>
      <w:spacing w:line="240" w:lineRule="auto"/>
      <w:ind w:left="1134"/>
    </w:pPr>
    <w:rPr>
      <w:sz w:val="20"/>
    </w:rPr>
  </w:style>
  <w:style w:type="paragraph" w:styleId="Header">
    <w:name w:val="header"/>
    <w:basedOn w:val="OPCParaBase"/>
    <w:link w:val="HeaderChar"/>
    <w:unhideWhenUsed/>
    <w:rsid w:val="009D4D2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4D2E"/>
    <w:rPr>
      <w:rFonts w:eastAsia="Times New Roman" w:cs="Times New Roman"/>
      <w:sz w:val="16"/>
      <w:lang w:eastAsia="en-AU"/>
    </w:rPr>
  </w:style>
  <w:style w:type="paragraph" w:customStyle="1" w:styleId="House">
    <w:name w:val="House"/>
    <w:basedOn w:val="OPCParaBase"/>
    <w:rsid w:val="009D4D2E"/>
    <w:pPr>
      <w:spacing w:line="240" w:lineRule="auto"/>
    </w:pPr>
    <w:rPr>
      <w:sz w:val="28"/>
    </w:rPr>
  </w:style>
  <w:style w:type="paragraph" w:customStyle="1" w:styleId="Item">
    <w:name w:val="Item"/>
    <w:aliases w:val="i"/>
    <w:basedOn w:val="OPCParaBase"/>
    <w:next w:val="ItemHead"/>
    <w:rsid w:val="009D4D2E"/>
    <w:pPr>
      <w:keepLines/>
      <w:spacing w:before="80" w:line="240" w:lineRule="auto"/>
      <w:ind w:left="709"/>
    </w:pPr>
  </w:style>
  <w:style w:type="paragraph" w:customStyle="1" w:styleId="ItemHead">
    <w:name w:val="ItemHead"/>
    <w:aliases w:val="ih"/>
    <w:basedOn w:val="OPCParaBase"/>
    <w:next w:val="Item"/>
    <w:rsid w:val="009D4D2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D4D2E"/>
    <w:pPr>
      <w:spacing w:line="240" w:lineRule="auto"/>
    </w:pPr>
    <w:rPr>
      <w:b/>
      <w:sz w:val="32"/>
    </w:rPr>
  </w:style>
  <w:style w:type="paragraph" w:customStyle="1" w:styleId="notedraft">
    <w:name w:val="note(draft)"/>
    <w:aliases w:val="nd"/>
    <w:basedOn w:val="OPCParaBase"/>
    <w:rsid w:val="009D4D2E"/>
    <w:pPr>
      <w:spacing w:before="240" w:line="240" w:lineRule="auto"/>
      <w:ind w:left="284" w:hanging="284"/>
    </w:pPr>
    <w:rPr>
      <w:i/>
      <w:sz w:val="24"/>
    </w:rPr>
  </w:style>
  <w:style w:type="paragraph" w:customStyle="1" w:styleId="notemargin">
    <w:name w:val="note(margin)"/>
    <w:aliases w:val="nm"/>
    <w:basedOn w:val="OPCParaBase"/>
    <w:rsid w:val="009D4D2E"/>
    <w:pPr>
      <w:tabs>
        <w:tab w:val="left" w:pos="709"/>
      </w:tabs>
      <w:spacing w:before="122" w:line="198" w:lineRule="exact"/>
      <w:ind w:left="709" w:hanging="709"/>
    </w:pPr>
    <w:rPr>
      <w:sz w:val="18"/>
    </w:rPr>
  </w:style>
  <w:style w:type="paragraph" w:customStyle="1" w:styleId="noteToPara">
    <w:name w:val="noteToPara"/>
    <w:aliases w:val="ntp"/>
    <w:basedOn w:val="OPCParaBase"/>
    <w:rsid w:val="009D4D2E"/>
    <w:pPr>
      <w:spacing w:before="122" w:line="198" w:lineRule="exact"/>
      <w:ind w:left="2353" w:hanging="709"/>
    </w:pPr>
    <w:rPr>
      <w:sz w:val="18"/>
    </w:rPr>
  </w:style>
  <w:style w:type="paragraph" w:customStyle="1" w:styleId="noteParlAmend">
    <w:name w:val="note(ParlAmend)"/>
    <w:aliases w:val="npp"/>
    <w:basedOn w:val="OPCParaBase"/>
    <w:next w:val="ParlAmend"/>
    <w:rsid w:val="009D4D2E"/>
    <w:pPr>
      <w:spacing w:line="240" w:lineRule="auto"/>
      <w:jc w:val="right"/>
    </w:pPr>
    <w:rPr>
      <w:rFonts w:ascii="Arial" w:hAnsi="Arial"/>
      <w:b/>
      <w:i/>
    </w:rPr>
  </w:style>
  <w:style w:type="paragraph" w:customStyle="1" w:styleId="Page1">
    <w:name w:val="Page1"/>
    <w:basedOn w:val="OPCParaBase"/>
    <w:rsid w:val="009D4D2E"/>
    <w:pPr>
      <w:spacing w:before="5600" w:line="240" w:lineRule="auto"/>
    </w:pPr>
    <w:rPr>
      <w:b/>
      <w:sz w:val="32"/>
    </w:rPr>
  </w:style>
  <w:style w:type="paragraph" w:customStyle="1" w:styleId="PageBreak">
    <w:name w:val="PageBreak"/>
    <w:aliases w:val="pb"/>
    <w:basedOn w:val="OPCParaBase"/>
    <w:rsid w:val="009D4D2E"/>
    <w:pPr>
      <w:spacing w:line="240" w:lineRule="auto"/>
    </w:pPr>
    <w:rPr>
      <w:sz w:val="20"/>
    </w:rPr>
  </w:style>
  <w:style w:type="paragraph" w:customStyle="1" w:styleId="paragraphsub">
    <w:name w:val="paragraph(sub)"/>
    <w:aliases w:val="aa"/>
    <w:basedOn w:val="OPCParaBase"/>
    <w:rsid w:val="009D4D2E"/>
    <w:pPr>
      <w:tabs>
        <w:tab w:val="right" w:pos="1985"/>
      </w:tabs>
      <w:spacing w:before="40" w:line="240" w:lineRule="auto"/>
      <w:ind w:left="2098" w:hanging="2098"/>
    </w:pPr>
  </w:style>
  <w:style w:type="paragraph" w:customStyle="1" w:styleId="paragraphsub-sub">
    <w:name w:val="paragraph(sub-sub)"/>
    <w:aliases w:val="aaa"/>
    <w:basedOn w:val="OPCParaBase"/>
    <w:rsid w:val="009D4D2E"/>
    <w:pPr>
      <w:tabs>
        <w:tab w:val="right" w:pos="2722"/>
      </w:tabs>
      <w:spacing w:before="40" w:line="240" w:lineRule="auto"/>
      <w:ind w:left="2835" w:hanging="2835"/>
    </w:pPr>
  </w:style>
  <w:style w:type="paragraph" w:customStyle="1" w:styleId="paragraph">
    <w:name w:val="paragraph"/>
    <w:aliases w:val="a"/>
    <w:basedOn w:val="OPCParaBase"/>
    <w:rsid w:val="009D4D2E"/>
    <w:pPr>
      <w:tabs>
        <w:tab w:val="right" w:pos="1531"/>
      </w:tabs>
      <w:spacing w:before="40" w:line="240" w:lineRule="auto"/>
      <w:ind w:left="1644" w:hanging="1644"/>
    </w:pPr>
  </w:style>
  <w:style w:type="paragraph" w:customStyle="1" w:styleId="ParlAmend">
    <w:name w:val="ParlAmend"/>
    <w:aliases w:val="pp"/>
    <w:basedOn w:val="OPCParaBase"/>
    <w:rsid w:val="009D4D2E"/>
    <w:pPr>
      <w:spacing w:before="240" w:line="240" w:lineRule="atLeast"/>
      <w:ind w:hanging="567"/>
    </w:pPr>
    <w:rPr>
      <w:sz w:val="24"/>
    </w:rPr>
  </w:style>
  <w:style w:type="paragraph" w:customStyle="1" w:styleId="Penalty">
    <w:name w:val="Penalty"/>
    <w:basedOn w:val="OPCParaBase"/>
    <w:rsid w:val="009D4D2E"/>
    <w:pPr>
      <w:tabs>
        <w:tab w:val="left" w:pos="2977"/>
      </w:tabs>
      <w:spacing w:before="180" w:line="240" w:lineRule="auto"/>
      <w:ind w:left="1985" w:hanging="851"/>
    </w:pPr>
  </w:style>
  <w:style w:type="paragraph" w:customStyle="1" w:styleId="Portfolio">
    <w:name w:val="Portfolio"/>
    <w:basedOn w:val="OPCParaBase"/>
    <w:rsid w:val="009D4D2E"/>
    <w:pPr>
      <w:spacing w:line="240" w:lineRule="auto"/>
    </w:pPr>
    <w:rPr>
      <w:i/>
      <w:sz w:val="20"/>
    </w:rPr>
  </w:style>
  <w:style w:type="paragraph" w:customStyle="1" w:styleId="Preamble">
    <w:name w:val="Preamble"/>
    <w:basedOn w:val="OPCParaBase"/>
    <w:next w:val="Normal"/>
    <w:rsid w:val="009D4D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4D2E"/>
    <w:pPr>
      <w:spacing w:line="240" w:lineRule="auto"/>
    </w:pPr>
    <w:rPr>
      <w:i/>
      <w:sz w:val="20"/>
    </w:rPr>
  </w:style>
  <w:style w:type="paragraph" w:customStyle="1" w:styleId="Session">
    <w:name w:val="Session"/>
    <w:basedOn w:val="OPCParaBase"/>
    <w:rsid w:val="009D4D2E"/>
    <w:pPr>
      <w:spacing w:line="240" w:lineRule="auto"/>
    </w:pPr>
    <w:rPr>
      <w:sz w:val="28"/>
    </w:rPr>
  </w:style>
  <w:style w:type="paragraph" w:customStyle="1" w:styleId="Sponsor">
    <w:name w:val="Sponsor"/>
    <w:basedOn w:val="OPCParaBase"/>
    <w:rsid w:val="009D4D2E"/>
    <w:pPr>
      <w:spacing w:line="240" w:lineRule="auto"/>
    </w:pPr>
    <w:rPr>
      <w:i/>
    </w:rPr>
  </w:style>
  <w:style w:type="paragraph" w:customStyle="1" w:styleId="Subitem">
    <w:name w:val="Subitem"/>
    <w:aliases w:val="iss"/>
    <w:basedOn w:val="OPCParaBase"/>
    <w:rsid w:val="009D4D2E"/>
    <w:pPr>
      <w:spacing w:before="180" w:line="240" w:lineRule="auto"/>
      <w:ind w:left="709" w:hanging="709"/>
    </w:pPr>
  </w:style>
  <w:style w:type="paragraph" w:customStyle="1" w:styleId="SubitemHead">
    <w:name w:val="SubitemHead"/>
    <w:aliases w:val="issh"/>
    <w:basedOn w:val="OPCParaBase"/>
    <w:rsid w:val="009D4D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D4D2E"/>
    <w:pPr>
      <w:spacing w:before="40" w:line="240" w:lineRule="auto"/>
      <w:ind w:left="1134"/>
    </w:pPr>
  </w:style>
  <w:style w:type="paragraph" w:customStyle="1" w:styleId="SubsectionHead">
    <w:name w:val="SubsectionHead"/>
    <w:aliases w:val="ssh"/>
    <w:basedOn w:val="OPCParaBase"/>
    <w:next w:val="subsection"/>
    <w:rsid w:val="009D4D2E"/>
    <w:pPr>
      <w:keepNext/>
      <w:keepLines/>
      <w:spacing w:before="240" w:line="240" w:lineRule="auto"/>
      <w:ind w:left="1134"/>
    </w:pPr>
    <w:rPr>
      <w:i/>
    </w:rPr>
  </w:style>
  <w:style w:type="paragraph" w:customStyle="1" w:styleId="Tablea">
    <w:name w:val="Table(a)"/>
    <w:aliases w:val="ta"/>
    <w:basedOn w:val="OPCParaBase"/>
    <w:rsid w:val="009D4D2E"/>
    <w:pPr>
      <w:spacing w:before="60" w:line="240" w:lineRule="auto"/>
      <w:ind w:left="284" w:hanging="284"/>
    </w:pPr>
    <w:rPr>
      <w:sz w:val="20"/>
    </w:rPr>
  </w:style>
  <w:style w:type="paragraph" w:customStyle="1" w:styleId="TableAA">
    <w:name w:val="Table(AA)"/>
    <w:aliases w:val="taaa"/>
    <w:basedOn w:val="OPCParaBase"/>
    <w:rsid w:val="009D4D2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4D2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D4D2E"/>
    <w:pPr>
      <w:spacing w:before="60" w:line="240" w:lineRule="atLeast"/>
    </w:pPr>
    <w:rPr>
      <w:sz w:val="20"/>
    </w:rPr>
  </w:style>
  <w:style w:type="paragraph" w:customStyle="1" w:styleId="TLPBoxTextnote">
    <w:name w:val="TLPBoxText(note"/>
    <w:aliases w:val="right)"/>
    <w:basedOn w:val="OPCParaBase"/>
    <w:rsid w:val="009D4D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4D2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4D2E"/>
    <w:pPr>
      <w:spacing w:before="122" w:line="198" w:lineRule="exact"/>
      <w:ind w:left="1985" w:hanging="851"/>
      <w:jc w:val="right"/>
    </w:pPr>
    <w:rPr>
      <w:sz w:val="18"/>
    </w:rPr>
  </w:style>
  <w:style w:type="paragraph" w:customStyle="1" w:styleId="TLPTableBullet">
    <w:name w:val="TLPTableBullet"/>
    <w:aliases w:val="ttb"/>
    <w:basedOn w:val="OPCParaBase"/>
    <w:rsid w:val="009D4D2E"/>
    <w:pPr>
      <w:spacing w:line="240" w:lineRule="exact"/>
      <w:ind w:left="284" w:hanging="284"/>
    </w:pPr>
    <w:rPr>
      <w:sz w:val="20"/>
    </w:rPr>
  </w:style>
  <w:style w:type="paragraph" w:styleId="TOC1">
    <w:name w:val="toc 1"/>
    <w:basedOn w:val="OPCParaBase"/>
    <w:next w:val="Normal"/>
    <w:uiPriority w:val="39"/>
    <w:unhideWhenUsed/>
    <w:rsid w:val="009D4D2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D4D2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D4D2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D4D2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D4D2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D4D2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9D4D2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D4D2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D4D2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D4D2E"/>
    <w:pPr>
      <w:keepLines/>
      <w:spacing w:before="240" w:after="120" w:line="240" w:lineRule="auto"/>
      <w:ind w:left="794"/>
    </w:pPr>
    <w:rPr>
      <w:b/>
      <w:kern w:val="28"/>
      <w:sz w:val="20"/>
    </w:rPr>
  </w:style>
  <w:style w:type="paragraph" w:customStyle="1" w:styleId="TofSectsHeading">
    <w:name w:val="TofSects(Heading)"/>
    <w:basedOn w:val="OPCParaBase"/>
    <w:rsid w:val="009D4D2E"/>
    <w:pPr>
      <w:spacing w:before="240" w:after="120" w:line="240" w:lineRule="auto"/>
    </w:pPr>
    <w:rPr>
      <w:b/>
      <w:sz w:val="24"/>
    </w:rPr>
  </w:style>
  <w:style w:type="paragraph" w:customStyle="1" w:styleId="TofSectsSection">
    <w:name w:val="TofSects(Section)"/>
    <w:basedOn w:val="OPCParaBase"/>
    <w:rsid w:val="009D4D2E"/>
    <w:pPr>
      <w:keepLines/>
      <w:spacing w:before="40" w:line="240" w:lineRule="auto"/>
      <w:ind w:left="1588" w:hanging="794"/>
    </w:pPr>
    <w:rPr>
      <w:kern w:val="28"/>
      <w:sz w:val="18"/>
    </w:rPr>
  </w:style>
  <w:style w:type="paragraph" w:customStyle="1" w:styleId="TofSectsSubdiv">
    <w:name w:val="TofSects(Subdiv)"/>
    <w:basedOn w:val="OPCParaBase"/>
    <w:rsid w:val="009D4D2E"/>
    <w:pPr>
      <w:keepLines/>
      <w:spacing w:before="80" w:line="240" w:lineRule="auto"/>
      <w:ind w:left="1588" w:hanging="794"/>
    </w:pPr>
    <w:rPr>
      <w:kern w:val="28"/>
    </w:rPr>
  </w:style>
  <w:style w:type="paragraph" w:customStyle="1" w:styleId="WRStyle">
    <w:name w:val="WR Style"/>
    <w:aliases w:val="WR"/>
    <w:basedOn w:val="OPCParaBase"/>
    <w:rsid w:val="009D4D2E"/>
    <w:pPr>
      <w:spacing w:before="240" w:line="240" w:lineRule="auto"/>
      <w:ind w:left="284" w:hanging="284"/>
    </w:pPr>
    <w:rPr>
      <w:b/>
      <w:i/>
      <w:kern w:val="28"/>
      <w:sz w:val="24"/>
    </w:rPr>
  </w:style>
  <w:style w:type="paragraph" w:customStyle="1" w:styleId="notepara">
    <w:name w:val="note(para)"/>
    <w:aliases w:val="na"/>
    <w:basedOn w:val="OPCParaBase"/>
    <w:rsid w:val="009D4D2E"/>
    <w:pPr>
      <w:spacing w:before="40" w:line="198" w:lineRule="exact"/>
      <w:ind w:left="2354" w:hanging="369"/>
    </w:pPr>
    <w:rPr>
      <w:sz w:val="18"/>
    </w:rPr>
  </w:style>
  <w:style w:type="paragraph" w:styleId="Footer">
    <w:name w:val="footer"/>
    <w:link w:val="FooterChar"/>
    <w:rsid w:val="009D4D2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D4D2E"/>
    <w:rPr>
      <w:rFonts w:eastAsia="Times New Roman" w:cs="Times New Roman"/>
      <w:sz w:val="22"/>
      <w:szCs w:val="24"/>
      <w:lang w:eastAsia="en-AU"/>
    </w:rPr>
  </w:style>
  <w:style w:type="character" w:styleId="LineNumber">
    <w:name w:val="line number"/>
    <w:basedOn w:val="OPCCharBase"/>
    <w:uiPriority w:val="99"/>
    <w:semiHidden/>
    <w:unhideWhenUsed/>
    <w:rsid w:val="009D4D2E"/>
    <w:rPr>
      <w:sz w:val="16"/>
    </w:rPr>
  </w:style>
  <w:style w:type="table" w:customStyle="1" w:styleId="CFlag">
    <w:name w:val="CFlag"/>
    <w:basedOn w:val="TableNormal"/>
    <w:uiPriority w:val="99"/>
    <w:rsid w:val="009D4D2E"/>
    <w:rPr>
      <w:rFonts w:eastAsia="Times New Roman" w:cs="Times New Roman"/>
      <w:lang w:eastAsia="en-AU"/>
    </w:rPr>
    <w:tblPr/>
  </w:style>
  <w:style w:type="paragraph" w:styleId="BalloonText">
    <w:name w:val="Balloon Text"/>
    <w:basedOn w:val="Normal"/>
    <w:link w:val="BalloonTextChar"/>
    <w:uiPriority w:val="99"/>
    <w:semiHidden/>
    <w:unhideWhenUsed/>
    <w:rsid w:val="009D4D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D2E"/>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9D4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D4D2E"/>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9D4D2E"/>
    <w:rPr>
      <w:i/>
      <w:sz w:val="32"/>
      <w:szCs w:val="32"/>
    </w:rPr>
  </w:style>
  <w:style w:type="paragraph" w:customStyle="1" w:styleId="SignCoverPageEnd">
    <w:name w:val="SignCoverPageEnd"/>
    <w:basedOn w:val="OPCParaBase"/>
    <w:next w:val="Normal"/>
    <w:rsid w:val="009D4D2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D4D2E"/>
    <w:pPr>
      <w:pBdr>
        <w:top w:val="single" w:sz="4" w:space="1" w:color="auto"/>
      </w:pBdr>
      <w:spacing w:before="360"/>
      <w:ind w:right="397"/>
      <w:jc w:val="both"/>
    </w:pPr>
  </w:style>
  <w:style w:type="paragraph" w:customStyle="1" w:styleId="NotesHeading1">
    <w:name w:val="NotesHeading 1"/>
    <w:basedOn w:val="OPCParaBase"/>
    <w:next w:val="Normal"/>
    <w:rsid w:val="009D4D2E"/>
    <w:rPr>
      <w:b/>
      <w:sz w:val="28"/>
      <w:szCs w:val="28"/>
    </w:rPr>
  </w:style>
  <w:style w:type="paragraph" w:customStyle="1" w:styleId="NotesHeading2">
    <w:name w:val="NotesHeading 2"/>
    <w:basedOn w:val="OPCParaBase"/>
    <w:next w:val="Normal"/>
    <w:rsid w:val="009D4D2E"/>
    <w:rPr>
      <w:b/>
      <w:sz w:val="28"/>
      <w:szCs w:val="28"/>
    </w:rPr>
  </w:style>
  <w:style w:type="paragraph" w:customStyle="1" w:styleId="CompiledActNo">
    <w:name w:val="CompiledActNo"/>
    <w:basedOn w:val="OPCParaBase"/>
    <w:next w:val="Normal"/>
    <w:rsid w:val="009D4D2E"/>
    <w:rPr>
      <w:b/>
      <w:sz w:val="24"/>
      <w:szCs w:val="24"/>
    </w:rPr>
  </w:style>
  <w:style w:type="paragraph" w:customStyle="1" w:styleId="CompiledMadeUnder">
    <w:name w:val="CompiledMadeUnder"/>
    <w:basedOn w:val="OPCParaBase"/>
    <w:next w:val="Normal"/>
    <w:rsid w:val="009D4D2E"/>
    <w:rPr>
      <w:i/>
      <w:sz w:val="24"/>
      <w:szCs w:val="24"/>
    </w:rPr>
  </w:style>
  <w:style w:type="paragraph" w:customStyle="1" w:styleId="Paragraphsub-sub-sub">
    <w:name w:val="Paragraph(sub-sub-sub)"/>
    <w:aliases w:val="aaaa"/>
    <w:basedOn w:val="OPCParaBase"/>
    <w:rsid w:val="009D4D2E"/>
    <w:pPr>
      <w:tabs>
        <w:tab w:val="right" w:pos="3402"/>
      </w:tabs>
      <w:spacing w:before="40" w:line="240" w:lineRule="auto"/>
      <w:ind w:left="3402" w:hanging="3402"/>
    </w:pPr>
  </w:style>
  <w:style w:type="paragraph" w:customStyle="1" w:styleId="NoteToSubpara">
    <w:name w:val="NoteToSubpara"/>
    <w:aliases w:val="nts"/>
    <w:basedOn w:val="OPCParaBase"/>
    <w:rsid w:val="009D4D2E"/>
    <w:pPr>
      <w:spacing w:before="40" w:line="198" w:lineRule="exact"/>
      <w:ind w:left="2835" w:hanging="709"/>
    </w:pPr>
    <w:rPr>
      <w:sz w:val="18"/>
    </w:rPr>
  </w:style>
  <w:style w:type="paragraph" w:customStyle="1" w:styleId="EndNotespara">
    <w:name w:val="EndNotes(para)"/>
    <w:aliases w:val="eta"/>
    <w:basedOn w:val="OPCParaBase"/>
    <w:next w:val="EndNotessubpara"/>
    <w:rsid w:val="009D4D2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4D2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4D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4D2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9D4D2E"/>
    <w:pPr>
      <w:keepNext/>
      <w:spacing w:before="60" w:line="240" w:lineRule="atLeast"/>
    </w:pPr>
    <w:rPr>
      <w:rFonts w:ascii="Arial" w:hAnsi="Arial"/>
      <w:b/>
      <w:sz w:val="16"/>
    </w:rPr>
  </w:style>
  <w:style w:type="paragraph" w:customStyle="1" w:styleId="ENoteTTi">
    <w:name w:val="ENoteTTi"/>
    <w:aliases w:val="entti"/>
    <w:basedOn w:val="OPCParaBase"/>
    <w:rsid w:val="009D4D2E"/>
    <w:pPr>
      <w:keepNext/>
      <w:spacing w:before="60" w:line="240" w:lineRule="atLeast"/>
      <w:ind w:left="170"/>
    </w:pPr>
    <w:rPr>
      <w:sz w:val="16"/>
    </w:rPr>
  </w:style>
  <w:style w:type="paragraph" w:customStyle="1" w:styleId="ENotesHeading1">
    <w:name w:val="ENotesHeading 1"/>
    <w:aliases w:val="Enh1"/>
    <w:basedOn w:val="OPCParaBase"/>
    <w:next w:val="Normal"/>
    <w:rsid w:val="009D4D2E"/>
    <w:pPr>
      <w:spacing w:before="120"/>
      <w:outlineLvl w:val="1"/>
    </w:pPr>
    <w:rPr>
      <w:b/>
      <w:sz w:val="28"/>
      <w:szCs w:val="28"/>
    </w:rPr>
  </w:style>
  <w:style w:type="paragraph" w:customStyle="1" w:styleId="ENotesHeading2">
    <w:name w:val="ENotesHeading 2"/>
    <w:aliases w:val="Enh2"/>
    <w:basedOn w:val="OPCParaBase"/>
    <w:next w:val="Normal"/>
    <w:rsid w:val="009D4D2E"/>
    <w:pPr>
      <w:spacing w:before="120" w:after="120"/>
      <w:outlineLvl w:val="2"/>
    </w:pPr>
    <w:rPr>
      <w:b/>
      <w:sz w:val="24"/>
      <w:szCs w:val="28"/>
    </w:rPr>
  </w:style>
  <w:style w:type="paragraph" w:customStyle="1" w:styleId="ENoteTTIndentHeading">
    <w:name w:val="ENoteTTIndentHeading"/>
    <w:aliases w:val="enTTHi"/>
    <w:basedOn w:val="OPCParaBase"/>
    <w:rsid w:val="009D4D2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4D2E"/>
    <w:pPr>
      <w:spacing w:before="60" w:line="240" w:lineRule="atLeast"/>
    </w:pPr>
    <w:rPr>
      <w:sz w:val="16"/>
    </w:rPr>
  </w:style>
  <w:style w:type="paragraph" w:customStyle="1" w:styleId="MadeunderText">
    <w:name w:val="MadeunderText"/>
    <w:basedOn w:val="OPCParaBase"/>
    <w:next w:val="CompiledMadeUnder"/>
    <w:rsid w:val="009D4D2E"/>
    <w:pPr>
      <w:spacing w:before="240"/>
    </w:pPr>
    <w:rPr>
      <w:sz w:val="24"/>
      <w:szCs w:val="24"/>
    </w:rPr>
  </w:style>
  <w:style w:type="paragraph" w:customStyle="1" w:styleId="ENotesHeading3">
    <w:name w:val="ENotesHeading 3"/>
    <w:aliases w:val="Enh3"/>
    <w:basedOn w:val="OPCParaBase"/>
    <w:next w:val="Normal"/>
    <w:rsid w:val="009D4D2E"/>
    <w:pPr>
      <w:keepNext/>
      <w:spacing w:before="120" w:line="240" w:lineRule="auto"/>
      <w:outlineLvl w:val="4"/>
    </w:pPr>
    <w:rPr>
      <w:b/>
      <w:szCs w:val="24"/>
    </w:rPr>
  </w:style>
  <w:style w:type="character" w:customStyle="1" w:styleId="CharSubPartTextCASA">
    <w:name w:val="CharSubPartText(CASA)"/>
    <w:basedOn w:val="OPCCharBase"/>
    <w:uiPriority w:val="1"/>
    <w:rsid w:val="009D4D2E"/>
  </w:style>
  <w:style w:type="character" w:customStyle="1" w:styleId="CharSubPartNoCASA">
    <w:name w:val="CharSubPartNo(CASA)"/>
    <w:basedOn w:val="OPCCharBase"/>
    <w:uiPriority w:val="1"/>
    <w:rsid w:val="009D4D2E"/>
  </w:style>
  <w:style w:type="paragraph" w:customStyle="1" w:styleId="ENoteTTIndentHeadingSub">
    <w:name w:val="ENoteTTIndentHeadingSub"/>
    <w:aliases w:val="enTTHis"/>
    <w:basedOn w:val="OPCParaBase"/>
    <w:rsid w:val="009D4D2E"/>
    <w:pPr>
      <w:keepNext/>
      <w:spacing w:before="60" w:line="240" w:lineRule="atLeast"/>
      <w:ind w:left="340"/>
    </w:pPr>
    <w:rPr>
      <w:b/>
      <w:sz w:val="16"/>
    </w:rPr>
  </w:style>
  <w:style w:type="paragraph" w:customStyle="1" w:styleId="ENoteTTiSub">
    <w:name w:val="ENoteTTiSub"/>
    <w:aliases w:val="enttis"/>
    <w:basedOn w:val="OPCParaBase"/>
    <w:rsid w:val="009D4D2E"/>
    <w:pPr>
      <w:keepNext/>
      <w:spacing w:before="60" w:line="240" w:lineRule="atLeast"/>
      <w:ind w:left="340"/>
    </w:pPr>
    <w:rPr>
      <w:sz w:val="16"/>
    </w:rPr>
  </w:style>
  <w:style w:type="paragraph" w:customStyle="1" w:styleId="SubDivisionMigration">
    <w:name w:val="SubDivisionMigration"/>
    <w:aliases w:val="sdm"/>
    <w:basedOn w:val="OPCParaBase"/>
    <w:rsid w:val="009D4D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4D2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D4D2E"/>
    <w:pPr>
      <w:spacing w:before="122" w:line="240" w:lineRule="auto"/>
      <w:ind w:left="1985" w:hanging="851"/>
    </w:pPr>
    <w:rPr>
      <w:sz w:val="18"/>
    </w:rPr>
  </w:style>
  <w:style w:type="paragraph" w:customStyle="1" w:styleId="FreeForm">
    <w:name w:val="FreeForm"/>
    <w:rsid w:val="008B3DA6"/>
    <w:rPr>
      <w:rFonts w:ascii="Arial" w:hAnsi="Arial"/>
      <w:sz w:val="22"/>
    </w:rPr>
  </w:style>
  <w:style w:type="paragraph" w:customStyle="1" w:styleId="SOText">
    <w:name w:val="SO Text"/>
    <w:aliases w:val="sot"/>
    <w:link w:val="SOTextChar"/>
    <w:rsid w:val="009D4D2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D4D2E"/>
    <w:rPr>
      <w:sz w:val="22"/>
    </w:rPr>
  </w:style>
  <w:style w:type="paragraph" w:customStyle="1" w:styleId="SOTextNote">
    <w:name w:val="SO TextNote"/>
    <w:aliases w:val="sont"/>
    <w:basedOn w:val="SOText"/>
    <w:qFormat/>
    <w:rsid w:val="009D4D2E"/>
    <w:pPr>
      <w:spacing w:before="122" w:line="198" w:lineRule="exact"/>
      <w:ind w:left="1843" w:hanging="709"/>
    </w:pPr>
    <w:rPr>
      <w:sz w:val="18"/>
    </w:rPr>
  </w:style>
  <w:style w:type="paragraph" w:customStyle="1" w:styleId="SOPara">
    <w:name w:val="SO Para"/>
    <w:aliases w:val="soa"/>
    <w:basedOn w:val="SOText"/>
    <w:link w:val="SOParaChar"/>
    <w:qFormat/>
    <w:rsid w:val="009D4D2E"/>
    <w:pPr>
      <w:tabs>
        <w:tab w:val="right" w:pos="1786"/>
      </w:tabs>
      <w:spacing w:before="40"/>
      <w:ind w:left="2070" w:hanging="936"/>
    </w:pPr>
  </w:style>
  <w:style w:type="character" w:customStyle="1" w:styleId="SOParaChar">
    <w:name w:val="SO Para Char"/>
    <w:aliases w:val="soa Char"/>
    <w:basedOn w:val="DefaultParagraphFont"/>
    <w:link w:val="SOPara"/>
    <w:rsid w:val="009D4D2E"/>
    <w:rPr>
      <w:sz w:val="22"/>
    </w:rPr>
  </w:style>
  <w:style w:type="paragraph" w:customStyle="1" w:styleId="FileName">
    <w:name w:val="FileName"/>
    <w:basedOn w:val="Normal"/>
    <w:rsid w:val="009D4D2E"/>
  </w:style>
  <w:style w:type="paragraph" w:customStyle="1" w:styleId="TableHeading">
    <w:name w:val="TableHeading"/>
    <w:aliases w:val="th"/>
    <w:basedOn w:val="OPCParaBase"/>
    <w:next w:val="Tabletext"/>
    <w:rsid w:val="009D4D2E"/>
    <w:pPr>
      <w:keepNext/>
      <w:spacing w:before="60" w:line="240" w:lineRule="atLeast"/>
    </w:pPr>
    <w:rPr>
      <w:b/>
      <w:sz w:val="20"/>
    </w:rPr>
  </w:style>
  <w:style w:type="paragraph" w:customStyle="1" w:styleId="SOHeadBold">
    <w:name w:val="SO HeadBold"/>
    <w:aliases w:val="sohb"/>
    <w:basedOn w:val="SOText"/>
    <w:next w:val="SOText"/>
    <w:link w:val="SOHeadBoldChar"/>
    <w:qFormat/>
    <w:rsid w:val="009D4D2E"/>
    <w:rPr>
      <w:b/>
    </w:rPr>
  </w:style>
  <w:style w:type="character" w:customStyle="1" w:styleId="SOHeadBoldChar">
    <w:name w:val="SO HeadBold Char"/>
    <w:aliases w:val="sohb Char"/>
    <w:basedOn w:val="DefaultParagraphFont"/>
    <w:link w:val="SOHeadBold"/>
    <w:rsid w:val="009D4D2E"/>
    <w:rPr>
      <w:b/>
      <w:sz w:val="22"/>
    </w:rPr>
  </w:style>
  <w:style w:type="paragraph" w:customStyle="1" w:styleId="SOHeadItalic">
    <w:name w:val="SO HeadItalic"/>
    <w:aliases w:val="sohi"/>
    <w:basedOn w:val="SOText"/>
    <w:next w:val="SOText"/>
    <w:link w:val="SOHeadItalicChar"/>
    <w:qFormat/>
    <w:rsid w:val="009D4D2E"/>
    <w:rPr>
      <w:i/>
    </w:rPr>
  </w:style>
  <w:style w:type="character" w:customStyle="1" w:styleId="SOHeadItalicChar">
    <w:name w:val="SO HeadItalic Char"/>
    <w:aliases w:val="sohi Char"/>
    <w:basedOn w:val="DefaultParagraphFont"/>
    <w:link w:val="SOHeadItalic"/>
    <w:rsid w:val="009D4D2E"/>
    <w:rPr>
      <w:i/>
      <w:sz w:val="22"/>
    </w:rPr>
  </w:style>
  <w:style w:type="paragraph" w:customStyle="1" w:styleId="SOBullet">
    <w:name w:val="SO Bullet"/>
    <w:aliases w:val="sotb"/>
    <w:basedOn w:val="SOText"/>
    <w:link w:val="SOBulletChar"/>
    <w:qFormat/>
    <w:rsid w:val="009D4D2E"/>
    <w:pPr>
      <w:ind w:left="1559" w:hanging="425"/>
    </w:pPr>
  </w:style>
  <w:style w:type="character" w:customStyle="1" w:styleId="SOBulletChar">
    <w:name w:val="SO Bullet Char"/>
    <w:aliases w:val="sotb Char"/>
    <w:basedOn w:val="DefaultParagraphFont"/>
    <w:link w:val="SOBullet"/>
    <w:rsid w:val="009D4D2E"/>
    <w:rPr>
      <w:sz w:val="22"/>
    </w:rPr>
  </w:style>
  <w:style w:type="paragraph" w:customStyle="1" w:styleId="SOBulletNote">
    <w:name w:val="SO BulletNote"/>
    <w:aliases w:val="sonb"/>
    <w:basedOn w:val="SOTextNote"/>
    <w:link w:val="SOBulletNoteChar"/>
    <w:qFormat/>
    <w:rsid w:val="009D4D2E"/>
    <w:pPr>
      <w:tabs>
        <w:tab w:val="left" w:pos="1560"/>
      </w:tabs>
      <w:ind w:left="2268" w:hanging="1134"/>
    </w:pPr>
  </w:style>
  <w:style w:type="character" w:customStyle="1" w:styleId="SOBulletNoteChar">
    <w:name w:val="SO BulletNote Char"/>
    <w:aliases w:val="sonb Char"/>
    <w:basedOn w:val="DefaultParagraphFont"/>
    <w:link w:val="SOBulletNote"/>
    <w:rsid w:val="009D4D2E"/>
    <w:rPr>
      <w:sz w:val="18"/>
    </w:rPr>
  </w:style>
  <w:style w:type="paragraph" w:customStyle="1" w:styleId="SOText2">
    <w:name w:val="SO Text2"/>
    <w:aliases w:val="sot2"/>
    <w:basedOn w:val="Normal"/>
    <w:next w:val="SOText"/>
    <w:link w:val="SOText2Char"/>
    <w:rsid w:val="009D4D2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D4D2E"/>
    <w:rPr>
      <w:sz w:val="22"/>
    </w:rPr>
  </w:style>
  <w:style w:type="paragraph" w:customStyle="1" w:styleId="SubPartCASA">
    <w:name w:val="SubPart(CASA)"/>
    <w:aliases w:val="csp"/>
    <w:basedOn w:val="OPCParaBase"/>
    <w:next w:val="ActHead3"/>
    <w:rsid w:val="009D4D2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B3DA6"/>
    <w:rPr>
      <w:rFonts w:eastAsia="Times New Roman" w:cs="Times New Roman"/>
      <w:sz w:val="22"/>
      <w:lang w:eastAsia="en-AU"/>
    </w:rPr>
  </w:style>
  <w:style w:type="character" w:customStyle="1" w:styleId="notetextChar">
    <w:name w:val="note(text) Char"/>
    <w:aliases w:val="n Char"/>
    <w:basedOn w:val="DefaultParagraphFont"/>
    <w:link w:val="notetext"/>
    <w:rsid w:val="008B3DA6"/>
    <w:rPr>
      <w:rFonts w:eastAsia="Times New Roman" w:cs="Times New Roman"/>
      <w:sz w:val="18"/>
      <w:lang w:eastAsia="en-AU"/>
    </w:rPr>
  </w:style>
  <w:style w:type="character" w:customStyle="1" w:styleId="Heading1Char">
    <w:name w:val="Heading 1 Char"/>
    <w:basedOn w:val="DefaultParagraphFont"/>
    <w:link w:val="Heading1"/>
    <w:uiPriority w:val="9"/>
    <w:rsid w:val="008B3D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B3DA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3DA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B3DA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B3DA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B3DA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B3DA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B3DA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B3DA6"/>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13</Pages>
  <Words>2517</Words>
  <Characters>14350</Characters>
  <Application>Microsoft Office Word</Application>
  <DocSecurity>0</DocSecurity>
  <PresentationFormat/>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2018-01-17T05:32:00Z</dcterms:created>
  <dcterms:modified xsi:type="dcterms:W3CDTF">2018-01-17T05:45:00Z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Treasury Laws Amendment (2016 Measures No. 3)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13 October 2016</vt:lpwstr>
  </property>
  <property fmtid="{D5CDD505-2E9C-101B-9397-08002B2CF9AE}" pid="10" name="Authority">
    <vt:lpwstr/>
  </property>
  <property fmtid="{D5CDD505-2E9C-101B-9397-08002B2CF9AE}" pid="11" name="ID">
    <vt:lpwstr>OPC62261</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A New Tax System (Goods and Services Tax) Act 1999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13 October 2016</vt:lpwstr>
  </property>
</Properties>
</file>