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E3B" w:rsidRPr="001850D2" w:rsidRDefault="00FF6E3B" w:rsidP="00E70858">
      <w:pPr>
        <w:pStyle w:val="Heading1"/>
        <w:spacing w:before="0"/>
        <w:jc w:val="center"/>
        <w:rPr>
          <w:rFonts w:ascii="Times New Roman" w:hAnsi="Times New Roman" w:cs="Times New Roman"/>
          <w:sz w:val="24"/>
          <w:szCs w:val="24"/>
          <w:u w:val="single"/>
        </w:rPr>
      </w:pPr>
      <w:r w:rsidRPr="001850D2">
        <w:rPr>
          <w:rFonts w:ascii="Times New Roman" w:hAnsi="Times New Roman" w:cs="Times New Roman"/>
          <w:sz w:val="24"/>
          <w:szCs w:val="24"/>
          <w:u w:val="single"/>
        </w:rPr>
        <w:t>EXPLANATORY STATEMENT</w:t>
      </w:r>
    </w:p>
    <w:p w:rsidR="00E70858" w:rsidRPr="001850D2" w:rsidRDefault="00E70858" w:rsidP="00E70858">
      <w:pPr>
        <w:jc w:val="center"/>
        <w:rPr>
          <w:b/>
        </w:rPr>
      </w:pPr>
    </w:p>
    <w:p w:rsidR="00FF6E3B" w:rsidRPr="001850D2" w:rsidRDefault="00FF6E3B" w:rsidP="00E70858">
      <w:pPr>
        <w:jc w:val="center"/>
        <w:rPr>
          <w:b/>
        </w:rPr>
      </w:pPr>
      <w:r w:rsidRPr="001850D2">
        <w:rPr>
          <w:b/>
        </w:rPr>
        <w:t>Issued by the Authority of the Minister for Finance</w:t>
      </w:r>
    </w:p>
    <w:p w:rsidR="00FF6E3B" w:rsidRPr="001850D2" w:rsidRDefault="00FF6E3B" w:rsidP="00E70858">
      <w:pPr>
        <w:jc w:val="center"/>
        <w:rPr>
          <w:b/>
        </w:rPr>
      </w:pPr>
    </w:p>
    <w:p w:rsidR="00FF6E3B" w:rsidRPr="001850D2" w:rsidRDefault="00FF6E3B" w:rsidP="00E70858">
      <w:pPr>
        <w:jc w:val="center"/>
        <w:rPr>
          <w:i/>
        </w:rPr>
      </w:pPr>
      <w:r w:rsidRPr="001850D2">
        <w:rPr>
          <w:i/>
        </w:rPr>
        <w:t xml:space="preserve">Public Governance, Performance and Accountability Act 2013 </w:t>
      </w:r>
    </w:p>
    <w:p w:rsidR="00BB1FDF" w:rsidRPr="001850D2" w:rsidRDefault="00BB1FDF" w:rsidP="00E70858">
      <w:pPr>
        <w:rPr>
          <w:i/>
        </w:rPr>
      </w:pPr>
    </w:p>
    <w:p w:rsidR="00A808E2" w:rsidRPr="001850D2" w:rsidRDefault="00BB1FDF" w:rsidP="00E70858">
      <w:pPr>
        <w:jc w:val="center"/>
      </w:pPr>
      <w:r w:rsidRPr="001850D2">
        <w:rPr>
          <w:i/>
        </w:rPr>
        <w:t>Public Governance, P</w:t>
      </w:r>
      <w:r w:rsidR="005176AB">
        <w:rPr>
          <w:i/>
        </w:rPr>
        <w:t>erformance and Accountability (Relevant Company</w:t>
      </w:r>
      <w:r w:rsidRPr="001850D2">
        <w:rPr>
          <w:i/>
        </w:rPr>
        <w:t>) Rule 2016</w:t>
      </w:r>
    </w:p>
    <w:p w:rsidR="00FF6E3B" w:rsidRPr="001850D2" w:rsidRDefault="00FF6E3B" w:rsidP="00E70858"/>
    <w:p w:rsidR="006F7B23" w:rsidRPr="001850D2" w:rsidRDefault="006F7B23" w:rsidP="00E70858">
      <w:r w:rsidRPr="001850D2">
        <w:t xml:space="preserve">Section 85 of the </w:t>
      </w:r>
      <w:r w:rsidRPr="001850D2">
        <w:rPr>
          <w:i/>
        </w:rPr>
        <w:t>Public Governance, Performance and Accountability Act 2013</w:t>
      </w:r>
      <w:r w:rsidRPr="001850D2">
        <w:t xml:space="preserve"> (PGPA Act) provides the Finance Minister with the authority to form, or participate in forming a relevant company on behalf of the Commonwealth. A relevant company is a company of a kind prescribed</w:t>
      </w:r>
      <w:r w:rsidR="00EE1F92">
        <w:t xml:space="preserve">, including its </w:t>
      </w:r>
      <w:r w:rsidRPr="001850D2">
        <w:t>objects or proposed activities</w:t>
      </w:r>
      <w:r w:rsidR="00EE1F92">
        <w:t>,</w:t>
      </w:r>
      <w:r w:rsidRPr="001850D2">
        <w:t xml:space="preserve"> by </w:t>
      </w:r>
      <w:r w:rsidR="00733335">
        <w:t xml:space="preserve">a PGPA </w:t>
      </w:r>
      <w:r w:rsidRPr="001850D2">
        <w:t>rule. Section 101 of the PGPA Act provides that the Finance Minister may make rules by legislative instrument to prescribe matters giving effect to the Act.</w:t>
      </w:r>
    </w:p>
    <w:p w:rsidR="006F7B23" w:rsidRPr="001850D2" w:rsidRDefault="006F7B23" w:rsidP="00E70858"/>
    <w:p w:rsidR="00077E83" w:rsidRDefault="00BB1FDF" w:rsidP="007C0DAB">
      <w:pPr>
        <w:pStyle w:val="Footer"/>
        <w:tabs>
          <w:tab w:val="clear" w:pos="4513"/>
          <w:tab w:val="clear" w:pos="9026"/>
          <w:tab w:val="left" w:pos="426"/>
          <w:tab w:val="center" w:pos="4153"/>
          <w:tab w:val="right" w:pos="8306"/>
        </w:tabs>
        <w:spacing w:line="240" w:lineRule="atLeast"/>
        <w:rPr>
          <w:sz w:val="23"/>
          <w:szCs w:val="23"/>
        </w:rPr>
      </w:pPr>
      <w:r w:rsidRPr="001850D2">
        <w:t xml:space="preserve">The </w:t>
      </w:r>
      <w:r w:rsidRPr="001850D2">
        <w:rPr>
          <w:i/>
        </w:rPr>
        <w:t>Public Governance, Performanc</w:t>
      </w:r>
      <w:r w:rsidR="00EB38B0">
        <w:rPr>
          <w:i/>
        </w:rPr>
        <w:t>e and Accountability (R</w:t>
      </w:r>
      <w:r w:rsidRPr="001850D2">
        <w:rPr>
          <w:i/>
        </w:rPr>
        <w:t xml:space="preserve">elevant </w:t>
      </w:r>
      <w:r w:rsidR="00EB38B0">
        <w:rPr>
          <w:i/>
        </w:rPr>
        <w:t>Company</w:t>
      </w:r>
      <w:r w:rsidRPr="001850D2">
        <w:rPr>
          <w:i/>
        </w:rPr>
        <w:t>) Rule 2016</w:t>
      </w:r>
      <w:r w:rsidR="00C265D7">
        <w:t xml:space="preserve"> </w:t>
      </w:r>
      <w:r w:rsidR="00197298">
        <w:t>(r</w:t>
      </w:r>
      <w:r w:rsidR="00AD5DB1">
        <w:t xml:space="preserve">ule) </w:t>
      </w:r>
      <w:r w:rsidRPr="001850D2">
        <w:t xml:space="preserve">would </w:t>
      </w:r>
      <w:r w:rsidR="00A142C8" w:rsidRPr="001850D2">
        <w:t>provide the legislative authority for the Commonwealth to form</w:t>
      </w:r>
      <w:r w:rsidR="007C0DAB">
        <w:t>,</w:t>
      </w:r>
      <w:r w:rsidR="00A142C8" w:rsidRPr="001850D2">
        <w:t xml:space="preserve"> or participate in forming</w:t>
      </w:r>
      <w:r w:rsidR="007C0DAB">
        <w:t>,</w:t>
      </w:r>
      <w:r w:rsidR="00A142C8" w:rsidRPr="001850D2">
        <w:t xml:space="preserve"> a relevant company whose objec</w:t>
      </w:r>
      <w:r w:rsidR="00184415" w:rsidRPr="001850D2">
        <w:t>ts or proposed activities</w:t>
      </w:r>
      <w:r w:rsidR="00A9007B">
        <w:t xml:space="preserve"> </w:t>
      </w:r>
      <w:r w:rsidR="00C265D7">
        <w:t>a</w:t>
      </w:r>
      <w:r w:rsidR="00184415" w:rsidRPr="001850D2">
        <w:t xml:space="preserve">re </w:t>
      </w:r>
      <w:r w:rsidR="00184415" w:rsidRPr="001850D2">
        <w:rPr>
          <w:sz w:val="23"/>
          <w:szCs w:val="23"/>
        </w:rPr>
        <w:t>t</w:t>
      </w:r>
      <w:r w:rsidR="00A142C8" w:rsidRPr="001850D2">
        <w:rPr>
          <w:sz w:val="23"/>
          <w:szCs w:val="23"/>
        </w:rPr>
        <w:t>o</w:t>
      </w:r>
      <w:r w:rsidR="007C0DAB">
        <w:rPr>
          <w:sz w:val="23"/>
          <w:szCs w:val="23"/>
        </w:rPr>
        <w:t xml:space="preserve"> predominantly</w:t>
      </w:r>
      <w:r w:rsidR="00A142C8" w:rsidRPr="001850D2">
        <w:rPr>
          <w:sz w:val="23"/>
          <w:szCs w:val="23"/>
        </w:rPr>
        <w:t xml:space="preserve"> </w:t>
      </w:r>
      <w:r w:rsidR="007C0DAB">
        <w:rPr>
          <w:sz w:val="23"/>
          <w:szCs w:val="23"/>
        </w:rPr>
        <w:t>develop</w:t>
      </w:r>
      <w:r w:rsidR="00A142C8" w:rsidRPr="001850D2">
        <w:rPr>
          <w:sz w:val="23"/>
          <w:szCs w:val="23"/>
        </w:rPr>
        <w:t xml:space="preserve"> and commercialis</w:t>
      </w:r>
      <w:r w:rsidR="007C0DAB">
        <w:rPr>
          <w:sz w:val="23"/>
          <w:szCs w:val="23"/>
        </w:rPr>
        <w:t>e</w:t>
      </w:r>
      <w:r w:rsidR="00A142C8" w:rsidRPr="001850D2">
        <w:rPr>
          <w:sz w:val="23"/>
          <w:szCs w:val="23"/>
        </w:rPr>
        <w:t xml:space="preserve"> a prototype 10-qubit silicon quantum integrated circuit</w:t>
      </w:r>
      <w:r w:rsidR="007C0DAB">
        <w:rPr>
          <w:sz w:val="23"/>
          <w:szCs w:val="23"/>
        </w:rPr>
        <w:t xml:space="preserve">. This would allow the government </w:t>
      </w:r>
      <w:r w:rsidR="00262C06">
        <w:rPr>
          <w:sz w:val="23"/>
          <w:szCs w:val="23"/>
        </w:rPr>
        <w:t>to develop a</w:t>
      </w:r>
      <w:r w:rsidR="006D55F1">
        <w:rPr>
          <w:sz w:val="23"/>
          <w:szCs w:val="23"/>
        </w:rPr>
        <w:t xml:space="preserve"> practical quantum computing system</w:t>
      </w:r>
      <w:r w:rsidR="00077E83">
        <w:rPr>
          <w:sz w:val="23"/>
          <w:szCs w:val="23"/>
        </w:rPr>
        <w:t xml:space="preserve"> as part of </w:t>
      </w:r>
      <w:r w:rsidR="00262C06">
        <w:rPr>
          <w:sz w:val="23"/>
          <w:szCs w:val="23"/>
        </w:rPr>
        <w:t>its</w:t>
      </w:r>
      <w:r w:rsidR="00077E83">
        <w:rPr>
          <w:sz w:val="23"/>
          <w:szCs w:val="23"/>
        </w:rPr>
        <w:t xml:space="preserve"> National Innovation and Science Agenda.</w:t>
      </w:r>
      <w:r w:rsidR="007C0DAB">
        <w:rPr>
          <w:sz w:val="23"/>
          <w:szCs w:val="23"/>
        </w:rPr>
        <w:t xml:space="preserve"> </w:t>
      </w:r>
    </w:p>
    <w:p w:rsidR="007C0DAB" w:rsidRDefault="007C0DAB" w:rsidP="007C0DAB">
      <w:pPr>
        <w:pStyle w:val="Footer"/>
        <w:tabs>
          <w:tab w:val="clear" w:pos="4513"/>
          <w:tab w:val="clear" w:pos="9026"/>
          <w:tab w:val="left" w:pos="426"/>
          <w:tab w:val="center" w:pos="4153"/>
          <w:tab w:val="right" w:pos="8306"/>
        </w:tabs>
        <w:spacing w:line="240" w:lineRule="atLeast"/>
        <w:rPr>
          <w:sz w:val="23"/>
          <w:szCs w:val="23"/>
        </w:rPr>
      </w:pPr>
    </w:p>
    <w:p w:rsidR="00A77D43" w:rsidRPr="001850D2" w:rsidRDefault="005035B6" w:rsidP="00E70858">
      <w:pPr>
        <w:pStyle w:val="Default"/>
        <w:rPr>
          <w:rFonts w:eastAsiaTheme="minorEastAsia"/>
          <w:color w:val="auto"/>
          <w:lang w:bidi="en-US"/>
        </w:rPr>
      </w:pPr>
      <w:r w:rsidRPr="001850D2">
        <w:rPr>
          <w:rFonts w:eastAsiaTheme="minorEastAsia"/>
          <w:color w:val="auto"/>
          <w:lang w:bidi="en-US"/>
        </w:rPr>
        <w:t xml:space="preserve">Details of the </w:t>
      </w:r>
      <w:r w:rsidR="00032084">
        <w:rPr>
          <w:rFonts w:eastAsiaTheme="minorEastAsia"/>
          <w:color w:val="auto"/>
          <w:lang w:bidi="en-US"/>
        </w:rPr>
        <w:t>r</w:t>
      </w:r>
      <w:r w:rsidR="00EE1F92">
        <w:rPr>
          <w:rFonts w:eastAsiaTheme="minorEastAsia"/>
          <w:color w:val="auto"/>
          <w:lang w:bidi="en-US"/>
        </w:rPr>
        <w:t>ule</w:t>
      </w:r>
      <w:r w:rsidRPr="001850D2">
        <w:rPr>
          <w:rFonts w:eastAsiaTheme="minorEastAsia"/>
          <w:color w:val="auto"/>
          <w:lang w:bidi="en-US"/>
        </w:rPr>
        <w:t xml:space="preserve"> are set out at </w:t>
      </w:r>
      <w:r w:rsidRPr="001850D2">
        <w:rPr>
          <w:rFonts w:eastAsiaTheme="minorEastAsia"/>
          <w:color w:val="auto"/>
          <w:u w:val="single"/>
          <w:lang w:bidi="en-US"/>
        </w:rPr>
        <w:t>Attachment A</w:t>
      </w:r>
      <w:r w:rsidRPr="001850D2">
        <w:rPr>
          <w:rFonts w:eastAsiaTheme="minorEastAsia"/>
          <w:color w:val="auto"/>
          <w:lang w:bidi="en-US"/>
        </w:rPr>
        <w:t xml:space="preserve">. A Statement of Compatibility with Human Rights is at </w:t>
      </w:r>
      <w:r w:rsidRPr="001850D2">
        <w:rPr>
          <w:rFonts w:eastAsiaTheme="minorEastAsia"/>
          <w:color w:val="auto"/>
          <w:u w:val="single"/>
          <w:lang w:bidi="en-US"/>
        </w:rPr>
        <w:t>Attachment B</w:t>
      </w:r>
      <w:r w:rsidRPr="001850D2">
        <w:rPr>
          <w:rFonts w:eastAsiaTheme="minorEastAsia"/>
          <w:color w:val="auto"/>
          <w:lang w:bidi="en-US"/>
        </w:rPr>
        <w:t>.</w:t>
      </w:r>
    </w:p>
    <w:p w:rsidR="005035B6" w:rsidRPr="001850D2" w:rsidRDefault="005035B6" w:rsidP="00E70858">
      <w:pPr>
        <w:pStyle w:val="Default"/>
        <w:rPr>
          <w:rFonts w:eastAsiaTheme="minorEastAsia"/>
          <w:color w:val="auto"/>
          <w:lang w:bidi="en-US"/>
        </w:rPr>
      </w:pPr>
    </w:p>
    <w:p w:rsidR="005035B6" w:rsidRPr="001850D2" w:rsidRDefault="005035B6" w:rsidP="00E70858">
      <w:pPr>
        <w:autoSpaceDE w:val="0"/>
        <w:autoSpaceDN w:val="0"/>
        <w:adjustRightInd w:val="0"/>
        <w:rPr>
          <w:i/>
        </w:rPr>
      </w:pPr>
      <w:r w:rsidRPr="001850D2">
        <w:t xml:space="preserve">The </w:t>
      </w:r>
      <w:r w:rsidR="00197298">
        <w:t>r</w:t>
      </w:r>
      <w:r w:rsidR="00EE1F92">
        <w:t>ule</w:t>
      </w:r>
      <w:r w:rsidRPr="001850D2">
        <w:t xml:space="preserve"> is a legislative instrument for the purposes of the </w:t>
      </w:r>
      <w:r w:rsidR="00AD5DB1">
        <w:rPr>
          <w:i/>
        </w:rPr>
        <w:t>Legislation Act 2003</w:t>
      </w:r>
      <w:r w:rsidRPr="001850D2">
        <w:rPr>
          <w:i/>
        </w:rPr>
        <w:t>.</w:t>
      </w:r>
    </w:p>
    <w:p w:rsidR="005035B6" w:rsidRPr="001850D2" w:rsidRDefault="005035B6" w:rsidP="00E70858">
      <w:pPr>
        <w:autoSpaceDE w:val="0"/>
        <w:autoSpaceDN w:val="0"/>
        <w:adjustRightInd w:val="0"/>
      </w:pPr>
    </w:p>
    <w:p w:rsidR="005035B6" w:rsidRPr="001850D2" w:rsidRDefault="005035B6" w:rsidP="00473F49">
      <w:pPr>
        <w:autoSpaceDE w:val="0"/>
        <w:autoSpaceDN w:val="0"/>
        <w:adjustRightInd w:val="0"/>
      </w:pPr>
      <w:r w:rsidRPr="001850D2">
        <w:t xml:space="preserve">The </w:t>
      </w:r>
      <w:r w:rsidR="00197298">
        <w:t>r</w:t>
      </w:r>
      <w:r w:rsidR="00EE1F92">
        <w:t>ule</w:t>
      </w:r>
      <w:r w:rsidRPr="001850D2">
        <w:t xml:space="preserve"> </w:t>
      </w:r>
      <w:r w:rsidR="00197298">
        <w:t>will commence</w:t>
      </w:r>
      <w:r w:rsidRPr="001850D2">
        <w:t xml:space="preserve"> on the day after registration on the Federal Register of</w:t>
      </w:r>
      <w:r w:rsidR="00473F49">
        <w:t xml:space="preserve"> Legislation.</w:t>
      </w:r>
    </w:p>
    <w:p w:rsidR="00FF5D47" w:rsidRPr="001850D2" w:rsidRDefault="00FF5D47" w:rsidP="00E70858">
      <w:pPr>
        <w:rPr>
          <w:b/>
        </w:rPr>
      </w:pPr>
    </w:p>
    <w:p w:rsidR="000137D7" w:rsidRPr="001850D2" w:rsidRDefault="005035B6" w:rsidP="00E70858">
      <w:r w:rsidRPr="001850D2">
        <w:rPr>
          <w:b/>
        </w:rPr>
        <w:t>Consultation</w:t>
      </w:r>
    </w:p>
    <w:p w:rsidR="00642BCE" w:rsidRPr="001850D2" w:rsidRDefault="00642BCE" w:rsidP="00E70858"/>
    <w:p w:rsidR="00E70858" w:rsidRDefault="009E04FF" w:rsidP="00E70858">
      <w:r>
        <w:t>Th</w:t>
      </w:r>
      <w:r w:rsidR="00E70858" w:rsidRPr="001850D2">
        <w:t xml:space="preserve">e Department of Industry, Innovation and Science </w:t>
      </w:r>
      <w:r w:rsidR="00473F49">
        <w:t>has been consulted.</w:t>
      </w:r>
    </w:p>
    <w:p w:rsidR="00473F49" w:rsidRDefault="00473F49" w:rsidP="00E70858"/>
    <w:p w:rsidR="00473F49" w:rsidRDefault="00473F49" w:rsidP="00E70858"/>
    <w:p w:rsidR="00473F49" w:rsidRDefault="00473F49" w:rsidP="00E70858"/>
    <w:p w:rsidR="00473F49" w:rsidRPr="001850D2" w:rsidRDefault="00473F49" w:rsidP="00E70858"/>
    <w:p w:rsidR="000E60E2" w:rsidRPr="001850D2" w:rsidRDefault="000E60E2" w:rsidP="00160DD1"/>
    <w:p w:rsidR="000E60E2" w:rsidRPr="001850D2" w:rsidRDefault="000E60E2" w:rsidP="00160DD1"/>
    <w:p w:rsidR="005035B6" w:rsidRPr="001850D2" w:rsidRDefault="005035B6" w:rsidP="00E70858"/>
    <w:p w:rsidR="00FD01EB" w:rsidRPr="001850D2" w:rsidRDefault="00FD01EB" w:rsidP="00E70858">
      <w:pPr>
        <w:rPr>
          <w:b/>
        </w:rPr>
      </w:pPr>
    </w:p>
    <w:p w:rsidR="0052045F" w:rsidRDefault="0052045F" w:rsidP="00E70858">
      <w:pPr>
        <w:rPr>
          <w:b/>
        </w:rPr>
      </w:pPr>
    </w:p>
    <w:p w:rsidR="00EE1F92" w:rsidRPr="001850D2" w:rsidRDefault="00EE1F92" w:rsidP="00E70858">
      <w:pPr>
        <w:rPr>
          <w:b/>
        </w:rPr>
      </w:pPr>
    </w:p>
    <w:p w:rsidR="0052045F" w:rsidRPr="001850D2" w:rsidRDefault="0052045F" w:rsidP="00E70858">
      <w:pPr>
        <w:rPr>
          <w:b/>
        </w:rPr>
      </w:pPr>
    </w:p>
    <w:p w:rsidR="0052045F" w:rsidRDefault="0052045F" w:rsidP="00E70858">
      <w:pPr>
        <w:rPr>
          <w:b/>
        </w:rPr>
      </w:pPr>
    </w:p>
    <w:p w:rsidR="00A41D87" w:rsidRDefault="00A41D87" w:rsidP="00E70858">
      <w:pPr>
        <w:rPr>
          <w:b/>
        </w:rPr>
      </w:pPr>
    </w:p>
    <w:p w:rsidR="00A41D87" w:rsidRDefault="00A41D87" w:rsidP="00E70858">
      <w:pPr>
        <w:rPr>
          <w:b/>
        </w:rPr>
      </w:pPr>
    </w:p>
    <w:p w:rsidR="00A41D87" w:rsidRPr="001850D2" w:rsidRDefault="00A41D87" w:rsidP="00E70858">
      <w:pPr>
        <w:rPr>
          <w:b/>
        </w:rPr>
      </w:pPr>
    </w:p>
    <w:p w:rsidR="0052045F" w:rsidRPr="001850D2" w:rsidRDefault="0052045F" w:rsidP="00E70858">
      <w:pPr>
        <w:rPr>
          <w:b/>
        </w:rPr>
      </w:pPr>
    </w:p>
    <w:p w:rsidR="00FD01EB" w:rsidRDefault="00FD01EB" w:rsidP="00E70858">
      <w:pPr>
        <w:rPr>
          <w:b/>
        </w:rPr>
      </w:pPr>
    </w:p>
    <w:p w:rsidR="00C03CA8" w:rsidRDefault="00C03CA8" w:rsidP="00E70858">
      <w:pPr>
        <w:rPr>
          <w:b/>
        </w:rPr>
      </w:pPr>
    </w:p>
    <w:p w:rsidR="00FD01EB" w:rsidRPr="001850D2" w:rsidRDefault="00FD01EB" w:rsidP="00E70858">
      <w:pPr>
        <w:autoSpaceDE w:val="0"/>
        <w:autoSpaceDN w:val="0"/>
        <w:adjustRightInd w:val="0"/>
        <w:jc w:val="right"/>
        <w:rPr>
          <w:rFonts w:eastAsiaTheme="minorHAnsi"/>
          <w:b/>
          <w:bCs/>
          <w:u w:val="single"/>
          <w:lang w:bidi="ar-SA"/>
        </w:rPr>
      </w:pPr>
      <w:r w:rsidRPr="001850D2">
        <w:rPr>
          <w:rFonts w:eastAsiaTheme="minorHAnsi"/>
          <w:b/>
          <w:bCs/>
          <w:u w:val="single"/>
          <w:lang w:bidi="ar-SA"/>
        </w:rPr>
        <w:lastRenderedPageBreak/>
        <w:t>Attachment A</w:t>
      </w:r>
    </w:p>
    <w:p w:rsidR="00FD01EB" w:rsidRPr="001850D2" w:rsidRDefault="00FD01EB" w:rsidP="00E70858">
      <w:pPr>
        <w:autoSpaceDE w:val="0"/>
        <w:autoSpaceDN w:val="0"/>
        <w:adjustRightInd w:val="0"/>
        <w:jc w:val="right"/>
        <w:rPr>
          <w:rFonts w:eastAsiaTheme="minorHAnsi"/>
          <w:b/>
          <w:bCs/>
          <w:lang w:bidi="ar-SA"/>
        </w:rPr>
      </w:pPr>
    </w:p>
    <w:p w:rsidR="00FD01EB" w:rsidRPr="001850D2" w:rsidRDefault="00C03CA8" w:rsidP="00E70858">
      <w:pPr>
        <w:autoSpaceDE w:val="0"/>
        <w:autoSpaceDN w:val="0"/>
        <w:adjustRightInd w:val="0"/>
      </w:pPr>
      <w:r w:rsidRPr="00C03CA8">
        <w:rPr>
          <w:b/>
          <w:u w:val="single"/>
        </w:rPr>
        <w:t>Details of the</w:t>
      </w:r>
      <w:r>
        <w:rPr>
          <w:b/>
          <w:i/>
          <w:u w:val="single"/>
        </w:rPr>
        <w:t xml:space="preserve"> </w:t>
      </w:r>
      <w:r w:rsidR="00FD01EB" w:rsidRPr="001850D2">
        <w:rPr>
          <w:b/>
          <w:i/>
          <w:u w:val="single"/>
        </w:rPr>
        <w:t>Public Governance, Performanc</w:t>
      </w:r>
      <w:r>
        <w:rPr>
          <w:b/>
          <w:i/>
          <w:u w:val="single"/>
        </w:rPr>
        <w:t>e and Accountability Act 2013 (R</w:t>
      </w:r>
      <w:r w:rsidR="00FD01EB" w:rsidRPr="001850D2">
        <w:rPr>
          <w:b/>
          <w:i/>
          <w:u w:val="single"/>
        </w:rPr>
        <w:t xml:space="preserve">elevant </w:t>
      </w:r>
      <w:r>
        <w:rPr>
          <w:b/>
          <w:i/>
          <w:u w:val="single"/>
        </w:rPr>
        <w:t>Company</w:t>
      </w:r>
      <w:r w:rsidR="00FD01EB" w:rsidRPr="001850D2">
        <w:rPr>
          <w:b/>
          <w:i/>
          <w:u w:val="single"/>
        </w:rPr>
        <w:t>) Rule 2016</w:t>
      </w:r>
    </w:p>
    <w:p w:rsidR="00FD01EB" w:rsidRPr="001850D2" w:rsidRDefault="00FD01EB" w:rsidP="00E70858">
      <w:pPr>
        <w:autoSpaceDE w:val="0"/>
        <w:autoSpaceDN w:val="0"/>
        <w:adjustRightInd w:val="0"/>
      </w:pPr>
    </w:p>
    <w:p w:rsidR="00FD01EB" w:rsidRDefault="00C03CA8" w:rsidP="00E70858">
      <w:pPr>
        <w:autoSpaceDE w:val="0"/>
        <w:autoSpaceDN w:val="0"/>
        <w:adjustRightInd w:val="0"/>
        <w:rPr>
          <w:b/>
        </w:rPr>
      </w:pPr>
      <w:r>
        <w:rPr>
          <w:b/>
        </w:rPr>
        <w:t>Section 1 – Name</w:t>
      </w:r>
    </w:p>
    <w:p w:rsidR="00C03CA8" w:rsidRDefault="00C03CA8" w:rsidP="00E70858">
      <w:pPr>
        <w:autoSpaceDE w:val="0"/>
        <w:autoSpaceDN w:val="0"/>
        <w:adjustRightInd w:val="0"/>
        <w:rPr>
          <w:b/>
        </w:rPr>
      </w:pPr>
    </w:p>
    <w:p w:rsidR="00C03CA8" w:rsidRPr="00C03CA8" w:rsidRDefault="00C03CA8" w:rsidP="00C03CA8">
      <w:pPr>
        <w:autoSpaceDE w:val="0"/>
        <w:autoSpaceDN w:val="0"/>
        <w:adjustRightInd w:val="0"/>
      </w:pPr>
      <w:r>
        <w:t xml:space="preserve">This section provides that the title of the rule is the </w:t>
      </w:r>
      <w:r w:rsidRPr="00C03CA8">
        <w:rPr>
          <w:i/>
        </w:rPr>
        <w:t>Public Governance, Performance and Accountability (Relevant Company) Rule 2016</w:t>
      </w:r>
      <w:r>
        <w:t>.</w:t>
      </w:r>
    </w:p>
    <w:p w:rsidR="00C03CA8" w:rsidRPr="00C03CA8" w:rsidRDefault="00C03CA8" w:rsidP="00E70858">
      <w:pPr>
        <w:autoSpaceDE w:val="0"/>
        <w:autoSpaceDN w:val="0"/>
        <w:adjustRightInd w:val="0"/>
      </w:pPr>
    </w:p>
    <w:p w:rsidR="00C03CA8" w:rsidRDefault="00C03CA8" w:rsidP="00E70858">
      <w:pPr>
        <w:autoSpaceDE w:val="0"/>
        <w:autoSpaceDN w:val="0"/>
        <w:adjustRightInd w:val="0"/>
        <w:rPr>
          <w:b/>
        </w:rPr>
      </w:pPr>
      <w:r>
        <w:rPr>
          <w:b/>
        </w:rPr>
        <w:t>Section 2 – Commencement</w:t>
      </w:r>
    </w:p>
    <w:p w:rsidR="00C03CA8" w:rsidRDefault="00C03CA8" w:rsidP="00E70858">
      <w:pPr>
        <w:autoSpaceDE w:val="0"/>
        <w:autoSpaceDN w:val="0"/>
        <w:adjustRightInd w:val="0"/>
        <w:rPr>
          <w:b/>
        </w:rPr>
      </w:pPr>
    </w:p>
    <w:p w:rsidR="00C03CA8" w:rsidRPr="00C03CA8" w:rsidRDefault="00C03CA8" w:rsidP="00E70858">
      <w:pPr>
        <w:autoSpaceDE w:val="0"/>
        <w:autoSpaceDN w:val="0"/>
        <w:adjustRightInd w:val="0"/>
      </w:pPr>
      <w:r>
        <w:t>This section provi</w:t>
      </w:r>
      <w:r w:rsidR="00D659E6">
        <w:t xml:space="preserve">des that each provision of the </w:t>
      </w:r>
      <w:r w:rsidR="00197298">
        <w:t>r</w:t>
      </w:r>
      <w:r>
        <w:t>ule specified in column 1 of the table commences, or is taken to have commenced, in accordance with column 2 of the table.</w:t>
      </w:r>
    </w:p>
    <w:p w:rsidR="00C03CA8" w:rsidRDefault="00C03CA8" w:rsidP="00E70858">
      <w:pPr>
        <w:autoSpaceDE w:val="0"/>
        <w:autoSpaceDN w:val="0"/>
        <w:adjustRightInd w:val="0"/>
        <w:rPr>
          <w:b/>
        </w:rPr>
      </w:pPr>
    </w:p>
    <w:p w:rsidR="00C03CA8" w:rsidRDefault="00197298" w:rsidP="00E70858">
      <w:pPr>
        <w:autoSpaceDE w:val="0"/>
        <w:autoSpaceDN w:val="0"/>
        <w:adjustRightInd w:val="0"/>
        <w:rPr>
          <w:b/>
        </w:rPr>
      </w:pPr>
      <w:r>
        <w:t>The whole of the r</w:t>
      </w:r>
      <w:r w:rsidR="00D659E6">
        <w:t>ule will commence on the day after it is registered on the</w:t>
      </w:r>
      <w:r w:rsidR="004C7EC1">
        <w:t xml:space="preserve"> Federal Register of Legislation</w:t>
      </w:r>
      <w:r w:rsidR="00D659E6">
        <w:t>.</w:t>
      </w:r>
    </w:p>
    <w:p w:rsidR="00C03CA8" w:rsidRDefault="00C03CA8" w:rsidP="00E70858">
      <w:pPr>
        <w:autoSpaceDE w:val="0"/>
        <w:autoSpaceDN w:val="0"/>
        <w:adjustRightInd w:val="0"/>
        <w:rPr>
          <w:b/>
        </w:rPr>
      </w:pPr>
    </w:p>
    <w:p w:rsidR="00C03CA8" w:rsidRDefault="00C03CA8" w:rsidP="00E70858">
      <w:pPr>
        <w:autoSpaceDE w:val="0"/>
        <w:autoSpaceDN w:val="0"/>
        <w:adjustRightInd w:val="0"/>
        <w:rPr>
          <w:b/>
        </w:rPr>
      </w:pPr>
      <w:r>
        <w:rPr>
          <w:b/>
        </w:rPr>
        <w:t>Section 3 – Authority</w:t>
      </w:r>
    </w:p>
    <w:p w:rsidR="00C03CA8" w:rsidRDefault="00C03CA8" w:rsidP="00E70858">
      <w:pPr>
        <w:autoSpaceDE w:val="0"/>
        <w:autoSpaceDN w:val="0"/>
        <w:adjustRightInd w:val="0"/>
        <w:rPr>
          <w:b/>
        </w:rPr>
      </w:pPr>
    </w:p>
    <w:p w:rsidR="00C03CA8" w:rsidRDefault="00442877" w:rsidP="00E70858">
      <w:pPr>
        <w:autoSpaceDE w:val="0"/>
        <w:autoSpaceDN w:val="0"/>
        <w:adjustRightInd w:val="0"/>
        <w:rPr>
          <w:b/>
        </w:rPr>
      </w:pPr>
      <w:r>
        <w:t>This section provides that the instrument is made under th</w:t>
      </w:r>
      <w:r w:rsidRPr="00442877">
        <w:t xml:space="preserve">e </w:t>
      </w:r>
      <w:r w:rsidRPr="00442877">
        <w:rPr>
          <w:i/>
          <w:iCs/>
        </w:rPr>
        <w:t>Public Governance, Performance and Accountability Act 2013</w:t>
      </w:r>
      <w:r>
        <w:t xml:space="preserve"> (PGPA Act).</w:t>
      </w:r>
    </w:p>
    <w:p w:rsidR="00C03CA8" w:rsidRDefault="00C03CA8" w:rsidP="00E70858">
      <w:pPr>
        <w:autoSpaceDE w:val="0"/>
        <w:autoSpaceDN w:val="0"/>
        <w:adjustRightInd w:val="0"/>
        <w:rPr>
          <w:b/>
        </w:rPr>
      </w:pPr>
    </w:p>
    <w:p w:rsidR="00C03CA8" w:rsidRDefault="00C03CA8" w:rsidP="00E70858">
      <w:pPr>
        <w:autoSpaceDE w:val="0"/>
        <w:autoSpaceDN w:val="0"/>
        <w:adjustRightInd w:val="0"/>
        <w:rPr>
          <w:b/>
        </w:rPr>
      </w:pPr>
      <w:r>
        <w:rPr>
          <w:b/>
        </w:rPr>
        <w:t>Section 4 – Definitions</w:t>
      </w:r>
    </w:p>
    <w:p w:rsidR="00C03CA8" w:rsidRDefault="00C03CA8" w:rsidP="00E70858">
      <w:pPr>
        <w:autoSpaceDE w:val="0"/>
        <w:autoSpaceDN w:val="0"/>
        <w:adjustRightInd w:val="0"/>
        <w:rPr>
          <w:b/>
        </w:rPr>
      </w:pPr>
    </w:p>
    <w:p w:rsidR="00C03CA8" w:rsidRPr="00442877" w:rsidRDefault="00442877" w:rsidP="00E70858">
      <w:pPr>
        <w:autoSpaceDE w:val="0"/>
        <w:autoSpaceDN w:val="0"/>
        <w:adjustRightInd w:val="0"/>
      </w:pPr>
      <w:r>
        <w:t xml:space="preserve">This section provides that in the </w:t>
      </w:r>
      <w:r w:rsidR="00197298">
        <w:t>r</w:t>
      </w:r>
      <w:r>
        <w:t>ule ‘Act’ means the PGPA Act.</w:t>
      </w:r>
    </w:p>
    <w:p w:rsidR="00C03CA8" w:rsidRDefault="00C03CA8" w:rsidP="00E70858">
      <w:pPr>
        <w:autoSpaceDE w:val="0"/>
        <w:autoSpaceDN w:val="0"/>
        <w:adjustRightInd w:val="0"/>
        <w:rPr>
          <w:b/>
        </w:rPr>
      </w:pPr>
    </w:p>
    <w:p w:rsidR="00C03CA8" w:rsidRDefault="00C03CA8" w:rsidP="00E70858">
      <w:pPr>
        <w:autoSpaceDE w:val="0"/>
        <w:autoSpaceDN w:val="0"/>
        <w:adjustRightInd w:val="0"/>
        <w:rPr>
          <w:b/>
        </w:rPr>
      </w:pPr>
      <w:r>
        <w:rPr>
          <w:b/>
        </w:rPr>
        <w:t>Section 5 – Relevant company</w:t>
      </w:r>
    </w:p>
    <w:p w:rsidR="00C03CA8" w:rsidRDefault="00C03CA8" w:rsidP="00E70858">
      <w:pPr>
        <w:autoSpaceDE w:val="0"/>
        <w:autoSpaceDN w:val="0"/>
        <w:adjustRightInd w:val="0"/>
        <w:rPr>
          <w:b/>
        </w:rPr>
      </w:pPr>
    </w:p>
    <w:p w:rsidR="00442877" w:rsidRPr="00442877" w:rsidRDefault="00932786" w:rsidP="00E70858">
      <w:pPr>
        <w:autoSpaceDE w:val="0"/>
        <w:autoSpaceDN w:val="0"/>
        <w:adjustRightInd w:val="0"/>
      </w:pPr>
      <w:r>
        <w:t xml:space="preserve">This section provides that a company is a relevant company if it is of a kind </w:t>
      </w:r>
      <w:r w:rsidR="00C265D7">
        <w:t>mentioned</w:t>
      </w:r>
      <w:r>
        <w:t xml:space="preserve"> in column 2</w:t>
      </w:r>
      <w:r w:rsidR="00C265D7">
        <w:t xml:space="preserve"> of the table and its objects or proposed activities are of a kind mentioned in </w:t>
      </w:r>
      <w:r w:rsidR="009E76B6">
        <w:br/>
      </w:r>
      <w:bookmarkStart w:id="0" w:name="_GoBack"/>
      <w:bookmarkEnd w:id="0"/>
      <w:r w:rsidR="00C265D7">
        <w:t xml:space="preserve">column 3 </w:t>
      </w:r>
      <w:r w:rsidR="00733335">
        <w:t xml:space="preserve">for the corresponding </w:t>
      </w:r>
      <w:r w:rsidR="00C265D7">
        <w:t xml:space="preserve">item. </w:t>
      </w:r>
    </w:p>
    <w:p w:rsidR="00C03CA8" w:rsidRDefault="00C03CA8" w:rsidP="00E70858">
      <w:pPr>
        <w:autoSpaceDE w:val="0"/>
        <w:autoSpaceDN w:val="0"/>
        <w:adjustRightInd w:val="0"/>
        <w:rPr>
          <w:b/>
        </w:rPr>
      </w:pPr>
    </w:p>
    <w:p w:rsidR="00C03CA8" w:rsidRDefault="00C03CA8" w:rsidP="00E70858">
      <w:pPr>
        <w:autoSpaceDE w:val="0"/>
        <w:autoSpaceDN w:val="0"/>
        <w:adjustRightInd w:val="0"/>
        <w:rPr>
          <w:b/>
        </w:rPr>
      </w:pPr>
    </w:p>
    <w:p w:rsidR="00C03CA8" w:rsidRDefault="00C03CA8" w:rsidP="00E70858">
      <w:pPr>
        <w:autoSpaceDE w:val="0"/>
        <w:autoSpaceDN w:val="0"/>
        <w:adjustRightInd w:val="0"/>
        <w:rPr>
          <w:b/>
        </w:rPr>
      </w:pPr>
    </w:p>
    <w:p w:rsidR="00C03CA8" w:rsidRDefault="00C03CA8" w:rsidP="00E70858">
      <w:pPr>
        <w:autoSpaceDE w:val="0"/>
        <w:autoSpaceDN w:val="0"/>
        <w:adjustRightInd w:val="0"/>
        <w:rPr>
          <w:b/>
        </w:rPr>
      </w:pPr>
    </w:p>
    <w:p w:rsidR="00C03CA8" w:rsidRDefault="00C03CA8" w:rsidP="00E70858">
      <w:pPr>
        <w:autoSpaceDE w:val="0"/>
        <w:autoSpaceDN w:val="0"/>
        <w:adjustRightInd w:val="0"/>
        <w:rPr>
          <w:b/>
        </w:rPr>
      </w:pPr>
    </w:p>
    <w:p w:rsidR="00C03CA8" w:rsidRPr="00C03CA8" w:rsidRDefault="00C03CA8" w:rsidP="00E70858">
      <w:pPr>
        <w:autoSpaceDE w:val="0"/>
        <w:autoSpaceDN w:val="0"/>
        <w:adjustRightInd w:val="0"/>
        <w:rPr>
          <w:b/>
        </w:rPr>
      </w:pPr>
    </w:p>
    <w:p w:rsidR="00FD01EB" w:rsidRPr="001850D2" w:rsidRDefault="00FD01EB" w:rsidP="00E70858">
      <w:pPr>
        <w:autoSpaceDE w:val="0"/>
        <w:autoSpaceDN w:val="0"/>
        <w:adjustRightInd w:val="0"/>
      </w:pPr>
    </w:p>
    <w:p w:rsidR="00FD01EB" w:rsidRPr="001850D2" w:rsidRDefault="00FD01EB" w:rsidP="00E70858">
      <w:pPr>
        <w:autoSpaceDE w:val="0"/>
        <w:autoSpaceDN w:val="0"/>
        <w:adjustRightInd w:val="0"/>
      </w:pPr>
    </w:p>
    <w:p w:rsidR="00FD01EB" w:rsidRPr="001850D2" w:rsidRDefault="00FD01EB" w:rsidP="00E70858">
      <w:pPr>
        <w:autoSpaceDE w:val="0"/>
        <w:autoSpaceDN w:val="0"/>
        <w:adjustRightInd w:val="0"/>
      </w:pPr>
    </w:p>
    <w:p w:rsidR="009D6CE9" w:rsidRPr="001850D2" w:rsidRDefault="009D6CE9" w:rsidP="00E70858">
      <w:pPr>
        <w:autoSpaceDE w:val="0"/>
        <w:autoSpaceDN w:val="0"/>
        <w:adjustRightInd w:val="0"/>
      </w:pPr>
    </w:p>
    <w:p w:rsidR="009D6CE9" w:rsidRPr="001850D2" w:rsidRDefault="009D6CE9" w:rsidP="00E70858">
      <w:pPr>
        <w:autoSpaceDE w:val="0"/>
        <w:autoSpaceDN w:val="0"/>
        <w:adjustRightInd w:val="0"/>
      </w:pPr>
    </w:p>
    <w:p w:rsidR="009D6CE9" w:rsidRPr="001850D2" w:rsidRDefault="009D6CE9" w:rsidP="00E70858">
      <w:pPr>
        <w:autoSpaceDE w:val="0"/>
        <w:autoSpaceDN w:val="0"/>
        <w:adjustRightInd w:val="0"/>
      </w:pPr>
    </w:p>
    <w:p w:rsidR="009D6CE9" w:rsidRPr="001850D2" w:rsidRDefault="009D6CE9" w:rsidP="00E70858">
      <w:pPr>
        <w:autoSpaceDE w:val="0"/>
        <w:autoSpaceDN w:val="0"/>
        <w:adjustRightInd w:val="0"/>
      </w:pPr>
    </w:p>
    <w:p w:rsidR="009D6CE9" w:rsidRPr="001850D2" w:rsidRDefault="009D6CE9" w:rsidP="00E70858">
      <w:pPr>
        <w:autoSpaceDE w:val="0"/>
        <w:autoSpaceDN w:val="0"/>
        <w:adjustRightInd w:val="0"/>
      </w:pPr>
    </w:p>
    <w:p w:rsidR="009D6CE9" w:rsidRPr="001850D2" w:rsidRDefault="009D6CE9" w:rsidP="00E70858">
      <w:pPr>
        <w:autoSpaceDE w:val="0"/>
        <w:autoSpaceDN w:val="0"/>
        <w:adjustRightInd w:val="0"/>
      </w:pPr>
    </w:p>
    <w:p w:rsidR="009D6CE9" w:rsidRPr="001850D2" w:rsidRDefault="009D6CE9" w:rsidP="00E70858">
      <w:pPr>
        <w:autoSpaceDE w:val="0"/>
        <w:autoSpaceDN w:val="0"/>
        <w:adjustRightInd w:val="0"/>
      </w:pPr>
    </w:p>
    <w:p w:rsidR="009D6CE9" w:rsidRPr="001850D2" w:rsidRDefault="009D6CE9" w:rsidP="00E70858">
      <w:pPr>
        <w:autoSpaceDE w:val="0"/>
        <w:autoSpaceDN w:val="0"/>
        <w:adjustRightInd w:val="0"/>
      </w:pPr>
    </w:p>
    <w:p w:rsidR="009D6CE9" w:rsidRPr="001850D2" w:rsidRDefault="009D6CE9" w:rsidP="00E70858">
      <w:pPr>
        <w:autoSpaceDE w:val="0"/>
        <w:autoSpaceDN w:val="0"/>
        <w:adjustRightInd w:val="0"/>
      </w:pPr>
    </w:p>
    <w:p w:rsidR="009D6CE9" w:rsidRPr="001850D2" w:rsidRDefault="009D6CE9" w:rsidP="00E70858">
      <w:pPr>
        <w:autoSpaceDE w:val="0"/>
        <w:autoSpaceDN w:val="0"/>
        <w:adjustRightInd w:val="0"/>
        <w:jc w:val="right"/>
        <w:rPr>
          <w:rFonts w:eastAsiaTheme="minorHAnsi"/>
          <w:b/>
          <w:bCs/>
          <w:u w:val="single"/>
          <w:lang w:bidi="ar-SA"/>
        </w:rPr>
      </w:pPr>
      <w:r w:rsidRPr="001850D2">
        <w:rPr>
          <w:rFonts w:eastAsiaTheme="minorHAnsi"/>
          <w:b/>
          <w:bCs/>
          <w:u w:val="single"/>
          <w:lang w:bidi="ar-SA"/>
        </w:rPr>
        <w:lastRenderedPageBreak/>
        <w:t>Attachment B</w:t>
      </w:r>
    </w:p>
    <w:p w:rsidR="009D6CE9" w:rsidRPr="001850D2" w:rsidRDefault="009D6CE9" w:rsidP="00E70858">
      <w:pPr>
        <w:autoSpaceDE w:val="0"/>
        <w:autoSpaceDN w:val="0"/>
        <w:adjustRightInd w:val="0"/>
        <w:jc w:val="center"/>
        <w:rPr>
          <w:rFonts w:eastAsiaTheme="minorHAnsi"/>
          <w:b/>
          <w:bCs/>
          <w:lang w:bidi="ar-SA"/>
        </w:rPr>
      </w:pPr>
      <w:r w:rsidRPr="001850D2">
        <w:rPr>
          <w:rFonts w:eastAsiaTheme="minorHAnsi"/>
          <w:b/>
          <w:bCs/>
          <w:lang w:bidi="ar-SA"/>
        </w:rPr>
        <w:t>Statement of Compatibility with Human Rights</w:t>
      </w:r>
    </w:p>
    <w:p w:rsidR="001A1D47" w:rsidRPr="001850D2" w:rsidRDefault="001A1D47" w:rsidP="001A1D47">
      <w:pPr>
        <w:autoSpaceDE w:val="0"/>
        <w:autoSpaceDN w:val="0"/>
        <w:adjustRightInd w:val="0"/>
        <w:rPr>
          <w:rFonts w:eastAsiaTheme="minorHAnsi"/>
          <w:lang w:bidi="ar-SA"/>
        </w:rPr>
      </w:pPr>
    </w:p>
    <w:p w:rsidR="001A1D47" w:rsidRPr="001850D2" w:rsidRDefault="001A1D47" w:rsidP="001A1D47">
      <w:pPr>
        <w:autoSpaceDE w:val="0"/>
        <w:autoSpaceDN w:val="0"/>
        <w:adjustRightInd w:val="0"/>
        <w:rPr>
          <w:rFonts w:eastAsiaTheme="minorHAnsi"/>
          <w:iCs/>
          <w:lang w:bidi="ar-SA"/>
        </w:rPr>
      </w:pPr>
      <w:r w:rsidRPr="001850D2">
        <w:rPr>
          <w:rFonts w:eastAsiaTheme="minorHAnsi"/>
          <w:lang w:bidi="ar-SA"/>
        </w:rPr>
        <w:t xml:space="preserve">Prepared in accordance with Part 3 of the </w:t>
      </w:r>
      <w:r w:rsidRPr="001850D2">
        <w:rPr>
          <w:rFonts w:eastAsiaTheme="minorHAnsi"/>
          <w:i/>
          <w:iCs/>
          <w:lang w:bidi="ar-SA"/>
        </w:rPr>
        <w:t>Human Rights (Parliamentary Scrutiny) Act 2011</w:t>
      </w:r>
    </w:p>
    <w:p w:rsidR="001A1D47" w:rsidRPr="001850D2" w:rsidRDefault="001A1D47" w:rsidP="001A1D47">
      <w:pPr>
        <w:autoSpaceDE w:val="0"/>
        <w:autoSpaceDN w:val="0"/>
        <w:adjustRightInd w:val="0"/>
        <w:rPr>
          <w:rFonts w:eastAsiaTheme="minorHAnsi"/>
          <w:iCs/>
          <w:lang w:bidi="ar-SA"/>
        </w:rPr>
      </w:pPr>
    </w:p>
    <w:p w:rsidR="001A1D47" w:rsidRPr="00276C26" w:rsidRDefault="004F0DD4" w:rsidP="001A1D47">
      <w:pPr>
        <w:autoSpaceDE w:val="0"/>
        <w:autoSpaceDN w:val="0"/>
        <w:adjustRightInd w:val="0"/>
        <w:rPr>
          <w:rFonts w:eastAsiaTheme="minorHAnsi"/>
          <w:lang w:bidi="ar-SA"/>
        </w:rPr>
      </w:pPr>
      <w:r>
        <w:rPr>
          <w:rFonts w:eastAsiaTheme="minorHAnsi"/>
          <w:lang w:bidi="ar-SA"/>
        </w:rPr>
        <w:t xml:space="preserve">The </w:t>
      </w:r>
      <w:r w:rsidRPr="004F0DD4">
        <w:rPr>
          <w:i/>
        </w:rPr>
        <w:t>Public Governance, Performance and Accountability (Relevant Company) Rule 2016</w:t>
      </w:r>
      <w:r w:rsidR="00197298">
        <w:t xml:space="preserve"> </w:t>
      </w:r>
      <w:r w:rsidR="001A1D47" w:rsidRPr="001850D2">
        <w:rPr>
          <w:rFonts w:eastAsiaTheme="minorHAnsi"/>
          <w:lang w:bidi="ar-SA"/>
        </w:rPr>
        <w:t>is compatible with the human rights and freedoms recognised or declared in</w:t>
      </w:r>
      <w:r w:rsidR="00276C26">
        <w:rPr>
          <w:rFonts w:eastAsiaTheme="minorHAnsi"/>
          <w:lang w:bidi="ar-SA"/>
        </w:rPr>
        <w:t xml:space="preserve"> </w:t>
      </w:r>
      <w:r w:rsidR="001A1D47" w:rsidRPr="001850D2">
        <w:rPr>
          <w:rFonts w:eastAsiaTheme="minorHAnsi"/>
          <w:lang w:bidi="ar-SA"/>
        </w:rPr>
        <w:t xml:space="preserve">the international instruments listed in section 3 of the </w:t>
      </w:r>
      <w:r w:rsidR="001A1D47" w:rsidRPr="001850D2">
        <w:rPr>
          <w:rFonts w:eastAsiaTheme="minorHAnsi"/>
          <w:i/>
          <w:iCs/>
          <w:lang w:bidi="ar-SA"/>
        </w:rPr>
        <w:t>Human Rights (Parliamentary Scrutiny) Act 2011.</w:t>
      </w:r>
    </w:p>
    <w:p w:rsidR="004F0DD4" w:rsidRDefault="004F0DD4" w:rsidP="001A1D47">
      <w:pPr>
        <w:autoSpaceDE w:val="0"/>
        <w:autoSpaceDN w:val="0"/>
        <w:adjustRightInd w:val="0"/>
        <w:rPr>
          <w:rFonts w:eastAsiaTheme="minorHAnsi"/>
          <w:i/>
          <w:iCs/>
          <w:lang w:bidi="ar-SA"/>
        </w:rPr>
      </w:pPr>
    </w:p>
    <w:p w:rsidR="004F0DD4" w:rsidRDefault="004F0DD4" w:rsidP="001A1D47">
      <w:pPr>
        <w:autoSpaceDE w:val="0"/>
        <w:autoSpaceDN w:val="0"/>
        <w:adjustRightInd w:val="0"/>
        <w:rPr>
          <w:rFonts w:eastAsiaTheme="minorHAnsi"/>
          <w:iCs/>
          <w:lang w:bidi="ar-SA"/>
        </w:rPr>
      </w:pPr>
      <w:r>
        <w:rPr>
          <w:rFonts w:eastAsiaTheme="minorHAnsi"/>
          <w:b/>
          <w:iCs/>
          <w:lang w:bidi="ar-SA"/>
        </w:rPr>
        <w:t>Overview of the legislative instrument</w:t>
      </w:r>
    </w:p>
    <w:p w:rsidR="004F0DD4" w:rsidRDefault="004F0DD4" w:rsidP="004F0DD4">
      <w:r w:rsidRPr="00063C9E">
        <w:t xml:space="preserve">The </w:t>
      </w:r>
      <w:r w:rsidRPr="00063C9E">
        <w:rPr>
          <w:i/>
        </w:rPr>
        <w:t>Public Governance, Performance and Accountability Act 2013</w:t>
      </w:r>
      <w:r w:rsidRPr="00063C9E">
        <w:t xml:space="preserve"> (PGPA Act) establishes a framework for regulating resource management by the Commonwealth and relevant entities. Section 101 of the PGPA Act provides that the Finance Minister may make rules by legislative instrument to prescribe matters giving effect to the Act.</w:t>
      </w:r>
    </w:p>
    <w:p w:rsidR="004F0DD4" w:rsidRDefault="004F0DD4" w:rsidP="004F0DD4"/>
    <w:p w:rsidR="0015244E" w:rsidRDefault="004F0DD4" w:rsidP="004F0DD4">
      <w:r>
        <w:t xml:space="preserve">The </w:t>
      </w:r>
      <w:r w:rsidRPr="004F0DD4">
        <w:rPr>
          <w:i/>
        </w:rPr>
        <w:t>Public Governance, Performanc</w:t>
      </w:r>
      <w:r w:rsidR="00276C26">
        <w:rPr>
          <w:i/>
        </w:rPr>
        <w:t xml:space="preserve">e and Accountability </w:t>
      </w:r>
      <w:r w:rsidRPr="004F0DD4">
        <w:rPr>
          <w:i/>
        </w:rPr>
        <w:t>(Relevant Company) Rule 2016</w:t>
      </w:r>
      <w:r w:rsidR="00197298">
        <w:t xml:space="preserve"> (rule) </w:t>
      </w:r>
      <w:r>
        <w:t xml:space="preserve">would establish a </w:t>
      </w:r>
      <w:r w:rsidR="00197298">
        <w:t>r</w:t>
      </w:r>
      <w:r>
        <w:t>ule u</w:t>
      </w:r>
      <w:r w:rsidR="0015244E">
        <w:t>nder section 85 of the PGPA Act</w:t>
      </w:r>
      <w:r w:rsidR="00197298">
        <w:t>. T</w:t>
      </w:r>
      <w:r w:rsidR="0015244E">
        <w:t xml:space="preserve">he </w:t>
      </w:r>
      <w:r w:rsidR="00197298">
        <w:t>r</w:t>
      </w:r>
      <w:r w:rsidR="0015244E">
        <w:t xml:space="preserve">ule would </w:t>
      </w:r>
      <w:r w:rsidR="00197298">
        <w:t>provide the Commonwealth with the legislative authority to f</w:t>
      </w:r>
      <w:r w:rsidR="0015244E">
        <w:t>orm</w:t>
      </w:r>
      <w:r w:rsidR="00197298">
        <w:t>,</w:t>
      </w:r>
      <w:r w:rsidR="0015244E">
        <w:t xml:space="preserve"> or participate in forming</w:t>
      </w:r>
      <w:r w:rsidR="00197298">
        <w:t>,</w:t>
      </w:r>
      <w:r w:rsidR="0015244E">
        <w:t xml:space="preserve"> relevant companies </w:t>
      </w:r>
      <w:r w:rsidR="00197298">
        <w:t xml:space="preserve">mentioned in section 5 of the rule. </w:t>
      </w:r>
    </w:p>
    <w:p w:rsidR="0015244E" w:rsidRDefault="0015244E" w:rsidP="004F0DD4"/>
    <w:p w:rsidR="0015244E" w:rsidRPr="00063C9E" w:rsidRDefault="0015244E" w:rsidP="0015244E">
      <w:pPr>
        <w:rPr>
          <w:b/>
        </w:rPr>
      </w:pPr>
      <w:r w:rsidRPr="00063C9E">
        <w:rPr>
          <w:b/>
        </w:rPr>
        <w:t>Human rights implications</w:t>
      </w:r>
    </w:p>
    <w:p w:rsidR="0015244E" w:rsidRPr="00063C9E" w:rsidRDefault="0015244E" w:rsidP="0015244E">
      <w:r w:rsidRPr="00063C9E">
        <w:t xml:space="preserve">The </w:t>
      </w:r>
      <w:r w:rsidR="00197298">
        <w:t>r</w:t>
      </w:r>
      <w:r>
        <w:t>ule</w:t>
      </w:r>
      <w:r w:rsidRPr="00063C9E">
        <w:t xml:space="preserve"> does not </w:t>
      </w:r>
      <w:r>
        <w:t>impinge on</w:t>
      </w:r>
      <w:r w:rsidRPr="00063C9E">
        <w:t xml:space="preserve"> any applicable rights or freedoms.</w:t>
      </w:r>
    </w:p>
    <w:p w:rsidR="0015244E" w:rsidRPr="00063C9E" w:rsidRDefault="0015244E" w:rsidP="0015244E">
      <w:pPr>
        <w:rPr>
          <w:b/>
        </w:rPr>
      </w:pPr>
    </w:p>
    <w:p w:rsidR="0015244E" w:rsidRPr="00063C9E" w:rsidRDefault="0015244E" w:rsidP="0015244E">
      <w:pPr>
        <w:rPr>
          <w:b/>
        </w:rPr>
      </w:pPr>
      <w:r w:rsidRPr="00063C9E">
        <w:rPr>
          <w:b/>
        </w:rPr>
        <w:t>Conclusion</w:t>
      </w:r>
    </w:p>
    <w:p w:rsidR="0015244E" w:rsidRDefault="0015244E" w:rsidP="0015244E">
      <w:r w:rsidRPr="00063C9E">
        <w:t xml:space="preserve">The </w:t>
      </w:r>
      <w:r w:rsidR="00864FFF">
        <w:t>r</w:t>
      </w:r>
      <w:r>
        <w:t>ule</w:t>
      </w:r>
      <w:r w:rsidRPr="00063C9E">
        <w:t xml:space="preserve"> is compatible with human rights as it does not raise any human rights issues.</w:t>
      </w:r>
    </w:p>
    <w:p w:rsidR="0015244E" w:rsidRDefault="0015244E" w:rsidP="0015244E"/>
    <w:p w:rsidR="0015244E" w:rsidRPr="00063C9E" w:rsidRDefault="0015244E" w:rsidP="0015244E"/>
    <w:p w:rsidR="0015244E" w:rsidRPr="004F0DD4" w:rsidRDefault="0015244E" w:rsidP="004F0DD4"/>
    <w:p w:rsidR="004F0DD4" w:rsidRDefault="004F0DD4" w:rsidP="001A1D47">
      <w:pPr>
        <w:autoSpaceDE w:val="0"/>
        <w:autoSpaceDN w:val="0"/>
        <w:adjustRightInd w:val="0"/>
        <w:rPr>
          <w:rFonts w:eastAsiaTheme="minorHAnsi"/>
          <w:iCs/>
          <w:lang w:bidi="ar-SA"/>
        </w:rPr>
      </w:pPr>
    </w:p>
    <w:p w:rsidR="0015244E" w:rsidRPr="00063C9E" w:rsidRDefault="0015244E" w:rsidP="0015244E">
      <w:pPr>
        <w:pStyle w:val="paranumbering"/>
        <w:spacing w:before="0" w:beforeAutospacing="0" w:after="0" w:afterAutospacing="0"/>
        <w:jc w:val="center"/>
        <w:rPr>
          <w:b/>
        </w:rPr>
      </w:pPr>
      <w:r w:rsidRPr="00063C9E">
        <w:rPr>
          <w:b/>
        </w:rPr>
        <w:t>Senator the Hon Mathias Cormann</w:t>
      </w:r>
    </w:p>
    <w:p w:rsidR="0015244E" w:rsidRPr="00063C9E" w:rsidRDefault="0015244E" w:rsidP="0015244E">
      <w:pPr>
        <w:pStyle w:val="paranumbering"/>
        <w:spacing w:before="0" w:beforeAutospacing="0" w:after="0" w:afterAutospacing="0"/>
        <w:jc w:val="center"/>
        <w:rPr>
          <w:b/>
        </w:rPr>
      </w:pPr>
      <w:r w:rsidRPr="00063C9E">
        <w:rPr>
          <w:b/>
        </w:rPr>
        <w:t>Minister for Finance</w:t>
      </w:r>
    </w:p>
    <w:p w:rsidR="003D075B" w:rsidRPr="004F0DD4" w:rsidRDefault="003D075B" w:rsidP="001A1D47">
      <w:pPr>
        <w:autoSpaceDE w:val="0"/>
        <w:autoSpaceDN w:val="0"/>
        <w:adjustRightInd w:val="0"/>
        <w:rPr>
          <w:rFonts w:eastAsiaTheme="minorHAnsi"/>
          <w:iCs/>
          <w:lang w:bidi="ar-SA"/>
        </w:rPr>
      </w:pPr>
      <w:r>
        <w:rPr>
          <w:rFonts w:eastAsiaTheme="minorHAnsi"/>
          <w:iCs/>
          <w:lang w:bidi="ar-SA"/>
        </w:rPr>
        <w:t xml:space="preserve"> </w:t>
      </w:r>
    </w:p>
    <w:sectPr w:rsidR="003D075B" w:rsidRPr="004F0D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FDF" w:rsidRDefault="00BB1FDF" w:rsidP="00BB1FDF">
      <w:r>
        <w:separator/>
      </w:r>
    </w:p>
  </w:endnote>
  <w:endnote w:type="continuationSeparator" w:id="0">
    <w:p w:rsidR="00BB1FDF" w:rsidRDefault="00BB1FDF" w:rsidP="00BB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FDF" w:rsidRDefault="00BB1FDF" w:rsidP="00BB1FDF">
      <w:r>
        <w:separator/>
      </w:r>
    </w:p>
  </w:footnote>
  <w:footnote w:type="continuationSeparator" w:id="0">
    <w:p w:rsidR="00BB1FDF" w:rsidRDefault="00BB1FDF" w:rsidP="00BB1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E2E8A"/>
    <w:multiLevelType w:val="hybridMultilevel"/>
    <w:tmpl w:val="4DCCDC9C"/>
    <w:lvl w:ilvl="0" w:tplc="D7FEE2D4">
      <w:start w:val="2"/>
      <w:numFmt w:val="decimal"/>
      <w:lvlText w:val="%1."/>
      <w:lvlJc w:val="left"/>
      <w:pPr>
        <w:ind w:left="360" w:hanging="360"/>
      </w:pPr>
      <w:rPr>
        <w:rFonts w:hint="default"/>
        <w:b w:val="0"/>
        <w:color w:val="auto"/>
      </w:rPr>
    </w:lvl>
    <w:lvl w:ilvl="1" w:tplc="65CCB706">
      <w:start w:val="1"/>
      <w:numFmt w:val="lowerLetter"/>
      <w:lvlText w:val="(%2)"/>
      <w:lvlJc w:val="left"/>
      <w:pPr>
        <w:ind w:left="1080" w:hanging="360"/>
      </w:pPr>
      <w:rPr>
        <w:rFonts w:hint="default"/>
      </w:rPr>
    </w:lvl>
    <w:lvl w:ilvl="2" w:tplc="ED1E3618">
      <w:start w:val="1"/>
      <w:numFmt w:val="lowerRoman"/>
      <w:lvlText w:val="%3."/>
      <w:lvlJc w:val="right"/>
      <w:pPr>
        <w:ind w:left="1800" w:hanging="180"/>
      </w:pPr>
    </w:lvl>
    <w:lvl w:ilvl="3" w:tplc="C3F05060" w:tentative="1">
      <w:start w:val="1"/>
      <w:numFmt w:val="decimal"/>
      <w:lvlText w:val="%4."/>
      <w:lvlJc w:val="left"/>
      <w:pPr>
        <w:ind w:left="2520" w:hanging="360"/>
      </w:pPr>
    </w:lvl>
    <w:lvl w:ilvl="4" w:tplc="C218A536" w:tentative="1">
      <w:start w:val="1"/>
      <w:numFmt w:val="lowerLetter"/>
      <w:lvlText w:val="%5."/>
      <w:lvlJc w:val="left"/>
      <w:pPr>
        <w:ind w:left="3240" w:hanging="360"/>
      </w:pPr>
    </w:lvl>
    <w:lvl w:ilvl="5" w:tplc="9B8015CC" w:tentative="1">
      <w:start w:val="1"/>
      <w:numFmt w:val="lowerRoman"/>
      <w:lvlText w:val="%6."/>
      <w:lvlJc w:val="right"/>
      <w:pPr>
        <w:ind w:left="3960" w:hanging="180"/>
      </w:pPr>
    </w:lvl>
    <w:lvl w:ilvl="6" w:tplc="B4A81446" w:tentative="1">
      <w:start w:val="1"/>
      <w:numFmt w:val="decimal"/>
      <w:lvlText w:val="%7."/>
      <w:lvlJc w:val="left"/>
      <w:pPr>
        <w:ind w:left="4680" w:hanging="360"/>
      </w:pPr>
    </w:lvl>
    <w:lvl w:ilvl="7" w:tplc="062AE396" w:tentative="1">
      <w:start w:val="1"/>
      <w:numFmt w:val="lowerLetter"/>
      <w:lvlText w:val="%8."/>
      <w:lvlJc w:val="left"/>
      <w:pPr>
        <w:ind w:left="5400" w:hanging="360"/>
      </w:pPr>
    </w:lvl>
    <w:lvl w:ilvl="8" w:tplc="A6128C18" w:tentative="1">
      <w:start w:val="1"/>
      <w:numFmt w:val="lowerRoman"/>
      <w:lvlText w:val="%9."/>
      <w:lvlJc w:val="right"/>
      <w:pPr>
        <w:ind w:left="6120" w:hanging="180"/>
      </w:pPr>
    </w:lvl>
  </w:abstractNum>
  <w:abstractNum w:abstractNumId="1" w15:restartNumberingAfterBreak="0">
    <w:nsid w:val="728E772F"/>
    <w:multiLevelType w:val="hybridMultilevel"/>
    <w:tmpl w:val="0C02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855CA4"/>
    <w:multiLevelType w:val="multilevel"/>
    <w:tmpl w:val="6F2E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F50"/>
    <w:rsid w:val="00012651"/>
    <w:rsid w:val="000137D7"/>
    <w:rsid w:val="000224C9"/>
    <w:rsid w:val="00032084"/>
    <w:rsid w:val="000706EC"/>
    <w:rsid w:val="00077E83"/>
    <w:rsid w:val="000A551E"/>
    <w:rsid w:val="000A6ADC"/>
    <w:rsid w:val="000A77FB"/>
    <w:rsid w:val="000B57D8"/>
    <w:rsid w:val="000B7149"/>
    <w:rsid w:val="000E60E2"/>
    <w:rsid w:val="000F6F50"/>
    <w:rsid w:val="00111457"/>
    <w:rsid w:val="0015244E"/>
    <w:rsid w:val="00160DD1"/>
    <w:rsid w:val="00165815"/>
    <w:rsid w:val="00184415"/>
    <w:rsid w:val="001850D2"/>
    <w:rsid w:val="00197298"/>
    <w:rsid w:val="001A1D47"/>
    <w:rsid w:val="00204E97"/>
    <w:rsid w:val="00216D1F"/>
    <w:rsid w:val="00262C06"/>
    <w:rsid w:val="00276C26"/>
    <w:rsid w:val="002B17EF"/>
    <w:rsid w:val="002D41BC"/>
    <w:rsid w:val="002F3C15"/>
    <w:rsid w:val="00381837"/>
    <w:rsid w:val="003A6986"/>
    <w:rsid w:val="003D075B"/>
    <w:rsid w:val="00404103"/>
    <w:rsid w:val="00442877"/>
    <w:rsid w:val="00473F49"/>
    <w:rsid w:val="004C7EC1"/>
    <w:rsid w:val="004F0DD4"/>
    <w:rsid w:val="0050069A"/>
    <w:rsid w:val="005035B6"/>
    <w:rsid w:val="005176AB"/>
    <w:rsid w:val="0052045F"/>
    <w:rsid w:val="005B4201"/>
    <w:rsid w:val="005D100C"/>
    <w:rsid w:val="005F5317"/>
    <w:rsid w:val="00617934"/>
    <w:rsid w:val="00632308"/>
    <w:rsid w:val="00642BCE"/>
    <w:rsid w:val="00670BBB"/>
    <w:rsid w:val="00680205"/>
    <w:rsid w:val="006D55F1"/>
    <w:rsid w:val="006F7B23"/>
    <w:rsid w:val="00733335"/>
    <w:rsid w:val="007C0DAB"/>
    <w:rsid w:val="00864FFF"/>
    <w:rsid w:val="009160DD"/>
    <w:rsid w:val="00932786"/>
    <w:rsid w:val="00934E55"/>
    <w:rsid w:val="009C0675"/>
    <w:rsid w:val="009D6CE9"/>
    <w:rsid w:val="009E04FF"/>
    <w:rsid w:val="009E76B6"/>
    <w:rsid w:val="009F6613"/>
    <w:rsid w:val="00A142C8"/>
    <w:rsid w:val="00A41D87"/>
    <w:rsid w:val="00A77D43"/>
    <w:rsid w:val="00A808E2"/>
    <w:rsid w:val="00A9007B"/>
    <w:rsid w:val="00AD5DB1"/>
    <w:rsid w:val="00AE3255"/>
    <w:rsid w:val="00B4236E"/>
    <w:rsid w:val="00B475CF"/>
    <w:rsid w:val="00BB1FDF"/>
    <w:rsid w:val="00C03CA8"/>
    <w:rsid w:val="00C20DDA"/>
    <w:rsid w:val="00C265D7"/>
    <w:rsid w:val="00C45F55"/>
    <w:rsid w:val="00CE02CA"/>
    <w:rsid w:val="00D500FC"/>
    <w:rsid w:val="00D659E6"/>
    <w:rsid w:val="00D8559B"/>
    <w:rsid w:val="00E32DE7"/>
    <w:rsid w:val="00E4556A"/>
    <w:rsid w:val="00E70858"/>
    <w:rsid w:val="00E75C64"/>
    <w:rsid w:val="00EB38B0"/>
    <w:rsid w:val="00EE1F92"/>
    <w:rsid w:val="00F5088C"/>
    <w:rsid w:val="00FB4C81"/>
    <w:rsid w:val="00FD01EB"/>
    <w:rsid w:val="00FD2829"/>
    <w:rsid w:val="00FD7C34"/>
    <w:rsid w:val="00FF5D47"/>
    <w:rsid w:val="00FF6E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476B"/>
  <w15:chartTrackingRefBased/>
  <w15:docId w15:val="{E6F77624-BEB3-4248-8602-8A7B59E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D47"/>
    <w:pPr>
      <w:spacing w:after="0" w:line="240" w:lineRule="auto"/>
    </w:pPr>
    <w:rPr>
      <w:rFonts w:ascii="Times New Roman" w:eastAsiaTheme="minorEastAsia" w:hAnsi="Times New Roman" w:cs="Times New Roman"/>
      <w:sz w:val="24"/>
      <w:szCs w:val="24"/>
      <w:lang w:bidi="en-US"/>
    </w:rPr>
  </w:style>
  <w:style w:type="paragraph" w:styleId="Heading1">
    <w:name w:val="heading 1"/>
    <w:basedOn w:val="Normal"/>
    <w:next w:val="Normal"/>
    <w:link w:val="Heading1Char"/>
    <w:uiPriority w:val="9"/>
    <w:qFormat/>
    <w:rsid w:val="00FF6E3B"/>
    <w:pPr>
      <w:spacing w:before="48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E3B"/>
    <w:rPr>
      <w:rFonts w:asciiTheme="majorHAnsi" w:eastAsiaTheme="majorEastAsia" w:hAnsiTheme="majorHAnsi" w:cstheme="majorBidi"/>
      <w:b/>
      <w:bCs/>
      <w:sz w:val="28"/>
      <w:szCs w:val="28"/>
      <w:lang w:val="en-US" w:bidi="en-US"/>
    </w:rPr>
  </w:style>
  <w:style w:type="paragraph" w:styleId="FootnoteText">
    <w:name w:val="footnote text"/>
    <w:basedOn w:val="Normal"/>
    <w:link w:val="FootnoteTextChar"/>
    <w:uiPriority w:val="99"/>
    <w:semiHidden/>
    <w:unhideWhenUsed/>
    <w:rsid w:val="00BB1FDF"/>
    <w:rPr>
      <w:sz w:val="20"/>
      <w:szCs w:val="20"/>
    </w:rPr>
  </w:style>
  <w:style w:type="character" w:customStyle="1" w:styleId="FootnoteTextChar">
    <w:name w:val="Footnote Text Char"/>
    <w:basedOn w:val="DefaultParagraphFont"/>
    <w:link w:val="FootnoteText"/>
    <w:uiPriority w:val="99"/>
    <w:semiHidden/>
    <w:rsid w:val="00BB1FDF"/>
    <w:rPr>
      <w:rFonts w:ascii="Times New Roman" w:eastAsiaTheme="minorEastAsia" w:hAnsi="Times New Roman" w:cs="Times New Roman"/>
      <w:sz w:val="20"/>
      <w:szCs w:val="20"/>
      <w:lang w:bidi="en-US"/>
    </w:rPr>
  </w:style>
  <w:style w:type="character" w:styleId="FootnoteReference">
    <w:name w:val="footnote reference"/>
    <w:basedOn w:val="DefaultParagraphFont"/>
    <w:uiPriority w:val="99"/>
    <w:semiHidden/>
    <w:unhideWhenUsed/>
    <w:rsid w:val="00BB1FDF"/>
    <w:rPr>
      <w:vertAlign w:val="superscript"/>
    </w:rPr>
  </w:style>
  <w:style w:type="paragraph" w:customStyle="1" w:styleId="Default">
    <w:name w:val="Default"/>
    <w:rsid w:val="00D8559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E60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0E2"/>
    <w:rPr>
      <w:rFonts w:ascii="Segoe UI" w:eastAsiaTheme="minorEastAsia" w:hAnsi="Segoe UI" w:cs="Segoe UI"/>
      <w:sz w:val="18"/>
      <w:szCs w:val="18"/>
      <w:lang w:bidi="en-US"/>
    </w:rPr>
  </w:style>
  <w:style w:type="paragraph" w:styleId="Header">
    <w:name w:val="header"/>
    <w:basedOn w:val="Normal"/>
    <w:link w:val="HeaderChar"/>
    <w:uiPriority w:val="99"/>
    <w:unhideWhenUsed/>
    <w:rsid w:val="00111457"/>
    <w:pPr>
      <w:tabs>
        <w:tab w:val="center" w:pos="4513"/>
        <w:tab w:val="right" w:pos="9026"/>
      </w:tabs>
    </w:pPr>
  </w:style>
  <w:style w:type="character" w:customStyle="1" w:styleId="HeaderChar">
    <w:name w:val="Header Char"/>
    <w:basedOn w:val="DefaultParagraphFont"/>
    <w:link w:val="Header"/>
    <w:uiPriority w:val="99"/>
    <w:rsid w:val="00111457"/>
    <w:rPr>
      <w:rFonts w:ascii="Times New Roman" w:eastAsiaTheme="minorEastAsia" w:hAnsi="Times New Roman" w:cs="Times New Roman"/>
      <w:sz w:val="24"/>
      <w:szCs w:val="24"/>
      <w:lang w:bidi="en-US"/>
    </w:rPr>
  </w:style>
  <w:style w:type="paragraph" w:styleId="Footer">
    <w:name w:val="footer"/>
    <w:basedOn w:val="Normal"/>
    <w:link w:val="FooterChar"/>
    <w:uiPriority w:val="99"/>
    <w:unhideWhenUsed/>
    <w:rsid w:val="00111457"/>
    <w:pPr>
      <w:tabs>
        <w:tab w:val="center" w:pos="4513"/>
        <w:tab w:val="right" w:pos="9026"/>
      </w:tabs>
    </w:pPr>
  </w:style>
  <w:style w:type="character" w:customStyle="1" w:styleId="FooterChar">
    <w:name w:val="Footer Char"/>
    <w:basedOn w:val="DefaultParagraphFont"/>
    <w:link w:val="Footer"/>
    <w:uiPriority w:val="99"/>
    <w:rsid w:val="00111457"/>
    <w:rPr>
      <w:rFonts w:ascii="Times New Roman" w:eastAsiaTheme="minorEastAsia" w:hAnsi="Times New Roman" w:cs="Times New Roman"/>
      <w:sz w:val="24"/>
      <w:szCs w:val="24"/>
      <w:lang w:bidi="en-US"/>
    </w:rPr>
  </w:style>
  <w:style w:type="paragraph" w:styleId="ListParagraph">
    <w:name w:val="List Paragraph"/>
    <w:basedOn w:val="Normal"/>
    <w:uiPriority w:val="34"/>
    <w:qFormat/>
    <w:rsid w:val="00A142C8"/>
    <w:pPr>
      <w:ind w:left="720"/>
      <w:contextualSpacing/>
    </w:pPr>
  </w:style>
  <w:style w:type="paragraph" w:customStyle="1" w:styleId="paranumbering">
    <w:name w:val="paranumbering"/>
    <w:basedOn w:val="Normal"/>
    <w:uiPriority w:val="99"/>
    <w:rsid w:val="0015244E"/>
    <w:pPr>
      <w:spacing w:before="100" w:beforeAutospacing="1" w:after="100" w:afterAutospacing="1"/>
    </w:pPr>
    <w:rPr>
      <w:rFonts w:eastAsiaTheme="minorHAnsi"/>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265901">
      <w:bodyDiv w:val="1"/>
      <w:marLeft w:val="0"/>
      <w:marRight w:val="0"/>
      <w:marTop w:val="0"/>
      <w:marBottom w:val="0"/>
      <w:divBdr>
        <w:top w:val="none" w:sz="0" w:space="0" w:color="auto"/>
        <w:left w:val="none" w:sz="0" w:space="0" w:color="auto"/>
        <w:bottom w:val="none" w:sz="0" w:space="0" w:color="auto"/>
        <w:right w:val="none" w:sz="0" w:space="0" w:color="auto"/>
      </w:divBdr>
      <w:divsChild>
        <w:div w:id="832843306">
          <w:marLeft w:val="0"/>
          <w:marRight w:val="0"/>
          <w:marTop w:val="0"/>
          <w:marBottom w:val="0"/>
          <w:divBdr>
            <w:top w:val="none" w:sz="0" w:space="0" w:color="auto"/>
            <w:left w:val="none" w:sz="0" w:space="0" w:color="auto"/>
            <w:bottom w:val="none" w:sz="0" w:space="0" w:color="auto"/>
            <w:right w:val="none" w:sz="0" w:space="0" w:color="auto"/>
          </w:divBdr>
          <w:divsChild>
            <w:div w:id="1677612496">
              <w:marLeft w:val="0"/>
              <w:marRight w:val="0"/>
              <w:marTop w:val="0"/>
              <w:marBottom w:val="0"/>
              <w:divBdr>
                <w:top w:val="none" w:sz="0" w:space="0" w:color="auto"/>
                <w:left w:val="none" w:sz="0" w:space="0" w:color="auto"/>
                <w:bottom w:val="none" w:sz="0" w:space="0" w:color="auto"/>
                <w:right w:val="none" w:sz="0" w:space="0" w:color="auto"/>
              </w:divBdr>
              <w:divsChild>
                <w:div w:id="1272470577">
                  <w:marLeft w:val="0"/>
                  <w:marRight w:val="0"/>
                  <w:marTop w:val="0"/>
                  <w:marBottom w:val="0"/>
                  <w:divBdr>
                    <w:top w:val="none" w:sz="0" w:space="0" w:color="auto"/>
                    <w:left w:val="none" w:sz="0" w:space="0" w:color="auto"/>
                    <w:bottom w:val="none" w:sz="0" w:space="0" w:color="auto"/>
                    <w:right w:val="none" w:sz="0" w:space="0" w:color="auto"/>
                  </w:divBdr>
                  <w:divsChild>
                    <w:div w:id="1608805239">
                      <w:marLeft w:val="0"/>
                      <w:marRight w:val="0"/>
                      <w:marTop w:val="0"/>
                      <w:marBottom w:val="0"/>
                      <w:divBdr>
                        <w:top w:val="none" w:sz="0" w:space="0" w:color="auto"/>
                        <w:left w:val="none" w:sz="0" w:space="0" w:color="auto"/>
                        <w:bottom w:val="none" w:sz="0" w:space="0" w:color="auto"/>
                        <w:right w:val="none" w:sz="0" w:space="0" w:color="auto"/>
                      </w:divBdr>
                      <w:divsChild>
                        <w:div w:id="1063143752">
                          <w:marLeft w:val="0"/>
                          <w:marRight w:val="0"/>
                          <w:marTop w:val="0"/>
                          <w:marBottom w:val="0"/>
                          <w:divBdr>
                            <w:top w:val="none" w:sz="0" w:space="0" w:color="auto"/>
                            <w:left w:val="none" w:sz="0" w:space="0" w:color="auto"/>
                            <w:bottom w:val="none" w:sz="0" w:space="0" w:color="auto"/>
                            <w:right w:val="none" w:sz="0" w:space="0" w:color="auto"/>
                          </w:divBdr>
                          <w:divsChild>
                            <w:div w:id="1476600686">
                              <w:marLeft w:val="0"/>
                              <w:marRight w:val="0"/>
                              <w:marTop w:val="0"/>
                              <w:marBottom w:val="0"/>
                              <w:divBdr>
                                <w:top w:val="none" w:sz="0" w:space="0" w:color="auto"/>
                                <w:left w:val="none" w:sz="0" w:space="0" w:color="auto"/>
                                <w:bottom w:val="none" w:sz="0" w:space="0" w:color="auto"/>
                                <w:right w:val="none" w:sz="0" w:space="0" w:color="auto"/>
                              </w:divBdr>
                              <w:divsChild>
                                <w:div w:id="1900631228">
                                  <w:marLeft w:val="0"/>
                                  <w:marRight w:val="0"/>
                                  <w:marTop w:val="0"/>
                                  <w:marBottom w:val="0"/>
                                  <w:divBdr>
                                    <w:top w:val="none" w:sz="0" w:space="0" w:color="auto"/>
                                    <w:left w:val="none" w:sz="0" w:space="0" w:color="auto"/>
                                    <w:bottom w:val="none" w:sz="0" w:space="0" w:color="auto"/>
                                    <w:right w:val="none" w:sz="0" w:space="0" w:color="auto"/>
                                  </w:divBdr>
                                  <w:divsChild>
                                    <w:div w:id="12941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01C9-EE2F-4CA6-BF5B-B343AA3A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7E953A9F</Template>
  <TotalTime>306</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Heath</dc:creator>
  <cp:keywords/>
  <dc:description/>
  <cp:lastModifiedBy>Hudson, Heath</cp:lastModifiedBy>
  <cp:revision>30</cp:revision>
  <cp:lastPrinted>2016-09-20T00:15:00Z</cp:lastPrinted>
  <dcterms:created xsi:type="dcterms:W3CDTF">2016-09-08T04:57:00Z</dcterms:created>
  <dcterms:modified xsi:type="dcterms:W3CDTF">2016-09-28T02:55:00Z</dcterms:modified>
</cp:coreProperties>
</file>