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EE" w:rsidRDefault="007D01EE" w:rsidP="007D01EE">
      <w:pPr>
        <w:spacing w:after="0" w:line="240" w:lineRule="auto"/>
        <w:ind w:left="709" w:right="567"/>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EXPLANATORY STATEMENT</w:t>
      </w:r>
    </w:p>
    <w:p w:rsidR="007D01EE" w:rsidRDefault="007D01EE" w:rsidP="007D01EE">
      <w:pPr>
        <w:spacing w:after="0" w:line="240" w:lineRule="auto"/>
        <w:ind w:left="709" w:right="567"/>
        <w:jc w:val="center"/>
        <w:rPr>
          <w:rFonts w:ascii="Times New Roman" w:hAnsi="Times New Roman"/>
          <w:sz w:val="24"/>
          <w:szCs w:val="24"/>
          <w:u w:val="single"/>
        </w:rPr>
      </w:pPr>
    </w:p>
    <w:p w:rsidR="007D01EE" w:rsidRDefault="007D01EE" w:rsidP="007D01EE">
      <w:pPr>
        <w:spacing w:after="0" w:line="240" w:lineRule="auto"/>
        <w:ind w:left="709" w:right="567"/>
        <w:jc w:val="center"/>
        <w:rPr>
          <w:rFonts w:ascii="Times New Roman" w:hAnsi="Times New Roman"/>
          <w:sz w:val="24"/>
          <w:szCs w:val="24"/>
          <w:u w:val="single"/>
        </w:rPr>
      </w:pPr>
      <w:r w:rsidRPr="00181163">
        <w:rPr>
          <w:rFonts w:ascii="Times New Roman" w:hAnsi="Times New Roman"/>
          <w:sz w:val="24"/>
          <w:szCs w:val="24"/>
          <w:u w:val="single"/>
        </w:rPr>
        <w:t xml:space="preserve">Select Legislative Instrument </w:t>
      </w:r>
      <w:r w:rsidR="00181163" w:rsidRPr="00181163">
        <w:rPr>
          <w:rFonts w:ascii="Times New Roman" w:hAnsi="Times New Roman"/>
          <w:sz w:val="24"/>
          <w:szCs w:val="24"/>
          <w:u w:val="single"/>
        </w:rPr>
        <w:t>No.</w:t>
      </w:r>
      <w:r w:rsidR="00AA09C1">
        <w:rPr>
          <w:rFonts w:ascii="Times New Roman" w:hAnsi="Times New Roman"/>
          <w:sz w:val="24"/>
          <w:szCs w:val="24"/>
          <w:u w:val="single"/>
        </w:rPr>
        <w:t xml:space="preserve">  </w:t>
      </w:r>
      <w:r w:rsidR="00181163" w:rsidRPr="00181163">
        <w:rPr>
          <w:rFonts w:ascii="Times New Roman" w:hAnsi="Times New Roman"/>
          <w:sz w:val="24"/>
          <w:szCs w:val="24"/>
          <w:u w:val="single"/>
        </w:rPr>
        <w:t>, 2016</w:t>
      </w:r>
    </w:p>
    <w:p w:rsidR="007D01EE" w:rsidRDefault="007D01EE" w:rsidP="007D01EE">
      <w:pPr>
        <w:spacing w:after="0" w:line="240" w:lineRule="auto"/>
        <w:ind w:left="709" w:right="567"/>
        <w:jc w:val="center"/>
        <w:rPr>
          <w:rFonts w:ascii="Times New Roman" w:hAnsi="Times New Roman"/>
          <w:sz w:val="24"/>
          <w:szCs w:val="24"/>
        </w:rPr>
      </w:pPr>
    </w:p>
    <w:p w:rsidR="007D01EE" w:rsidRDefault="007D01EE" w:rsidP="007D01EE">
      <w:pPr>
        <w:spacing w:after="0" w:line="240" w:lineRule="auto"/>
        <w:ind w:left="709" w:right="567"/>
        <w:jc w:val="center"/>
        <w:rPr>
          <w:rFonts w:ascii="Times New Roman" w:hAnsi="Times New Roman"/>
          <w:sz w:val="24"/>
          <w:szCs w:val="24"/>
        </w:rPr>
      </w:pPr>
      <w:r>
        <w:rPr>
          <w:rFonts w:ascii="Times New Roman" w:hAnsi="Times New Roman"/>
          <w:sz w:val="24"/>
          <w:szCs w:val="24"/>
        </w:rPr>
        <w:t>Issued by the authority of the Minister for Justice</w:t>
      </w:r>
    </w:p>
    <w:p w:rsidR="007D01EE" w:rsidRDefault="007D01EE" w:rsidP="007D01EE">
      <w:pPr>
        <w:pStyle w:val="Paragraph"/>
        <w:spacing w:before="0"/>
        <w:ind w:left="709" w:right="567"/>
        <w:jc w:val="center"/>
        <w:rPr>
          <w:i/>
          <w:szCs w:val="24"/>
        </w:rPr>
      </w:pPr>
    </w:p>
    <w:p w:rsidR="007D01EE" w:rsidRDefault="007D01EE" w:rsidP="007D01EE">
      <w:pPr>
        <w:pStyle w:val="Paragraph"/>
        <w:spacing w:before="0"/>
        <w:ind w:left="709" w:right="567"/>
        <w:jc w:val="center"/>
        <w:rPr>
          <w:i/>
          <w:szCs w:val="24"/>
        </w:rPr>
      </w:pPr>
      <w:r>
        <w:rPr>
          <w:i/>
          <w:szCs w:val="24"/>
        </w:rPr>
        <w:t>Crimes Act 1914</w:t>
      </w:r>
    </w:p>
    <w:p w:rsidR="00181163" w:rsidRDefault="00181163" w:rsidP="007D01EE">
      <w:pPr>
        <w:pStyle w:val="Paragraph"/>
        <w:spacing w:before="0"/>
        <w:ind w:left="709" w:right="567"/>
        <w:jc w:val="center"/>
        <w:rPr>
          <w:szCs w:val="24"/>
          <w:highlight w:val="yellow"/>
        </w:rPr>
      </w:pPr>
    </w:p>
    <w:p w:rsidR="005B75EB" w:rsidRDefault="00B3526C" w:rsidP="005B75EB">
      <w:pPr>
        <w:pStyle w:val="Paragraph"/>
        <w:spacing w:before="0" w:after="120" w:line="276" w:lineRule="auto"/>
        <w:jc w:val="center"/>
        <w:rPr>
          <w:i/>
          <w:szCs w:val="24"/>
        </w:rPr>
      </w:pPr>
      <w:bookmarkStart w:id="1" w:name="OLE_LINK2"/>
      <w:r>
        <w:rPr>
          <w:i/>
          <w:szCs w:val="24"/>
        </w:rPr>
        <w:t>Crimes Amendment (Corresponding Laws</w:t>
      </w:r>
      <w:r w:rsidR="00181163" w:rsidRPr="0061157E">
        <w:rPr>
          <w:i/>
          <w:szCs w:val="24"/>
        </w:rPr>
        <w:t>) Regulation 201</w:t>
      </w:r>
      <w:r w:rsidR="00181163">
        <w:rPr>
          <w:i/>
          <w:szCs w:val="24"/>
        </w:rPr>
        <w:t>6</w:t>
      </w:r>
      <w:bookmarkStart w:id="2" w:name="OLE_LINK10"/>
      <w:bookmarkStart w:id="3" w:name="OLE_LINK9"/>
    </w:p>
    <w:p w:rsidR="005B75EB" w:rsidRPr="005B75EB" w:rsidRDefault="005B75EB" w:rsidP="005B75EB">
      <w:pPr>
        <w:pStyle w:val="Paragraph"/>
        <w:spacing w:before="0" w:after="120" w:line="276" w:lineRule="auto"/>
        <w:jc w:val="center"/>
        <w:rPr>
          <w:i/>
          <w:szCs w:val="24"/>
        </w:rPr>
      </w:pPr>
    </w:p>
    <w:p w:rsidR="005B75EB" w:rsidRPr="005B75EB" w:rsidRDefault="005B75EB" w:rsidP="005B75EB">
      <w:pPr>
        <w:pStyle w:val="Paragraph"/>
        <w:spacing w:before="0" w:after="120" w:line="276" w:lineRule="auto"/>
        <w:rPr>
          <w:i/>
          <w:szCs w:val="24"/>
        </w:rPr>
      </w:pPr>
      <w:r>
        <w:rPr>
          <w:szCs w:val="24"/>
        </w:rPr>
        <w:t xml:space="preserve">The </w:t>
      </w:r>
      <w:r>
        <w:rPr>
          <w:i/>
          <w:szCs w:val="24"/>
        </w:rPr>
        <w:t xml:space="preserve">Crimes Act 1914 </w:t>
      </w:r>
      <w:r>
        <w:rPr>
          <w:szCs w:val="24"/>
        </w:rPr>
        <w:t>(Crimes Act), among other matters, establishes the Commonwealth’s controlled operation, assumed identity and witness identity protection regimes.</w:t>
      </w:r>
    </w:p>
    <w:p w:rsidR="00DE7115" w:rsidRPr="00F435C1" w:rsidRDefault="000B6AA2" w:rsidP="00F435C1">
      <w:pPr>
        <w:pStyle w:val="Paragraphnumbered"/>
        <w:spacing w:before="120" w:after="120"/>
        <w:ind w:right="567"/>
      </w:pPr>
      <w:r>
        <w:t xml:space="preserve">Section 91 of </w:t>
      </w:r>
      <w:r w:rsidR="007D01EE" w:rsidRPr="00F435C1">
        <w:t xml:space="preserve">the Crimes Act </w:t>
      </w:r>
      <w:r w:rsidR="00AD39C7" w:rsidRPr="00F435C1">
        <w:t>provides that the Governor-General may make regulations, not inconsistent with the Crimes Act, prescribing all matters required or permitted by the Crimes Act to be prescribed, or necessary or convenient to be prescribed, for carrying out or giving effect to the C</w:t>
      </w:r>
      <w:r w:rsidR="00F435C1">
        <w:t>rimes Act.</w:t>
      </w:r>
    </w:p>
    <w:p w:rsidR="00DE7115" w:rsidRPr="00513FA0" w:rsidRDefault="00DE7115" w:rsidP="00DE7115">
      <w:pPr>
        <w:pStyle w:val="Paragraphnumbered"/>
        <w:spacing w:before="120" w:after="120"/>
        <w:ind w:right="567"/>
      </w:pPr>
      <w:r w:rsidRPr="00FD2863">
        <w:t xml:space="preserve">National model laws on controlled operations, assumed identities and witness identity protection were developed in 2003 by a Joint Working Group of the then </w:t>
      </w:r>
      <w:r>
        <w:t>Standing Committee of Attorneys</w:t>
      </w:r>
      <w:r>
        <w:noBreakHyphen/>
      </w:r>
      <w:r w:rsidRPr="00FD2863">
        <w:t>General.</w:t>
      </w:r>
      <w:r w:rsidR="00407C51">
        <w:t xml:space="preserve"> </w:t>
      </w:r>
      <w:r>
        <w:t>To ensure the effective cross</w:t>
      </w:r>
      <w:r>
        <w:noBreakHyphen/>
      </w:r>
      <w:r w:rsidRPr="00FD2863">
        <w:t>border operation of these powers, the model laws include provisions for the mutual recognition of laws in other jurisdictions. These mutual recognition arrangements apply where a jurisdiction recognises another jurisdiction’s law as a corresponding law.</w:t>
      </w:r>
    </w:p>
    <w:p w:rsidR="00513FA0" w:rsidRDefault="007D01EE" w:rsidP="00513FA0">
      <w:pPr>
        <w:pStyle w:val="Paragraphnumbered"/>
        <w:spacing w:before="120" w:after="120"/>
        <w:ind w:right="567"/>
      </w:pPr>
      <w:r w:rsidRPr="00F435C1">
        <w:t>The purpose of th</w:t>
      </w:r>
      <w:r w:rsidR="00CC4A0C" w:rsidRPr="00F435C1">
        <w:t xml:space="preserve">e </w:t>
      </w:r>
      <w:r w:rsidR="00CC4A0C" w:rsidRPr="00726449">
        <w:rPr>
          <w:i/>
        </w:rPr>
        <w:t>Crimes Amendment (</w:t>
      </w:r>
      <w:r w:rsidR="00B3526C">
        <w:rPr>
          <w:i/>
        </w:rPr>
        <w:t>Corresponding Laws</w:t>
      </w:r>
      <w:r w:rsidR="00CC4A0C" w:rsidRPr="00726449">
        <w:rPr>
          <w:i/>
        </w:rPr>
        <w:t>) Regulation 2016</w:t>
      </w:r>
      <w:r w:rsidR="00B21B1D">
        <w:rPr>
          <w:i/>
        </w:rPr>
        <w:t xml:space="preserve"> </w:t>
      </w:r>
      <w:r w:rsidRPr="005C7F54">
        <w:rPr>
          <w:rFonts w:ascii="Times" w:hAnsi="Times"/>
        </w:rPr>
        <w:t xml:space="preserve">is to amend the </w:t>
      </w:r>
      <w:r w:rsidRPr="005C7F54">
        <w:rPr>
          <w:rFonts w:ascii="Times" w:hAnsi="Times"/>
          <w:i/>
        </w:rPr>
        <w:t>Crimes Regulations 1990</w:t>
      </w:r>
      <w:r w:rsidRPr="005C7F54">
        <w:rPr>
          <w:rFonts w:ascii="Times" w:hAnsi="Times"/>
        </w:rPr>
        <w:t xml:space="preserve"> to prescribe </w:t>
      </w:r>
      <w:r>
        <w:rPr>
          <w:rFonts w:ascii="Times" w:hAnsi="Times"/>
        </w:rPr>
        <w:t xml:space="preserve">the </w:t>
      </w:r>
      <w:r w:rsidRPr="004D30FB">
        <w:rPr>
          <w:i/>
        </w:rPr>
        <w:t>Police (Special</w:t>
      </w:r>
      <w:r>
        <w:rPr>
          <w:i/>
        </w:rPr>
        <w:t xml:space="preserve"> Investigative and Other Powers)</w:t>
      </w:r>
      <w:r w:rsidRPr="004D30FB">
        <w:rPr>
          <w:i/>
        </w:rPr>
        <w:t xml:space="preserve"> Act </w:t>
      </w:r>
      <w:r>
        <w:t xml:space="preserve">(NT) (NT Act) </w:t>
      </w:r>
      <w:r w:rsidRPr="005C7F54">
        <w:rPr>
          <w:rFonts w:ascii="Times" w:hAnsi="Times"/>
        </w:rPr>
        <w:t xml:space="preserve">as a corresponding law on </w:t>
      </w:r>
      <w:r w:rsidRPr="005C7F54">
        <w:t>controlled operations, assumed identities and witness identity protection</w:t>
      </w:r>
      <w:r>
        <w:rPr>
          <w:rFonts w:ascii="Times" w:hAnsi="Times"/>
        </w:rPr>
        <w:t xml:space="preserve"> for the purposes of the Crimes </w:t>
      </w:r>
      <w:r w:rsidRPr="005C7F54">
        <w:rPr>
          <w:rFonts w:ascii="Times" w:hAnsi="Times"/>
        </w:rPr>
        <w:t>Act.</w:t>
      </w:r>
      <w:r w:rsidR="00513FA0" w:rsidRPr="00513FA0">
        <w:t xml:space="preserve"> </w:t>
      </w:r>
    </w:p>
    <w:p w:rsidR="00F435C1" w:rsidRDefault="00F435C1" w:rsidP="00F435C1">
      <w:pPr>
        <w:pStyle w:val="Paragraphnumbered"/>
        <w:spacing w:before="120" w:after="120"/>
        <w:ind w:right="567"/>
      </w:pPr>
      <w:r>
        <w:t xml:space="preserve">A controlled operation is a law enforcement operation in which a person is authorised to engage in unlawful conduct in order to obtain evidence of a serious criminal offence. Controlled operations are a valuable tool for investigating organised criminal activity </w:t>
      </w:r>
      <w:r w:rsidR="008F1251">
        <w:t>as</w:t>
      </w:r>
      <w:r>
        <w:t xml:space="preserve"> they enable law enforcement officers to infiltrate criminal organisations and to target those in the higher echelons of those organisations.</w:t>
      </w:r>
      <w:r w:rsidRPr="00513FA0">
        <w:t xml:space="preserve"> </w:t>
      </w:r>
    </w:p>
    <w:p w:rsidR="00DE7115" w:rsidRDefault="00DE7115" w:rsidP="00DE7115">
      <w:pPr>
        <w:pStyle w:val="Paragraphnumbered"/>
        <w:spacing w:before="120" w:after="120"/>
        <w:ind w:right="567"/>
      </w:pPr>
      <w:r>
        <w:t xml:space="preserve">Commonwealth recognition of the NT Act will ensure that officers participating in operations that have been </w:t>
      </w:r>
      <w:r w:rsidRPr="00D57FE2">
        <w:t xml:space="preserve">validly authorised under </w:t>
      </w:r>
      <w:r>
        <w:t>Northern Territory (NT)</w:t>
      </w:r>
      <w:r w:rsidRPr="00D57FE2">
        <w:t xml:space="preserve"> laws </w:t>
      </w:r>
      <w:r>
        <w:t xml:space="preserve">are protected </w:t>
      </w:r>
      <w:r w:rsidRPr="00D57FE2">
        <w:t xml:space="preserve">against liability for Commonwealth offences, without requiring a separate Commonwealth authority to be sought for the controlled operation.  </w:t>
      </w:r>
    </w:p>
    <w:p w:rsidR="00F435C1" w:rsidRDefault="00F435C1" w:rsidP="00F435C1">
      <w:pPr>
        <w:pStyle w:val="Paragraphnumbered"/>
        <w:spacing w:before="120" w:after="120"/>
        <w:ind w:right="567"/>
      </w:pPr>
      <w:r>
        <w:t>An assumed identity is a false identity used for the purpose of investigating or gathering intelligence on criminal activity, or conducting other intelligence or security activities. Undercover operatives need to be able to substantiate their assumed identities with proper identification documents. Such documents include birth certificates, drivers’ licences, passports and credit cards. In the absence of a verifiable identity, the safety of undercover operatives can be jeopardised.</w:t>
      </w:r>
      <w:r w:rsidRPr="00513FA0">
        <w:t xml:space="preserve"> </w:t>
      </w:r>
    </w:p>
    <w:p w:rsidR="00DE7115" w:rsidRDefault="00DE7115" w:rsidP="00DE7115">
      <w:pPr>
        <w:pStyle w:val="Paragraphnumbered"/>
        <w:spacing w:before="120" w:after="120"/>
        <w:ind w:right="567"/>
      </w:pPr>
      <w:r>
        <w:t>Commonwealth recognition of the NT Act will:</w:t>
      </w:r>
    </w:p>
    <w:p w:rsidR="00DE7115" w:rsidRDefault="00DE7115" w:rsidP="00DE7115">
      <w:pPr>
        <w:pStyle w:val="Paragraphnumbered"/>
        <w:numPr>
          <w:ilvl w:val="0"/>
          <w:numId w:val="1"/>
        </w:numPr>
        <w:spacing w:before="120" w:after="120"/>
        <w:ind w:right="567"/>
      </w:pPr>
      <w:r w:rsidRPr="00C81078">
        <w:t xml:space="preserve">allow the chief officer of a Commonwealth law enforcement agency or an intelligence agency to request a </w:t>
      </w:r>
      <w:r>
        <w:t>NT</w:t>
      </w:r>
      <w:r w:rsidRPr="00C81078">
        <w:t xml:space="preserve"> issuing agency to produce evidence to support an assumed identity validly authorised under the Commonwealth </w:t>
      </w:r>
      <w:r w:rsidRPr="00C81078">
        <w:lastRenderedPageBreak/>
        <w:t xml:space="preserve">assumed identity provisions (under section 15KX of the Crimes Act).  For example, the </w:t>
      </w:r>
      <w:r>
        <w:t>NT Department of Transport cou</w:t>
      </w:r>
      <w:r w:rsidRPr="00C81078">
        <w:t>ld b</w:t>
      </w:r>
      <w:r>
        <w:t>e requested to produce a driver</w:t>
      </w:r>
      <w:r w:rsidRPr="00C81078">
        <w:t xml:space="preserve"> license to support an assumed identity issued under the Crimes Act;</w:t>
      </w:r>
    </w:p>
    <w:p w:rsidR="00DE7115" w:rsidRDefault="00DE7115" w:rsidP="00DE7115">
      <w:pPr>
        <w:pStyle w:val="Paragraphnumbered"/>
        <w:numPr>
          <w:ilvl w:val="0"/>
          <w:numId w:val="1"/>
        </w:numPr>
        <w:spacing w:before="120" w:after="120"/>
        <w:ind w:right="567"/>
      </w:pPr>
      <w:proofErr w:type="gramStart"/>
      <w:r w:rsidRPr="00C81078">
        <w:t>allow</w:t>
      </w:r>
      <w:proofErr w:type="gramEnd"/>
      <w:r w:rsidRPr="00C81078">
        <w:t xml:space="preserve"> an authority issued under the </w:t>
      </w:r>
      <w:r>
        <w:t>NT</w:t>
      </w:r>
      <w:r w:rsidRPr="00C81078">
        <w:t xml:space="preserve"> Act to authorise the production of evidence of the assumed identity from a Commonwealth government issuing agency (under section 15KY of the Crimes Act).  For example, Medicare could be requested to produce a Medicare card to support an assumed identity issued under the </w:t>
      </w:r>
      <w:r>
        <w:t>NT</w:t>
      </w:r>
      <w:r w:rsidRPr="00C81078">
        <w:t xml:space="preserve"> Act; and</w:t>
      </w:r>
    </w:p>
    <w:p w:rsidR="00DE7115" w:rsidRPr="005B75EB" w:rsidRDefault="00DE7115" w:rsidP="00DE7115">
      <w:pPr>
        <w:pStyle w:val="Paragraphnumbered"/>
        <w:numPr>
          <w:ilvl w:val="0"/>
          <w:numId w:val="1"/>
        </w:numPr>
        <w:spacing w:before="120" w:after="120"/>
        <w:ind w:right="567"/>
      </w:pPr>
      <w:r w:rsidRPr="00C81078">
        <w:t xml:space="preserve">ensure that officers who are authorised under the </w:t>
      </w:r>
      <w:r>
        <w:t>NT</w:t>
      </w:r>
      <w:r w:rsidRPr="00C81078">
        <w:t xml:space="preserve"> Act to acquire and use an assumed identity would be protected from criminal liability under Commonwealth law when using that identity, to the extent that the conduct would not be criminal if the identity was their real identity (under section 15LA of the Crimes Act).  For example, in order to substantiate an assumed identity, a </w:t>
      </w:r>
      <w:r>
        <w:t>NT</w:t>
      </w:r>
      <w:r w:rsidRPr="00C81078">
        <w:t xml:space="preserve"> officer may be authorised to claim government unemployment benefits</w:t>
      </w:r>
      <w:r>
        <w:t xml:space="preserve"> although doing so without being unemployed is a Commonwealth offence. T</w:t>
      </w:r>
      <w:r w:rsidRPr="00C81078">
        <w:t xml:space="preserve">he officer </w:t>
      </w:r>
      <w:r>
        <w:t>would be</w:t>
      </w:r>
      <w:r w:rsidRPr="00C81078">
        <w:t xml:space="preserve"> protected from criminal liability</w:t>
      </w:r>
      <w:r>
        <w:t xml:space="preserve"> for this offence under section 15LA of the Crimes Act. </w:t>
      </w:r>
    </w:p>
    <w:p w:rsidR="00F435C1" w:rsidRDefault="00F435C1" w:rsidP="00F435C1">
      <w:pPr>
        <w:pStyle w:val="Paragraphnumbered"/>
        <w:spacing w:before="120" w:after="120"/>
        <w:ind w:right="567"/>
      </w:pPr>
      <w:r w:rsidRPr="00FD2863">
        <w:t>Witness identity protection certificates allow undercover operatives (those engaged in a controlled operation or using an assumed identity) to give evidence without disclosing their true identit</w:t>
      </w:r>
      <w:r>
        <w:t>ies</w:t>
      </w:r>
      <w:r w:rsidR="00CF5515">
        <w:t>.</w:t>
      </w:r>
      <w:r w:rsidRPr="00FD2863">
        <w:t xml:space="preserve"> </w:t>
      </w:r>
      <w:r w:rsidRPr="002F124C">
        <w:t>Under such provisions</w:t>
      </w:r>
      <w:r>
        <w:t>,</w:t>
      </w:r>
      <w:r w:rsidRPr="002F124C">
        <w:t xml:space="preserve"> undercover operative</w:t>
      </w:r>
      <w:r w:rsidR="00CF5515">
        <w:t>s</w:t>
      </w:r>
      <w:r w:rsidRPr="002F124C">
        <w:t xml:space="preserve"> can apply to an authorising officer of their agency for a witness identity protection certificate if they need to give evidence in civil or criminal proceedings. The issuing of such a certificate</w:t>
      </w:r>
      <w:r w:rsidRPr="00FD2863">
        <w:t xml:space="preserve"> may be necessary to protect the true identity of the operative to ensure t</w:t>
      </w:r>
      <w:r>
        <w:t>hat operative’s</w:t>
      </w:r>
      <w:r w:rsidRPr="00FD2863">
        <w:t xml:space="preserve"> safety (or </w:t>
      </w:r>
      <w:r>
        <w:t>that of the operative’s</w:t>
      </w:r>
      <w:r w:rsidRPr="00FD2863">
        <w:t xml:space="preserve"> family). In other cases, it may be necessary to conceal the operative’s real identity to avoid prejudicing current or future investigations.</w:t>
      </w:r>
    </w:p>
    <w:p w:rsidR="007D01EE" w:rsidRPr="008037DF" w:rsidRDefault="006704EC" w:rsidP="00513FA0">
      <w:pPr>
        <w:pStyle w:val="Paragraphnumbered"/>
        <w:spacing w:before="120" w:after="120"/>
        <w:ind w:right="567"/>
      </w:pPr>
      <w:r>
        <w:t>C</w:t>
      </w:r>
      <w:r w:rsidR="007D01EE">
        <w:t xml:space="preserve">ommonwealth recognition of the NT Act </w:t>
      </w:r>
      <w:r w:rsidR="00513FA0">
        <w:t>will</w:t>
      </w:r>
      <w:r w:rsidR="007D01EE">
        <w:t xml:space="preserve"> ensure that </w:t>
      </w:r>
      <w:r w:rsidR="007D01EE" w:rsidRPr="00CE67B1">
        <w:t xml:space="preserve">a </w:t>
      </w:r>
      <w:r w:rsidR="007D01EE">
        <w:t xml:space="preserve">witness identity protection </w:t>
      </w:r>
      <w:r w:rsidR="007D01EE" w:rsidRPr="00CE67B1">
        <w:t xml:space="preserve">certificate issued under </w:t>
      </w:r>
      <w:r w:rsidR="007D01EE">
        <w:t>NT</w:t>
      </w:r>
      <w:r w:rsidR="007D01EE" w:rsidRPr="00CE67B1">
        <w:t xml:space="preserve"> law </w:t>
      </w:r>
      <w:r w:rsidR="007D01EE">
        <w:t xml:space="preserve">would </w:t>
      </w:r>
      <w:r w:rsidR="007D01EE" w:rsidRPr="00CE67B1">
        <w:t>be treated as if it had been given under the Crimes Act, thereby providing protection for state operatives in proceedings held in federal courts and federal matters heard in state courts.</w:t>
      </w:r>
    </w:p>
    <w:p w:rsidR="007D01EE" w:rsidRDefault="007D01EE" w:rsidP="007D01EE">
      <w:pPr>
        <w:pStyle w:val="Paragraph"/>
        <w:ind w:left="709" w:right="567"/>
        <w:rPr>
          <w:rFonts w:ascii="Times" w:hAnsi="Times"/>
          <w:szCs w:val="24"/>
        </w:rPr>
      </w:pPr>
    </w:p>
    <w:p w:rsidR="007D01EE" w:rsidRDefault="007D01EE" w:rsidP="00B3526C">
      <w:pPr>
        <w:pStyle w:val="Paragraphnumbered"/>
        <w:ind w:right="567"/>
        <w:jc w:val="center"/>
        <w:rPr>
          <w:color w:val="000000"/>
        </w:rPr>
      </w:pPr>
      <w:r w:rsidRPr="00B675AC">
        <w:rPr>
          <w:szCs w:val="20"/>
        </w:rPr>
        <w:br w:type="page"/>
      </w:r>
      <w:r>
        <w:rPr>
          <w:color w:val="000000"/>
          <w:u w:val="single"/>
        </w:rPr>
        <w:lastRenderedPageBreak/>
        <w:t>Statement of Compatibility with Human Rights</w:t>
      </w:r>
    </w:p>
    <w:p w:rsidR="007D01EE" w:rsidRDefault="007D01EE" w:rsidP="007D01EE">
      <w:pPr>
        <w:keepNext/>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7D01EE" w:rsidRPr="00AA09C1" w:rsidRDefault="007D01EE" w:rsidP="007D01EE">
      <w:pPr>
        <w:shd w:val="clear" w:color="auto" w:fill="FFFFFF"/>
        <w:spacing w:before="120" w:after="120" w:line="240" w:lineRule="auto"/>
        <w:ind w:left="709" w:right="567"/>
        <w:jc w:val="center"/>
        <w:rPr>
          <w:rFonts w:ascii="Times New Roman" w:eastAsia="Times New Roman" w:hAnsi="Times New Roman"/>
          <w:i/>
          <w:color w:val="000000"/>
          <w:sz w:val="24"/>
          <w:szCs w:val="24"/>
          <w:lang w:eastAsia="en-AU"/>
        </w:rPr>
      </w:pPr>
      <w:r>
        <w:rPr>
          <w:rFonts w:ascii="Times New Roman" w:eastAsia="Times New Roman" w:hAnsi="Times New Roman"/>
          <w:i/>
          <w:iCs/>
          <w:color w:val="000000"/>
          <w:sz w:val="24"/>
          <w:szCs w:val="24"/>
          <w:lang w:eastAsia="en-AU"/>
        </w:rPr>
        <w:t>Prepared in accordance with Part 3 of the Human Rights (Parliamentary Scrutiny) Act 2011</w:t>
      </w:r>
      <w:r w:rsidR="00726449">
        <w:rPr>
          <w:rFonts w:ascii="Times New Roman" w:eastAsia="Times New Roman" w:hAnsi="Times New Roman"/>
          <w:i/>
          <w:iCs/>
          <w:color w:val="000000"/>
          <w:sz w:val="24"/>
          <w:szCs w:val="24"/>
          <w:lang w:eastAsia="en-AU"/>
        </w:rPr>
        <w:br/>
      </w:r>
    </w:p>
    <w:p w:rsidR="00726449" w:rsidRPr="00AA09C1" w:rsidRDefault="00726449" w:rsidP="00726449">
      <w:pPr>
        <w:pStyle w:val="Paragraph"/>
        <w:spacing w:before="0" w:after="120" w:line="276" w:lineRule="auto"/>
        <w:jc w:val="center"/>
        <w:rPr>
          <w:i/>
          <w:szCs w:val="24"/>
        </w:rPr>
      </w:pPr>
      <w:r w:rsidRPr="00AA09C1">
        <w:rPr>
          <w:i/>
          <w:szCs w:val="24"/>
        </w:rPr>
        <w:t>Crimes Amendment (</w:t>
      </w:r>
      <w:r w:rsidR="0047393A" w:rsidRPr="00AA09C1">
        <w:rPr>
          <w:i/>
          <w:szCs w:val="24"/>
        </w:rPr>
        <w:t>Corresponding Laws</w:t>
      </w:r>
      <w:r w:rsidRPr="00AA09C1">
        <w:rPr>
          <w:i/>
          <w:szCs w:val="24"/>
        </w:rPr>
        <w:t>) Regulation 2016</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the human rights and freedoms recognised or declared in the international instruments listed in section 3 of the </w:t>
      </w:r>
      <w:r>
        <w:rPr>
          <w:rFonts w:ascii="Times New Roman" w:eastAsia="Times New Roman" w:hAnsi="Times New Roman"/>
          <w:i/>
          <w:iCs/>
          <w:color w:val="000000"/>
          <w:sz w:val="24"/>
          <w:szCs w:val="24"/>
          <w:lang w:eastAsia="en-AU"/>
        </w:rPr>
        <w:t>Human Rights (Parliamentary Scrutiny) Act 2011</w:t>
      </w:r>
      <w:r>
        <w:rPr>
          <w:rFonts w:ascii="Times New Roman" w:eastAsia="Times New Roman" w:hAnsi="Times New Roman"/>
          <w:color w:val="000000"/>
          <w:sz w:val="24"/>
          <w:szCs w:val="24"/>
          <w:lang w:eastAsia="en-AU"/>
        </w:rPr>
        <w:t>.</w:t>
      </w:r>
    </w:p>
    <w:p w:rsidR="007D01EE" w:rsidRDefault="007D01EE" w:rsidP="007D01EE">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Overview of the Legislative Instrument</w:t>
      </w:r>
    </w:p>
    <w:p w:rsidR="007D01EE" w:rsidRDefault="007D01EE" w:rsidP="00513FA0">
      <w:pPr>
        <w:pStyle w:val="Paragraph"/>
        <w:ind w:right="567"/>
        <w:rPr>
          <w:rFonts w:ascii="Times" w:hAnsi="Times"/>
          <w:szCs w:val="24"/>
        </w:rPr>
      </w:pPr>
      <w:r>
        <w:rPr>
          <w:rFonts w:ascii="Times" w:hAnsi="Times"/>
          <w:szCs w:val="24"/>
        </w:rPr>
        <w:t xml:space="preserve">In 2010, the Commonwealth implemented model laws on </w:t>
      </w:r>
      <w:r w:rsidRPr="005C7F54">
        <w:t>controlled operations</w:t>
      </w:r>
      <w:r>
        <w:t xml:space="preserve"> (Part IAB of the Crimes Act)</w:t>
      </w:r>
      <w:r w:rsidRPr="005C7F54">
        <w:t>, assumed identities</w:t>
      </w:r>
      <w:r>
        <w:t xml:space="preserve"> (Part IAC)</w:t>
      </w:r>
      <w:r w:rsidRPr="005C7F54">
        <w:t xml:space="preserve"> and witness identity protection</w:t>
      </w:r>
      <w:r>
        <w:t xml:space="preserve"> (Part IACA)</w:t>
      </w:r>
      <w:r>
        <w:rPr>
          <w:rFonts w:ascii="Times" w:hAnsi="Times"/>
          <w:szCs w:val="24"/>
        </w:rPr>
        <w:t xml:space="preserve">.  </w:t>
      </w:r>
    </w:p>
    <w:p w:rsidR="007D01EE" w:rsidRDefault="007D01EE" w:rsidP="00513FA0">
      <w:pPr>
        <w:pStyle w:val="Paragraphnumbered"/>
        <w:spacing w:before="100" w:after="120"/>
        <w:ind w:right="567"/>
      </w:pPr>
      <w:r>
        <w:t>A controlled operation is a law enforcement operation in which a person is authorised to engage in unlawful conduct in order to obtain evidence of a serious criminal offence.  An assumed identity is a false identity used by a law enforcement officer or another person for the purposes of investigating an offence or gathering intelligence. Witness identity protection certificates allow undercover operatives (those engaged in a controlled operation or using an assumed identity) to give evidence without disclosing their true identity or location.</w:t>
      </w:r>
    </w:p>
    <w:p w:rsidR="007D01EE" w:rsidRDefault="007D01EE" w:rsidP="00513FA0">
      <w:pPr>
        <w:pStyle w:val="Paragraphnumbered"/>
        <w:spacing w:before="100" w:after="120"/>
        <w:ind w:right="567"/>
        <w:rPr>
          <w:rFonts w:ascii="Times" w:hAnsi="Times"/>
        </w:rPr>
      </w:pPr>
      <w:r>
        <w:t>To ensure the effective cross</w:t>
      </w:r>
      <w:r>
        <w:noBreakHyphen/>
        <w:t xml:space="preserve">border operation of these powers, </w:t>
      </w:r>
      <w:r>
        <w:rPr>
          <w:rFonts w:ascii="Times" w:hAnsi="Times"/>
        </w:rPr>
        <w:t>t</w:t>
      </w:r>
      <w:r>
        <w:t xml:space="preserve">he model laws include provisions for the mutual recognition of laws in other jurisdictions.  </w:t>
      </w:r>
      <w:r>
        <w:rPr>
          <w:rFonts w:ascii="Times" w:hAnsi="Times"/>
        </w:rPr>
        <w:t>These mutual recognition arrangements apply where a jurisdiction recognises another jurisdiction’s law as a corresponding law.</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This legislative instrument prescribes Northern Territory provisions on controlled operations, assumed identities and witness identity protection (contained in the NT Act) as corresponding laws for the purposes of the Crimes Act.  It does not make any substantive amendments to Commonwealth law or policy.  </w:t>
      </w:r>
    </w:p>
    <w:p w:rsidR="007D01EE" w:rsidRDefault="007D01EE" w:rsidP="007D01EE">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Human rights implications</w:t>
      </w:r>
    </w:p>
    <w:p w:rsidR="007D01EE" w:rsidRDefault="007D01EE" w:rsidP="007D01EE">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does not engage any of the applicable rights or freedoms.</w:t>
      </w:r>
    </w:p>
    <w:p w:rsidR="007D01EE" w:rsidRDefault="007D01EE" w:rsidP="007D01EE">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Conclusion</w:t>
      </w:r>
    </w:p>
    <w:p w:rsidR="007D01EE" w:rsidRDefault="007D01EE" w:rsidP="007D01EE">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 </w:t>
      </w:r>
    </w:p>
    <w:p w:rsidR="007D01EE" w:rsidRDefault="007D01EE" w:rsidP="00513FA0">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human rights as it does no</w:t>
      </w:r>
      <w:r w:rsidR="00726449">
        <w:rPr>
          <w:rFonts w:ascii="Times New Roman" w:eastAsia="Times New Roman" w:hAnsi="Times New Roman"/>
          <w:color w:val="000000"/>
          <w:sz w:val="24"/>
          <w:szCs w:val="24"/>
          <w:lang w:eastAsia="en-AU"/>
        </w:rPr>
        <w:t xml:space="preserve">t raise any human rights issues. </w:t>
      </w:r>
    </w:p>
    <w:p w:rsidR="007D01EE" w:rsidRDefault="007D01EE" w:rsidP="007D01EE">
      <w:pPr>
        <w:pStyle w:val="Paragraph"/>
        <w:ind w:left="709" w:right="567"/>
        <w:jc w:val="center"/>
      </w:pPr>
      <w:r>
        <w:rPr>
          <w:b/>
          <w:bCs/>
        </w:rPr>
        <w:t xml:space="preserve">[The </w:t>
      </w:r>
      <w:proofErr w:type="spellStart"/>
      <w:r>
        <w:rPr>
          <w:b/>
          <w:bCs/>
        </w:rPr>
        <w:t>Hon</w:t>
      </w:r>
      <w:proofErr w:type="spellEnd"/>
      <w:r>
        <w:rPr>
          <w:b/>
          <w:bCs/>
        </w:rPr>
        <w:t xml:space="preserve"> Michael Keenan MP, Minister for Justice and the Minister assisting the Prime Minister </w:t>
      </w:r>
      <w:r w:rsidR="008F1251">
        <w:rPr>
          <w:b/>
          <w:bCs/>
        </w:rPr>
        <w:t>for</w:t>
      </w:r>
      <w:r>
        <w:rPr>
          <w:b/>
          <w:bCs/>
        </w:rPr>
        <w:t xml:space="preserve"> Counter-Terrorism]</w:t>
      </w:r>
    </w:p>
    <w:p w:rsidR="007D01EE" w:rsidRDefault="007D01EE" w:rsidP="007D01EE">
      <w:pPr>
        <w:pStyle w:val="Paragraph"/>
        <w:ind w:left="709" w:right="567"/>
      </w:pPr>
    </w:p>
    <w:p w:rsidR="007D01EE" w:rsidRDefault="007D01EE" w:rsidP="00513FA0">
      <w:pPr>
        <w:pStyle w:val="Paragraph"/>
        <w:spacing w:before="220"/>
        <w:ind w:right="567"/>
        <w:rPr>
          <w:rFonts w:ascii="Times" w:hAnsi="Times"/>
          <w:szCs w:val="24"/>
        </w:rPr>
      </w:pPr>
      <w:r>
        <w:rPr>
          <w:rFonts w:ascii="Times" w:hAnsi="Times"/>
          <w:szCs w:val="24"/>
        </w:rPr>
        <w:br w:type="page"/>
      </w:r>
      <w:r>
        <w:rPr>
          <w:rFonts w:ascii="Times" w:hAnsi="Times"/>
          <w:szCs w:val="24"/>
        </w:rPr>
        <w:lastRenderedPageBreak/>
        <w:t xml:space="preserve">Details of the Regulation are set out in the </w:t>
      </w:r>
      <w:r>
        <w:rPr>
          <w:rFonts w:ascii="Times" w:hAnsi="Times"/>
          <w:szCs w:val="24"/>
          <w:u w:val="single"/>
        </w:rPr>
        <w:t>Attachment</w:t>
      </w:r>
      <w:r>
        <w:rPr>
          <w:rFonts w:ascii="Times" w:hAnsi="Times"/>
          <w:szCs w:val="24"/>
        </w:rPr>
        <w:t xml:space="preserve">. </w:t>
      </w:r>
    </w:p>
    <w:p w:rsidR="007D01EE" w:rsidRDefault="007D01EE" w:rsidP="00513FA0">
      <w:pPr>
        <w:pStyle w:val="Paragraph"/>
        <w:spacing w:before="220"/>
        <w:ind w:right="567"/>
        <w:rPr>
          <w:rFonts w:ascii="Times" w:hAnsi="Times"/>
          <w:szCs w:val="24"/>
        </w:rPr>
      </w:pPr>
      <w:r>
        <w:rPr>
          <w:rFonts w:ascii="Times" w:hAnsi="Times"/>
          <w:szCs w:val="24"/>
        </w:rPr>
        <w:t>The Crimes Act does not specify any conditions that need to be satisfied before the power to make the proposed Regulation may be exercised.</w:t>
      </w:r>
    </w:p>
    <w:p w:rsidR="007D01EE" w:rsidRDefault="007D01EE" w:rsidP="00513FA0">
      <w:pPr>
        <w:pStyle w:val="Paragraph"/>
        <w:ind w:right="567"/>
        <w:rPr>
          <w:rFonts w:ascii="Times" w:hAnsi="Times"/>
          <w:szCs w:val="24"/>
        </w:rPr>
      </w:pPr>
      <w:r>
        <w:rPr>
          <w:rFonts w:ascii="Times" w:hAnsi="Times"/>
          <w:szCs w:val="24"/>
        </w:rPr>
        <w:t xml:space="preserve">The Regulation is a legislative instrument for the purposes of the </w:t>
      </w:r>
      <w:r>
        <w:rPr>
          <w:rFonts w:ascii="Times" w:hAnsi="Times"/>
          <w:i/>
          <w:szCs w:val="24"/>
        </w:rPr>
        <w:t>Legislative Instruments Act 2003</w:t>
      </w:r>
      <w:r>
        <w:rPr>
          <w:rFonts w:ascii="Times" w:hAnsi="Times"/>
          <w:szCs w:val="24"/>
        </w:rPr>
        <w:t>.</w:t>
      </w:r>
      <w:r>
        <w:rPr>
          <w:rFonts w:ascii="Times" w:hAnsi="Times"/>
          <w:i/>
          <w:szCs w:val="24"/>
        </w:rPr>
        <w:t xml:space="preserve"> </w:t>
      </w:r>
    </w:p>
    <w:p w:rsidR="007D01EE" w:rsidRDefault="007D01EE" w:rsidP="00513FA0">
      <w:pPr>
        <w:pStyle w:val="Paragraph"/>
        <w:spacing w:before="200"/>
        <w:ind w:right="567"/>
        <w:rPr>
          <w:rFonts w:ascii="Times" w:hAnsi="Times"/>
          <w:szCs w:val="24"/>
        </w:rPr>
      </w:pPr>
      <w:r>
        <w:rPr>
          <w:rFonts w:ascii="Times" w:hAnsi="Times"/>
          <w:szCs w:val="24"/>
        </w:rPr>
        <w:t xml:space="preserve">The Regulation commences on the day after it is registered on the Federal Register of Legislative Instruments.  </w:t>
      </w:r>
    </w:p>
    <w:p w:rsidR="007D01EE" w:rsidRDefault="007D01EE" w:rsidP="00513FA0">
      <w:pPr>
        <w:pStyle w:val="Paragraph"/>
        <w:ind w:right="567"/>
        <w:rPr>
          <w:rFonts w:ascii="Times" w:hAnsi="Times"/>
          <w:i/>
          <w:szCs w:val="24"/>
        </w:rPr>
      </w:pPr>
      <w:r w:rsidRPr="00004DB3">
        <w:rPr>
          <w:rFonts w:ascii="Times" w:hAnsi="Times"/>
          <w:szCs w:val="24"/>
        </w:rPr>
        <w:t>Relevant agencies were consulted on the development of these Regulations.</w:t>
      </w:r>
      <w:r>
        <w:rPr>
          <w:rFonts w:ascii="Times" w:hAnsi="Times"/>
          <w:szCs w:val="24"/>
        </w:rPr>
        <w:t xml:space="preserve">  These regulations are not likely to impact on business or restrict competition.</w:t>
      </w:r>
    </w:p>
    <w:p w:rsidR="007D01EE" w:rsidRDefault="007D01EE" w:rsidP="00513FA0">
      <w:pPr>
        <w:pStyle w:val="Paragraph"/>
        <w:tabs>
          <w:tab w:val="left" w:pos="2415"/>
          <w:tab w:val="left" w:pos="6379"/>
        </w:tabs>
        <w:spacing w:before="120"/>
        <w:ind w:right="567"/>
        <w:rPr>
          <w:rFonts w:ascii="Times" w:hAnsi="Times"/>
          <w:i/>
          <w:szCs w:val="24"/>
        </w:rPr>
      </w:pPr>
      <w:r>
        <w:rPr>
          <w:rFonts w:ascii="Times" w:hAnsi="Times"/>
          <w:szCs w:val="24"/>
          <w:u w:val="single"/>
        </w:rPr>
        <w:t>Authority</w:t>
      </w:r>
      <w:r>
        <w:rPr>
          <w:rFonts w:ascii="Times" w:hAnsi="Times"/>
          <w:szCs w:val="24"/>
        </w:rPr>
        <w:t xml:space="preserve">:  Section 91 of the </w:t>
      </w:r>
      <w:r>
        <w:rPr>
          <w:rFonts w:ascii="Times" w:hAnsi="Times"/>
          <w:i/>
          <w:szCs w:val="24"/>
        </w:rPr>
        <w:t>Crimes Act 1914</w:t>
      </w:r>
    </w:p>
    <w:p w:rsidR="007D01EE" w:rsidRDefault="007D01EE" w:rsidP="007D01EE">
      <w:pPr>
        <w:pStyle w:val="Paragraph"/>
        <w:spacing w:before="0"/>
        <w:ind w:left="709" w:right="567"/>
        <w:rPr>
          <w:szCs w:val="24"/>
        </w:rPr>
      </w:pPr>
    </w:p>
    <w:p w:rsidR="007D01EE" w:rsidRDefault="007D01EE" w:rsidP="007D01EE">
      <w:pPr>
        <w:pStyle w:val="Paragraph"/>
        <w:spacing w:before="0"/>
        <w:ind w:left="709" w:right="567"/>
        <w:rPr>
          <w:szCs w:val="24"/>
        </w:rPr>
      </w:pPr>
    </w:p>
    <w:bookmarkEnd w:id="2"/>
    <w:bookmarkEnd w:id="3"/>
    <w:p w:rsidR="007D01EE" w:rsidRDefault="007D01EE" w:rsidP="007D01EE">
      <w:pPr>
        <w:pStyle w:val="Paragraph"/>
        <w:spacing w:before="0"/>
        <w:ind w:left="709" w:right="567"/>
        <w:rPr>
          <w:szCs w:val="24"/>
        </w:rPr>
      </w:pPr>
    </w:p>
    <w:bookmarkEnd w:id="1"/>
    <w:p w:rsidR="007D01EE" w:rsidRDefault="007D01EE" w:rsidP="007D01EE">
      <w:pPr>
        <w:pStyle w:val="Paragraph"/>
        <w:spacing w:before="0"/>
        <w:ind w:left="709" w:right="567" w:hanging="1440"/>
        <w:jc w:val="right"/>
        <w:rPr>
          <w:b/>
          <w:szCs w:val="24"/>
          <w:u w:val="single"/>
        </w:rPr>
      </w:pPr>
      <w:r>
        <w:rPr>
          <w:b/>
          <w:szCs w:val="24"/>
          <w:u w:val="single"/>
        </w:rPr>
        <w:br w:type="page"/>
      </w:r>
      <w:r>
        <w:rPr>
          <w:b/>
          <w:szCs w:val="24"/>
          <w:u w:val="single"/>
        </w:rPr>
        <w:lastRenderedPageBreak/>
        <w:t>ATTACHMENT</w:t>
      </w:r>
    </w:p>
    <w:p w:rsidR="007D01EE" w:rsidRDefault="007D01EE" w:rsidP="007D01EE">
      <w:pPr>
        <w:pStyle w:val="Paragraph"/>
        <w:spacing w:before="0"/>
        <w:ind w:left="709" w:right="567"/>
        <w:rPr>
          <w:b/>
          <w:szCs w:val="24"/>
          <w:u w:val="single"/>
        </w:rPr>
      </w:pPr>
    </w:p>
    <w:p w:rsidR="007D01EE" w:rsidRDefault="007D01EE" w:rsidP="0047393A">
      <w:pPr>
        <w:pStyle w:val="Paragraph"/>
        <w:spacing w:before="0"/>
        <w:ind w:right="567"/>
        <w:rPr>
          <w:b/>
          <w:szCs w:val="24"/>
          <w:u w:val="single"/>
        </w:rPr>
      </w:pPr>
      <w:r>
        <w:rPr>
          <w:b/>
          <w:szCs w:val="24"/>
          <w:u w:val="single"/>
        </w:rPr>
        <w:t xml:space="preserve">Details of the </w:t>
      </w:r>
      <w:r>
        <w:rPr>
          <w:b/>
          <w:i/>
          <w:szCs w:val="24"/>
          <w:u w:val="single"/>
        </w:rPr>
        <w:t>Crimes Amendment</w:t>
      </w:r>
      <w:r w:rsidR="0047393A">
        <w:rPr>
          <w:b/>
          <w:i/>
          <w:szCs w:val="24"/>
          <w:u w:val="single"/>
        </w:rPr>
        <w:t xml:space="preserve"> (Correspond</w:t>
      </w:r>
      <w:r w:rsidR="000B6AA2">
        <w:rPr>
          <w:b/>
          <w:i/>
          <w:szCs w:val="24"/>
          <w:u w:val="single"/>
        </w:rPr>
        <w:t>ing</w:t>
      </w:r>
      <w:r w:rsidR="0047393A">
        <w:rPr>
          <w:b/>
          <w:i/>
          <w:szCs w:val="24"/>
          <w:u w:val="single"/>
        </w:rPr>
        <w:t xml:space="preserve"> Laws)</w:t>
      </w:r>
      <w:r>
        <w:rPr>
          <w:b/>
          <w:i/>
          <w:szCs w:val="24"/>
          <w:u w:val="single"/>
        </w:rPr>
        <w:t xml:space="preserve"> Regulations 2016 </w:t>
      </w:r>
    </w:p>
    <w:p w:rsidR="007D01EE" w:rsidRDefault="007D01EE" w:rsidP="007D01EE">
      <w:pPr>
        <w:spacing w:after="0" w:line="240" w:lineRule="auto"/>
        <w:ind w:left="709" w:right="567"/>
        <w:rPr>
          <w:rFonts w:ascii="Times New Roman" w:hAnsi="Times New Roman"/>
          <w:sz w:val="24"/>
          <w:szCs w:val="24"/>
        </w:rPr>
      </w:pP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 1 – Name of Regulation</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provides that the title of the Regulation is the </w:t>
      </w:r>
      <w:r>
        <w:rPr>
          <w:rFonts w:ascii="Times New Roman" w:eastAsia="Times New Roman" w:hAnsi="Times New Roman"/>
          <w:i/>
          <w:sz w:val="24"/>
          <w:szCs w:val="20"/>
          <w:lang w:eastAsia="en-AU"/>
        </w:rPr>
        <w:t xml:space="preserve">Crimes Amendment </w:t>
      </w:r>
      <w:r w:rsidR="0047393A">
        <w:rPr>
          <w:rFonts w:ascii="Times New Roman" w:eastAsia="Times New Roman" w:hAnsi="Times New Roman"/>
          <w:i/>
          <w:sz w:val="24"/>
          <w:szCs w:val="20"/>
          <w:lang w:eastAsia="en-AU"/>
        </w:rPr>
        <w:t xml:space="preserve">(Corresponding Laws) </w:t>
      </w:r>
      <w:r>
        <w:rPr>
          <w:rFonts w:ascii="Times New Roman" w:eastAsia="Times New Roman" w:hAnsi="Times New Roman"/>
          <w:i/>
          <w:sz w:val="24"/>
          <w:szCs w:val="20"/>
          <w:lang w:eastAsia="en-AU"/>
        </w:rPr>
        <w:t>Regulation 201</w:t>
      </w:r>
      <w:r w:rsidR="0047393A">
        <w:rPr>
          <w:rFonts w:ascii="Times New Roman" w:eastAsia="Times New Roman" w:hAnsi="Times New Roman"/>
          <w:i/>
          <w:sz w:val="24"/>
          <w:szCs w:val="20"/>
          <w:lang w:eastAsia="en-AU"/>
        </w:rPr>
        <w:t>6</w:t>
      </w:r>
      <w:r>
        <w:rPr>
          <w:rFonts w:ascii="Times New Roman" w:eastAsia="Times New Roman" w:hAnsi="Times New Roman"/>
          <w:sz w:val="24"/>
          <w:szCs w:val="20"/>
          <w:lang w:eastAsia="en-AU"/>
        </w:rPr>
        <w:t>.</w:t>
      </w:r>
    </w:p>
    <w:p w:rsidR="007D01EE" w:rsidRDefault="007D01EE" w:rsidP="00513FA0">
      <w:pPr>
        <w:spacing w:before="240" w:after="0" w:line="240" w:lineRule="auto"/>
        <w:ind w:right="567"/>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 2 – Commencement</w:t>
      </w:r>
    </w:p>
    <w:p w:rsidR="007D01EE" w:rsidRDefault="007D01EE" w:rsidP="00513FA0">
      <w:pPr>
        <w:spacing w:before="240" w:after="0" w:line="240" w:lineRule="auto"/>
        <w:ind w:right="567"/>
        <w:rPr>
          <w:rFonts w:ascii="Times New Roman" w:eastAsia="Times New Roman" w:hAnsi="Times New Roman"/>
          <w:color w:val="000000"/>
          <w:sz w:val="24"/>
          <w:szCs w:val="20"/>
          <w:shd w:val="clear" w:color="auto" w:fill="FFFFFF"/>
          <w:lang w:eastAsia="en-AU"/>
        </w:rPr>
      </w:pPr>
      <w:r>
        <w:rPr>
          <w:rFonts w:ascii="Times New Roman" w:eastAsia="Times New Roman" w:hAnsi="Times New Roman"/>
          <w:color w:val="000000"/>
          <w:sz w:val="24"/>
          <w:szCs w:val="20"/>
          <w:shd w:val="clear" w:color="auto" w:fill="FFFFFF"/>
          <w:lang w:eastAsia="en-AU"/>
        </w:rPr>
        <w:t>This section provides that the Regulation will commence on the day after it is registered.</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 xml:space="preserve">Section 3 – </w:t>
      </w:r>
      <w:r w:rsidR="0047393A">
        <w:rPr>
          <w:rFonts w:ascii="Times New Roman" w:eastAsia="Times New Roman" w:hAnsi="Times New Roman"/>
          <w:sz w:val="24"/>
          <w:szCs w:val="20"/>
          <w:u w:val="single"/>
          <w:lang w:eastAsia="en-AU"/>
        </w:rPr>
        <w:t xml:space="preserve">Authority </w:t>
      </w:r>
    </w:p>
    <w:p w:rsidR="0047393A" w:rsidRDefault="0047393A" w:rsidP="00513FA0">
      <w:pPr>
        <w:spacing w:before="240" w:after="0" w:line="240" w:lineRule="auto"/>
        <w:ind w:right="567"/>
        <w:rPr>
          <w:rFonts w:ascii="Times New Roman" w:eastAsia="Times New Roman" w:hAnsi="Times New Roman"/>
          <w:color w:val="000000"/>
          <w:sz w:val="24"/>
          <w:szCs w:val="20"/>
          <w:shd w:val="clear" w:color="auto" w:fill="FFFFFF"/>
          <w:lang w:eastAsia="en-AU"/>
        </w:rPr>
      </w:pPr>
      <w:r w:rsidRPr="0047393A">
        <w:rPr>
          <w:rFonts w:ascii="Times New Roman" w:eastAsia="Times New Roman" w:hAnsi="Times New Roman"/>
          <w:color w:val="000000"/>
          <w:sz w:val="24"/>
          <w:szCs w:val="20"/>
          <w:shd w:val="clear" w:color="auto" w:fill="FFFFFF"/>
          <w:lang w:eastAsia="en-AU"/>
        </w:rPr>
        <w:t xml:space="preserve">This section identifies the </w:t>
      </w:r>
      <w:r w:rsidRPr="0047393A">
        <w:rPr>
          <w:rFonts w:ascii="Times New Roman" w:eastAsia="Times New Roman" w:hAnsi="Times New Roman"/>
          <w:i/>
          <w:color w:val="000000"/>
          <w:sz w:val="24"/>
          <w:szCs w:val="20"/>
          <w:shd w:val="clear" w:color="auto" w:fill="FFFFFF"/>
          <w:lang w:eastAsia="en-AU"/>
        </w:rPr>
        <w:t>Crimes Act 1914</w:t>
      </w:r>
      <w:r w:rsidRPr="0047393A">
        <w:rPr>
          <w:rFonts w:ascii="Times New Roman" w:eastAsia="Times New Roman" w:hAnsi="Times New Roman"/>
          <w:color w:val="000000"/>
          <w:sz w:val="24"/>
          <w:szCs w:val="20"/>
          <w:shd w:val="clear" w:color="auto" w:fill="FFFFFF"/>
          <w:lang w:eastAsia="en-AU"/>
        </w:rPr>
        <w:t xml:space="preserve"> as the authority for the Regulation</w:t>
      </w:r>
      <w:r>
        <w:rPr>
          <w:rFonts w:ascii="Times New Roman" w:eastAsia="Times New Roman" w:hAnsi="Times New Roman"/>
          <w:color w:val="000000"/>
          <w:sz w:val="24"/>
          <w:szCs w:val="20"/>
          <w:shd w:val="clear" w:color="auto" w:fill="FFFFFF"/>
          <w:lang w:eastAsia="en-AU"/>
        </w:rPr>
        <w:t>.</w:t>
      </w:r>
    </w:p>
    <w:p w:rsidR="0047393A" w:rsidRPr="0047393A" w:rsidRDefault="0047393A" w:rsidP="0047393A">
      <w:pPr>
        <w:shd w:val="clear" w:color="auto" w:fill="FFFFFF"/>
        <w:spacing w:before="240" w:after="0" w:line="240" w:lineRule="auto"/>
        <w:ind w:right="567"/>
        <w:rPr>
          <w:rFonts w:ascii="Times New Roman" w:eastAsia="Times New Roman" w:hAnsi="Times New Roman"/>
          <w:sz w:val="24"/>
          <w:szCs w:val="24"/>
          <w:lang w:eastAsia="en-AU"/>
        </w:rPr>
      </w:pPr>
      <w:r w:rsidRPr="0047393A">
        <w:rPr>
          <w:rFonts w:ascii="Times New Roman" w:eastAsia="Times New Roman" w:hAnsi="Times New Roman"/>
          <w:sz w:val="24"/>
          <w:szCs w:val="24"/>
          <w:u w:val="single"/>
          <w:lang w:eastAsia="en-AU"/>
        </w:rPr>
        <w:t>Section 4 – Schedule</w:t>
      </w:r>
    </w:p>
    <w:p w:rsidR="0047393A" w:rsidRPr="0047393A" w:rsidRDefault="0047393A" w:rsidP="0047393A">
      <w:pPr>
        <w:shd w:val="clear" w:color="auto" w:fill="FFFFFF"/>
        <w:spacing w:before="240" w:after="0" w:line="240" w:lineRule="auto"/>
        <w:ind w:right="567"/>
        <w:rPr>
          <w:rFonts w:ascii="Times New Roman" w:eastAsia="Times New Roman" w:hAnsi="Times New Roman"/>
          <w:sz w:val="24"/>
          <w:szCs w:val="24"/>
          <w:lang w:eastAsia="en-AU"/>
        </w:rPr>
      </w:pPr>
      <w:r w:rsidRPr="0047393A">
        <w:rPr>
          <w:rFonts w:ascii="Times New Roman" w:eastAsia="Times New Roman" w:hAnsi="Times New Roman"/>
          <w:sz w:val="24"/>
          <w:szCs w:val="24"/>
          <w:lang w:eastAsia="en-AU"/>
        </w:rPr>
        <w:t xml:space="preserve">This section provides that the </w:t>
      </w:r>
      <w:r w:rsidRPr="0047393A">
        <w:rPr>
          <w:rFonts w:ascii="Times New Roman" w:eastAsia="Times New Roman" w:hAnsi="Times New Roman"/>
          <w:i/>
          <w:iCs/>
          <w:sz w:val="24"/>
          <w:szCs w:val="24"/>
          <w:lang w:eastAsia="en-AU"/>
        </w:rPr>
        <w:t xml:space="preserve">Crimes Regulations 1990 </w:t>
      </w:r>
      <w:r w:rsidRPr="0047393A">
        <w:rPr>
          <w:rFonts w:ascii="Times New Roman" w:eastAsia="Times New Roman" w:hAnsi="Times New Roman"/>
          <w:sz w:val="24"/>
          <w:szCs w:val="24"/>
          <w:lang w:eastAsia="en-AU"/>
        </w:rPr>
        <w:t>are amended as set out in Schedule 1.</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Schedule 1 – Amendments</w:t>
      </w:r>
    </w:p>
    <w:p w:rsidR="007D01EE" w:rsidRDefault="007D01EE" w:rsidP="00513FA0">
      <w:pPr>
        <w:spacing w:before="240" w:after="0" w:line="240" w:lineRule="auto"/>
        <w:ind w:right="567"/>
        <w:rPr>
          <w:rFonts w:ascii="Times New Roman" w:eastAsia="Times New Roman" w:hAnsi="Times New Roman"/>
          <w:b/>
          <w:sz w:val="24"/>
          <w:szCs w:val="20"/>
          <w:lang w:eastAsia="en-AU"/>
        </w:rPr>
      </w:pPr>
      <w:r>
        <w:rPr>
          <w:rFonts w:ascii="Times New Roman" w:eastAsia="Times New Roman" w:hAnsi="Times New Roman"/>
          <w:b/>
          <w:sz w:val="24"/>
          <w:szCs w:val="20"/>
          <w:lang w:eastAsia="en-AU"/>
        </w:rPr>
        <w:t xml:space="preserve">Item [1] – regulation </w:t>
      </w:r>
      <w:r w:rsidRPr="00B70E29">
        <w:rPr>
          <w:rFonts w:ascii="Times New Roman" w:eastAsia="Times New Roman" w:hAnsi="Times New Roman"/>
          <w:b/>
          <w:sz w:val="24"/>
          <w:szCs w:val="20"/>
          <w:lang w:eastAsia="en-AU"/>
        </w:rPr>
        <w:t>4A</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4A prescribes corresponding controlled operations laws, as defined in subsection 15GC of the Crimes Act.</w:t>
      </w:r>
    </w:p>
    <w:p w:rsidR="007D01EE" w:rsidRDefault="007D01EE" w:rsidP="00513FA0">
      <w:pPr>
        <w:spacing w:before="240" w:after="0" w:line="240" w:lineRule="auto"/>
        <w:ind w:righ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w:t>
      </w:r>
      <w:r w:rsidR="0047393A">
        <w:rPr>
          <w:rFonts w:ascii="Times New Roman" w:eastAsia="Times New Roman" w:hAnsi="Times New Roman"/>
          <w:sz w:val="24"/>
          <w:szCs w:val="24"/>
          <w:lang w:eastAsia="en-AU"/>
        </w:rPr>
        <w:t xml:space="preserve">inserts </w:t>
      </w:r>
      <w:r w:rsidRPr="001D7CA5">
        <w:rPr>
          <w:rFonts w:ascii="Times New Roman" w:eastAsia="Times New Roman" w:hAnsi="Times New Roman"/>
          <w:sz w:val="24"/>
          <w:szCs w:val="24"/>
          <w:lang w:eastAsia="en-AU"/>
        </w:rPr>
        <w:t xml:space="preserve">the </w:t>
      </w:r>
      <w:r w:rsidR="00AC5E9A" w:rsidRPr="00AC5E9A">
        <w:rPr>
          <w:rFonts w:ascii="Times New Roman" w:eastAsia="Times New Roman" w:hAnsi="Times New Roman"/>
          <w:i/>
          <w:sz w:val="24"/>
          <w:szCs w:val="24"/>
          <w:lang w:eastAsia="en-AU"/>
        </w:rPr>
        <w:t xml:space="preserve">Police (Special Investigative and Other Powers) Act </w:t>
      </w:r>
      <w:r w:rsidR="00AC5E9A">
        <w:rPr>
          <w:rFonts w:ascii="Times New Roman" w:eastAsia="Times New Roman" w:hAnsi="Times New Roman"/>
          <w:sz w:val="24"/>
          <w:szCs w:val="24"/>
          <w:lang w:eastAsia="en-AU"/>
        </w:rPr>
        <w:t>(NT)</w:t>
      </w:r>
      <w:r w:rsidR="0047393A">
        <w:rPr>
          <w:rFonts w:ascii="Times New Roman" w:eastAsia="Times New Roman" w:hAnsi="Times New Roman"/>
          <w:sz w:val="24"/>
          <w:szCs w:val="24"/>
          <w:lang w:eastAsia="en-AU"/>
        </w:rPr>
        <w:t xml:space="preserve"> into the existing </w:t>
      </w:r>
      <w:r w:rsidR="00B714D0" w:rsidRPr="00B714D0">
        <w:rPr>
          <w:rFonts w:ascii="Times New Roman" w:eastAsia="Times New Roman" w:hAnsi="Times New Roman"/>
          <w:sz w:val="24"/>
          <w:szCs w:val="24"/>
          <w:lang w:eastAsia="en-AU"/>
        </w:rPr>
        <w:t>table of corresponding controlled operations laws</w:t>
      </w:r>
      <w:r w:rsidR="0047393A">
        <w:rPr>
          <w:rFonts w:ascii="Times New Roman" w:eastAsia="Times New Roman" w:hAnsi="Times New Roman"/>
          <w:sz w:val="24"/>
          <w:szCs w:val="24"/>
          <w:lang w:eastAsia="en-AU"/>
        </w:rPr>
        <w:t>.</w:t>
      </w:r>
      <w:r w:rsidRPr="001D7CA5">
        <w:rPr>
          <w:rFonts w:ascii="Times New Roman" w:eastAsia="Times New Roman" w:hAnsi="Times New Roman"/>
          <w:sz w:val="24"/>
          <w:szCs w:val="24"/>
          <w:lang w:eastAsia="en-AU"/>
        </w:rPr>
        <w:t xml:space="preserve">  Part 2 of this Act </w:t>
      </w:r>
      <w:r>
        <w:rPr>
          <w:rFonts w:ascii="Times New Roman" w:eastAsia="Times New Roman" w:hAnsi="Times New Roman"/>
          <w:sz w:val="24"/>
          <w:szCs w:val="24"/>
          <w:lang w:eastAsia="en-AU"/>
        </w:rPr>
        <w:t>is</w:t>
      </w:r>
      <w:r w:rsidRPr="001D7CA5">
        <w:rPr>
          <w:rFonts w:ascii="Times New Roman" w:eastAsia="Times New Roman" w:hAnsi="Times New Roman"/>
          <w:sz w:val="24"/>
          <w:szCs w:val="24"/>
          <w:lang w:eastAsia="en-AU"/>
        </w:rPr>
        <w:t xml:space="preserve"> prescribed as corresponding.</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b/>
          <w:sz w:val="24"/>
          <w:szCs w:val="20"/>
          <w:lang w:eastAsia="en-AU"/>
        </w:rPr>
        <w:t>Item [2] – regulation </w:t>
      </w:r>
      <w:r w:rsidRPr="00B70E29">
        <w:rPr>
          <w:rFonts w:ascii="Times New Roman" w:eastAsia="Times New Roman" w:hAnsi="Times New Roman"/>
          <w:b/>
          <w:sz w:val="24"/>
          <w:szCs w:val="20"/>
          <w:lang w:eastAsia="en-AU"/>
        </w:rPr>
        <w:t>4BAB</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4BAB prescribes corresponding assumed identities laws, as defined in subsection 15K of the Crimes Act.</w:t>
      </w:r>
    </w:p>
    <w:p w:rsidR="007D01EE" w:rsidRDefault="007D01EE" w:rsidP="00513FA0">
      <w:pPr>
        <w:spacing w:before="240" w:after="0" w:line="240" w:lineRule="auto"/>
        <w:ind w:righ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 </w:t>
      </w:r>
      <w:r w:rsidRPr="001D7CA5">
        <w:rPr>
          <w:rFonts w:ascii="Times New Roman" w:eastAsia="Times New Roman" w:hAnsi="Times New Roman"/>
          <w:sz w:val="24"/>
          <w:szCs w:val="24"/>
          <w:lang w:eastAsia="en-AU"/>
        </w:rPr>
        <w:t>insert</w:t>
      </w:r>
      <w:r>
        <w:rPr>
          <w:rFonts w:ascii="Times New Roman" w:eastAsia="Times New Roman" w:hAnsi="Times New Roman"/>
          <w:sz w:val="24"/>
          <w:szCs w:val="24"/>
          <w:lang w:eastAsia="en-AU"/>
        </w:rPr>
        <w:t>s</w:t>
      </w:r>
      <w:r w:rsidRPr="001D7CA5">
        <w:rPr>
          <w:rFonts w:ascii="Times New Roman" w:eastAsia="Times New Roman" w:hAnsi="Times New Roman"/>
          <w:sz w:val="24"/>
          <w:szCs w:val="24"/>
          <w:lang w:eastAsia="en-AU"/>
        </w:rPr>
        <w:t xml:space="preserve"> the </w:t>
      </w:r>
      <w:r w:rsidR="00AC5E9A" w:rsidRPr="00AC5E9A">
        <w:rPr>
          <w:rFonts w:ascii="Times New Roman" w:eastAsia="Times New Roman" w:hAnsi="Times New Roman"/>
          <w:i/>
          <w:sz w:val="24"/>
          <w:szCs w:val="24"/>
          <w:lang w:eastAsia="en-AU"/>
        </w:rPr>
        <w:t xml:space="preserve">Police (Special Investigative and Other Powers) Act </w:t>
      </w:r>
      <w:r w:rsidR="00AC5E9A">
        <w:rPr>
          <w:rFonts w:ascii="Times New Roman" w:eastAsia="Times New Roman" w:hAnsi="Times New Roman"/>
          <w:sz w:val="24"/>
          <w:szCs w:val="24"/>
          <w:lang w:eastAsia="en-AU"/>
        </w:rPr>
        <w:t>(NT)</w:t>
      </w:r>
      <w:r w:rsidR="0047393A">
        <w:rPr>
          <w:rFonts w:ascii="Times New Roman" w:eastAsia="Times New Roman" w:hAnsi="Times New Roman"/>
          <w:sz w:val="24"/>
          <w:szCs w:val="24"/>
          <w:lang w:eastAsia="en-AU"/>
        </w:rPr>
        <w:t xml:space="preserve"> into the </w:t>
      </w:r>
      <w:r w:rsidR="0047393A" w:rsidRPr="0047393A">
        <w:rPr>
          <w:rFonts w:ascii="Times New Roman" w:eastAsia="Times New Roman" w:hAnsi="Times New Roman"/>
          <w:sz w:val="24"/>
          <w:szCs w:val="24"/>
          <w:lang w:eastAsia="en-AU"/>
        </w:rPr>
        <w:t>existing table of corresponding assumed identities laws</w:t>
      </w:r>
      <w:r w:rsidRPr="001D7CA5">
        <w:rPr>
          <w:rFonts w:ascii="Times New Roman" w:eastAsia="Times New Roman" w:hAnsi="Times New Roman"/>
          <w:sz w:val="24"/>
          <w:szCs w:val="24"/>
          <w:lang w:eastAsia="en-AU"/>
        </w:rPr>
        <w:t xml:space="preserve">.  Part 3 of this Act </w:t>
      </w:r>
      <w:r>
        <w:rPr>
          <w:rFonts w:ascii="Times New Roman" w:eastAsia="Times New Roman" w:hAnsi="Times New Roman"/>
          <w:sz w:val="24"/>
          <w:szCs w:val="24"/>
          <w:lang w:eastAsia="en-AU"/>
        </w:rPr>
        <w:t>is</w:t>
      </w:r>
      <w:r w:rsidRPr="001D7CA5">
        <w:rPr>
          <w:rFonts w:ascii="Times New Roman" w:eastAsia="Times New Roman" w:hAnsi="Times New Roman"/>
          <w:sz w:val="24"/>
          <w:szCs w:val="24"/>
          <w:lang w:eastAsia="en-AU"/>
        </w:rPr>
        <w:t xml:space="preserve"> prescribed as corresponding.</w:t>
      </w:r>
    </w:p>
    <w:p w:rsidR="007D01EE" w:rsidRDefault="007D01EE" w:rsidP="00513FA0">
      <w:pPr>
        <w:spacing w:before="240" w:after="0" w:line="240" w:lineRule="auto"/>
        <w:ind w:right="567"/>
        <w:rPr>
          <w:rFonts w:ascii="Times New Roman" w:eastAsia="Times New Roman" w:hAnsi="Times New Roman"/>
          <w:b/>
          <w:sz w:val="24"/>
          <w:szCs w:val="20"/>
          <w:lang w:eastAsia="en-AU"/>
        </w:rPr>
      </w:pPr>
      <w:r>
        <w:rPr>
          <w:rFonts w:ascii="Times New Roman" w:eastAsia="Times New Roman" w:hAnsi="Times New Roman"/>
          <w:b/>
          <w:sz w:val="24"/>
          <w:szCs w:val="20"/>
          <w:lang w:eastAsia="en-AU"/>
        </w:rPr>
        <w:t xml:space="preserve">Item [3] – regulation </w:t>
      </w:r>
      <w:r w:rsidRPr="00B70E29">
        <w:rPr>
          <w:rFonts w:ascii="Times New Roman" w:eastAsia="Times New Roman" w:hAnsi="Times New Roman"/>
          <w:b/>
          <w:sz w:val="24"/>
          <w:szCs w:val="20"/>
          <w:lang w:eastAsia="en-AU"/>
        </w:rPr>
        <w:t>4D</w:t>
      </w:r>
    </w:p>
    <w:p w:rsidR="007D01EE" w:rsidRDefault="007D01EE" w:rsidP="00513FA0">
      <w:pPr>
        <w:spacing w:before="240" w:after="0" w:line="240" w:lineRule="auto"/>
        <w:ind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4D prescribes corresponding witness identity protection laws, as defined in subsection</w:t>
      </w:r>
      <w:r w:rsidR="0047393A">
        <w:rPr>
          <w:rFonts w:ascii="Times New Roman" w:eastAsia="Times New Roman" w:hAnsi="Times New Roman"/>
          <w:sz w:val="24"/>
          <w:szCs w:val="20"/>
          <w:lang w:eastAsia="en-AU"/>
        </w:rPr>
        <w:t xml:space="preserve"> </w:t>
      </w:r>
      <w:proofErr w:type="gramStart"/>
      <w:r>
        <w:rPr>
          <w:rFonts w:ascii="Times New Roman" w:eastAsia="Times New Roman" w:hAnsi="Times New Roman"/>
          <w:sz w:val="24"/>
          <w:szCs w:val="20"/>
          <w:lang w:eastAsia="en-AU"/>
        </w:rPr>
        <w:t>15M(</w:t>
      </w:r>
      <w:proofErr w:type="gramEnd"/>
      <w:r>
        <w:rPr>
          <w:rFonts w:ascii="Times New Roman" w:eastAsia="Times New Roman" w:hAnsi="Times New Roman"/>
          <w:sz w:val="24"/>
          <w:szCs w:val="20"/>
          <w:lang w:eastAsia="en-AU"/>
        </w:rPr>
        <w:t>1) of the Crimes Act.</w:t>
      </w:r>
    </w:p>
    <w:p w:rsidR="005E43F6" w:rsidRDefault="007D01EE" w:rsidP="00B714D0">
      <w:pPr>
        <w:spacing w:before="240" w:after="0" w:line="240" w:lineRule="auto"/>
        <w:ind w:right="567"/>
      </w:pPr>
      <w:r>
        <w:rPr>
          <w:rFonts w:ascii="Times New Roman" w:eastAsia="Times New Roman" w:hAnsi="Times New Roman"/>
          <w:sz w:val="24"/>
          <w:szCs w:val="24"/>
          <w:lang w:eastAsia="en-AU"/>
        </w:rPr>
        <w:t xml:space="preserve">Item 3 </w:t>
      </w:r>
      <w:r w:rsidR="0047393A">
        <w:rPr>
          <w:rFonts w:ascii="Times New Roman" w:eastAsia="Times New Roman" w:hAnsi="Times New Roman"/>
          <w:sz w:val="24"/>
          <w:szCs w:val="24"/>
          <w:lang w:eastAsia="en-AU"/>
        </w:rPr>
        <w:t xml:space="preserve">inserts </w:t>
      </w:r>
      <w:r w:rsidR="0047393A" w:rsidRPr="001D7CA5">
        <w:rPr>
          <w:rFonts w:ascii="Times New Roman" w:eastAsia="Times New Roman" w:hAnsi="Times New Roman"/>
          <w:sz w:val="24"/>
          <w:szCs w:val="24"/>
          <w:lang w:eastAsia="en-AU"/>
        </w:rPr>
        <w:t xml:space="preserve">the </w:t>
      </w:r>
      <w:r w:rsidR="0047393A" w:rsidRPr="00AC5E9A">
        <w:rPr>
          <w:rFonts w:ascii="Times New Roman" w:eastAsia="Times New Roman" w:hAnsi="Times New Roman"/>
          <w:i/>
          <w:sz w:val="24"/>
          <w:szCs w:val="24"/>
          <w:lang w:eastAsia="en-AU"/>
        </w:rPr>
        <w:t>Police (Special Investig</w:t>
      </w:r>
      <w:r w:rsidR="00CF5515">
        <w:rPr>
          <w:rFonts w:ascii="Times New Roman" w:eastAsia="Times New Roman" w:hAnsi="Times New Roman"/>
          <w:i/>
          <w:sz w:val="24"/>
          <w:szCs w:val="24"/>
          <w:lang w:eastAsia="en-AU"/>
        </w:rPr>
        <w:t xml:space="preserve">ative and Other Powers) Act </w:t>
      </w:r>
      <w:r w:rsidR="00CF5515">
        <w:rPr>
          <w:rFonts w:ascii="Times New Roman" w:eastAsia="Times New Roman" w:hAnsi="Times New Roman"/>
          <w:sz w:val="24"/>
          <w:szCs w:val="24"/>
          <w:lang w:eastAsia="en-AU"/>
        </w:rPr>
        <w:t>(</w:t>
      </w:r>
      <w:r w:rsidR="0047393A">
        <w:rPr>
          <w:rFonts w:ascii="Times New Roman" w:eastAsia="Times New Roman" w:hAnsi="Times New Roman"/>
          <w:sz w:val="24"/>
          <w:szCs w:val="24"/>
          <w:lang w:eastAsia="en-AU"/>
        </w:rPr>
        <w:t xml:space="preserve">NT) into the table of </w:t>
      </w:r>
      <w:r w:rsidRPr="001D7CA5">
        <w:rPr>
          <w:rFonts w:ascii="Times New Roman" w:eastAsia="Times New Roman" w:hAnsi="Times New Roman"/>
          <w:sz w:val="24"/>
          <w:szCs w:val="24"/>
          <w:lang w:eastAsia="en-AU"/>
        </w:rPr>
        <w:t xml:space="preserve">corresponding witness identity protection laws.  Part 4 of this Act </w:t>
      </w:r>
      <w:r>
        <w:rPr>
          <w:rFonts w:ascii="Times New Roman" w:eastAsia="Times New Roman" w:hAnsi="Times New Roman"/>
          <w:sz w:val="24"/>
          <w:szCs w:val="24"/>
          <w:lang w:eastAsia="en-AU"/>
        </w:rPr>
        <w:t>is</w:t>
      </w:r>
      <w:r w:rsidRPr="001D7CA5">
        <w:rPr>
          <w:rFonts w:ascii="Times New Roman" w:eastAsia="Times New Roman" w:hAnsi="Times New Roman"/>
          <w:sz w:val="24"/>
          <w:szCs w:val="24"/>
          <w:lang w:eastAsia="en-AU"/>
        </w:rPr>
        <w:t xml:space="preserve"> prescribed as corresponding.</w:t>
      </w:r>
    </w:p>
    <w:sectPr w:rsidR="005E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4818"/>
    <w:multiLevelType w:val="hybridMultilevel"/>
    <w:tmpl w:val="5B9E42E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EE"/>
    <w:rsid w:val="000B6AA2"/>
    <w:rsid w:val="00181163"/>
    <w:rsid w:val="00407C51"/>
    <w:rsid w:val="0047393A"/>
    <w:rsid w:val="00513FA0"/>
    <w:rsid w:val="005A2EE0"/>
    <w:rsid w:val="005B75EB"/>
    <w:rsid w:val="005E440F"/>
    <w:rsid w:val="006704EC"/>
    <w:rsid w:val="00696209"/>
    <w:rsid w:val="00726449"/>
    <w:rsid w:val="007C5FFD"/>
    <w:rsid w:val="007D01EE"/>
    <w:rsid w:val="00815140"/>
    <w:rsid w:val="008F1251"/>
    <w:rsid w:val="009D29B0"/>
    <w:rsid w:val="00AA09C1"/>
    <w:rsid w:val="00AA2280"/>
    <w:rsid w:val="00AC5E9A"/>
    <w:rsid w:val="00AD39C7"/>
    <w:rsid w:val="00B21B1D"/>
    <w:rsid w:val="00B3526C"/>
    <w:rsid w:val="00B714D0"/>
    <w:rsid w:val="00CC4A0C"/>
    <w:rsid w:val="00CF5515"/>
    <w:rsid w:val="00DC5768"/>
    <w:rsid w:val="00DE7115"/>
    <w:rsid w:val="00F435C1"/>
    <w:rsid w:val="00F86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8926">
      <w:bodyDiv w:val="1"/>
      <w:marLeft w:val="0"/>
      <w:marRight w:val="0"/>
      <w:marTop w:val="0"/>
      <w:marBottom w:val="0"/>
      <w:divBdr>
        <w:top w:val="none" w:sz="0" w:space="0" w:color="auto"/>
        <w:left w:val="none" w:sz="0" w:space="0" w:color="auto"/>
        <w:bottom w:val="none" w:sz="0" w:space="0" w:color="auto"/>
        <w:right w:val="none" w:sz="0" w:space="0" w:color="auto"/>
      </w:divBdr>
    </w:div>
    <w:div w:id="1171481676">
      <w:bodyDiv w:val="1"/>
      <w:marLeft w:val="0"/>
      <w:marRight w:val="0"/>
      <w:marTop w:val="0"/>
      <w:marBottom w:val="0"/>
      <w:divBdr>
        <w:top w:val="none" w:sz="0" w:space="0" w:color="auto"/>
        <w:left w:val="none" w:sz="0" w:space="0" w:color="auto"/>
        <w:bottom w:val="none" w:sz="0" w:space="0" w:color="auto"/>
        <w:right w:val="none" w:sz="0" w:space="0" w:color="auto"/>
      </w:divBdr>
    </w:div>
    <w:div w:id="1760177043">
      <w:bodyDiv w:val="1"/>
      <w:marLeft w:val="0"/>
      <w:marRight w:val="0"/>
      <w:marTop w:val="0"/>
      <w:marBottom w:val="0"/>
      <w:divBdr>
        <w:top w:val="none" w:sz="0" w:space="0" w:color="auto"/>
        <w:left w:val="none" w:sz="0" w:space="0" w:color="auto"/>
        <w:bottom w:val="none" w:sz="0" w:space="0" w:color="auto"/>
        <w:right w:val="none" w:sz="0" w:space="0" w:color="auto"/>
      </w:divBdr>
      <w:divsChild>
        <w:div w:id="675809040">
          <w:marLeft w:val="0"/>
          <w:marRight w:val="0"/>
          <w:marTop w:val="0"/>
          <w:marBottom w:val="0"/>
          <w:divBdr>
            <w:top w:val="none" w:sz="0" w:space="0" w:color="auto"/>
            <w:left w:val="none" w:sz="0" w:space="0" w:color="auto"/>
            <w:bottom w:val="none" w:sz="0" w:space="0" w:color="auto"/>
            <w:right w:val="none" w:sz="0" w:space="0" w:color="auto"/>
          </w:divBdr>
          <w:divsChild>
            <w:div w:id="2108113612">
              <w:marLeft w:val="0"/>
              <w:marRight w:val="0"/>
              <w:marTop w:val="0"/>
              <w:marBottom w:val="0"/>
              <w:divBdr>
                <w:top w:val="none" w:sz="0" w:space="0" w:color="auto"/>
                <w:left w:val="none" w:sz="0" w:space="0" w:color="auto"/>
                <w:bottom w:val="none" w:sz="0" w:space="0" w:color="auto"/>
                <w:right w:val="none" w:sz="0" w:space="0" w:color="auto"/>
              </w:divBdr>
              <w:divsChild>
                <w:div w:id="1109928145">
                  <w:marLeft w:val="0"/>
                  <w:marRight w:val="0"/>
                  <w:marTop w:val="0"/>
                  <w:marBottom w:val="0"/>
                  <w:divBdr>
                    <w:top w:val="none" w:sz="0" w:space="0" w:color="auto"/>
                    <w:left w:val="none" w:sz="0" w:space="0" w:color="auto"/>
                    <w:bottom w:val="none" w:sz="0" w:space="0" w:color="auto"/>
                    <w:right w:val="none" w:sz="0" w:space="0" w:color="auto"/>
                  </w:divBdr>
                  <w:divsChild>
                    <w:div w:id="1736201937">
                      <w:marLeft w:val="0"/>
                      <w:marRight w:val="0"/>
                      <w:marTop w:val="0"/>
                      <w:marBottom w:val="0"/>
                      <w:divBdr>
                        <w:top w:val="none" w:sz="0" w:space="0" w:color="auto"/>
                        <w:left w:val="none" w:sz="0" w:space="0" w:color="auto"/>
                        <w:bottom w:val="none" w:sz="0" w:space="0" w:color="auto"/>
                        <w:right w:val="none" w:sz="0" w:space="0" w:color="auto"/>
                      </w:divBdr>
                      <w:divsChild>
                        <w:div w:id="1386487809">
                          <w:marLeft w:val="0"/>
                          <w:marRight w:val="0"/>
                          <w:marTop w:val="0"/>
                          <w:marBottom w:val="0"/>
                          <w:divBdr>
                            <w:top w:val="none" w:sz="0" w:space="0" w:color="auto"/>
                            <w:left w:val="none" w:sz="0" w:space="0" w:color="auto"/>
                            <w:bottom w:val="none" w:sz="0" w:space="0" w:color="auto"/>
                            <w:right w:val="none" w:sz="0" w:space="0" w:color="auto"/>
                          </w:divBdr>
                          <w:divsChild>
                            <w:div w:id="469979377">
                              <w:marLeft w:val="0"/>
                              <w:marRight w:val="0"/>
                              <w:marTop w:val="0"/>
                              <w:marBottom w:val="0"/>
                              <w:divBdr>
                                <w:top w:val="none" w:sz="0" w:space="0" w:color="auto"/>
                                <w:left w:val="none" w:sz="0" w:space="0" w:color="auto"/>
                                <w:bottom w:val="none" w:sz="0" w:space="0" w:color="auto"/>
                                <w:right w:val="none" w:sz="0" w:space="0" w:color="auto"/>
                              </w:divBdr>
                              <w:divsChild>
                                <w:div w:id="1394231869">
                                  <w:marLeft w:val="0"/>
                                  <w:marRight w:val="0"/>
                                  <w:marTop w:val="0"/>
                                  <w:marBottom w:val="0"/>
                                  <w:divBdr>
                                    <w:top w:val="none" w:sz="0" w:space="0" w:color="auto"/>
                                    <w:left w:val="none" w:sz="0" w:space="0" w:color="auto"/>
                                    <w:bottom w:val="none" w:sz="0" w:space="0" w:color="auto"/>
                                    <w:right w:val="none" w:sz="0" w:space="0" w:color="auto"/>
                                  </w:divBdr>
                                  <w:divsChild>
                                    <w:div w:id="1207596055">
                                      <w:marLeft w:val="0"/>
                                      <w:marRight w:val="0"/>
                                      <w:marTop w:val="0"/>
                                      <w:marBottom w:val="0"/>
                                      <w:divBdr>
                                        <w:top w:val="none" w:sz="0" w:space="0" w:color="auto"/>
                                        <w:left w:val="none" w:sz="0" w:space="0" w:color="auto"/>
                                        <w:bottom w:val="none" w:sz="0" w:space="0" w:color="auto"/>
                                        <w:right w:val="none" w:sz="0" w:space="0" w:color="auto"/>
                                      </w:divBdr>
                                      <w:divsChild>
                                        <w:div w:id="2067795991">
                                          <w:marLeft w:val="0"/>
                                          <w:marRight w:val="0"/>
                                          <w:marTop w:val="0"/>
                                          <w:marBottom w:val="0"/>
                                          <w:divBdr>
                                            <w:top w:val="none" w:sz="0" w:space="0" w:color="auto"/>
                                            <w:left w:val="none" w:sz="0" w:space="0" w:color="auto"/>
                                            <w:bottom w:val="none" w:sz="0" w:space="0" w:color="auto"/>
                                            <w:right w:val="none" w:sz="0" w:space="0" w:color="auto"/>
                                          </w:divBdr>
                                          <w:divsChild>
                                            <w:div w:id="816186738">
                                              <w:marLeft w:val="0"/>
                                              <w:marRight w:val="0"/>
                                              <w:marTop w:val="0"/>
                                              <w:marBottom w:val="0"/>
                                              <w:divBdr>
                                                <w:top w:val="none" w:sz="0" w:space="0" w:color="auto"/>
                                                <w:left w:val="none" w:sz="0" w:space="0" w:color="auto"/>
                                                <w:bottom w:val="none" w:sz="0" w:space="0" w:color="auto"/>
                                                <w:right w:val="none" w:sz="0" w:space="0" w:color="auto"/>
                                              </w:divBdr>
                                              <w:divsChild>
                                                <w:div w:id="1319921672">
                                                  <w:marLeft w:val="0"/>
                                                  <w:marRight w:val="0"/>
                                                  <w:marTop w:val="0"/>
                                                  <w:marBottom w:val="0"/>
                                                  <w:divBdr>
                                                    <w:top w:val="none" w:sz="0" w:space="0" w:color="auto"/>
                                                    <w:left w:val="none" w:sz="0" w:space="0" w:color="auto"/>
                                                    <w:bottom w:val="none" w:sz="0" w:space="0" w:color="auto"/>
                                                    <w:right w:val="none" w:sz="0" w:space="0" w:color="auto"/>
                                                  </w:divBdr>
                                                  <w:divsChild>
                                                    <w:div w:id="1479953642">
                                                      <w:marLeft w:val="0"/>
                                                      <w:marRight w:val="0"/>
                                                      <w:marTop w:val="0"/>
                                                      <w:marBottom w:val="0"/>
                                                      <w:divBdr>
                                                        <w:top w:val="none" w:sz="0" w:space="0" w:color="auto"/>
                                                        <w:left w:val="none" w:sz="0" w:space="0" w:color="auto"/>
                                                        <w:bottom w:val="none" w:sz="0" w:space="0" w:color="auto"/>
                                                        <w:right w:val="none" w:sz="0" w:space="0" w:color="auto"/>
                                                      </w:divBdr>
                                                      <w:divsChild>
                                                        <w:div w:id="9788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251B00059701A4D8462DBE8543ADB74" ma:contentTypeVersion="" ma:contentTypeDescription="PDMS Documentation Content Type" ma:contentTypeScope="" ma:versionID="8b6af8929f79347a91a7a8701c1777fc">
  <xsd:schema xmlns:xsd="http://www.w3.org/2001/XMLSchema" xmlns:xs="http://www.w3.org/2001/XMLSchema" xmlns:p="http://schemas.microsoft.com/office/2006/metadata/properties" xmlns:ns2="2BABDF59-5FF3-4901-B60B-F32FBECBF9CE" targetNamespace="http://schemas.microsoft.com/office/2006/metadata/properties" ma:root="true" ma:fieldsID="4afe20b225789c7326b3a1b237203399" ns2:_="">
    <xsd:import namespace="2BABDF59-5FF3-4901-B60B-F32FBECBF9C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BDF59-5FF3-4901-B60B-F32FBECBF9C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Reason xmlns="2BABDF59-5FF3-4901-B60B-F32FBECBF9CE" xsi:nil="true"/>
    <pdms_DocumentType xmlns="2BABDF59-5FF3-4901-B60B-F32FBECBF9CE" xsi:nil="true"/>
    <pdms_SecurityClassification xmlns="2BABDF59-5FF3-4901-B60B-F32FBECBF9CE" xsi:nil="true"/>
    <SecurityClassification xmlns="2BABDF59-5FF3-4901-B60B-F32FBECBF9CE" xsi:nil="true"/>
    <pdms_AttachedBy xmlns="2BABDF59-5FF3-4901-B60B-F32FBECBF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F49DC-907D-42CD-8EAF-C971E065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BDF59-5FF3-4901-B60B-F32FBECBF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4BC60-07D9-45EB-A200-02C935DFA170}">
  <ds:schemaRefs>
    <ds:schemaRef ds:uri="http://purl.org/dc/elements/1.1/"/>
    <ds:schemaRef ds:uri="http://schemas.openxmlformats.org/package/2006/metadata/core-properties"/>
    <ds:schemaRef ds:uri="http://purl.org/dc/terms/"/>
    <ds:schemaRef ds:uri="2BABDF59-5FF3-4901-B60B-F32FBECBF9C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7CC8DB4-93D7-4134-BBFE-10FB9F9C7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8047</Characters>
  <Application>Microsoft Office Word</Application>
  <DocSecurity>4</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cottea</dc:creator>
  <cp:lastModifiedBy>prigaa</cp:lastModifiedBy>
  <cp:revision>2</cp:revision>
  <cp:lastPrinted>2016-09-22T06:40:00Z</cp:lastPrinted>
  <dcterms:created xsi:type="dcterms:W3CDTF">2016-10-10T04:42:00Z</dcterms:created>
  <dcterms:modified xsi:type="dcterms:W3CDTF">2016-10-10T04:42:00Z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0x010100266966F133664895A6EE3632470D45F501006251B00059701A4D8462DBE8543ADB74</vt:lpwstr>
  </property>
</Properties>
</file>