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916873" w:rsidRDefault="00193461" w:rsidP="00C63713">
      <w:pPr>
        <w:rPr>
          <w:sz w:val="28"/>
        </w:rPr>
      </w:pPr>
      <w:r w:rsidRPr="00916873">
        <w:rPr>
          <w:noProof/>
          <w:lang w:eastAsia="en-AU"/>
        </w:rPr>
        <w:drawing>
          <wp:inline distT="0" distB="0" distL="0" distR="0" wp14:anchorId="1EEA667C" wp14:editId="216A5EC4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916873" w:rsidRDefault="0048364F" w:rsidP="0048364F">
      <w:pPr>
        <w:rPr>
          <w:sz w:val="19"/>
        </w:rPr>
      </w:pPr>
    </w:p>
    <w:p w:rsidR="0048364F" w:rsidRPr="00916873" w:rsidRDefault="005D5660" w:rsidP="0048364F">
      <w:pPr>
        <w:pStyle w:val="ShortT"/>
      </w:pPr>
      <w:r w:rsidRPr="00916873">
        <w:t xml:space="preserve">Therapeutic Goods </w:t>
      </w:r>
      <w:r w:rsidR="000964DC" w:rsidRPr="00916873">
        <w:t xml:space="preserve">and Other Legislation </w:t>
      </w:r>
      <w:r w:rsidRPr="00916873">
        <w:t>Amendment (Narcotic Drugs) Regulation</w:t>
      </w:r>
      <w:r w:rsidR="00916873" w:rsidRPr="00916873">
        <w:t> </w:t>
      </w:r>
      <w:r w:rsidRPr="00916873">
        <w:t>2016</w:t>
      </w:r>
    </w:p>
    <w:p w:rsidR="005D5660" w:rsidRPr="00916873" w:rsidRDefault="005D5660" w:rsidP="00B27AA8">
      <w:pPr>
        <w:pStyle w:val="SignCoverPageStart"/>
        <w:spacing w:before="240"/>
        <w:rPr>
          <w:szCs w:val="22"/>
        </w:rPr>
      </w:pPr>
      <w:r w:rsidRPr="00916873">
        <w:rPr>
          <w:szCs w:val="22"/>
        </w:rPr>
        <w:t>I, General the Honourable Sir Peter Cosgrove AK MC (</w:t>
      </w:r>
      <w:proofErr w:type="spellStart"/>
      <w:r w:rsidRPr="00916873">
        <w:rPr>
          <w:szCs w:val="22"/>
        </w:rPr>
        <w:t>Ret’d</w:t>
      </w:r>
      <w:proofErr w:type="spellEnd"/>
      <w:r w:rsidRPr="00916873">
        <w:rPr>
          <w:szCs w:val="22"/>
        </w:rPr>
        <w:t xml:space="preserve">), </w:t>
      </w:r>
      <w:r w:rsidR="00916873" w:rsidRPr="00916873">
        <w:rPr>
          <w:szCs w:val="22"/>
        </w:rPr>
        <w:t>Governor</w:t>
      </w:r>
      <w:r w:rsidR="00916873">
        <w:rPr>
          <w:szCs w:val="22"/>
        </w:rPr>
        <w:noBreakHyphen/>
      </w:r>
      <w:r w:rsidR="00916873" w:rsidRPr="00916873">
        <w:rPr>
          <w:szCs w:val="22"/>
        </w:rPr>
        <w:t>General</w:t>
      </w:r>
      <w:r w:rsidRPr="00916873">
        <w:rPr>
          <w:szCs w:val="22"/>
        </w:rPr>
        <w:t xml:space="preserve"> of the Commonwealth of Australia, acting with the advice of the Federal Executive Council, make the following regulation.</w:t>
      </w:r>
    </w:p>
    <w:p w:rsidR="005D5660" w:rsidRPr="00916873" w:rsidRDefault="005D5660" w:rsidP="00B27AA8">
      <w:pPr>
        <w:keepNext/>
        <w:spacing w:before="720" w:line="240" w:lineRule="atLeast"/>
        <w:ind w:right="397"/>
        <w:jc w:val="both"/>
        <w:rPr>
          <w:szCs w:val="22"/>
        </w:rPr>
      </w:pPr>
      <w:r w:rsidRPr="00916873">
        <w:rPr>
          <w:szCs w:val="22"/>
        </w:rPr>
        <w:t xml:space="preserve">Dated </w:t>
      </w:r>
      <w:bookmarkStart w:id="0" w:name="BKCheck15B_1"/>
      <w:bookmarkEnd w:id="0"/>
      <w:r w:rsidRPr="00916873">
        <w:rPr>
          <w:szCs w:val="22"/>
        </w:rPr>
        <w:fldChar w:fldCharType="begin"/>
      </w:r>
      <w:r w:rsidRPr="00916873">
        <w:rPr>
          <w:szCs w:val="22"/>
        </w:rPr>
        <w:instrText xml:space="preserve"> DOCPROPERTY  DateMade </w:instrText>
      </w:r>
      <w:r w:rsidRPr="00916873">
        <w:rPr>
          <w:szCs w:val="22"/>
        </w:rPr>
        <w:fldChar w:fldCharType="separate"/>
      </w:r>
      <w:r w:rsidR="00AF5DCE">
        <w:rPr>
          <w:szCs w:val="22"/>
        </w:rPr>
        <w:t>27 October 2016</w:t>
      </w:r>
      <w:r w:rsidRPr="00916873">
        <w:rPr>
          <w:szCs w:val="22"/>
        </w:rPr>
        <w:fldChar w:fldCharType="end"/>
      </w:r>
    </w:p>
    <w:p w:rsidR="005D5660" w:rsidRPr="00916873" w:rsidRDefault="005D5660" w:rsidP="00B27AA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916873">
        <w:rPr>
          <w:szCs w:val="22"/>
        </w:rPr>
        <w:t>Peter Cosgrove</w:t>
      </w:r>
    </w:p>
    <w:p w:rsidR="005D5660" w:rsidRPr="00916873" w:rsidRDefault="00916873" w:rsidP="00B27AA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916873">
        <w:rPr>
          <w:szCs w:val="22"/>
        </w:rPr>
        <w:t>Governor</w:t>
      </w:r>
      <w:r>
        <w:rPr>
          <w:szCs w:val="22"/>
        </w:rPr>
        <w:noBreakHyphen/>
      </w:r>
      <w:r w:rsidRPr="00916873">
        <w:rPr>
          <w:szCs w:val="22"/>
        </w:rPr>
        <w:t>General</w:t>
      </w:r>
    </w:p>
    <w:p w:rsidR="005D5660" w:rsidRPr="00916873" w:rsidRDefault="005D5660" w:rsidP="00B27AA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916873">
        <w:rPr>
          <w:szCs w:val="22"/>
        </w:rPr>
        <w:t>By His Excellency’s Command</w:t>
      </w:r>
    </w:p>
    <w:p w:rsidR="005D5660" w:rsidRPr="00916873" w:rsidRDefault="005D5660" w:rsidP="00B27AA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proofErr w:type="spellStart"/>
      <w:r w:rsidRPr="00916873">
        <w:rPr>
          <w:szCs w:val="22"/>
        </w:rPr>
        <w:t>Sussan</w:t>
      </w:r>
      <w:proofErr w:type="spellEnd"/>
      <w:r w:rsidRPr="00916873">
        <w:rPr>
          <w:szCs w:val="22"/>
        </w:rPr>
        <w:t xml:space="preserve"> Ley</w:t>
      </w:r>
    </w:p>
    <w:p w:rsidR="005D5660" w:rsidRPr="00916873" w:rsidRDefault="005D5660" w:rsidP="00B27AA8">
      <w:pPr>
        <w:pStyle w:val="SignCoverPageEnd"/>
        <w:rPr>
          <w:szCs w:val="22"/>
        </w:rPr>
      </w:pPr>
      <w:r w:rsidRPr="00916873">
        <w:rPr>
          <w:szCs w:val="22"/>
        </w:rPr>
        <w:t>Minister for Health and Aged Care</w:t>
      </w:r>
    </w:p>
    <w:p w:rsidR="005D5660" w:rsidRPr="00916873" w:rsidRDefault="005D5660" w:rsidP="00B27AA8"/>
    <w:p w:rsidR="005D5660" w:rsidRPr="00916873" w:rsidRDefault="005D5660" w:rsidP="00B27AA8"/>
    <w:p w:rsidR="005D5660" w:rsidRPr="00916873" w:rsidRDefault="005D5660" w:rsidP="00B27AA8"/>
    <w:p w:rsidR="005D5660" w:rsidRPr="00916873" w:rsidRDefault="005D5660" w:rsidP="005D5660"/>
    <w:p w:rsidR="0048364F" w:rsidRPr="00916873" w:rsidRDefault="0048364F" w:rsidP="0048364F">
      <w:pPr>
        <w:pStyle w:val="Header"/>
        <w:tabs>
          <w:tab w:val="clear" w:pos="4150"/>
          <w:tab w:val="clear" w:pos="8307"/>
        </w:tabs>
      </w:pPr>
      <w:r w:rsidRPr="00916873">
        <w:rPr>
          <w:rStyle w:val="CharAmSchNo"/>
        </w:rPr>
        <w:t xml:space="preserve"> </w:t>
      </w:r>
      <w:r w:rsidRPr="00916873">
        <w:rPr>
          <w:rStyle w:val="CharAmSchText"/>
        </w:rPr>
        <w:t xml:space="preserve"> </w:t>
      </w:r>
    </w:p>
    <w:p w:rsidR="0048364F" w:rsidRPr="00916873" w:rsidRDefault="0048364F" w:rsidP="0048364F">
      <w:pPr>
        <w:pStyle w:val="Header"/>
        <w:tabs>
          <w:tab w:val="clear" w:pos="4150"/>
          <w:tab w:val="clear" w:pos="8307"/>
        </w:tabs>
      </w:pPr>
      <w:r w:rsidRPr="00916873">
        <w:rPr>
          <w:rStyle w:val="CharAmPartNo"/>
        </w:rPr>
        <w:t xml:space="preserve"> </w:t>
      </w:r>
      <w:r w:rsidRPr="00916873">
        <w:rPr>
          <w:rStyle w:val="CharAmPartText"/>
        </w:rPr>
        <w:t xml:space="preserve"> </w:t>
      </w:r>
    </w:p>
    <w:p w:rsidR="0048364F" w:rsidRPr="00916873" w:rsidRDefault="0048364F" w:rsidP="0048364F">
      <w:pPr>
        <w:sectPr w:rsidR="0048364F" w:rsidRPr="00916873" w:rsidSect="000B3E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:rsidR="0048364F" w:rsidRPr="00916873" w:rsidRDefault="0048364F" w:rsidP="00482F9C">
      <w:pPr>
        <w:rPr>
          <w:sz w:val="36"/>
        </w:rPr>
      </w:pPr>
      <w:r w:rsidRPr="00916873">
        <w:rPr>
          <w:sz w:val="36"/>
        </w:rPr>
        <w:lastRenderedPageBreak/>
        <w:t>Contents</w:t>
      </w:r>
    </w:p>
    <w:bookmarkStart w:id="1" w:name="BKCheck15B_2"/>
    <w:bookmarkEnd w:id="1"/>
    <w:p w:rsidR="007F404D" w:rsidRPr="00916873" w:rsidRDefault="007F404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16873">
        <w:fldChar w:fldCharType="begin"/>
      </w:r>
      <w:r w:rsidRPr="00916873">
        <w:instrText xml:space="preserve"> TOC \o "1-9" </w:instrText>
      </w:r>
      <w:r w:rsidRPr="00916873">
        <w:fldChar w:fldCharType="separate"/>
      </w:r>
      <w:r w:rsidRPr="00916873">
        <w:rPr>
          <w:noProof/>
        </w:rPr>
        <w:t>1</w:t>
      </w:r>
      <w:r w:rsidRPr="00916873">
        <w:rPr>
          <w:noProof/>
        </w:rPr>
        <w:tab/>
        <w:t>Name</w:t>
      </w:r>
      <w:r w:rsidRPr="00916873">
        <w:rPr>
          <w:noProof/>
        </w:rPr>
        <w:tab/>
      </w:r>
      <w:r w:rsidRPr="00916873">
        <w:rPr>
          <w:noProof/>
        </w:rPr>
        <w:fldChar w:fldCharType="begin"/>
      </w:r>
      <w:r w:rsidRPr="00916873">
        <w:rPr>
          <w:noProof/>
        </w:rPr>
        <w:instrText xml:space="preserve"> PAGEREF _Toc463534220 \h </w:instrText>
      </w:r>
      <w:r w:rsidRPr="00916873">
        <w:rPr>
          <w:noProof/>
        </w:rPr>
      </w:r>
      <w:r w:rsidRPr="00916873">
        <w:rPr>
          <w:noProof/>
        </w:rPr>
        <w:fldChar w:fldCharType="separate"/>
      </w:r>
      <w:r w:rsidR="00AF5DCE">
        <w:rPr>
          <w:noProof/>
        </w:rPr>
        <w:t>1</w:t>
      </w:r>
      <w:r w:rsidRPr="00916873">
        <w:rPr>
          <w:noProof/>
        </w:rPr>
        <w:fldChar w:fldCharType="end"/>
      </w:r>
    </w:p>
    <w:p w:rsidR="007F404D" w:rsidRPr="00916873" w:rsidRDefault="007F404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16873">
        <w:rPr>
          <w:noProof/>
        </w:rPr>
        <w:t>2</w:t>
      </w:r>
      <w:r w:rsidRPr="00916873">
        <w:rPr>
          <w:noProof/>
        </w:rPr>
        <w:tab/>
        <w:t>Commencement</w:t>
      </w:r>
      <w:r w:rsidRPr="00916873">
        <w:rPr>
          <w:noProof/>
        </w:rPr>
        <w:tab/>
      </w:r>
      <w:r w:rsidRPr="00916873">
        <w:rPr>
          <w:noProof/>
        </w:rPr>
        <w:fldChar w:fldCharType="begin"/>
      </w:r>
      <w:r w:rsidRPr="00916873">
        <w:rPr>
          <w:noProof/>
        </w:rPr>
        <w:instrText xml:space="preserve"> PAGEREF _Toc463534221 \h </w:instrText>
      </w:r>
      <w:r w:rsidRPr="00916873">
        <w:rPr>
          <w:noProof/>
        </w:rPr>
      </w:r>
      <w:r w:rsidRPr="00916873">
        <w:rPr>
          <w:noProof/>
        </w:rPr>
        <w:fldChar w:fldCharType="separate"/>
      </w:r>
      <w:r w:rsidR="00AF5DCE">
        <w:rPr>
          <w:noProof/>
        </w:rPr>
        <w:t>1</w:t>
      </w:r>
      <w:r w:rsidRPr="00916873">
        <w:rPr>
          <w:noProof/>
        </w:rPr>
        <w:fldChar w:fldCharType="end"/>
      </w:r>
    </w:p>
    <w:p w:rsidR="007F404D" w:rsidRPr="00916873" w:rsidRDefault="007F404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16873">
        <w:rPr>
          <w:noProof/>
        </w:rPr>
        <w:t>3</w:t>
      </w:r>
      <w:r w:rsidRPr="00916873">
        <w:rPr>
          <w:noProof/>
        </w:rPr>
        <w:tab/>
        <w:t>Authority</w:t>
      </w:r>
      <w:r w:rsidRPr="00916873">
        <w:rPr>
          <w:noProof/>
        </w:rPr>
        <w:tab/>
      </w:r>
      <w:r w:rsidRPr="00916873">
        <w:rPr>
          <w:noProof/>
        </w:rPr>
        <w:fldChar w:fldCharType="begin"/>
      </w:r>
      <w:r w:rsidRPr="00916873">
        <w:rPr>
          <w:noProof/>
        </w:rPr>
        <w:instrText xml:space="preserve"> PAGEREF _Toc463534222 \h </w:instrText>
      </w:r>
      <w:r w:rsidRPr="00916873">
        <w:rPr>
          <w:noProof/>
        </w:rPr>
      </w:r>
      <w:r w:rsidRPr="00916873">
        <w:rPr>
          <w:noProof/>
        </w:rPr>
        <w:fldChar w:fldCharType="separate"/>
      </w:r>
      <w:r w:rsidR="00AF5DCE">
        <w:rPr>
          <w:noProof/>
        </w:rPr>
        <w:t>1</w:t>
      </w:r>
      <w:r w:rsidRPr="00916873">
        <w:rPr>
          <w:noProof/>
        </w:rPr>
        <w:fldChar w:fldCharType="end"/>
      </w:r>
    </w:p>
    <w:p w:rsidR="007F404D" w:rsidRPr="00916873" w:rsidRDefault="007F404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16873">
        <w:rPr>
          <w:noProof/>
        </w:rPr>
        <w:t>4</w:t>
      </w:r>
      <w:r w:rsidRPr="00916873">
        <w:rPr>
          <w:noProof/>
        </w:rPr>
        <w:tab/>
        <w:t>Schedules</w:t>
      </w:r>
      <w:r w:rsidRPr="00916873">
        <w:rPr>
          <w:noProof/>
        </w:rPr>
        <w:tab/>
      </w:r>
      <w:r w:rsidRPr="00916873">
        <w:rPr>
          <w:noProof/>
        </w:rPr>
        <w:fldChar w:fldCharType="begin"/>
      </w:r>
      <w:r w:rsidRPr="00916873">
        <w:rPr>
          <w:noProof/>
        </w:rPr>
        <w:instrText xml:space="preserve"> PAGEREF _Toc463534223 \h </w:instrText>
      </w:r>
      <w:r w:rsidRPr="00916873">
        <w:rPr>
          <w:noProof/>
        </w:rPr>
      </w:r>
      <w:r w:rsidRPr="00916873">
        <w:rPr>
          <w:noProof/>
        </w:rPr>
        <w:fldChar w:fldCharType="separate"/>
      </w:r>
      <w:r w:rsidR="00AF5DCE">
        <w:rPr>
          <w:noProof/>
        </w:rPr>
        <w:t>1</w:t>
      </w:r>
      <w:r w:rsidRPr="00916873">
        <w:rPr>
          <w:noProof/>
        </w:rPr>
        <w:fldChar w:fldCharType="end"/>
      </w:r>
    </w:p>
    <w:p w:rsidR="007F404D" w:rsidRPr="00916873" w:rsidRDefault="007F404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916873">
        <w:rPr>
          <w:noProof/>
        </w:rPr>
        <w:t>Schedule</w:t>
      </w:r>
      <w:r w:rsidR="00916873" w:rsidRPr="00916873">
        <w:rPr>
          <w:noProof/>
        </w:rPr>
        <w:t> </w:t>
      </w:r>
      <w:r w:rsidRPr="00916873">
        <w:rPr>
          <w:noProof/>
        </w:rPr>
        <w:t>1—Amendments</w:t>
      </w:r>
      <w:r w:rsidRPr="00916873">
        <w:rPr>
          <w:b w:val="0"/>
          <w:noProof/>
          <w:sz w:val="18"/>
        </w:rPr>
        <w:tab/>
      </w:r>
      <w:r w:rsidRPr="00916873">
        <w:rPr>
          <w:b w:val="0"/>
          <w:noProof/>
          <w:sz w:val="18"/>
        </w:rPr>
        <w:fldChar w:fldCharType="begin"/>
      </w:r>
      <w:r w:rsidRPr="00916873">
        <w:rPr>
          <w:b w:val="0"/>
          <w:noProof/>
          <w:sz w:val="18"/>
        </w:rPr>
        <w:instrText xml:space="preserve"> PAGEREF _Toc463534224 \h </w:instrText>
      </w:r>
      <w:r w:rsidRPr="00916873">
        <w:rPr>
          <w:b w:val="0"/>
          <w:noProof/>
          <w:sz w:val="18"/>
        </w:rPr>
      </w:r>
      <w:r w:rsidRPr="00916873">
        <w:rPr>
          <w:b w:val="0"/>
          <w:noProof/>
          <w:sz w:val="18"/>
        </w:rPr>
        <w:fldChar w:fldCharType="separate"/>
      </w:r>
      <w:r w:rsidR="00AF5DCE">
        <w:rPr>
          <w:b w:val="0"/>
          <w:noProof/>
          <w:sz w:val="18"/>
        </w:rPr>
        <w:t>2</w:t>
      </w:r>
      <w:r w:rsidRPr="00916873">
        <w:rPr>
          <w:b w:val="0"/>
          <w:noProof/>
          <w:sz w:val="18"/>
        </w:rPr>
        <w:fldChar w:fldCharType="end"/>
      </w:r>
    </w:p>
    <w:p w:rsidR="007F404D" w:rsidRPr="00916873" w:rsidRDefault="007F404D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16873">
        <w:rPr>
          <w:noProof/>
        </w:rPr>
        <w:t>Part</w:t>
      </w:r>
      <w:r w:rsidR="00916873" w:rsidRPr="00916873">
        <w:rPr>
          <w:noProof/>
        </w:rPr>
        <w:t> </w:t>
      </w:r>
      <w:r w:rsidRPr="00916873">
        <w:rPr>
          <w:noProof/>
        </w:rPr>
        <w:t>1—Amendments to the Therapeutic Goods Regulations</w:t>
      </w:r>
      <w:r w:rsidR="00916873" w:rsidRPr="00916873">
        <w:rPr>
          <w:noProof/>
        </w:rPr>
        <w:t> </w:t>
      </w:r>
      <w:r w:rsidRPr="00916873">
        <w:rPr>
          <w:noProof/>
        </w:rPr>
        <w:t>1990</w:t>
      </w:r>
      <w:r w:rsidRPr="00916873">
        <w:rPr>
          <w:noProof/>
          <w:sz w:val="18"/>
        </w:rPr>
        <w:tab/>
      </w:r>
      <w:r w:rsidRPr="00916873">
        <w:rPr>
          <w:noProof/>
          <w:sz w:val="18"/>
        </w:rPr>
        <w:fldChar w:fldCharType="begin"/>
      </w:r>
      <w:r w:rsidRPr="00916873">
        <w:rPr>
          <w:noProof/>
          <w:sz w:val="18"/>
        </w:rPr>
        <w:instrText xml:space="preserve"> PAGEREF _Toc463534225 \h </w:instrText>
      </w:r>
      <w:r w:rsidRPr="00916873">
        <w:rPr>
          <w:noProof/>
          <w:sz w:val="18"/>
        </w:rPr>
      </w:r>
      <w:r w:rsidRPr="00916873">
        <w:rPr>
          <w:noProof/>
          <w:sz w:val="18"/>
        </w:rPr>
        <w:fldChar w:fldCharType="separate"/>
      </w:r>
      <w:r w:rsidR="00AF5DCE">
        <w:rPr>
          <w:noProof/>
          <w:sz w:val="18"/>
        </w:rPr>
        <w:t>2</w:t>
      </w:r>
      <w:r w:rsidRPr="00916873">
        <w:rPr>
          <w:noProof/>
          <w:sz w:val="18"/>
        </w:rPr>
        <w:fldChar w:fldCharType="end"/>
      </w:r>
    </w:p>
    <w:p w:rsidR="007F404D" w:rsidRPr="00916873" w:rsidRDefault="007F404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16873">
        <w:rPr>
          <w:noProof/>
        </w:rPr>
        <w:t>Therapeutic Goods Regulations</w:t>
      </w:r>
      <w:r w:rsidR="00916873" w:rsidRPr="00916873">
        <w:rPr>
          <w:noProof/>
        </w:rPr>
        <w:t> </w:t>
      </w:r>
      <w:r w:rsidRPr="00916873">
        <w:rPr>
          <w:noProof/>
        </w:rPr>
        <w:t>1990</w:t>
      </w:r>
      <w:r w:rsidRPr="00916873">
        <w:rPr>
          <w:i w:val="0"/>
          <w:noProof/>
          <w:sz w:val="18"/>
        </w:rPr>
        <w:tab/>
      </w:r>
      <w:r w:rsidRPr="00916873">
        <w:rPr>
          <w:i w:val="0"/>
          <w:noProof/>
          <w:sz w:val="18"/>
        </w:rPr>
        <w:fldChar w:fldCharType="begin"/>
      </w:r>
      <w:r w:rsidRPr="00916873">
        <w:rPr>
          <w:i w:val="0"/>
          <w:noProof/>
          <w:sz w:val="18"/>
        </w:rPr>
        <w:instrText xml:space="preserve"> PAGEREF _Toc463534226 \h </w:instrText>
      </w:r>
      <w:r w:rsidRPr="00916873">
        <w:rPr>
          <w:i w:val="0"/>
          <w:noProof/>
          <w:sz w:val="18"/>
        </w:rPr>
      </w:r>
      <w:r w:rsidRPr="00916873">
        <w:rPr>
          <w:i w:val="0"/>
          <w:noProof/>
          <w:sz w:val="18"/>
        </w:rPr>
        <w:fldChar w:fldCharType="separate"/>
      </w:r>
      <w:r w:rsidR="00AF5DCE">
        <w:rPr>
          <w:i w:val="0"/>
          <w:noProof/>
          <w:sz w:val="18"/>
        </w:rPr>
        <w:t>2</w:t>
      </w:r>
      <w:r w:rsidRPr="00916873">
        <w:rPr>
          <w:i w:val="0"/>
          <w:noProof/>
          <w:sz w:val="18"/>
        </w:rPr>
        <w:fldChar w:fldCharType="end"/>
      </w:r>
    </w:p>
    <w:p w:rsidR="007F404D" w:rsidRPr="00916873" w:rsidRDefault="007F404D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16873">
        <w:rPr>
          <w:noProof/>
        </w:rPr>
        <w:t>Part</w:t>
      </w:r>
      <w:r w:rsidR="00916873" w:rsidRPr="00916873">
        <w:rPr>
          <w:noProof/>
        </w:rPr>
        <w:t> </w:t>
      </w:r>
      <w:r w:rsidRPr="00916873">
        <w:rPr>
          <w:noProof/>
        </w:rPr>
        <w:t>2—Amendments to the Crimes Regulations</w:t>
      </w:r>
      <w:r w:rsidR="00916873" w:rsidRPr="00916873">
        <w:rPr>
          <w:noProof/>
        </w:rPr>
        <w:t> </w:t>
      </w:r>
      <w:r w:rsidRPr="00916873">
        <w:rPr>
          <w:noProof/>
        </w:rPr>
        <w:t>1990</w:t>
      </w:r>
      <w:r w:rsidRPr="00916873">
        <w:rPr>
          <w:noProof/>
          <w:sz w:val="18"/>
        </w:rPr>
        <w:tab/>
      </w:r>
      <w:r w:rsidRPr="00916873">
        <w:rPr>
          <w:noProof/>
          <w:sz w:val="18"/>
        </w:rPr>
        <w:fldChar w:fldCharType="begin"/>
      </w:r>
      <w:r w:rsidRPr="00916873">
        <w:rPr>
          <w:noProof/>
          <w:sz w:val="18"/>
        </w:rPr>
        <w:instrText xml:space="preserve"> PAGEREF _Toc463534227 \h </w:instrText>
      </w:r>
      <w:r w:rsidRPr="00916873">
        <w:rPr>
          <w:noProof/>
          <w:sz w:val="18"/>
        </w:rPr>
      </w:r>
      <w:r w:rsidRPr="00916873">
        <w:rPr>
          <w:noProof/>
          <w:sz w:val="18"/>
        </w:rPr>
        <w:fldChar w:fldCharType="separate"/>
      </w:r>
      <w:r w:rsidR="00AF5DCE">
        <w:rPr>
          <w:noProof/>
          <w:sz w:val="18"/>
        </w:rPr>
        <w:t>5</w:t>
      </w:r>
      <w:r w:rsidRPr="00916873">
        <w:rPr>
          <w:noProof/>
          <w:sz w:val="18"/>
        </w:rPr>
        <w:fldChar w:fldCharType="end"/>
      </w:r>
    </w:p>
    <w:p w:rsidR="007F404D" w:rsidRPr="00916873" w:rsidRDefault="007F404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16873">
        <w:rPr>
          <w:noProof/>
        </w:rPr>
        <w:t>Crimes Regulations</w:t>
      </w:r>
      <w:r w:rsidR="00916873" w:rsidRPr="00916873">
        <w:rPr>
          <w:noProof/>
        </w:rPr>
        <w:t> </w:t>
      </w:r>
      <w:r w:rsidRPr="00916873">
        <w:rPr>
          <w:noProof/>
        </w:rPr>
        <w:t>1990</w:t>
      </w:r>
      <w:r w:rsidRPr="00916873">
        <w:rPr>
          <w:i w:val="0"/>
          <w:noProof/>
          <w:sz w:val="18"/>
        </w:rPr>
        <w:tab/>
      </w:r>
      <w:r w:rsidRPr="00916873">
        <w:rPr>
          <w:i w:val="0"/>
          <w:noProof/>
          <w:sz w:val="18"/>
        </w:rPr>
        <w:fldChar w:fldCharType="begin"/>
      </w:r>
      <w:r w:rsidRPr="00916873">
        <w:rPr>
          <w:i w:val="0"/>
          <w:noProof/>
          <w:sz w:val="18"/>
        </w:rPr>
        <w:instrText xml:space="preserve"> PAGEREF _Toc463534228 \h </w:instrText>
      </w:r>
      <w:r w:rsidRPr="00916873">
        <w:rPr>
          <w:i w:val="0"/>
          <w:noProof/>
          <w:sz w:val="18"/>
        </w:rPr>
      </w:r>
      <w:r w:rsidRPr="00916873">
        <w:rPr>
          <w:i w:val="0"/>
          <w:noProof/>
          <w:sz w:val="18"/>
        </w:rPr>
        <w:fldChar w:fldCharType="separate"/>
      </w:r>
      <w:r w:rsidR="00AF5DCE">
        <w:rPr>
          <w:i w:val="0"/>
          <w:noProof/>
          <w:sz w:val="18"/>
        </w:rPr>
        <w:t>5</w:t>
      </w:r>
      <w:r w:rsidRPr="00916873">
        <w:rPr>
          <w:i w:val="0"/>
          <w:noProof/>
          <w:sz w:val="18"/>
        </w:rPr>
        <w:fldChar w:fldCharType="end"/>
      </w:r>
    </w:p>
    <w:p w:rsidR="00833416" w:rsidRPr="00916873" w:rsidRDefault="007F404D" w:rsidP="0048364F">
      <w:r w:rsidRPr="00916873">
        <w:fldChar w:fldCharType="end"/>
      </w:r>
    </w:p>
    <w:p w:rsidR="00722023" w:rsidRPr="00916873" w:rsidRDefault="00722023" w:rsidP="0048364F">
      <w:pPr>
        <w:sectPr w:rsidR="00722023" w:rsidRPr="00916873" w:rsidSect="000B3E0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916873" w:rsidRDefault="0048364F" w:rsidP="0048364F">
      <w:pPr>
        <w:pStyle w:val="ActHead5"/>
      </w:pPr>
      <w:bookmarkStart w:id="2" w:name="_Toc463534220"/>
      <w:r w:rsidRPr="00916873">
        <w:rPr>
          <w:rStyle w:val="CharSectno"/>
        </w:rPr>
        <w:lastRenderedPageBreak/>
        <w:t>1</w:t>
      </w:r>
      <w:r w:rsidRPr="00916873">
        <w:t xml:space="preserve">  </w:t>
      </w:r>
      <w:r w:rsidR="004F676E" w:rsidRPr="00916873">
        <w:t>Name</w:t>
      </w:r>
      <w:bookmarkEnd w:id="2"/>
    </w:p>
    <w:p w:rsidR="0048364F" w:rsidRPr="00916873" w:rsidRDefault="0048364F" w:rsidP="0048364F">
      <w:pPr>
        <w:pStyle w:val="subsection"/>
      </w:pPr>
      <w:r w:rsidRPr="00916873">
        <w:tab/>
      </w:r>
      <w:r w:rsidRPr="00916873">
        <w:tab/>
        <w:t>Th</w:t>
      </w:r>
      <w:r w:rsidR="00F24C35" w:rsidRPr="00916873">
        <w:t>is</w:t>
      </w:r>
      <w:r w:rsidRPr="00916873">
        <w:t xml:space="preserve"> </w:t>
      </w:r>
      <w:r w:rsidR="00F24C35" w:rsidRPr="00916873">
        <w:t>is</w:t>
      </w:r>
      <w:r w:rsidR="003801D0" w:rsidRPr="00916873">
        <w:t xml:space="preserve"> the</w:t>
      </w:r>
      <w:r w:rsidRPr="00916873">
        <w:t xml:space="preserve"> </w:t>
      </w:r>
      <w:bookmarkStart w:id="3" w:name="BKCheck15B_3"/>
      <w:bookmarkEnd w:id="3"/>
      <w:r w:rsidR="00CB0180" w:rsidRPr="00916873">
        <w:rPr>
          <w:i/>
        </w:rPr>
        <w:fldChar w:fldCharType="begin"/>
      </w:r>
      <w:r w:rsidR="00CB0180" w:rsidRPr="00916873">
        <w:rPr>
          <w:i/>
        </w:rPr>
        <w:instrText xml:space="preserve"> STYLEREF  ShortT </w:instrText>
      </w:r>
      <w:r w:rsidR="00CB0180" w:rsidRPr="00916873">
        <w:rPr>
          <w:i/>
        </w:rPr>
        <w:fldChar w:fldCharType="separate"/>
      </w:r>
      <w:r w:rsidR="00AF5DCE">
        <w:rPr>
          <w:i/>
          <w:noProof/>
        </w:rPr>
        <w:t>Therapeutic Goods and Other Legislation Amendment (Narcotic Drugs) Regulation 2016</w:t>
      </w:r>
      <w:r w:rsidR="00CB0180" w:rsidRPr="00916873">
        <w:rPr>
          <w:i/>
        </w:rPr>
        <w:fldChar w:fldCharType="end"/>
      </w:r>
      <w:r w:rsidRPr="00916873">
        <w:t>.</w:t>
      </w:r>
    </w:p>
    <w:p w:rsidR="0048364F" w:rsidRPr="00916873" w:rsidRDefault="0048364F" w:rsidP="0048364F">
      <w:pPr>
        <w:pStyle w:val="ActHead5"/>
      </w:pPr>
      <w:bookmarkStart w:id="4" w:name="_Toc463534221"/>
      <w:r w:rsidRPr="00916873">
        <w:rPr>
          <w:rStyle w:val="CharSectno"/>
        </w:rPr>
        <w:t>2</w:t>
      </w:r>
      <w:r w:rsidRPr="00916873">
        <w:t xml:space="preserve">  Commencement</w:t>
      </w:r>
      <w:bookmarkEnd w:id="4"/>
    </w:p>
    <w:p w:rsidR="005D5660" w:rsidRPr="00916873" w:rsidRDefault="005D5660" w:rsidP="00B27AA8">
      <w:pPr>
        <w:pStyle w:val="subsection"/>
      </w:pPr>
      <w:r w:rsidRPr="00916873">
        <w:tab/>
        <w:t>(1)</w:t>
      </w:r>
      <w:r w:rsidRPr="00916873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5D5660" w:rsidRPr="00916873" w:rsidRDefault="005D5660" w:rsidP="00B27AA8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5D5660" w:rsidRPr="00916873" w:rsidTr="00E71DE0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D5660" w:rsidRPr="00916873" w:rsidRDefault="005D5660" w:rsidP="00B27AA8">
            <w:pPr>
              <w:pStyle w:val="TableHeading"/>
            </w:pPr>
            <w:r w:rsidRPr="00916873">
              <w:t>Commencement information</w:t>
            </w:r>
          </w:p>
        </w:tc>
      </w:tr>
      <w:tr w:rsidR="005D5660" w:rsidRPr="00916873" w:rsidTr="00E71DE0">
        <w:trPr>
          <w:tblHeader/>
        </w:trPr>
        <w:tc>
          <w:tcPr>
            <w:tcW w:w="11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D5660" w:rsidRPr="00916873" w:rsidRDefault="005D5660" w:rsidP="00B27AA8">
            <w:pPr>
              <w:pStyle w:val="TableHeading"/>
            </w:pPr>
            <w:r w:rsidRPr="00916873">
              <w:t>Column 1</w:t>
            </w:r>
          </w:p>
        </w:tc>
        <w:tc>
          <w:tcPr>
            <w:tcW w:w="26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D5660" w:rsidRPr="00916873" w:rsidRDefault="005D5660" w:rsidP="00B27AA8">
            <w:pPr>
              <w:pStyle w:val="TableHeading"/>
            </w:pPr>
            <w:r w:rsidRPr="00916873">
              <w:t>Column 2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D5660" w:rsidRPr="00916873" w:rsidRDefault="005D5660" w:rsidP="00B27AA8">
            <w:pPr>
              <w:pStyle w:val="TableHeading"/>
            </w:pPr>
            <w:r w:rsidRPr="00916873">
              <w:t>Column 3</w:t>
            </w:r>
          </w:p>
        </w:tc>
      </w:tr>
      <w:tr w:rsidR="005D5660" w:rsidRPr="00916873" w:rsidTr="00E71DE0">
        <w:trPr>
          <w:tblHeader/>
        </w:trPr>
        <w:tc>
          <w:tcPr>
            <w:tcW w:w="119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D5660" w:rsidRPr="00916873" w:rsidRDefault="005D5660" w:rsidP="00B27AA8">
            <w:pPr>
              <w:pStyle w:val="TableHeading"/>
            </w:pPr>
            <w:r w:rsidRPr="00916873">
              <w:t>Provisions</w:t>
            </w:r>
          </w:p>
        </w:tc>
        <w:tc>
          <w:tcPr>
            <w:tcW w:w="269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D5660" w:rsidRPr="00916873" w:rsidRDefault="005D5660" w:rsidP="00B27AA8">
            <w:pPr>
              <w:pStyle w:val="TableHeading"/>
            </w:pPr>
            <w:r w:rsidRPr="00916873">
              <w:t>Commencement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D5660" w:rsidRPr="00916873" w:rsidRDefault="005D5660" w:rsidP="00B27AA8">
            <w:pPr>
              <w:pStyle w:val="TableHeading"/>
            </w:pPr>
            <w:r w:rsidRPr="00916873">
              <w:t>Date/Details</w:t>
            </w:r>
          </w:p>
        </w:tc>
      </w:tr>
      <w:tr w:rsidR="00E71DE0" w:rsidRPr="00916873" w:rsidTr="00E71DE0">
        <w:tc>
          <w:tcPr>
            <w:tcW w:w="1196" w:type="pct"/>
            <w:tcBorders>
              <w:top w:val="single" w:sz="12" w:space="0" w:color="auto"/>
            </w:tcBorders>
            <w:shd w:val="clear" w:color="auto" w:fill="auto"/>
          </w:tcPr>
          <w:p w:rsidR="00E71DE0" w:rsidRPr="00916873" w:rsidRDefault="00E71DE0" w:rsidP="00867BC9">
            <w:pPr>
              <w:pStyle w:val="Tabletext"/>
            </w:pPr>
            <w:r w:rsidRPr="00916873">
              <w:t>1.   Sections</w:t>
            </w:r>
            <w:r w:rsidR="00916873" w:rsidRPr="00916873">
              <w:t> </w:t>
            </w:r>
            <w:r w:rsidRPr="00916873">
              <w:t>1 to 4 and anything in this instrument not elsewhere covered by this table</w:t>
            </w:r>
          </w:p>
        </w:tc>
        <w:tc>
          <w:tcPr>
            <w:tcW w:w="2692" w:type="pct"/>
            <w:tcBorders>
              <w:top w:val="single" w:sz="12" w:space="0" w:color="auto"/>
            </w:tcBorders>
            <w:shd w:val="clear" w:color="auto" w:fill="auto"/>
          </w:tcPr>
          <w:p w:rsidR="008C0DC8" w:rsidRPr="00916873" w:rsidRDefault="00E71DE0" w:rsidP="008C0DC8">
            <w:pPr>
              <w:pStyle w:val="Tabletext"/>
            </w:pPr>
            <w:r w:rsidRPr="00916873">
              <w:t>The day after this instrument is registered.</w:t>
            </w:r>
          </w:p>
        </w:tc>
        <w:tc>
          <w:tcPr>
            <w:tcW w:w="1112" w:type="pct"/>
            <w:tcBorders>
              <w:top w:val="single" w:sz="12" w:space="0" w:color="auto"/>
            </w:tcBorders>
            <w:shd w:val="clear" w:color="auto" w:fill="auto"/>
          </w:tcPr>
          <w:p w:rsidR="00E71DE0" w:rsidRPr="00916873" w:rsidRDefault="00F948AB" w:rsidP="00B27AA8">
            <w:pPr>
              <w:pStyle w:val="Tabletext"/>
            </w:pPr>
            <w:r>
              <w:t>29 October 2016</w:t>
            </w:r>
          </w:p>
        </w:tc>
      </w:tr>
      <w:tr w:rsidR="005D5660" w:rsidRPr="00916873" w:rsidTr="00E71DE0">
        <w:tc>
          <w:tcPr>
            <w:tcW w:w="1196" w:type="pct"/>
            <w:tcBorders>
              <w:bottom w:val="single" w:sz="2" w:space="0" w:color="auto"/>
            </w:tcBorders>
            <w:shd w:val="clear" w:color="auto" w:fill="auto"/>
            <w:hideMark/>
          </w:tcPr>
          <w:p w:rsidR="005D5660" w:rsidRPr="00916873" w:rsidRDefault="00E71DE0" w:rsidP="00867BC9">
            <w:pPr>
              <w:pStyle w:val="Tabletext"/>
            </w:pPr>
            <w:r w:rsidRPr="00916873">
              <w:t>2</w:t>
            </w:r>
            <w:r w:rsidR="005D5660" w:rsidRPr="00916873">
              <w:t xml:space="preserve">.  </w:t>
            </w:r>
            <w:r w:rsidR="00867BC9" w:rsidRPr="00916873">
              <w:t>Schedule</w:t>
            </w:r>
            <w:r w:rsidR="00916873" w:rsidRPr="00916873">
              <w:t> </w:t>
            </w:r>
            <w:r w:rsidR="00867BC9" w:rsidRPr="00916873">
              <w:t>1, Part</w:t>
            </w:r>
            <w:r w:rsidR="00916873" w:rsidRPr="00916873">
              <w:t> </w:t>
            </w:r>
            <w:r w:rsidR="00867BC9" w:rsidRPr="00916873">
              <w:t>1</w:t>
            </w:r>
          </w:p>
        </w:tc>
        <w:tc>
          <w:tcPr>
            <w:tcW w:w="2692" w:type="pct"/>
            <w:tcBorders>
              <w:bottom w:val="single" w:sz="2" w:space="0" w:color="auto"/>
            </w:tcBorders>
            <w:shd w:val="clear" w:color="auto" w:fill="auto"/>
          </w:tcPr>
          <w:p w:rsidR="005D5660" w:rsidRPr="00916873" w:rsidRDefault="00463254" w:rsidP="00463254">
            <w:pPr>
              <w:pStyle w:val="Tabletext"/>
            </w:pPr>
            <w:r w:rsidRPr="00916873">
              <w:t xml:space="preserve">At the same time as the </w:t>
            </w:r>
            <w:r w:rsidRPr="00916873">
              <w:rPr>
                <w:i/>
              </w:rPr>
              <w:t>Poisons Standard November 2016</w:t>
            </w:r>
            <w:r w:rsidRPr="00916873">
              <w:t xml:space="preserve"> commences.</w:t>
            </w:r>
          </w:p>
          <w:p w:rsidR="00377B6A" w:rsidRPr="00916873" w:rsidRDefault="00377B6A" w:rsidP="00BA1209">
            <w:r w:rsidRPr="00916873">
              <w:rPr>
                <w:rFonts w:eastAsia="Times New Roman" w:cs="Times New Roman"/>
                <w:sz w:val="20"/>
                <w:lang w:eastAsia="en-AU"/>
              </w:rPr>
              <w:t>However, the provisions do not commence at all if that instrument does not commence</w:t>
            </w:r>
            <w:r w:rsidRPr="00916873">
              <w:t>.</w:t>
            </w:r>
          </w:p>
        </w:tc>
        <w:tc>
          <w:tcPr>
            <w:tcW w:w="1112" w:type="pct"/>
            <w:tcBorders>
              <w:bottom w:val="single" w:sz="2" w:space="0" w:color="auto"/>
            </w:tcBorders>
            <w:shd w:val="clear" w:color="auto" w:fill="auto"/>
          </w:tcPr>
          <w:p w:rsidR="005D5660" w:rsidRPr="00916873" w:rsidRDefault="00F948AB" w:rsidP="00B27AA8">
            <w:pPr>
              <w:pStyle w:val="Tabletext"/>
            </w:pPr>
            <w:r>
              <w:t>1 November 2016</w:t>
            </w:r>
            <w:bookmarkStart w:id="5" w:name="_GoBack"/>
            <w:bookmarkEnd w:id="5"/>
          </w:p>
        </w:tc>
      </w:tr>
      <w:tr w:rsidR="00F7603A" w:rsidRPr="00916873" w:rsidTr="00E71DE0"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7603A" w:rsidRPr="00916873" w:rsidRDefault="00E71DE0" w:rsidP="00B27AA8">
            <w:pPr>
              <w:pStyle w:val="Tabletext"/>
            </w:pPr>
            <w:r w:rsidRPr="00916873">
              <w:t>3</w:t>
            </w:r>
            <w:r w:rsidR="00F7603A" w:rsidRPr="00916873">
              <w:t>.  Schedule</w:t>
            </w:r>
            <w:r w:rsidR="00916873" w:rsidRPr="00916873">
              <w:t> </w:t>
            </w:r>
            <w:r w:rsidR="00F7603A" w:rsidRPr="00916873">
              <w:t>1, Part</w:t>
            </w:r>
            <w:r w:rsidR="00916873" w:rsidRPr="00916873">
              <w:t> </w:t>
            </w:r>
            <w:r w:rsidR="00F7603A" w:rsidRPr="00916873">
              <w:t>2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7603A" w:rsidRPr="00916873" w:rsidRDefault="005002B6" w:rsidP="00463254">
            <w:pPr>
              <w:pStyle w:val="Tabletext"/>
            </w:pPr>
            <w:r w:rsidRPr="00916873">
              <w:t>At the same time as Schedule</w:t>
            </w:r>
            <w:r w:rsidR="00916873" w:rsidRPr="00916873">
              <w:t> </w:t>
            </w:r>
            <w:r w:rsidRPr="00916873">
              <w:t xml:space="preserve">1 to the </w:t>
            </w:r>
            <w:r w:rsidRPr="00916873">
              <w:rPr>
                <w:i/>
              </w:rPr>
              <w:t>Narcotic Drugs Amendment Act 2016</w:t>
            </w:r>
            <w:r w:rsidRPr="00916873">
              <w:t xml:space="preserve"> commences.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7603A" w:rsidRPr="00916873" w:rsidRDefault="00F948AB" w:rsidP="00B27AA8">
            <w:pPr>
              <w:pStyle w:val="Tabletext"/>
            </w:pPr>
            <w:r>
              <w:t>29 October 2016</w:t>
            </w:r>
          </w:p>
        </w:tc>
      </w:tr>
    </w:tbl>
    <w:p w:rsidR="005D5660" w:rsidRPr="00916873" w:rsidRDefault="005D5660" w:rsidP="00B27AA8">
      <w:pPr>
        <w:pStyle w:val="notetext"/>
      </w:pPr>
      <w:r w:rsidRPr="00916873">
        <w:rPr>
          <w:snapToGrid w:val="0"/>
          <w:lang w:eastAsia="en-US"/>
        </w:rPr>
        <w:t>Note:</w:t>
      </w:r>
      <w:r w:rsidRPr="00916873">
        <w:rPr>
          <w:snapToGrid w:val="0"/>
          <w:lang w:eastAsia="en-US"/>
        </w:rPr>
        <w:tab/>
        <w:t xml:space="preserve">This table relates only to the provisions of this </w:t>
      </w:r>
      <w:r w:rsidRPr="00916873">
        <w:t xml:space="preserve">instrument </w:t>
      </w:r>
      <w:r w:rsidRPr="00916873">
        <w:rPr>
          <w:snapToGrid w:val="0"/>
          <w:lang w:eastAsia="en-US"/>
        </w:rPr>
        <w:t xml:space="preserve">as originally made. It will not be amended to deal with any later amendments of this </w:t>
      </w:r>
      <w:r w:rsidRPr="00916873">
        <w:t>instrument</w:t>
      </w:r>
      <w:r w:rsidRPr="00916873">
        <w:rPr>
          <w:snapToGrid w:val="0"/>
          <w:lang w:eastAsia="en-US"/>
        </w:rPr>
        <w:t>.</w:t>
      </w:r>
    </w:p>
    <w:p w:rsidR="005D5660" w:rsidRPr="00916873" w:rsidRDefault="005D5660" w:rsidP="00B27AA8">
      <w:pPr>
        <w:pStyle w:val="subsection"/>
      </w:pPr>
      <w:r w:rsidRPr="00916873">
        <w:tab/>
        <w:t>(2)</w:t>
      </w:r>
      <w:r w:rsidRPr="00916873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769D4" w:rsidRPr="00916873" w:rsidRDefault="007769D4" w:rsidP="007769D4">
      <w:pPr>
        <w:pStyle w:val="ActHead5"/>
      </w:pPr>
      <w:bookmarkStart w:id="6" w:name="_Toc463534222"/>
      <w:r w:rsidRPr="00916873">
        <w:rPr>
          <w:rStyle w:val="CharSectno"/>
        </w:rPr>
        <w:t>3</w:t>
      </w:r>
      <w:r w:rsidRPr="00916873">
        <w:t xml:space="preserve">  Authority</w:t>
      </w:r>
      <w:bookmarkEnd w:id="6"/>
    </w:p>
    <w:p w:rsidR="009C0284" w:rsidRPr="00916873" w:rsidRDefault="007769D4" w:rsidP="007769D4">
      <w:pPr>
        <w:pStyle w:val="subsection"/>
      </w:pPr>
      <w:r w:rsidRPr="00916873">
        <w:tab/>
      </w:r>
      <w:r w:rsidRPr="00916873">
        <w:tab/>
      </w:r>
      <w:r w:rsidR="00AF0336" w:rsidRPr="00916873">
        <w:t xml:space="preserve">This </w:t>
      </w:r>
      <w:r w:rsidR="005D5660" w:rsidRPr="00916873">
        <w:t>instrument</w:t>
      </w:r>
      <w:r w:rsidR="00AF0336" w:rsidRPr="00916873">
        <w:t xml:space="preserve"> is made under the</w:t>
      </w:r>
      <w:r w:rsidR="009C0284" w:rsidRPr="00916873">
        <w:t xml:space="preserve"> following:</w:t>
      </w:r>
    </w:p>
    <w:p w:rsidR="009C0284" w:rsidRPr="00916873" w:rsidRDefault="009C0284" w:rsidP="009C0284">
      <w:pPr>
        <w:pStyle w:val="paragraph"/>
      </w:pPr>
      <w:r w:rsidRPr="00916873">
        <w:tab/>
        <w:t>(a)</w:t>
      </w:r>
      <w:r w:rsidRPr="00916873">
        <w:tab/>
      </w:r>
      <w:r w:rsidR="00555BDF" w:rsidRPr="00916873">
        <w:t xml:space="preserve">the </w:t>
      </w:r>
      <w:r w:rsidR="00EE7D72" w:rsidRPr="00916873">
        <w:rPr>
          <w:i/>
        </w:rPr>
        <w:t xml:space="preserve">Crimes </w:t>
      </w:r>
      <w:r w:rsidR="00FF562C" w:rsidRPr="00916873">
        <w:rPr>
          <w:i/>
        </w:rPr>
        <w:t>Act 1914</w:t>
      </w:r>
      <w:r w:rsidR="00EE7D72" w:rsidRPr="00916873">
        <w:t>;</w:t>
      </w:r>
    </w:p>
    <w:p w:rsidR="007769D4" w:rsidRPr="00916873" w:rsidRDefault="009C0284" w:rsidP="009C0284">
      <w:pPr>
        <w:pStyle w:val="paragraph"/>
      </w:pPr>
      <w:r w:rsidRPr="00916873">
        <w:tab/>
        <w:t>(b)</w:t>
      </w:r>
      <w:r w:rsidRPr="00916873">
        <w:tab/>
        <w:t xml:space="preserve">the </w:t>
      </w:r>
      <w:r w:rsidR="005D5660" w:rsidRPr="00916873">
        <w:rPr>
          <w:i/>
        </w:rPr>
        <w:t>Therapeutic Goods Act 1989</w:t>
      </w:r>
      <w:r w:rsidR="00D83D21" w:rsidRPr="00916873">
        <w:t>.</w:t>
      </w:r>
    </w:p>
    <w:p w:rsidR="00557C7A" w:rsidRPr="00916873" w:rsidRDefault="007769D4" w:rsidP="00557C7A">
      <w:pPr>
        <w:pStyle w:val="ActHead5"/>
      </w:pPr>
      <w:bookmarkStart w:id="7" w:name="_Toc463534223"/>
      <w:r w:rsidRPr="00916873">
        <w:rPr>
          <w:rStyle w:val="CharSectno"/>
        </w:rPr>
        <w:t>4</w:t>
      </w:r>
      <w:r w:rsidR="00557C7A" w:rsidRPr="00916873">
        <w:t xml:space="preserve">  </w:t>
      </w:r>
      <w:r w:rsidR="00B332B8" w:rsidRPr="00916873">
        <w:t>Schedules</w:t>
      </w:r>
      <w:bookmarkEnd w:id="7"/>
    </w:p>
    <w:p w:rsidR="000F6B02" w:rsidRPr="00916873" w:rsidRDefault="00557C7A" w:rsidP="000F6B02">
      <w:pPr>
        <w:pStyle w:val="subsection"/>
      </w:pPr>
      <w:r w:rsidRPr="00916873">
        <w:tab/>
      </w:r>
      <w:r w:rsidRPr="00916873">
        <w:tab/>
      </w:r>
      <w:r w:rsidR="000F6B02" w:rsidRPr="00916873">
        <w:t xml:space="preserve">Each instrument that is specified in a Schedule to </w:t>
      </w:r>
      <w:r w:rsidR="005D5660" w:rsidRPr="00916873">
        <w:t>this instrument</w:t>
      </w:r>
      <w:r w:rsidR="000F6B02" w:rsidRPr="00916873">
        <w:t xml:space="preserve"> is amended or repealed as set out in the applicable items in the Schedule concerned, and any other item in a Schedule to </w:t>
      </w:r>
      <w:r w:rsidR="005D5660" w:rsidRPr="00916873">
        <w:t>this instrument</w:t>
      </w:r>
      <w:r w:rsidR="000F6B02" w:rsidRPr="00916873">
        <w:t xml:space="preserve"> has effect according to its terms.</w:t>
      </w:r>
    </w:p>
    <w:p w:rsidR="00555BDF" w:rsidRPr="00916873" w:rsidRDefault="0048364F" w:rsidP="00555BDF">
      <w:pPr>
        <w:pStyle w:val="ActHead6"/>
        <w:pageBreakBefore/>
      </w:pPr>
      <w:bookmarkStart w:id="8" w:name="_Toc463534224"/>
      <w:bookmarkStart w:id="9" w:name="opcAmSched"/>
      <w:bookmarkStart w:id="10" w:name="opcCurrentFind"/>
      <w:r w:rsidRPr="00916873">
        <w:rPr>
          <w:rStyle w:val="CharAmSchNo"/>
        </w:rPr>
        <w:t>Schedule</w:t>
      </w:r>
      <w:r w:rsidR="00916873" w:rsidRPr="00916873">
        <w:rPr>
          <w:rStyle w:val="CharAmSchNo"/>
        </w:rPr>
        <w:t> </w:t>
      </w:r>
      <w:r w:rsidRPr="00916873">
        <w:rPr>
          <w:rStyle w:val="CharAmSchNo"/>
        </w:rPr>
        <w:t>1</w:t>
      </w:r>
      <w:r w:rsidRPr="00916873">
        <w:t>—</w:t>
      </w:r>
      <w:r w:rsidR="00460499" w:rsidRPr="00916873">
        <w:rPr>
          <w:rStyle w:val="CharAmSchText"/>
        </w:rPr>
        <w:t>Amendments</w:t>
      </w:r>
      <w:bookmarkEnd w:id="8"/>
    </w:p>
    <w:p w:rsidR="00555BDF" w:rsidRPr="00916873" w:rsidRDefault="00555BDF" w:rsidP="00555BDF">
      <w:pPr>
        <w:pStyle w:val="ActHead7"/>
        <w:rPr>
          <w:i/>
        </w:rPr>
      </w:pPr>
      <w:bookmarkStart w:id="11" w:name="_Toc463534225"/>
      <w:bookmarkEnd w:id="9"/>
      <w:bookmarkEnd w:id="10"/>
      <w:r w:rsidRPr="00916873">
        <w:rPr>
          <w:rStyle w:val="CharAmPartNo"/>
        </w:rPr>
        <w:t>Part</w:t>
      </w:r>
      <w:r w:rsidR="00916873" w:rsidRPr="00916873">
        <w:rPr>
          <w:rStyle w:val="CharAmPartNo"/>
        </w:rPr>
        <w:t> </w:t>
      </w:r>
      <w:r w:rsidRPr="00916873">
        <w:rPr>
          <w:rStyle w:val="CharAmPartNo"/>
        </w:rPr>
        <w:t>1</w:t>
      </w:r>
      <w:r w:rsidRPr="00916873">
        <w:t>—</w:t>
      </w:r>
      <w:r w:rsidRPr="00916873">
        <w:rPr>
          <w:rStyle w:val="CharAmPartText"/>
        </w:rPr>
        <w:t>Amendments to the Therapeutic Goods Regulations</w:t>
      </w:r>
      <w:r w:rsidR="00916873" w:rsidRPr="00916873">
        <w:rPr>
          <w:rStyle w:val="CharAmPartText"/>
        </w:rPr>
        <w:t> </w:t>
      </w:r>
      <w:r w:rsidRPr="00916873">
        <w:rPr>
          <w:rStyle w:val="CharAmPartText"/>
        </w:rPr>
        <w:t>1990</w:t>
      </w:r>
      <w:bookmarkEnd w:id="11"/>
    </w:p>
    <w:p w:rsidR="008975B7" w:rsidRPr="00916873" w:rsidRDefault="008975B7" w:rsidP="008975B7">
      <w:pPr>
        <w:pStyle w:val="ActHead9"/>
      </w:pPr>
      <w:bookmarkStart w:id="12" w:name="_Toc463534226"/>
      <w:r w:rsidRPr="00916873">
        <w:t>Therapeutic Goods Regulations</w:t>
      </w:r>
      <w:r w:rsidR="00916873" w:rsidRPr="00916873">
        <w:t> </w:t>
      </w:r>
      <w:r w:rsidRPr="00916873">
        <w:t>1990</w:t>
      </w:r>
      <w:bookmarkEnd w:id="12"/>
    </w:p>
    <w:p w:rsidR="00BC1BE9" w:rsidRPr="00916873" w:rsidRDefault="00BD55A5" w:rsidP="006C2C12">
      <w:pPr>
        <w:pStyle w:val="ItemHead"/>
        <w:tabs>
          <w:tab w:val="left" w:pos="6663"/>
        </w:tabs>
      </w:pPr>
      <w:r w:rsidRPr="00916873">
        <w:t>1</w:t>
      </w:r>
      <w:r w:rsidR="00BC1BE9" w:rsidRPr="00916873">
        <w:t xml:space="preserve">  </w:t>
      </w:r>
      <w:proofErr w:type="spellStart"/>
      <w:r w:rsidR="00BC1BE9" w:rsidRPr="00916873">
        <w:t>Subregulation</w:t>
      </w:r>
      <w:proofErr w:type="spellEnd"/>
      <w:r w:rsidR="00916873" w:rsidRPr="00916873">
        <w:t> </w:t>
      </w:r>
      <w:r w:rsidR="00BC1BE9" w:rsidRPr="00916873">
        <w:t>12A(1)</w:t>
      </w:r>
    </w:p>
    <w:p w:rsidR="00BC1BE9" w:rsidRPr="00916873" w:rsidRDefault="00BC1BE9" w:rsidP="00BC1BE9">
      <w:pPr>
        <w:pStyle w:val="Item"/>
      </w:pPr>
      <w:r w:rsidRPr="00916873">
        <w:t xml:space="preserve">Repeal the </w:t>
      </w:r>
      <w:proofErr w:type="spellStart"/>
      <w:r w:rsidRPr="00916873">
        <w:t>subregulation</w:t>
      </w:r>
      <w:proofErr w:type="spellEnd"/>
      <w:r w:rsidRPr="00916873">
        <w:t>, substitute:</w:t>
      </w:r>
    </w:p>
    <w:p w:rsidR="00BC1BE9" w:rsidRPr="00916873" w:rsidRDefault="00BC1BE9" w:rsidP="00BC1BE9">
      <w:pPr>
        <w:pStyle w:val="subsection"/>
      </w:pPr>
      <w:r w:rsidRPr="00916873">
        <w:tab/>
        <w:t>(1)</w:t>
      </w:r>
      <w:r w:rsidRPr="00916873">
        <w:tab/>
        <w:t>For the purposes of subsection</w:t>
      </w:r>
      <w:r w:rsidR="00916873" w:rsidRPr="00916873">
        <w:t> </w:t>
      </w:r>
      <w:r w:rsidRPr="00916873">
        <w:t>18(1) of the Act</w:t>
      </w:r>
      <w:r w:rsidR="007F727A" w:rsidRPr="00916873">
        <w:t>,</w:t>
      </w:r>
      <w:r w:rsidR="00E97525" w:rsidRPr="00916873">
        <w:t xml:space="preserve"> </w:t>
      </w:r>
      <w:r w:rsidR="00A60402" w:rsidRPr="00916873">
        <w:t xml:space="preserve">and subject to </w:t>
      </w:r>
      <w:proofErr w:type="spellStart"/>
      <w:r w:rsidR="00A60402" w:rsidRPr="00916873">
        <w:t>subregulation</w:t>
      </w:r>
      <w:proofErr w:type="spellEnd"/>
      <w:r w:rsidR="00916873" w:rsidRPr="00916873">
        <w:t> </w:t>
      </w:r>
      <w:r w:rsidR="00A60402" w:rsidRPr="00916873">
        <w:t xml:space="preserve">(2), </w:t>
      </w:r>
      <w:r w:rsidRPr="00916873">
        <w:t xml:space="preserve">all medicines </w:t>
      </w:r>
      <w:r w:rsidR="00A15FC7" w:rsidRPr="00916873">
        <w:t>are exempt</w:t>
      </w:r>
      <w:r w:rsidRPr="00916873">
        <w:t xml:space="preserve"> from the operation of Part</w:t>
      </w:r>
      <w:r w:rsidR="00916873" w:rsidRPr="00916873">
        <w:t> </w:t>
      </w:r>
      <w:r w:rsidRPr="00916873">
        <w:t>3</w:t>
      </w:r>
      <w:r w:rsidR="00916873">
        <w:noBreakHyphen/>
      </w:r>
      <w:r w:rsidRPr="00916873">
        <w:t>2 of the Act (except section</w:t>
      </w:r>
      <w:r w:rsidR="00916873" w:rsidRPr="00916873">
        <w:t> </w:t>
      </w:r>
      <w:r w:rsidRPr="00916873">
        <w:t>31A and sections</w:t>
      </w:r>
      <w:r w:rsidR="00916873" w:rsidRPr="00916873">
        <w:t> </w:t>
      </w:r>
      <w:r w:rsidRPr="00916873">
        <w:t>31C to 31F), other th</w:t>
      </w:r>
      <w:r w:rsidR="00BF7CA1" w:rsidRPr="00916873">
        <w:t xml:space="preserve">an </w:t>
      </w:r>
      <w:r w:rsidRPr="00916873">
        <w:t>medicines</w:t>
      </w:r>
      <w:r w:rsidR="00BF7CA1" w:rsidRPr="00916873">
        <w:t xml:space="preserve"> that contain</w:t>
      </w:r>
      <w:r w:rsidR="007F727A" w:rsidRPr="00916873">
        <w:t xml:space="preserve"> a substance covered by </w:t>
      </w:r>
      <w:r w:rsidR="00CA683B" w:rsidRPr="00916873">
        <w:t>any</w:t>
      </w:r>
      <w:r w:rsidR="007F727A" w:rsidRPr="00916873">
        <w:t xml:space="preserve"> of the following</w:t>
      </w:r>
      <w:r w:rsidR="001006E2" w:rsidRPr="00916873">
        <w:t xml:space="preserve"> entries in the Poisons Standard</w:t>
      </w:r>
      <w:r w:rsidR="00A15FC7" w:rsidRPr="00916873">
        <w:t>:</w:t>
      </w:r>
    </w:p>
    <w:p w:rsidR="00BC1BE9" w:rsidRPr="00916873" w:rsidRDefault="000D50B2" w:rsidP="00BC1BE9">
      <w:pPr>
        <w:pStyle w:val="paragraph"/>
      </w:pPr>
      <w:r w:rsidRPr="00916873">
        <w:tab/>
        <w:t>(a</w:t>
      </w:r>
      <w:r w:rsidR="00BC1BE9" w:rsidRPr="00916873">
        <w:t>)</w:t>
      </w:r>
      <w:r w:rsidR="00BC1BE9" w:rsidRPr="00916873">
        <w:tab/>
      </w:r>
      <w:r w:rsidR="007F727A" w:rsidRPr="00916873">
        <w:t xml:space="preserve">the entry for </w:t>
      </w:r>
      <w:proofErr w:type="spellStart"/>
      <w:r w:rsidR="00322453" w:rsidRPr="00916873">
        <w:t>cannabidiol</w:t>
      </w:r>
      <w:proofErr w:type="spellEnd"/>
      <w:r w:rsidR="00322453" w:rsidRPr="00916873">
        <w:t xml:space="preserve"> </w:t>
      </w:r>
      <w:r w:rsidR="00BF7CA1" w:rsidRPr="00916873">
        <w:t>in Schedule</w:t>
      </w:r>
      <w:r w:rsidR="00916873" w:rsidRPr="00916873">
        <w:t> </w:t>
      </w:r>
      <w:r w:rsidR="00BF7CA1" w:rsidRPr="00916873">
        <w:t>4;</w:t>
      </w:r>
    </w:p>
    <w:p w:rsidR="00A15FC7" w:rsidRPr="00916873" w:rsidRDefault="000D50B2" w:rsidP="00BC1BE9">
      <w:pPr>
        <w:pStyle w:val="paragraph"/>
      </w:pPr>
      <w:r w:rsidRPr="00916873">
        <w:tab/>
        <w:t>(b</w:t>
      </w:r>
      <w:r w:rsidR="00BF7CA1" w:rsidRPr="00916873">
        <w:t>)</w:t>
      </w:r>
      <w:r w:rsidR="00BF7CA1" w:rsidRPr="00916873">
        <w:tab/>
      </w:r>
      <w:r w:rsidR="007F727A" w:rsidRPr="00916873">
        <w:t xml:space="preserve">the entry for </w:t>
      </w:r>
      <w:r w:rsidR="00A15FC7" w:rsidRPr="00916873">
        <w:t xml:space="preserve">cannabis </w:t>
      </w:r>
      <w:r w:rsidR="00322453" w:rsidRPr="00916873">
        <w:t xml:space="preserve">in </w:t>
      </w:r>
      <w:r w:rsidR="00A15FC7" w:rsidRPr="00916873">
        <w:t>Schedule</w:t>
      </w:r>
      <w:r w:rsidR="00916873" w:rsidRPr="00916873">
        <w:t> </w:t>
      </w:r>
      <w:r w:rsidR="00A15FC7" w:rsidRPr="00916873">
        <w:t>8;</w:t>
      </w:r>
    </w:p>
    <w:p w:rsidR="00A23E93" w:rsidRPr="00916873" w:rsidRDefault="00A23E93" w:rsidP="00BC1BE9">
      <w:pPr>
        <w:pStyle w:val="paragraph"/>
      </w:pPr>
      <w:r w:rsidRPr="00916873">
        <w:tab/>
        <w:t>(c)</w:t>
      </w:r>
      <w:r w:rsidRPr="00916873">
        <w:tab/>
        <w:t xml:space="preserve">the entry for </w:t>
      </w:r>
      <w:proofErr w:type="spellStart"/>
      <w:r w:rsidRPr="00916873">
        <w:t>dronabinol</w:t>
      </w:r>
      <w:proofErr w:type="spellEnd"/>
      <w:r w:rsidRPr="00916873">
        <w:t xml:space="preserve"> in Schedule</w:t>
      </w:r>
      <w:r w:rsidR="00916873" w:rsidRPr="00916873">
        <w:t> </w:t>
      </w:r>
      <w:r w:rsidRPr="00916873">
        <w:t>8;</w:t>
      </w:r>
    </w:p>
    <w:p w:rsidR="00A23E93" w:rsidRPr="00916873" w:rsidRDefault="00A23E93" w:rsidP="00BC1BE9">
      <w:pPr>
        <w:pStyle w:val="paragraph"/>
      </w:pPr>
      <w:r w:rsidRPr="00916873">
        <w:tab/>
        <w:t>(d)</w:t>
      </w:r>
      <w:r w:rsidRPr="00916873">
        <w:tab/>
        <w:t xml:space="preserve">the entry for </w:t>
      </w:r>
      <w:proofErr w:type="spellStart"/>
      <w:r w:rsidRPr="00916873">
        <w:t>nabilone</w:t>
      </w:r>
      <w:proofErr w:type="spellEnd"/>
      <w:r w:rsidRPr="00916873">
        <w:t xml:space="preserve"> in Schedule</w:t>
      </w:r>
      <w:r w:rsidR="00916873" w:rsidRPr="00916873">
        <w:t> </w:t>
      </w:r>
      <w:r w:rsidRPr="00916873">
        <w:t>8;</w:t>
      </w:r>
    </w:p>
    <w:p w:rsidR="00A15FC7" w:rsidRPr="00916873" w:rsidRDefault="00A23E93" w:rsidP="00BC1BE9">
      <w:pPr>
        <w:pStyle w:val="paragraph"/>
      </w:pPr>
      <w:r w:rsidRPr="00916873">
        <w:tab/>
        <w:t>(e</w:t>
      </w:r>
      <w:r w:rsidR="00A15FC7" w:rsidRPr="00916873">
        <w:t>)</w:t>
      </w:r>
      <w:r w:rsidR="00A15FC7" w:rsidRPr="00916873">
        <w:tab/>
      </w:r>
      <w:r w:rsidR="007F727A" w:rsidRPr="00916873">
        <w:t xml:space="preserve">the entry for </w:t>
      </w:r>
      <w:proofErr w:type="spellStart"/>
      <w:r w:rsidR="00322453" w:rsidRPr="00916873">
        <w:t>nabiximols</w:t>
      </w:r>
      <w:proofErr w:type="spellEnd"/>
      <w:r w:rsidR="00A15FC7" w:rsidRPr="00916873">
        <w:t xml:space="preserve"> in Schedule</w:t>
      </w:r>
      <w:r w:rsidR="00916873" w:rsidRPr="00916873">
        <w:t> </w:t>
      </w:r>
      <w:r w:rsidR="00A15FC7" w:rsidRPr="00916873">
        <w:t>8;</w:t>
      </w:r>
    </w:p>
    <w:p w:rsidR="00A15FC7" w:rsidRPr="00916873" w:rsidRDefault="00A23E93" w:rsidP="00BC1BE9">
      <w:pPr>
        <w:pStyle w:val="paragraph"/>
      </w:pPr>
      <w:r w:rsidRPr="00916873">
        <w:tab/>
        <w:t>(f</w:t>
      </w:r>
      <w:r w:rsidR="00A15FC7" w:rsidRPr="00916873">
        <w:t>)</w:t>
      </w:r>
      <w:r w:rsidR="00A15FC7" w:rsidRPr="00916873">
        <w:tab/>
      </w:r>
      <w:r w:rsidR="007F727A" w:rsidRPr="00916873">
        <w:t xml:space="preserve">the entry for </w:t>
      </w:r>
      <w:r w:rsidR="00A15FC7" w:rsidRPr="00916873">
        <w:t>tetrahydrocannabinols in Schedule</w:t>
      </w:r>
      <w:r w:rsidR="00916873" w:rsidRPr="00916873">
        <w:t> </w:t>
      </w:r>
      <w:r w:rsidR="00A15FC7" w:rsidRPr="00916873">
        <w:t>8;</w:t>
      </w:r>
    </w:p>
    <w:p w:rsidR="000D50B2" w:rsidRPr="00916873" w:rsidRDefault="00A23E93" w:rsidP="00BC1BE9">
      <w:pPr>
        <w:pStyle w:val="paragraph"/>
      </w:pPr>
      <w:r w:rsidRPr="00916873">
        <w:tab/>
        <w:t>(g</w:t>
      </w:r>
      <w:r w:rsidR="000D50B2" w:rsidRPr="00916873">
        <w:t>)</w:t>
      </w:r>
      <w:r w:rsidR="000D50B2" w:rsidRPr="00916873">
        <w:tab/>
      </w:r>
      <w:r w:rsidR="00724759" w:rsidRPr="00916873">
        <w:t xml:space="preserve">an entry in </w:t>
      </w:r>
      <w:r w:rsidR="000D50B2" w:rsidRPr="00916873">
        <w:t>Schedule</w:t>
      </w:r>
      <w:r w:rsidR="00916873" w:rsidRPr="00916873">
        <w:t> </w:t>
      </w:r>
      <w:r w:rsidR="000D50B2" w:rsidRPr="00916873">
        <w:t>9.</w:t>
      </w:r>
    </w:p>
    <w:p w:rsidR="00BC1BE9" w:rsidRPr="00916873" w:rsidRDefault="00BD55A5" w:rsidP="006C2C12">
      <w:pPr>
        <w:pStyle w:val="ItemHead"/>
        <w:tabs>
          <w:tab w:val="left" w:pos="6663"/>
        </w:tabs>
      </w:pPr>
      <w:r w:rsidRPr="00916873">
        <w:t>2</w:t>
      </w:r>
      <w:r w:rsidR="00BC1BE9" w:rsidRPr="00916873">
        <w:t xml:space="preserve">  </w:t>
      </w:r>
      <w:proofErr w:type="spellStart"/>
      <w:r w:rsidR="00576017" w:rsidRPr="00916873">
        <w:t>Subregulation</w:t>
      </w:r>
      <w:proofErr w:type="spellEnd"/>
      <w:r w:rsidR="00916873" w:rsidRPr="00916873">
        <w:t> </w:t>
      </w:r>
      <w:r w:rsidR="00BC1BE9" w:rsidRPr="00916873">
        <w:t>12A(1A)</w:t>
      </w:r>
    </w:p>
    <w:p w:rsidR="00BC1BE9" w:rsidRPr="00916873" w:rsidRDefault="00BC1BE9" w:rsidP="00BC1BE9">
      <w:pPr>
        <w:pStyle w:val="Item"/>
      </w:pPr>
      <w:r w:rsidRPr="00916873">
        <w:t>Omit “For subsection</w:t>
      </w:r>
      <w:r w:rsidR="00916873" w:rsidRPr="00916873">
        <w:t> </w:t>
      </w:r>
      <w:r w:rsidRPr="00916873">
        <w:t>32CA(2)</w:t>
      </w:r>
      <w:r w:rsidR="00A875E9" w:rsidRPr="00916873">
        <w:t xml:space="preserve"> of the Act, all biologicals are exempt, subject to </w:t>
      </w:r>
      <w:proofErr w:type="spellStart"/>
      <w:r w:rsidR="00A875E9" w:rsidRPr="00916873">
        <w:t>subregulation</w:t>
      </w:r>
      <w:proofErr w:type="spellEnd"/>
      <w:r w:rsidR="00916873" w:rsidRPr="00916873">
        <w:t> </w:t>
      </w:r>
      <w:r w:rsidR="00A875E9" w:rsidRPr="00916873">
        <w:t>(2),</w:t>
      </w:r>
      <w:r w:rsidRPr="00916873">
        <w:t>”, substitute “For the purposes of subsection</w:t>
      </w:r>
      <w:r w:rsidR="00916873" w:rsidRPr="00916873">
        <w:t> </w:t>
      </w:r>
      <w:r w:rsidRPr="00916873">
        <w:t>32CA(2)</w:t>
      </w:r>
      <w:r w:rsidR="00A875E9" w:rsidRPr="00916873">
        <w:t xml:space="preserve"> of the Act, </w:t>
      </w:r>
      <w:r w:rsidR="00A60402" w:rsidRPr="00916873">
        <w:t xml:space="preserve">and subject to </w:t>
      </w:r>
      <w:proofErr w:type="spellStart"/>
      <w:r w:rsidR="00A60402" w:rsidRPr="00916873">
        <w:t>subregulation</w:t>
      </w:r>
      <w:proofErr w:type="spellEnd"/>
      <w:r w:rsidR="00916873" w:rsidRPr="00916873">
        <w:t> </w:t>
      </w:r>
      <w:r w:rsidR="00A60402" w:rsidRPr="00916873">
        <w:t xml:space="preserve">(2), </w:t>
      </w:r>
      <w:r w:rsidR="00A875E9" w:rsidRPr="00916873">
        <w:t>all biologicals are exempt</w:t>
      </w:r>
      <w:r w:rsidRPr="00916873">
        <w:t>”.</w:t>
      </w:r>
    </w:p>
    <w:p w:rsidR="006D3667" w:rsidRPr="00916873" w:rsidRDefault="00BD55A5" w:rsidP="006C2C12">
      <w:pPr>
        <w:pStyle w:val="ItemHead"/>
        <w:tabs>
          <w:tab w:val="left" w:pos="6663"/>
        </w:tabs>
      </w:pPr>
      <w:r w:rsidRPr="00916873">
        <w:t>3</w:t>
      </w:r>
      <w:r w:rsidR="00BB6E79" w:rsidRPr="00916873">
        <w:t xml:space="preserve">  </w:t>
      </w:r>
      <w:proofErr w:type="spellStart"/>
      <w:r w:rsidR="00576017" w:rsidRPr="00916873">
        <w:t>Subregulation</w:t>
      </w:r>
      <w:proofErr w:type="spellEnd"/>
      <w:r w:rsidR="00916873" w:rsidRPr="00916873">
        <w:t> </w:t>
      </w:r>
      <w:r w:rsidR="00784FF1" w:rsidRPr="00916873">
        <w:t>12A(2)</w:t>
      </w:r>
    </w:p>
    <w:p w:rsidR="00D50B69" w:rsidRPr="00916873" w:rsidRDefault="00D50B69" w:rsidP="00784FF1">
      <w:pPr>
        <w:pStyle w:val="Item"/>
      </w:pPr>
      <w:r w:rsidRPr="00916873">
        <w:t>Omit</w:t>
      </w:r>
      <w:r w:rsidR="00784FF1" w:rsidRPr="00916873">
        <w:t xml:space="preserve"> “</w:t>
      </w:r>
      <w:r w:rsidRPr="00916873">
        <w:t xml:space="preserve">The exemption of a medicine or biological is subject to the following conditions”, substitute “The exemption of a medicine under </w:t>
      </w:r>
      <w:proofErr w:type="spellStart"/>
      <w:r w:rsidRPr="00916873">
        <w:t>subregulation</w:t>
      </w:r>
      <w:proofErr w:type="spellEnd"/>
      <w:r w:rsidR="00916873" w:rsidRPr="00916873">
        <w:t> </w:t>
      </w:r>
      <w:r w:rsidRPr="00916873">
        <w:t xml:space="preserve">(1), or of a biological under </w:t>
      </w:r>
      <w:proofErr w:type="spellStart"/>
      <w:r w:rsidRPr="00916873">
        <w:t>subregulation</w:t>
      </w:r>
      <w:proofErr w:type="spellEnd"/>
      <w:r w:rsidR="00916873" w:rsidRPr="00916873">
        <w:t> </w:t>
      </w:r>
      <w:r w:rsidRPr="00916873">
        <w:t>(1A), is subject to compliance with the following conditions”.</w:t>
      </w:r>
    </w:p>
    <w:p w:rsidR="00482F9C" w:rsidRPr="00916873" w:rsidRDefault="00BD55A5" w:rsidP="00784FF1">
      <w:pPr>
        <w:pStyle w:val="ItemHead"/>
      </w:pPr>
      <w:r w:rsidRPr="00916873">
        <w:t>4</w:t>
      </w:r>
      <w:r w:rsidR="00482F9C" w:rsidRPr="00916873">
        <w:t xml:space="preserve">  Schedule</w:t>
      </w:r>
      <w:r w:rsidR="00916873" w:rsidRPr="00916873">
        <w:t> </w:t>
      </w:r>
      <w:r w:rsidR="00482F9C" w:rsidRPr="00916873">
        <w:t>5 (table item</w:t>
      </w:r>
      <w:r w:rsidR="00916873" w:rsidRPr="00916873">
        <w:t> </w:t>
      </w:r>
      <w:r w:rsidR="00482F9C" w:rsidRPr="00916873">
        <w:t>1</w:t>
      </w:r>
      <w:r w:rsidR="00E81D42" w:rsidRPr="00916873">
        <w:t>, column 2</w:t>
      </w:r>
      <w:r w:rsidR="00693E0D" w:rsidRPr="00916873">
        <w:t xml:space="preserve">, after </w:t>
      </w:r>
      <w:r w:rsidR="00916873" w:rsidRPr="00916873">
        <w:t>paragraph (</w:t>
      </w:r>
      <w:r w:rsidR="00693E0D" w:rsidRPr="00916873">
        <w:t>a)</w:t>
      </w:r>
      <w:r w:rsidR="00482F9C" w:rsidRPr="00916873">
        <w:t>)</w:t>
      </w:r>
    </w:p>
    <w:p w:rsidR="00482F9C" w:rsidRPr="00916873" w:rsidRDefault="00693E0D" w:rsidP="00482F9C">
      <w:pPr>
        <w:pStyle w:val="Item"/>
      </w:pPr>
      <w:r w:rsidRPr="00916873">
        <w:t>I</w:t>
      </w:r>
      <w:r w:rsidR="00E81D42" w:rsidRPr="00916873">
        <w:t>nsert:</w:t>
      </w:r>
    </w:p>
    <w:p w:rsidR="00E81D42" w:rsidRPr="00916873" w:rsidRDefault="00693E0D" w:rsidP="00125C12">
      <w:pPr>
        <w:pStyle w:val="Tablea"/>
      </w:pPr>
      <w:r w:rsidRPr="00916873">
        <w:t xml:space="preserve">(aa) the goods do not contain </w:t>
      </w:r>
      <w:r w:rsidR="00125C12" w:rsidRPr="00916873">
        <w:t xml:space="preserve">a substance of a kind covered by </w:t>
      </w:r>
      <w:r w:rsidR="00145F92" w:rsidRPr="00916873">
        <w:t xml:space="preserve">any of </w:t>
      </w:r>
      <w:r w:rsidR="00125C12" w:rsidRPr="00916873">
        <w:t xml:space="preserve">the </w:t>
      </w:r>
      <w:r w:rsidR="00145F92" w:rsidRPr="00916873">
        <w:t xml:space="preserve">following entries in </w:t>
      </w:r>
      <w:r w:rsidR="00E81D42" w:rsidRPr="00916873">
        <w:t>Schedule</w:t>
      </w:r>
      <w:r w:rsidR="00916873" w:rsidRPr="00916873">
        <w:t> </w:t>
      </w:r>
      <w:r w:rsidR="00E81D42" w:rsidRPr="00916873">
        <w:t>8 to the Poisons Standard</w:t>
      </w:r>
      <w:r w:rsidR="00145F92" w:rsidRPr="00916873">
        <w:t>:</w:t>
      </w:r>
    </w:p>
    <w:p w:rsidR="00145F92" w:rsidRPr="00916873" w:rsidRDefault="00145F92" w:rsidP="00145F92">
      <w:pPr>
        <w:pStyle w:val="Tablei"/>
      </w:pPr>
      <w:r w:rsidRPr="00916873">
        <w:t>(</w:t>
      </w:r>
      <w:proofErr w:type="spellStart"/>
      <w:r w:rsidRPr="00916873">
        <w:t>i</w:t>
      </w:r>
      <w:proofErr w:type="spellEnd"/>
      <w:r w:rsidRPr="00916873">
        <w:t>) cannabis;</w:t>
      </w:r>
    </w:p>
    <w:p w:rsidR="00145F92" w:rsidRPr="00916873" w:rsidRDefault="00145F92" w:rsidP="00145F92">
      <w:pPr>
        <w:pStyle w:val="Tablei"/>
      </w:pPr>
      <w:r w:rsidRPr="00916873">
        <w:t xml:space="preserve">(ii) </w:t>
      </w:r>
      <w:proofErr w:type="spellStart"/>
      <w:r w:rsidRPr="00916873">
        <w:t>dronabinol</w:t>
      </w:r>
      <w:proofErr w:type="spellEnd"/>
      <w:r w:rsidRPr="00916873">
        <w:t>;</w:t>
      </w:r>
    </w:p>
    <w:p w:rsidR="00145F92" w:rsidRPr="00916873" w:rsidRDefault="00145F92" w:rsidP="00145F92">
      <w:pPr>
        <w:pStyle w:val="Tablei"/>
      </w:pPr>
      <w:r w:rsidRPr="00916873">
        <w:t xml:space="preserve">(iii) </w:t>
      </w:r>
      <w:proofErr w:type="spellStart"/>
      <w:r w:rsidRPr="00916873">
        <w:t>nabilone</w:t>
      </w:r>
      <w:proofErr w:type="spellEnd"/>
      <w:r w:rsidRPr="00916873">
        <w:t>;</w:t>
      </w:r>
    </w:p>
    <w:p w:rsidR="00145F92" w:rsidRPr="00916873" w:rsidRDefault="00145F92" w:rsidP="00145F92">
      <w:pPr>
        <w:pStyle w:val="Tablei"/>
      </w:pPr>
      <w:r w:rsidRPr="00916873">
        <w:t>(iv) tetrahydrocannabinol</w:t>
      </w:r>
      <w:r w:rsidR="00DD2686" w:rsidRPr="00916873">
        <w:t>s</w:t>
      </w:r>
      <w:r w:rsidRPr="00916873">
        <w:t>; and</w:t>
      </w:r>
    </w:p>
    <w:p w:rsidR="00784FF1" w:rsidRPr="00916873" w:rsidRDefault="00BD55A5" w:rsidP="00784FF1">
      <w:pPr>
        <w:pStyle w:val="ItemHead"/>
      </w:pPr>
      <w:r w:rsidRPr="00916873">
        <w:t>5</w:t>
      </w:r>
      <w:r w:rsidR="00F766E3" w:rsidRPr="00916873">
        <w:t xml:space="preserve">  Schedule</w:t>
      </w:r>
      <w:r w:rsidR="00916873" w:rsidRPr="00916873">
        <w:t> </w:t>
      </w:r>
      <w:r w:rsidR="00F766E3" w:rsidRPr="00916873">
        <w:t>5 (table item</w:t>
      </w:r>
      <w:r w:rsidR="00916873" w:rsidRPr="00916873">
        <w:t> </w:t>
      </w:r>
      <w:r w:rsidR="00F766E3" w:rsidRPr="00916873">
        <w:t>6)</w:t>
      </w:r>
    </w:p>
    <w:p w:rsidR="00F766E3" w:rsidRPr="00916873" w:rsidRDefault="00F766E3" w:rsidP="00F766E3">
      <w:pPr>
        <w:pStyle w:val="Item"/>
      </w:pPr>
      <w:r w:rsidRPr="00916873">
        <w:t>Repeal the item, substitute:</w:t>
      </w:r>
    </w:p>
    <w:p w:rsidR="00F766E3" w:rsidRPr="00916873" w:rsidRDefault="00F766E3" w:rsidP="00F766E3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48"/>
        <w:gridCol w:w="7381"/>
      </w:tblGrid>
      <w:tr w:rsidR="00F766E3" w:rsidRPr="00916873" w:rsidTr="00F766E3">
        <w:tc>
          <w:tcPr>
            <w:tcW w:w="673" w:type="pct"/>
            <w:shd w:val="clear" w:color="auto" w:fill="auto"/>
          </w:tcPr>
          <w:p w:rsidR="00F766E3" w:rsidRPr="00916873" w:rsidRDefault="00F766E3" w:rsidP="00F766E3">
            <w:pPr>
              <w:pStyle w:val="Tabletext"/>
            </w:pPr>
            <w:r w:rsidRPr="00916873">
              <w:t>6</w:t>
            </w:r>
          </w:p>
        </w:tc>
        <w:tc>
          <w:tcPr>
            <w:tcW w:w="4327" w:type="pct"/>
            <w:shd w:val="clear" w:color="auto" w:fill="auto"/>
          </w:tcPr>
          <w:p w:rsidR="00F766E3" w:rsidRPr="00916873" w:rsidRDefault="00F766E3" w:rsidP="001401EC">
            <w:pPr>
              <w:pStyle w:val="Tabletext"/>
            </w:pPr>
            <w:r w:rsidRPr="00916873">
              <w:t>medicines that are dispensed, or extemporaneously compounded, for a particular person for therapeutic application to that person</w:t>
            </w:r>
            <w:r w:rsidR="001401EC" w:rsidRPr="00916873">
              <w:t>, other than:</w:t>
            </w:r>
          </w:p>
          <w:p w:rsidR="001401EC" w:rsidRPr="00916873" w:rsidRDefault="001401EC" w:rsidP="001401EC">
            <w:pPr>
              <w:pStyle w:val="Tablea"/>
            </w:pPr>
            <w:r w:rsidRPr="00916873">
              <w:t>(a)</w:t>
            </w:r>
            <w:r w:rsidR="00247368" w:rsidRPr="00916873">
              <w:t xml:space="preserve"> medicines that </w:t>
            </w:r>
            <w:r w:rsidR="00EA1FE6" w:rsidRPr="00916873">
              <w:t>are used for gene therapy; or</w:t>
            </w:r>
          </w:p>
          <w:p w:rsidR="00247368" w:rsidRPr="00916873" w:rsidRDefault="001401EC" w:rsidP="001401EC">
            <w:pPr>
              <w:pStyle w:val="Tablea"/>
            </w:pPr>
            <w:r w:rsidRPr="00916873">
              <w:t xml:space="preserve">(b) </w:t>
            </w:r>
            <w:r w:rsidR="00247368" w:rsidRPr="00916873">
              <w:t>medicines that:</w:t>
            </w:r>
          </w:p>
          <w:p w:rsidR="001401EC" w:rsidRPr="00916873" w:rsidRDefault="00247368" w:rsidP="00247368">
            <w:pPr>
              <w:pStyle w:val="Tablei"/>
            </w:pPr>
            <w:r w:rsidRPr="00916873">
              <w:t>(</w:t>
            </w:r>
            <w:proofErr w:type="spellStart"/>
            <w:r w:rsidRPr="00916873">
              <w:t>i</w:t>
            </w:r>
            <w:proofErr w:type="spellEnd"/>
            <w:r w:rsidRPr="00916873">
              <w:t xml:space="preserve">) </w:t>
            </w:r>
            <w:r w:rsidR="001401EC" w:rsidRPr="00916873">
              <w:t xml:space="preserve">contain a substance </w:t>
            </w:r>
            <w:r w:rsidRPr="00916873">
              <w:t xml:space="preserve">covered by </w:t>
            </w:r>
            <w:r w:rsidR="00CD17BB" w:rsidRPr="00916873">
              <w:t xml:space="preserve">an entry in the Poisons Standard mentioned in </w:t>
            </w:r>
            <w:r w:rsidRPr="00916873">
              <w:t>any of paragraphs 12A(1)(a) to (f); and</w:t>
            </w:r>
          </w:p>
          <w:p w:rsidR="001401EC" w:rsidRPr="00916873" w:rsidRDefault="00247368" w:rsidP="008D07AB">
            <w:pPr>
              <w:pStyle w:val="Tablei"/>
            </w:pPr>
            <w:r w:rsidRPr="00916873">
              <w:t>(ii) are not dispensed, or extemporaneously compounded, in a public hospital in a State or a Territory for a person who is a patient in a public hospital in the State or Territory</w:t>
            </w:r>
          </w:p>
        </w:tc>
      </w:tr>
    </w:tbl>
    <w:p w:rsidR="00F766E3" w:rsidRPr="00916873" w:rsidRDefault="00F766E3" w:rsidP="00F766E3">
      <w:pPr>
        <w:pStyle w:val="Tabletext"/>
      </w:pPr>
    </w:p>
    <w:p w:rsidR="00F766E3" w:rsidRPr="00916873" w:rsidRDefault="00BD55A5" w:rsidP="00F766E3">
      <w:pPr>
        <w:pStyle w:val="ItemHead"/>
      </w:pPr>
      <w:r w:rsidRPr="00916873">
        <w:t>6</w:t>
      </w:r>
      <w:r w:rsidR="00F766E3" w:rsidRPr="00916873">
        <w:t xml:space="preserve">  </w:t>
      </w:r>
      <w:r w:rsidR="00211E35" w:rsidRPr="00916873">
        <w:t>Schedule</w:t>
      </w:r>
      <w:r w:rsidR="00916873" w:rsidRPr="00916873">
        <w:t> </w:t>
      </w:r>
      <w:r w:rsidR="00211E35" w:rsidRPr="00916873">
        <w:t>5A (cell at table item</w:t>
      </w:r>
      <w:r w:rsidR="00916873" w:rsidRPr="00916873">
        <w:t> </w:t>
      </w:r>
      <w:r w:rsidR="00211E35" w:rsidRPr="00916873">
        <w:t>5, column 2)</w:t>
      </w:r>
    </w:p>
    <w:p w:rsidR="00211E35" w:rsidRPr="00916873" w:rsidRDefault="00211E35" w:rsidP="00211E35">
      <w:pPr>
        <w:pStyle w:val="Item"/>
      </w:pPr>
      <w:r w:rsidRPr="00916873">
        <w:t>Repeal the cell, substitute:</w:t>
      </w:r>
    </w:p>
    <w:p w:rsidR="00E70FE5" w:rsidRPr="00916873" w:rsidRDefault="00E70FE5" w:rsidP="00E70FE5">
      <w:pPr>
        <w:pStyle w:val="Tabletext"/>
      </w:pPr>
    </w:p>
    <w:tbl>
      <w:tblPr>
        <w:tblW w:w="1662" w:type="pct"/>
        <w:tblInd w:w="817" w:type="dxa"/>
        <w:tblLook w:val="0000" w:firstRow="0" w:lastRow="0" w:firstColumn="0" w:lastColumn="0" w:noHBand="0" w:noVBand="0"/>
      </w:tblPr>
      <w:tblGrid>
        <w:gridCol w:w="2835"/>
      </w:tblGrid>
      <w:tr w:rsidR="00211E35" w:rsidRPr="00916873" w:rsidTr="001006E2">
        <w:trPr>
          <w:trHeight w:val="20"/>
        </w:trPr>
        <w:tc>
          <w:tcPr>
            <w:tcW w:w="5000" w:type="pct"/>
            <w:shd w:val="clear" w:color="auto" w:fill="auto"/>
          </w:tcPr>
          <w:p w:rsidR="00E70FE5" w:rsidRPr="00916873" w:rsidRDefault="00211E35" w:rsidP="00211E35">
            <w:pPr>
              <w:pStyle w:val="Tabletext"/>
            </w:pPr>
            <w:r w:rsidRPr="00916873">
              <w:t xml:space="preserve">Therapeutic goods, </w:t>
            </w:r>
            <w:r w:rsidR="008D07AB" w:rsidRPr="00916873">
              <w:t>if</w:t>
            </w:r>
            <w:r w:rsidR="00E70FE5" w:rsidRPr="00916873">
              <w:t>:</w:t>
            </w:r>
          </w:p>
          <w:p w:rsidR="008D07AB" w:rsidRPr="00916873" w:rsidRDefault="00E70FE5" w:rsidP="005A16FB">
            <w:pPr>
              <w:pStyle w:val="Tablea"/>
            </w:pPr>
            <w:r w:rsidRPr="00916873">
              <w:t xml:space="preserve">(a) </w:t>
            </w:r>
            <w:r w:rsidR="008D07AB" w:rsidRPr="00916873">
              <w:t>the goods are not any of the following:</w:t>
            </w:r>
          </w:p>
          <w:p w:rsidR="00E70FE5" w:rsidRPr="00916873" w:rsidRDefault="008D07AB" w:rsidP="008D07AB">
            <w:pPr>
              <w:pStyle w:val="Tablei"/>
            </w:pPr>
            <w:r w:rsidRPr="00916873">
              <w:t>(</w:t>
            </w:r>
            <w:proofErr w:type="spellStart"/>
            <w:r w:rsidRPr="00916873">
              <w:t>i</w:t>
            </w:r>
            <w:proofErr w:type="spellEnd"/>
            <w:r w:rsidRPr="00916873">
              <w:t>) biologicals</w:t>
            </w:r>
            <w:r w:rsidR="00CB40E3" w:rsidRPr="00916873">
              <w:t>;</w:t>
            </w:r>
          </w:p>
          <w:p w:rsidR="00E70FE5" w:rsidRPr="00916873" w:rsidRDefault="008D07AB" w:rsidP="008D07AB">
            <w:pPr>
              <w:pStyle w:val="Tablei"/>
            </w:pPr>
            <w:r w:rsidRPr="00916873">
              <w:t>(ii) goods referred to in item</w:t>
            </w:r>
            <w:r w:rsidR="00916873" w:rsidRPr="00916873">
              <w:t> </w:t>
            </w:r>
            <w:r w:rsidRPr="00916873">
              <w:t>3</w:t>
            </w:r>
            <w:r w:rsidR="00CB40E3" w:rsidRPr="00916873">
              <w:t>;</w:t>
            </w:r>
          </w:p>
          <w:p w:rsidR="00E70FE5" w:rsidRPr="00916873" w:rsidRDefault="008D07AB" w:rsidP="008D07AB">
            <w:pPr>
              <w:pStyle w:val="Tablei"/>
            </w:pPr>
            <w:r w:rsidRPr="00916873">
              <w:t xml:space="preserve">(iii) </w:t>
            </w:r>
            <w:r w:rsidR="00E70FE5" w:rsidRPr="00916873">
              <w:t xml:space="preserve">medicines that contain a substance </w:t>
            </w:r>
            <w:r w:rsidRPr="00916873">
              <w:t xml:space="preserve">covered by </w:t>
            </w:r>
            <w:r w:rsidR="00CD17BB" w:rsidRPr="00916873">
              <w:t xml:space="preserve">an entry in the Poisons Standard mentioned in </w:t>
            </w:r>
            <w:r w:rsidRPr="00916873">
              <w:t>any of paragraphs 12A(1)(a) to (f); and</w:t>
            </w:r>
          </w:p>
          <w:p w:rsidR="00211E35" w:rsidRPr="00916873" w:rsidRDefault="00D45B1D" w:rsidP="00181F05">
            <w:pPr>
              <w:pStyle w:val="Tablea"/>
              <w:rPr>
                <w:lang w:eastAsia="en-US"/>
              </w:rPr>
            </w:pPr>
            <w:r w:rsidRPr="00916873">
              <w:t>(b</w:t>
            </w:r>
            <w:r w:rsidR="00E70FE5" w:rsidRPr="00916873">
              <w:t xml:space="preserve">) </w:t>
            </w:r>
            <w:r w:rsidR="00181F05" w:rsidRPr="00916873">
              <w:t xml:space="preserve">the goods are </w:t>
            </w:r>
            <w:r w:rsidR="00E70FE5" w:rsidRPr="00916873">
              <w:t>manufactured by a person</w:t>
            </w:r>
            <w:r w:rsidR="00211E35" w:rsidRPr="00916873">
              <w:t xml:space="preserve"> under a contract between</w:t>
            </w:r>
            <w:r w:rsidR="00211E35" w:rsidRPr="00916873">
              <w:rPr>
                <w:lang w:eastAsia="en-US"/>
              </w:rPr>
              <w:t xml:space="preserve"> the person and a private hospital</w:t>
            </w:r>
            <w:r w:rsidR="00181F05" w:rsidRPr="00916873">
              <w:rPr>
                <w:lang w:eastAsia="en-US"/>
              </w:rPr>
              <w:t xml:space="preserve">, a public hospital in a State or Territory or a public institution (the </w:t>
            </w:r>
            <w:r w:rsidR="00181F05" w:rsidRPr="00916873">
              <w:rPr>
                <w:b/>
                <w:i/>
                <w:lang w:eastAsia="en-US"/>
              </w:rPr>
              <w:t>relevant institution</w:t>
            </w:r>
            <w:r w:rsidR="00181F05" w:rsidRPr="00916873">
              <w:rPr>
                <w:b/>
                <w:lang w:eastAsia="en-US"/>
              </w:rPr>
              <w:t>)</w:t>
            </w:r>
            <w:r w:rsidR="00211E35" w:rsidRPr="00916873">
              <w:rPr>
                <w:lang w:eastAsia="en-US"/>
              </w:rPr>
              <w:t>; and</w:t>
            </w:r>
          </w:p>
          <w:p w:rsidR="00211E35" w:rsidRPr="00916873" w:rsidRDefault="00D45B1D" w:rsidP="00181F05">
            <w:pPr>
              <w:pStyle w:val="Tablea"/>
            </w:pPr>
            <w:r w:rsidRPr="00916873">
              <w:rPr>
                <w:lang w:eastAsia="en-US"/>
              </w:rPr>
              <w:t>(c</w:t>
            </w:r>
            <w:r w:rsidR="00181F05" w:rsidRPr="00916873">
              <w:rPr>
                <w:lang w:eastAsia="en-US"/>
              </w:rPr>
              <w:t xml:space="preserve">) the manufacture is </w:t>
            </w:r>
            <w:r w:rsidR="00211E35" w:rsidRPr="00916873">
              <w:t xml:space="preserve">in accordance with a formulation specified </w:t>
            </w:r>
            <w:r w:rsidR="006855CF" w:rsidRPr="00916873">
              <w:t xml:space="preserve">by </w:t>
            </w:r>
            <w:r w:rsidR="00181F05" w:rsidRPr="00916873">
              <w:t>the relevant institution</w:t>
            </w:r>
            <w:r w:rsidR="00211E35" w:rsidRPr="00916873">
              <w:t>; and</w:t>
            </w:r>
          </w:p>
          <w:p w:rsidR="008D07AB" w:rsidRPr="00916873" w:rsidRDefault="00D45B1D" w:rsidP="00181F05">
            <w:pPr>
              <w:pStyle w:val="Tablea"/>
              <w:rPr>
                <w:lang w:eastAsia="en-US"/>
              </w:rPr>
            </w:pPr>
            <w:r w:rsidRPr="00916873">
              <w:rPr>
                <w:lang w:eastAsia="en-US"/>
              </w:rPr>
              <w:t>(d</w:t>
            </w:r>
            <w:r w:rsidR="00181F05" w:rsidRPr="00916873">
              <w:rPr>
                <w:lang w:eastAsia="en-US"/>
              </w:rPr>
              <w:t xml:space="preserve">) </w:t>
            </w:r>
            <w:r w:rsidR="008D07AB" w:rsidRPr="00916873">
              <w:rPr>
                <w:lang w:eastAsia="en-US"/>
              </w:rPr>
              <w:t>the goods are for use by, or in connection with, a patient of:</w:t>
            </w:r>
          </w:p>
          <w:p w:rsidR="008D07AB" w:rsidRPr="00916873" w:rsidRDefault="008D07AB" w:rsidP="008D07AB">
            <w:pPr>
              <w:pStyle w:val="Tablei"/>
              <w:rPr>
                <w:lang w:eastAsia="en-US"/>
              </w:rPr>
            </w:pPr>
            <w:r w:rsidRPr="00916873">
              <w:rPr>
                <w:lang w:eastAsia="en-US"/>
              </w:rPr>
              <w:t>(</w:t>
            </w:r>
            <w:proofErr w:type="spellStart"/>
            <w:r w:rsidRPr="00916873">
              <w:rPr>
                <w:lang w:eastAsia="en-US"/>
              </w:rPr>
              <w:t>i</w:t>
            </w:r>
            <w:proofErr w:type="spellEnd"/>
            <w:r w:rsidRPr="00916873">
              <w:rPr>
                <w:lang w:eastAsia="en-US"/>
              </w:rPr>
              <w:t xml:space="preserve">) </w:t>
            </w:r>
            <w:r w:rsidRPr="00916873">
              <w:t>the relevant institution; or</w:t>
            </w:r>
          </w:p>
          <w:p w:rsidR="008D07AB" w:rsidRPr="00916873" w:rsidRDefault="008D07AB" w:rsidP="008D07AB">
            <w:pPr>
              <w:pStyle w:val="Tablei"/>
            </w:pPr>
            <w:r w:rsidRPr="00916873">
              <w:rPr>
                <w:lang w:eastAsia="en-US"/>
              </w:rPr>
              <w:t>(ii) if the relevant institution is a public hospital in a State or Territory—</w:t>
            </w:r>
            <w:r w:rsidRPr="00916873">
              <w:t>another public hospital in the State or Territory</w:t>
            </w:r>
          </w:p>
        </w:tc>
      </w:tr>
    </w:tbl>
    <w:p w:rsidR="00211E35" w:rsidRPr="00916873" w:rsidRDefault="00211E35" w:rsidP="00477225">
      <w:pPr>
        <w:pStyle w:val="Tabletext"/>
      </w:pPr>
    </w:p>
    <w:p w:rsidR="00DF080B" w:rsidRPr="00916873" w:rsidRDefault="00BD55A5" w:rsidP="00DF080B">
      <w:pPr>
        <w:pStyle w:val="ItemHead"/>
      </w:pPr>
      <w:r w:rsidRPr="00916873">
        <w:t>7</w:t>
      </w:r>
      <w:r w:rsidR="00DF080B" w:rsidRPr="00916873">
        <w:t xml:space="preserve">  Schedule</w:t>
      </w:r>
      <w:r w:rsidR="00916873" w:rsidRPr="00916873">
        <w:t> </w:t>
      </w:r>
      <w:r w:rsidR="00DF080B" w:rsidRPr="00916873">
        <w:t>5A (table item</w:t>
      </w:r>
      <w:r w:rsidR="00916873" w:rsidRPr="00916873">
        <w:t> </w:t>
      </w:r>
      <w:r w:rsidR="00DF080B" w:rsidRPr="00916873">
        <w:t>5, column 3)</w:t>
      </w:r>
    </w:p>
    <w:p w:rsidR="00DF080B" w:rsidRPr="00916873" w:rsidRDefault="00DF080B" w:rsidP="00DF080B">
      <w:pPr>
        <w:pStyle w:val="Item"/>
      </w:pPr>
      <w:r w:rsidRPr="00916873">
        <w:t>Omit “the private hospital, public hospital or public institution”, substitute “the relevant institution”.</w:t>
      </w:r>
    </w:p>
    <w:p w:rsidR="00FF3962" w:rsidRPr="00916873" w:rsidRDefault="00BD55A5" w:rsidP="00BD55A5">
      <w:pPr>
        <w:pStyle w:val="ItemHead"/>
      </w:pPr>
      <w:r w:rsidRPr="00916873">
        <w:t>8</w:t>
      </w:r>
      <w:r w:rsidR="00FF3962" w:rsidRPr="00916873">
        <w:t xml:space="preserve">  Schedule</w:t>
      </w:r>
      <w:r w:rsidR="00916873" w:rsidRPr="00916873">
        <w:t> </w:t>
      </w:r>
      <w:r w:rsidR="00FF3962" w:rsidRPr="00916873">
        <w:t>8 (</w:t>
      </w:r>
      <w:r w:rsidR="00BA1209" w:rsidRPr="00916873">
        <w:t xml:space="preserve">cell at </w:t>
      </w:r>
      <w:r w:rsidR="00FF3962" w:rsidRPr="00916873">
        <w:t>table item</w:t>
      </w:r>
      <w:r w:rsidR="00916873" w:rsidRPr="00916873">
        <w:t> </w:t>
      </w:r>
      <w:r w:rsidR="00FF3962" w:rsidRPr="00916873">
        <w:t>2, column 3)</w:t>
      </w:r>
    </w:p>
    <w:p w:rsidR="00FF3962" w:rsidRPr="00916873" w:rsidRDefault="00FF3962" w:rsidP="00FF3962">
      <w:pPr>
        <w:pStyle w:val="Item"/>
      </w:pPr>
      <w:r w:rsidRPr="00916873">
        <w:t>Repeal the cell, substitute:</w:t>
      </w:r>
    </w:p>
    <w:p w:rsidR="00CF5200" w:rsidRPr="00916873" w:rsidRDefault="00CF5200" w:rsidP="00CF5200">
      <w:pPr>
        <w:pStyle w:val="Tabletext"/>
      </w:pPr>
    </w:p>
    <w:tbl>
      <w:tblPr>
        <w:tblW w:w="2493" w:type="pct"/>
        <w:tblInd w:w="817" w:type="dxa"/>
        <w:tblLook w:val="0000" w:firstRow="0" w:lastRow="0" w:firstColumn="0" w:lastColumn="0" w:noHBand="0" w:noVBand="0"/>
      </w:tblPr>
      <w:tblGrid>
        <w:gridCol w:w="4253"/>
      </w:tblGrid>
      <w:tr w:rsidR="00FF3962" w:rsidRPr="00916873" w:rsidTr="00CF5200">
        <w:trPr>
          <w:trHeight w:val="20"/>
        </w:trPr>
        <w:tc>
          <w:tcPr>
            <w:tcW w:w="5000" w:type="pct"/>
            <w:shd w:val="clear" w:color="auto" w:fill="auto"/>
          </w:tcPr>
          <w:p w:rsidR="00C82062" w:rsidRPr="00916873" w:rsidRDefault="00FF3962" w:rsidP="00FF3962">
            <w:pPr>
              <w:pStyle w:val="Tabletext"/>
              <w:rPr>
                <w:lang w:eastAsia="en-US"/>
              </w:rPr>
            </w:pPr>
            <w:r w:rsidRPr="00916873">
              <w:t>the ma</w:t>
            </w:r>
            <w:r w:rsidRPr="00916873">
              <w:rPr>
                <w:lang w:eastAsia="en-US"/>
              </w:rPr>
              <w:t>n</w:t>
            </w:r>
            <w:r w:rsidR="00C82062" w:rsidRPr="00916873">
              <w:rPr>
                <w:lang w:eastAsia="en-US"/>
              </w:rPr>
              <w:t>ufacture of therapeutic goods, if:</w:t>
            </w:r>
          </w:p>
          <w:p w:rsidR="00C82062" w:rsidRPr="00916873" w:rsidRDefault="00C82062" w:rsidP="00C82062">
            <w:pPr>
              <w:pStyle w:val="Tablea"/>
              <w:rPr>
                <w:lang w:eastAsia="en-US"/>
              </w:rPr>
            </w:pPr>
            <w:r w:rsidRPr="00916873">
              <w:rPr>
                <w:lang w:eastAsia="en-US"/>
              </w:rPr>
              <w:t>(a) the goods are not:</w:t>
            </w:r>
          </w:p>
          <w:p w:rsidR="00C82062" w:rsidRPr="00916873" w:rsidRDefault="00C82062" w:rsidP="00C82062">
            <w:pPr>
              <w:pStyle w:val="Tablei"/>
            </w:pPr>
            <w:r w:rsidRPr="00916873">
              <w:t>(</w:t>
            </w:r>
            <w:proofErr w:type="spellStart"/>
            <w:r w:rsidRPr="00916873">
              <w:t>i</w:t>
            </w:r>
            <w:proofErr w:type="spellEnd"/>
            <w:r w:rsidRPr="00916873">
              <w:t>) biologicals;</w:t>
            </w:r>
            <w:r w:rsidR="007A07A6" w:rsidRPr="00916873">
              <w:t xml:space="preserve"> or</w:t>
            </w:r>
          </w:p>
          <w:p w:rsidR="00C82062" w:rsidRPr="00916873" w:rsidRDefault="00C82062" w:rsidP="00C82062">
            <w:pPr>
              <w:pStyle w:val="Tablei"/>
            </w:pPr>
            <w:r w:rsidRPr="00916873">
              <w:t>(ii) medicines that contain a substance covered by an entry in the Poisons Standard mentioned in any of paragraphs 12A(1)(a) to (f); and</w:t>
            </w:r>
          </w:p>
          <w:p w:rsidR="00FF3962" w:rsidRPr="00916873" w:rsidRDefault="00C82062" w:rsidP="00C82062">
            <w:pPr>
              <w:pStyle w:val="Tablea"/>
            </w:pPr>
            <w:r w:rsidRPr="00916873">
              <w:rPr>
                <w:lang w:eastAsia="en-US"/>
              </w:rPr>
              <w:t xml:space="preserve">(b) the goods are </w:t>
            </w:r>
            <w:r w:rsidR="00FF3962" w:rsidRPr="00916873">
              <w:rPr>
                <w:lang w:eastAsia="en-US"/>
              </w:rPr>
              <w:t>produc</w:t>
            </w:r>
            <w:r w:rsidR="00FF3962" w:rsidRPr="00916873">
              <w:t>ed by the pharmacist:</w:t>
            </w:r>
          </w:p>
          <w:p w:rsidR="00FF3962" w:rsidRPr="00916873" w:rsidRDefault="00C82062" w:rsidP="00C82062">
            <w:pPr>
              <w:pStyle w:val="Tablei"/>
            </w:pPr>
            <w:r w:rsidRPr="00916873">
              <w:t>(</w:t>
            </w:r>
            <w:proofErr w:type="spellStart"/>
            <w:r w:rsidRPr="00916873">
              <w:t>i</w:t>
            </w:r>
            <w:proofErr w:type="spellEnd"/>
            <w:r w:rsidR="00FF3962" w:rsidRPr="00916873">
              <w:t>) in a pharmacy where the pharmacist practices and the pharmacy is open to the public; or</w:t>
            </w:r>
          </w:p>
          <w:p w:rsidR="00FF3962" w:rsidRPr="00916873" w:rsidRDefault="00C82062" w:rsidP="00C82062">
            <w:pPr>
              <w:pStyle w:val="Tablei"/>
            </w:pPr>
            <w:r w:rsidRPr="00916873">
              <w:t>(ii</w:t>
            </w:r>
            <w:r w:rsidR="00FF3962" w:rsidRPr="00916873">
              <w:t>) on the premises of a dispensary conducted by a Friendly Society; or</w:t>
            </w:r>
          </w:p>
          <w:p w:rsidR="00FF3962" w:rsidRPr="00916873" w:rsidRDefault="00C82062" w:rsidP="00C82062">
            <w:pPr>
              <w:pStyle w:val="Tablei"/>
            </w:pPr>
            <w:r w:rsidRPr="00916873">
              <w:t>(ii</w:t>
            </w:r>
            <w:r w:rsidR="007A07A6" w:rsidRPr="00916873">
              <w:t>i</w:t>
            </w:r>
            <w:r w:rsidR="00FF3962" w:rsidRPr="00916873">
              <w:t>) on the premises of a private hospital;</w:t>
            </w:r>
            <w:r w:rsidR="007A07A6" w:rsidRPr="00916873">
              <w:t xml:space="preserve"> and</w:t>
            </w:r>
          </w:p>
          <w:p w:rsidR="00FF3962" w:rsidRPr="00916873" w:rsidRDefault="007A07A6" w:rsidP="007A07A6">
            <w:pPr>
              <w:pStyle w:val="Tablea"/>
            </w:pPr>
            <w:r w:rsidRPr="00916873">
              <w:t xml:space="preserve">(c) the goods are </w:t>
            </w:r>
            <w:r w:rsidR="00FF3962" w:rsidRPr="00916873">
              <w:t>for sup</w:t>
            </w:r>
            <w:r w:rsidR="00FF3962" w:rsidRPr="00916873">
              <w:rPr>
                <w:lang w:eastAsia="en-US"/>
              </w:rPr>
              <w:t>ply (other than by wholesale) on or from tho</w:t>
            </w:r>
            <w:r w:rsidR="00FF3962" w:rsidRPr="00916873">
              <w:t>se premises</w:t>
            </w:r>
          </w:p>
        </w:tc>
      </w:tr>
    </w:tbl>
    <w:p w:rsidR="00FF3962" w:rsidRPr="00916873" w:rsidRDefault="00FF3962" w:rsidP="00CF5200">
      <w:pPr>
        <w:pStyle w:val="Tabletext"/>
      </w:pPr>
    </w:p>
    <w:p w:rsidR="00555BDF" w:rsidRPr="00916873" w:rsidRDefault="00555BDF" w:rsidP="007F404D">
      <w:pPr>
        <w:pStyle w:val="ActHead7"/>
        <w:pageBreakBefore/>
      </w:pPr>
      <w:bookmarkStart w:id="13" w:name="_Toc463534227"/>
      <w:r w:rsidRPr="00916873">
        <w:rPr>
          <w:rStyle w:val="CharAmPartNo"/>
        </w:rPr>
        <w:t>Part</w:t>
      </w:r>
      <w:r w:rsidR="00916873" w:rsidRPr="00916873">
        <w:rPr>
          <w:rStyle w:val="CharAmPartNo"/>
        </w:rPr>
        <w:t> </w:t>
      </w:r>
      <w:r w:rsidRPr="00916873">
        <w:rPr>
          <w:rStyle w:val="CharAmPartNo"/>
        </w:rPr>
        <w:t>2</w:t>
      </w:r>
      <w:r w:rsidRPr="00916873">
        <w:t>—</w:t>
      </w:r>
      <w:r w:rsidRPr="00916873">
        <w:rPr>
          <w:rStyle w:val="CharAmPartText"/>
        </w:rPr>
        <w:t>Amendments to the Crimes Regulations</w:t>
      </w:r>
      <w:r w:rsidR="00916873" w:rsidRPr="00916873">
        <w:rPr>
          <w:rStyle w:val="CharAmPartText"/>
        </w:rPr>
        <w:t> </w:t>
      </w:r>
      <w:r w:rsidRPr="00916873">
        <w:rPr>
          <w:rStyle w:val="CharAmPartText"/>
        </w:rPr>
        <w:t>1990</w:t>
      </w:r>
      <w:bookmarkEnd w:id="13"/>
    </w:p>
    <w:p w:rsidR="00CB0BA6" w:rsidRPr="00916873" w:rsidRDefault="00CB0BA6" w:rsidP="00CB0BA6">
      <w:pPr>
        <w:pStyle w:val="ActHead9"/>
      </w:pPr>
      <w:bookmarkStart w:id="14" w:name="_Toc463534228"/>
      <w:r w:rsidRPr="00916873">
        <w:t>Crimes Regulations</w:t>
      </w:r>
      <w:r w:rsidR="00916873" w:rsidRPr="00916873">
        <w:t> </w:t>
      </w:r>
      <w:r w:rsidRPr="00916873">
        <w:t>1990</w:t>
      </w:r>
      <w:bookmarkEnd w:id="14"/>
    </w:p>
    <w:p w:rsidR="001817AC" w:rsidRPr="00916873" w:rsidRDefault="00BD55A5" w:rsidP="001817AC">
      <w:pPr>
        <w:pStyle w:val="ItemHead"/>
      </w:pPr>
      <w:r w:rsidRPr="00916873">
        <w:t>9</w:t>
      </w:r>
      <w:r w:rsidR="001817AC" w:rsidRPr="00916873">
        <w:t xml:space="preserve">  Schedule</w:t>
      </w:r>
      <w:r w:rsidR="00916873" w:rsidRPr="00916873">
        <w:t> </w:t>
      </w:r>
      <w:r w:rsidR="001817AC" w:rsidRPr="00916873">
        <w:t>4 (at the end of the table)</w:t>
      </w:r>
    </w:p>
    <w:p w:rsidR="001817AC" w:rsidRPr="00916873" w:rsidRDefault="001817AC" w:rsidP="001817AC">
      <w:pPr>
        <w:pStyle w:val="Item"/>
      </w:pPr>
      <w:r w:rsidRPr="00916873">
        <w:t>Add:</w:t>
      </w:r>
    </w:p>
    <w:p w:rsidR="001817AC" w:rsidRPr="00916873" w:rsidRDefault="001817AC" w:rsidP="001817AC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4"/>
        <w:gridCol w:w="2533"/>
        <w:gridCol w:w="2533"/>
        <w:gridCol w:w="2533"/>
      </w:tblGrid>
      <w:tr w:rsidR="001817AC" w:rsidRPr="00916873" w:rsidTr="001817AC">
        <w:tc>
          <w:tcPr>
            <w:tcW w:w="714" w:type="dxa"/>
            <w:shd w:val="clear" w:color="auto" w:fill="auto"/>
          </w:tcPr>
          <w:p w:rsidR="001817AC" w:rsidRPr="00916873" w:rsidRDefault="001817AC" w:rsidP="001817AC">
            <w:pPr>
              <w:pStyle w:val="Tabletext"/>
            </w:pPr>
            <w:r w:rsidRPr="00916873">
              <w:t>25</w:t>
            </w:r>
          </w:p>
        </w:tc>
        <w:tc>
          <w:tcPr>
            <w:tcW w:w="2533" w:type="dxa"/>
            <w:shd w:val="clear" w:color="auto" w:fill="auto"/>
          </w:tcPr>
          <w:p w:rsidR="001817AC" w:rsidRPr="00916873" w:rsidRDefault="001817AC" w:rsidP="001817AC">
            <w:pPr>
              <w:pStyle w:val="Tabletext"/>
            </w:pPr>
            <w:r w:rsidRPr="00916873">
              <w:t>The Secretary of the Department administer</w:t>
            </w:r>
            <w:r w:rsidR="00D65AE9" w:rsidRPr="00916873">
              <w:t>ed by the Minister administer</w:t>
            </w:r>
            <w:r w:rsidRPr="00916873">
              <w:t xml:space="preserve">ing the </w:t>
            </w:r>
            <w:r w:rsidRPr="00916873">
              <w:rPr>
                <w:i/>
              </w:rPr>
              <w:t>National Health Act 1953</w:t>
            </w:r>
          </w:p>
        </w:tc>
        <w:tc>
          <w:tcPr>
            <w:tcW w:w="2533" w:type="dxa"/>
            <w:shd w:val="clear" w:color="auto" w:fill="auto"/>
          </w:tcPr>
          <w:p w:rsidR="009A1156" w:rsidRPr="00916873" w:rsidRDefault="001817AC" w:rsidP="001817AC">
            <w:pPr>
              <w:pStyle w:val="Tabletext"/>
            </w:pPr>
            <w:r w:rsidRPr="00916873">
              <w:t xml:space="preserve">Assessing </w:t>
            </w:r>
            <w:r w:rsidR="008B1450" w:rsidRPr="00916873">
              <w:t xml:space="preserve">whether a </w:t>
            </w:r>
            <w:r w:rsidRPr="00916873">
              <w:t>person is a fit and proper person to</w:t>
            </w:r>
            <w:r w:rsidR="009A1156" w:rsidRPr="00916873">
              <w:t>:</w:t>
            </w:r>
          </w:p>
          <w:p w:rsidR="009A1156" w:rsidRPr="00916873" w:rsidRDefault="009A1156" w:rsidP="009A1156">
            <w:pPr>
              <w:pStyle w:val="Tablea"/>
            </w:pPr>
            <w:r w:rsidRPr="00916873">
              <w:t xml:space="preserve">(a) </w:t>
            </w:r>
            <w:r w:rsidR="001817AC" w:rsidRPr="00916873">
              <w:t xml:space="preserve">hold a licence (within the meaning of the </w:t>
            </w:r>
            <w:r w:rsidR="001817AC" w:rsidRPr="00916873">
              <w:rPr>
                <w:i/>
              </w:rPr>
              <w:t>Narcotic Drugs Act 1967</w:t>
            </w:r>
            <w:r w:rsidR="001817AC" w:rsidRPr="00916873">
              <w:t>)</w:t>
            </w:r>
            <w:r w:rsidRPr="00916873">
              <w:t>; or</w:t>
            </w:r>
          </w:p>
          <w:p w:rsidR="001817AC" w:rsidRPr="00916873" w:rsidRDefault="009A1156" w:rsidP="009A1156">
            <w:pPr>
              <w:pStyle w:val="Tablea"/>
            </w:pPr>
            <w:r w:rsidRPr="00916873">
              <w:t xml:space="preserve">(b) </w:t>
            </w:r>
            <w:r w:rsidR="001817AC" w:rsidRPr="00916873">
              <w:t>be associated with the holder of such a licence</w:t>
            </w:r>
          </w:p>
        </w:tc>
        <w:tc>
          <w:tcPr>
            <w:tcW w:w="2533" w:type="dxa"/>
            <w:shd w:val="clear" w:color="auto" w:fill="auto"/>
          </w:tcPr>
          <w:p w:rsidR="001817AC" w:rsidRPr="00916873" w:rsidRDefault="001817AC" w:rsidP="001817AC">
            <w:pPr>
              <w:pStyle w:val="Tabletext"/>
            </w:pPr>
            <w:r w:rsidRPr="00916873">
              <w:t>All offences</w:t>
            </w:r>
          </w:p>
        </w:tc>
      </w:tr>
    </w:tbl>
    <w:p w:rsidR="001817AC" w:rsidRPr="00916873" w:rsidRDefault="001817AC" w:rsidP="001817AC">
      <w:pPr>
        <w:pStyle w:val="Tabletext"/>
      </w:pPr>
    </w:p>
    <w:sectPr w:rsidR="001817AC" w:rsidRPr="00916873" w:rsidSect="000B3E0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A8" w:rsidRDefault="00B27AA8" w:rsidP="0048364F">
      <w:pPr>
        <w:spacing w:line="240" w:lineRule="auto"/>
      </w:pPr>
      <w:r>
        <w:separator/>
      </w:r>
    </w:p>
  </w:endnote>
  <w:endnote w:type="continuationSeparator" w:id="0">
    <w:p w:rsidR="00B27AA8" w:rsidRDefault="00B27AA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A8" w:rsidRPr="000B3E08" w:rsidRDefault="00B27AA8" w:rsidP="000B3E0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0B3E08">
      <w:rPr>
        <w:i/>
        <w:sz w:val="18"/>
      </w:rPr>
      <w:t xml:space="preserve"> </w:t>
    </w:r>
    <w:r w:rsidR="000B3E08" w:rsidRPr="000B3E08">
      <w:rPr>
        <w:i/>
        <w:sz w:val="18"/>
      </w:rPr>
      <w:t>OPC62133 -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08" w:rsidRDefault="000B3E08" w:rsidP="000B3E08">
    <w:pPr>
      <w:pStyle w:val="Footer"/>
    </w:pPr>
    <w:r w:rsidRPr="000B3E08">
      <w:rPr>
        <w:i/>
        <w:sz w:val="18"/>
      </w:rPr>
      <w:t>OPC62133 -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A8" w:rsidRPr="000B3E08" w:rsidRDefault="00B27AA8" w:rsidP="00486382">
    <w:pPr>
      <w:pStyle w:val="Footer"/>
      <w:rPr>
        <w:sz w:val="18"/>
      </w:rPr>
    </w:pPr>
  </w:p>
  <w:p w:rsidR="00B27AA8" w:rsidRPr="000B3E08" w:rsidRDefault="000B3E08" w:rsidP="000B3E08">
    <w:pPr>
      <w:pStyle w:val="Footer"/>
      <w:rPr>
        <w:sz w:val="18"/>
      </w:rPr>
    </w:pPr>
    <w:r w:rsidRPr="000B3E08">
      <w:rPr>
        <w:i/>
        <w:sz w:val="18"/>
      </w:rPr>
      <w:t>OPC62133 -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A8" w:rsidRPr="000B3E08" w:rsidRDefault="00B27AA8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B27AA8" w:rsidRPr="000B3E08" w:rsidTr="005D5660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27AA8" w:rsidRPr="000B3E08" w:rsidRDefault="00B27AA8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0B3E08">
            <w:rPr>
              <w:rFonts w:cs="Times New Roman"/>
              <w:i/>
              <w:sz w:val="18"/>
            </w:rPr>
            <w:fldChar w:fldCharType="begin"/>
          </w:r>
          <w:r w:rsidRPr="000B3E08">
            <w:rPr>
              <w:rFonts w:cs="Times New Roman"/>
              <w:i/>
              <w:sz w:val="18"/>
            </w:rPr>
            <w:instrText xml:space="preserve"> PAGE </w:instrText>
          </w:r>
          <w:r w:rsidRPr="000B3E08">
            <w:rPr>
              <w:rFonts w:cs="Times New Roman"/>
              <w:i/>
              <w:sz w:val="18"/>
            </w:rPr>
            <w:fldChar w:fldCharType="separate"/>
          </w:r>
          <w:r w:rsidR="000928E5">
            <w:rPr>
              <w:rFonts w:cs="Times New Roman"/>
              <w:i/>
              <w:noProof/>
              <w:sz w:val="18"/>
            </w:rPr>
            <w:t>v</w:t>
          </w:r>
          <w:r w:rsidRPr="000B3E0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27AA8" w:rsidRPr="000B3E08" w:rsidRDefault="00B27AA8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0B3E08">
            <w:rPr>
              <w:rFonts w:cs="Times New Roman"/>
              <w:i/>
              <w:sz w:val="18"/>
            </w:rPr>
            <w:fldChar w:fldCharType="begin"/>
          </w:r>
          <w:r w:rsidRPr="000B3E08">
            <w:rPr>
              <w:rFonts w:cs="Times New Roman"/>
              <w:i/>
              <w:sz w:val="18"/>
            </w:rPr>
            <w:instrText xml:space="preserve"> DOCPROPERTY ShortT </w:instrText>
          </w:r>
          <w:r w:rsidRPr="000B3E08">
            <w:rPr>
              <w:rFonts w:cs="Times New Roman"/>
              <w:i/>
              <w:sz w:val="18"/>
            </w:rPr>
            <w:fldChar w:fldCharType="separate"/>
          </w:r>
          <w:r w:rsidR="00AF5DCE">
            <w:rPr>
              <w:rFonts w:cs="Times New Roman"/>
              <w:i/>
              <w:sz w:val="18"/>
            </w:rPr>
            <w:t>Therapeutic Goods and Other Legislation Amendment (Narcotic Drugs) Regulation 2016</w:t>
          </w:r>
          <w:r w:rsidRPr="000B3E0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27AA8" w:rsidRPr="000B3E08" w:rsidRDefault="00B27AA8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B27AA8" w:rsidRPr="000B3E08" w:rsidRDefault="000B3E08" w:rsidP="000B3E08">
    <w:pPr>
      <w:rPr>
        <w:rFonts w:cs="Times New Roman"/>
        <w:i/>
        <w:sz w:val="18"/>
      </w:rPr>
    </w:pPr>
    <w:r w:rsidRPr="000B3E08">
      <w:rPr>
        <w:rFonts w:cs="Times New Roman"/>
        <w:i/>
        <w:sz w:val="18"/>
      </w:rPr>
      <w:t>OPC62133 -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A8" w:rsidRPr="00E33C1C" w:rsidRDefault="00B27AA8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27AA8" w:rsidTr="005D5660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27AA8" w:rsidRDefault="00B27AA8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27AA8" w:rsidRDefault="00B27AA8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F5DCE">
            <w:rPr>
              <w:i/>
              <w:sz w:val="18"/>
            </w:rPr>
            <w:t>Therapeutic Goods and Other Legislation Amendment (Narcotic Drugs)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27AA8" w:rsidRDefault="00B27AA8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948A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27AA8" w:rsidRPr="00ED79B6" w:rsidRDefault="000B3E08" w:rsidP="000B3E08">
    <w:pPr>
      <w:rPr>
        <w:i/>
        <w:sz w:val="18"/>
      </w:rPr>
    </w:pPr>
    <w:r w:rsidRPr="000B3E08">
      <w:rPr>
        <w:rFonts w:cs="Times New Roman"/>
        <w:i/>
        <w:sz w:val="18"/>
      </w:rPr>
      <w:t>OPC62133 -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A8" w:rsidRPr="000B3E08" w:rsidRDefault="00B27AA8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B27AA8" w:rsidRPr="000B3E08" w:rsidTr="005D5660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27AA8" w:rsidRPr="000B3E08" w:rsidRDefault="00B27AA8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0B3E08">
            <w:rPr>
              <w:rFonts w:cs="Times New Roman"/>
              <w:i/>
              <w:sz w:val="18"/>
            </w:rPr>
            <w:fldChar w:fldCharType="begin"/>
          </w:r>
          <w:r w:rsidRPr="000B3E08">
            <w:rPr>
              <w:rFonts w:cs="Times New Roman"/>
              <w:i/>
              <w:sz w:val="18"/>
            </w:rPr>
            <w:instrText xml:space="preserve"> PAGE </w:instrText>
          </w:r>
          <w:r w:rsidRPr="000B3E08">
            <w:rPr>
              <w:rFonts w:cs="Times New Roman"/>
              <w:i/>
              <w:sz w:val="18"/>
            </w:rPr>
            <w:fldChar w:fldCharType="separate"/>
          </w:r>
          <w:r w:rsidR="00F948AB">
            <w:rPr>
              <w:rFonts w:cs="Times New Roman"/>
              <w:i/>
              <w:noProof/>
              <w:sz w:val="18"/>
            </w:rPr>
            <w:t>4</w:t>
          </w:r>
          <w:r w:rsidRPr="000B3E0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27AA8" w:rsidRPr="000B3E08" w:rsidRDefault="00B27AA8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0B3E08">
            <w:rPr>
              <w:rFonts w:cs="Times New Roman"/>
              <w:i/>
              <w:sz w:val="18"/>
            </w:rPr>
            <w:fldChar w:fldCharType="begin"/>
          </w:r>
          <w:r w:rsidRPr="000B3E08">
            <w:rPr>
              <w:rFonts w:cs="Times New Roman"/>
              <w:i/>
              <w:sz w:val="18"/>
            </w:rPr>
            <w:instrText xml:space="preserve"> DOCPROPERTY ShortT </w:instrText>
          </w:r>
          <w:r w:rsidRPr="000B3E08">
            <w:rPr>
              <w:rFonts w:cs="Times New Roman"/>
              <w:i/>
              <w:sz w:val="18"/>
            </w:rPr>
            <w:fldChar w:fldCharType="separate"/>
          </w:r>
          <w:r w:rsidR="00AF5DCE">
            <w:rPr>
              <w:rFonts w:cs="Times New Roman"/>
              <w:i/>
              <w:sz w:val="18"/>
            </w:rPr>
            <w:t>Therapeutic Goods and Other Legislation Amendment (Narcotic Drugs) Regulation 2016</w:t>
          </w:r>
          <w:r w:rsidRPr="000B3E0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27AA8" w:rsidRPr="000B3E08" w:rsidRDefault="00B27AA8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B27AA8" w:rsidRPr="000B3E08" w:rsidRDefault="000B3E08" w:rsidP="000B3E08">
    <w:pPr>
      <w:rPr>
        <w:rFonts w:cs="Times New Roman"/>
        <w:i/>
        <w:sz w:val="18"/>
      </w:rPr>
    </w:pPr>
    <w:r w:rsidRPr="000B3E08">
      <w:rPr>
        <w:rFonts w:cs="Times New Roman"/>
        <w:i/>
        <w:sz w:val="18"/>
      </w:rPr>
      <w:t>OPC62133 -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A8" w:rsidRPr="00E33C1C" w:rsidRDefault="00B27AA8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27AA8" w:rsidTr="005D5660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27AA8" w:rsidRDefault="00B27AA8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27AA8" w:rsidRDefault="00B27AA8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F5DCE">
            <w:rPr>
              <w:i/>
              <w:sz w:val="18"/>
            </w:rPr>
            <w:t>Therapeutic Goods and Other Legislation Amendment (Narcotic Drugs)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27AA8" w:rsidRDefault="00B27AA8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948AB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27AA8" w:rsidRPr="00ED79B6" w:rsidRDefault="000B3E08" w:rsidP="000B3E08">
    <w:pPr>
      <w:rPr>
        <w:i/>
        <w:sz w:val="18"/>
      </w:rPr>
    </w:pPr>
    <w:r w:rsidRPr="000B3E08">
      <w:rPr>
        <w:rFonts w:cs="Times New Roman"/>
        <w:i/>
        <w:sz w:val="18"/>
      </w:rPr>
      <w:t>OPC62133 -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A8" w:rsidRPr="00E33C1C" w:rsidRDefault="00B27AA8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27AA8" w:rsidTr="005D5660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27AA8" w:rsidRDefault="00B27AA8" w:rsidP="00B27AA8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27AA8" w:rsidRDefault="00B27AA8" w:rsidP="00B27AA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F5DCE">
            <w:rPr>
              <w:i/>
              <w:sz w:val="18"/>
            </w:rPr>
            <w:t>Therapeutic Goods and Other Legislation Amendment (Narcotic Drugs)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27AA8" w:rsidRDefault="00B27AA8" w:rsidP="00B27AA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928E5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27AA8" w:rsidRPr="00ED79B6" w:rsidRDefault="00B27AA8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A8" w:rsidRDefault="00B27AA8" w:rsidP="0048364F">
      <w:pPr>
        <w:spacing w:line="240" w:lineRule="auto"/>
      </w:pPr>
      <w:r>
        <w:separator/>
      </w:r>
    </w:p>
  </w:footnote>
  <w:footnote w:type="continuationSeparator" w:id="0">
    <w:p w:rsidR="00B27AA8" w:rsidRDefault="00B27AA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A8" w:rsidRPr="005F1388" w:rsidRDefault="00B27AA8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A8" w:rsidRPr="005F1388" w:rsidRDefault="00B27AA8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A8" w:rsidRPr="005F1388" w:rsidRDefault="00B27AA8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A8" w:rsidRPr="00ED79B6" w:rsidRDefault="00B27AA8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A8" w:rsidRPr="00ED79B6" w:rsidRDefault="00B27AA8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A8" w:rsidRPr="00ED79B6" w:rsidRDefault="00B27AA8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A8" w:rsidRPr="00A961C4" w:rsidRDefault="00B27AA8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F948A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F948AB">
      <w:rPr>
        <w:noProof/>
        <w:sz w:val="20"/>
      </w:rPr>
      <w:t>Amendments</w:t>
    </w:r>
    <w:r>
      <w:rPr>
        <w:sz w:val="20"/>
      </w:rPr>
      <w:fldChar w:fldCharType="end"/>
    </w:r>
  </w:p>
  <w:p w:rsidR="00B27AA8" w:rsidRPr="00A961C4" w:rsidRDefault="00B27AA8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F948AB">
      <w:rPr>
        <w:b/>
        <w:noProof/>
        <w:sz w:val="20"/>
      </w:rPr>
      <w:t>Part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F948AB">
      <w:rPr>
        <w:noProof/>
        <w:sz w:val="20"/>
      </w:rPr>
      <w:t>Amendments to the Therapeutic Goods Regulations 1990</w:t>
    </w:r>
    <w:r>
      <w:rPr>
        <w:sz w:val="20"/>
      </w:rPr>
      <w:fldChar w:fldCharType="end"/>
    </w:r>
  </w:p>
  <w:p w:rsidR="00B27AA8" w:rsidRPr="00A961C4" w:rsidRDefault="00B27AA8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A8" w:rsidRPr="00A961C4" w:rsidRDefault="00B27AA8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B27AA8" w:rsidRPr="00A961C4" w:rsidRDefault="00B27AA8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B27AA8" w:rsidRPr="00A961C4" w:rsidRDefault="00B27AA8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A8" w:rsidRPr="00A961C4" w:rsidRDefault="00B27AA8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60"/>
    <w:rsid w:val="000041C6"/>
    <w:rsid w:val="000063E4"/>
    <w:rsid w:val="00011222"/>
    <w:rsid w:val="000113BC"/>
    <w:rsid w:val="000136AF"/>
    <w:rsid w:val="00020D62"/>
    <w:rsid w:val="00025060"/>
    <w:rsid w:val="000319B3"/>
    <w:rsid w:val="0004044E"/>
    <w:rsid w:val="00043828"/>
    <w:rsid w:val="00053478"/>
    <w:rsid w:val="000614BF"/>
    <w:rsid w:val="0008286D"/>
    <w:rsid w:val="00082A8E"/>
    <w:rsid w:val="00084BD3"/>
    <w:rsid w:val="000928E5"/>
    <w:rsid w:val="000940B9"/>
    <w:rsid w:val="000964DC"/>
    <w:rsid w:val="000A6E01"/>
    <w:rsid w:val="000B2568"/>
    <w:rsid w:val="000B3E08"/>
    <w:rsid w:val="000C3508"/>
    <w:rsid w:val="000C4E79"/>
    <w:rsid w:val="000D05EF"/>
    <w:rsid w:val="000D50B2"/>
    <w:rsid w:val="000E32C0"/>
    <w:rsid w:val="000F21C1"/>
    <w:rsid w:val="000F6B02"/>
    <w:rsid w:val="000F6ED6"/>
    <w:rsid w:val="000F7427"/>
    <w:rsid w:val="001006E2"/>
    <w:rsid w:val="0010745C"/>
    <w:rsid w:val="00116975"/>
    <w:rsid w:val="00125C12"/>
    <w:rsid w:val="00126F1A"/>
    <w:rsid w:val="001401EC"/>
    <w:rsid w:val="00145F92"/>
    <w:rsid w:val="00154EAC"/>
    <w:rsid w:val="001643C9"/>
    <w:rsid w:val="00165568"/>
    <w:rsid w:val="00166C2F"/>
    <w:rsid w:val="00170526"/>
    <w:rsid w:val="001716C9"/>
    <w:rsid w:val="00171EAE"/>
    <w:rsid w:val="001817AC"/>
    <w:rsid w:val="00181F05"/>
    <w:rsid w:val="00185933"/>
    <w:rsid w:val="00187A5A"/>
    <w:rsid w:val="00191859"/>
    <w:rsid w:val="00193461"/>
    <w:rsid w:val="001939E1"/>
    <w:rsid w:val="00195382"/>
    <w:rsid w:val="001B3097"/>
    <w:rsid w:val="001B7A5D"/>
    <w:rsid w:val="001C128D"/>
    <w:rsid w:val="001C69C4"/>
    <w:rsid w:val="001D4229"/>
    <w:rsid w:val="001D7F83"/>
    <w:rsid w:val="001E04A3"/>
    <w:rsid w:val="001E16B2"/>
    <w:rsid w:val="001E16D0"/>
    <w:rsid w:val="001E3590"/>
    <w:rsid w:val="001E562E"/>
    <w:rsid w:val="001E7407"/>
    <w:rsid w:val="001F6924"/>
    <w:rsid w:val="00201D27"/>
    <w:rsid w:val="00211E35"/>
    <w:rsid w:val="00231427"/>
    <w:rsid w:val="00240749"/>
    <w:rsid w:val="00247368"/>
    <w:rsid w:val="00265FBC"/>
    <w:rsid w:val="00266D05"/>
    <w:rsid w:val="00281183"/>
    <w:rsid w:val="002852AA"/>
    <w:rsid w:val="002932B1"/>
    <w:rsid w:val="00295408"/>
    <w:rsid w:val="00297ECB"/>
    <w:rsid w:val="002A0FFD"/>
    <w:rsid w:val="002B2731"/>
    <w:rsid w:val="002B5B89"/>
    <w:rsid w:val="002B7D96"/>
    <w:rsid w:val="002D043A"/>
    <w:rsid w:val="002E1650"/>
    <w:rsid w:val="00304E75"/>
    <w:rsid w:val="003072FA"/>
    <w:rsid w:val="0031713F"/>
    <w:rsid w:val="00317842"/>
    <w:rsid w:val="00322453"/>
    <w:rsid w:val="0033465F"/>
    <w:rsid w:val="00337BC1"/>
    <w:rsid w:val="003415D3"/>
    <w:rsid w:val="00352B0F"/>
    <w:rsid w:val="00361BD9"/>
    <w:rsid w:val="00363549"/>
    <w:rsid w:val="00377B6A"/>
    <w:rsid w:val="003801D0"/>
    <w:rsid w:val="0039228E"/>
    <w:rsid w:val="003926B5"/>
    <w:rsid w:val="003A2C84"/>
    <w:rsid w:val="003B04EC"/>
    <w:rsid w:val="003C20B2"/>
    <w:rsid w:val="003C5F2B"/>
    <w:rsid w:val="003D0BFE"/>
    <w:rsid w:val="003D229F"/>
    <w:rsid w:val="003D5700"/>
    <w:rsid w:val="003E5FF5"/>
    <w:rsid w:val="003F1298"/>
    <w:rsid w:val="003F3E46"/>
    <w:rsid w:val="003F4CA9"/>
    <w:rsid w:val="003F567B"/>
    <w:rsid w:val="004010E7"/>
    <w:rsid w:val="00401403"/>
    <w:rsid w:val="004116CD"/>
    <w:rsid w:val="00412B83"/>
    <w:rsid w:val="00424CA9"/>
    <w:rsid w:val="00433910"/>
    <w:rsid w:val="004351B2"/>
    <w:rsid w:val="0044291A"/>
    <w:rsid w:val="00446B8E"/>
    <w:rsid w:val="00450FF0"/>
    <w:rsid w:val="004541B9"/>
    <w:rsid w:val="00460499"/>
    <w:rsid w:val="00463254"/>
    <w:rsid w:val="00477225"/>
    <w:rsid w:val="00480FB9"/>
    <w:rsid w:val="00482F9C"/>
    <w:rsid w:val="0048364F"/>
    <w:rsid w:val="00486382"/>
    <w:rsid w:val="00496F97"/>
    <w:rsid w:val="004A2484"/>
    <w:rsid w:val="004A28A3"/>
    <w:rsid w:val="004A6727"/>
    <w:rsid w:val="004C0255"/>
    <w:rsid w:val="004C5B5A"/>
    <w:rsid w:val="004C6333"/>
    <w:rsid w:val="004C6444"/>
    <w:rsid w:val="004C6DE1"/>
    <w:rsid w:val="004F1FAC"/>
    <w:rsid w:val="004F3A90"/>
    <w:rsid w:val="004F676E"/>
    <w:rsid w:val="005002B6"/>
    <w:rsid w:val="00516B8D"/>
    <w:rsid w:val="00516CA5"/>
    <w:rsid w:val="00520A1E"/>
    <w:rsid w:val="005260C5"/>
    <w:rsid w:val="00537FBC"/>
    <w:rsid w:val="00543469"/>
    <w:rsid w:val="00555BDF"/>
    <w:rsid w:val="00557C7A"/>
    <w:rsid w:val="00576017"/>
    <w:rsid w:val="0057634A"/>
    <w:rsid w:val="00584811"/>
    <w:rsid w:val="005851A5"/>
    <w:rsid w:val="0058646E"/>
    <w:rsid w:val="00591E07"/>
    <w:rsid w:val="00593AA6"/>
    <w:rsid w:val="00594161"/>
    <w:rsid w:val="00594749"/>
    <w:rsid w:val="005A16FB"/>
    <w:rsid w:val="005B4067"/>
    <w:rsid w:val="005C12DE"/>
    <w:rsid w:val="005C3F41"/>
    <w:rsid w:val="005D5660"/>
    <w:rsid w:val="005E552A"/>
    <w:rsid w:val="005F586A"/>
    <w:rsid w:val="00600219"/>
    <w:rsid w:val="00604DE1"/>
    <w:rsid w:val="00621543"/>
    <w:rsid w:val="006249E6"/>
    <w:rsid w:val="00630733"/>
    <w:rsid w:val="0064468A"/>
    <w:rsid w:val="0064741C"/>
    <w:rsid w:val="00654CCA"/>
    <w:rsid w:val="00656DE9"/>
    <w:rsid w:val="00663BDD"/>
    <w:rsid w:val="006674F3"/>
    <w:rsid w:val="0067382D"/>
    <w:rsid w:val="00677CC2"/>
    <w:rsid w:val="00680F17"/>
    <w:rsid w:val="006855CF"/>
    <w:rsid w:val="00685F42"/>
    <w:rsid w:val="0069207B"/>
    <w:rsid w:val="006935C3"/>
    <w:rsid w:val="006937E2"/>
    <w:rsid w:val="0069392E"/>
    <w:rsid w:val="00693E0D"/>
    <w:rsid w:val="006977FB"/>
    <w:rsid w:val="006A3F2E"/>
    <w:rsid w:val="006B262A"/>
    <w:rsid w:val="006C2C12"/>
    <w:rsid w:val="006C3FFF"/>
    <w:rsid w:val="006C7F8C"/>
    <w:rsid w:val="006D3667"/>
    <w:rsid w:val="006D4E91"/>
    <w:rsid w:val="006E004B"/>
    <w:rsid w:val="006E7147"/>
    <w:rsid w:val="00700B2C"/>
    <w:rsid w:val="00701E6A"/>
    <w:rsid w:val="00713084"/>
    <w:rsid w:val="00715FA6"/>
    <w:rsid w:val="00722023"/>
    <w:rsid w:val="00724759"/>
    <w:rsid w:val="007252B1"/>
    <w:rsid w:val="00731E00"/>
    <w:rsid w:val="007440B7"/>
    <w:rsid w:val="007634AD"/>
    <w:rsid w:val="007715C9"/>
    <w:rsid w:val="00774EDD"/>
    <w:rsid w:val="007757EC"/>
    <w:rsid w:val="007757F9"/>
    <w:rsid w:val="007769D4"/>
    <w:rsid w:val="00784FF1"/>
    <w:rsid w:val="00785AFA"/>
    <w:rsid w:val="007903AC"/>
    <w:rsid w:val="0079192D"/>
    <w:rsid w:val="007A07A6"/>
    <w:rsid w:val="007A7696"/>
    <w:rsid w:val="007A7F9F"/>
    <w:rsid w:val="007E7D4A"/>
    <w:rsid w:val="007F404D"/>
    <w:rsid w:val="007F727A"/>
    <w:rsid w:val="00810EBF"/>
    <w:rsid w:val="00826180"/>
    <w:rsid w:val="00826DA5"/>
    <w:rsid w:val="00833416"/>
    <w:rsid w:val="008455B0"/>
    <w:rsid w:val="00856A31"/>
    <w:rsid w:val="00860953"/>
    <w:rsid w:val="00867BC9"/>
    <w:rsid w:val="00874B69"/>
    <w:rsid w:val="008754D0"/>
    <w:rsid w:val="00877D48"/>
    <w:rsid w:val="00880795"/>
    <w:rsid w:val="00881D7C"/>
    <w:rsid w:val="008975B7"/>
    <w:rsid w:val="0089783B"/>
    <w:rsid w:val="008B1450"/>
    <w:rsid w:val="008C0DC8"/>
    <w:rsid w:val="008D07AB"/>
    <w:rsid w:val="008D0EE0"/>
    <w:rsid w:val="008F07E3"/>
    <w:rsid w:val="008F4F1C"/>
    <w:rsid w:val="008F7E70"/>
    <w:rsid w:val="00907271"/>
    <w:rsid w:val="00916873"/>
    <w:rsid w:val="00920668"/>
    <w:rsid w:val="00932377"/>
    <w:rsid w:val="00932A33"/>
    <w:rsid w:val="00941C51"/>
    <w:rsid w:val="009848EC"/>
    <w:rsid w:val="00984942"/>
    <w:rsid w:val="00984F39"/>
    <w:rsid w:val="0099189A"/>
    <w:rsid w:val="009A1156"/>
    <w:rsid w:val="009B3629"/>
    <w:rsid w:val="009B3AAC"/>
    <w:rsid w:val="009C0284"/>
    <w:rsid w:val="009C49D8"/>
    <w:rsid w:val="009E17CC"/>
    <w:rsid w:val="009E3601"/>
    <w:rsid w:val="009E3E76"/>
    <w:rsid w:val="009F727E"/>
    <w:rsid w:val="00A1027A"/>
    <w:rsid w:val="00A15FC7"/>
    <w:rsid w:val="00A2057D"/>
    <w:rsid w:val="00A231E2"/>
    <w:rsid w:val="00A23E93"/>
    <w:rsid w:val="00A2550D"/>
    <w:rsid w:val="00A26DBE"/>
    <w:rsid w:val="00A31AF8"/>
    <w:rsid w:val="00A326A4"/>
    <w:rsid w:val="00A40F64"/>
    <w:rsid w:val="00A4169B"/>
    <w:rsid w:val="00A4361F"/>
    <w:rsid w:val="00A472CF"/>
    <w:rsid w:val="00A5197F"/>
    <w:rsid w:val="00A60402"/>
    <w:rsid w:val="00A64912"/>
    <w:rsid w:val="00A70A74"/>
    <w:rsid w:val="00A71C4E"/>
    <w:rsid w:val="00A875E9"/>
    <w:rsid w:val="00A87AB9"/>
    <w:rsid w:val="00AB3315"/>
    <w:rsid w:val="00AB4E09"/>
    <w:rsid w:val="00AB7B41"/>
    <w:rsid w:val="00AC06B3"/>
    <w:rsid w:val="00AD5641"/>
    <w:rsid w:val="00AE50A2"/>
    <w:rsid w:val="00AF0336"/>
    <w:rsid w:val="00AF5DCE"/>
    <w:rsid w:val="00AF6613"/>
    <w:rsid w:val="00B00902"/>
    <w:rsid w:val="00B03089"/>
    <w:rsid w:val="00B032D8"/>
    <w:rsid w:val="00B07F64"/>
    <w:rsid w:val="00B27AA8"/>
    <w:rsid w:val="00B31F07"/>
    <w:rsid w:val="00B332B8"/>
    <w:rsid w:val="00B33B3C"/>
    <w:rsid w:val="00B42F5F"/>
    <w:rsid w:val="00B44657"/>
    <w:rsid w:val="00B47E10"/>
    <w:rsid w:val="00B570A0"/>
    <w:rsid w:val="00B61D2C"/>
    <w:rsid w:val="00B63BDE"/>
    <w:rsid w:val="00B655DE"/>
    <w:rsid w:val="00B94918"/>
    <w:rsid w:val="00BA1209"/>
    <w:rsid w:val="00BA4291"/>
    <w:rsid w:val="00BA5026"/>
    <w:rsid w:val="00BB6E79"/>
    <w:rsid w:val="00BC1BE9"/>
    <w:rsid w:val="00BC4F91"/>
    <w:rsid w:val="00BD55A5"/>
    <w:rsid w:val="00BD60E6"/>
    <w:rsid w:val="00BE253A"/>
    <w:rsid w:val="00BE719A"/>
    <w:rsid w:val="00BE720A"/>
    <w:rsid w:val="00BF4533"/>
    <w:rsid w:val="00BF7CA1"/>
    <w:rsid w:val="00C067E5"/>
    <w:rsid w:val="00C15528"/>
    <w:rsid w:val="00C164CA"/>
    <w:rsid w:val="00C21B63"/>
    <w:rsid w:val="00C42BF8"/>
    <w:rsid w:val="00C460AE"/>
    <w:rsid w:val="00C50043"/>
    <w:rsid w:val="00C63713"/>
    <w:rsid w:val="00C7573B"/>
    <w:rsid w:val="00C76CF3"/>
    <w:rsid w:val="00C77E30"/>
    <w:rsid w:val="00C814F5"/>
    <w:rsid w:val="00C82062"/>
    <w:rsid w:val="00C848A5"/>
    <w:rsid w:val="00CA683B"/>
    <w:rsid w:val="00CB0180"/>
    <w:rsid w:val="00CB0BA6"/>
    <w:rsid w:val="00CB1A31"/>
    <w:rsid w:val="00CB3470"/>
    <w:rsid w:val="00CB40E3"/>
    <w:rsid w:val="00CD17BB"/>
    <w:rsid w:val="00CD606E"/>
    <w:rsid w:val="00CD740B"/>
    <w:rsid w:val="00CD7ECB"/>
    <w:rsid w:val="00CF0BB2"/>
    <w:rsid w:val="00CF3BAE"/>
    <w:rsid w:val="00CF5200"/>
    <w:rsid w:val="00CF7589"/>
    <w:rsid w:val="00D0104A"/>
    <w:rsid w:val="00D13441"/>
    <w:rsid w:val="00D17B17"/>
    <w:rsid w:val="00D243A3"/>
    <w:rsid w:val="00D333D9"/>
    <w:rsid w:val="00D33440"/>
    <w:rsid w:val="00D368AB"/>
    <w:rsid w:val="00D40403"/>
    <w:rsid w:val="00D45B1D"/>
    <w:rsid w:val="00D50B69"/>
    <w:rsid w:val="00D52EFE"/>
    <w:rsid w:val="00D63EF6"/>
    <w:rsid w:val="00D65AE9"/>
    <w:rsid w:val="00D70DFB"/>
    <w:rsid w:val="00D766DF"/>
    <w:rsid w:val="00D83D21"/>
    <w:rsid w:val="00D84B58"/>
    <w:rsid w:val="00D84E1E"/>
    <w:rsid w:val="00D925D1"/>
    <w:rsid w:val="00DA489E"/>
    <w:rsid w:val="00DB29C9"/>
    <w:rsid w:val="00DD2686"/>
    <w:rsid w:val="00DE39BE"/>
    <w:rsid w:val="00DF080B"/>
    <w:rsid w:val="00DF508D"/>
    <w:rsid w:val="00E05704"/>
    <w:rsid w:val="00E05C46"/>
    <w:rsid w:val="00E21642"/>
    <w:rsid w:val="00E30206"/>
    <w:rsid w:val="00E33C1C"/>
    <w:rsid w:val="00E33E00"/>
    <w:rsid w:val="00E4291E"/>
    <w:rsid w:val="00E443FC"/>
    <w:rsid w:val="00E45FE7"/>
    <w:rsid w:val="00E476B8"/>
    <w:rsid w:val="00E54292"/>
    <w:rsid w:val="00E55BCD"/>
    <w:rsid w:val="00E70FE5"/>
    <w:rsid w:val="00E71DE0"/>
    <w:rsid w:val="00E73EC4"/>
    <w:rsid w:val="00E74DC7"/>
    <w:rsid w:val="00E76FAB"/>
    <w:rsid w:val="00E81D42"/>
    <w:rsid w:val="00E83E2E"/>
    <w:rsid w:val="00E84B32"/>
    <w:rsid w:val="00E87699"/>
    <w:rsid w:val="00E97525"/>
    <w:rsid w:val="00EA1FE6"/>
    <w:rsid w:val="00EC5D6C"/>
    <w:rsid w:val="00ED2D31"/>
    <w:rsid w:val="00ED3A7D"/>
    <w:rsid w:val="00ED7F30"/>
    <w:rsid w:val="00EE7D72"/>
    <w:rsid w:val="00EF2E3A"/>
    <w:rsid w:val="00F047E2"/>
    <w:rsid w:val="00F078DC"/>
    <w:rsid w:val="00F13E86"/>
    <w:rsid w:val="00F24C35"/>
    <w:rsid w:val="00F5203B"/>
    <w:rsid w:val="00F537A3"/>
    <w:rsid w:val="00F56759"/>
    <w:rsid w:val="00F677A9"/>
    <w:rsid w:val="00F7603A"/>
    <w:rsid w:val="00F766E3"/>
    <w:rsid w:val="00F84CF5"/>
    <w:rsid w:val="00F948AB"/>
    <w:rsid w:val="00FA420B"/>
    <w:rsid w:val="00FB03B3"/>
    <w:rsid w:val="00FB192C"/>
    <w:rsid w:val="00FB1DC8"/>
    <w:rsid w:val="00FC61E7"/>
    <w:rsid w:val="00FD7CFE"/>
    <w:rsid w:val="00FF3089"/>
    <w:rsid w:val="00FF3962"/>
    <w:rsid w:val="00FF3B04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687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6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6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6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6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6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6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6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6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6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16873"/>
  </w:style>
  <w:style w:type="paragraph" w:customStyle="1" w:styleId="OPCParaBase">
    <w:name w:val="OPCParaBase"/>
    <w:qFormat/>
    <w:rsid w:val="0091687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1687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1687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1687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1687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1687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1687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1687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1687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1687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1687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16873"/>
  </w:style>
  <w:style w:type="paragraph" w:customStyle="1" w:styleId="Blocks">
    <w:name w:val="Blocks"/>
    <w:aliases w:val="bb"/>
    <w:basedOn w:val="OPCParaBase"/>
    <w:qFormat/>
    <w:rsid w:val="0091687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168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1687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16873"/>
    <w:rPr>
      <w:i/>
    </w:rPr>
  </w:style>
  <w:style w:type="paragraph" w:customStyle="1" w:styleId="BoxList">
    <w:name w:val="BoxList"/>
    <w:aliases w:val="bl"/>
    <w:basedOn w:val="BoxText"/>
    <w:qFormat/>
    <w:rsid w:val="0091687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1687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1687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16873"/>
    <w:pPr>
      <w:ind w:left="1985" w:hanging="851"/>
    </w:pPr>
  </w:style>
  <w:style w:type="character" w:customStyle="1" w:styleId="CharAmPartNo">
    <w:name w:val="CharAmPartNo"/>
    <w:basedOn w:val="OPCCharBase"/>
    <w:qFormat/>
    <w:rsid w:val="00916873"/>
  </w:style>
  <w:style w:type="character" w:customStyle="1" w:styleId="CharAmPartText">
    <w:name w:val="CharAmPartText"/>
    <w:basedOn w:val="OPCCharBase"/>
    <w:qFormat/>
    <w:rsid w:val="00916873"/>
  </w:style>
  <w:style w:type="character" w:customStyle="1" w:styleId="CharAmSchNo">
    <w:name w:val="CharAmSchNo"/>
    <w:basedOn w:val="OPCCharBase"/>
    <w:qFormat/>
    <w:rsid w:val="00916873"/>
  </w:style>
  <w:style w:type="character" w:customStyle="1" w:styleId="CharAmSchText">
    <w:name w:val="CharAmSchText"/>
    <w:basedOn w:val="OPCCharBase"/>
    <w:qFormat/>
    <w:rsid w:val="00916873"/>
  </w:style>
  <w:style w:type="character" w:customStyle="1" w:styleId="CharBoldItalic">
    <w:name w:val="CharBoldItalic"/>
    <w:basedOn w:val="OPCCharBase"/>
    <w:uiPriority w:val="1"/>
    <w:qFormat/>
    <w:rsid w:val="00916873"/>
    <w:rPr>
      <w:b/>
      <w:i/>
    </w:rPr>
  </w:style>
  <w:style w:type="character" w:customStyle="1" w:styleId="CharChapNo">
    <w:name w:val="CharChapNo"/>
    <w:basedOn w:val="OPCCharBase"/>
    <w:uiPriority w:val="1"/>
    <w:qFormat/>
    <w:rsid w:val="00916873"/>
  </w:style>
  <w:style w:type="character" w:customStyle="1" w:styleId="CharChapText">
    <w:name w:val="CharChapText"/>
    <w:basedOn w:val="OPCCharBase"/>
    <w:uiPriority w:val="1"/>
    <w:qFormat/>
    <w:rsid w:val="00916873"/>
  </w:style>
  <w:style w:type="character" w:customStyle="1" w:styleId="CharDivNo">
    <w:name w:val="CharDivNo"/>
    <w:basedOn w:val="OPCCharBase"/>
    <w:uiPriority w:val="1"/>
    <w:qFormat/>
    <w:rsid w:val="00916873"/>
  </w:style>
  <w:style w:type="character" w:customStyle="1" w:styleId="CharDivText">
    <w:name w:val="CharDivText"/>
    <w:basedOn w:val="OPCCharBase"/>
    <w:uiPriority w:val="1"/>
    <w:qFormat/>
    <w:rsid w:val="00916873"/>
  </w:style>
  <w:style w:type="character" w:customStyle="1" w:styleId="CharItalic">
    <w:name w:val="CharItalic"/>
    <w:basedOn w:val="OPCCharBase"/>
    <w:uiPriority w:val="1"/>
    <w:qFormat/>
    <w:rsid w:val="00916873"/>
    <w:rPr>
      <w:i/>
    </w:rPr>
  </w:style>
  <w:style w:type="character" w:customStyle="1" w:styleId="CharPartNo">
    <w:name w:val="CharPartNo"/>
    <w:basedOn w:val="OPCCharBase"/>
    <w:uiPriority w:val="1"/>
    <w:qFormat/>
    <w:rsid w:val="00916873"/>
  </w:style>
  <w:style w:type="character" w:customStyle="1" w:styleId="CharPartText">
    <w:name w:val="CharPartText"/>
    <w:basedOn w:val="OPCCharBase"/>
    <w:uiPriority w:val="1"/>
    <w:qFormat/>
    <w:rsid w:val="00916873"/>
  </w:style>
  <w:style w:type="character" w:customStyle="1" w:styleId="CharSectno">
    <w:name w:val="CharSectno"/>
    <w:basedOn w:val="OPCCharBase"/>
    <w:qFormat/>
    <w:rsid w:val="00916873"/>
  </w:style>
  <w:style w:type="character" w:customStyle="1" w:styleId="CharSubdNo">
    <w:name w:val="CharSubdNo"/>
    <w:basedOn w:val="OPCCharBase"/>
    <w:uiPriority w:val="1"/>
    <w:qFormat/>
    <w:rsid w:val="00916873"/>
  </w:style>
  <w:style w:type="character" w:customStyle="1" w:styleId="CharSubdText">
    <w:name w:val="CharSubdText"/>
    <w:basedOn w:val="OPCCharBase"/>
    <w:uiPriority w:val="1"/>
    <w:qFormat/>
    <w:rsid w:val="00916873"/>
  </w:style>
  <w:style w:type="paragraph" w:customStyle="1" w:styleId="CTA--">
    <w:name w:val="CTA --"/>
    <w:basedOn w:val="OPCParaBase"/>
    <w:next w:val="Normal"/>
    <w:rsid w:val="0091687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1687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1687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1687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1687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1687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1687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1687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1687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1687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1687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1687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1687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1687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1687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1687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168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1687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168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168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1687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1687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1687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1687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1687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1687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1687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1687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1687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1687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1687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1687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1687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1687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1687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1687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1687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1687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1687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1687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1687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1687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1687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1687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1687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1687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1687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1687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1687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1687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1687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168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1687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1687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1687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1687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91687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1687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16873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1687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16873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916873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16873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16873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1687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1687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1687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1687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1687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1687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1687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1687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16873"/>
    <w:rPr>
      <w:sz w:val="16"/>
    </w:rPr>
  </w:style>
  <w:style w:type="table" w:customStyle="1" w:styleId="CFlag">
    <w:name w:val="CFlag"/>
    <w:basedOn w:val="TableNormal"/>
    <w:uiPriority w:val="99"/>
    <w:rsid w:val="0091687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9168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916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16873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91687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1687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1687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1687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16873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91687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1687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1687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916873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9168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168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168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168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91687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1687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1687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1687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1687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1687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91687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1687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16873"/>
  </w:style>
  <w:style w:type="character" w:customStyle="1" w:styleId="CharSubPartNoCASA">
    <w:name w:val="CharSubPartNo(CASA)"/>
    <w:basedOn w:val="OPCCharBase"/>
    <w:uiPriority w:val="1"/>
    <w:rsid w:val="00916873"/>
  </w:style>
  <w:style w:type="paragraph" w:customStyle="1" w:styleId="ENoteTTIndentHeadingSub">
    <w:name w:val="ENoteTTIndentHeadingSub"/>
    <w:aliases w:val="enTTHis"/>
    <w:basedOn w:val="OPCParaBase"/>
    <w:rsid w:val="0091687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1687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1687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1687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1687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D566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168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16873"/>
    <w:rPr>
      <w:sz w:val="22"/>
    </w:rPr>
  </w:style>
  <w:style w:type="paragraph" w:customStyle="1" w:styleId="SOTextNote">
    <w:name w:val="SO TextNote"/>
    <w:aliases w:val="sont"/>
    <w:basedOn w:val="SOText"/>
    <w:qFormat/>
    <w:rsid w:val="0091687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1687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16873"/>
    <w:rPr>
      <w:sz w:val="22"/>
    </w:rPr>
  </w:style>
  <w:style w:type="paragraph" w:customStyle="1" w:styleId="FileName">
    <w:name w:val="FileName"/>
    <w:basedOn w:val="Normal"/>
    <w:rsid w:val="00916873"/>
  </w:style>
  <w:style w:type="paragraph" w:customStyle="1" w:styleId="TableHeading">
    <w:name w:val="TableHeading"/>
    <w:aliases w:val="th"/>
    <w:basedOn w:val="OPCParaBase"/>
    <w:next w:val="Tabletext"/>
    <w:rsid w:val="0091687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1687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1687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1687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1687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1687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1687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1687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1687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168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1687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1687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D566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D566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D5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66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66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66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66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66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6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66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687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6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6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6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6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6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6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6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6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6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16873"/>
  </w:style>
  <w:style w:type="paragraph" w:customStyle="1" w:styleId="OPCParaBase">
    <w:name w:val="OPCParaBase"/>
    <w:qFormat/>
    <w:rsid w:val="0091687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1687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1687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1687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1687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1687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1687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1687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1687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1687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1687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16873"/>
  </w:style>
  <w:style w:type="paragraph" w:customStyle="1" w:styleId="Blocks">
    <w:name w:val="Blocks"/>
    <w:aliases w:val="bb"/>
    <w:basedOn w:val="OPCParaBase"/>
    <w:qFormat/>
    <w:rsid w:val="0091687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168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1687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16873"/>
    <w:rPr>
      <w:i/>
    </w:rPr>
  </w:style>
  <w:style w:type="paragraph" w:customStyle="1" w:styleId="BoxList">
    <w:name w:val="BoxList"/>
    <w:aliases w:val="bl"/>
    <w:basedOn w:val="BoxText"/>
    <w:qFormat/>
    <w:rsid w:val="0091687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1687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1687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16873"/>
    <w:pPr>
      <w:ind w:left="1985" w:hanging="851"/>
    </w:pPr>
  </w:style>
  <w:style w:type="character" w:customStyle="1" w:styleId="CharAmPartNo">
    <w:name w:val="CharAmPartNo"/>
    <w:basedOn w:val="OPCCharBase"/>
    <w:qFormat/>
    <w:rsid w:val="00916873"/>
  </w:style>
  <w:style w:type="character" w:customStyle="1" w:styleId="CharAmPartText">
    <w:name w:val="CharAmPartText"/>
    <w:basedOn w:val="OPCCharBase"/>
    <w:qFormat/>
    <w:rsid w:val="00916873"/>
  </w:style>
  <w:style w:type="character" w:customStyle="1" w:styleId="CharAmSchNo">
    <w:name w:val="CharAmSchNo"/>
    <w:basedOn w:val="OPCCharBase"/>
    <w:qFormat/>
    <w:rsid w:val="00916873"/>
  </w:style>
  <w:style w:type="character" w:customStyle="1" w:styleId="CharAmSchText">
    <w:name w:val="CharAmSchText"/>
    <w:basedOn w:val="OPCCharBase"/>
    <w:qFormat/>
    <w:rsid w:val="00916873"/>
  </w:style>
  <w:style w:type="character" w:customStyle="1" w:styleId="CharBoldItalic">
    <w:name w:val="CharBoldItalic"/>
    <w:basedOn w:val="OPCCharBase"/>
    <w:uiPriority w:val="1"/>
    <w:qFormat/>
    <w:rsid w:val="00916873"/>
    <w:rPr>
      <w:b/>
      <w:i/>
    </w:rPr>
  </w:style>
  <w:style w:type="character" w:customStyle="1" w:styleId="CharChapNo">
    <w:name w:val="CharChapNo"/>
    <w:basedOn w:val="OPCCharBase"/>
    <w:uiPriority w:val="1"/>
    <w:qFormat/>
    <w:rsid w:val="00916873"/>
  </w:style>
  <w:style w:type="character" w:customStyle="1" w:styleId="CharChapText">
    <w:name w:val="CharChapText"/>
    <w:basedOn w:val="OPCCharBase"/>
    <w:uiPriority w:val="1"/>
    <w:qFormat/>
    <w:rsid w:val="00916873"/>
  </w:style>
  <w:style w:type="character" w:customStyle="1" w:styleId="CharDivNo">
    <w:name w:val="CharDivNo"/>
    <w:basedOn w:val="OPCCharBase"/>
    <w:uiPriority w:val="1"/>
    <w:qFormat/>
    <w:rsid w:val="00916873"/>
  </w:style>
  <w:style w:type="character" w:customStyle="1" w:styleId="CharDivText">
    <w:name w:val="CharDivText"/>
    <w:basedOn w:val="OPCCharBase"/>
    <w:uiPriority w:val="1"/>
    <w:qFormat/>
    <w:rsid w:val="00916873"/>
  </w:style>
  <w:style w:type="character" w:customStyle="1" w:styleId="CharItalic">
    <w:name w:val="CharItalic"/>
    <w:basedOn w:val="OPCCharBase"/>
    <w:uiPriority w:val="1"/>
    <w:qFormat/>
    <w:rsid w:val="00916873"/>
    <w:rPr>
      <w:i/>
    </w:rPr>
  </w:style>
  <w:style w:type="character" w:customStyle="1" w:styleId="CharPartNo">
    <w:name w:val="CharPartNo"/>
    <w:basedOn w:val="OPCCharBase"/>
    <w:uiPriority w:val="1"/>
    <w:qFormat/>
    <w:rsid w:val="00916873"/>
  </w:style>
  <w:style w:type="character" w:customStyle="1" w:styleId="CharPartText">
    <w:name w:val="CharPartText"/>
    <w:basedOn w:val="OPCCharBase"/>
    <w:uiPriority w:val="1"/>
    <w:qFormat/>
    <w:rsid w:val="00916873"/>
  </w:style>
  <w:style w:type="character" w:customStyle="1" w:styleId="CharSectno">
    <w:name w:val="CharSectno"/>
    <w:basedOn w:val="OPCCharBase"/>
    <w:qFormat/>
    <w:rsid w:val="00916873"/>
  </w:style>
  <w:style w:type="character" w:customStyle="1" w:styleId="CharSubdNo">
    <w:name w:val="CharSubdNo"/>
    <w:basedOn w:val="OPCCharBase"/>
    <w:uiPriority w:val="1"/>
    <w:qFormat/>
    <w:rsid w:val="00916873"/>
  </w:style>
  <w:style w:type="character" w:customStyle="1" w:styleId="CharSubdText">
    <w:name w:val="CharSubdText"/>
    <w:basedOn w:val="OPCCharBase"/>
    <w:uiPriority w:val="1"/>
    <w:qFormat/>
    <w:rsid w:val="00916873"/>
  </w:style>
  <w:style w:type="paragraph" w:customStyle="1" w:styleId="CTA--">
    <w:name w:val="CTA --"/>
    <w:basedOn w:val="OPCParaBase"/>
    <w:next w:val="Normal"/>
    <w:rsid w:val="0091687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1687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1687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1687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1687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1687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1687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1687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1687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1687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1687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1687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1687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1687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1687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1687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168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1687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168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168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1687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1687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1687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1687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1687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1687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1687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1687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1687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1687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1687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1687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1687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1687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1687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1687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1687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1687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1687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1687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1687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1687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1687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1687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1687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1687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1687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1687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1687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1687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1687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168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1687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1687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1687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1687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91687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1687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16873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1687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16873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916873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16873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16873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1687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1687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1687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1687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1687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1687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1687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1687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16873"/>
    <w:rPr>
      <w:sz w:val="16"/>
    </w:rPr>
  </w:style>
  <w:style w:type="table" w:customStyle="1" w:styleId="CFlag">
    <w:name w:val="CFlag"/>
    <w:basedOn w:val="TableNormal"/>
    <w:uiPriority w:val="99"/>
    <w:rsid w:val="0091687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9168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916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16873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91687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1687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1687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1687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16873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91687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1687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1687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916873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9168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168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168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168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91687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1687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1687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1687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1687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1687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91687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1687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16873"/>
  </w:style>
  <w:style w:type="character" w:customStyle="1" w:styleId="CharSubPartNoCASA">
    <w:name w:val="CharSubPartNo(CASA)"/>
    <w:basedOn w:val="OPCCharBase"/>
    <w:uiPriority w:val="1"/>
    <w:rsid w:val="00916873"/>
  </w:style>
  <w:style w:type="paragraph" w:customStyle="1" w:styleId="ENoteTTIndentHeadingSub">
    <w:name w:val="ENoteTTIndentHeadingSub"/>
    <w:aliases w:val="enTTHis"/>
    <w:basedOn w:val="OPCParaBase"/>
    <w:rsid w:val="0091687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1687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1687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1687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1687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D566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168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16873"/>
    <w:rPr>
      <w:sz w:val="22"/>
    </w:rPr>
  </w:style>
  <w:style w:type="paragraph" w:customStyle="1" w:styleId="SOTextNote">
    <w:name w:val="SO TextNote"/>
    <w:aliases w:val="sont"/>
    <w:basedOn w:val="SOText"/>
    <w:qFormat/>
    <w:rsid w:val="0091687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1687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16873"/>
    <w:rPr>
      <w:sz w:val="22"/>
    </w:rPr>
  </w:style>
  <w:style w:type="paragraph" w:customStyle="1" w:styleId="FileName">
    <w:name w:val="FileName"/>
    <w:basedOn w:val="Normal"/>
    <w:rsid w:val="00916873"/>
  </w:style>
  <w:style w:type="paragraph" w:customStyle="1" w:styleId="TableHeading">
    <w:name w:val="TableHeading"/>
    <w:aliases w:val="th"/>
    <w:basedOn w:val="OPCParaBase"/>
    <w:next w:val="Tabletext"/>
    <w:rsid w:val="0091687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1687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1687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1687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1687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1687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1687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1687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1687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168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1687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1687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D566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D566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D5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66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66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66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66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66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6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66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9</Pages>
  <Words>1034</Words>
  <Characters>5899</Characters>
  <Application>Microsoft Office Word</Application>
  <DocSecurity>4</DocSecurity>
  <PresentationFormat/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2016-08-19T01:51:00Z</cp:lastPrinted>
  <dcterms:created xsi:type="dcterms:W3CDTF">2016-10-27T23:15:00Z</dcterms:created>
  <dcterms:modified xsi:type="dcterms:W3CDTF">2016-10-27T23:15:00Z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2016</vt:lpwstr>
  </property>
  <property fmtid="{D5CDD505-2E9C-101B-9397-08002B2CF9AE}" pid="3" name="ShortT">
    <vt:lpwstr>Therapeutic Goods and Other Legislation Amendment (Narcotic Drugs) Regulation 2016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No</vt:lpwstr>
  </property>
  <property fmtid="{D5CDD505-2E9C-101B-9397-08002B2CF9AE}" pid="9" name="DateMade">
    <vt:lpwstr>27 October 2016</vt:lpwstr>
  </property>
  <property fmtid="{D5CDD505-2E9C-101B-9397-08002B2CF9AE}" pid="10" name="Authority">
    <vt:lpwstr/>
  </property>
  <property fmtid="{D5CDD505-2E9C-101B-9397-08002B2CF9AE}" pid="11" name="ID">
    <vt:lpwstr>OPC62133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Therapeutic Goods Act 1989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B</vt:lpwstr>
  </property>
  <property fmtid="{D5CDD505-2E9C-101B-9397-08002B2CF9AE}" pid="19" name="CounterSign">
    <vt:lpwstr/>
  </property>
  <property fmtid="{D5CDD505-2E9C-101B-9397-08002B2CF9AE}" pid="20" name="ExcoDate">
    <vt:lpwstr>27 October 2016</vt:lpwstr>
  </property>
</Properties>
</file>