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A479D" w:rsidRDefault="00193461" w:rsidP="00C63713">
      <w:pPr>
        <w:rPr>
          <w:sz w:val="28"/>
        </w:rPr>
      </w:pPr>
      <w:r w:rsidRPr="004A479D">
        <w:rPr>
          <w:noProof/>
          <w:lang w:eastAsia="en-AU"/>
        </w:rPr>
        <w:drawing>
          <wp:inline distT="0" distB="0" distL="0" distR="0" wp14:anchorId="51A8CB8A" wp14:editId="53955415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A479D" w:rsidRDefault="0048364F" w:rsidP="0048364F">
      <w:pPr>
        <w:rPr>
          <w:sz w:val="19"/>
        </w:rPr>
      </w:pPr>
    </w:p>
    <w:p w:rsidR="0048364F" w:rsidRPr="004A479D" w:rsidRDefault="00FF02F0" w:rsidP="0048364F">
      <w:pPr>
        <w:pStyle w:val="ShortT"/>
      </w:pPr>
      <w:r w:rsidRPr="004A479D">
        <w:t>Financial Services</w:t>
      </w:r>
      <w:r w:rsidR="00B85FBE" w:rsidRPr="004A479D">
        <w:t xml:space="preserve"> Legislation</w:t>
      </w:r>
      <w:r w:rsidR="00456FD1" w:rsidRPr="004A479D">
        <w:t xml:space="preserve"> Amendment (</w:t>
      </w:r>
      <w:r w:rsidR="003B4C69" w:rsidRPr="004A479D">
        <w:t>Wholesale Margining</w:t>
      </w:r>
      <w:r w:rsidR="00456FD1" w:rsidRPr="004A479D">
        <w:t>) Regulation</w:t>
      </w:r>
      <w:r w:rsidR="004A479D" w:rsidRPr="004A479D">
        <w:t> </w:t>
      </w:r>
      <w:r w:rsidR="00456FD1" w:rsidRPr="004A479D">
        <w:t>2016</w:t>
      </w:r>
    </w:p>
    <w:p w:rsidR="00492E2E" w:rsidRPr="004A479D" w:rsidRDefault="00492E2E" w:rsidP="00F94213">
      <w:pPr>
        <w:pStyle w:val="SignCoverPageStart"/>
        <w:spacing w:before="240"/>
        <w:rPr>
          <w:szCs w:val="22"/>
        </w:rPr>
      </w:pPr>
      <w:r w:rsidRPr="004A479D">
        <w:rPr>
          <w:szCs w:val="22"/>
        </w:rPr>
        <w:t xml:space="preserve">I, General the Honourable Sir Peter Cosgrove AK MC (Ret’d), </w:t>
      </w:r>
      <w:r w:rsidR="004A479D" w:rsidRPr="004A479D">
        <w:rPr>
          <w:szCs w:val="22"/>
        </w:rPr>
        <w:t>Governor</w:t>
      </w:r>
      <w:r w:rsidR="004A479D">
        <w:rPr>
          <w:szCs w:val="22"/>
        </w:rPr>
        <w:noBreakHyphen/>
      </w:r>
      <w:r w:rsidR="004A479D" w:rsidRPr="004A479D">
        <w:rPr>
          <w:szCs w:val="22"/>
        </w:rPr>
        <w:t>General</w:t>
      </w:r>
      <w:r w:rsidRPr="004A479D">
        <w:rPr>
          <w:szCs w:val="22"/>
        </w:rPr>
        <w:t xml:space="preserve"> of the Commonwealth of Australia, acting with the advice of the Federal Executive Council, make the following regulation.</w:t>
      </w:r>
    </w:p>
    <w:p w:rsidR="00492E2E" w:rsidRPr="004A479D" w:rsidRDefault="00492E2E" w:rsidP="00F94213">
      <w:pPr>
        <w:keepNext/>
        <w:spacing w:before="720" w:line="240" w:lineRule="atLeast"/>
        <w:ind w:right="397"/>
        <w:jc w:val="both"/>
        <w:rPr>
          <w:szCs w:val="22"/>
        </w:rPr>
      </w:pPr>
      <w:r w:rsidRPr="004A479D">
        <w:rPr>
          <w:szCs w:val="22"/>
        </w:rPr>
        <w:t xml:space="preserve">Dated </w:t>
      </w:r>
      <w:bookmarkStart w:id="0" w:name="BKCheck15B_1"/>
      <w:bookmarkEnd w:id="0"/>
      <w:r w:rsidRPr="004A479D">
        <w:rPr>
          <w:szCs w:val="22"/>
        </w:rPr>
        <w:fldChar w:fldCharType="begin"/>
      </w:r>
      <w:r w:rsidRPr="004A479D">
        <w:rPr>
          <w:szCs w:val="22"/>
        </w:rPr>
        <w:instrText xml:space="preserve"> DOCPROPERTY  DateMade </w:instrText>
      </w:r>
      <w:r w:rsidRPr="004A479D">
        <w:rPr>
          <w:szCs w:val="22"/>
        </w:rPr>
        <w:fldChar w:fldCharType="separate"/>
      </w:r>
      <w:r w:rsidR="004E0689">
        <w:rPr>
          <w:szCs w:val="22"/>
        </w:rPr>
        <w:t>27 October 2016</w:t>
      </w:r>
      <w:r w:rsidRPr="004A479D">
        <w:rPr>
          <w:szCs w:val="22"/>
        </w:rPr>
        <w:fldChar w:fldCharType="end"/>
      </w:r>
    </w:p>
    <w:p w:rsidR="00492E2E" w:rsidRPr="004A479D" w:rsidRDefault="00492E2E" w:rsidP="00F9421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A479D">
        <w:rPr>
          <w:szCs w:val="22"/>
        </w:rPr>
        <w:t>Peter Cosgrove</w:t>
      </w:r>
    </w:p>
    <w:p w:rsidR="00492E2E" w:rsidRPr="004A479D" w:rsidRDefault="004A479D" w:rsidP="00F9421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A479D">
        <w:rPr>
          <w:szCs w:val="22"/>
        </w:rPr>
        <w:t>Governor</w:t>
      </w:r>
      <w:r>
        <w:rPr>
          <w:szCs w:val="22"/>
        </w:rPr>
        <w:noBreakHyphen/>
      </w:r>
      <w:r w:rsidRPr="004A479D">
        <w:rPr>
          <w:szCs w:val="22"/>
        </w:rPr>
        <w:t>General</w:t>
      </w:r>
    </w:p>
    <w:p w:rsidR="00492E2E" w:rsidRPr="004A479D" w:rsidRDefault="00492E2E" w:rsidP="00F9421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A479D">
        <w:rPr>
          <w:szCs w:val="22"/>
        </w:rPr>
        <w:t>By His Excellency’s Command</w:t>
      </w:r>
    </w:p>
    <w:p w:rsidR="00492E2E" w:rsidRPr="004A479D" w:rsidRDefault="00492E2E" w:rsidP="00F9421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A479D">
        <w:rPr>
          <w:szCs w:val="22"/>
        </w:rPr>
        <w:t>Kelly O’Dwyer</w:t>
      </w:r>
    </w:p>
    <w:p w:rsidR="00492E2E" w:rsidRPr="004A479D" w:rsidRDefault="00492E2E" w:rsidP="00F94213">
      <w:pPr>
        <w:pStyle w:val="SignCoverPageEnd"/>
        <w:rPr>
          <w:szCs w:val="22"/>
        </w:rPr>
      </w:pPr>
      <w:r w:rsidRPr="004A479D">
        <w:rPr>
          <w:szCs w:val="22"/>
        </w:rPr>
        <w:t>Minister for Revenue and Financial Services</w:t>
      </w:r>
    </w:p>
    <w:p w:rsidR="00492E2E" w:rsidRPr="004A479D" w:rsidRDefault="00492E2E" w:rsidP="00F94213"/>
    <w:p w:rsidR="00492E2E" w:rsidRPr="004A479D" w:rsidRDefault="00492E2E" w:rsidP="00F94213"/>
    <w:p w:rsidR="00492E2E" w:rsidRPr="004A479D" w:rsidRDefault="00492E2E" w:rsidP="00F94213"/>
    <w:p w:rsidR="00492E2E" w:rsidRPr="004A479D" w:rsidRDefault="00492E2E" w:rsidP="00492E2E"/>
    <w:p w:rsidR="0048364F" w:rsidRPr="004A479D" w:rsidRDefault="0048364F" w:rsidP="0048364F">
      <w:pPr>
        <w:pStyle w:val="Header"/>
        <w:tabs>
          <w:tab w:val="clear" w:pos="4150"/>
          <w:tab w:val="clear" w:pos="8307"/>
        </w:tabs>
      </w:pPr>
      <w:r w:rsidRPr="004A479D">
        <w:rPr>
          <w:rStyle w:val="CharAmSchNo"/>
        </w:rPr>
        <w:t xml:space="preserve"> </w:t>
      </w:r>
      <w:r w:rsidRPr="004A479D">
        <w:rPr>
          <w:rStyle w:val="CharAmSchText"/>
        </w:rPr>
        <w:t xml:space="preserve"> </w:t>
      </w:r>
    </w:p>
    <w:p w:rsidR="0048364F" w:rsidRPr="004A479D" w:rsidRDefault="0048364F" w:rsidP="0048364F">
      <w:pPr>
        <w:pStyle w:val="Header"/>
        <w:tabs>
          <w:tab w:val="clear" w:pos="4150"/>
          <w:tab w:val="clear" w:pos="8307"/>
        </w:tabs>
      </w:pPr>
      <w:r w:rsidRPr="004A479D">
        <w:rPr>
          <w:rStyle w:val="CharAmPartNo"/>
        </w:rPr>
        <w:t xml:space="preserve"> </w:t>
      </w:r>
      <w:r w:rsidRPr="004A479D">
        <w:rPr>
          <w:rStyle w:val="CharAmPartText"/>
        </w:rPr>
        <w:t xml:space="preserve"> </w:t>
      </w:r>
    </w:p>
    <w:p w:rsidR="0048364F" w:rsidRPr="004A479D" w:rsidRDefault="0048364F" w:rsidP="0048364F">
      <w:pPr>
        <w:sectPr w:rsidR="0048364F" w:rsidRPr="004A479D" w:rsidSect="00E62BE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4A479D" w:rsidRDefault="0048364F" w:rsidP="00D468A7">
      <w:pPr>
        <w:rPr>
          <w:sz w:val="36"/>
        </w:rPr>
      </w:pPr>
      <w:r w:rsidRPr="004A479D">
        <w:rPr>
          <w:sz w:val="36"/>
        </w:rPr>
        <w:lastRenderedPageBreak/>
        <w:t>Contents</w:t>
      </w:r>
    </w:p>
    <w:bookmarkStart w:id="1" w:name="BKCheck15B_2"/>
    <w:bookmarkEnd w:id="1"/>
    <w:p w:rsidR="00216EE0" w:rsidRPr="004A479D" w:rsidRDefault="00216E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479D">
        <w:fldChar w:fldCharType="begin"/>
      </w:r>
      <w:r w:rsidRPr="004A479D">
        <w:instrText xml:space="preserve"> TOC \o "1-9" </w:instrText>
      </w:r>
      <w:r w:rsidRPr="004A479D">
        <w:fldChar w:fldCharType="separate"/>
      </w:r>
      <w:r w:rsidRPr="004A479D">
        <w:rPr>
          <w:noProof/>
        </w:rPr>
        <w:t>1</w:t>
      </w:r>
      <w:r w:rsidRPr="004A479D">
        <w:rPr>
          <w:noProof/>
        </w:rPr>
        <w:tab/>
        <w:t>Name</w:t>
      </w:r>
      <w:r w:rsidRPr="004A479D">
        <w:rPr>
          <w:noProof/>
        </w:rPr>
        <w:tab/>
      </w:r>
      <w:r w:rsidRPr="004A479D">
        <w:rPr>
          <w:noProof/>
        </w:rPr>
        <w:fldChar w:fldCharType="begin"/>
      </w:r>
      <w:r w:rsidRPr="004A479D">
        <w:rPr>
          <w:noProof/>
        </w:rPr>
        <w:instrText xml:space="preserve"> PAGEREF _Toc460494731 \h </w:instrText>
      </w:r>
      <w:r w:rsidRPr="004A479D">
        <w:rPr>
          <w:noProof/>
        </w:rPr>
      </w:r>
      <w:r w:rsidRPr="004A479D">
        <w:rPr>
          <w:noProof/>
        </w:rPr>
        <w:fldChar w:fldCharType="separate"/>
      </w:r>
      <w:r w:rsidR="004E0689">
        <w:rPr>
          <w:noProof/>
        </w:rPr>
        <w:t>1</w:t>
      </w:r>
      <w:r w:rsidRPr="004A479D">
        <w:rPr>
          <w:noProof/>
        </w:rPr>
        <w:fldChar w:fldCharType="end"/>
      </w:r>
    </w:p>
    <w:p w:rsidR="00216EE0" w:rsidRPr="004A479D" w:rsidRDefault="00216E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479D">
        <w:rPr>
          <w:noProof/>
        </w:rPr>
        <w:t>2</w:t>
      </w:r>
      <w:r w:rsidRPr="004A479D">
        <w:rPr>
          <w:noProof/>
        </w:rPr>
        <w:tab/>
        <w:t>Commencement</w:t>
      </w:r>
      <w:r w:rsidRPr="004A479D">
        <w:rPr>
          <w:noProof/>
        </w:rPr>
        <w:tab/>
      </w:r>
      <w:r w:rsidRPr="004A479D">
        <w:rPr>
          <w:noProof/>
        </w:rPr>
        <w:fldChar w:fldCharType="begin"/>
      </w:r>
      <w:r w:rsidRPr="004A479D">
        <w:rPr>
          <w:noProof/>
        </w:rPr>
        <w:instrText xml:space="preserve"> PAGEREF _Toc460494732 \h </w:instrText>
      </w:r>
      <w:r w:rsidRPr="004A479D">
        <w:rPr>
          <w:noProof/>
        </w:rPr>
      </w:r>
      <w:r w:rsidRPr="004A479D">
        <w:rPr>
          <w:noProof/>
        </w:rPr>
        <w:fldChar w:fldCharType="separate"/>
      </w:r>
      <w:r w:rsidR="004E0689">
        <w:rPr>
          <w:noProof/>
        </w:rPr>
        <w:t>1</w:t>
      </w:r>
      <w:r w:rsidRPr="004A479D">
        <w:rPr>
          <w:noProof/>
        </w:rPr>
        <w:fldChar w:fldCharType="end"/>
      </w:r>
    </w:p>
    <w:p w:rsidR="00216EE0" w:rsidRPr="004A479D" w:rsidRDefault="00216E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479D">
        <w:rPr>
          <w:noProof/>
        </w:rPr>
        <w:t>3</w:t>
      </w:r>
      <w:r w:rsidRPr="004A479D">
        <w:rPr>
          <w:noProof/>
        </w:rPr>
        <w:tab/>
        <w:t>Authority</w:t>
      </w:r>
      <w:r w:rsidRPr="004A479D">
        <w:rPr>
          <w:noProof/>
        </w:rPr>
        <w:tab/>
      </w:r>
      <w:r w:rsidRPr="004A479D">
        <w:rPr>
          <w:noProof/>
        </w:rPr>
        <w:fldChar w:fldCharType="begin"/>
      </w:r>
      <w:r w:rsidRPr="004A479D">
        <w:rPr>
          <w:noProof/>
        </w:rPr>
        <w:instrText xml:space="preserve"> PAGEREF _Toc460494733 \h </w:instrText>
      </w:r>
      <w:r w:rsidRPr="004A479D">
        <w:rPr>
          <w:noProof/>
        </w:rPr>
      </w:r>
      <w:r w:rsidRPr="004A479D">
        <w:rPr>
          <w:noProof/>
        </w:rPr>
        <w:fldChar w:fldCharType="separate"/>
      </w:r>
      <w:r w:rsidR="004E0689">
        <w:rPr>
          <w:noProof/>
        </w:rPr>
        <w:t>1</w:t>
      </w:r>
      <w:r w:rsidRPr="004A479D">
        <w:rPr>
          <w:noProof/>
        </w:rPr>
        <w:fldChar w:fldCharType="end"/>
      </w:r>
    </w:p>
    <w:p w:rsidR="00216EE0" w:rsidRPr="004A479D" w:rsidRDefault="00216EE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A479D">
        <w:rPr>
          <w:noProof/>
        </w:rPr>
        <w:t>4</w:t>
      </w:r>
      <w:r w:rsidRPr="004A479D">
        <w:rPr>
          <w:noProof/>
        </w:rPr>
        <w:tab/>
        <w:t>Schedules</w:t>
      </w:r>
      <w:r w:rsidRPr="004A479D">
        <w:rPr>
          <w:noProof/>
        </w:rPr>
        <w:tab/>
      </w:r>
      <w:r w:rsidRPr="004A479D">
        <w:rPr>
          <w:noProof/>
        </w:rPr>
        <w:fldChar w:fldCharType="begin"/>
      </w:r>
      <w:r w:rsidRPr="004A479D">
        <w:rPr>
          <w:noProof/>
        </w:rPr>
        <w:instrText xml:space="preserve"> PAGEREF _Toc460494734 \h </w:instrText>
      </w:r>
      <w:r w:rsidRPr="004A479D">
        <w:rPr>
          <w:noProof/>
        </w:rPr>
      </w:r>
      <w:r w:rsidRPr="004A479D">
        <w:rPr>
          <w:noProof/>
        </w:rPr>
        <w:fldChar w:fldCharType="separate"/>
      </w:r>
      <w:r w:rsidR="004E0689">
        <w:rPr>
          <w:noProof/>
        </w:rPr>
        <w:t>1</w:t>
      </w:r>
      <w:r w:rsidRPr="004A479D">
        <w:rPr>
          <w:noProof/>
        </w:rPr>
        <w:fldChar w:fldCharType="end"/>
      </w:r>
    </w:p>
    <w:p w:rsidR="00216EE0" w:rsidRPr="004A479D" w:rsidRDefault="00216EE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A479D">
        <w:rPr>
          <w:noProof/>
        </w:rPr>
        <w:t>Schedule</w:t>
      </w:r>
      <w:r w:rsidR="004A479D" w:rsidRPr="004A479D">
        <w:rPr>
          <w:noProof/>
        </w:rPr>
        <w:t> </w:t>
      </w:r>
      <w:r w:rsidRPr="004A479D">
        <w:rPr>
          <w:noProof/>
        </w:rPr>
        <w:t>1—Corporations Regulations</w:t>
      </w:r>
      <w:r w:rsidR="004A479D" w:rsidRPr="004A479D">
        <w:rPr>
          <w:noProof/>
        </w:rPr>
        <w:t> </w:t>
      </w:r>
      <w:r w:rsidRPr="004A479D">
        <w:rPr>
          <w:noProof/>
        </w:rPr>
        <w:t>2001</w:t>
      </w:r>
      <w:r w:rsidRPr="004A479D">
        <w:rPr>
          <w:b w:val="0"/>
          <w:noProof/>
          <w:sz w:val="18"/>
        </w:rPr>
        <w:tab/>
      </w:r>
      <w:r w:rsidRPr="004A479D">
        <w:rPr>
          <w:b w:val="0"/>
          <w:noProof/>
          <w:sz w:val="18"/>
        </w:rPr>
        <w:fldChar w:fldCharType="begin"/>
      </w:r>
      <w:r w:rsidRPr="004A479D">
        <w:rPr>
          <w:b w:val="0"/>
          <w:noProof/>
          <w:sz w:val="18"/>
        </w:rPr>
        <w:instrText xml:space="preserve"> PAGEREF _Toc460494735 \h </w:instrText>
      </w:r>
      <w:r w:rsidRPr="004A479D">
        <w:rPr>
          <w:b w:val="0"/>
          <w:noProof/>
          <w:sz w:val="18"/>
        </w:rPr>
      </w:r>
      <w:r w:rsidRPr="004A479D">
        <w:rPr>
          <w:b w:val="0"/>
          <w:noProof/>
          <w:sz w:val="18"/>
        </w:rPr>
        <w:fldChar w:fldCharType="separate"/>
      </w:r>
      <w:r w:rsidR="004E0689">
        <w:rPr>
          <w:b w:val="0"/>
          <w:noProof/>
          <w:sz w:val="18"/>
        </w:rPr>
        <w:t>2</w:t>
      </w:r>
      <w:r w:rsidRPr="004A479D">
        <w:rPr>
          <w:b w:val="0"/>
          <w:noProof/>
          <w:sz w:val="18"/>
        </w:rPr>
        <w:fldChar w:fldCharType="end"/>
      </w:r>
    </w:p>
    <w:p w:rsidR="00216EE0" w:rsidRPr="004A479D" w:rsidRDefault="00216E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A479D">
        <w:rPr>
          <w:noProof/>
        </w:rPr>
        <w:t>Corporations Regulations</w:t>
      </w:r>
      <w:r w:rsidR="004A479D" w:rsidRPr="004A479D">
        <w:rPr>
          <w:noProof/>
        </w:rPr>
        <w:t> </w:t>
      </w:r>
      <w:r w:rsidRPr="004A479D">
        <w:rPr>
          <w:noProof/>
        </w:rPr>
        <w:t>2001</w:t>
      </w:r>
      <w:r w:rsidRPr="004A479D">
        <w:rPr>
          <w:i w:val="0"/>
          <w:noProof/>
          <w:sz w:val="18"/>
        </w:rPr>
        <w:tab/>
      </w:r>
      <w:r w:rsidRPr="004A479D">
        <w:rPr>
          <w:i w:val="0"/>
          <w:noProof/>
          <w:sz w:val="18"/>
        </w:rPr>
        <w:fldChar w:fldCharType="begin"/>
      </w:r>
      <w:r w:rsidRPr="004A479D">
        <w:rPr>
          <w:i w:val="0"/>
          <w:noProof/>
          <w:sz w:val="18"/>
        </w:rPr>
        <w:instrText xml:space="preserve"> PAGEREF _Toc460494736 \h </w:instrText>
      </w:r>
      <w:r w:rsidRPr="004A479D">
        <w:rPr>
          <w:i w:val="0"/>
          <w:noProof/>
          <w:sz w:val="18"/>
        </w:rPr>
      </w:r>
      <w:r w:rsidRPr="004A479D">
        <w:rPr>
          <w:i w:val="0"/>
          <w:noProof/>
          <w:sz w:val="18"/>
        </w:rPr>
        <w:fldChar w:fldCharType="separate"/>
      </w:r>
      <w:r w:rsidR="004E0689">
        <w:rPr>
          <w:i w:val="0"/>
          <w:noProof/>
          <w:sz w:val="18"/>
        </w:rPr>
        <w:t>2</w:t>
      </w:r>
      <w:r w:rsidRPr="004A479D">
        <w:rPr>
          <w:i w:val="0"/>
          <w:noProof/>
          <w:sz w:val="18"/>
        </w:rPr>
        <w:fldChar w:fldCharType="end"/>
      </w:r>
    </w:p>
    <w:p w:rsidR="00216EE0" w:rsidRPr="004A479D" w:rsidRDefault="00216EE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A479D">
        <w:rPr>
          <w:noProof/>
        </w:rPr>
        <w:t>Schedule</w:t>
      </w:r>
      <w:r w:rsidR="004A479D" w:rsidRPr="004A479D">
        <w:rPr>
          <w:noProof/>
        </w:rPr>
        <w:t> </w:t>
      </w:r>
      <w:r w:rsidRPr="004A479D">
        <w:rPr>
          <w:noProof/>
        </w:rPr>
        <w:t>2—Life Insurance Regulations</w:t>
      </w:r>
      <w:r w:rsidR="004A479D" w:rsidRPr="004A479D">
        <w:rPr>
          <w:noProof/>
        </w:rPr>
        <w:t> </w:t>
      </w:r>
      <w:r w:rsidRPr="004A479D">
        <w:rPr>
          <w:noProof/>
        </w:rPr>
        <w:t>1995</w:t>
      </w:r>
      <w:r w:rsidRPr="004A479D">
        <w:rPr>
          <w:b w:val="0"/>
          <w:noProof/>
          <w:sz w:val="18"/>
        </w:rPr>
        <w:tab/>
      </w:r>
      <w:r w:rsidRPr="004A479D">
        <w:rPr>
          <w:b w:val="0"/>
          <w:noProof/>
          <w:sz w:val="18"/>
        </w:rPr>
        <w:fldChar w:fldCharType="begin"/>
      </w:r>
      <w:r w:rsidRPr="004A479D">
        <w:rPr>
          <w:b w:val="0"/>
          <w:noProof/>
          <w:sz w:val="18"/>
        </w:rPr>
        <w:instrText xml:space="preserve"> PAGEREF _Toc460494741 \h </w:instrText>
      </w:r>
      <w:r w:rsidRPr="004A479D">
        <w:rPr>
          <w:b w:val="0"/>
          <w:noProof/>
          <w:sz w:val="18"/>
        </w:rPr>
      </w:r>
      <w:r w:rsidRPr="004A479D">
        <w:rPr>
          <w:b w:val="0"/>
          <w:noProof/>
          <w:sz w:val="18"/>
        </w:rPr>
        <w:fldChar w:fldCharType="separate"/>
      </w:r>
      <w:r w:rsidR="004E0689">
        <w:rPr>
          <w:b w:val="0"/>
          <w:noProof/>
          <w:sz w:val="18"/>
        </w:rPr>
        <w:t>4</w:t>
      </w:r>
      <w:r w:rsidRPr="004A479D">
        <w:rPr>
          <w:b w:val="0"/>
          <w:noProof/>
          <w:sz w:val="18"/>
        </w:rPr>
        <w:fldChar w:fldCharType="end"/>
      </w:r>
    </w:p>
    <w:p w:rsidR="00216EE0" w:rsidRPr="004A479D" w:rsidRDefault="00216E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A479D">
        <w:rPr>
          <w:noProof/>
        </w:rPr>
        <w:t>Life Insurance Regulations</w:t>
      </w:r>
      <w:r w:rsidR="004A479D" w:rsidRPr="004A479D">
        <w:rPr>
          <w:noProof/>
        </w:rPr>
        <w:t> </w:t>
      </w:r>
      <w:r w:rsidRPr="004A479D">
        <w:rPr>
          <w:noProof/>
        </w:rPr>
        <w:t>1995</w:t>
      </w:r>
      <w:r w:rsidRPr="004A479D">
        <w:rPr>
          <w:i w:val="0"/>
          <w:noProof/>
          <w:sz w:val="18"/>
        </w:rPr>
        <w:tab/>
      </w:r>
      <w:r w:rsidRPr="004A479D">
        <w:rPr>
          <w:i w:val="0"/>
          <w:noProof/>
          <w:sz w:val="18"/>
        </w:rPr>
        <w:fldChar w:fldCharType="begin"/>
      </w:r>
      <w:r w:rsidRPr="004A479D">
        <w:rPr>
          <w:i w:val="0"/>
          <w:noProof/>
          <w:sz w:val="18"/>
        </w:rPr>
        <w:instrText xml:space="preserve"> PAGEREF _Toc460494742 \h </w:instrText>
      </w:r>
      <w:r w:rsidRPr="004A479D">
        <w:rPr>
          <w:i w:val="0"/>
          <w:noProof/>
          <w:sz w:val="18"/>
        </w:rPr>
      </w:r>
      <w:r w:rsidRPr="004A479D">
        <w:rPr>
          <w:i w:val="0"/>
          <w:noProof/>
          <w:sz w:val="18"/>
        </w:rPr>
        <w:fldChar w:fldCharType="separate"/>
      </w:r>
      <w:r w:rsidR="004E0689">
        <w:rPr>
          <w:i w:val="0"/>
          <w:noProof/>
          <w:sz w:val="18"/>
        </w:rPr>
        <w:t>4</w:t>
      </w:r>
      <w:r w:rsidRPr="004A479D">
        <w:rPr>
          <w:i w:val="0"/>
          <w:noProof/>
          <w:sz w:val="18"/>
        </w:rPr>
        <w:fldChar w:fldCharType="end"/>
      </w:r>
    </w:p>
    <w:p w:rsidR="00216EE0" w:rsidRPr="004A479D" w:rsidRDefault="00216EE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A479D">
        <w:rPr>
          <w:noProof/>
        </w:rPr>
        <w:t>Schedule</w:t>
      </w:r>
      <w:r w:rsidR="004A479D" w:rsidRPr="004A479D">
        <w:rPr>
          <w:noProof/>
        </w:rPr>
        <w:t> </w:t>
      </w:r>
      <w:r w:rsidRPr="004A479D">
        <w:rPr>
          <w:noProof/>
        </w:rPr>
        <w:t>3—Superannuation Industry (Supervision) Regulations</w:t>
      </w:r>
      <w:r w:rsidR="004A479D" w:rsidRPr="004A479D">
        <w:rPr>
          <w:noProof/>
        </w:rPr>
        <w:t> </w:t>
      </w:r>
      <w:r w:rsidRPr="004A479D">
        <w:rPr>
          <w:noProof/>
        </w:rPr>
        <w:t>1994</w:t>
      </w:r>
      <w:r w:rsidRPr="004A479D">
        <w:rPr>
          <w:b w:val="0"/>
          <w:noProof/>
          <w:sz w:val="18"/>
        </w:rPr>
        <w:tab/>
      </w:r>
      <w:r w:rsidRPr="004A479D">
        <w:rPr>
          <w:b w:val="0"/>
          <w:noProof/>
          <w:sz w:val="18"/>
        </w:rPr>
        <w:fldChar w:fldCharType="begin"/>
      </w:r>
      <w:r w:rsidRPr="004A479D">
        <w:rPr>
          <w:b w:val="0"/>
          <w:noProof/>
          <w:sz w:val="18"/>
        </w:rPr>
        <w:instrText xml:space="preserve"> PAGEREF _Toc460494743 \h </w:instrText>
      </w:r>
      <w:r w:rsidRPr="004A479D">
        <w:rPr>
          <w:b w:val="0"/>
          <w:noProof/>
          <w:sz w:val="18"/>
        </w:rPr>
      </w:r>
      <w:r w:rsidRPr="004A479D">
        <w:rPr>
          <w:b w:val="0"/>
          <w:noProof/>
          <w:sz w:val="18"/>
        </w:rPr>
        <w:fldChar w:fldCharType="separate"/>
      </w:r>
      <w:r w:rsidR="004E0689">
        <w:rPr>
          <w:b w:val="0"/>
          <w:noProof/>
          <w:sz w:val="18"/>
        </w:rPr>
        <w:t>7</w:t>
      </w:r>
      <w:r w:rsidRPr="004A479D">
        <w:rPr>
          <w:b w:val="0"/>
          <w:noProof/>
          <w:sz w:val="18"/>
        </w:rPr>
        <w:fldChar w:fldCharType="end"/>
      </w:r>
    </w:p>
    <w:p w:rsidR="00216EE0" w:rsidRPr="004A479D" w:rsidRDefault="00216EE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A479D">
        <w:rPr>
          <w:noProof/>
        </w:rPr>
        <w:t>Superannuation Industry (Supervision) Regulations</w:t>
      </w:r>
      <w:r w:rsidR="004A479D" w:rsidRPr="004A479D">
        <w:rPr>
          <w:noProof/>
        </w:rPr>
        <w:t> </w:t>
      </w:r>
      <w:r w:rsidRPr="004A479D">
        <w:rPr>
          <w:noProof/>
        </w:rPr>
        <w:t>1994</w:t>
      </w:r>
      <w:r w:rsidRPr="004A479D">
        <w:rPr>
          <w:i w:val="0"/>
          <w:noProof/>
          <w:sz w:val="18"/>
        </w:rPr>
        <w:tab/>
      </w:r>
      <w:r w:rsidRPr="004A479D">
        <w:rPr>
          <w:i w:val="0"/>
          <w:noProof/>
          <w:sz w:val="18"/>
        </w:rPr>
        <w:fldChar w:fldCharType="begin"/>
      </w:r>
      <w:r w:rsidRPr="004A479D">
        <w:rPr>
          <w:i w:val="0"/>
          <w:noProof/>
          <w:sz w:val="18"/>
        </w:rPr>
        <w:instrText xml:space="preserve"> PAGEREF _Toc460494744 \h </w:instrText>
      </w:r>
      <w:r w:rsidRPr="004A479D">
        <w:rPr>
          <w:i w:val="0"/>
          <w:noProof/>
          <w:sz w:val="18"/>
        </w:rPr>
      </w:r>
      <w:r w:rsidRPr="004A479D">
        <w:rPr>
          <w:i w:val="0"/>
          <w:noProof/>
          <w:sz w:val="18"/>
        </w:rPr>
        <w:fldChar w:fldCharType="separate"/>
      </w:r>
      <w:r w:rsidR="004E0689">
        <w:rPr>
          <w:i w:val="0"/>
          <w:noProof/>
          <w:sz w:val="18"/>
        </w:rPr>
        <w:t>7</w:t>
      </w:r>
      <w:r w:rsidRPr="004A479D">
        <w:rPr>
          <w:i w:val="0"/>
          <w:noProof/>
          <w:sz w:val="18"/>
        </w:rPr>
        <w:fldChar w:fldCharType="end"/>
      </w:r>
    </w:p>
    <w:p w:rsidR="00833416" w:rsidRPr="004A479D" w:rsidRDefault="00216EE0" w:rsidP="0048364F">
      <w:r w:rsidRPr="004A479D">
        <w:fldChar w:fldCharType="end"/>
      </w:r>
    </w:p>
    <w:p w:rsidR="00722023" w:rsidRPr="004A479D" w:rsidRDefault="00722023" w:rsidP="0048364F">
      <w:pPr>
        <w:sectPr w:rsidR="00722023" w:rsidRPr="004A479D" w:rsidSect="00E62BE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A479D" w:rsidRDefault="0048364F" w:rsidP="0048364F">
      <w:pPr>
        <w:pStyle w:val="ActHead5"/>
      </w:pPr>
      <w:bookmarkStart w:id="2" w:name="_Toc460494731"/>
      <w:r w:rsidRPr="004A479D">
        <w:rPr>
          <w:rStyle w:val="CharSectno"/>
        </w:rPr>
        <w:lastRenderedPageBreak/>
        <w:t>1</w:t>
      </w:r>
      <w:r w:rsidRPr="004A479D">
        <w:t xml:space="preserve">  </w:t>
      </w:r>
      <w:r w:rsidR="004F676E" w:rsidRPr="004A479D">
        <w:t>Name</w:t>
      </w:r>
      <w:bookmarkEnd w:id="2"/>
    </w:p>
    <w:p w:rsidR="0048364F" w:rsidRPr="004A479D" w:rsidRDefault="0048364F" w:rsidP="0048364F">
      <w:pPr>
        <w:pStyle w:val="subsection"/>
      </w:pPr>
      <w:r w:rsidRPr="004A479D">
        <w:tab/>
      </w:r>
      <w:r w:rsidRPr="004A479D">
        <w:tab/>
        <w:t>Th</w:t>
      </w:r>
      <w:r w:rsidR="00F24C35" w:rsidRPr="004A479D">
        <w:t>is</w:t>
      </w:r>
      <w:r w:rsidRPr="004A479D">
        <w:t xml:space="preserve"> </w:t>
      </w:r>
      <w:r w:rsidR="00F24C35" w:rsidRPr="004A479D">
        <w:t>is</w:t>
      </w:r>
      <w:r w:rsidR="003801D0" w:rsidRPr="004A479D">
        <w:t xml:space="preserve"> the</w:t>
      </w:r>
      <w:r w:rsidRPr="004A479D">
        <w:t xml:space="preserve"> </w:t>
      </w:r>
      <w:bookmarkStart w:id="3" w:name="BKCheck15B_3"/>
      <w:bookmarkEnd w:id="3"/>
      <w:r w:rsidR="00CB0180" w:rsidRPr="004A479D">
        <w:rPr>
          <w:i/>
        </w:rPr>
        <w:fldChar w:fldCharType="begin"/>
      </w:r>
      <w:r w:rsidR="00CB0180" w:rsidRPr="004A479D">
        <w:rPr>
          <w:i/>
        </w:rPr>
        <w:instrText xml:space="preserve"> STYLEREF  ShortT </w:instrText>
      </w:r>
      <w:r w:rsidR="00CB0180" w:rsidRPr="004A479D">
        <w:rPr>
          <w:i/>
        </w:rPr>
        <w:fldChar w:fldCharType="separate"/>
      </w:r>
      <w:r w:rsidR="004E0689">
        <w:rPr>
          <w:i/>
          <w:noProof/>
        </w:rPr>
        <w:t>Financial Services Legislation Amendment (Wholesale Margining) Regulation 2016</w:t>
      </w:r>
      <w:r w:rsidR="00CB0180" w:rsidRPr="004A479D">
        <w:rPr>
          <w:i/>
        </w:rPr>
        <w:fldChar w:fldCharType="end"/>
      </w:r>
      <w:r w:rsidRPr="004A479D">
        <w:t>.</w:t>
      </w:r>
    </w:p>
    <w:p w:rsidR="0048364F" w:rsidRPr="004A479D" w:rsidRDefault="0048364F" w:rsidP="0048364F">
      <w:pPr>
        <w:pStyle w:val="ActHead5"/>
      </w:pPr>
      <w:bookmarkStart w:id="4" w:name="_Toc460494732"/>
      <w:r w:rsidRPr="004A479D">
        <w:rPr>
          <w:rStyle w:val="CharSectno"/>
        </w:rPr>
        <w:t>2</w:t>
      </w:r>
      <w:r w:rsidRPr="004A479D">
        <w:t xml:space="preserve">  Commencement</w:t>
      </w:r>
      <w:bookmarkEnd w:id="4"/>
    </w:p>
    <w:p w:rsidR="00456FD1" w:rsidRPr="004A479D" w:rsidRDefault="00456FD1" w:rsidP="00F94213">
      <w:pPr>
        <w:pStyle w:val="subsection"/>
      </w:pPr>
      <w:r w:rsidRPr="004A479D">
        <w:tab/>
        <w:t>(1)</w:t>
      </w:r>
      <w:r w:rsidRPr="004A479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456FD1" w:rsidRPr="004A479D" w:rsidRDefault="00456FD1" w:rsidP="00F9421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456FD1" w:rsidRPr="004A479D" w:rsidTr="00456FD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456FD1" w:rsidRPr="004A479D" w:rsidRDefault="00456FD1" w:rsidP="00F94213">
            <w:pPr>
              <w:pStyle w:val="TableHeading"/>
            </w:pPr>
            <w:r w:rsidRPr="004A479D">
              <w:t>Commencement information</w:t>
            </w:r>
          </w:p>
        </w:tc>
      </w:tr>
      <w:tr w:rsidR="00456FD1" w:rsidRPr="004A479D" w:rsidTr="00456FD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56FD1" w:rsidRPr="004A479D" w:rsidRDefault="00456FD1" w:rsidP="00F94213">
            <w:pPr>
              <w:pStyle w:val="TableHeading"/>
            </w:pPr>
            <w:r w:rsidRPr="004A479D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56FD1" w:rsidRPr="004A479D" w:rsidRDefault="00456FD1" w:rsidP="00F94213">
            <w:pPr>
              <w:pStyle w:val="TableHeading"/>
            </w:pPr>
            <w:r w:rsidRPr="004A479D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456FD1" w:rsidRPr="004A479D" w:rsidRDefault="00456FD1" w:rsidP="00F94213">
            <w:pPr>
              <w:pStyle w:val="TableHeading"/>
            </w:pPr>
            <w:r w:rsidRPr="004A479D">
              <w:t>Column 3</w:t>
            </w:r>
          </w:p>
        </w:tc>
      </w:tr>
      <w:tr w:rsidR="00456FD1" w:rsidRPr="004A479D" w:rsidTr="00456FD1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56FD1" w:rsidRPr="004A479D" w:rsidRDefault="00456FD1" w:rsidP="00F94213">
            <w:pPr>
              <w:pStyle w:val="TableHeading"/>
            </w:pPr>
            <w:r w:rsidRPr="004A479D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56FD1" w:rsidRPr="004A479D" w:rsidRDefault="00456FD1" w:rsidP="00F94213">
            <w:pPr>
              <w:pStyle w:val="TableHeading"/>
            </w:pPr>
            <w:r w:rsidRPr="004A479D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456FD1" w:rsidRPr="004A479D" w:rsidRDefault="00456FD1" w:rsidP="00F94213">
            <w:pPr>
              <w:pStyle w:val="TableHeading"/>
            </w:pPr>
            <w:r w:rsidRPr="004A479D">
              <w:t>Date/Details</w:t>
            </w:r>
          </w:p>
        </w:tc>
      </w:tr>
      <w:tr w:rsidR="00C62DE6" w:rsidRPr="004A479D" w:rsidTr="00456FD1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62DE6" w:rsidRPr="004A479D" w:rsidRDefault="00C62DE6" w:rsidP="00F94213">
            <w:pPr>
              <w:pStyle w:val="Tabletext"/>
            </w:pPr>
            <w:r w:rsidRPr="004A479D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869B0" w:rsidRPr="004A479D" w:rsidRDefault="00C50B3B" w:rsidP="00C869B0">
            <w:pPr>
              <w:pStyle w:val="Tabletext"/>
            </w:pPr>
            <w:r w:rsidRPr="004A479D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62DE6" w:rsidRPr="004A479D" w:rsidRDefault="004E1D6A" w:rsidP="00F94213">
            <w:pPr>
              <w:pStyle w:val="Tabletext"/>
            </w:pPr>
            <w:r>
              <w:t>29 October 2016</w:t>
            </w:r>
          </w:p>
        </w:tc>
      </w:tr>
    </w:tbl>
    <w:p w:rsidR="00456FD1" w:rsidRPr="004A479D" w:rsidRDefault="00456FD1" w:rsidP="00F94213">
      <w:pPr>
        <w:pStyle w:val="notetext"/>
      </w:pPr>
      <w:r w:rsidRPr="004A479D">
        <w:rPr>
          <w:snapToGrid w:val="0"/>
          <w:lang w:eastAsia="en-US"/>
        </w:rPr>
        <w:t>Note:</w:t>
      </w:r>
      <w:r w:rsidRPr="004A479D">
        <w:rPr>
          <w:snapToGrid w:val="0"/>
          <w:lang w:eastAsia="en-US"/>
        </w:rPr>
        <w:tab/>
        <w:t xml:space="preserve">This table relates only to the provisions of this </w:t>
      </w:r>
      <w:r w:rsidRPr="004A479D">
        <w:t xml:space="preserve">instrument </w:t>
      </w:r>
      <w:r w:rsidRPr="004A479D">
        <w:rPr>
          <w:snapToGrid w:val="0"/>
          <w:lang w:eastAsia="en-US"/>
        </w:rPr>
        <w:t xml:space="preserve">as originally made. It will not be amended to deal with any later amendments of this </w:t>
      </w:r>
      <w:r w:rsidRPr="004A479D">
        <w:t>instrument</w:t>
      </w:r>
      <w:r w:rsidRPr="004A479D">
        <w:rPr>
          <w:snapToGrid w:val="0"/>
          <w:lang w:eastAsia="en-US"/>
        </w:rPr>
        <w:t>.</w:t>
      </w:r>
    </w:p>
    <w:p w:rsidR="00456FD1" w:rsidRPr="004A479D" w:rsidRDefault="00456FD1" w:rsidP="00F94213">
      <w:pPr>
        <w:pStyle w:val="subsection"/>
      </w:pPr>
      <w:r w:rsidRPr="004A479D">
        <w:tab/>
        <w:t>(2)</w:t>
      </w:r>
      <w:r w:rsidRPr="004A479D">
        <w:tab/>
        <w:t>Any information in column 3 of the table is not part of this</w:t>
      </w:r>
      <w:bookmarkStart w:id="5" w:name="_GoBack"/>
      <w:bookmarkEnd w:id="5"/>
      <w:r w:rsidRPr="004A479D">
        <w:t xml:space="preserve"> instrument. Information may be inserted in this column, or information in it may be edited, in any published version of this instrument.</w:t>
      </w:r>
    </w:p>
    <w:p w:rsidR="007769D4" w:rsidRPr="004A479D" w:rsidRDefault="007769D4" w:rsidP="007769D4">
      <w:pPr>
        <w:pStyle w:val="ActHead5"/>
      </w:pPr>
      <w:bookmarkStart w:id="6" w:name="_Toc460494733"/>
      <w:r w:rsidRPr="004A479D">
        <w:rPr>
          <w:rStyle w:val="CharSectno"/>
        </w:rPr>
        <w:t>3</w:t>
      </w:r>
      <w:r w:rsidRPr="004A479D">
        <w:t xml:space="preserve">  Authority</w:t>
      </w:r>
      <w:bookmarkEnd w:id="6"/>
    </w:p>
    <w:p w:rsidR="001C7168" w:rsidRPr="004A479D" w:rsidRDefault="007769D4" w:rsidP="007769D4">
      <w:pPr>
        <w:pStyle w:val="subsection"/>
      </w:pPr>
      <w:r w:rsidRPr="004A479D">
        <w:tab/>
      </w:r>
      <w:r w:rsidRPr="004A479D">
        <w:tab/>
      </w:r>
      <w:r w:rsidR="00AF0336" w:rsidRPr="004A479D">
        <w:t xml:space="preserve">This </w:t>
      </w:r>
      <w:r w:rsidR="00456FD1" w:rsidRPr="004A479D">
        <w:t>instrument</w:t>
      </w:r>
      <w:r w:rsidR="00AF0336" w:rsidRPr="004A479D">
        <w:t xml:space="preserve"> is made under</w:t>
      </w:r>
      <w:r w:rsidR="00750408" w:rsidRPr="004A479D">
        <w:t xml:space="preserve"> the following</w:t>
      </w:r>
      <w:r w:rsidR="001C7168" w:rsidRPr="004A479D">
        <w:t>:</w:t>
      </w:r>
    </w:p>
    <w:p w:rsidR="007769D4" w:rsidRPr="004A479D" w:rsidRDefault="001C7168" w:rsidP="001C7168">
      <w:pPr>
        <w:pStyle w:val="paragraph"/>
      </w:pPr>
      <w:r w:rsidRPr="004A479D">
        <w:tab/>
        <w:t>(a)</w:t>
      </w:r>
      <w:r w:rsidRPr="004A479D">
        <w:tab/>
      </w:r>
      <w:r w:rsidR="00AF0336" w:rsidRPr="004A479D">
        <w:t xml:space="preserve">the </w:t>
      </w:r>
      <w:r w:rsidR="00456FD1" w:rsidRPr="004A479D">
        <w:rPr>
          <w:i/>
        </w:rPr>
        <w:t>Corporations Act 2001</w:t>
      </w:r>
      <w:r w:rsidR="00750408" w:rsidRPr="004A479D">
        <w:t>;</w:t>
      </w:r>
    </w:p>
    <w:p w:rsidR="001C7168" w:rsidRPr="004A479D" w:rsidRDefault="001C7168" w:rsidP="001C7168">
      <w:pPr>
        <w:pStyle w:val="paragraph"/>
      </w:pPr>
      <w:r w:rsidRPr="004A479D">
        <w:tab/>
        <w:t>(b)</w:t>
      </w:r>
      <w:r w:rsidRPr="004A479D">
        <w:tab/>
        <w:t xml:space="preserve">the </w:t>
      </w:r>
      <w:r w:rsidRPr="004A479D">
        <w:rPr>
          <w:i/>
        </w:rPr>
        <w:t>Life Insurance Act 1995</w:t>
      </w:r>
      <w:r w:rsidR="00750408" w:rsidRPr="004A479D">
        <w:t>;</w:t>
      </w:r>
    </w:p>
    <w:p w:rsidR="003B4C69" w:rsidRPr="004A479D" w:rsidRDefault="003B4C69" w:rsidP="001C7168">
      <w:pPr>
        <w:pStyle w:val="paragraph"/>
        <w:rPr>
          <w:i/>
        </w:rPr>
      </w:pPr>
      <w:r w:rsidRPr="004A479D">
        <w:tab/>
        <w:t>(c)</w:t>
      </w:r>
      <w:r w:rsidRPr="004A479D">
        <w:tab/>
        <w:t xml:space="preserve">the </w:t>
      </w:r>
      <w:r w:rsidRPr="004A479D">
        <w:rPr>
          <w:i/>
        </w:rPr>
        <w:t>Superannuation Industry (</w:t>
      </w:r>
      <w:r w:rsidR="0073767A" w:rsidRPr="004A479D">
        <w:rPr>
          <w:i/>
        </w:rPr>
        <w:t>Supervision</w:t>
      </w:r>
      <w:r w:rsidRPr="004A479D">
        <w:rPr>
          <w:i/>
        </w:rPr>
        <w:t>) Act 1993.</w:t>
      </w:r>
    </w:p>
    <w:p w:rsidR="00557C7A" w:rsidRPr="004A479D" w:rsidRDefault="007769D4" w:rsidP="00557C7A">
      <w:pPr>
        <w:pStyle w:val="ActHead5"/>
      </w:pPr>
      <w:bookmarkStart w:id="7" w:name="_Toc460494734"/>
      <w:r w:rsidRPr="004A479D">
        <w:rPr>
          <w:rStyle w:val="CharSectno"/>
        </w:rPr>
        <w:t>4</w:t>
      </w:r>
      <w:r w:rsidR="00557C7A" w:rsidRPr="004A479D">
        <w:t xml:space="preserve">  </w:t>
      </w:r>
      <w:r w:rsidR="00B332B8" w:rsidRPr="004A479D">
        <w:t>Schedules</w:t>
      </w:r>
      <w:bookmarkEnd w:id="7"/>
    </w:p>
    <w:p w:rsidR="000F6B02" w:rsidRPr="004A479D" w:rsidRDefault="00557C7A" w:rsidP="000F6B02">
      <w:pPr>
        <w:pStyle w:val="subsection"/>
      </w:pPr>
      <w:r w:rsidRPr="004A479D">
        <w:tab/>
      </w:r>
      <w:r w:rsidRPr="004A479D">
        <w:tab/>
      </w:r>
      <w:r w:rsidR="000F6B02" w:rsidRPr="004A479D">
        <w:t xml:space="preserve">Each instrument that is specified in a Schedule to </w:t>
      </w:r>
      <w:r w:rsidR="00456FD1" w:rsidRPr="004A479D">
        <w:t>this instrument</w:t>
      </w:r>
      <w:r w:rsidR="000F6B02" w:rsidRPr="004A479D">
        <w:t xml:space="preserve"> is amended or repealed as set out in the applicable items in the Schedule concerned, and any other item in a Schedule to </w:t>
      </w:r>
      <w:r w:rsidR="00456FD1" w:rsidRPr="004A479D">
        <w:t>this instrument</w:t>
      </w:r>
      <w:r w:rsidR="000F6B02" w:rsidRPr="004A479D">
        <w:t xml:space="preserve"> has effect according to its terms.</w:t>
      </w:r>
    </w:p>
    <w:p w:rsidR="001C7260" w:rsidRPr="004A479D" w:rsidRDefault="001C7260" w:rsidP="001C7260">
      <w:pPr>
        <w:pStyle w:val="ActHead6"/>
        <w:pageBreakBefore/>
      </w:pPr>
      <w:bookmarkStart w:id="8" w:name="_Toc460494735"/>
      <w:bookmarkStart w:id="9" w:name="opcAmSched"/>
      <w:r w:rsidRPr="004A479D">
        <w:rPr>
          <w:rStyle w:val="CharAmSchNo"/>
        </w:rPr>
        <w:t>Schedule</w:t>
      </w:r>
      <w:r w:rsidR="004A479D" w:rsidRPr="004A479D">
        <w:rPr>
          <w:rStyle w:val="CharAmSchNo"/>
        </w:rPr>
        <w:t> </w:t>
      </w:r>
      <w:r w:rsidRPr="004A479D">
        <w:rPr>
          <w:rStyle w:val="CharAmSchNo"/>
        </w:rPr>
        <w:t>1</w:t>
      </w:r>
      <w:r w:rsidRPr="004A479D">
        <w:t>—</w:t>
      </w:r>
      <w:r w:rsidR="0032368E" w:rsidRPr="004A479D">
        <w:rPr>
          <w:rStyle w:val="CharAmSchText"/>
        </w:rPr>
        <w:t>Corporations Regulations</w:t>
      </w:r>
      <w:r w:rsidR="004A479D" w:rsidRPr="004A479D">
        <w:rPr>
          <w:rStyle w:val="CharAmSchText"/>
        </w:rPr>
        <w:t> </w:t>
      </w:r>
      <w:r w:rsidR="0032368E" w:rsidRPr="004A479D">
        <w:rPr>
          <w:rStyle w:val="CharAmSchText"/>
        </w:rPr>
        <w:t>2001</w:t>
      </w:r>
      <w:bookmarkEnd w:id="8"/>
    </w:p>
    <w:bookmarkEnd w:id="9"/>
    <w:p w:rsidR="001C7260" w:rsidRPr="004A479D" w:rsidRDefault="001C7260" w:rsidP="001C7260">
      <w:pPr>
        <w:pStyle w:val="Header"/>
      </w:pPr>
      <w:r w:rsidRPr="004A479D">
        <w:rPr>
          <w:rStyle w:val="CharAmPartNo"/>
        </w:rPr>
        <w:t xml:space="preserve"> </w:t>
      </w:r>
      <w:r w:rsidRPr="004A479D">
        <w:rPr>
          <w:rStyle w:val="CharAmPartText"/>
        </w:rPr>
        <w:t xml:space="preserve"> </w:t>
      </w:r>
    </w:p>
    <w:p w:rsidR="00C50B3B" w:rsidRPr="004A479D" w:rsidRDefault="00C50B3B" w:rsidP="00C50B3B">
      <w:pPr>
        <w:pStyle w:val="ActHead9"/>
      </w:pPr>
      <w:bookmarkStart w:id="10" w:name="_Toc460494736"/>
      <w:r w:rsidRPr="004A479D">
        <w:t xml:space="preserve">Corporations </w:t>
      </w:r>
      <w:r w:rsidR="00647C15" w:rsidRPr="004A479D">
        <w:t>Regulations</w:t>
      </w:r>
      <w:r w:rsidR="004A479D" w:rsidRPr="004A479D">
        <w:t> </w:t>
      </w:r>
      <w:r w:rsidRPr="004A479D">
        <w:t>2001</w:t>
      </w:r>
      <w:bookmarkEnd w:id="10"/>
    </w:p>
    <w:p w:rsidR="003769F4" w:rsidRPr="004A479D" w:rsidRDefault="00AB7315" w:rsidP="00C50B3B">
      <w:pPr>
        <w:pStyle w:val="ItemHead"/>
      </w:pPr>
      <w:r w:rsidRPr="004A479D">
        <w:t>1  Before</w:t>
      </w:r>
      <w:r w:rsidR="003769F4" w:rsidRPr="004A479D">
        <w:t xml:space="preserve"> regulation</w:t>
      </w:r>
      <w:r w:rsidR="004A479D" w:rsidRPr="004A479D">
        <w:t> </w:t>
      </w:r>
      <w:r w:rsidR="003769F4" w:rsidRPr="004A479D">
        <w:t>7.8.0</w:t>
      </w:r>
      <w:r w:rsidRPr="004A479D">
        <w:t>1</w:t>
      </w:r>
    </w:p>
    <w:p w:rsidR="003769F4" w:rsidRPr="004A479D" w:rsidRDefault="003769F4" w:rsidP="003769F4">
      <w:pPr>
        <w:pStyle w:val="Item"/>
      </w:pPr>
      <w:r w:rsidRPr="004A479D">
        <w:t>Insert:</w:t>
      </w:r>
    </w:p>
    <w:p w:rsidR="003769F4" w:rsidRPr="004A479D" w:rsidRDefault="003769F4" w:rsidP="003769F4">
      <w:pPr>
        <w:pStyle w:val="ActHead5"/>
      </w:pPr>
      <w:bookmarkStart w:id="11" w:name="_Toc460494737"/>
      <w:r w:rsidRPr="004A479D">
        <w:rPr>
          <w:rStyle w:val="CharSectno"/>
        </w:rPr>
        <w:t>7.8.0</w:t>
      </w:r>
      <w:r w:rsidR="00AB7315" w:rsidRPr="004A479D">
        <w:rPr>
          <w:rStyle w:val="CharSectno"/>
        </w:rPr>
        <w:t>1</w:t>
      </w:r>
      <w:r w:rsidRPr="004A479D">
        <w:rPr>
          <w:rStyle w:val="CharSectno"/>
        </w:rPr>
        <w:t>A</w:t>
      </w:r>
      <w:r w:rsidRPr="004A479D">
        <w:t xml:space="preserve">  Wholesale client money</w:t>
      </w:r>
      <w:bookmarkEnd w:id="11"/>
    </w:p>
    <w:p w:rsidR="00C50B3B" w:rsidRPr="004A479D" w:rsidRDefault="003769F4" w:rsidP="00C50B3B">
      <w:pPr>
        <w:pStyle w:val="subsection"/>
      </w:pPr>
      <w:r w:rsidRPr="004A479D">
        <w:tab/>
      </w:r>
      <w:r w:rsidRPr="004A479D">
        <w:tab/>
        <w:t>For the purposes of paragraph</w:t>
      </w:r>
      <w:r w:rsidR="004A479D" w:rsidRPr="004A479D">
        <w:t> </w:t>
      </w:r>
      <w:r w:rsidRPr="004A479D">
        <w:t xml:space="preserve">981A(4)(a) of the Act, </w:t>
      </w:r>
      <w:r w:rsidR="00914F62" w:rsidRPr="004A479D">
        <w:t>money paid as mentioned in subsection</w:t>
      </w:r>
      <w:r w:rsidR="004A479D" w:rsidRPr="004A479D">
        <w:t> </w:t>
      </w:r>
      <w:r w:rsidR="00914F62" w:rsidRPr="004A479D">
        <w:t xml:space="preserve">981A(1) of the Act is exempt from </w:t>
      </w:r>
      <w:r w:rsidRPr="004A479D">
        <w:t xml:space="preserve">Subdivision </w:t>
      </w:r>
      <w:r w:rsidR="00AB7315" w:rsidRPr="004A479D">
        <w:t>A of Division</w:t>
      </w:r>
      <w:r w:rsidR="004A479D" w:rsidRPr="004A479D">
        <w:t> </w:t>
      </w:r>
      <w:r w:rsidR="00AB7315" w:rsidRPr="004A479D">
        <w:t>2 of Part</w:t>
      </w:r>
      <w:r w:rsidR="004A479D" w:rsidRPr="004A479D">
        <w:t> </w:t>
      </w:r>
      <w:r w:rsidR="00AB7315" w:rsidRPr="004A479D">
        <w:t>7.8</w:t>
      </w:r>
      <w:r w:rsidRPr="004A479D">
        <w:t xml:space="preserve"> of the Act </w:t>
      </w:r>
      <w:r w:rsidR="00165BD3" w:rsidRPr="004A479D">
        <w:t xml:space="preserve">at a time </w:t>
      </w:r>
      <w:r w:rsidR="00F40134" w:rsidRPr="004A479D">
        <w:t>i</w:t>
      </w:r>
      <w:r w:rsidR="00065682" w:rsidRPr="004A479D">
        <w:t>f</w:t>
      </w:r>
      <w:r w:rsidRPr="004A479D">
        <w:t>:</w:t>
      </w:r>
    </w:p>
    <w:p w:rsidR="00DA7E87" w:rsidRPr="004A479D" w:rsidRDefault="00DA7E87" w:rsidP="00DA7E87">
      <w:pPr>
        <w:pStyle w:val="paragraph"/>
      </w:pPr>
      <w:r w:rsidRPr="004A479D">
        <w:tab/>
        <w:t>(a)</w:t>
      </w:r>
      <w:r w:rsidRPr="004A479D">
        <w:tab/>
        <w:t>at that time the licensee has</w:t>
      </w:r>
      <w:r w:rsidR="0038723F" w:rsidRPr="004A479D">
        <w:t xml:space="preserve"> </w:t>
      </w:r>
      <w:r w:rsidRPr="004A479D">
        <w:t>the client’s written agreement to the money being dealt with other than in accordance with that Subdivision; and</w:t>
      </w:r>
    </w:p>
    <w:p w:rsidR="00DA7E87" w:rsidRPr="004A479D" w:rsidRDefault="00DA7E87" w:rsidP="00DA7E87">
      <w:pPr>
        <w:pStyle w:val="noteToPara"/>
      </w:pPr>
      <w:r w:rsidRPr="004A479D">
        <w:t>Note 1:</w:t>
      </w:r>
      <w:r w:rsidRPr="004A479D">
        <w:tab/>
        <w:t>It is not necessary for the agreement to mention that Subdivision explicitly.</w:t>
      </w:r>
    </w:p>
    <w:p w:rsidR="00DA7E87" w:rsidRPr="004A479D" w:rsidRDefault="00DA7E87" w:rsidP="00DA7E87">
      <w:pPr>
        <w:pStyle w:val="noteToPara"/>
      </w:pPr>
      <w:r w:rsidRPr="004A479D">
        <w:t>Note 2:</w:t>
      </w:r>
      <w:r w:rsidRPr="004A479D">
        <w:tab/>
        <w:t>If the licensee obtains the agreement after the money is paid, that Subdivision ceases to apply to the money when the licensee obtains the agreement.</w:t>
      </w:r>
    </w:p>
    <w:p w:rsidR="00C50B3B" w:rsidRPr="004A479D" w:rsidRDefault="00C50B3B" w:rsidP="00C50B3B">
      <w:pPr>
        <w:pStyle w:val="paragraph"/>
      </w:pPr>
      <w:r w:rsidRPr="004A479D">
        <w:tab/>
        <w:t>(</w:t>
      </w:r>
      <w:r w:rsidR="00DA7E87" w:rsidRPr="004A479D">
        <w:t>b</w:t>
      </w:r>
      <w:r w:rsidRPr="004A479D">
        <w:t>)</w:t>
      </w:r>
      <w:r w:rsidRPr="004A479D">
        <w:tab/>
        <w:t>either:</w:t>
      </w:r>
    </w:p>
    <w:p w:rsidR="00C50B3B" w:rsidRPr="004A479D" w:rsidRDefault="00C50B3B" w:rsidP="00C50B3B">
      <w:pPr>
        <w:pStyle w:val="paragraphsub"/>
      </w:pPr>
      <w:r w:rsidRPr="004A479D">
        <w:tab/>
        <w:t>(i)</w:t>
      </w:r>
      <w:r w:rsidRPr="004A479D">
        <w:tab/>
        <w:t>the financial service referred to in subparagraph</w:t>
      </w:r>
      <w:r w:rsidR="004A479D" w:rsidRPr="004A479D">
        <w:t> </w:t>
      </w:r>
      <w:r w:rsidR="00BD2E4E" w:rsidRPr="004A479D">
        <w:t>981A</w:t>
      </w:r>
      <w:r w:rsidRPr="004A479D">
        <w:t xml:space="preserve">(1)(a)(i) </w:t>
      </w:r>
      <w:r w:rsidR="00BD2E4E" w:rsidRPr="004A479D">
        <w:t xml:space="preserve">of the Act </w:t>
      </w:r>
      <w:r w:rsidRPr="004A479D">
        <w:t>is or relates to a dealing in a derivative; or</w:t>
      </w:r>
    </w:p>
    <w:p w:rsidR="00C50B3B" w:rsidRPr="004A479D" w:rsidRDefault="00C50B3B" w:rsidP="00C50B3B">
      <w:pPr>
        <w:pStyle w:val="paragraphsub"/>
      </w:pPr>
      <w:r w:rsidRPr="004A479D">
        <w:tab/>
        <w:t>(ii)</w:t>
      </w:r>
      <w:r w:rsidRPr="004A479D">
        <w:tab/>
        <w:t>the financial product referred to in subparagraph</w:t>
      </w:r>
      <w:r w:rsidR="004A479D" w:rsidRPr="004A479D">
        <w:t> </w:t>
      </w:r>
      <w:r w:rsidR="00BD2E4E" w:rsidRPr="004A479D">
        <w:t>981A</w:t>
      </w:r>
      <w:r w:rsidRPr="004A479D">
        <w:t>(1)(a)(ii)</w:t>
      </w:r>
      <w:r w:rsidR="00BD2E4E" w:rsidRPr="004A479D">
        <w:t xml:space="preserve"> of the Act</w:t>
      </w:r>
      <w:r w:rsidR="00F40134" w:rsidRPr="004A479D">
        <w:t xml:space="preserve"> is a derivative;</w:t>
      </w:r>
      <w:r w:rsidR="00736CDA" w:rsidRPr="004A479D">
        <w:t xml:space="preserve"> and</w:t>
      </w:r>
    </w:p>
    <w:p w:rsidR="00C50B3B" w:rsidRPr="004A479D" w:rsidRDefault="00DA7E87" w:rsidP="00C50B3B">
      <w:pPr>
        <w:pStyle w:val="paragraph"/>
      </w:pPr>
      <w:r w:rsidRPr="004A479D">
        <w:tab/>
        <w:t>(c</w:t>
      </w:r>
      <w:r w:rsidR="00C50B3B" w:rsidRPr="004A479D">
        <w:t>)</w:t>
      </w:r>
      <w:r w:rsidR="00C50B3B" w:rsidRPr="004A479D">
        <w:tab/>
        <w:t xml:space="preserve">the entry into of the derivative </w:t>
      </w:r>
      <w:r w:rsidR="00581D06" w:rsidRPr="004A479D">
        <w:t>wa</w:t>
      </w:r>
      <w:r w:rsidR="00165BD3" w:rsidRPr="004A479D">
        <w:t>s</w:t>
      </w:r>
      <w:r w:rsidR="00C50B3B" w:rsidRPr="004A479D">
        <w:t xml:space="preserve"> not </w:t>
      </w:r>
      <w:r w:rsidR="0073739A" w:rsidRPr="004A479D">
        <w:t xml:space="preserve">or </w:t>
      </w:r>
      <w:r w:rsidR="007B3CB3" w:rsidRPr="004A479D">
        <w:t xml:space="preserve">will </w:t>
      </w:r>
      <w:r w:rsidR="0073739A" w:rsidRPr="004A479D">
        <w:t xml:space="preserve">not </w:t>
      </w:r>
      <w:r w:rsidR="007B3CB3" w:rsidRPr="004A479D">
        <w:t xml:space="preserve">be </w:t>
      </w:r>
      <w:r w:rsidR="00C50B3B" w:rsidRPr="004A479D">
        <w:t>cleared through a clearing and settlement facility;</w:t>
      </w:r>
      <w:r w:rsidR="00736CDA" w:rsidRPr="004A479D">
        <w:t xml:space="preserve"> and</w:t>
      </w:r>
    </w:p>
    <w:p w:rsidR="00165BD3" w:rsidRPr="004A479D" w:rsidRDefault="00DA7E87" w:rsidP="00C50B3B">
      <w:pPr>
        <w:pStyle w:val="paragraph"/>
      </w:pPr>
      <w:r w:rsidRPr="004A479D">
        <w:tab/>
        <w:t>(d</w:t>
      </w:r>
      <w:r w:rsidR="00C50B3B" w:rsidRPr="004A479D">
        <w:t>)</w:t>
      </w:r>
      <w:r w:rsidR="00C50B3B" w:rsidRPr="004A479D">
        <w:tab/>
        <w:t xml:space="preserve">the financial service or product would </w:t>
      </w:r>
      <w:r w:rsidR="00581D06" w:rsidRPr="004A479D">
        <w:t xml:space="preserve">have </w:t>
      </w:r>
      <w:r w:rsidR="00C50B3B" w:rsidRPr="004A479D">
        <w:t>be</w:t>
      </w:r>
      <w:r w:rsidR="00581D06" w:rsidRPr="004A479D">
        <w:t>en</w:t>
      </w:r>
      <w:r w:rsidR="00C50B3B" w:rsidRPr="004A479D">
        <w:t xml:space="preserve"> provided to the client as a wholesale client if</w:t>
      </w:r>
      <w:r w:rsidR="00165BD3" w:rsidRPr="004A479D">
        <w:t>:</w:t>
      </w:r>
    </w:p>
    <w:p w:rsidR="00C50B3B" w:rsidRPr="004A479D" w:rsidRDefault="00165BD3" w:rsidP="00165BD3">
      <w:pPr>
        <w:pStyle w:val="paragraphsub"/>
      </w:pPr>
      <w:r w:rsidRPr="004A479D">
        <w:tab/>
        <w:t>(i)</w:t>
      </w:r>
      <w:r w:rsidRPr="004A479D">
        <w:tab/>
      </w:r>
      <w:r w:rsidR="00C50B3B" w:rsidRPr="004A479D">
        <w:t>the service or product were provided to the cl</w:t>
      </w:r>
      <w:r w:rsidR="00581D06" w:rsidRPr="004A479D">
        <w:t>ient when the money wa</w:t>
      </w:r>
      <w:r w:rsidR="00F40134" w:rsidRPr="004A479D">
        <w:t>s paid;</w:t>
      </w:r>
      <w:r w:rsidR="00736CDA" w:rsidRPr="004A479D">
        <w:t xml:space="preserve"> and</w:t>
      </w:r>
    </w:p>
    <w:p w:rsidR="00165BD3" w:rsidRPr="004A479D" w:rsidRDefault="00165BD3" w:rsidP="00165BD3">
      <w:pPr>
        <w:pStyle w:val="paragraphsub"/>
      </w:pPr>
      <w:r w:rsidRPr="004A479D">
        <w:tab/>
        <w:t>(ii)</w:t>
      </w:r>
      <w:r w:rsidRPr="004A479D">
        <w:tab/>
        <w:t>section</w:t>
      </w:r>
      <w:r w:rsidR="004A479D" w:rsidRPr="004A479D">
        <w:t> </w:t>
      </w:r>
      <w:r w:rsidRPr="004A479D">
        <w:t>761GA of the Act (about sophisticated investors)</w:t>
      </w:r>
      <w:r w:rsidR="00DA7E87" w:rsidRPr="004A479D">
        <w:t xml:space="preserve"> did not apply.</w:t>
      </w:r>
    </w:p>
    <w:p w:rsidR="00065682" w:rsidRPr="004A479D" w:rsidRDefault="00BD2E4E" w:rsidP="00C50B3B">
      <w:pPr>
        <w:pStyle w:val="ItemHead"/>
      </w:pPr>
      <w:r w:rsidRPr="004A479D">
        <w:t>2</w:t>
      </w:r>
      <w:r w:rsidR="00C50B3B" w:rsidRPr="004A479D">
        <w:t xml:space="preserve">  After </w:t>
      </w:r>
      <w:r w:rsidR="00065682" w:rsidRPr="004A479D">
        <w:t>regulation</w:t>
      </w:r>
      <w:r w:rsidR="004A479D" w:rsidRPr="004A479D">
        <w:t> </w:t>
      </w:r>
      <w:r w:rsidR="00065682" w:rsidRPr="004A479D">
        <w:t>7.8.06A</w:t>
      </w:r>
    </w:p>
    <w:p w:rsidR="00065682" w:rsidRPr="004A479D" w:rsidRDefault="00065682" w:rsidP="00065682">
      <w:pPr>
        <w:pStyle w:val="Item"/>
      </w:pPr>
      <w:r w:rsidRPr="004A479D">
        <w:t>Insert:</w:t>
      </w:r>
    </w:p>
    <w:p w:rsidR="00065682" w:rsidRPr="004A479D" w:rsidRDefault="00065682" w:rsidP="00065682">
      <w:pPr>
        <w:pStyle w:val="ActHead5"/>
      </w:pPr>
      <w:bookmarkStart w:id="12" w:name="_Toc460494738"/>
      <w:r w:rsidRPr="004A479D">
        <w:rPr>
          <w:rStyle w:val="CharSectno"/>
        </w:rPr>
        <w:t>7.8.06B</w:t>
      </w:r>
      <w:r w:rsidRPr="004A479D">
        <w:t xml:space="preserve">  Wholesale client property</w:t>
      </w:r>
      <w:bookmarkEnd w:id="12"/>
    </w:p>
    <w:p w:rsidR="00065682" w:rsidRPr="004A479D" w:rsidRDefault="00DA7E87" w:rsidP="00065682">
      <w:pPr>
        <w:pStyle w:val="subsection"/>
      </w:pPr>
      <w:r w:rsidRPr="004A479D">
        <w:tab/>
      </w:r>
      <w:r w:rsidR="00065682" w:rsidRPr="004A479D">
        <w:tab/>
        <w:t>For the purposes of paragraph</w:t>
      </w:r>
      <w:r w:rsidR="004A479D" w:rsidRPr="004A479D">
        <w:t> </w:t>
      </w:r>
      <w:r w:rsidR="00065682" w:rsidRPr="004A479D">
        <w:t xml:space="preserve">984A(2)(a) of the Act, </w:t>
      </w:r>
      <w:r w:rsidR="00914F62" w:rsidRPr="004A479D">
        <w:t>property given as mentioned in subsection</w:t>
      </w:r>
      <w:r w:rsidR="004A479D" w:rsidRPr="004A479D">
        <w:t> </w:t>
      </w:r>
      <w:r w:rsidR="00914F62" w:rsidRPr="004A479D">
        <w:t xml:space="preserve">984A(1) of the Act is exempt from </w:t>
      </w:r>
      <w:r w:rsidR="00065682" w:rsidRPr="004A479D">
        <w:t>Division</w:t>
      </w:r>
      <w:r w:rsidR="004A479D" w:rsidRPr="004A479D">
        <w:t> </w:t>
      </w:r>
      <w:r w:rsidR="00065682" w:rsidRPr="004A479D">
        <w:t>3 of Part</w:t>
      </w:r>
      <w:r w:rsidR="004A479D" w:rsidRPr="004A479D">
        <w:t> </w:t>
      </w:r>
      <w:r w:rsidR="00065682" w:rsidRPr="004A479D">
        <w:t xml:space="preserve">7.8 of the Act </w:t>
      </w:r>
      <w:r w:rsidR="001E626E" w:rsidRPr="004A479D">
        <w:t xml:space="preserve">at a time </w:t>
      </w:r>
      <w:r w:rsidR="00065682" w:rsidRPr="004A479D">
        <w:t>if:</w:t>
      </w:r>
    </w:p>
    <w:p w:rsidR="00DA7E87" w:rsidRPr="004A479D" w:rsidRDefault="00DA7E87" w:rsidP="00DA7E87">
      <w:pPr>
        <w:pStyle w:val="paragraph"/>
      </w:pPr>
      <w:r w:rsidRPr="004A479D">
        <w:tab/>
        <w:t>(a)</w:t>
      </w:r>
      <w:r w:rsidRPr="004A479D">
        <w:tab/>
        <w:t>at that tim</w:t>
      </w:r>
      <w:r w:rsidR="000615E5" w:rsidRPr="004A479D">
        <w:t>e</w:t>
      </w:r>
      <w:r w:rsidRPr="004A479D">
        <w:t xml:space="preserve"> the licensee has the client’s written agreement to the property being dealt with other than in accordance with that Division; and</w:t>
      </w:r>
    </w:p>
    <w:p w:rsidR="00DA7E87" w:rsidRPr="004A479D" w:rsidRDefault="00DA7E87" w:rsidP="00DA7E87">
      <w:pPr>
        <w:pStyle w:val="noteToPara"/>
      </w:pPr>
      <w:r w:rsidRPr="004A479D">
        <w:t>Note 1:</w:t>
      </w:r>
      <w:r w:rsidRPr="004A479D">
        <w:tab/>
        <w:t>It is not necessary for the agreement to mention that Division explicitly.</w:t>
      </w:r>
    </w:p>
    <w:p w:rsidR="00DA7E87" w:rsidRPr="004A479D" w:rsidRDefault="00DA7E87" w:rsidP="00DA7E87">
      <w:pPr>
        <w:pStyle w:val="noteToPara"/>
      </w:pPr>
      <w:r w:rsidRPr="004A479D">
        <w:t>Note 2:</w:t>
      </w:r>
      <w:r w:rsidRPr="004A479D">
        <w:tab/>
        <w:t>If the licensee obtains the agreement after the property is given, that Division ceases to apply to the property when the licensee obtains the agreement.</w:t>
      </w:r>
    </w:p>
    <w:p w:rsidR="00C50B3B" w:rsidRPr="004A479D" w:rsidRDefault="00C50B3B" w:rsidP="00C50B3B">
      <w:pPr>
        <w:pStyle w:val="paragraph"/>
      </w:pPr>
      <w:r w:rsidRPr="004A479D">
        <w:tab/>
        <w:t>(</w:t>
      </w:r>
      <w:r w:rsidR="00DA7E87" w:rsidRPr="004A479D">
        <w:t>b</w:t>
      </w:r>
      <w:r w:rsidRPr="004A479D">
        <w:t>)</w:t>
      </w:r>
      <w:r w:rsidRPr="004A479D">
        <w:tab/>
        <w:t>either:</w:t>
      </w:r>
    </w:p>
    <w:p w:rsidR="00C50B3B" w:rsidRPr="004A479D" w:rsidRDefault="00C50B3B" w:rsidP="00C50B3B">
      <w:pPr>
        <w:pStyle w:val="paragraphsub"/>
      </w:pPr>
      <w:r w:rsidRPr="004A479D">
        <w:tab/>
        <w:t>(i)</w:t>
      </w:r>
      <w:r w:rsidRPr="004A479D">
        <w:tab/>
        <w:t>the financial service referred to in subparagraph</w:t>
      </w:r>
      <w:r w:rsidR="004A479D" w:rsidRPr="004A479D">
        <w:t> </w:t>
      </w:r>
      <w:r w:rsidR="00065682" w:rsidRPr="004A479D">
        <w:t>984A</w:t>
      </w:r>
      <w:r w:rsidRPr="004A479D">
        <w:t xml:space="preserve">(1)(a)(i) </w:t>
      </w:r>
      <w:r w:rsidR="00065682" w:rsidRPr="004A479D">
        <w:t xml:space="preserve">of the Act </w:t>
      </w:r>
      <w:r w:rsidRPr="004A479D">
        <w:t>is or relates to a dealing in a derivative; or</w:t>
      </w:r>
    </w:p>
    <w:p w:rsidR="00C50B3B" w:rsidRPr="004A479D" w:rsidRDefault="00C50B3B" w:rsidP="00C50B3B">
      <w:pPr>
        <w:pStyle w:val="paragraphsub"/>
      </w:pPr>
      <w:r w:rsidRPr="004A479D">
        <w:tab/>
        <w:t>(ii)</w:t>
      </w:r>
      <w:r w:rsidRPr="004A479D">
        <w:tab/>
        <w:t>the financial product referred to in subparagraph</w:t>
      </w:r>
      <w:r w:rsidR="004A479D" w:rsidRPr="004A479D">
        <w:t> </w:t>
      </w:r>
      <w:r w:rsidR="00065682" w:rsidRPr="004A479D">
        <w:t>984A</w:t>
      </w:r>
      <w:r w:rsidRPr="004A479D">
        <w:t xml:space="preserve">(1)(a)(ii) </w:t>
      </w:r>
      <w:r w:rsidR="00065682" w:rsidRPr="004A479D">
        <w:t xml:space="preserve">of the Act </w:t>
      </w:r>
      <w:r w:rsidRPr="004A479D">
        <w:t>is a derivative; and</w:t>
      </w:r>
    </w:p>
    <w:p w:rsidR="00C50B3B" w:rsidRPr="004A479D" w:rsidRDefault="00DA7E87" w:rsidP="00C50B3B">
      <w:pPr>
        <w:pStyle w:val="paragraph"/>
      </w:pPr>
      <w:r w:rsidRPr="004A479D">
        <w:tab/>
        <w:t>(c</w:t>
      </w:r>
      <w:r w:rsidR="00C50B3B" w:rsidRPr="004A479D">
        <w:t>)</w:t>
      </w:r>
      <w:r w:rsidR="00C50B3B" w:rsidRPr="004A479D">
        <w:tab/>
        <w:t>th</w:t>
      </w:r>
      <w:r w:rsidR="001E626E" w:rsidRPr="004A479D">
        <w:t>e entry into of the derivative wa</w:t>
      </w:r>
      <w:r w:rsidR="00C50B3B" w:rsidRPr="004A479D">
        <w:t xml:space="preserve">s not </w:t>
      </w:r>
      <w:r w:rsidR="0073739A" w:rsidRPr="004A479D">
        <w:t xml:space="preserve">or </w:t>
      </w:r>
      <w:r w:rsidR="00C34C02" w:rsidRPr="004A479D">
        <w:t>will</w:t>
      </w:r>
      <w:r w:rsidR="0073739A" w:rsidRPr="004A479D">
        <w:t xml:space="preserve"> not </w:t>
      </w:r>
      <w:r w:rsidR="00C34C02" w:rsidRPr="004A479D">
        <w:t xml:space="preserve">be </w:t>
      </w:r>
      <w:r w:rsidR="00C50B3B" w:rsidRPr="004A479D">
        <w:t>cleared through a clearing and settlement facility; and</w:t>
      </w:r>
    </w:p>
    <w:p w:rsidR="001E626E" w:rsidRPr="004A479D" w:rsidRDefault="00DA7E87" w:rsidP="001E626E">
      <w:pPr>
        <w:pStyle w:val="paragraph"/>
      </w:pPr>
      <w:r w:rsidRPr="004A479D">
        <w:tab/>
        <w:t>(d</w:t>
      </w:r>
      <w:r w:rsidR="001E626E" w:rsidRPr="004A479D">
        <w:t>)</w:t>
      </w:r>
      <w:r w:rsidR="001E626E" w:rsidRPr="004A479D">
        <w:tab/>
        <w:t xml:space="preserve">the financial service or product would </w:t>
      </w:r>
      <w:r w:rsidR="00581D06" w:rsidRPr="004A479D">
        <w:t xml:space="preserve">have been </w:t>
      </w:r>
      <w:r w:rsidR="001E626E" w:rsidRPr="004A479D">
        <w:t>provided to the client as a wholesale client if:</w:t>
      </w:r>
    </w:p>
    <w:p w:rsidR="001E626E" w:rsidRPr="004A479D" w:rsidRDefault="001E626E" w:rsidP="001E626E">
      <w:pPr>
        <w:pStyle w:val="paragraphsub"/>
      </w:pPr>
      <w:r w:rsidRPr="004A479D">
        <w:tab/>
        <w:t>(i)</w:t>
      </w:r>
      <w:r w:rsidRPr="004A479D">
        <w:tab/>
        <w:t>the service or product were provided to the client when the p</w:t>
      </w:r>
      <w:r w:rsidR="00581D06" w:rsidRPr="004A479D">
        <w:t>roperty wa</w:t>
      </w:r>
      <w:r w:rsidRPr="004A479D">
        <w:t>s given; and</w:t>
      </w:r>
    </w:p>
    <w:p w:rsidR="001E626E" w:rsidRPr="004A479D" w:rsidRDefault="001E626E" w:rsidP="001E626E">
      <w:pPr>
        <w:pStyle w:val="paragraphsub"/>
      </w:pPr>
      <w:r w:rsidRPr="004A479D">
        <w:tab/>
        <w:t>(ii)</w:t>
      </w:r>
      <w:r w:rsidRPr="004A479D">
        <w:tab/>
        <w:t>section</w:t>
      </w:r>
      <w:r w:rsidR="004A479D" w:rsidRPr="004A479D">
        <w:t> </w:t>
      </w:r>
      <w:r w:rsidRPr="004A479D">
        <w:t>761GA of the Act (about sophisticated investors)</w:t>
      </w:r>
      <w:r w:rsidR="00DA7E87" w:rsidRPr="004A479D">
        <w:t xml:space="preserve"> did not apply.</w:t>
      </w:r>
    </w:p>
    <w:p w:rsidR="00065682" w:rsidRPr="004A479D" w:rsidRDefault="00065682" w:rsidP="00A80E44">
      <w:pPr>
        <w:pStyle w:val="ItemHead"/>
      </w:pPr>
      <w:r w:rsidRPr="004A479D">
        <w:t xml:space="preserve">3  </w:t>
      </w:r>
      <w:r w:rsidR="00A80E44" w:rsidRPr="004A479D">
        <w:t>In the appropriate position in Chapter</w:t>
      </w:r>
      <w:r w:rsidR="004A479D" w:rsidRPr="004A479D">
        <w:t> </w:t>
      </w:r>
      <w:r w:rsidR="00A80E44" w:rsidRPr="004A479D">
        <w:t>10</w:t>
      </w:r>
    </w:p>
    <w:p w:rsidR="00A80E44" w:rsidRPr="004A479D" w:rsidRDefault="00A80E44" w:rsidP="00A80E44">
      <w:pPr>
        <w:pStyle w:val="Item"/>
      </w:pPr>
      <w:r w:rsidRPr="004A479D">
        <w:t>Insert:</w:t>
      </w:r>
    </w:p>
    <w:p w:rsidR="00A80E44" w:rsidRPr="004A479D" w:rsidRDefault="00A80E44" w:rsidP="00A80E44">
      <w:pPr>
        <w:pStyle w:val="ActHead2"/>
      </w:pPr>
      <w:bookmarkStart w:id="13" w:name="_Toc460494739"/>
      <w:r w:rsidRPr="004A479D">
        <w:rPr>
          <w:rStyle w:val="CharPartNo"/>
        </w:rPr>
        <w:t>Part</w:t>
      </w:r>
      <w:r w:rsidR="004A479D" w:rsidRPr="004A479D">
        <w:rPr>
          <w:rStyle w:val="CharPartNo"/>
        </w:rPr>
        <w:t> </w:t>
      </w:r>
      <w:r w:rsidRPr="004A479D">
        <w:rPr>
          <w:rStyle w:val="CharPartNo"/>
        </w:rPr>
        <w:t>10.24</w:t>
      </w:r>
      <w:r w:rsidRPr="004A479D">
        <w:t>—</w:t>
      </w:r>
      <w:r w:rsidRPr="004A479D">
        <w:rPr>
          <w:rStyle w:val="CharPartText"/>
        </w:rPr>
        <w:t xml:space="preserve">Application provisions relating to the </w:t>
      </w:r>
      <w:r w:rsidR="00BE6F6C" w:rsidRPr="004A479D">
        <w:rPr>
          <w:rStyle w:val="CharPartText"/>
        </w:rPr>
        <w:t>Financial Services Legislation</w:t>
      </w:r>
      <w:r w:rsidRPr="004A479D">
        <w:rPr>
          <w:rStyle w:val="CharPartText"/>
        </w:rPr>
        <w:t xml:space="preserve"> Amendment (</w:t>
      </w:r>
      <w:r w:rsidR="009C1923" w:rsidRPr="004A479D">
        <w:rPr>
          <w:rStyle w:val="CharPartText"/>
        </w:rPr>
        <w:t>Wholesale Margining</w:t>
      </w:r>
      <w:r w:rsidRPr="004A479D">
        <w:rPr>
          <w:rStyle w:val="CharPartText"/>
        </w:rPr>
        <w:t>) Regulation</w:t>
      </w:r>
      <w:r w:rsidR="004A479D" w:rsidRPr="004A479D">
        <w:rPr>
          <w:rStyle w:val="CharPartText"/>
        </w:rPr>
        <w:t> </w:t>
      </w:r>
      <w:r w:rsidRPr="004A479D">
        <w:rPr>
          <w:rStyle w:val="CharPartText"/>
        </w:rPr>
        <w:t>2016</w:t>
      </w:r>
      <w:bookmarkEnd w:id="13"/>
    </w:p>
    <w:p w:rsidR="00A80E44" w:rsidRPr="004A479D" w:rsidRDefault="00A80E44" w:rsidP="00A80E44">
      <w:pPr>
        <w:pStyle w:val="Header"/>
      </w:pPr>
      <w:r w:rsidRPr="004A479D">
        <w:rPr>
          <w:rStyle w:val="CharDivNo"/>
        </w:rPr>
        <w:t xml:space="preserve"> </w:t>
      </w:r>
      <w:r w:rsidRPr="004A479D">
        <w:rPr>
          <w:rStyle w:val="CharDivText"/>
        </w:rPr>
        <w:t xml:space="preserve"> </w:t>
      </w:r>
    </w:p>
    <w:p w:rsidR="00C50B3B" w:rsidRPr="004A479D" w:rsidRDefault="00A80E44" w:rsidP="00A80E44">
      <w:pPr>
        <w:pStyle w:val="ActHead5"/>
      </w:pPr>
      <w:bookmarkStart w:id="14" w:name="_Toc460494740"/>
      <w:r w:rsidRPr="004A479D">
        <w:rPr>
          <w:rStyle w:val="CharSectno"/>
        </w:rPr>
        <w:t>10.24.01</w:t>
      </w:r>
      <w:r w:rsidRPr="004A479D">
        <w:t xml:space="preserve">  Application of regulations</w:t>
      </w:r>
      <w:r w:rsidR="004A479D" w:rsidRPr="004A479D">
        <w:t> </w:t>
      </w:r>
      <w:r w:rsidRPr="004A479D">
        <w:t>7.8.01A and 7.8.06B</w:t>
      </w:r>
      <w:bookmarkEnd w:id="14"/>
    </w:p>
    <w:p w:rsidR="00C50B3B" w:rsidRPr="004A479D" w:rsidRDefault="00C50B3B" w:rsidP="00C50B3B">
      <w:pPr>
        <w:pStyle w:val="Subitem"/>
      </w:pPr>
      <w:r w:rsidRPr="004A479D">
        <w:t>(1)</w:t>
      </w:r>
      <w:r w:rsidRPr="004A479D">
        <w:tab/>
      </w:r>
      <w:r w:rsidR="00A80E44" w:rsidRPr="004A479D">
        <w:t>Regulation</w:t>
      </w:r>
      <w:r w:rsidR="004A479D" w:rsidRPr="004A479D">
        <w:t> </w:t>
      </w:r>
      <w:r w:rsidR="00A80E44" w:rsidRPr="004A479D">
        <w:t>7.8.01A</w:t>
      </w:r>
      <w:r w:rsidRPr="004A479D">
        <w:t xml:space="preserve">, as </w:t>
      </w:r>
      <w:r w:rsidR="00A80E44" w:rsidRPr="004A479D">
        <w:t xml:space="preserve">inserted by the </w:t>
      </w:r>
      <w:r w:rsidR="00BE6F6C" w:rsidRPr="004A479D">
        <w:rPr>
          <w:i/>
        </w:rPr>
        <w:t>Financial Services Legislation Amendment (</w:t>
      </w:r>
      <w:r w:rsidR="009C1923" w:rsidRPr="004A479D">
        <w:rPr>
          <w:i/>
        </w:rPr>
        <w:t>Wholesale Margining</w:t>
      </w:r>
      <w:r w:rsidR="00BE6F6C" w:rsidRPr="004A479D">
        <w:rPr>
          <w:i/>
        </w:rPr>
        <w:t>)</w:t>
      </w:r>
      <w:r w:rsidR="00A80E44" w:rsidRPr="004A479D">
        <w:rPr>
          <w:i/>
        </w:rPr>
        <w:t xml:space="preserve"> Regulation</w:t>
      </w:r>
      <w:r w:rsidR="004A479D" w:rsidRPr="004A479D">
        <w:rPr>
          <w:i/>
        </w:rPr>
        <w:t> </w:t>
      </w:r>
      <w:r w:rsidR="00A80E44" w:rsidRPr="004A479D">
        <w:rPr>
          <w:i/>
        </w:rPr>
        <w:t>2016</w:t>
      </w:r>
      <w:r w:rsidRPr="004A479D">
        <w:t xml:space="preserve">, applies in relation to </w:t>
      </w:r>
      <w:r w:rsidR="00165BD3" w:rsidRPr="004A479D">
        <w:t xml:space="preserve">a client’s written </w:t>
      </w:r>
      <w:r w:rsidRPr="004A479D">
        <w:t xml:space="preserve">agreement obtained on or after the commencement of this </w:t>
      </w:r>
      <w:r w:rsidR="00A80E44" w:rsidRPr="004A479D">
        <w:t>regulation</w:t>
      </w:r>
      <w:r w:rsidRPr="004A479D">
        <w:t>, whether the money was paid to the licensee as mentioned in subsection</w:t>
      </w:r>
      <w:r w:rsidR="004A479D" w:rsidRPr="004A479D">
        <w:t> </w:t>
      </w:r>
      <w:r w:rsidRPr="004A479D">
        <w:t>981A(1) of th</w:t>
      </w:r>
      <w:r w:rsidR="00A80E44" w:rsidRPr="004A479D">
        <w:t>e</w:t>
      </w:r>
      <w:r w:rsidRPr="004A479D">
        <w:t xml:space="preserve"> Act before, on or after that commencement.</w:t>
      </w:r>
    </w:p>
    <w:p w:rsidR="00C50B3B" w:rsidRPr="004A479D" w:rsidRDefault="00C50B3B" w:rsidP="00C50B3B">
      <w:pPr>
        <w:pStyle w:val="Subitem"/>
      </w:pPr>
      <w:r w:rsidRPr="004A479D">
        <w:t>(2)</w:t>
      </w:r>
      <w:r w:rsidRPr="004A479D">
        <w:tab/>
      </w:r>
      <w:r w:rsidR="00A80E44" w:rsidRPr="004A479D">
        <w:t>Regulation</w:t>
      </w:r>
      <w:r w:rsidR="004A479D" w:rsidRPr="004A479D">
        <w:t> </w:t>
      </w:r>
      <w:r w:rsidR="00A80E44" w:rsidRPr="004A479D">
        <w:t>7.8.06B</w:t>
      </w:r>
      <w:r w:rsidRPr="004A479D">
        <w:t xml:space="preserve">, as </w:t>
      </w:r>
      <w:r w:rsidR="00A80E44" w:rsidRPr="004A479D">
        <w:t>inserted</w:t>
      </w:r>
      <w:r w:rsidRPr="004A479D">
        <w:t xml:space="preserve"> by </w:t>
      </w:r>
      <w:r w:rsidR="00A80E44" w:rsidRPr="004A479D">
        <w:t xml:space="preserve">the </w:t>
      </w:r>
      <w:r w:rsidR="00BE6F6C" w:rsidRPr="004A479D">
        <w:rPr>
          <w:i/>
        </w:rPr>
        <w:t>Financial Services Legislation Amendment (</w:t>
      </w:r>
      <w:r w:rsidR="009C1923" w:rsidRPr="004A479D">
        <w:rPr>
          <w:i/>
        </w:rPr>
        <w:t>Wholesale Margining</w:t>
      </w:r>
      <w:r w:rsidR="00BE6F6C" w:rsidRPr="004A479D">
        <w:rPr>
          <w:i/>
        </w:rPr>
        <w:t xml:space="preserve">) </w:t>
      </w:r>
      <w:r w:rsidR="00A80E44" w:rsidRPr="004A479D">
        <w:rPr>
          <w:i/>
        </w:rPr>
        <w:t>Regulation</w:t>
      </w:r>
      <w:r w:rsidR="004A479D" w:rsidRPr="004A479D">
        <w:rPr>
          <w:i/>
        </w:rPr>
        <w:t> </w:t>
      </w:r>
      <w:r w:rsidR="00A80E44" w:rsidRPr="004A479D">
        <w:rPr>
          <w:i/>
        </w:rPr>
        <w:t>2016</w:t>
      </w:r>
      <w:r w:rsidRPr="004A479D">
        <w:t>, applies in relation to</w:t>
      </w:r>
      <w:r w:rsidR="00165BD3" w:rsidRPr="004A479D">
        <w:t xml:space="preserve"> a</w:t>
      </w:r>
      <w:r w:rsidRPr="004A479D">
        <w:t xml:space="preserve"> </w:t>
      </w:r>
      <w:r w:rsidR="00165BD3" w:rsidRPr="004A479D">
        <w:t xml:space="preserve">client’s written </w:t>
      </w:r>
      <w:r w:rsidRPr="004A479D">
        <w:t>agreement obtained on or aft</w:t>
      </w:r>
      <w:r w:rsidR="00A80E44" w:rsidRPr="004A479D">
        <w:t>er the commencement of this regulation</w:t>
      </w:r>
      <w:r w:rsidRPr="004A479D">
        <w:t>, whether the property was given to the licensee as mentioned in subsection</w:t>
      </w:r>
      <w:r w:rsidR="004A479D" w:rsidRPr="004A479D">
        <w:t> </w:t>
      </w:r>
      <w:r w:rsidRPr="004A479D">
        <w:t>984A(1) of th</w:t>
      </w:r>
      <w:r w:rsidR="00A80E44" w:rsidRPr="004A479D">
        <w:t>e</w:t>
      </w:r>
      <w:r w:rsidRPr="004A479D">
        <w:t xml:space="preserve"> Act before, on or after that commencement.</w:t>
      </w:r>
    </w:p>
    <w:p w:rsidR="0032368E" w:rsidRPr="004A479D" w:rsidRDefault="0032368E" w:rsidP="0032368E">
      <w:pPr>
        <w:pStyle w:val="ActHead6"/>
        <w:pageBreakBefore/>
      </w:pPr>
      <w:bookmarkStart w:id="15" w:name="_Toc460494741"/>
      <w:r w:rsidRPr="004A479D">
        <w:rPr>
          <w:rStyle w:val="CharAmSchNo"/>
        </w:rPr>
        <w:t>Schedule</w:t>
      </w:r>
      <w:r w:rsidR="004A479D" w:rsidRPr="004A479D">
        <w:rPr>
          <w:rStyle w:val="CharAmSchNo"/>
        </w:rPr>
        <w:t> </w:t>
      </w:r>
      <w:r w:rsidRPr="004A479D">
        <w:rPr>
          <w:rStyle w:val="CharAmSchNo"/>
        </w:rPr>
        <w:t>2</w:t>
      </w:r>
      <w:r w:rsidRPr="004A479D">
        <w:t>—</w:t>
      </w:r>
      <w:r w:rsidRPr="004A479D">
        <w:rPr>
          <w:rStyle w:val="CharAmSchText"/>
        </w:rPr>
        <w:t>Life Insurance Regulations</w:t>
      </w:r>
      <w:r w:rsidR="004A479D" w:rsidRPr="004A479D">
        <w:rPr>
          <w:rStyle w:val="CharAmSchText"/>
        </w:rPr>
        <w:t> </w:t>
      </w:r>
      <w:r w:rsidRPr="004A479D">
        <w:rPr>
          <w:rStyle w:val="CharAmSchText"/>
        </w:rPr>
        <w:t>1995</w:t>
      </w:r>
      <w:bookmarkEnd w:id="15"/>
    </w:p>
    <w:p w:rsidR="0032368E" w:rsidRPr="004A479D" w:rsidRDefault="0032368E" w:rsidP="0032368E">
      <w:pPr>
        <w:pStyle w:val="Header"/>
      </w:pPr>
      <w:r w:rsidRPr="004A479D">
        <w:rPr>
          <w:rStyle w:val="CharAmPartNo"/>
        </w:rPr>
        <w:t xml:space="preserve"> </w:t>
      </w:r>
      <w:r w:rsidRPr="004A479D">
        <w:rPr>
          <w:rStyle w:val="CharAmPartText"/>
        </w:rPr>
        <w:t xml:space="preserve"> </w:t>
      </w:r>
    </w:p>
    <w:p w:rsidR="00BA6EFE" w:rsidRPr="004A479D" w:rsidRDefault="00BA6EFE" w:rsidP="00BA6EFE">
      <w:pPr>
        <w:pStyle w:val="ActHead9"/>
      </w:pPr>
      <w:bookmarkStart w:id="16" w:name="_Toc460494742"/>
      <w:r w:rsidRPr="004A479D">
        <w:t>Life Insurance Regulations</w:t>
      </w:r>
      <w:r w:rsidR="004A479D" w:rsidRPr="004A479D">
        <w:t> </w:t>
      </w:r>
      <w:r w:rsidRPr="004A479D">
        <w:t>1995</w:t>
      </w:r>
      <w:bookmarkEnd w:id="16"/>
    </w:p>
    <w:p w:rsidR="00CD0916" w:rsidRPr="004A479D" w:rsidRDefault="006C182D" w:rsidP="00CD0916">
      <w:pPr>
        <w:pStyle w:val="ItemHead"/>
      </w:pPr>
      <w:r w:rsidRPr="004A479D">
        <w:t>1</w:t>
      </w:r>
      <w:r w:rsidR="00CD0916" w:rsidRPr="004A479D">
        <w:t xml:space="preserve">  Clause</w:t>
      </w:r>
      <w:r w:rsidR="004A479D" w:rsidRPr="004A479D">
        <w:t> </w:t>
      </w:r>
      <w:r w:rsidR="00CD0916" w:rsidRPr="004A479D">
        <w:t>1 of Schedule</w:t>
      </w:r>
      <w:r w:rsidR="004A479D" w:rsidRPr="004A479D">
        <w:t> </w:t>
      </w:r>
      <w:r w:rsidR="00CD0916" w:rsidRPr="004A479D">
        <w:t>7 (before table item</w:t>
      </w:r>
      <w:r w:rsidR="004A479D" w:rsidRPr="004A479D">
        <w:t> </w:t>
      </w:r>
      <w:r w:rsidR="00CD0916" w:rsidRPr="004A479D">
        <w:t>1)</w:t>
      </w:r>
    </w:p>
    <w:p w:rsidR="00CD0916" w:rsidRPr="004A479D" w:rsidRDefault="00CD0916" w:rsidP="00CD0916">
      <w:pPr>
        <w:pStyle w:val="Item"/>
      </w:pPr>
      <w:r w:rsidRPr="004A479D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CD0916" w:rsidRPr="004A479D" w:rsidTr="00BC0192">
        <w:tc>
          <w:tcPr>
            <w:tcW w:w="428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1A</w:t>
            </w:r>
          </w:p>
        </w:tc>
        <w:tc>
          <w:tcPr>
            <w:tcW w:w="4572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AB NASDAQ Vilnius (XLIT)</w:t>
            </w:r>
          </w:p>
        </w:tc>
      </w:tr>
    </w:tbl>
    <w:p w:rsidR="00BA6EFE" w:rsidRPr="004A479D" w:rsidRDefault="006C182D" w:rsidP="00BA6EFE">
      <w:pPr>
        <w:pStyle w:val="ItemHead"/>
      </w:pPr>
      <w:r w:rsidRPr="004A479D">
        <w:t>2</w:t>
      </w:r>
      <w:r w:rsidR="00BA6EFE" w:rsidRPr="004A479D">
        <w:t xml:space="preserve">  </w:t>
      </w:r>
      <w:r w:rsidR="001C7168" w:rsidRPr="004A479D">
        <w:t>Clause</w:t>
      </w:r>
      <w:r w:rsidR="004A479D" w:rsidRPr="004A479D">
        <w:t> </w:t>
      </w:r>
      <w:r w:rsidR="001C7168" w:rsidRPr="004A479D">
        <w:t>1 of Schedule</w:t>
      </w:r>
      <w:r w:rsidR="004A479D" w:rsidRPr="004A479D">
        <w:t> </w:t>
      </w:r>
      <w:r w:rsidR="001C7168" w:rsidRPr="004A479D">
        <w:t>7 (table item</w:t>
      </w:r>
      <w:r w:rsidR="00F94213" w:rsidRPr="004A479D">
        <w:t>s</w:t>
      </w:r>
      <w:r w:rsidR="004A479D" w:rsidRPr="004A479D">
        <w:t> </w:t>
      </w:r>
      <w:r w:rsidR="001C7168" w:rsidRPr="004A479D">
        <w:t>5</w:t>
      </w:r>
      <w:r w:rsidR="00F94213" w:rsidRPr="004A479D">
        <w:t xml:space="preserve"> and 6</w:t>
      </w:r>
      <w:r w:rsidR="001C7168" w:rsidRPr="004A479D">
        <w:t>)</w:t>
      </w:r>
    </w:p>
    <w:p w:rsidR="00F94213" w:rsidRPr="004A479D" w:rsidRDefault="00F94213" w:rsidP="00F94213">
      <w:pPr>
        <w:pStyle w:val="Item"/>
      </w:pPr>
      <w:r w:rsidRPr="004A479D">
        <w:t>Repeal the items, substitute:</w:t>
      </w:r>
    </w:p>
    <w:tbl>
      <w:tblPr>
        <w:tblW w:w="5000" w:type="pct"/>
        <w:tblBorders>
          <w:bottom w:val="single" w:sz="4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0"/>
        <w:gridCol w:w="7799"/>
      </w:tblGrid>
      <w:tr w:rsidR="00F94213" w:rsidRPr="004A479D" w:rsidDel="00473B78" w:rsidTr="00A5363F">
        <w:tc>
          <w:tcPr>
            <w:tcW w:w="428" w:type="pct"/>
            <w:tcBorders>
              <w:bottom w:val="single" w:sz="2" w:space="0" w:color="auto"/>
            </w:tcBorders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5</w:t>
            </w:r>
          </w:p>
        </w:tc>
        <w:tc>
          <w:tcPr>
            <w:tcW w:w="4572" w:type="pct"/>
            <w:tcBorders>
              <w:bottom w:val="single" w:sz="2" w:space="0" w:color="auto"/>
            </w:tcBorders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Athens Exchange (ATHEX)</w:t>
            </w:r>
          </w:p>
        </w:tc>
      </w:tr>
      <w:tr w:rsidR="00F94213" w:rsidRPr="004A479D" w:rsidDel="00473B78" w:rsidTr="00A5363F">
        <w:tc>
          <w:tcPr>
            <w:tcW w:w="42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6</w:t>
            </w:r>
          </w:p>
        </w:tc>
        <w:tc>
          <w:tcPr>
            <w:tcW w:w="457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Athens Exchange Clearing House (ATHEX Clear)</w:t>
            </w:r>
          </w:p>
        </w:tc>
      </w:tr>
    </w:tbl>
    <w:p w:rsidR="00FF0557" w:rsidRPr="004A479D" w:rsidRDefault="006C182D" w:rsidP="00FF0557">
      <w:pPr>
        <w:pStyle w:val="ItemHead"/>
      </w:pPr>
      <w:r w:rsidRPr="004A479D">
        <w:t>3</w:t>
      </w:r>
      <w:r w:rsidR="00FF0557" w:rsidRPr="004A479D">
        <w:t xml:space="preserve">  Clause</w:t>
      </w:r>
      <w:r w:rsidR="004A479D" w:rsidRPr="004A479D">
        <w:t> </w:t>
      </w:r>
      <w:r w:rsidR="00FF0557" w:rsidRPr="004A479D">
        <w:t>1 of Schedule</w:t>
      </w:r>
      <w:r w:rsidR="004A479D" w:rsidRPr="004A479D">
        <w:t> </w:t>
      </w:r>
      <w:r w:rsidR="00FF0557" w:rsidRPr="004A479D">
        <w:t>7 (after table item</w:t>
      </w:r>
      <w:r w:rsidR="004A479D" w:rsidRPr="004A479D">
        <w:t> </w:t>
      </w:r>
      <w:r w:rsidR="00FF0557" w:rsidRPr="004A479D">
        <w:t>11)</w:t>
      </w:r>
    </w:p>
    <w:p w:rsidR="00FF0557" w:rsidRPr="004A479D" w:rsidRDefault="00FF0557" w:rsidP="00FF0557">
      <w:pPr>
        <w:pStyle w:val="Item"/>
      </w:pPr>
      <w:r w:rsidRPr="004A479D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FF0557" w:rsidRPr="004A479D" w:rsidTr="00BC0192">
        <w:tc>
          <w:tcPr>
            <w:tcW w:w="428" w:type="pct"/>
            <w:shd w:val="clear" w:color="auto" w:fill="auto"/>
          </w:tcPr>
          <w:p w:rsidR="00FF0557" w:rsidRPr="004A479D" w:rsidRDefault="00FF0557" w:rsidP="00BC0192">
            <w:pPr>
              <w:pStyle w:val="Tabletext"/>
            </w:pPr>
            <w:r w:rsidRPr="004A479D">
              <w:t>11A</w:t>
            </w:r>
          </w:p>
        </w:tc>
        <w:tc>
          <w:tcPr>
            <w:tcW w:w="4572" w:type="pct"/>
            <w:shd w:val="clear" w:color="auto" w:fill="auto"/>
          </w:tcPr>
          <w:p w:rsidR="00FF0557" w:rsidRPr="004A479D" w:rsidRDefault="00FF0557" w:rsidP="00BC0192">
            <w:pPr>
              <w:pStyle w:val="Tabletext"/>
            </w:pPr>
            <w:r w:rsidRPr="004A479D">
              <w:t>Borsa Istanbul Futures &amp; Options Market</w:t>
            </w:r>
          </w:p>
        </w:tc>
      </w:tr>
    </w:tbl>
    <w:p w:rsidR="00F94213" w:rsidRPr="004A479D" w:rsidRDefault="006C182D" w:rsidP="00F94213">
      <w:pPr>
        <w:pStyle w:val="ItemHead"/>
      </w:pPr>
      <w:r w:rsidRPr="004A479D">
        <w:t>4</w:t>
      </w:r>
      <w:r w:rsidR="00F94213" w:rsidRPr="004A479D">
        <w:t xml:space="preserve">  Clause</w:t>
      </w:r>
      <w:r w:rsidR="004A479D" w:rsidRPr="004A479D">
        <w:t> </w:t>
      </w:r>
      <w:r w:rsidR="00F94213" w:rsidRPr="004A479D">
        <w:t>1 of Schedule</w:t>
      </w:r>
      <w:r w:rsidR="004A479D" w:rsidRPr="004A479D">
        <w:t> </w:t>
      </w:r>
      <w:r w:rsidR="00F94213" w:rsidRPr="004A479D">
        <w:t>7 (table items</w:t>
      </w:r>
      <w:r w:rsidR="004A479D" w:rsidRPr="004A479D">
        <w:t> </w:t>
      </w:r>
      <w:r w:rsidR="00F94213" w:rsidRPr="004A479D">
        <w:t>13 and 14)</w:t>
      </w:r>
    </w:p>
    <w:p w:rsidR="00F94213" w:rsidRPr="004A479D" w:rsidRDefault="00F94213" w:rsidP="00F94213">
      <w:pPr>
        <w:pStyle w:val="Item"/>
      </w:pPr>
      <w:r w:rsidRPr="004A479D">
        <w:t>Repeal the items, substitute:</w:t>
      </w: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0"/>
        <w:gridCol w:w="7799"/>
      </w:tblGrid>
      <w:tr w:rsidR="00F94213" w:rsidRPr="004A479D" w:rsidTr="00A5363F">
        <w:tc>
          <w:tcPr>
            <w:tcW w:w="428" w:type="pct"/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13</w:t>
            </w:r>
          </w:p>
        </w:tc>
        <w:tc>
          <w:tcPr>
            <w:tcW w:w="4572" w:type="pct"/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Bourse de Montréal</w:t>
            </w:r>
          </w:p>
        </w:tc>
      </w:tr>
      <w:tr w:rsidR="00F94213" w:rsidRPr="004A479D" w:rsidTr="00A5363F">
        <w:tc>
          <w:tcPr>
            <w:tcW w:w="428" w:type="pct"/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14</w:t>
            </w:r>
          </w:p>
        </w:tc>
        <w:tc>
          <w:tcPr>
            <w:tcW w:w="4572" w:type="pct"/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Budapesti Értéktözsde</w:t>
            </w:r>
          </w:p>
        </w:tc>
      </w:tr>
    </w:tbl>
    <w:p w:rsidR="00C75395" w:rsidRPr="004A479D" w:rsidRDefault="006C182D" w:rsidP="00C75395">
      <w:pPr>
        <w:pStyle w:val="ItemHead"/>
      </w:pPr>
      <w:r w:rsidRPr="004A479D">
        <w:t>5</w:t>
      </w:r>
      <w:r w:rsidR="00C75395" w:rsidRPr="004A479D">
        <w:t xml:space="preserve">  Clause</w:t>
      </w:r>
      <w:r w:rsidR="004A479D" w:rsidRPr="004A479D">
        <w:t> </w:t>
      </w:r>
      <w:r w:rsidR="00C75395" w:rsidRPr="004A479D">
        <w:t>1 of Schedule</w:t>
      </w:r>
      <w:r w:rsidR="004A479D" w:rsidRPr="004A479D">
        <w:t> </w:t>
      </w:r>
      <w:r w:rsidR="00C75395" w:rsidRPr="004A479D">
        <w:t>7 (table item</w:t>
      </w:r>
      <w:r w:rsidR="004A479D" w:rsidRPr="004A479D">
        <w:t> </w:t>
      </w:r>
      <w:r w:rsidR="00C75395" w:rsidRPr="004A479D">
        <w:t>16)</w:t>
      </w:r>
    </w:p>
    <w:p w:rsidR="00F94213" w:rsidRPr="004A479D" w:rsidRDefault="00F94213" w:rsidP="00F94213">
      <w:pPr>
        <w:pStyle w:val="Item"/>
      </w:pPr>
      <w:r w:rsidRPr="004A479D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F94213" w:rsidRPr="004A479D" w:rsidTr="00A5363F">
        <w:tc>
          <w:tcPr>
            <w:tcW w:w="428" w:type="pct"/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16</w:t>
            </w:r>
          </w:p>
        </w:tc>
        <w:tc>
          <w:tcPr>
            <w:tcW w:w="4572" w:type="pct"/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Cantor Clearinghouse, L.P.</w:t>
            </w:r>
          </w:p>
        </w:tc>
      </w:tr>
    </w:tbl>
    <w:p w:rsidR="00C75395" w:rsidRPr="004A479D" w:rsidRDefault="006C182D" w:rsidP="00C75395">
      <w:pPr>
        <w:pStyle w:val="ItemHead"/>
      </w:pPr>
      <w:r w:rsidRPr="004A479D">
        <w:t>6</w:t>
      </w:r>
      <w:r w:rsidR="00C75395" w:rsidRPr="004A479D">
        <w:t xml:space="preserve">  Clause</w:t>
      </w:r>
      <w:r w:rsidR="004A479D" w:rsidRPr="004A479D">
        <w:t> </w:t>
      </w:r>
      <w:r w:rsidR="00C75395" w:rsidRPr="004A479D">
        <w:t>1 of Schedule</w:t>
      </w:r>
      <w:r w:rsidR="004A479D" w:rsidRPr="004A479D">
        <w:t> </w:t>
      </w:r>
      <w:r w:rsidR="00C75395" w:rsidRPr="004A479D">
        <w:t>7 (table item</w:t>
      </w:r>
      <w:r w:rsidR="004A479D" w:rsidRPr="004A479D">
        <w:t> </w:t>
      </w:r>
      <w:r w:rsidR="00C75395" w:rsidRPr="004A479D">
        <w:t>20)</w:t>
      </w:r>
    </w:p>
    <w:p w:rsidR="00C75395" w:rsidRPr="004A479D" w:rsidRDefault="00C75395" w:rsidP="00C75395">
      <w:pPr>
        <w:pStyle w:val="Item"/>
      </w:pPr>
      <w:r w:rsidRPr="004A479D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C75395" w:rsidRPr="004A479D" w:rsidTr="009B7E66">
        <w:tc>
          <w:tcPr>
            <w:tcW w:w="428" w:type="pct"/>
            <w:shd w:val="clear" w:color="auto" w:fill="auto"/>
          </w:tcPr>
          <w:p w:rsidR="00C75395" w:rsidRPr="004A479D" w:rsidRDefault="00C75395" w:rsidP="00F94213">
            <w:pPr>
              <w:pStyle w:val="Tabletext"/>
            </w:pPr>
            <w:r w:rsidRPr="004A479D">
              <w:t>20</w:t>
            </w:r>
          </w:p>
        </w:tc>
        <w:tc>
          <w:tcPr>
            <w:tcW w:w="4572" w:type="pct"/>
            <w:shd w:val="clear" w:color="auto" w:fill="auto"/>
          </w:tcPr>
          <w:p w:rsidR="00C75395" w:rsidRPr="004A479D" w:rsidRDefault="00C75395" w:rsidP="00C75395">
            <w:pPr>
              <w:pStyle w:val="Tabletext"/>
            </w:pPr>
            <w:r w:rsidRPr="004A479D">
              <w:t>CDSClear operated by LCH.Clearnet SA</w:t>
            </w:r>
          </w:p>
        </w:tc>
      </w:tr>
    </w:tbl>
    <w:p w:rsidR="00F94213" w:rsidRPr="004A479D" w:rsidRDefault="006C182D" w:rsidP="002C0987">
      <w:pPr>
        <w:pStyle w:val="ItemHead"/>
      </w:pPr>
      <w:r w:rsidRPr="004A479D">
        <w:t>7</w:t>
      </w:r>
      <w:r w:rsidR="00F94213" w:rsidRPr="004A479D">
        <w:t xml:space="preserve">  Clause</w:t>
      </w:r>
      <w:r w:rsidR="004A479D" w:rsidRPr="004A479D">
        <w:t> </w:t>
      </w:r>
      <w:r w:rsidR="00F94213" w:rsidRPr="004A479D">
        <w:t>1 of Schedule</w:t>
      </w:r>
      <w:r w:rsidR="004A479D" w:rsidRPr="004A479D">
        <w:t> </w:t>
      </w:r>
      <w:r w:rsidR="00F94213" w:rsidRPr="004A479D">
        <w:t>7 (after table item</w:t>
      </w:r>
      <w:r w:rsidR="004A479D" w:rsidRPr="004A479D">
        <w:t> </w:t>
      </w:r>
      <w:r w:rsidR="00F94213" w:rsidRPr="004A479D">
        <w:t>28)</w:t>
      </w:r>
    </w:p>
    <w:p w:rsidR="00F94213" w:rsidRPr="004A479D" w:rsidRDefault="00F94213" w:rsidP="00F94213">
      <w:pPr>
        <w:pStyle w:val="Item"/>
      </w:pPr>
      <w:r w:rsidRPr="004A479D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F94213" w:rsidRPr="004A479D" w:rsidTr="00A5363F">
        <w:tc>
          <w:tcPr>
            <w:tcW w:w="428" w:type="pct"/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28A</w:t>
            </w:r>
          </w:p>
        </w:tc>
        <w:tc>
          <w:tcPr>
            <w:tcW w:w="4572" w:type="pct"/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CommodityClear operated by LCH.Clearnet Limited</w:t>
            </w:r>
          </w:p>
        </w:tc>
      </w:tr>
    </w:tbl>
    <w:p w:rsidR="006255A1" w:rsidRPr="004A479D" w:rsidRDefault="006C182D" w:rsidP="006255A1">
      <w:pPr>
        <w:pStyle w:val="ItemHead"/>
      </w:pPr>
      <w:r w:rsidRPr="004A479D">
        <w:t>8</w:t>
      </w:r>
      <w:r w:rsidR="006255A1" w:rsidRPr="004A479D">
        <w:t xml:space="preserve">  Clause</w:t>
      </w:r>
      <w:r w:rsidR="004A479D" w:rsidRPr="004A479D">
        <w:t> </w:t>
      </w:r>
      <w:r w:rsidR="006255A1" w:rsidRPr="004A479D">
        <w:t>1 of Schedule</w:t>
      </w:r>
      <w:r w:rsidR="004A479D" w:rsidRPr="004A479D">
        <w:t> </w:t>
      </w:r>
      <w:r w:rsidR="006255A1" w:rsidRPr="004A479D">
        <w:t>7 (table item</w:t>
      </w:r>
      <w:r w:rsidR="004A479D" w:rsidRPr="004A479D">
        <w:t> </w:t>
      </w:r>
      <w:r w:rsidR="006255A1" w:rsidRPr="004A479D">
        <w:t>34)</w:t>
      </w:r>
    </w:p>
    <w:p w:rsidR="006255A1" w:rsidRPr="004A479D" w:rsidRDefault="006255A1" w:rsidP="006255A1">
      <w:pPr>
        <w:pStyle w:val="Item"/>
      </w:pPr>
      <w:r w:rsidRPr="004A479D">
        <w:t>Repeal the item.</w:t>
      </w:r>
    </w:p>
    <w:p w:rsidR="00BC0192" w:rsidRPr="004A479D" w:rsidRDefault="006C182D" w:rsidP="00BC0192">
      <w:pPr>
        <w:pStyle w:val="ItemHead"/>
      </w:pPr>
      <w:r w:rsidRPr="004A479D">
        <w:t>9</w:t>
      </w:r>
      <w:r w:rsidR="00BC0192" w:rsidRPr="004A479D">
        <w:t xml:space="preserve">  Clause</w:t>
      </w:r>
      <w:r w:rsidR="004A479D" w:rsidRPr="004A479D">
        <w:t> </w:t>
      </w:r>
      <w:r w:rsidR="00BC0192" w:rsidRPr="004A479D">
        <w:t>1 of Schedule</w:t>
      </w:r>
      <w:r w:rsidR="004A479D" w:rsidRPr="004A479D">
        <w:t> </w:t>
      </w:r>
      <w:r w:rsidR="00BC0192" w:rsidRPr="004A479D">
        <w:t>7 (after table item</w:t>
      </w:r>
      <w:r w:rsidR="004A479D" w:rsidRPr="004A479D">
        <w:t> </w:t>
      </w:r>
      <w:r w:rsidR="00BC0192" w:rsidRPr="004A479D">
        <w:t>3</w:t>
      </w:r>
      <w:r w:rsidR="00D478A6" w:rsidRPr="004A479D">
        <w:t>7</w:t>
      </w:r>
      <w:r w:rsidR="00BC0192" w:rsidRPr="004A479D">
        <w:t>)</w:t>
      </w:r>
    </w:p>
    <w:p w:rsidR="00BC0192" w:rsidRPr="004A479D" w:rsidRDefault="00BC0192" w:rsidP="00BC0192">
      <w:pPr>
        <w:pStyle w:val="Item"/>
      </w:pPr>
      <w:r w:rsidRPr="004A479D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BC0192" w:rsidRPr="004A479D" w:rsidTr="00BC0192">
        <w:tc>
          <w:tcPr>
            <w:tcW w:w="428" w:type="pct"/>
            <w:shd w:val="clear" w:color="auto" w:fill="auto"/>
          </w:tcPr>
          <w:p w:rsidR="00BC0192" w:rsidRPr="004A479D" w:rsidRDefault="00D478A6" w:rsidP="00BC0192">
            <w:pPr>
              <w:pStyle w:val="Tabletext"/>
            </w:pPr>
            <w:r w:rsidRPr="004A479D">
              <w:t>37</w:t>
            </w:r>
            <w:r w:rsidR="00BC0192" w:rsidRPr="004A479D">
              <w:t>A</w:t>
            </w:r>
          </w:p>
        </w:tc>
        <w:tc>
          <w:tcPr>
            <w:tcW w:w="4572" w:type="pct"/>
            <w:shd w:val="clear" w:color="auto" w:fill="auto"/>
          </w:tcPr>
          <w:p w:rsidR="00BC0192" w:rsidRPr="004A479D" w:rsidRDefault="00BC0192" w:rsidP="00BC0192">
            <w:pPr>
              <w:pStyle w:val="Tabletext"/>
            </w:pPr>
            <w:r w:rsidRPr="004A479D">
              <w:t>EuroGCplus operated by LCH.Clearnet SA</w:t>
            </w:r>
          </w:p>
        </w:tc>
      </w:tr>
    </w:tbl>
    <w:p w:rsidR="00F94213" w:rsidRPr="004A479D" w:rsidRDefault="006C182D" w:rsidP="00F94213">
      <w:pPr>
        <w:pStyle w:val="ItemHead"/>
      </w:pPr>
      <w:r w:rsidRPr="004A479D">
        <w:t>10</w:t>
      </w:r>
      <w:r w:rsidR="00F94213" w:rsidRPr="004A479D">
        <w:t xml:space="preserve">  Clause</w:t>
      </w:r>
      <w:r w:rsidR="004A479D" w:rsidRPr="004A479D">
        <w:t> </w:t>
      </w:r>
      <w:r w:rsidR="00F94213" w:rsidRPr="004A479D">
        <w:t>1 of Schedule</w:t>
      </w:r>
      <w:r w:rsidR="004A479D" w:rsidRPr="004A479D">
        <w:t> </w:t>
      </w:r>
      <w:r w:rsidR="00F94213" w:rsidRPr="004A479D">
        <w:t>7 (table item</w:t>
      </w:r>
      <w:r w:rsidR="00A72B75" w:rsidRPr="004A479D">
        <w:t>s</w:t>
      </w:r>
      <w:r w:rsidR="004A479D" w:rsidRPr="004A479D">
        <w:t> </w:t>
      </w:r>
      <w:r w:rsidR="00F94213" w:rsidRPr="004A479D">
        <w:t>48</w:t>
      </w:r>
      <w:r w:rsidR="00A72B75" w:rsidRPr="004A479D">
        <w:t xml:space="preserve"> and 49</w:t>
      </w:r>
      <w:r w:rsidR="00F94213" w:rsidRPr="004A479D">
        <w:t>)</w:t>
      </w:r>
    </w:p>
    <w:p w:rsidR="00F94213" w:rsidRPr="004A479D" w:rsidRDefault="00F94213" w:rsidP="00F94213">
      <w:pPr>
        <w:pStyle w:val="Item"/>
      </w:pPr>
      <w:r w:rsidRPr="004A479D">
        <w:t>Repeal the item</w:t>
      </w:r>
      <w:r w:rsidR="00A72B75" w:rsidRPr="004A479D">
        <w:t>s</w:t>
      </w:r>
      <w:r w:rsidRPr="004A479D">
        <w:t>, substitute:</w:t>
      </w: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0"/>
        <w:gridCol w:w="7799"/>
      </w:tblGrid>
      <w:tr w:rsidR="00F94213" w:rsidRPr="004A479D" w:rsidTr="00A72B75">
        <w:tc>
          <w:tcPr>
            <w:tcW w:w="428" w:type="pct"/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48</w:t>
            </w:r>
          </w:p>
        </w:tc>
        <w:tc>
          <w:tcPr>
            <w:tcW w:w="4572" w:type="pct"/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Euronext Paris MONEP (Marché des Options Négociable</w:t>
            </w:r>
            <w:r w:rsidR="00E371AD" w:rsidRPr="004A479D">
              <w:t>s</w:t>
            </w:r>
            <w:r w:rsidRPr="004A479D">
              <w:t xml:space="preserve"> de Paris) (XMON)</w:t>
            </w:r>
          </w:p>
        </w:tc>
      </w:tr>
      <w:tr w:rsidR="00A72B75" w:rsidRPr="004A479D" w:rsidTr="00A72B75">
        <w:tc>
          <w:tcPr>
            <w:tcW w:w="428" w:type="pct"/>
            <w:shd w:val="clear" w:color="auto" w:fill="auto"/>
          </w:tcPr>
          <w:p w:rsidR="00A72B75" w:rsidRPr="004A479D" w:rsidRDefault="00A72B75" w:rsidP="00F94213">
            <w:pPr>
              <w:pStyle w:val="Tabletext"/>
            </w:pPr>
            <w:r w:rsidRPr="004A479D">
              <w:t>49</w:t>
            </w:r>
          </w:p>
        </w:tc>
        <w:tc>
          <w:tcPr>
            <w:tcW w:w="4572" w:type="pct"/>
            <w:shd w:val="clear" w:color="auto" w:fill="auto"/>
          </w:tcPr>
          <w:p w:rsidR="00A72B75" w:rsidRPr="004A479D" w:rsidRDefault="00A72B75" w:rsidP="00F94213">
            <w:pPr>
              <w:pStyle w:val="Tabletext"/>
            </w:pPr>
            <w:r w:rsidRPr="004A479D">
              <w:t>European Central Counterparty N.V. (EuroCCP)</w:t>
            </w:r>
          </w:p>
        </w:tc>
      </w:tr>
    </w:tbl>
    <w:p w:rsidR="002C0987" w:rsidRPr="004A479D" w:rsidRDefault="006C182D" w:rsidP="002C0987">
      <w:pPr>
        <w:pStyle w:val="ItemHead"/>
      </w:pPr>
      <w:r w:rsidRPr="004A479D">
        <w:t>11</w:t>
      </w:r>
      <w:r w:rsidR="002C0987" w:rsidRPr="004A479D">
        <w:t xml:space="preserve">  Clause</w:t>
      </w:r>
      <w:r w:rsidR="004A479D" w:rsidRPr="004A479D">
        <w:t> </w:t>
      </w:r>
      <w:r w:rsidR="002C0987" w:rsidRPr="004A479D">
        <w:t>1 of Schedule</w:t>
      </w:r>
      <w:r w:rsidR="004A479D" w:rsidRPr="004A479D">
        <w:t> </w:t>
      </w:r>
      <w:r w:rsidR="002C0987" w:rsidRPr="004A479D">
        <w:t>7 (table items</w:t>
      </w:r>
      <w:r w:rsidR="004A479D" w:rsidRPr="004A479D">
        <w:t> </w:t>
      </w:r>
      <w:r w:rsidR="002C0987" w:rsidRPr="004A479D">
        <w:t>53 to 56)</w:t>
      </w:r>
    </w:p>
    <w:p w:rsidR="002C0987" w:rsidRPr="004A479D" w:rsidRDefault="002C0987" w:rsidP="002C0987">
      <w:pPr>
        <w:pStyle w:val="Item"/>
      </w:pPr>
      <w:r w:rsidRPr="004A479D">
        <w:t>Repeal the items, substitute:</w:t>
      </w: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0"/>
        <w:gridCol w:w="7799"/>
      </w:tblGrid>
      <w:tr w:rsidR="002C0987" w:rsidRPr="004A479D" w:rsidTr="00A5363F">
        <w:tc>
          <w:tcPr>
            <w:tcW w:w="428" w:type="pct"/>
            <w:shd w:val="clear" w:color="auto" w:fill="auto"/>
          </w:tcPr>
          <w:p w:rsidR="002C0987" w:rsidRPr="004A479D" w:rsidRDefault="002C0987" w:rsidP="00F94213">
            <w:pPr>
              <w:pStyle w:val="Tabletext"/>
            </w:pPr>
            <w:r w:rsidRPr="004A479D">
              <w:t>53</w:t>
            </w:r>
          </w:p>
        </w:tc>
        <w:tc>
          <w:tcPr>
            <w:tcW w:w="4572" w:type="pct"/>
            <w:shd w:val="clear" w:color="auto" w:fill="auto"/>
          </w:tcPr>
          <w:p w:rsidR="002C0987" w:rsidRPr="004A479D" w:rsidRDefault="002C0987" w:rsidP="002C0987">
            <w:pPr>
              <w:pStyle w:val="Tabletext"/>
            </w:pPr>
            <w:r w:rsidRPr="004A479D">
              <w:t>ForexClear operated by LCH.Clearnet Limited</w:t>
            </w:r>
          </w:p>
        </w:tc>
      </w:tr>
      <w:tr w:rsidR="002C0987" w:rsidRPr="004A479D" w:rsidTr="00A5363F">
        <w:tc>
          <w:tcPr>
            <w:tcW w:w="428" w:type="pct"/>
            <w:shd w:val="clear" w:color="auto" w:fill="auto"/>
          </w:tcPr>
          <w:p w:rsidR="002C0987" w:rsidRPr="004A479D" w:rsidRDefault="002C0987" w:rsidP="00F94213">
            <w:pPr>
              <w:pStyle w:val="Tabletext"/>
            </w:pPr>
            <w:r w:rsidRPr="004A479D">
              <w:t>54</w:t>
            </w:r>
          </w:p>
        </w:tc>
        <w:tc>
          <w:tcPr>
            <w:tcW w:w="4572" w:type="pct"/>
            <w:shd w:val="clear" w:color="auto" w:fill="auto"/>
          </w:tcPr>
          <w:p w:rsidR="002C0987" w:rsidRPr="004A479D" w:rsidRDefault="002C0987" w:rsidP="002C0987">
            <w:pPr>
              <w:pStyle w:val="Tabletext"/>
            </w:pPr>
            <w:r w:rsidRPr="004A479D">
              <w:t>HKFE Clearing Corporation Limited (HKCC)</w:t>
            </w:r>
          </w:p>
        </w:tc>
      </w:tr>
      <w:tr w:rsidR="002C0987" w:rsidRPr="004A479D" w:rsidTr="00A5363F">
        <w:tc>
          <w:tcPr>
            <w:tcW w:w="428" w:type="pct"/>
            <w:shd w:val="clear" w:color="auto" w:fill="auto"/>
          </w:tcPr>
          <w:p w:rsidR="002C0987" w:rsidRPr="004A479D" w:rsidRDefault="002C0987" w:rsidP="00F94213">
            <w:pPr>
              <w:pStyle w:val="Tabletext"/>
            </w:pPr>
            <w:r w:rsidRPr="004A479D">
              <w:t>55</w:t>
            </w:r>
          </w:p>
        </w:tc>
        <w:tc>
          <w:tcPr>
            <w:tcW w:w="4572" w:type="pct"/>
            <w:shd w:val="clear" w:color="auto" w:fill="auto"/>
          </w:tcPr>
          <w:p w:rsidR="002C0987" w:rsidRPr="004A479D" w:rsidRDefault="002C0987" w:rsidP="000E2B76">
            <w:pPr>
              <w:pStyle w:val="Tabletext"/>
            </w:pPr>
            <w:r w:rsidRPr="004A479D">
              <w:t xml:space="preserve">Hong Kong Exchange </w:t>
            </w:r>
            <w:r w:rsidR="00FE3B53" w:rsidRPr="004A479D">
              <w:t>an</w:t>
            </w:r>
            <w:r w:rsidR="000E2B76" w:rsidRPr="004A479D">
              <w:t>d</w:t>
            </w:r>
            <w:r w:rsidRPr="004A479D">
              <w:t xml:space="preserve"> Clearing Ltd</w:t>
            </w:r>
            <w:r w:rsidR="000E2B76" w:rsidRPr="004A479D">
              <w:t xml:space="preserve"> (HKEX)</w:t>
            </w:r>
          </w:p>
        </w:tc>
      </w:tr>
      <w:tr w:rsidR="002C0987" w:rsidRPr="004A479D" w:rsidTr="00A5363F">
        <w:tc>
          <w:tcPr>
            <w:tcW w:w="428" w:type="pct"/>
            <w:shd w:val="clear" w:color="auto" w:fill="auto"/>
          </w:tcPr>
          <w:p w:rsidR="002C0987" w:rsidRPr="004A479D" w:rsidRDefault="002C0987" w:rsidP="00F94213">
            <w:pPr>
              <w:pStyle w:val="Tabletext"/>
            </w:pPr>
            <w:r w:rsidRPr="004A479D">
              <w:t>56</w:t>
            </w:r>
          </w:p>
        </w:tc>
        <w:tc>
          <w:tcPr>
            <w:tcW w:w="4572" w:type="pct"/>
            <w:shd w:val="clear" w:color="auto" w:fill="auto"/>
          </w:tcPr>
          <w:p w:rsidR="002C0987" w:rsidRPr="004A479D" w:rsidRDefault="002C0987" w:rsidP="00F94213">
            <w:pPr>
              <w:pStyle w:val="Tabletext"/>
            </w:pPr>
            <w:r w:rsidRPr="004A479D">
              <w:t>Hong Kong Futures Exchange Limited</w:t>
            </w:r>
            <w:r w:rsidR="000E2B76" w:rsidRPr="004A479D">
              <w:t xml:space="preserve"> (HKFE)</w:t>
            </w:r>
          </w:p>
        </w:tc>
      </w:tr>
    </w:tbl>
    <w:p w:rsidR="00F94213" w:rsidRPr="004A479D" w:rsidRDefault="006C182D" w:rsidP="00F94213">
      <w:pPr>
        <w:pStyle w:val="ItemHead"/>
      </w:pPr>
      <w:r w:rsidRPr="004A479D">
        <w:t>12</w:t>
      </w:r>
      <w:r w:rsidR="00F94213" w:rsidRPr="004A479D">
        <w:t xml:space="preserve">  Clause</w:t>
      </w:r>
      <w:r w:rsidR="004A479D" w:rsidRPr="004A479D">
        <w:t> </w:t>
      </w:r>
      <w:r w:rsidR="00F94213" w:rsidRPr="004A479D">
        <w:t>1 of Schedule</w:t>
      </w:r>
      <w:r w:rsidR="004A479D" w:rsidRPr="004A479D">
        <w:t> </w:t>
      </w:r>
      <w:r w:rsidR="00F94213" w:rsidRPr="004A479D">
        <w:t>7 (table item</w:t>
      </w:r>
      <w:r w:rsidR="004A479D" w:rsidRPr="004A479D">
        <w:t> </w:t>
      </w:r>
      <w:r w:rsidR="00F94213" w:rsidRPr="004A479D">
        <w:t>63)</w:t>
      </w:r>
    </w:p>
    <w:p w:rsidR="00F94213" w:rsidRPr="004A479D" w:rsidRDefault="00F94213" w:rsidP="00F94213">
      <w:pPr>
        <w:pStyle w:val="Item"/>
      </w:pPr>
      <w:r w:rsidRPr="004A479D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F94213" w:rsidRPr="004A479D" w:rsidTr="00CD0916">
        <w:tc>
          <w:tcPr>
            <w:tcW w:w="428" w:type="pct"/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63</w:t>
            </w:r>
          </w:p>
        </w:tc>
        <w:tc>
          <w:tcPr>
            <w:tcW w:w="4572" w:type="pct"/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ICE Clear Singapore</w:t>
            </w:r>
          </w:p>
        </w:tc>
      </w:tr>
    </w:tbl>
    <w:p w:rsidR="00F94213" w:rsidRPr="004A479D" w:rsidRDefault="006C182D" w:rsidP="00F94213">
      <w:pPr>
        <w:pStyle w:val="ItemHead"/>
      </w:pPr>
      <w:r w:rsidRPr="004A479D">
        <w:t>13</w:t>
      </w:r>
      <w:r w:rsidR="00F94213" w:rsidRPr="004A479D">
        <w:t xml:space="preserve">  Clause</w:t>
      </w:r>
      <w:r w:rsidR="004A479D" w:rsidRPr="004A479D">
        <w:t> </w:t>
      </w:r>
      <w:r w:rsidR="00F94213" w:rsidRPr="004A479D">
        <w:t>1 of Schedule</w:t>
      </w:r>
      <w:r w:rsidR="004A479D" w:rsidRPr="004A479D">
        <w:t> </w:t>
      </w:r>
      <w:r w:rsidR="00F94213" w:rsidRPr="004A479D">
        <w:t>7 (table item</w:t>
      </w:r>
      <w:r w:rsidR="004A479D" w:rsidRPr="004A479D">
        <w:t> </w:t>
      </w:r>
      <w:r w:rsidR="00F94213" w:rsidRPr="004A479D">
        <w:t>67)</w:t>
      </w:r>
    </w:p>
    <w:p w:rsidR="00F94213" w:rsidRPr="004A479D" w:rsidRDefault="00F94213" w:rsidP="00F94213">
      <w:pPr>
        <w:pStyle w:val="Item"/>
      </w:pPr>
      <w:r w:rsidRPr="004A479D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F94213" w:rsidRPr="004A479D" w:rsidTr="00CD0916">
        <w:tc>
          <w:tcPr>
            <w:tcW w:w="428" w:type="pct"/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67</w:t>
            </w:r>
          </w:p>
        </w:tc>
        <w:tc>
          <w:tcPr>
            <w:tcW w:w="4572" w:type="pct"/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ICE Futures Europe</w:t>
            </w:r>
          </w:p>
        </w:tc>
      </w:tr>
    </w:tbl>
    <w:p w:rsidR="00F94213" w:rsidRPr="004A479D" w:rsidRDefault="006C182D" w:rsidP="00F94213">
      <w:pPr>
        <w:pStyle w:val="ItemHead"/>
      </w:pPr>
      <w:r w:rsidRPr="004A479D">
        <w:t>14</w:t>
      </w:r>
      <w:r w:rsidR="00F94213" w:rsidRPr="004A479D">
        <w:t xml:space="preserve">  Clause</w:t>
      </w:r>
      <w:r w:rsidR="004A479D" w:rsidRPr="004A479D">
        <w:t> </w:t>
      </w:r>
      <w:r w:rsidR="00F94213" w:rsidRPr="004A479D">
        <w:t>1 of Schedule</w:t>
      </w:r>
      <w:r w:rsidR="004A479D" w:rsidRPr="004A479D">
        <w:t> </w:t>
      </w:r>
      <w:r w:rsidR="00F94213" w:rsidRPr="004A479D">
        <w:t>7 (table item</w:t>
      </w:r>
      <w:r w:rsidR="004A479D" w:rsidRPr="004A479D">
        <w:t> </w:t>
      </w:r>
      <w:r w:rsidR="00F94213" w:rsidRPr="004A479D">
        <w:t>72)</w:t>
      </w:r>
    </w:p>
    <w:p w:rsidR="00F94213" w:rsidRPr="004A479D" w:rsidRDefault="00F94213" w:rsidP="00F94213">
      <w:pPr>
        <w:pStyle w:val="Item"/>
      </w:pPr>
      <w:r w:rsidRPr="004A479D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F94213" w:rsidRPr="004A479D" w:rsidTr="00CD0916">
        <w:tc>
          <w:tcPr>
            <w:tcW w:w="428" w:type="pct"/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72</w:t>
            </w:r>
          </w:p>
        </w:tc>
        <w:tc>
          <w:tcPr>
            <w:tcW w:w="4572" w:type="pct"/>
            <w:shd w:val="clear" w:color="auto" w:fill="auto"/>
          </w:tcPr>
          <w:p w:rsidR="00CD0916" w:rsidRPr="004A479D" w:rsidRDefault="00F94213" w:rsidP="00F94213">
            <w:pPr>
              <w:pStyle w:val="Tabletext"/>
            </w:pPr>
            <w:r w:rsidRPr="004A479D">
              <w:t>Jakarta Futures Exchange (JFX)</w:t>
            </w:r>
          </w:p>
        </w:tc>
      </w:tr>
    </w:tbl>
    <w:p w:rsidR="00CD0916" w:rsidRPr="004A479D" w:rsidRDefault="006C182D" w:rsidP="00CD0916">
      <w:pPr>
        <w:pStyle w:val="ItemHead"/>
      </w:pPr>
      <w:r w:rsidRPr="004A479D">
        <w:t>15</w:t>
      </w:r>
      <w:r w:rsidR="00CD0916" w:rsidRPr="004A479D">
        <w:t xml:space="preserve">  Clause</w:t>
      </w:r>
      <w:r w:rsidR="004A479D" w:rsidRPr="004A479D">
        <w:t> </w:t>
      </w:r>
      <w:r w:rsidR="00170BDC" w:rsidRPr="004A479D">
        <w:t>1 of Schedule</w:t>
      </w:r>
      <w:r w:rsidR="004A479D" w:rsidRPr="004A479D">
        <w:t> </w:t>
      </w:r>
      <w:r w:rsidR="00170BDC" w:rsidRPr="004A479D">
        <w:t>7</w:t>
      </w:r>
      <w:r w:rsidR="00CD0916" w:rsidRPr="004A479D">
        <w:t xml:space="preserve"> (after table item</w:t>
      </w:r>
      <w:r w:rsidR="004A479D" w:rsidRPr="004A479D">
        <w:t> </w:t>
      </w:r>
      <w:r w:rsidR="00CD0916" w:rsidRPr="004A479D">
        <w:t>74)</w:t>
      </w:r>
    </w:p>
    <w:p w:rsidR="00CD0916" w:rsidRPr="004A479D" w:rsidRDefault="00CD0916" w:rsidP="00CD0916">
      <w:pPr>
        <w:pStyle w:val="Item"/>
      </w:pPr>
      <w:r w:rsidRPr="004A479D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CD0916" w:rsidRPr="004A479D" w:rsidTr="00A5363F">
        <w:tc>
          <w:tcPr>
            <w:tcW w:w="428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74A</w:t>
            </w:r>
          </w:p>
        </w:tc>
        <w:tc>
          <w:tcPr>
            <w:tcW w:w="4572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JSE Commodity Derivatives Market</w:t>
            </w:r>
          </w:p>
        </w:tc>
      </w:tr>
    </w:tbl>
    <w:p w:rsidR="00F94213" w:rsidRPr="004A479D" w:rsidRDefault="006C182D" w:rsidP="00F94213">
      <w:pPr>
        <w:pStyle w:val="ItemHead"/>
      </w:pPr>
      <w:r w:rsidRPr="004A479D">
        <w:t>16</w:t>
      </w:r>
      <w:r w:rsidR="00F94213" w:rsidRPr="004A479D">
        <w:t xml:space="preserve">  Clause</w:t>
      </w:r>
      <w:r w:rsidR="004A479D" w:rsidRPr="004A479D">
        <w:t> </w:t>
      </w:r>
      <w:r w:rsidR="00F94213" w:rsidRPr="004A479D">
        <w:t>1 of Schedule</w:t>
      </w:r>
      <w:r w:rsidR="004A479D" w:rsidRPr="004A479D">
        <w:t> </w:t>
      </w:r>
      <w:r w:rsidR="00F94213" w:rsidRPr="004A479D">
        <w:t>7 (table item</w:t>
      </w:r>
      <w:r w:rsidR="004A479D" w:rsidRPr="004A479D">
        <w:t> </w:t>
      </w:r>
      <w:r w:rsidR="00F94213" w:rsidRPr="004A479D">
        <w:t>82)</w:t>
      </w:r>
    </w:p>
    <w:p w:rsidR="00F94213" w:rsidRPr="004A479D" w:rsidRDefault="00F94213" w:rsidP="00F94213">
      <w:pPr>
        <w:pStyle w:val="Item"/>
      </w:pPr>
      <w:r w:rsidRPr="004A479D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F94213" w:rsidRPr="004A479D" w:rsidTr="00CD0916">
        <w:tc>
          <w:tcPr>
            <w:tcW w:w="428" w:type="pct"/>
            <w:shd w:val="clear" w:color="auto" w:fill="auto"/>
          </w:tcPr>
          <w:p w:rsidR="00F94213" w:rsidRPr="004A479D" w:rsidRDefault="00F94213" w:rsidP="00F94213">
            <w:pPr>
              <w:pStyle w:val="Tabletext"/>
            </w:pPr>
            <w:r w:rsidRPr="004A479D">
              <w:t>82</w:t>
            </w:r>
          </w:p>
        </w:tc>
        <w:tc>
          <w:tcPr>
            <w:tcW w:w="4572" w:type="pct"/>
            <w:shd w:val="clear" w:color="auto" w:fill="auto"/>
          </w:tcPr>
          <w:p w:rsidR="00F94213" w:rsidRPr="004A479D" w:rsidRDefault="00CD0916" w:rsidP="00F94213">
            <w:pPr>
              <w:pStyle w:val="Tabletext"/>
            </w:pPr>
            <w:r w:rsidRPr="004A479D">
              <w:t>Montréal</w:t>
            </w:r>
            <w:r w:rsidR="00F94213" w:rsidRPr="004A479D">
              <w:t xml:space="preserve"> Climate Exchange (MCex)</w:t>
            </w:r>
          </w:p>
        </w:tc>
      </w:tr>
    </w:tbl>
    <w:p w:rsidR="00FE3B53" w:rsidRPr="004A479D" w:rsidRDefault="006C182D" w:rsidP="00FE3B53">
      <w:pPr>
        <w:pStyle w:val="ItemHead"/>
      </w:pPr>
      <w:r w:rsidRPr="004A479D">
        <w:t>17</w:t>
      </w:r>
      <w:r w:rsidR="00FE3B53" w:rsidRPr="004A479D">
        <w:t xml:space="preserve">  Clause</w:t>
      </w:r>
      <w:r w:rsidR="004A479D" w:rsidRPr="004A479D">
        <w:t> </w:t>
      </w:r>
      <w:r w:rsidR="00FE3B53" w:rsidRPr="004A479D">
        <w:t>1 of Schedule</w:t>
      </w:r>
      <w:r w:rsidR="004A479D" w:rsidRPr="004A479D">
        <w:t> </w:t>
      </w:r>
      <w:r w:rsidR="00FE3B53" w:rsidRPr="004A479D">
        <w:t>7 (table items</w:t>
      </w:r>
      <w:r w:rsidR="004A479D" w:rsidRPr="004A479D">
        <w:t> </w:t>
      </w:r>
      <w:r w:rsidR="00FE3B53" w:rsidRPr="004A479D">
        <w:t>8</w:t>
      </w:r>
      <w:r w:rsidR="00CD0916" w:rsidRPr="004A479D">
        <w:t>3</w:t>
      </w:r>
      <w:r w:rsidR="00FE3B53" w:rsidRPr="004A479D">
        <w:t xml:space="preserve"> to </w:t>
      </w:r>
      <w:r w:rsidR="00CD0916" w:rsidRPr="004A479D">
        <w:t>96</w:t>
      </w:r>
      <w:r w:rsidR="00FE3B53" w:rsidRPr="004A479D">
        <w:t>)</w:t>
      </w:r>
    </w:p>
    <w:p w:rsidR="00CD0916" w:rsidRPr="004A479D" w:rsidRDefault="00CD0916" w:rsidP="00CD0916">
      <w:pPr>
        <w:pStyle w:val="Item"/>
      </w:pPr>
      <w:r w:rsidRPr="004A479D">
        <w:t>Repeal the items, substitute:</w:t>
      </w: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0"/>
        <w:gridCol w:w="7799"/>
      </w:tblGrid>
      <w:tr w:rsidR="00CD0916" w:rsidRPr="004A479D" w:rsidTr="00A5363F">
        <w:tc>
          <w:tcPr>
            <w:tcW w:w="428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83</w:t>
            </w:r>
          </w:p>
        </w:tc>
        <w:tc>
          <w:tcPr>
            <w:tcW w:w="4572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NASDAQ BX, Inc.</w:t>
            </w:r>
          </w:p>
        </w:tc>
      </w:tr>
      <w:tr w:rsidR="00CD0916" w:rsidRPr="004A479D" w:rsidTr="00A5363F">
        <w:tc>
          <w:tcPr>
            <w:tcW w:w="428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84</w:t>
            </w:r>
          </w:p>
        </w:tc>
        <w:tc>
          <w:tcPr>
            <w:tcW w:w="4572" w:type="pct"/>
            <w:shd w:val="clear" w:color="auto" w:fill="auto"/>
          </w:tcPr>
          <w:p w:rsidR="00CD0916" w:rsidRPr="004A479D" w:rsidRDefault="00CD0916" w:rsidP="00CD0916">
            <w:pPr>
              <w:pStyle w:val="Tabletext"/>
            </w:pPr>
            <w:r w:rsidRPr="004A479D">
              <w:t>NASDAQ Commodities operated by NASDAQ Oslo ASA</w:t>
            </w:r>
          </w:p>
        </w:tc>
      </w:tr>
      <w:tr w:rsidR="00CD0916" w:rsidRPr="004A479D" w:rsidTr="00A5363F">
        <w:tc>
          <w:tcPr>
            <w:tcW w:w="428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85</w:t>
            </w:r>
          </w:p>
        </w:tc>
        <w:tc>
          <w:tcPr>
            <w:tcW w:w="4572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NASDAQ Copenhagen A/S</w:t>
            </w:r>
          </w:p>
        </w:tc>
      </w:tr>
      <w:tr w:rsidR="00CD0916" w:rsidRPr="004A479D" w:rsidTr="00A5363F">
        <w:tc>
          <w:tcPr>
            <w:tcW w:w="428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86</w:t>
            </w:r>
          </w:p>
        </w:tc>
        <w:tc>
          <w:tcPr>
            <w:tcW w:w="4572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NASDAQ Derivatives Markets operated by NASDAQ Stockholm AB</w:t>
            </w:r>
          </w:p>
        </w:tc>
      </w:tr>
      <w:tr w:rsidR="00CD0916" w:rsidRPr="004A479D" w:rsidTr="00A5363F">
        <w:tc>
          <w:tcPr>
            <w:tcW w:w="428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87</w:t>
            </w:r>
          </w:p>
        </w:tc>
        <w:tc>
          <w:tcPr>
            <w:tcW w:w="4572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NASDAQ Futures (NFX) operated by NASDAQ Futures, Inc.</w:t>
            </w:r>
          </w:p>
        </w:tc>
      </w:tr>
      <w:tr w:rsidR="00CD0916" w:rsidRPr="004A479D" w:rsidTr="00A5363F">
        <w:tc>
          <w:tcPr>
            <w:tcW w:w="428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88</w:t>
            </w:r>
          </w:p>
        </w:tc>
        <w:tc>
          <w:tcPr>
            <w:tcW w:w="4572" w:type="pct"/>
            <w:shd w:val="clear" w:color="auto" w:fill="auto"/>
          </w:tcPr>
          <w:p w:rsidR="00CD0916" w:rsidRPr="004A479D" w:rsidRDefault="00CD0916" w:rsidP="00CD0916">
            <w:pPr>
              <w:pStyle w:val="Tabletext"/>
            </w:pPr>
            <w:r w:rsidRPr="004A479D">
              <w:t>NASDAQ Helsinki Ltd</w:t>
            </w:r>
          </w:p>
        </w:tc>
      </w:tr>
      <w:tr w:rsidR="00CD0916" w:rsidRPr="004A479D" w:rsidTr="00A5363F">
        <w:tc>
          <w:tcPr>
            <w:tcW w:w="428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89</w:t>
            </w:r>
          </w:p>
        </w:tc>
        <w:tc>
          <w:tcPr>
            <w:tcW w:w="4572" w:type="pct"/>
            <w:shd w:val="clear" w:color="auto" w:fill="auto"/>
          </w:tcPr>
          <w:p w:rsidR="00CD0916" w:rsidRPr="004A479D" w:rsidRDefault="00CD0916" w:rsidP="00CD0916">
            <w:pPr>
              <w:pStyle w:val="Tabletext"/>
            </w:pPr>
            <w:r w:rsidRPr="004A479D">
              <w:t>NASDAQ Iceland hf.</w:t>
            </w:r>
          </w:p>
        </w:tc>
      </w:tr>
      <w:tr w:rsidR="00CD0916" w:rsidRPr="004A479D" w:rsidTr="00A5363F">
        <w:tc>
          <w:tcPr>
            <w:tcW w:w="428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90</w:t>
            </w:r>
          </w:p>
        </w:tc>
        <w:tc>
          <w:tcPr>
            <w:tcW w:w="4572" w:type="pct"/>
            <w:shd w:val="clear" w:color="auto" w:fill="auto"/>
          </w:tcPr>
          <w:p w:rsidR="00CD0916" w:rsidRPr="004A479D" w:rsidRDefault="00CD0916" w:rsidP="00CD0916">
            <w:pPr>
              <w:pStyle w:val="Tabletext"/>
            </w:pPr>
            <w:r w:rsidRPr="004A479D">
              <w:t>NASDAQ NLX Ltd</w:t>
            </w:r>
          </w:p>
        </w:tc>
      </w:tr>
      <w:tr w:rsidR="00FF0557" w:rsidRPr="004A479D" w:rsidTr="00A5363F">
        <w:tc>
          <w:tcPr>
            <w:tcW w:w="428" w:type="pct"/>
            <w:shd w:val="clear" w:color="auto" w:fill="auto"/>
          </w:tcPr>
          <w:p w:rsidR="00FF0557" w:rsidRPr="004A479D" w:rsidRDefault="00FF0557" w:rsidP="00BC0192">
            <w:pPr>
              <w:pStyle w:val="Tabletext"/>
            </w:pPr>
            <w:r w:rsidRPr="004A479D">
              <w:t>91</w:t>
            </w:r>
          </w:p>
        </w:tc>
        <w:tc>
          <w:tcPr>
            <w:tcW w:w="4572" w:type="pct"/>
            <w:shd w:val="clear" w:color="auto" w:fill="auto"/>
          </w:tcPr>
          <w:p w:rsidR="00FF0557" w:rsidRPr="004A479D" w:rsidRDefault="00FF0557" w:rsidP="00BC0192">
            <w:pPr>
              <w:pStyle w:val="Tabletext"/>
            </w:pPr>
            <w:r w:rsidRPr="004A479D">
              <w:t>NASDAQ OMX Armenia</w:t>
            </w:r>
          </w:p>
        </w:tc>
      </w:tr>
      <w:tr w:rsidR="00CD0916" w:rsidRPr="004A479D" w:rsidTr="00A5363F">
        <w:tc>
          <w:tcPr>
            <w:tcW w:w="428" w:type="pct"/>
            <w:shd w:val="clear" w:color="auto" w:fill="auto"/>
          </w:tcPr>
          <w:p w:rsidR="00CD0916" w:rsidRPr="004A479D" w:rsidRDefault="00FF0557" w:rsidP="00BC0192">
            <w:pPr>
              <w:pStyle w:val="Tabletext"/>
            </w:pPr>
            <w:r w:rsidRPr="004A479D">
              <w:t>92</w:t>
            </w:r>
          </w:p>
        </w:tc>
        <w:tc>
          <w:tcPr>
            <w:tcW w:w="4572" w:type="pct"/>
            <w:shd w:val="clear" w:color="auto" w:fill="auto"/>
          </w:tcPr>
          <w:p w:rsidR="00CD0916" w:rsidRPr="004A479D" w:rsidRDefault="00CD0916" w:rsidP="00CD0916">
            <w:pPr>
              <w:pStyle w:val="Tabletext"/>
            </w:pPr>
            <w:r w:rsidRPr="004A479D">
              <w:t>NASDAQ PHLX LLC</w:t>
            </w:r>
          </w:p>
        </w:tc>
      </w:tr>
      <w:tr w:rsidR="00CD0916" w:rsidRPr="004A479D" w:rsidTr="00A5363F">
        <w:tc>
          <w:tcPr>
            <w:tcW w:w="428" w:type="pct"/>
            <w:shd w:val="clear" w:color="auto" w:fill="auto"/>
          </w:tcPr>
          <w:p w:rsidR="00CD0916" w:rsidRPr="004A479D" w:rsidRDefault="00FF0557" w:rsidP="00BC0192">
            <w:pPr>
              <w:pStyle w:val="Tabletext"/>
            </w:pPr>
            <w:r w:rsidRPr="004A479D">
              <w:t>93</w:t>
            </w:r>
          </w:p>
        </w:tc>
        <w:tc>
          <w:tcPr>
            <w:tcW w:w="4572" w:type="pct"/>
            <w:shd w:val="clear" w:color="auto" w:fill="auto"/>
          </w:tcPr>
          <w:p w:rsidR="00CD0916" w:rsidRPr="004A479D" w:rsidRDefault="00CD0916" w:rsidP="00CD0916">
            <w:pPr>
              <w:pStyle w:val="Tabletext"/>
            </w:pPr>
            <w:r w:rsidRPr="004A479D">
              <w:t>NASDAQ PSX operated by NASDAQ PHLX LLC</w:t>
            </w:r>
          </w:p>
        </w:tc>
      </w:tr>
      <w:tr w:rsidR="00CD0916" w:rsidRPr="004A479D" w:rsidTr="00A5363F">
        <w:tc>
          <w:tcPr>
            <w:tcW w:w="428" w:type="pct"/>
            <w:shd w:val="clear" w:color="auto" w:fill="auto"/>
          </w:tcPr>
          <w:p w:rsidR="00CD0916" w:rsidRPr="004A479D" w:rsidRDefault="00FF0557" w:rsidP="00BC0192">
            <w:pPr>
              <w:pStyle w:val="Tabletext"/>
            </w:pPr>
            <w:r w:rsidRPr="004A479D">
              <w:t>94</w:t>
            </w:r>
          </w:p>
        </w:tc>
        <w:tc>
          <w:tcPr>
            <w:tcW w:w="4572" w:type="pct"/>
            <w:shd w:val="clear" w:color="auto" w:fill="auto"/>
          </w:tcPr>
          <w:p w:rsidR="00CD0916" w:rsidRPr="004A479D" w:rsidRDefault="00CD0916" w:rsidP="00CD0916">
            <w:pPr>
              <w:pStyle w:val="Tabletext"/>
            </w:pPr>
            <w:r w:rsidRPr="004A479D">
              <w:t>NASDAQ Riga, AS (XRIS)</w:t>
            </w:r>
          </w:p>
        </w:tc>
      </w:tr>
      <w:tr w:rsidR="00CD0916" w:rsidRPr="004A479D" w:rsidTr="00A5363F">
        <w:tc>
          <w:tcPr>
            <w:tcW w:w="428" w:type="pct"/>
            <w:shd w:val="clear" w:color="auto" w:fill="auto"/>
          </w:tcPr>
          <w:p w:rsidR="00CD0916" w:rsidRPr="004A479D" w:rsidRDefault="00FF0557" w:rsidP="00BC0192">
            <w:pPr>
              <w:pStyle w:val="Tabletext"/>
            </w:pPr>
            <w:r w:rsidRPr="004A479D">
              <w:t>95</w:t>
            </w:r>
          </w:p>
        </w:tc>
        <w:tc>
          <w:tcPr>
            <w:tcW w:w="4572" w:type="pct"/>
            <w:shd w:val="clear" w:color="auto" w:fill="auto"/>
          </w:tcPr>
          <w:p w:rsidR="00CD0916" w:rsidRPr="004A479D" w:rsidRDefault="00CD0916" w:rsidP="00CD0916">
            <w:pPr>
              <w:pStyle w:val="Tabletext"/>
            </w:pPr>
            <w:r w:rsidRPr="004A479D">
              <w:t>NASDAQ Stockholm AB (XSTO)</w:t>
            </w:r>
          </w:p>
        </w:tc>
      </w:tr>
      <w:tr w:rsidR="00CD0916" w:rsidRPr="004A479D" w:rsidTr="00A5363F">
        <w:tc>
          <w:tcPr>
            <w:tcW w:w="428" w:type="pct"/>
            <w:shd w:val="clear" w:color="auto" w:fill="auto"/>
          </w:tcPr>
          <w:p w:rsidR="00CD0916" w:rsidRPr="004A479D" w:rsidRDefault="00FF0557" w:rsidP="00BC0192">
            <w:pPr>
              <w:pStyle w:val="Tabletext"/>
            </w:pPr>
            <w:r w:rsidRPr="004A479D">
              <w:t>96</w:t>
            </w:r>
          </w:p>
        </w:tc>
        <w:tc>
          <w:tcPr>
            <w:tcW w:w="4572" w:type="pct"/>
            <w:shd w:val="clear" w:color="auto" w:fill="auto"/>
          </w:tcPr>
          <w:p w:rsidR="00CD0916" w:rsidRPr="004A479D" w:rsidRDefault="00CD0916" w:rsidP="00CD0916">
            <w:pPr>
              <w:pStyle w:val="Tabletext"/>
            </w:pPr>
            <w:r w:rsidRPr="004A479D">
              <w:t>NASDAQ Tallinn AS (XTAL)</w:t>
            </w:r>
          </w:p>
        </w:tc>
      </w:tr>
    </w:tbl>
    <w:p w:rsidR="00CD0916" w:rsidRPr="004A479D" w:rsidRDefault="006C182D" w:rsidP="00FE3B53">
      <w:pPr>
        <w:pStyle w:val="ItemHead"/>
      </w:pPr>
      <w:r w:rsidRPr="004A479D">
        <w:t>18</w:t>
      </w:r>
      <w:r w:rsidR="00BC0192" w:rsidRPr="004A479D">
        <w:t xml:space="preserve">  Clause</w:t>
      </w:r>
      <w:r w:rsidR="004A479D" w:rsidRPr="004A479D">
        <w:t> </w:t>
      </w:r>
      <w:r w:rsidR="00BC0192" w:rsidRPr="004A479D">
        <w:t>1 of Schedule</w:t>
      </w:r>
      <w:r w:rsidR="004A479D" w:rsidRPr="004A479D">
        <w:t> </w:t>
      </w:r>
      <w:r w:rsidR="00BC0192" w:rsidRPr="004A479D">
        <w:t>7</w:t>
      </w:r>
      <w:r w:rsidR="00CD0916" w:rsidRPr="004A479D">
        <w:t xml:space="preserve"> (after table item</w:t>
      </w:r>
      <w:r w:rsidR="004A479D" w:rsidRPr="004A479D">
        <w:t> </w:t>
      </w:r>
      <w:r w:rsidR="00CD0916" w:rsidRPr="004A479D">
        <w:t>106)</w:t>
      </w:r>
    </w:p>
    <w:p w:rsidR="00CD0916" w:rsidRPr="004A479D" w:rsidRDefault="00CD0916" w:rsidP="00CD0916">
      <w:pPr>
        <w:pStyle w:val="Item"/>
      </w:pPr>
      <w:r w:rsidRPr="004A479D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CD0916" w:rsidRPr="004A479D" w:rsidTr="00BC0192">
        <w:tc>
          <w:tcPr>
            <w:tcW w:w="428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106A</w:t>
            </w:r>
          </w:p>
        </w:tc>
        <w:tc>
          <w:tcPr>
            <w:tcW w:w="4572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NZX Main Board operated by NZX Limited</w:t>
            </w:r>
          </w:p>
        </w:tc>
      </w:tr>
    </w:tbl>
    <w:p w:rsidR="00FE3B53" w:rsidRPr="004A479D" w:rsidRDefault="006C182D" w:rsidP="00FE3B53">
      <w:pPr>
        <w:pStyle w:val="ItemHead"/>
      </w:pPr>
      <w:r w:rsidRPr="004A479D">
        <w:t>19</w:t>
      </w:r>
      <w:r w:rsidR="00FE3B53" w:rsidRPr="004A479D">
        <w:t xml:space="preserve">  Clause</w:t>
      </w:r>
      <w:r w:rsidR="004A479D" w:rsidRPr="004A479D">
        <w:t> </w:t>
      </w:r>
      <w:r w:rsidR="00FE3B53" w:rsidRPr="004A479D">
        <w:t>1 of Schedule</w:t>
      </w:r>
      <w:r w:rsidR="004A479D" w:rsidRPr="004A479D">
        <w:t> </w:t>
      </w:r>
      <w:r w:rsidR="00FE3B53" w:rsidRPr="004A479D">
        <w:t>7 (table items</w:t>
      </w:r>
      <w:r w:rsidR="004A479D" w:rsidRPr="004A479D">
        <w:t> </w:t>
      </w:r>
      <w:r w:rsidR="00FE3B53" w:rsidRPr="004A479D">
        <w:t>114 and 115)</w:t>
      </w:r>
    </w:p>
    <w:p w:rsidR="00FE3B53" w:rsidRPr="004A479D" w:rsidRDefault="00FE3B53" w:rsidP="00FE3B53">
      <w:pPr>
        <w:pStyle w:val="Item"/>
      </w:pPr>
      <w:r w:rsidRPr="004A479D">
        <w:t>Repeal the items, substitute:</w:t>
      </w: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0"/>
        <w:gridCol w:w="7799"/>
      </w:tblGrid>
      <w:tr w:rsidR="00FE3B53" w:rsidRPr="004A479D" w:rsidTr="003B1DA4">
        <w:tc>
          <w:tcPr>
            <w:tcW w:w="428" w:type="pct"/>
            <w:shd w:val="clear" w:color="auto" w:fill="auto"/>
          </w:tcPr>
          <w:p w:rsidR="00FE3B53" w:rsidRPr="004A479D" w:rsidRDefault="00FE3B53" w:rsidP="00F94213">
            <w:pPr>
              <w:pStyle w:val="Tabletext"/>
            </w:pPr>
            <w:r w:rsidRPr="004A479D">
              <w:t>114</w:t>
            </w:r>
          </w:p>
        </w:tc>
        <w:tc>
          <w:tcPr>
            <w:tcW w:w="4572" w:type="pct"/>
            <w:shd w:val="clear" w:color="auto" w:fill="auto"/>
          </w:tcPr>
          <w:p w:rsidR="00FE3B53" w:rsidRPr="004A479D" w:rsidRDefault="00FE3B53" w:rsidP="00FE3B53">
            <w:pPr>
              <w:pStyle w:val="Tabletext"/>
            </w:pPr>
            <w:r w:rsidRPr="004A479D">
              <w:t>RepoClear operated by LCH.Clearnet Limited</w:t>
            </w:r>
          </w:p>
        </w:tc>
      </w:tr>
      <w:tr w:rsidR="006C182D" w:rsidRPr="004A479D" w:rsidTr="003B1DA4">
        <w:tc>
          <w:tcPr>
            <w:tcW w:w="428" w:type="pct"/>
            <w:shd w:val="clear" w:color="auto" w:fill="auto"/>
          </w:tcPr>
          <w:p w:rsidR="006C182D" w:rsidRPr="004A479D" w:rsidRDefault="006C182D" w:rsidP="006C182D">
            <w:pPr>
              <w:pStyle w:val="Tabletext"/>
            </w:pPr>
            <w:r w:rsidRPr="004A479D">
              <w:t>115</w:t>
            </w:r>
          </w:p>
        </w:tc>
        <w:tc>
          <w:tcPr>
            <w:tcW w:w="4572" w:type="pct"/>
            <w:shd w:val="clear" w:color="auto" w:fill="auto"/>
          </w:tcPr>
          <w:p w:rsidR="006C182D" w:rsidRPr="004A479D" w:rsidRDefault="006C182D" w:rsidP="006C182D">
            <w:pPr>
              <w:pStyle w:val="Tabletext"/>
            </w:pPr>
            <w:r w:rsidRPr="004A479D">
              <w:t>RepoClear operated by LCH.Clearnet SA</w:t>
            </w:r>
          </w:p>
        </w:tc>
      </w:tr>
    </w:tbl>
    <w:p w:rsidR="00FE3B53" w:rsidRPr="004A479D" w:rsidRDefault="006C182D" w:rsidP="00FE3B53">
      <w:pPr>
        <w:pStyle w:val="ItemHead"/>
      </w:pPr>
      <w:r w:rsidRPr="004A479D">
        <w:t>20</w:t>
      </w:r>
      <w:r w:rsidR="00FE3B53" w:rsidRPr="004A479D">
        <w:t xml:space="preserve">  Clause</w:t>
      </w:r>
      <w:r w:rsidR="004A479D" w:rsidRPr="004A479D">
        <w:t> </w:t>
      </w:r>
      <w:r w:rsidR="00FE3B53" w:rsidRPr="004A479D">
        <w:t>1 of Schedule</w:t>
      </w:r>
      <w:r w:rsidR="004A479D" w:rsidRPr="004A479D">
        <w:t> </w:t>
      </w:r>
      <w:r w:rsidR="00FE3B53" w:rsidRPr="004A479D">
        <w:t>7 (table item</w:t>
      </w:r>
      <w:r w:rsidR="008B7F27" w:rsidRPr="004A479D">
        <w:t>s</w:t>
      </w:r>
      <w:r w:rsidR="004A479D" w:rsidRPr="004A479D">
        <w:t> </w:t>
      </w:r>
      <w:r w:rsidR="008B7F27" w:rsidRPr="004A479D">
        <w:t>117 and</w:t>
      </w:r>
      <w:r w:rsidR="00FE3B53" w:rsidRPr="004A479D">
        <w:t xml:space="preserve"> 118)</w:t>
      </w:r>
    </w:p>
    <w:p w:rsidR="00CD0916" w:rsidRPr="004A479D" w:rsidRDefault="00CD0916" w:rsidP="00CD0916">
      <w:pPr>
        <w:pStyle w:val="Item"/>
      </w:pPr>
      <w:r w:rsidRPr="004A479D">
        <w:t>Repeal the item</w:t>
      </w:r>
      <w:r w:rsidR="008B7F27" w:rsidRPr="004A479D">
        <w:t>s</w:t>
      </w:r>
      <w:r w:rsidRPr="004A479D">
        <w:t>, substitute:</w:t>
      </w: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0"/>
        <w:gridCol w:w="7799"/>
      </w:tblGrid>
      <w:tr w:rsidR="008B7F27" w:rsidRPr="004A479D" w:rsidTr="00BC0192">
        <w:tc>
          <w:tcPr>
            <w:tcW w:w="428" w:type="pct"/>
            <w:shd w:val="clear" w:color="auto" w:fill="auto"/>
          </w:tcPr>
          <w:p w:rsidR="008B7F27" w:rsidRPr="004A479D" w:rsidRDefault="008B7F27" w:rsidP="008B7F27">
            <w:pPr>
              <w:pStyle w:val="Tabletext"/>
            </w:pPr>
            <w:r w:rsidRPr="004A479D">
              <w:t>117</w:t>
            </w:r>
          </w:p>
        </w:tc>
        <w:tc>
          <w:tcPr>
            <w:tcW w:w="4572" w:type="pct"/>
            <w:shd w:val="clear" w:color="auto" w:fill="auto"/>
          </w:tcPr>
          <w:p w:rsidR="008B7F27" w:rsidRPr="004A479D" w:rsidRDefault="008B7F27" w:rsidP="00BC0192">
            <w:pPr>
              <w:pStyle w:val="Tabletext"/>
            </w:pPr>
            <w:r w:rsidRPr="004A479D">
              <w:t>Singapore Exchange Derivatives Clearing Limited (SGX</w:t>
            </w:r>
            <w:r w:rsidR="004A479D">
              <w:noBreakHyphen/>
            </w:r>
            <w:r w:rsidRPr="004A479D">
              <w:t>DC)</w:t>
            </w:r>
          </w:p>
        </w:tc>
      </w:tr>
      <w:tr w:rsidR="00CD0916" w:rsidRPr="004A479D" w:rsidTr="00A5363F">
        <w:tc>
          <w:tcPr>
            <w:tcW w:w="428" w:type="pct"/>
            <w:shd w:val="clear" w:color="auto" w:fill="auto"/>
          </w:tcPr>
          <w:p w:rsidR="00CD0916" w:rsidRPr="004A479D" w:rsidRDefault="00CD0916" w:rsidP="00CD0916">
            <w:pPr>
              <w:pStyle w:val="Tabletext"/>
            </w:pPr>
            <w:r w:rsidRPr="004A479D">
              <w:t>117A</w:t>
            </w:r>
          </w:p>
        </w:tc>
        <w:tc>
          <w:tcPr>
            <w:tcW w:w="4572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Singapore Exchange Derivatives Trading Limited (SGX</w:t>
            </w:r>
            <w:r w:rsidR="004A479D">
              <w:noBreakHyphen/>
            </w:r>
            <w:r w:rsidRPr="004A479D">
              <w:t>DT)</w:t>
            </w:r>
          </w:p>
        </w:tc>
      </w:tr>
      <w:tr w:rsidR="00CD0916" w:rsidRPr="004A479D" w:rsidTr="00A5363F">
        <w:tc>
          <w:tcPr>
            <w:tcW w:w="428" w:type="pct"/>
            <w:shd w:val="clear" w:color="auto" w:fill="auto"/>
          </w:tcPr>
          <w:p w:rsidR="00CD0916" w:rsidRPr="004A479D" w:rsidRDefault="00CD0916" w:rsidP="00BC0192">
            <w:pPr>
              <w:pStyle w:val="Tabletext"/>
            </w:pPr>
            <w:r w:rsidRPr="004A479D">
              <w:t>118</w:t>
            </w:r>
          </w:p>
        </w:tc>
        <w:tc>
          <w:tcPr>
            <w:tcW w:w="4572" w:type="pct"/>
            <w:shd w:val="clear" w:color="auto" w:fill="auto"/>
          </w:tcPr>
          <w:p w:rsidR="00CD0916" w:rsidRPr="004A479D" w:rsidRDefault="00CD0916" w:rsidP="00CD0916">
            <w:pPr>
              <w:pStyle w:val="Tabletext"/>
            </w:pPr>
            <w:r w:rsidRPr="004A479D">
              <w:t>Singapore Exchange Securities Trading Limited</w:t>
            </w:r>
            <w:r w:rsidRPr="004A479D" w:rsidDel="00CB038F">
              <w:t xml:space="preserve"> </w:t>
            </w:r>
            <w:r w:rsidRPr="004A479D">
              <w:t>(SGX</w:t>
            </w:r>
            <w:r w:rsidR="004A479D">
              <w:noBreakHyphen/>
            </w:r>
            <w:r w:rsidRPr="004A479D">
              <w:t>ST)</w:t>
            </w:r>
          </w:p>
        </w:tc>
      </w:tr>
    </w:tbl>
    <w:p w:rsidR="00FE3B53" w:rsidRPr="004A479D" w:rsidRDefault="006C182D" w:rsidP="00FE3B53">
      <w:pPr>
        <w:pStyle w:val="ItemHead"/>
      </w:pPr>
      <w:r w:rsidRPr="004A479D">
        <w:t>21</w:t>
      </w:r>
      <w:r w:rsidR="00FE3B53" w:rsidRPr="004A479D">
        <w:t xml:space="preserve">  Clause</w:t>
      </w:r>
      <w:r w:rsidR="004A479D" w:rsidRPr="004A479D">
        <w:t> </w:t>
      </w:r>
      <w:r w:rsidR="00FE3B53" w:rsidRPr="004A479D">
        <w:t>1 of Schedule</w:t>
      </w:r>
      <w:r w:rsidR="004A479D" w:rsidRPr="004A479D">
        <w:t> </w:t>
      </w:r>
      <w:r w:rsidR="00FE3B53" w:rsidRPr="004A479D">
        <w:t>7 (table item</w:t>
      </w:r>
      <w:r w:rsidR="004A479D" w:rsidRPr="004A479D">
        <w:t> </w:t>
      </w:r>
      <w:r w:rsidR="00FE3B53" w:rsidRPr="004A479D">
        <w:t>120)</w:t>
      </w:r>
    </w:p>
    <w:p w:rsidR="00FE3B53" w:rsidRPr="004A479D" w:rsidRDefault="00FE3B53" w:rsidP="00FE3B53">
      <w:pPr>
        <w:pStyle w:val="Item"/>
      </w:pPr>
      <w:r w:rsidRPr="004A479D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FE3B53" w:rsidRPr="004A479D" w:rsidTr="009B7E66">
        <w:tc>
          <w:tcPr>
            <w:tcW w:w="428" w:type="pct"/>
            <w:shd w:val="clear" w:color="auto" w:fill="auto"/>
          </w:tcPr>
          <w:p w:rsidR="00FE3B53" w:rsidRPr="004A479D" w:rsidRDefault="00FE3B53" w:rsidP="00F94213">
            <w:pPr>
              <w:pStyle w:val="Tabletext"/>
            </w:pPr>
            <w:r w:rsidRPr="004A479D">
              <w:t>120</w:t>
            </w:r>
          </w:p>
        </w:tc>
        <w:tc>
          <w:tcPr>
            <w:tcW w:w="4572" w:type="pct"/>
            <w:shd w:val="clear" w:color="auto" w:fill="auto"/>
          </w:tcPr>
          <w:p w:rsidR="00FE3B53" w:rsidRPr="004A479D" w:rsidRDefault="00FE3B53" w:rsidP="00FE3B53">
            <w:pPr>
              <w:pStyle w:val="Tabletext"/>
            </w:pPr>
            <w:r w:rsidRPr="004A479D">
              <w:t>SwapClear operated by LCH.Clearnet Limited</w:t>
            </w:r>
          </w:p>
        </w:tc>
      </w:tr>
    </w:tbl>
    <w:p w:rsidR="00FE3B53" w:rsidRPr="004A479D" w:rsidRDefault="006C182D" w:rsidP="00FE3B53">
      <w:pPr>
        <w:pStyle w:val="ItemHead"/>
      </w:pPr>
      <w:r w:rsidRPr="004A479D">
        <w:t>22</w:t>
      </w:r>
      <w:r w:rsidR="00FE3B53" w:rsidRPr="004A479D">
        <w:t xml:space="preserve">  Clause</w:t>
      </w:r>
      <w:r w:rsidR="004A479D" w:rsidRPr="004A479D">
        <w:t> </w:t>
      </w:r>
      <w:r w:rsidR="00FE3B53" w:rsidRPr="004A479D">
        <w:t>1 of Schedule</w:t>
      </w:r>
      <w:r w:rsidR="004A479D" w:rsidRPr="004A479D">
        <w:t> </w:t>
      </w:r>
      <w:r w:rsidR="00FE3B53" w:rsidRPr="004A479D">
        <w:t>7 (table item</w:t>
      </w:r>
      <w:r w:rsidR="00FF0557" w:rsidRPr="004A479D">
        <w:t>s</w:t>
      </w:r>
      <w:r w:rsidR="004A479D" w:rsidRPr="004A479D">
        <w:t> </w:t>
      </w:r>
      <w:r w:rsidR="00FE3B53" w:rsidRPr="004A479D">
        <w:t>125</w:t>
      </w:r>
      <w:r w:rsidR="00FF0557" w:rsidRPr="004A479D">
        <w:t>, 131, 137 and 142</w:t>
      </w:r>
      <w:r w:rsidR="00FE3B53" w:rsidRPr="004A479D">
        <w:t>)</w:t>
      </w:r>
    </w:p>
    <w:p w:rsidR="00CD0916" w:rsidRPr="004A479D" w:rsidRDefault="00FE3B53" w:rsidP="00FE3B53">
      <w:pPr>
        <w:pStyle w:val="Item"/>
      </w:pPr>
      <w:r w:rsidRPr="004A479D">
        <w:t>Repeal the item</w:t>
      </w:r>
      <w:r w:rsidR="00FF0557" w:rsidRPr="004A479D">
        <w:t>s</w:t>
      </w:r>
      <w:r w:rsidR="00CD0916" w:rsidRPr="004A479D">
        <w:t>.</w:t>
      </w:r>
    </w:p>
    <w:p w:rsidR="003B4C69" w:rsidRPr="004A479D" w:rsidRDefault="003B4C69" w:rsidP="003B4C69">
      <w:pPr>
        <w:pStyle w:val="ActHead6"/>
        <w:pageBreakBefore/>
      </w:pPr>
      <w:bookmarkStart w:id="17" w:name="_Toc460494743"/>
      <w:bookmarkStart w:id="18" w:name="opcCurrentFind"/>
      <w:r w:rsidRPr="004A479D">
        <w:rPr>
          <w:rStyle w:val="CharAmSchNo"/>
        </w:rPr>
        <w:t>Schedule</w:t>
      </w:r>
      <w:r w:rsidR="004A479D" w:rsidRPr="004A479D">
        <w:rPr>
          <w:rStyle w:val="CharAmSchNo"/>
        </w:rPr>
        <w:t> </w:t>
      </w:r>
      <w:r w:rsidRPr="004A479D">
        <w:rPr>
          <w:rStyle w:val="CharAmSchNo"/>
        </w:rPr>
        <w:t>3</w:t>
      </w:r>
      <w:r w:rsidRPr="004A479D">
        <w:t>—</w:t>
      </w:r>
      <w:r w:rsidRPr="004A479D">
        <w:rPr>
          <w:rStyle w:val="CharAmSchText"/>
        </w:rPr>
        <w:t>Superannuation Industry (Supervision) Regulations</w:t>
      </w:r>
      <w:r w:rsidR="004A479D" w:rsidRPr="004A479D">
        <w:rPr>
          <w:rStyle w:val="CharAmSchText"/>
        </w:rPr>
        <w:t> </w:t>
      </w:r>
      <w:r w:rsidRPr="004A479D">
        <w:rPr>
          <w:rStyle w:val="CharAmSchText"/>
        </w:rPr>
        <w:t>1994</w:t>
      </w:r>
      <w:bookmarkEnd w:id="17"/>
    </w:p>
    <w:bookmarkEnd w:id="18"/>
    <w:p w:rsidR="003B4C69" w:rsidRPr="004A479D" w:rsidRDefault="003B4C69" w:rsidP="003B4C69">
      <w:pPr>
        <w:pStyle w:val="Header"/>
      </w:pPr>
      <w:r w:rsidRPr="004A479D">
        <w:rPr>
          <w:rStyle w:val="CharAmPartNo"/>
        </w:rPr>
        <w:t xml:space="preserve"> </w:t>
      </w:r>
      <w:r w:rsidRPr="004A479D">
        <w:rPr>
          <w:rStyle w:val="CharAmPartText"/>
        </w:rPr>
        <w:t xml:space="preserve"> </w:t>
      </w:r>
    </w:p>
    <w:p w:rsidR="003B4C69" w:rsidRPr="004A479D" w:rsidRDefault="003B4C69" w:rsidP="003B4C69">
      <w:pPr>
        <w:pStyle w:val="ActHead9"/>
      </w:pPr>
      <w:bookmarkStart w:id="19" w:name="_Toc460494744"/>
      <w:r w:rsidRPr="004A479D">
        <w:t>Superannuation Industry (Supervision) Regulations</w:t>
      </w:r>
      <w:r w:rsidR="004A479D" w:rsidRPr="004A479D">
        <w:t> </w:t>
      </w:r>
      <w:r w:rsidRPr="004A479D">
        <w:t>1994</w:t>
      </w:r>
      <w:bookmarkEnd w:id="19"/>
    </w:p>
    <w:p w:rsidR="003B4C69" w:rsidRPr="004A479D" w:rsidRDefault="003B4C69" w:rsidP="003B4C69">
      <w:pPr>
        <w:pStyle w:val="ItemHead"/>
      </w:pPr>
      <w:r w:rsidRPr="004A479D">
        <w:t>1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(before table item</w:t>
      </w:r>
      <w:r w:rsidR="004A479D" w:rsidRPr="004A479D">
        <w:t> </w:t>
      </w:r>
      <w:r w:rsidRPr="004A479D">
        <w:t>1)</w:t>
      </w:r>
    </w:p>
    <w:p w:rsidR="003B4C69" w:rsidRPr="004A479D" w:rsidRDefault="003B4C69" w:rsidP="003B4C69">
      <w:pPr>
        <w:pStyle w:val="Item"/>
      </w:pPr>
      <w:r w:rsidRPr="004A479D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1A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AB NASDAQ Vilnius (XLIT)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2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(table items</w:t>
      </w:r>
      <w:r w:rsidR="004A479D" w:rsidRPr="004A479D">
        <w:t> </w:t>
      </w:r>
      <w:r w:rsidRPr="004A479D">
        <w:t>5 and 6)</w:t>
      </w:r>
    </w:p>
    <w:p w:rsidR="003B4C69" w:rsidRPr="004A479D" w:rsidRDefault="003B4C69" w:rsidP="003B4C69">
      <w:pPr>
        <w:pStyle w:val="Item"/>
      </w:pPr>
      <w:r w:rsidRPr="004A479D">
        <w:t>Repeal the items, substitute:</w:t>
      </w:r>
    </w:p>
    <w:tbl>
      <w:tblPr>
        <w:tblW w:w="5000" w:type="pct"/>
        <w:tblBorders>
          <w:bottom w:val="single" w:sz="4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Del="00473B78" w:rsidTr="00E12F26">
        <w:tc>
          <w:tcPr>
            <w:tcW w:w="428" w:type="pct"/>
            <w:tcBorders>
              <w:bottom w:val="single" w:sz="2" w:space="0" w:color="auto"/>
            </w:tcBorders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5</w:t>
            </w:r>
          </w:p>
        </w:tc>
        <w:tc>
          <w:tcPr>
            <w:tcW w:w="4572" w:type="pct"/>
            <w:tcBorders>
              <w:bottom w:val="single" w:sz="2" w:space="0" w:color="auto"/>
            </w:tcBorders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Athens Exchange (ATHEX)</w:t>
            </w:r>
          </w:p>
        </w:tc>
      </w:tr>
      <w:tr w:rsidR="003B4C69" w:rsidRPr="004A479D" w:rsidDel="00473B78" w:rsidTr="00E12F26">
        <w:tc>
          <w:tcPr>
            <w:tcW w:w="428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6</w:t>
            </w:r>
          </w:p>
        </w:tc>
        <w:tc>
          <w:tcPr>
            <w:tcW w:w="4572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Athens Exchange Clearing House (ATHEX Clear)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3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(after table item</w:t>
      </w:r>
      <w:r w:rsidR="004A479D" w:rsidRPr="004A479D">
        <w:t> </w:t>
      </w:r>
      <w:r w:rsidRPr="004A479D">
        <w:t>11)</w:t>
      </w:r>
    </w:p>
    <w:p w:rsidR="003B4C69" w:rsidRPr="004A479D" w:rsidRDefault="003B4C69" w:rsidP="003B4C69">
      <w:pPr>
        <w:pStyle w:val="Item"/>
      </w:pPr>
      <w:r w:rsidRPr="004A479D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11A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Borsa Istanbul Futures &amp; Options Market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4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(table items</w:t>
      </w:r>
      <w:r w:rsidR="004A479D" w:rsidRPr="004A479D">
        <w:t> </w:t>
      </w:r>
      <w:r w:rsidRPr="004A479D">
        <w:t>13 and 14)</w:t>
      </w:r>
    </w:p>
    <w:p w:rsidR="003B4C69" w:rsidRPr="004A479D" w:rsidRDefault="003B4C69" w:rsidP="003B4C69">
      <w:pPr>
        <w:pStyle w:val="Item"/>
      </w:pPr>
      <w:r w:rsidRPr="004A479D">
        <w:t>Repeal the items, substitute:</w:t>
      </w: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13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Bourse de Montréal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14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Budapesti Értéktözsde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5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(table item</w:t>
      </w:r>
      <w:r w:rsidR="004A479D" w:rsidRPr="004A479D">
        <w:t> </w:t>
      </w:r>
      <w:r w:rsidRPr="004A479D">
        <w:t>16)</w:t>
      </w:r>
    </w:p>
    <w:p w:rsidR="003B4C69" w:rsidRPr="004A479D" w:rsidRDefault="003B4C69" w:rsidP="003B4C69">
      <w:pPr>
        <w:pStyle w:val="Item"/>
      </w:pPr>
      <w:r w:rsidRPr="004A479D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16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Cantor Clearinghouse, L.P.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6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(table item</w:t>
      </w:r>
      <w:r w:rsidR="004A479D" w:rsidRPr="004A479D">
        <w:t> </w:t>
      </w:r>
      <w:r w:rsidRPr="004A479D">
        <w:t>20)</w:t>
      </w:r>
    </w:p>
    <w:p w:rsidR="003B4C69" w:rsidRPr="004A479D" w:rsidRDefault="003B4C69" w:rsidP="003B4C69">
      <w:pPr>
        <w:pStyle w:val="Item"/>
      </w:pPr>
      <w:r w:rsidRPr="004A479D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20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CDSClear operated by LCH.Clearnet SA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7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(after table item</w:t>
      </w:r>
      <w:r w:rsidR="004A479D" w:rsidRPr="004A479D">
        <w:t> </w:t>
      </w:r>
      <w:r w:rsidRPr="004A479D">
        <w:t>28)</w:t>
      </w:r>
    </w:p>
    <w:p w:rsidR="003B4C69" w:rsidRPr="004A479D" w:rsidRDefault="003B4C69" w:rsidP="003B4C69">
      <w:pPr>
        <w:pStyle w:val="Item"/>
      </w:pPr>
      <w:r w:rsidRPr="004A479D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28A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CommodityClear operated by LCH.Clearnet Limited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8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(table item</w:t>
      </w:r>
      <w:r w:rsidR="004A479D" w:rsidRPr="004A479D">
        <w:t> </w:t>
      </w:r>
      <w:r w:rsidRPr="004A479D">
        <w:t>34)</w:t>
      </w:r>
    </w:p>
    <w:p w:rsidR="003B4C69" w:rsidRPr="004A479D" w:rsidRDefault="003B4C69" w:rsidP="003B4C69">
      <w:pPr>
        <w:pStyle w:val="Item"/>
      </w:pPr>
      <w:r w:rsidRPr="004A479D">
        <w:t>Repeal the item.</w:t>
      </w:r>
    </w:p>
    <w:p w:rsidR="003B4C69" w:rsidRPr="004A479D" w:rsidRDefault="003B4C69" w:rsidP="003B4C69">
      <w:pPr>
        <w:pStyle w:val="ItemHead"/>
      </w:pPr>
      <w:r w:rsidRPr="004A479D">
        <w:t>9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(after table item</w:t>
      </w:r>
      <w:r w:rsidR="004A479D" w:rsidRPr="004A479D">
        <w:t> </w:t>
      </w:r>
      <w:r w:rsidRPr="004A479D">
        <w:t>37)</w:t>
      </w:r>
    </w:p>
    <w:p w:rsidR="003B4C69" w:rsidRPr="004A479D" w:rsidRDefault="003B4C69" w:rsidP="003B4C69">
      <w:pPr>
        <w:pStyle w:val="Item"/>
      </w:pPr>
      <w:r w:rsidRPr="004A479D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37A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EuroGCplus operated by LCH.Clearnet SA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10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(table items</w:t>
      </w:r>
      <w:r w:rsidR="004A479D" w:rsidRPr="004A479D">
        <w:t> </w:t>
      </w:r>
      <w:r w:rsidRPr="004A479D">
        <w:t>48 and 49)</w:t>
      </w:r>
    </w:p>
    <w:p w:rsidR="003B4C69" w:rsidRPr="004A479D" w:rsidRDefault="003B4C69" w:rsidP="003B4C69">
      <w:pPr>
        <w:pStyle w:val="Item"/>
      </w:pPr>
      <w:r w:rsidRPr="004A479D">
        <w:t>Repeal the items, substitute:</w:t>
      </w: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48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Euronext Paris MONEP (Marché des Options Négociable</w:t>
            </w:r>
            <w:r w:rsidR="00E371AD" w:rsidRPr="004A479D">
              <w:t>s</w:t>
            </w:r>
            <w:r w:rsidRPr="004A479D">
              <w:t xml:space="preserve"> de Paris) (XMON)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49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European Central Counterparty N.V. (EuroCCP)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11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(table items</w:t>
      </w:r>
      <w:r w:rsidR="004A479D" w:rsidRPr="004A479D">
        <w:t> </w:t>
      </w:r>
      <w:r w:rsidRPr="004A479D">
        <w:t>53 to 56)</w:t>
      </w:r>
    </w:p>
    <w:p w:rsidR="003B4C69" w:rsidRPr="004A479D" w:rsidRDefault="003B4C69" w:rsidP="003B4C69">
      <w:pPr>
        <w:pStyle w:val="Item"/>
      </w:pPr>
      <w:r w:rsidRPr="004A479D">
        <w:t>Repeal the items, substitute:</w:t>
      </w: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53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ForexClear operated by LCH.Clearnet Limited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54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HKFE Clearing Corporation Limited (HKCC)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55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Hong Kong Exchange and Clearing Ltd (HKEX)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56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Hong Kong Futures Exchange Limited (HKFE)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12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(table item</w:t>
      </w:r>
      <w:r w:rsidR="004A479D" w:rsidRPr="004A479D">
        <w:t> </w:t>
      </w:r>
      <w:r w:rsidRPr="004A479D">
        <w:t>63)</w:t>
      </w:r>
    </w:p>
    <w:p w:rsidR="003B4C69" w:rsidRPr="004A479D" w:rsidRDefault="003B4C69" w:rsidP="003B4C69">
      <w:pPr>
        <w:pStyle w:val="Item"/>
      </w:pPr>
      <w:r w:rsidRPr="004A479D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63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ICE Clear Singapore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13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(table item</w:t>
      </w:r>
      <w:r w:rsidR="004A479D" w:rsidRPr="004A479D">
        <w:t> </w:t>
      </w:r>
      <w:r w:rsidRPr="004A479D">
        <w:t>67)</w:t>
      </w:r>
    </w:p>
    <w:p w:rsidR="003B4C69" w:rsidRPr="004A479D" w:rsidRDefault="003B4C69" w:rsidP="003B4C69">
      <w:pPr>
        <w:pStyle w:val="Item"/>
      </w:pPr>
      <w:r w:rsidRPr="004A479D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67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ICE Futures Europe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14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(table item</w:t>
      </w:r>
      <w:r w:rsidR="004A479D" w:rsidRPr="004A479D">
        <w:t> </w:t>
      </w:r>
      <w:r w:rsidRPr="004A479D">
        <w:t>72)</w:t>
      </w:r>
    </w:p>
    <w:p w:rsidR="003B4C69" w:rsidRPr="004A479D" w:rsidRDefault="003B4C69" w:rsidP="003B4C69">
      <w:pPr>
        <w:pStyle w:val="Item"/>
      </w:pPr>
      <w:r w:rsidRPr="004A479D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72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Jakarta Futures Exchange (JFX)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15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(after table item</w:t>
      </w:r>
      <w:r w:rsidR="004A479D" w:rsidRPr="004A479D">
        <w:t> </w:t>
      </w:r>
      <w:r w:rsidRPr="004A479D">
        <w:t>74)</w:t>
      </w:r>
    </w:p>
    <w:p w:rsidR="003B4C69" w:rsidRPr="004A479D" w:rsidRDefault="003B4C69" w:rsidP="003B4C69">
      <w:pPr>
        <w:pStyle w:val="Item"/>
      </w:pPr>
      <w:r w:rsidRPr="004A479D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74A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JSE Commodity Derivatives Market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16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(table item</w:t>
      </w:r>
      <w:r w:rsidR="004A479D" w:rsidRPr="004A479D">
        <w:t> </w:t>
      </w:r>
      <w:r w:rsidRPr="004A479D">
        <w:t>82)</w:t>
      </w:r>
    </w:p>
    <w:p w:rsidR="003B4C69" w:rsidRPr="004A479D" w:rsidRDefault="003B4C69" w:rsidP="003B4C69">
      <w:pPr>
        <w:pStyle w:val="Item"/>
      </w:pPr>
      <w:r w:rsidRPr="004A479D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82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Montréal Climate Exchange (MCex)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17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(table items</w:t>
      </w:r>
      <w:r w:rsidR="004A479D" w:rsidRPr="004A479D">
        <w:t> </w:t>
      </w:r>
      <w:r w:rsidRPr="004A479D">
        <w:t>83 to 96)</w:t>
      </w:r>
    </w:p>
    <w:p w:rsidR="003B4C69" w:rsidRPr="004A479D" w:rsidRDefault="003B4C69" w:rsidP="003B4C69">
      <w:pPr>
        <w:pStyle w:val="Item"/>
      </w:pPr>
      <w:r w:rsidRPr="004A479D">
        <w:t>Repeal the items, substitute:</w:t>
      </w: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83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NASDAQ BX, Inc.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84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NASDAQ Commodities operated by NASDAQ Oslo ASA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85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NASDAQ Copenhagen A/S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86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NASDAQ Derivatives Markets operated by NASDAQ Stockholm AB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87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NASDAQ Futures (NFX) operated by NASDAQ Futures, Inc.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88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NASDAQ Helsinki Ltd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89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NASDAQ Iceland hf.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90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NASDAQ NLX Ltd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91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NASDAQ OMX Armenia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92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NASDAQ PHLX LLC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93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NASDAQ PSX operated by NASDAQ PHLX LLC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94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NASDAQ Riga, AS (XRIS)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95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NASDAQ Stockholm AB (XSTO)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96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NASDAQ Tallinn AS (XTAL)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18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(after table item</w:t>
      </w:r>
      <w:r w:rsidR="004A479D" w:rsidRPr="004A479D">
        <w:t> </w:t>
      </w:r>
      <w:r w:rsidRPr="004A479D">
        <w:t>106)</w:t>
      </w:r>
    </w:p>
    <w:p w:rsidR="003B4C69" w:rsidRPr="004A479D" w:rsidRDefault="003B4C69" w:rsidP="003B4C69">
      <w:pPr>
        <w:pStyle w:val="Item"/>
      </w:pPr>
      <w:r w:rsidRPr="004A479D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106A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NZX Main Board operated by NZX Limited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19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(table items</w:t>
      </w:r>
      <w:r w:rsidR="004A479D" w:rsidRPr="004A479D">
        <w:t> </w:t>
      </w:r>
      <w:r w:rsidRPr="004A479D">
        <w:t>114 and 115)</w:t>
      </w:r>
    </w:p>
    <w:p w:rsidR="003B4C69" w:rsidRPr="004A479D" w:rsidRDefault="003B4C69" w:rsidP="003B4C69">
      <w:pPr>
        <w:pStyle w:val="Item"/>
      </w:pPr>
      <w:r w:rsidRPr="004A479D">
        <w:t>Repeal the items, substitute:</w:t>
      </w: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114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RepoClear operated by LCH.Clearnet Limited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115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RepoClear operated by LCH.Clearnet SA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20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(table items</w:t>
      </w:r>
      <w:r w:rsidR="004A479D" w:rsidRPr="004A479D">
        <w:t> </w:t>
      </w:r>
      <w:r w:rsidRPr="004A479D">
        <w:t>117 and 118)</w:t>
      </w:r>
    </w:p>
    <w:p w:rsidR="003B4C69" w:rsidRPr="004A479D" w:rsidRDefault="003B4C69" w:rsidP="003B4C69">
      <w:pPr>
        <w:pStyle w:val="Item"/>
      </w:pPr>
      <w:r w:rsidRPr="004A479D">
        <w:t>Repeal the items, substitute:</w:t>
      </w: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117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Singapore Exchange Derivatives Clearing Limited (SGX</w:t>
            </w:r>
            <w:r w:rsidR="004A479D">
              <w:noBreakHyphen/>
            </w:r>
            <w:r w:rsidRPr="004A479D">
              <w:t>DC)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117A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Singapore Exchange Derivatives Trading Limited (SGX</w:t>
            </w:r>
            <w:r w:rsidR="004A479D">
              <w:noBreakHyphen/>
            </w:r>
            <w:r w:rsidRPr="004A479D">
              <w:t>DT)</w:t>
            </w:r>
          </w:p>
        </w:tc>
      </w:tr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118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Singapore Exchange Securities Trading Limited</w:t>
            </w:r>
            <w:r w:rsidRPr="004A479D" w:rsidDel="00CB038F">
              <w:t xml:space="preserve"> </w:t>
            </w:r>
            <w:r w:rsidRPr="004A479D">
              <w:t>(SGX</w:t>
            </w:r>
            <w:r w:rsidR="004A479D">
              <w:noBreakHyphen/>
            </w:r>
            <w:r w:rsidRPr="004A479D">
              <w:t>ST)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21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(table item</w:t>
      </w:r>
      <w:r w:rsidR="004A479D" w:rsidRPr="004A479D">
        <w:t> </w:t>
      </w:r>
      <w:r w:rsidRPr="004A479D">
        <w:t>120)</w:t>
      </w:r>
    </w:p>
    <w:p w:rsidR="003B4C69" w:rsidRPr="004A479D" w:rsidRDefault="003B4C69" w:rsidP="003B4C69">
      <w:pPr>
        <w:pStyle w:val="Item"/>
      </w:pPr>
      <w:r w:rsidRPr="004A479D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0"/>
        <w:gridCol w:w="7799"/>
      </w:tblGrid>
      <w:tr w:rsidR="003B4C69" w:rsidRPr="004A479D" w:rsidTr="00E12F26">
        <w:tc>
          <w:tcPr>
            <w:tcW w:w="428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120</w:t>
            </w:r>
          </w:p>
        </w:tc>
        <w:tc>
          <w:tcPr>
            <w:tcW w:w="4572" w:type="pct"/>
            <w:shd w:val="clear" w:color="auto" w:fill="auto"/>
          </w:tcPr>
          <w:p w:rsidR="003B4C69" w:rsidRPr="004A479D" w:rsidRDefault="003B4C69" w:rsidP="00E12F26">
            <w:pPr>
              <w:pStyle w:val="Tabletext"/>
            </w:pPr>
            <w:r w:rsidRPr="004A479D">
              <w:t>SwapClear operated by LCH.Clearnet Limited</w:t>
            </w:r>
          </w:p>
        </w:tc>
      </w:tr>
    </w:tbl>
    <w:p w:rsidR="003B4C69" w:rsidRPr="004A479D" w:rsidRDefault="003B4C69" w:rsidP="003B4C69">
      <w:pPr>
        <w:pStyle w:val="ItemHead"/>
      </w:pPr>
      <w:r w:rsidRPr="004A479D">
        <w:t>22  Clause</w:t>
      </w:r>
      <w:r w:rsidR="004A479D" w:rsidRPr="004A479D">
        <w:t> </w:t>
      </w:r>
      <w:r w:rsidRPr="004A479D">
        <w:t xml:space="preserve">1 of </w:t>
      </w:r>
      <w:r w:rsidR="001F5DF6" w:rsidRPr="004A479D">
        <w:t>Schedule</w:t>
      </w:r>
      <w:r w:rsidR="004A479D" w:rsidRPr="004A479D">
        <w:t> </w:t>
      </w:r>
      <w:r w:rsidR="001F5DF6" w:rsidRPr="004A479D">
        <w:t>4</w:t>
      </w:r>
      <w:r w:rsidRPr="004A479D">
        <w:t xml:space="preserve"> (table items</w:t>
      </w:r>
      <w:r w:rsidR="004A479D" w:rsidRPr="004A479D">
        <w:t> </w:t>
      </w:r>
      <w:r w:rsidRPr="004A479D">
        <w:t>125, 131, 137 and 142)</w:t>
      </w:r>
    </w:p>
    <w:p w:rsidR="003B4C69" w:rsidRPr="004A479D" w:rsidRDefault="003B4C69" w:rsidP="003B4C69">
      <w:pPr>
        <w:pStyle w:val="Item"/>
      </w:pPr>
      <w:r w:rsidRPr="004A479D">
        <w:t>Repeal the items.</w:t>
      </w:r>
    </w:p>
    <w:sectPr w:rsidR="003B4C69" w:rsidRPr="004A479D" w:rsidSect="00E62BE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26" w:rsidRDefault="00E12F26" w:rsidP="0048364F">
      <w:pPr>
        <w:spacing w:line="240" w:lineRule="auto"/>
      </w:pPr>
      <w:r>
        <w:separator/>
      </w:r>
    </w:p>
  </w:endnote>
  <w:endnote w:type="continuationSeparator" w:id="0">
    <w:p w:rsidR="00E12F26" w:rsidRDefault="00E12F2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26" w:rsidRPr="00E62BEC" w:rsidRDefault="00E12F26" w:rsidP="00E62BE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62BEC">
      <w:rPr>
        <w:i/>
        <w:sz w:val="18"/>
      </w:rPr>
      <w:t xml:space="preserve"> </w:t>
    </w:r>
    <w:r w:rsidR="00E62BEC" w:rsidRPr="00E62BEC">
      <w:rPr>
        <w:i/>
        <w:sz w:val="18"/>
      </w:rPr>
      <w:t>OPC61842 -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BEC" w:rsidRDefault="00E62BEC" w:rsidP="00E62BEC">
    <w:pPr>
      <w:pStyle w:val="Footer"/>
    </w:pPr>
    <w:r w:rsidRPr="00E62BEC">
      <w:rPr>
        <w:i/>
        <w:sz w:val="18"/>
      </w:rPr>
      <w:t>OPC61842 -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26" w:rsidRPr="00E62BEC" w:rsidRDefault="00E12F26" w:rsidP="00486382">
    <w:pPr>
      <w:pStyle w:val="Footer"/>
      <w:rPr>
        <w:sz w:val="18"/>
      </w:rPr>
    </w:pPr>
  </w:p>
  <w:p w:rsidR="00E12F26" w:rsidRPr="00E62BEC" w:rsidRDefault="00E62BEC" w:rsidP="00E62BEC">
    <w:pPr>
      <w:pStyle w:val="Footer"/>
      <w:rPr>
        <w:sz w:val="18"/>
      </w:rPr>
    </w:pPr>
    <w:r w:rsidRPr="00E62BEC">
      <w:rPr>
        <w:i/>
        <w:sz w:val="18"/>
      </w:rPr>
      <w:t>OPC61842 -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26" w:rsidRPr="00E62BEC" w:rsidRDefault="00E12F26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12F26" w:rsidRPr="00E62BEC" w:rsidTr="00456FD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12F26" w:rsidRPr="00E62BEC" w:rsidRDefault="00E12F26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62BEC">
            <w:rPr>
              <w:rFonts w:cs="Times New Roman"/>
              <w:i/>
              <w:sz w:val="18"/>
            </w:rPr>
            <w:fldChar w:fldCharType="begin"/>
          </w:r>
          <w:r w:rsidRPr="00E62BEC">
            <w:rPr>
              <w:rFonts w:cs="Times New Roman"/>
              <w:i/>
              <w:sz w:val="18"/>
            </w:rPr>
            <w:instrText xml:space="preserve"> PAGE </w:instrText>
          </w:r>
          <w:r w:rsidRPr="00E62BEC">
            <w:rPr>
              <w:rFonts w:cs="Times New Roman"/>
              <w:i/>
              <w:sz w:val="18"/>
            </w:rPr>
            <w:fldChar w:fldCharType="separate"/>
          </w:r>
          <w:r w:rsidR="0044116C">
            <w:rPr>
              <w:rFonts w:cs="Times New Roman"/>
              <w:i/>
              <w:noProof/>
              <w:sz w:val="18"/>
            </w:rPr>
            <w:t>vii</w:t>
          </w:r>
          <w:r w:rsidRPr="00E62BE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12F26" w:rsidRPr="00E62BEC" w:rsidRDefault="00E12F26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62BEC">
            <w:rPr>
              <w:rFonts w:cs="Times New Roman"/>
              <w:i/>
              <w:sz w:val="18"/>
            </w:rPr>
            <w:fldChar w:fldCharType="begin"/>
          </w:r>
          <w:r w:rsidRPr="00E62BEC">
            <w:rPr>
              <w:rFonts w:cs="Times New Roman"/>
              <w:i/>
              <w:sz w:val="18"/>
            </w:rPr>
            <w:instrText xml:space="preserve"> DOCPROPERTY ShortT </w:instrText>
          </w:r>
          <w:r w:rsidRPr="00E62BEC">
            <w:rPr>
              <w:rFonts w:cs="Times New Roman"/>
              <w:i/>
              <w:sz w:val="18"/>
            </w:rPr>
            <w:fldChar w:fldCharType="separate"/>
          </w:r>
          <w:r w:rsidR="004E0689">
            <w:rPr>
              <w:rFonts w:cs="Times New Roman"/>
              <w:i/>
              <w:sz w:val="18"/>
            </w:rPr>
            <w:t>Financial Services Legislation Amendment (Wholesale Margining) Regulation 2016</w:t>
          </w:r>
          <w:r w:rsidRPr="00E62BE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12F26" w:rsidRPr="00E62BEC" w:rsidRDefault="00E12F26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E12F26" w:rsidRPr="00E62BEC" w:rsidRDefault="00E62BEC" w:rsidP="00E62BEC">
    <w:pPr>
      <w:rPr>
        <w:rFonts w:cs="Times New Roman"/>
        <w:i/>
        <w:sz w:val="18"/>
      </w:rPr>
    </w:pPr>
    <w:r w:rsidRPr="00E62BEC">
      <w:rPr>
        <w:rFonts w:cs="Times New Roman"/>
        <w:i/>
        <w:sz w:val="18"/>
      </w:rPr>
      <w:t>OPC61842 -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26" w:rsidRPr="00E33C1C" w:rsidRDefault="00E12F26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12F26" w:rsidTr="00456FD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12F26" w:rsidRDefault="00E12F26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12F26" w:rsidRDefault="00E12F26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0689">
            <w:rPr>
              <w:i/>
              <w:sz w:val="18"/>
            </w:rPr>
            <w:t>Financial Services Legislation Amendment (Wholesale Margining)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12F26" w:rsidRDefault="00E12F26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1D6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12F26" w:rsidRPr="00ED79B6" w:rsidRDefault="00E62BEC" w:rsidP="00E62BEC">
    <w:pPr>
      <w:rPr>
        <w:i/>
        <w:sz w:val="18"/>
      </w:rPr>
    </w:pPr>
    <w:r w:rsidRPr="00E62BEC">
      <w:rPr>
        <w:rFonts w:cs="Times New Roman"/>
        <w:i/>
        <w:sz w:val="18"/>
      </w:rPr>
      <w:t>OPC61842 -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26" w:rsidRPr="00E62BEC" w:rsidRDefault="00E12F26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E12F26" w:rsidRPr="00E62BEC" w:rsidTr="00456FD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12F26" w:rsidRPr="00E62BEC" w:rsidRDefault="00E12F26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E62BEC">
            <w:rPr>
              <w:rFonts w:cs="Times New Roman"/>
              <w:i/>
              <w:sz w:val="18"/>
            </w:rPr>
            <w:fldChar w:fldCharType="begin"/>
          </w:r>
          <w:r w:rsidRPr="00E62BEC">
            <w:rPr>
              <w:rFonts w:cs="Times New Roman"/>
              <w:i/>
              <w:sz w:val="18"/>
            </w:rPr>
            <w:instrText xml:space="preserve"> PAGE </w:instrText>
          </w:r>
          <w:r w:rsidRPr="00E62BEC">
            <w:rPr>
              <w:rFonts w:cs="Times New Roman"/>
              <w:i/>
              <w:sz w:val="18"/>
            </w:rPr>
            <w:fldChar w:fldCharType="separate"/>
          </w:r>
          <w:r w:rsidR="004E1D6A">
            <w:rPr>
              <w:rFonts w:cs="Times New Roman"/>
              <w:i/>
              <w:noProof/>
              <w:sz w:val="18"/>
            </w:rPr>
            <w:t>8</w:t>
          </w:r>
          <w:r w:rsidRPr="00E62BE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12F26" w:rsidRPr="00E62BEC" w:rsidRDefault="00E12F26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E62BEC">
            <w:rPr>
              <w:rFonts w:cs="Times New Roman"/>
              <w:i/>
              <w:sz w:val="18"/>
            </w:rPr>
            <w:fldChar w:fldCharType="begin"/>
          </w:r>
          <w:r w:rsidRPr="00E62BEC">
            <w:rPr>
              <w:rFonts w:cs="Times New Roman"/>
              <w:i/>
              <w:sz w:val="18"/>
            </w:rPr>
            <w:instrText xml:space="preserve"> DOCPROPERTY ShortT </w:instrText>
          </w:r>
          <w:r w:rsidRPr="00E62BEC">
            <w:rPr>
              <w:rFonts w:cs="Times New Roman"/>
              <w:i/>
              <w:sz w:val="18"/>
            </w:rPr>
            <w:fldChar w:fldCharType="separate"/>
          </w:r>
          <w:r w:rsidR="004E0689">
            <w:rPr>
              <w:rFonts w:cs="Times New Roman"/>
              <w:i/>
              <w:sz w:val="18"/>
            </w:rPr>
            <w:t>Financial Services Legislation Amendment (Wholesale Margining) Regulation 2016</w:t>
          </w:r>
          <w:r w:rsidRPr="00E62BE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12F26" w:rsidRPr="00E62BEC" w:rsidRDefault="00E12F26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E12F26" w:rsidRPr="00E62BEC" w:rsidRDefault="00E62BEC" w:rsidP="00E62BEC">
    <w:pPr>
      <w:rPr>
        <w:rFonts w:cs="Times New Roman"/>
        <w:i/>
        <w:sz w:val="18"/>
      </w:rPr>
    </w:pPr>
    <w:r w:rsidRPr="00E62BEC">
      <w:rPr>
        <w:rFonts w:cs="Times New Roman"/>
        <w:i/>
        <w:sz w:val="18"/>
      </w:rPr>
      <w:t>OPC61842 -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26" w:rsidRPr="00E33C1C" w:rsidRDefault="00E12F26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12F26" w:rsidTr="00456FD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12F26" w:rsidRDefault="00E12F26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12F26" w:rsidRDefault="00E12F26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0689">
            <w:rPr>
              <w:i/>
              <w:sz w:val="18"/>
            </w:rPr>
            <w:t>Financial Services Legislation Amendment (Wholesale Margining)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12F26" w:rsidRDefault="00E12F26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E1D6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12F26" w:rsidRPr="00ED79B6" w:rsidRDefault="00E62BEC" w:rsidP="00E62BEC">
    <w:pPr>
      <w:rPr>
        <w:i/>
        <w:sz w:val="18"/>
      </w:rPr>
    </w:pPr>
    <w:r w:rsidRPr="00E62BEC">
      <w:rPr>
        <w:rFonts w:cs="Times New Roman"/>
        <w:i/>
        <w:sz w:val="18"/>
      </w:rPr>
      <w:t>OPC61842 -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26" w:rsidRPr="00E33C1C" w:rsidRDefault="00E12F26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E12F26" w:rsidTr="00456FD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E12F26" w:rsidRDefault="00E12F26" w:rsidP="00F94213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E12F26" w:rsidRDefault="00E12F26" w:rsidP="00F9421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E0689">
            <w:rPr>
              <w:i/>
              <w:sz w:val="18"/>
            </w:rPr>
            <w:t>Financial Services Legislation Amendment (Wholesale Margining)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E12F26" w:rsidRDefault="00E12F26" w:rsidP="00F9421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4116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12F26" w:rsidRPr="00ED79B6" w:rsidRDefault="00E12F26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26" w:rsidRDefault="00E12F26" w:rsidP="0048364F">
      <w:pPr>
        <w:spacing w:line="240" w:lineRule="auto"/>
      </w:pPr>
      <w:r>
        <w:separator/>
      </w:r>
    </w:p>
  </w:footnote>
  <w:footnote w:type="continuationSeparator" w:id="0">
    <w:p w:rsidR="00E12F26" w:rsidRDefault="00E12F2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26" w:rsidRPr="005F1388" w:rsidRDefault="00E12F2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26" w:rsidRPr="005F1388" w:rsidRDefault="00E12F2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26" w:rsidRPr="005F1388" w:rsidRDefault="00E12F2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26" w:rsidRPr="00ED79B6" w:rsidRDefault="00E12F26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26" w:rsidRPr="00ED79B6" w:rsidRDefault="00E12F26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26" w:rsidRPr="00ED79B6" w:rsidRDefault="00E12F2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26" w:rsidRPr="00A961C4" w:rsidRDefault="00E12F26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E1D6A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E1D6A">
      <w:rPr>
        <w:noProof/>
        <w:sz w:val="20"/>
      </w:rPr>
      <w:t>Superannuation Industry (Supervision) Regulations 1994</w:t>
    </w:r>
    <w:r>
      <w:rPr>
        <w:sz w:val="20"/>
      </w:rPr>
      <w:fldChar w:fldCharType="end"/>
    </w:r>
  </w:p>
  <w:p w:rsidR="00E12F26" w:rsidRPr="00A961C4" w:rsidRDefault="00E12F26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12F26" w:rsidRPr="00A961C4" w:rsidRDefault="00E12F26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26" w:rsidRPr="00A961C4" w:rsidRDefault="00E12F26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12F26" w:rsidRPr="00A961C4" w:rsidRDefault="00E12F26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12F26" w:rsidRPr="00A961C4" w:rsidRDefault="00E12F26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F26" w:rsidRPr="00A961C4" w:rsidRDefault="00E12F26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D1"/>
    <w:rsid w:val="000041C6"/>
    <w:rsid w:val="000063E4"/>
    <w:rsid w:val="00011222"/>
    <w:rsid w:val="000113BC"/>
    <w:rsid w:val="000136AF"/>
    <w:rsid w:val="00025060"/>
    <w:rsid w:val="0004044E"/>
    <w:rsid w:val="000614BF"/>
    <w:rsid w:val="000615E5"/>
    <w:rsid w:val="00065682"/>
    <w:rsid w:val="00065947"/>
    <w:rsid w:val="000A5E95"/>
    <w:rsid w:val="000A6190"/>
    <w:rsid w:val="000C4E79"/>
    <w:rsid w:val="000D05EF"/>
    <w:rsid w:val="000E2B76"/>
    <w:rsid w:val="000F21C1"/>
    <w:rsid w:val="000F2CF6"/>
    <w:rsid w:val="000F6B02"/>
    <w:rsid w:val="000F7427"/>
    <w:rsid w:val="0010281E"/>
    <w:rsid w:val="00105E0D"/>
    <w:rsid w:val="0010745C"/>
    <w:rsid w:val="00116975"/>
    <w:rsid w:val="00126F1A"/>
    <w:rsid w:val="00131AA0"/>
    <w:rsid w:val="00154EAC"/>
    <w:rsid w:val="001643C9"/>
    <w:rsid w:val="00165568"/>
    <w:rsid w:val="00165BD3"/>
    <w:rsid w:val="00166C2F"/>
    <w:rsid w:val="00170BDC"/>
    <w:rsid w:val="001716C9"/>
    <w:rsid w:val="00171EAE"/>
    <w:rsid w:val="00174441"/>
    <w:rsid w:val="00187A5A"/>
    <w:rsid w:val="00191859"/>
    <w:rsid w:val="00193461"/>
    <w:rsid w:val="001939E1"/>
    <w:rsid w:val="00195382"/>
    <w:rsid w:val="001B3097"/>
    <w:rsid w:val="001B7A5D"/>
    <w:rsid w:val="001C69C4"/>
    <w:rsid w:val="001C7168"/>
    <w:rsid w:val="001C7260"/>
    <w:rsid w:val="001D4229"/>
    <w:rsid w:val="001D7F83"/>
    <w:rsid w:val="001E04A3"/>
    <w:rsid w:val="001E16D0"/>
    <w:rsid w:val="001E3590"/>
    <w:rsid w:val="001E562E"/>
    <w:rsid w:val="001E626E"/>
    <w:rsid w:val="001E7407"/>
    <w:rsid w:val="001F5DF6"/>
    <w:rsid w:val="001F6924"/>
    <w:rsid w:val="00201D27"/>
    <w:rsid w:val="00216EE0"/>
    <w:rsid w:val="00231427"/>
    <w:rsid w:val="00240749"/>
    <w:rsid w:val="00265FBC"/>
    <w:rsid w:val="00266D05"/>
    <w:rsid w:val="00272222"/>
    <w:rsid w:val="002932B1"/>
    <w:rsid w:val="00295408"/>
    <w:rsid w:val="00297ECB"/>
    <w:rsid w:val="002A0FFD"/>
    <w:rsid w:val="002A739C"/>
    <w:rsid w:val="002B2731"/>
    <w:rsid w:val="002B5B89"/>
    <w:rsid w:val="002B7D96"/>
    <w:rsid w:val="002C0987"/>
    <w:rsid w:val="002D043A"/>
    <w:rsid w:val="002D1897"/>
    <w:rsid w:val="002F1F35"/>
    <w:rsid w:val="00304E75"/>
    <w:rsid w:val="003072FA"/>
    <w:rsid w:val="0031713F"/>
    <w:rsid w:val="0032368E"/>
    <w:rsid w:val="003415D3"/>
    <w:rsid w:val="00352B0F"/>
    <w:rsid w:val="00361BD9"/>
    <w:rsid w:val="00363549"/>
    <w:rsid w:val="003769F4"/>
    <w:rsid w:val="003801D0"/>
    <w:rsid w:val="00382EE8"/>
    <w:rsid w:val="0038723F"/>
    <w:rsid w:val="0039228E"/>
    <w:rsid w:val="003926B5"/>
    <w:rsid w:val="003B04EC"/>
    <w:rsid w:val="003B1DA4"/>
    <w:rsid w:val="003B4C69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116C"/>
    <w:rsid w:val="0044291A"/>
    <w:rsid w:val="004541B9"/>
    <w:rsid w:val="00456FD1"/>
    <w:rsid w:val="004603F6"/>
    <w:rsid w:val="00460499"/>
    <w:rsid w:val="00480FB9"/>
    <w:rsid w:val="0048364F"/>
    <w:rsid w:val="00486382"/>
    <w:rsid w:val="00492E2E"/>
    <w:rsid w:val="00493C3A"/>
    <w:rsid w:val="00496F97"/>
    <w:rsid w:val="004A2484"/>
    <w:rsid w:val="004A479D"/>
    <w:rsid w:val="004C0255"/>
    <w:rsid w:val="004C31B2"/>
    <w:rsid w:val="004C5B5A"/>
    <w:rsid w:val="004C6444"/>
    <w:rsid w:val="004C6DE1"/>
    <w:rsid w:val="004C7805"/>
    <w:rsid w:val="004E0689"/>
    <w:rsid w:val="004E1D6A"/>
    <w:rsid w:val="004E2B47"/>
    <w:rsid w:val="004F0D40"/>
    <w:rsid w:val="004F1FAC"/>
    <w:rsid w:val="004F23B4"/>
    <w:rsid w:val="004F3A90"/>
    <w:rsid w:val="004F676E"/>
    <w:rsid w:val="00516B8D"/>
    <w:rsid w:val="00520A1E"/>
    <w:rsid w:val="00537FBC"/>
    <w:rsid w:val="00543469"/>
    <w:rsid w:val="00557C7A"/>
    <w:rsid w:val="00581D06"/>
    <w:rsid w:val="00584811"/>
    <w:rsid w:val="005851A5"/>
    <w:rsid w:val="0058646E"/>
    <w:rsid w:val="00591E07"/>
    <w:rsid w:val="00593AA6"/>
    <w:rsid w:val="00594161"/>
    <w:rsid w:val="00594749"/>
    <w:rsid w:val="005B4067"/>
    <w:rsid w:val="005B6994"/>
    <w:rsid w:val="005C12DE"/>
    <w:rsid w:val="005C3F41"/>
    <w:rsid w:val="005D0351"/>
    <w:rsid w:val="005E552A"/>
    <w:rsid w:val="00600219"/>
    <w:rsid w:val="00620A3D"/>
    <w:rsid w:val="006249E6"/>
    <w:rsid w:val="006255A1"/>
    <w:rsid w:val="00630733"/>
    <w:rsid w:val="006326A0"/>
    <w:rsid w:val="00633483"/>
    <w:rsid w:val="0064468A"/>
    <w:rsid w:val="00647C15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182D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34832"/>
    <w:rsid w:val="00736CDA"/>
    <w:rsid w:val="0073739A"/>
    <w:rsid w:val="0073767A"/>
    <w:rsid w:val="007440B7"/>
    <w:rsid w:val="00750408"/>
    <w:rsid w:val="007634AD"/>
    <w:rsid w:val="007715C9"/>
    <w:rsid w:val="00774EDD"/>
    <w:rsid w:val="007757EC"/>
    <w:rsid w:val="007769D4"/>
    <w:rsid w:val="00785AFA"/>
    <w:rsid w:val="007903AC"/>
    <w:rsid w:val="007A7F9F"/>
    <w:rsid w:val="007B3CB3"/>
    <w:rsid w:val="007B7B23"/>
    <w:rsid w:val="007C7E58"/>
    <w:rsid w:val="007E1E1C"/>
    <w:rsid w:val="007E7D4A"/>
    <w:rsid w:val="007F55DE"/>
    <w:rsid w:val="00820B32"/>
    <w:rsid w:val="00826DA5"/>
    <w:rsid w:val="00833416"/>
    <w:rsid w:val="00856A31"/>
    <w:rsid w:val="00874B69"/>
    <w:rsid w:val="008754D0"/>
    <w:rsid w:val="00877D48"/>
    <w:rsid w:val="00880795"/>
    <w:rsid w:val="008860A2"/>
    <w:rsid w:val="00886858"/>
    <w:rsid w:val="0089783B"/>
    <w:rsid w:val="00897C09"/>
    <w:rsid w:val="008B7469"/>
    <w:rsid w:val="008B7F27"/>
    <w:rsid w:val="008D0EE0"/>
    <w:rsid w:val="008F07E3"/>
    <w:rsid w:val="008F4F1C"/>
    <w:rsid w:val="00907271"/>
    <w:rsid w:val="00914F62"/>
    <w:rsid w:val="0092507D"/>
    <w:rsid w:val="00932377"/>
    <w:rsid w:val="00932A33"/>
    <w:rsid w:val="00947DE6"/>
    <w:rsid w:val="00975769"/>
    <w:rsid w:val="009848EC"/>
    <w:rsid w:val="009A290F"/>
    <w:rsid w:val="009B3629"/>
    <w:rsid w:val="009B4A63"/>
    <w:rsid w:val="009B7E66"/>
    <w:rsid w:val="009C1923"/>
    <w:rsid w:val="009C47A5"/>
    <w:rsid w:val="009C49D8"/>
    <w:rsid w:val="009C4F1B"/>
    <w:rsid w:val="009E3601"/>
    <w:rsid w:val="009F727E"/>
    <w:rsid w:val="00A1027A"/>
    <w:rsid w:val="00A2057D"/>
    <w:rsid w:val="00A231E2"/>
    <w:rsid w:val="00A2550D"/>
    <w:rsid w:val="00A26DBE"/>
    <w:rsid w:val="00A326A4"/>
    <w:rsid w:val="00A40BDD"/>
    <w:rsid w:val="00A4169B"/>
    <w:rsid w:val="00A4361F"/>
    <w:rsid w:val="00A5197F"/>
    <w:rsid w:val="00A5363F"/>
    <w:rsid w:val="00A64912"/>
    <w:rsid w:val="00A70A74"/>
    <w:rsid w:val="00A71C4E"/>
    <w:rsid w:val="00A72B75"/>
    <w:rsid w:val="00A75D48"/>
    <w:rsid w:val="00A80E44"/>
    <w:rsid w:val="00A87AB9"/>
    <w:rsid w:val="00AB3315"/>
    <w:rsid w:val="00AB7315"/>
    <w:rsid w:val="00AB7B41"/>
    <w:rsid w:val="00AB7E6D"/>
    <w:rsid w:val="00AC06B3"/>
    <w:rsid w:val="00AD5641"/>
    <w:rsid w:val="00AE50A2"/>
    <w:rsid w:val="00AF0336"/>
    <w:rsid w:val="00AF6613"/>
    <w:rsid w:val="00B00902"/>
    <w:rsid w:val="00B0208F"/>
    <w:rsid w:val="00B032D8"/>
    <w:rsid w:val="00B332B8"/>
    <w:rsid w:val="00B33B3C"/>
    <w:rsid w:val="00B44657"/>
    <w:rsid w:val="00B61D2C"/>
    <w:rsid w:val="00B63BDE"/>
    <w:rsid w:val="00B655DE"/>
    <w:rsid w:val="00B85FBE"/>
    <w:rsid w:val="00B923E1"/>
    <w:rsid w:val="00B92E62"/>
    <w:rsid w:val="00BA5026"/>
    <w:rsid w:val="00BA6EFE"/>
    <w:rsid w:val="00BB6E79"/>
    <w:rsid w:val="00BC0192"/>
    <w:rsid w:val="00BC4F91"/>
    <w:rsid w:val="00BD2E4E"/>
    <w:rsid w:val="00BD60E6"/>
    <w:rsid w:val="00BE253A"/>
    <w:rsid w:val="00BE49DA"/>
    <w:rsid w:val="00BE6F6C"/>
    <w:rsid w:val="00BE719A"/>
    <w:rsid w:val="00BE720A"/>
    <w:rsid w:val="00BF4533"/>
    <w:rsid w:val="00C067E5"/>
    <w:rsid w:val="00C15528"/>
    <w:rsid w:val="00C164CA"/>
    <w:rsid w:val="00C21B63"/>
    <w:rsid w:val="00C34C02"/>
    <w:rsid w:val="00C42BF8"/>
    <w:rsid w:val="00C460AE"/>
    <w:rsid w:val="00C50043"/>
    <w:rsid w:val="00C50B3B"/>
    <w:rsid w:val="00C62DE6"/>
    <w:rsid w:val="00C63713"/>
    <w:rsid w:val="00C75395"/>
    <w:rsid w:val="00C7573B"/>
    <w:rsid w:val="00C76CF3"/>
    <w:rsid w:val="00C77E30"/>
    <w:rsid w:val="00C814F5"/>
    <w:rsid w:val="00C869B0"/>
    <w:rsid w:val="00CA17BF"/>
    <w:rsid w:val="00CB0180"/>
    <w:rsid w:val="00CB3470"/>
    <w:rsid w:val="00CD0916"/>
    <w:rsid w:val="00CD606E"/>
    <w:rsid w:val="00CD7ECB"/>
    <w:rsid w:val="00CF0BB2"/>
    <w:rsid w:val="00CF7E3D"/>
    <w:rsid w:val="00D0104A"/>
    <w:rsid w:val="00D13441"/>
    <w:rsid w:val="00D17B17"/>
    <w:rsid w:val="00D243A3"/>
    <w:rsid w:val="00D333D9"/>
    <w:rsid w:val="00D33440"/>
    <w:rsid w:val="00D40403"/>
    <w:rsid w:val="00D468A7"/>
    <w:rsid w:val="00D478A6"/>
    <w:rsid w:val="00D52EFE"/>
    <w:rsid w:val="00D5726D"/>
    <w:rsid w:val="00D63EF6"/>
    <w:rsid w:val="00D70DFB"/>
    <w:rsid w:val="00D766DF"/>
    <w:rsid w:val="00D83D21"/>
    <w:rsid w:val="00D84B58"/>
    <w:rsid w:val="00D925D1"/>
    <w:rsid w:val="00DA7E87"/>
    <w:rsid w:val="00DD349D"/>
    <w:rsid w:val="00E05704"/>
    <w:rsid w:val="00E05C46"/>
    <w:rsid w:val="00E12F26"/>
    <w:rsid w:val="00E30206"/>
    <w:rsid w:val="00E33C1C"/>
    <w:rsid w:val="00E371AD"/>
    <w:rsid w:val="00E443FC"/>
    <w:rsid w:val="00E45FE7"/>
    <w:rsid w:val="00E476B8"/>
    <w:rsid w:val="00E54292"/>
    <w:rsid w:val="00E55BCD"/>
    <w:rsid w:val="00E62BEC"/>
    <w:rsid w:val="00E73EC4"/>
    <w:rsid w:val="00E74DC7"/>
    <w:rsid w:val="00E76FAB"/>
    <w:rsid w:val="00E83E2E"/>
    <w:rsid w:val="00E84B32"/>
    <w:rsid w:val="00E87699"/>
    <w:rsid w:val="00EA54BB"/>
    <w:rsid w:val="00ED3A7D"/>
    <w:rsid w:val="00EE2817"/>
    <w:rsid w:val="00EF2E3A"/>
    <w:rsid w:val="00F047E2"/>
    <w:rsid w:val="00F078DC"/>
    <w:rsid w:val="00F11D7D"/>
    <w:rsid w:val="00F13E86"/>
    <w:rsid w:val="00F24C35"/>
    <w:rsid w:val="00F26A4E"/>
    <w:rsid w:val="00F40134"/>
    <w:rsid w:val="00F56759"/>
    <w:rsid w:val="00F677A9"/>
    <w:rsid w:val="00F84CF5"/>
    <w:rsid w:val="00F94213"/>
    <w:rsid w:val="00FA420B"/>
    <w:rsid w:val="00FB03B3"/>
    <w:rsid w:val="00FB192C"/>
    <w:rsid w:val="00FD7CFE"/>
    <w:rsid w:val="00FE3B53"/>
    <w:rsid w:val="00FF02F0"/>
    <w:rsid w:val="00FF0557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47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F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F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F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F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F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F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A479D"/>
  </w:style>
  <w:style w:type="paragraph" w:customStyle="1" w:styleId="OPCParaBase">
    <w:name w:val="OPCParaBase"/>
    <w:qFormat/>
    <w:rsid w:val="004A479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A479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A479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A479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A479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A479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A479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A479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A479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A479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A479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A479D"/>
  </w:style>
  <w:style w:type="paragraph" w:customStyle="1" w:styleId="Blocks">
    <w:name w:val="Blocks"/>
    <w:aliases w:val="bb"/>
    <w:basedOn w:val="OPCParaBase"/>
    <w:qFormat/>
    <w:rsid w:val="004A479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A47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A479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A479D"/>
    <w:rPr>
      <w:i/>
    </w:rPr>
  </w:style>
  <w:style w:type="paragraph" w:customStyle="1" w:styleId="BoxList">
    <w:name w:val="BoxList"/>
    <w:aliases w:val="bl"/>
    <w:basedOn w:val="BoxText"/>
    <w:qFormat/>
    <w:rsid w:val="004A479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A479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A479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A479D"/>
    <w:pPr>
      <w:ind w:left="1985" w:hanging="851"/>
    </w:pPr>
  </w:style>
  <w:style w:type="character" w:customStyle="1" w:styleId="CharAmPartNo">
    <w:name w:val="CharAmPartNo"/>
    <w:basedOn w:val="OPCCharBase"/>
    <w:qFormat/>
    <w:rsid w:val="004A479D"/>
  </w:style>
  <w:style w:type="character" w:customStyle="1" w:styleId="CharAmPartText">
    <w:name w:val="CharAmPartText"/>
    <w:basedOn w:val="OPCCharBase"/>
    <w:qFormat/>
    <w:rsid w:val="004A479D"/>
  </w:style>
  <w:style w:type="character" w:customStyle="1" w:styleId="CharAmSchNo">
    <w:name w:val="CharAmSchNo"/>
    <w:basedOn w:val="OPCCharBase"/>
    <w:qFormat/>
    <w:rsid w:val="004A479D"/>
  </w:style>
  <w:style w:type="character" w:customStyle="1" w:styleId="CharAmSchText">
    <w:name w:val="CharAmSchText"/>
    <w:basedOn w:val="OPCCharBase"/>
    <w:qFormat/>
    <w:rsid w:val="004A479D"/>
  </w:style>
  <w:style w:type="character" w:customStyle="1" w:styleId="CharBoldItalic">
    <w:name w:val="CharBoldItalic"/>
    <w:basedOn w:val="OPCCharBase"/>
    <w:uiPriority w:val="1"/>
    <w:qFormat/>
    <w:rsid w:val="004A479D"/>
    <w:rPr>
      <w:b/>
      <w:i/>
    </w:rPr>
  </w:style>
  <w:style w:type="character" w:customStyle="1" w:styleId="CharChapNo">
    <w:name w:val="CharChapNo"/>
    <w:basedOn w:val="OPCCharBase"/>
    <w:uiPriority w:val="1"/>
    <w:qFormat/>
    <w:rsid w:val="004A479D"/>
  </w:style>
  <w:style w:type="character" w:customStyle="1" w:styleId="CharChapText">
    <w:name w:val="CharChapText"/>
    <w:basedOn w:val="OPCCharBase"/>
    <w:uiPriority w:val="1"/>
    <w:qFormat/>
    <w:rsid w:val="004A479D"/>
  </w:style>
  <w:style w:type="character" w:customStyle="1" w:styleId="CharDivNo">
    <w:name w:val="CharDivNo"/>
    <w:basedOn w:val="OPCCharBase"/>
    <w:uiPriority w:val="1"/>
    <w:qFormat/>
    <w:rsid w:val="004A479D"/>
  </w:style>
  <w:style w:type="character" w:customStyle="1" w:styleId="CharDivText">
    <w:name w:val="CharDivText"/>
    <w:basedOn w:val="OPCCharBase"/>
    <w:uiPriority w:val="1"/>
    <w:qFormat/>
    <w:rsid w:val="004A479D"/>
  </w:style>
  <w:style w:type="character" w:customStyle="1" w:styleId="CharItalic">
    <w:name w:val="CharItalic"/>
    <w:basedOn w:val="OPCCharBase"/>
    <w:uiPriority w:val="1"/>
    <w:qFormat/>
    <w:rsid w:val="004A479D"/>
    <w:rPr>
      <w:i/>
    </w:rPr>
  </w:style>
  <w:style w:type="character" w:customStyle="1" w:styleId="CharPartNo">
    <w:name w:val="CharPartNo"/>
    <w:basedOn w:val="OPCCharBase"/>
    <w:uiPriority w:val="1"/>
    <w:qFormat/>
    <w:rsid w:val="004A479D"/>
  </w:style>
  <w:style w:type="character" w:customStyle="1" w:styleId="CharPartText">
    <w:name w:val="CharPartText"/>
    <w:basedOn w:val="OPCCharBase"/>
    <w:uiPriority w:val="1"/>
    <w:qFormat/>
    <w:rsid w:val="004A479D"/>
  </w:style>
  <w:style w:type="character" w:customStyle="1" w:styleId="CharSectno">
    <w:name w:val="CharSectno"/>
    <w:basedOn w:val="OPCCharBase"/>
    <w:qFormat/>
    <w:rsid w:val="004A479D"/>
  </w:style>
  <w:style w:type="character" w:customStyle="1" w:styleId="CharSubdNo">
    <w:name w:val="CharSubdNo"/>
    <w:basedOn w:val="OPCCharBase"/>
    <w:uiPriority w:val="1"/>
    <w:qFormat/>
    <w:rsid w:val="004A479D"/>
  </w:style>
  <w:style w:type="character" w:customStyle="1" w:styleId="CharSubdText">
    <w:name w:val="CharSubdText"/>
    <w:basedOn w:val="OPCCharBase"/>
    <w:uiPriority w:val="1"/>
    <w:qFormat/>
    <w:rsid w:val="004A479D"/>
  </w:style>
  <w:style w:type="paragraph" w:customStyle="1" w:styleId="CTA--">
    <w:name w:val="CTA --"/>
    <w:basedOn w:val="OPCParaBase"/>
    <w:next w:val="Normal"/>
    <w:rsid w:val="004A479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A479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A479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A479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A479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A479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A479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A479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A479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A479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A479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A479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A479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A479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A479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A479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A47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A479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A47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A47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A479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A479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A479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A479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A479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A479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A479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A479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A479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A479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A479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A479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A479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A479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A479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A479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A479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A479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A479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A479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A479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A479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A479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A479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A479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A479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A479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A479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A479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A479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A479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A47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A479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A479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A479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A479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A479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A479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A479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A479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A479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A479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A479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A479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A479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A479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A479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A479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A479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A479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A479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A479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A479D"/>
    <w:rPr>
      <w:sz w:val="16"/>
    </w:rPr>
  </w:style>
  <w:style w:type="table" w:customStyle="1" w:styleId="CFlag">
    <w:name w:val="CFlag"/>
    <w:basedOn w:val="TableNormal"/>
    <w:uiPriority w:val="99"/>
    <w:rsid w:val="004A479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A47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4A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A479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A479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A479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A479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A479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A479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A479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A479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A479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A479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4A479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A47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A47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A47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A479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A479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A479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A479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A479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A479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A479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A479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A479D"/>
  </w:style>
  <w:style w:type="character" w:customStyle="1" w:styleId="CharSubPartNoCASA">
    <w:name w:val="CharSubPartNo(CASA)"/>
    <w:basedOn w:val="OPCCharBase"/>
    <w:uiPriority w:val="1"/>
    <w:rsid w:val="004A479D"/>
  </w:style>
  <w:style w:type="paragraph" w:customStyle="1" w:styleId="ENoteTTIndentHeadingSub">
    <w:name w:val="ENoteTTIndentHeadingSub"/>
    <w:aliases w:val="enTTHis"/>
    <w:basedOn w:val="OPCParaBase"/>
    <w:rsid w:val="004A479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A479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A479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A479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A479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56FD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A47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A479D"/>
    <w:rPr>
      <w:sz w:val="22"/>
    </w:rPr>
  </w:style>
  <w:style w:type="paragraph" w:customStyle="1" w:styleId="SOTextNote">
    <w:name w:val="SO TextNote"/>
    <w:aliases w:val="sont"/>
    <w:basedOn w:val="SOText"/>
    <w:qFormat/>
    <w:rsid w:val="004A479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A479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A479D"/>
    <w:rPr>
      <w:sz w:val="22"/>
    </w:rPr>
  </w:style>
  <w:style w:type="paragraph" w:customStyle="1" w:styleId="FileName">
    <w:name w:val="FileName"/>
    <w:basedOn w:val="Normal"/>
    <w:rsid w:val="004A479D"/>
  </w:style>
  <w:style w:type="paragraph" w:customStyle="1" w:styleId="TableHeading">
    <w:name w:val="TableHeading"/>
    <w:aliases w:val="th"/>
    <w:basedOn w:val="OPCParaBase"/>
    <w:next w:val="Tabletext"/>
    <w:rsid w:val="004A479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A479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A479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A479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A479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A479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A479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A479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A479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A47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A479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A479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56FD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56FD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56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FD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F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FD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FD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FD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F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FD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47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F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F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F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F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F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F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A479D"/>
  </w:style>
  <w:style w:type="paragraph" w:customStyle="1" w:styleId="OPCParaBase">
    <w:name w:val="OPCParaBase"/>
    <w:qFormat/>
    <w:rsid w:val="004A479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A479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A479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A479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A479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A479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A479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A479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A479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A479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A479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A479D"/>
  </w:style>
  <w:style w:type="paragraph" w:customStyle="1" w:styleId="Blocks">
    <w:name w:val="Blocks"/>
    <w:aliases w:val="bb"/>
    <w:basedOn w:val="OPCParaBase"/>
    <w:qFormat/>
    <w:rsid w:val="004A479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A47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A479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A479D"/>
    <w:rPr>
      <w:i/>
    </w:rPr>
  </w:style>
  <w:style w:type="paragraph" w:customStyle="1" w:styleId="BoxList">
    <w:name w:val="BoxList"/>
    <w:aliases w:val="bl"/>
    <w:basedOn w:val="BoxText"/>
    <w:qFormat/>
    <w:rsid w:val="004A479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A479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A479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A479D"/>
    <w:pPr>
      <w:ind w:left="1985" w:hanging="851"/>
    </w:pPr>
  </w:style>
  <w:style w:type="character" w:customStyle="1" w:styleId="CharAmPartNo">
    <w:name w:val="CharAmPartNo"/>
    <w:basedOn w:val="OPCCharBase"/>
    <w:qFormat/>
    <w:rsid w:val="004A479D"/>
  </w:style>
  <w:style w:type="character" w:customStyle="1" w:styleId="CharAmPartText">
    <w:name w:val="CharAmPartText"/>
    <w:basedOn w:val="OPCCharBase"/>
    <w:qFormat/>
    <w:rsid w:val="004A479D"/>
  </w:style>
  <w:style w:type="character" w:customStyle="1" w:styleId="CharAmSchNo">
    <w:name w:val="CharAmSchNo"/>
    <w:basedOn w:val="OPCCharBase"/>
    <w:qFormat/>
    <w:rsid w:val="004A479D"/>
  </w:style>
  <w:style w:type="character" w:customStyle="1" w:styleId="CharAmSchText">
    <w:name w:val="CharAmSchText"/>
    <w:basedOn w:val="OPCCharBase"/>
    <w:qFormat/>
    <w:rsid w:val="004A479D"/>
  </w:style>
  <w:style w:type="character" w:customStyle="1" w:styleId="CharBoldItalic">
    <w:name w:val="CharBoldItalic"/>
    <w:basedOn w:val="OPCCharBase"/>
    <w:uiPriority w:val="1"/>
    <w:qFormat/>
    <w:rsid w:val="004A479D"/>
    <w:rPr>
      <w:b/>
      <w:i/>
    </w:rPr>
  </w:style>
  <w:style w:type="character" w:customStyle="1" w:styleId="CharChapNo">
    <w:name w:val="CharChapNo"/>
    <w:basedOn w:val="OPCCharBase"/>
    <w:uiPriority w:val="1"/>
    <w:qFormat/>
    <w:rsid w:val="004A479D"/>
  </w:style>
  <w:style w:type="character" w:customStyle="1" w:styleId="CharChapText">
    <w:name w:val="CharChapText"/>
    <w:basedOn w:val="OPCCharBase"/>
    <w:uiPriority w:val="1"/>
    <w:qFormat/>
    <w:rsid w:val="004A479D"/>
  </w:style>
  <w:style w:type="character" w:customStyle="1" w:styleId="CharDivNo">
    <w:name w:val="CharDivNo"/>
    <w:basedOn w:val="OPCCharBase"/>
    <w:uiPriority w:val="1"/>
    <w:qFormat/>
    <w:rsid w:val="004A479D"/>
  </w:style>
  <w:style w:type="character" w:customStyle="1" w:styleId="CharDivText">
    <w:name w:val="CharDivText"/>
    <w:basedOn w:val="OPCCharBase"/>
    <w:uiPriority w:val="1"/>
    <w:qFormat/>
    <w:rsid w:val="004A479D"/>
  </w:style>
  <w:style w:type="character" w:customStyle="1" w:styleId="CharItalic">
    <w:name w:val="CharItalic"/>
    <w:basedOn w:val="OPCCharBase"/>
    <w:uiPriority w:val="1"/>
    <w:qFormat/>
    <w:rsid w:val="004A479D"/>
    <w:rPr>
      <w:i/>
    </w:rPr>
  </w:style>
  <w:style w:type="character" w:customStyle="1" w:styleId="CharPartNo">
    <w:name w:val="CharPartNo"/>
    <w:basedOn w:val="OPCCharBase"/>
    <w:uiPriority w:val="1"/>
    <w:qFormat/>
    <w:rsid w:val="004A479D"/>
  </w:style>
  <w:style w:type="character" w:customStyle="1" w:styleId="CharPartText">
    <w:name w:val="CharPartText"/>
    <w:basedOn w:val="OPCCharBase"/>
    <w:uiPriority w:val="1"/>
    <w:qFormat/>
    <w:rsid w:val="004A479D"/>
  </w:style>
  <w:style w:type="character" w:customStyle="1" w:styleId="CharSectno">
    <w:name w:val="CharSectno"/>
    <w:basedOn w:val="OPCCharBase"/>
    <w:qFormat/>
    <w:rsid w:val="004A479D"/>
  </w:style>
  <w:style w:type="character" w:customStyle="1" w:styleId="CharSubdNo">
    <w:name w:val="CharSubdNo"/>
    <w:basedOn w:val="OPCCharBase"/>
    <w:uiPriority w:val="1"/>
    <w:qFormat/>
    <w:rsid w:val="004A479D"/>
  </w:style>
  <w:style w:type="character" w:customStyle="1" w:styleId="CharSubdText">
    <w:name w:val="CharSubdText"/>
    <w:basedOn w:val="OPCCharBase"/>
    <w:uiPriority w:val="1"/>
    <w:qFormat/>
    <w:rsid w:val="004A479D"/>
  </w:style>
  <w:style w:type="paragraph" w:customStyle="1" w:styleId="CTA--">
    <w:name w:val="CTA --"/>
    <w:basedOn w:val="OPCParaBase"/>
    <w:next w:val="Normal"/>
    <w:rsid w:val="004A479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A479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A479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A479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A479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A479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A479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A479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A479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A479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A479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A479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A479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A479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A479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A479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A47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A479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A47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A47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A479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A479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A479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A479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A479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A479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A479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A479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A479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A479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A479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A479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A479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A479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A479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A479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A479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A479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A479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A479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A479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A479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A479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A479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A479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A479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A479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A479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A479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A479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A479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A47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A479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A479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A479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A479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A479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A479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A479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A479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A479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A479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A479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A479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A479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A479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A479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A479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A479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A479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A479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A479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A479D"/>
    <w:rPr>
      <w:sz w:val="16"/>
    </w:rPr>
  </w:style>
  <w:style w:type="table" w:customStyle="1" w:styleId="CFlag">
    <w:name w:val="CFlag"/>
    <w:basedOn w:val="TableNormal"/>
    <w:uiPriority w:val="99"/>
    <w:rsid w:val="004A479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A47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4A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A479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4A479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A479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A479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A479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A479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A479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A479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A479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A479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4A479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A47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A47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A47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4A479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A479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A479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A479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A479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A479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A479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A479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A479D"/>
  </w:style>
  <w:style w:type="character" w:customStyle="1" w:styleId="CharSubPartNoCASA">
    <w:name w:val="CharSubPartNo(CASA)"/>
    <w:basedOn w:val="OPCCharBase"/>
    <w:uiPriority w:val="1"/>
    <w:rsid w:val="004A479D"/>
  </w:style>
  <w:style w:type="paragraph" w:customStyle="1" w:styleId="ENoteTTIndentHeadingSub">
    <w:name w:val="ENoteTTIndentHeadingSub"/>
    <w:aliases w:val="enTTHis"/>
    <w:basedOn w:val="OPCParaBase"/>
    <w:rsid w:val="004A479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A479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A479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A479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A479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56FD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A47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A479D"/>
    <w:rPr>
      <w:sz w:val="22"/>
    </w:rPr>
  </w:style>
  <w:style w:type="paragraph" w:customStyle="1" w:styleId="SOTextNote">
    <w:name w:val="SO TextNote"/>
    <w:aliases w:val="sont"/>
    <w:basedOn w:val="SOText"/>
    <w:qFormat/>
    <w:rsid w:val="004A479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A479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A479D"/>
    <w:rPr>
      <w:sz w:val="22"/>
    </w:rPr>
  </w:style>
  <w:style w:type="paragraph" w:customStyle="1" w:styleId="FileName">
    <w:name w:val="FileName"/>
    <w:basedOn w:val="Normal"/>
    <w:rsid w:val="004A479D"/>
  </w:style>
  <w:style w:type="paragraph" w:customStyle="1" w:styleId="TableHeading">
    <w:name w:val="TableHeading"/>
    <w:aliases w:val="th"/>
    <w:basedOn w:val="OPCParaBase"/>
    <w:next w:val="Tabletext"/>
    <w:rsid w:val="004A479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A479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A479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A479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A479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A479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A479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A479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A479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A47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A479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A479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56FD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56FD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56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FD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F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FD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FD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FD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F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FD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13</Pages>
  <Words>1892</Words>
  <Characters>10788</Characters>
  <Application>Microsoft Office Word</Application>
  <DocSecurity>4</DocSecurity>
  <PresentationFormat/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2016-08-31T03:19:00Z</cp:lastPrinted>
  <dcterms:created xsi:type="dcterms:W3CDTF">2016-10-28T02:58:00Z</dcterms:created>
  <dcterms:modified xsi:type="dcterms:W3CDTF">2016-10-28T02:58:00Z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Financial Services Legislation Amendment (Wholesale Margining)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27 October 2016</vt:lpwstr>
  </property>
  <property fmtid="{D5CDD505-2E9C-101B-9397-08002B2CF9AE}" pid="10" name="Authority">
    <vt:lpwstr>Governor-General of the Commonwealth of Australia</vt:lpwstr>
  </property>
  <property fmtid="{D5CDD505-2E9C-101B-9397-08002B2CF9AE}" pid="11" name="ID">
    <vt:lpwstr>OPC61842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27 October 2016</vt:lpwstr>
  </property>
</Properties>
</file>