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B5" w:rsidRPr="00BD0C19" w:rsidRDefault="00B0401E" w:rsidP="006424B5">
      <w:pPr>
        <w:pStyle w:val="Heading"/>
        <w:spacing w:before="120"/>
        <w:jc w:val="center"/>
        <w:rPr>
          <w:rFonts w:ascii="Times New Roman" w:hAnsi="Times New Roman"/>
          <w:b/>
          <w:sz w:val="24"/>
        </w:rPr>
      </w:pPr>
      <w:bookmarkStart w:id="0" w:name="_GoBack"/>
      <w:bookmarkEnd w:id="0"/>
      <w:r w:rsidRPr="00BD0C19">
        <w:rPr>
          <w:rFonts w:ascii="Times New Roman" w:hAnsi="Times New Roman"/>
          <w:b/>
          <w:sz w:val="24"/>
        </w:rPr>
        <w:t xml:space="preserve">Financial Sector (Collection of Data) (reporting standard) determination No. </w:t>
      </w:r>
      <w:r w:rsidR="002631B2">
        <w:rPr>
          <w:rFonts w:ascii="Times New Roman" w:hAnsi="Times New Roman"/>
          <w:b/>
          <w:sz w:val="24"/>
        </w:rPr>
        <w:t>23</w:t>
      </w:r>
      <w:r w:rsidRPr="00BD0C19">
        <w:rPr>
          <w:rFonts w:ascii="Times New Roman" w:hAnsi="Times New Roman"/>
          <w:b/>
          <w:color w:val="FF0000"/>
          <w:sz w:val="24"/>
        </w:rPr>
        <w:t xml:space="preserve"> </w:t>
      </w:r>
      <w:r w:rsidRPr="00BD0C19">
        <w:rPr>
          <w:rFonts w:ascii="Times New Roman" w:hAnsi="Times New Roman"/>
          <w:b/>
          <w:sz w:val="24"/>
        </w:rPr>
        <w:t>of 201</w:t>
      </w:r>
      <w:r w:rsidR="002862F1" w:rsidRPr="00BD0C19">
        <w:rPr>
          <w:rFonts w:ascii="Times New Roman" w:hAnsi="Times New Roman"/>
          <w:b/>
          <w:sz w:val="24"/>
        </w:rPr>
        <w:t>6</w:t>
      </w:r>
      <w:r w:rsidRPr="00BD0C19">
        <w:rPr>
          <w:rFonts w:ascii="Times New Roman" w:hAnsi="Times New Roman"/>
          <w:b/>
          <w:sz w:val="24"/>
        </w:rPr>
        <w:t xml:space="preserve"> – Repor</w:t>
      </w:r>
      <w:r w:rsidR="002862F1" w:rsidRPr="00BD0C19">
        <w:rPr>
          <w:rFonts w:ascii="Times New Roman" w:hAnsi="Times New Roman"/>
          <w:b/>
          <w:sz w:val="24"/>
        </w:rPr>
        <w:t>ting standard ARS 796.0 Points of Presence</w:t>
      </w:r>
    </w:p>
    <w:p w:rsidR="00F72A90" w:rsidRDefault="00F72A90" w:rsidP="006424B5">
      <w:pPr>
        <w:pStyle w:val="Heading"/>
        <w:tabs>
          <w:tab w:val="left" w:pos="360"/>
        </w:tabs>
        <w:spacing w:before="120"/>
        <w:jc w:val="center"/>
        <w:rPr>
          <w:rFonts w:ascii="Times New Roman" w:hAnsi="Times New Roman"/>
          <w:b/>
          <w:sz w:val="24"/>
          <w:u w:val="single"/>
        </w:rPr>
      </w:pPr>
      <w:bookmarkStart w:id="1" w:name="bkInstrumentSubTitle"/>
      <w:bookmarkStart w:id="2" w:name="bkStart"/>
      <w:bookmarkEnd w:id="1"/>
      <w:bookmarkEnd w:id="2"/>
    </w:p>
    <w:p w:rsidR="006424B5" w:rsidRPr="00BD0C19" w:rsidRDefault="00B0401E" w:rsidP="006424B5">
      <w:pPr>
        <w:pStyle w:val="Heading"/>
        <w:tabs>
          <w:tab w:val="left" w:pos="360"/>
        </w:tabs>
        <w:spacing w:before="120"/>
        <w:jc w:val="center"/>
        <w:rPr>
          <w:rFonts w:ascii="Times New Roman" w:hAnsi="Times New Roman"/>
          <w:b/>
          <w:sz w:val="24"/>
          <w:u w:val="single"/>
        </w:rPr>
      </w:pPr>
      <w:r w:rsidRPr="00BD0C19">
        <w:rPr>
          <w:rFonts w:ascii="Times New Roman" w:hAnsi="Times New Roman"/>
          <w:b/>
          <w:sz w:val="24"/>
          <w:u w:val="single"/>
        </w:rPr>
        <w:t>EXPLANATORY STATEMENT</w:t>
      </w:r>
    </w:p>
    <w:p w:rsidR="006424B5" w:rsidRPr="00BD0C19" w:rsidRDefault="00B0401E" w:rsidP="006424B5">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rsidR="006424B5" w:rsidRPr="00BD0C19" w:rsidRDefault="00B0401E" w:rsidP="006424B5">
      <w:pPr>
        <w:pStyle w:val="Heading"/>
        <w:tabs>
          <w:tab w:val="left" w:pos="360"/>
        </w:tabs>
        <w:spacing w:before="120"/>
        <w:jc w:val="center"/>
        <w:rPr>
          <w:rFonts w:ascii="Times New Roman" w:hAnsi="Times New Roman"/>
          <w:sz w:val="24"/>
        </w:rPr>
      </w:pPr>
      <w:r w:rsidRPr="00BD0C19">
        <w:rPr>
          <w:rFonts w:ascii="Times New Roman" w:hAnsi="Times New Roman"/>
          <w:i/>
          <w:sz w:val="24"/>
        </w:rPr>
        <w:t>Financial Sector (Collection of Data) Act 2001</w:t>
      </w:r>
      <w:r w:rsidRPr="00BD0C19">
        <w:rPr>
          <w:rFonts w:ascii="Times New Roman" w:hAnsi="Times New Roman"/>
          <w:sz w:val="24"/>
        </w:rPr>
        <w:t xml:space="preserve"> (the Act)</w:t>
      </w:r>
      <w:r w:rsidR="000825D0" w:rsidRPr="00BD0C19">
        <w:rPr>
          <w:rFonts w:ascii="Times New Roman" w:hAnsi="Times New Roman"/>
          <w:sz w:val="24"/>
        </w:rPr>
        <w:t>,</w:t>
      </w:r>
      <w:r w:rsidRPr="00BD0C19">
        <w:rPr>
          <w:rFonts w:ascii="Times New Roman" w:hAnsi="Times New Roman"/>
          <w:sz w:val="24"/>
        </w:rPr>
        <w:t xml:space="preserve"> subsection 13(1)</w:t>
      </w:r>
    </w:p>
    <w:p w:rsidR="00E02376" w:rsidRPr="00BD0C19" w:rsidRDefault="00E02376" w:rsidP="006424B5">
      <w:pPr>
        <w:pStyle w:val="Heading"/>
        <w:tabs>
          <w:tab w:val="left" w:pos="360"/>
        </w:tabs>
        <w:spacing w:before="120"/>
        <w:jc w:val="center"/>
        <w:rPr>
          <w:rFonts w:ascii="Times New Roman" w:hAnsi="Times New Roman"/>
          <w:i/>
          <w:sz w:val="24"/>
        </w:rPr>
      </w:pPr>
      <w:r w:rsidRPr="00BD0C19">
        <w:rPr>
          <w:rFonts w:ascii="Times New Roman" w:hAnsi="Times New Roman"/>
          <w:i/>
          <w:sz w:val="24"/>
        </w:rPr>
        <w:t>Acts Interpretation Act 1901, subsection 33(3)</w:t>
      </w:r>
    </w:p>
    <w:p w:rsidR="00F72A90" w:rsidRDefault="00F72A90" w:rsidP="006424B5">
      <w:pPr>
        <w:widowControl w:val="0"/>
        <w:spacing w:before="120" w:after="60"/>
        <w:rPr>
          <w:rFonts w:ascii="Times New Roman" w:hAnsi="Times New Roman"/>
          <w:sz w:val="24"/>
        </w:rPr>
      </w:pPr>
      <w:bookmarkStart w:id="3" w:name="bkAct"/>
      <w:bookmarkStart w:id="4" w:name="bkExplanatory"/>
      <w:bookmarkEnd w:id="3"/>
      <w:bookmarkEnd w:id="4"/>
    </w:p>
    <w:p w:rsidR="006424B5" w:rsidRPr="00BD0C19"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Under </w:t>
      </w:r>
      <w:r w:rsidR="00E02376" w:rsidRPr="00BD0C19">
        <w:rPr>
          <w:rFonts w:ascii="Times New Roman" w:hAnsi="Times New Roman"/>
          <w:sz w:val="24"/>
        </w:rPr>
        <w:t xml:space="preserve">paragraph </w:t>
      </w:r>
      <w:r w:rsidRPr="00BD0C19">
        <w:rPr>
          <w:rFonts w:ascii="Times New Roman" w:hAnsi="Times New Roman"/>
          <w:sz w:val="24"/>
        </w:rPr>
        <w:t>13(1)</w:t>
      </w:r>
      <w:r w:rsidR="00E02376" w:rsidRPr="00BD0C19">
        <w:rPr>
          <w:rFonts w:ascii="Times New Roman" w:hAnsi="Times New Roman"/>
          <w:sz w:val="24"/>
        </w:rPr>
        <w:t>(a)</w:t>
      </w:r>
      <w:r w:rsidRPr="00BD0C19">
        <w:rPr>
          <w:rFonts w:ascii="Times New Roman" w:hAnsi="Times New Roman"/>
          <w:sz w:val="24"/>
        </w:rPr>
        <w:t xml:space="preserve"> of the Act</w:t>
      </w:r>
      <w:r w:rsidR="00E02376" w:rsidRPr="00BD0C19">
        <w:rPr>
          <w:rFonts w:ascii="Times New Roman" w:hAnsi="Times New Roman"/>
          <w:sz w:val="24"/>
        </w:rPr>
        <w:t>,</w:t>
      </w:r>
      <w:r w:rsidRPr="00BD0C19">
        <w:rPr>
          <w:rFonts w:ascii="Times New Roman" w:hAnsi="Times New Roman"/>
          <w:sz w:val="24"/>
        </w:rPr>
        <w:t xml:space="preserve"> APRA </w:t>
      </w:r>
      <w:r w:rsidR="00E02376" w:rsidRPr="00BD0C19">
        <w:rPr>
          <w:rFonts w:ascii="Times New Roman" w:hAnsi="Times New Roman"/>
          <w:sz w:val="24"/>
        </w:rPr>
        <w:t xml:space="preserve">may, by writing, </w:t>
      </w:r>
      <w:r w:rsidRPr="00BD0C19">
        <w:rPr>
          <w:rFonts w:ascii="Times New Roman" w:hAnsi="Times New Roman"/>
          <w:sz w:val="24"/>
        </w:rPr>
        <w:t xml:space="preserve">determine reporting standards </w:t>
      </w:r>
      <w:r w:rsidR="00E02376" w:rsidRPr="00BD0C19">
        <w:rPr>
          <w:rFonts w:ascii="Times New Roman" w:hAnsi="Times New Roman"/>
          <w:sz w:val="24"/>
        </w:rPr>
        <w:t xml:space="preserve">with which </w:t>
      </w:r>
      <w:r w:rsidRPr="00BD0C19">
        <w:rPr>
          <w:rFonts w:ascii="Times New Roman" w:hAnsi="Times New Roman"/>
          <w:sz w:val="24"/>
        </w:rPr>
        <w:t>financial sector entities</w:t>
      </w:r>
      <w:r w:rsidR="00E02376" w:rsidRPr="00BD0C19">
        <w:rPr>
          <w:rFonts w:ascii="Times New Roman" w:hAnsi="Times New Roman"/>
          <w:sz w:val="24"/>
        </w:rPr>
        <w:t xml:space="preserve"> must comply</w:t>
      </w:r>
      <w:r w:rsidRPr="00BD0C19">
        <w:rPr>
          <w:rFonts w:ascii="Times New Roman" w:hAnsi="Times New Roman"/>
          <w:sz w:val="24"/>
        </w:rPr>
        <w:t>. When APRA has determined a reporting standard, it has the power at any time to revoke</w:t>
      </w:r>
      <w:r w:rsidR="00E02376" w:rsidRPr="00BD0C19">
        <w:rPr>
          <w:rFonts w:ascii="Times New Roman" w:hAnsi="Times New Roman"/>
          <w:sz w:val="24"/>
        </w:rPr>
        <w:t>, amend</w:t>
      </w:r>
      <w:r w:rsidRPr="00BD0C19">
        <w:rPr>
          <w:rFonts w:ascii="Times New Roman" w:hAnsi="Times New Roman"/>
          <w:sz w:val="24"/>
        </w:rPr>
        <w:t xml:space="preserve"> or vary the standard (refer subsection 33(3) of the </w:t>
      </w:r>
      <w:r w:rsidRPr="00BD0C19">
        <w:rPr>
          <w:rFonts w:ascii="Times New Roman" w:hAnsi="Times New Roman"/>
          <w:i/>
          <w:sz w:val="24"/>
        </w:rPr>
        <w:t>Acts Interpretation Act 1901</w:t>
      </w:r>
      <w:r w:rsidRPr="00BD0C19">
        <w:rPr>
          <w:rFonts w:ascii="Times New Roman" w:hAnsi="Times New Roman"/>
          <w:sz w:val="24"/>
        </w:rPr>
        <w:t xml:space="preserve">).    </w:t>
      </w:r>
    </w:p>
    <w:p w:rsidR="006424B5"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Financial Sector (Collection of Data) (reporting standard) determination No. </w:t>
      </w:r>
      <w:r w:rsidR="002631B2">
        <w:rPr>
          <w:rFonts w:ascii="Times New Roman" w:hAnsi="Times New Roman"/>
          <w:sz w:val="24"/>
        </w:rPr>
        <w:t>23</w:t>
      </w:r>
      <w:r w:rsidR="00E02376" w:rsidRPr="00BD0C19">
        <w:rPr>
          <w:rFonts w:ascii="Times New Roman" w:hAnsi="Times New Roman"/>
          <w:sz w:val="24"/>
        </w:rPr>
        <w:t xml:space="preserve"> </w:t>
      </w:r>
      <w:r w:rsidRPr="00BD0C19">
        <w:rPr>
          <w:rFonts w:ascii="Times New Roman" w:hAnsi="Times New Roman"/>
          <w:sz w:val="24"/>
        </w:rPr>
        <w:t>of 20</w:t>
      </w:r>
      <w:r w:rsidR="00793106" w:rsidRPr="00BD0C19">
        <w:rPr>
          <w:rFonts w:ascii="Times New Roman" w:hAnsi="Times New Roman"/>
          <w:sz w:val="24"/>
        </w:rPr>
        <w:t>1</w:t>
      </w:r>
      <w:r w:rsidR="002862F1" w:rsidRPr="00BD0C19">
        <w:rPr>
          <w:rFonts w:ascii="Times New Roman" w:hAnsi="Times New Roman"/>
          <w:sz w:val="24"/>
        </w:rPr>
        <w:t>6</w:t>
      </w:r>
      <w:r w:rsidRPr="00BD0C19">
        <w:rPr>
          <w:rFonts w:ascii="Times New Roman" w:hAnsi="Times New Roman"/>
          <w:sz w:val="24"/>
        </w:rPr>
        <w:t xml:space="preserve"> </w:t>
      </w:r>
      <w:r w:rsidR="00B05385" w:rsidRPr="00BD0C19">
        <w:rPr>
          <w:rFonts w:ascii="Times New Roman" w:hAnsi="Times New Roman"/>
          <w:sz w:val="24"/>
        </w:rPr>
        <w:t xml:space="preserve">(the instrument) </w:t>
      </w:r>
      <w:r w:rsidRPr="00BD0C19">
        <w:rPr>
          <w:rFonts w:ascii="Times New Roman" w:hAnsi="Times New Roman"/>
          <w:sz w:val="24"/>
        </w:rPr>
        <w:t xml:space="preserve">determines </w:t>
      </w:r>
      <w:bookmarkStart w:id="5" w:name="OLE_LINK1"/>
      <w:bookmarkStart w:id="6" w:name="OLE_LINK3"/>
      <w:r w:rsidRPr="00BD0C19">
        <w:rPr>
          <w:rFonts w:ascii="Times New Roman" w:hAnsi="Times New Roman"/>
          <w:i/>
          <w:sz w:val="24"/>
        </w:rPr>
        <w:t xml:space="preserve">Reporting </w:t>
      </w:r>
      <w:r w:rsidR="007A47D4" w:rsidRPr="00BD0C19">
        <w:rPr>
          <w:rFonts w:ascii="Times New Roman" w:hAnsi="Times New Roman"/>
          <w:i/>
          <w:sz w:val="24"/>
        </w:rPr>
        <w:t>s</w:t>
      </w:r>
      <w:r w:rsidRPr="00BD0C19">
        <w:rPr>
          <w:rFonts w:ascii="Times New Roman" w:hAnsi="Times New Roman"/>
          <w:i/>
          <w:sz w:val="24"/>
        </w:rPr>
        <w:t xml:space="preserve">tandard ARS </w:t>
      </w:r>
      <w:bookmarkEnd w:id="5"/>
      <w:bookmarkEnd w:id="6"/>
      <w:r w:rsidR="002862F1" w:rsidRPr="00BD0C19">
        <w:rPr>
          <w:rFonts w:ascii="Times New Roman" w:hAnsi="Times New Roman"/>
          <w:i/>
          <w:sz w:val="24"/>
        </w:rPr>
        <w:t>796.0 Points of Presence</w:t>
      </w:r>
      <w:r w:rsidR="00793106" w:rsidRPr="00BD0C19">
        <w:rPr>
          <w:rFonts w:ascii="Times New Roman" w:hAnsi="Times New Roman"/>
          <w:sz w:val="24"/>
        </w:rPr>
        <w:t xml:space="preserve"> </w:t>
      </w:r>
      <w:r w:rsidRPr="00BD0C19">
        <w:rPr>
          <w:rFonts w:ascii="Times New Roman" w:hAnsi="Times New Roman"/>
          <w:sz w:val="24"/>
        </w:rPr>
        <w:t>(</w:t>
      </w:r>
      <w:r w:rsidR="002862F1" w:rsidRPr="00BD0C19">
        <w:rPr>
          <w:rFonts w:ascii="Times New Roman" w:hAnsi="Times New Roman"/>
          <w:sz w:val="24"/>
        </w:rPr>
        <w:t>ARS 796</w:t>
      </w:r>
      <w:r w:rsidR="00793106" w:rsidRPr="00BD0C19">
        <w:rPr>
          <w:rFonts w:ascii="Times New Roman" w:hAnsi="Times New Roman"/>
          <w:sz w:val="24"/>
        </w:rPr>
        <w:t>.0</w:t>
      </w:r>
      <w:r w:rsidRPr="00BD0C19">
        <w:rPr>
          <w:rFonts w:ascii="Times New Roman" w:hAnsi="Times New Roman"/>
          <w:sz w:val="24"/>
        </w:rPr>
        <w:t xml:space="preserve">) </w:t>
      </w:r>
      <w:r w:rsidR="00821F5B" w:rsidRPr="00BD0C19">
        <w:rPr>
          <w:rFonts w:ascii="Times New Roman" w:hAnsi="Times New Roman"/>
          <w:sz w:val="24"/>
        </w:rPr>
        <w:t xml:space="preserve">which </w:t>
      </w:r>
      <w:r w:rsidRPr="00BD0C19">
        <w:rPr>
          <w:rFonts w:ascii="Times New Roman" w:hAnsi="Times New Roman"/>
          <w:sz w:val="24"/>
        </w:rPr>
        <w:t>is to</w:t>
      </w:r>
      <w:r w:rsidR="002862F1" w:rsidRPr="00BD0C19">
        <w:rPr>
          <w:rFonts w:ascii="Times New Roman" w:hAnsi="Times New Roman"/>
          <w:sz w:val="24"/>
        </w:rPr>
        <w:t xml:space="preserve"> take effect on </w:t>
      </w:r>
      <w:r w:rsidRPr="00BD0C19">
        <w:rPr>
          <w:rFonts w:ascii="Times New Roman" w:hAnsi="Times New Roman"/>
          <w:sz w:val="24"/>
        </w:rPr>
        <w:t>the date of registration of th</w:t>
      </w:r>
      <w:r w:rsidR="00B05385" w:rsidRPr="00BD0C19">
        <w:rPr>
          <w:rFonts w:ascii="Times New Roman" w:hAnsi="Times New Roman"/>
          <w:sz w:val="24"/>
        </w:rPr>
        <w:t>e</w:t>
      </w:r>
      <w:r w:rsidRPr="00BD0C19">
        <w:rPr>
          <w:rFonts w:ascii="Times New Roman" w:hAnsi="Times New Roman"/>
          <w:sz w:val="24"/>
        </w:rPr>
        <w:t xml:space="preserve"> instrument on the </w:t>
      </w:r>
      <w:r w:rsidRPr="00BD0C19">
        <w:rPr>
          <w:rFonts w:ascii="Times New Roman" w:hAnsi="Times New Roman"/>
          <w:sz w:val="24"/>
        </w:rPr>
        <w:lastRenderedPageBreak/>
        <w:t>Federal Reg</w:t>
      </w:r>
      <w:r w:rsidR="00984746" w:rsidRPr="00BD0C19">
        <w:rPr>
          <w:rFonts w:ascii="Times New Roman" w:hAnsi="Times New Roman"/>
          <w:sz w:val="24"/>
        </w:rPr>
        <w:t>ister of Legislation</w:t>
      </w:r>
      <w:r w:rsidRPr="00BD0C19">
        <w:rPr>
          <w:rFonts w:ascii="Times New Roman" w:hAnsi="Times New Roman"/>
          <w:sz w:val="24"/>
        </w:rPr>
        <w:t>.</w:t>
      </w:r>
    </w:p>
    <w:p w:rsidR="00214C9C" w:rsidRPr="00BD0C19" w:rsidRDefault="00214C9C" w:rsidP="006424B5">
      <w:pPr>
        <w:widowControl w:val="0"/>
        <w:spacing w:before="120" w:after="60"/>
        <w:rPr>
          <w:rFonts w:ascii="Times New Roman" w:hAnsi="Times New Roman"/>
          <w:sz w:val="24"/>
        </w:rPr>
      </w:pPr>
    </w:p>
    <w:p w:rsidR="006424B5" w:rsidRPr="00BD0C19" w:rsidRDefault="00B0401E" w:rsidP="006424B5">
      <w:pPr>
        <w:pStyle w:val="Heading"/>
        <w:numPr>
          <w:ilvl w:val="0"/>
          <w:numId w:val="1"/>
        </w:numPr>
        <w:spacing w:before="120" w:after="60"/>
        <w:jc w:val="both"/>
        <w:outlineLvl w:val="0"/>
        <w:rPr>
          <w:rFonts w:ascii="Times New Roman" w:hAnsi="Times New Roman"/>
          <w:b/>
          <w:sz w:val="24"/>
        </w:rPr>
      </w:pPr>
      <w:r w:rsidRPr="00BD0C19">
        <w:rPr>
          <w:rFonts w:ascii="Times New Roman" w:hAnsi="Times New Roman"/>
          <w:b/>
          <w:sz w:val="24"/>
        </w:rPr>
        <w:t>Background</w:t>
      </w:r>
    </w:p>
    <w:p w:rsidR="006424B5" w:rsidRPr="00BD0C19" w:rsidRDefault="00821F5B" w:rsidP="006424B5">
      <w:pPr>
        <w:widowControl w:val="0"/>
        <w:spacing w:before="120" w:after="60"/>
        <w:rPr>
          <w:rFonts w:ascii="Times New Roman" w:hAnsi="Times New Roman"/>
          <w:sz w:val="24"/>
        </w:rPr>
      </w:pPr>
      <w:bookmarkStart w:id="7" w:name="bkBackground"/>
      <w:bookmarkEnd w:id="7"/>
      <w:r w:rsidRPr="00BD0C19">
        <w:rPr>
          <w:rFonts w:ascii="Times New Roman" w:hAnsi="Times New Roman"/>
          <w:sz w:val="24"/>
        </w:rPr>
        <w:t xml:space="preserve">Financial Sector (Collection of Data) (reporting standard) determination No. 54 of 2008 </w:t>
      </w:r>
      <w:r w:rsidR="006424B5" w:rsidRPr="00BD0C19">
        <w:rPr>
          <w:rFonts w:ascii="Times New Roman" w:hAnsi="Times New Roman"/>
          <w:sz w:val="24"/>
        </w:rPr>
        <w:t>determine</w:t>
      </w:r>
      <w:r w:rsidR="00692DEB" w:rsidRPr="00BD0C19">
        <w:rPr>
          <w:rFonts w:ascii="Times New Roman" w:hAnsi="Times New Roman"/>
          <w:sz w:val="24"/>
        </w:rPr>
        <w:t>d</w:t>
      </w:r>
      <w:r w:rsidR="006424B5" w:rsidRPr="00BD0C19">
        <w:rPr>
          <w:rFonts w:ascii="Times New Roman" w:hAnsi="Times New Roman"/>
          <w:sz w:val="24"/>
        </w:rPr>
        <w:t xml:space="preserve"> </w:t>
      </w:r>
      <w:r w:rsidR="00793106" w:rsidRPr="00BD0C19">
        <w:rPr>
          <w:rFonts w:ascii="Times New Roman" w:hAnsi="Times New Roman"/>
          <w:i/>
          <w:sz w:val="24"/>
        </w:rPr>
        <w:t>Prudential Standard</w:t>
      </w:r>
      <w:r w:rsidR="003643A7" w:rsidRPr="00BD0C19">
        <w:rPr>
          <w:rFonts w:ascii="Times New Roman" w:hAnsi="Times New Roman"/>
          <w:i/>
          <w:sz w:val="24"/>
        </w:rPr>
        <w:t xml:space="preserve"> ARS 396.0 Points of Presence</w:t>
      </w:r>
      <w:r w:rsidR="00793106" w:rsidRPr="00BD0C19">
        <w:rPr>
          <w:rFonts w:ascii="Times New Roman" w:hAnsi="Times New Roman"/>
          <w:sz w:val="24"/>
        </w:rPr>
        <w:t xml:space="preserve"> </w:t>
      </w:r>
      <w:r w:rsidR="006424B5" w:rsidRPr="00BD0C19">
        <w:rPr>
          <w:rFonts w:ascii="Times New Roman" w:hAnsi="Times New Roman"/>
          <w:sz w:val="24"/>
        </w:rPr>
        <w:t>(</w:t>
      </w:r>
      <w:r w:rsidR="003643A7" w:rsidRPr="00BD0C19">
        <w:rPr>
          <w:rFonts w:ascii="Times New Roman" w:hAnsi="Times New Roman"/>
          <w:sz w:val="24"/>
        </w:rPr>
        <w:t>the old reporting standard</w:t>
      </w:r>
      <w:r w:rsidR="006424B5" w:rsidRPr="00BD0C19">
        <w:rPr>
          <w:rFonts w:ascii="Times New Roman" w:hAnsi="Times New Roman"/>
          <w:sz w:val="24"/>
        </w:rPr>
        <w:t xml:space="preserve">) which </w:t>
      </w:r>
      <w:r w:rsidR="002E655B" w:rsidRPr="00BD0C19">
        <w:rPr>
          <w:rFonts w:ascii="Times New Roman" w:hAnsi="Times New Roman"/>
          <w:sz w:val="24"/>
        </w:rPr>
        <w:t>s</w:t>
      </w:r>
      <w:r w:rsidR="003A108C" w:rsidRPr="00BD0C19">
        <w:rPr>
          <w:rFonts w:ascii="Times New Roman" w:hAnsi="Times New Roman"/>
          <w:sz w:val="24"/>
        </w:rPr>
        <w:t>et</w:t>
      </w:r>
      <w:r w:rsidR="002E655B" w:rsidRPr="00BD0C19">
        <w:rPr>
          <w:rFonts w:ascii="Times New Roman" w:hAnsi="Times New Roman"/>
          <w:sz w:val="24"/>
        </w:rPr>
        <w:t xml:space="preserve"> out the overall requirements for the provision of information to APRA relating to the points of presence </w:t>
      </w:r>
      <w:r w:rsidR="00A3003D" w:rsidRPr="00BD0C19">
        <w:rPr>
          <w:rFonts w:ascii="Times New Roman" w:hAnsi="Times New Roman"/>
          <w:sz w:val="24"/>
        </w:rPr>
        <w:t xml:space="preserve">(PoP) </w:t>
      </w:r>
      <w:r w:rsidR="002E655B" w:rsidRPr="00BD0C19">
        <w:rPr>
          <w:rFonts w:ascii="Times New Roman" w:hAnsi="Times New Roman"/>
          <w:sz w:val="24"/>
        </w:rPr>
        <w:t>of an authorised deposit-taking institution (ADI)</w:t>
      </w:r>
      <w:r w:rsidR="006424B5" w:rsidRPr="00BD0C19">
        <w:rPr>
          <w:rFonts w:ascii="Times New Roman" w:hAnsi="Times New Roman"/>
          <w:sz w:val="24"/>
        </w:rPr>
        <w:t>.</w:t>
      </w:r>
    </w:p>
    <w:p w:rsidR="007A47D4" w:rsidRPr="00BD0C19" w:rsidRDefault="007A47D4" w:rsidP="007A47D4">
      <w:pPr>
        <w:jc w:val="both"/>
        <w:rPr>
          <w:sz w:val="24"/>
          <w:lang w:eastAsia="en-US"/>
        </w:rPr>
      </w:pPr>
    </w:p>
    <w:p w:rsidR="007A47D4" w:rsidRPr="00BD0C19" w:rsidRDefault="007A47D4" w:rsidP="007A47D4">
      <w:pPr>
        <w:jc w:val="both"/>
        <w:rPr>
          <w:rFonts w:ascii="Times New Roman" w:hAnsi="Times New Roman"/>
          <w:sz w:val="24"/>
          <w:lang w:eastAsia="en-US"/>
        </w:rPr>
      </w:pPr>
      <w:r w:rsidRPr="00BD0C19">
        <w:rPr>
          <w:rFonts w:ascii="Times New Roman" w:hAnsi="Times New Roman"/>
          <w:sz w:val="24"/>
          <w:lang w:eastAsia="en-US"/>
        </w:rPr>
        <w:t>Following industry consultation APRA decided to implement improvements</w:t>
      </w:r>
      <w:r w:rsidR="00107EB1" w:rsidRPr="00BD0C19">
        <w:rPr>
          <w:rFonts w:ascii="Times New Roman" w:hAnsi="Times New Roman"/>
          <w:sz w:val="24"/>
          <w:lang w:eastAsia="en-US"/>
        </w:rPr>
        <w:t xml:space="preserve"> to its</w:t>
      </w:r>
      <w:r w:rsidRPr="00BD0C19">
        <w:rPr>
          <w:rFonts w:ascii="Times New Roman" w:hAnsi="Times New Roman"/>
          <w:sz w:val="24"/>
          <w:lang w:eastAsia="en-US"/>
        </w:rPr>
        <w:t xml:space="preserve"> </w:t>
      </w:r>
      <w:r w:rsidR="0091439F" w:rsidRPr="00BD0C19">
        <w:rPr>
          <w:rFonts w:ascii="Times New Roman" w:hAnsi="Times New Roman"/>
          <w:sz w:val="24"/>
          <w:lang w:eastAsia="en-US"/>
        </w:rPr>
        <w:t>collection</w:t>
      </w:r>
      <w:r w:rsidR="00107EB1" w:rsidRPr="00BD0C19">
        <w:rPr>
          <w:rFonts w:ascii="Times New Roman" w:hAnsi="Times New Roman"/>
          <w:sz w:val="24"/>
          <w:lang w:eastAsia="en-US"/>
        </w:rPr>
        <w:t xml:space="preserve"> </w:t>
      </w:r>
      <w:r w:rsidR="0091439F" w:rsidRPr="00BD0C19">
        <w:rPr>
          <w:rFonts w:ascii="Times New Roman" w:hAnsi="Times New Roman"/>
          <w:sz w:val="24"/>
          <w:lang w:eastAsia="en-US"/>
        </w:rPr>
        <w:t xml:space="preserve">of the </w:t>
      </w:r>
      <w:r w:rsidRPr="00BD0C19">
        <w:rPr>
          <w:rFonts w:ascii="Times New Roman" w:hAnsi="Times New Roman"/>
          <w:sz w:val="24"/>
          <w:lang w:eastAsia="en-US"/>
        </w:rPr>
        <w:t xml:space="preserve">PoP statistics. These improvements include: </w:t>
      </w:r>
    </w:p>
    <w:p w:rsidR="0091439F" w:rsidRPr="00BD0C19" w:rsidRDefault="0091439F" w:rsidP="007A47D4">
      <w:pPr>
        <w:jc w:val="both"/>
        <w:rPr>
          <w:rFonts w:ascii="Times New Roman" w:hAnsi="Times New Roman"/>
          <w:sz w:val="24"/>
          <w:lang w:eastAsia="en-US"/>
        </w:rPr>
      </w:pPr>
    </w:p>
    <w:p w:rsidR="007A47D4" w:rsidRPr="00BD0C19" w:rsidRDefault="007A47D4" w:rsidP="007A47D4">
      <w:pPr>
        <w:numPr>
          <w:ilvl w:val="0"/>
          <w:numId w:val="4"/>
        </w:numPr>
        <w:spacing w:after="240"/>
        <w:contextualSpacing/>
        <w:jc w:val="both"/>
        <w:rPr>
          <w:rFonts w:ascii="Times New Roman" w:eastAsia="Calibri" w:hAnsi="Times New Roman"/>
          <w:sz w:val="24"/>
        </w:rPr>
      </w:pPr>
      <w:r w:rsidRPr="00BD0C19">
        <w:rPr>
          <w:rFonts w:ascii="Times New Roman" w:eastAsia="Calibri" w:hAnsi="Times New Roman"/>
          <w:sz w:val="24"/>
        </w:rPr>
        <w:t>a tighter definition of ‘other face-to-face’ points of presence, which will result in consistent reporting for service channels;</w:t>
      </w:r>
    </w:p>
    <w:p w:rsidR="007A47D4" w:rsidRPr="00BD0C19" w:rsidRDefault="007A47D4" w:rsidP="007A47D4">
      <w:pPr>
        <w:numPr>
          <w:ilvl w:val="0"/>
          <w:numId w:val="4"/>
        </w:numPr>
        <w:spacing w:after="240"/>
        <w:contextualSpacing/>
        <w:jc w:val="both"/>
        <w:rPr>
          <w:rFonts w:ascii="Times New Roman" w:eastAsia="Calibri" w:hAnsi="Times New Roman"/>
          <w:sz w:val="24"/>
        </w:rPr>
      </w:pPr>
      <w:r w:rsidRPr="00BD0C19">
        <w:rPr>
          <w:rFonts w:ascii="Times New Roman" w:eastAsia="Calibri" w:hAnsi="Times New Roman"/>
          <w:sz w:val="24"/>
        </w:rPr>
        <w:t xml:space="preserve">removing the requirement to report non face-to-face points of presence reducing reporting burden; </w:t>
      </w:r>
    </w:p>
    <w:p w:rsidR="007A47D4" w:rsidRPr="00BD0C19" w:rsidRDefault="007A47D4" w:rsidP="007A47D4">
      <w:pPr>
        <w:numPr>
          <w:ilvl w:val="0"/>
          <w:numId w:val="4"/>
        </w:numPr>
        <w:spacing w:after="240"/>
        <w:contextualSpacing/>
        <w:jc w:val="both"/>
        <w:rPr>
          <w:rFonts w:ascii="Times New Roman" w:eastAsia="Calibri" w:hAnsi="Times New Roman"/>
          <w:sz w:val="24"/>
        </w:rPr>
      </w:pPr>
      <w:r w:rsidRPr="00BD0C19">
        <w:rPr>
          <w:rFonts w:ascii="Times New Roman" w:eastAsia="Calibri" w:hAnsi="Times New Roman"/>
          <w:sz w:val="24"/>
        </w:rPr>
        <w:t xml:space="preserve">more accurate location data on the points of presence; and </w:t>
      </w:r>
    </w:p>
    <w:p w:rsidR="007A47D4" w:rsidRPr="00BD0C19" w:rsidRDefault="007A47D4" w:rsidP="007A47D4">
      <w:pPr>
        <w:numPr>
          <w:ilvl w:val="0"/>
          <w:numId w:val="4"/>
        </w:numPr>
        <w:spacing w:after="240"/>
        <w:contextualSpacing/>
        <w:jc w:val="both"/>
        <w:rPr>
          <w:rFonts w:ascii="Times New Roman" w:eastAsia="Calibri" w:hAnsi="Times New Roman"/>
          <w:sz w:val="24"/>
        </w:rPr>
      </w:pPr>
      <w:r w:rsidRPr="00BD0C19">
        <w:rPr>
          <w:rFonts w:ascii="Times New Roman" w:eastAsia="Calibri" w:hAnsi="Times New Roman"/>
          <w:sz w:val="24"/>
        </w:rPr>
        <w:t xml:space="preserve">additional information about the remoteness of these locations using the Australian Statistical Geography Standard. </w:t>
      </w:r>
    </w:p>
    <w:p w:rsidR="007D4CC4" w:rsidRPr="00BD0C19" w:rsidRDefault="007D4CC4" w:rsidP="00AD6864">
      <w:pPr>
        <w:widowControl w:val="0"/>
        <w:spacing w:before="120" w:after="60"/>
        <w:rPr>
          <w:rFonts w:ascii="Times New Roman" w:hAnsi="Times New Roman"/>
          <w:b/>
          <w:sz w:val="24"/>
        </w:rPr>
      </w:pPr>
    </w:p>
    <w:p w:rsidR="006424B5" w:rsidRPr="00BD0C19"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t>Purpose of the instrument</w:t>
      </w:r>
    </w:p>
    <w:p w:rsidR="00EB0370" w:rsidRDefault="006424B5" w:rsidP="00EB0370">
      <w:pPr>
        <w:widowControl w:val="0"/>
        <w:spacing w:before="120" w:after="60"/>
        <w:rPr>
          <w:rFonts w:ascii="Times New Roman" w:hAnsi="Times New Roman"/>
          <w:sz w:val="24"/>
        </w:rPr>
      </w:pPr>
      <w:r w:rsidRPr="00BD0C19">
        <w:rPr>
          <w:rFonts w:ascii="Times New Roman" w:hAnsi="Times New Roman"/>
          <w:sz w:val="24"/>
        </w:rPr>
        <w:t xml:space="preserve">The purpose of the instrument is to </w:t>
      </w:r>
      <w:r w:rsidR="009A7C6B" w:rsidRPr="00BD0C19">
        <w:rPr>
          <w:rFonts w:ascii="Times New Roman" w:hAnsi="Times New Roman"/>
          <w:sz w:val="24"/>
        </w:rPr>
        <w:t>determine a new reporting standard which</w:t>
      </w:r>
      <w:r w:rsidR="007D4CC4" w:rsidRPr="00BD0C19">
        <w:rPr>
          <w:rFonts w:ascii="Times New Roman" w:hAnsi="Times New Roman"/>
          <w:sz w:val="24"/>
        </w:rPr>
        <w:t xml:space="preserve"> </w:t>
      </w:r>
      <w:r w:rsidR="001024C7" w:rsidRPr="00BD0C19">
        <w:rPr>
          <w:rFonts w:ascii="Times New Roman" w:hAnsi="Times New Roman"/>
          <w:sz w:val="24"/>
        </w:rPr>
        <w:t xml:space="preserve">is similar to the </w:t>
      </w:r>
      <w:r w:rsidR="007D4CC4" w:rsidRPr="00BD0C19">
        <w:rPr>
          <w:rFonts w:ascii="Times New Roman" w:hAnsi="Times New Roman"/>
          <w:sz w:val="24"/>
        </w:rPr>
        <w:t>standard</w:t>
      </w:r>
      <w:r w:rsidR="001024C7" w:rsidRPr="00BD0C19">
        <w:rPr>
          <w:rFonts w:ascii="Times New Roman" w:hAnsi="Times New Roman"/>
          <w:sz w:val="24"/>
        </w:rPr>
        <w:t xml:space="preserve"> it replaces</w:t>
      </w:r>
      <w:r w:rsidR="007D4CC4" w:rsidRPr="00BD0C19">
        <w:rPr>
          <w:rFonts w:ascii="Times New Roman" w:hAnsi="Times New Roman"/>
          <w:sz w:val="24"/>
        </w:rPr>
        <w:t xml:space="preserve"> but incorporates </w:t>
      </w:r>
      <w:r w:rsidR="0048356E" w:rsidRPr="00BD0C19">
        <w:rPr>
          <w:rFonts w:ascii="Times New Roman" w:hAnsi="Times New Roman"/>
          <w:sz w:val="24"/>
        </w:rPr>
        <w:t>enhancements to the PoP statistics and reduces the overall reporting burden on ADIs.</w:t>
      </w:r>
    </w:p>
    <w:p w:rsidR="006675CD" w:rsidRDefault="006675CD">
      <w:pPr>
        <w:spacing w:after="200" w:line="276" w:lineRule="auto"/>
        <w:rPr>
          <w:rFonts w:ascii="Times New Roman" w:hAnsi="Times New Roman"/>
          <w:sz w:val="24"/>
        </w:rPr>
      </w:pPr>
      <w:r>
        <w:rPr>
          <w:rFonts w:ascii="Times New Roman" w:hAnsi="Times New Roman"/>
          <w:sz w:val="24"/>
        </w:rPr>
        <w:br w:type="page"/>
      </w:r>
    </w:p>
    <w:p w:rsidR="006424B5" w:rsidRPr="00BD0C19"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lastRenderedPageBreak/>
        <w:t>Operation of the Instrument</w:t>
      </w:r>
    </w:p>
    <w:p w:rsidR="009A7C6B" w:rsidRDefault="009A7C6B" w:rsidP="009A7C6B">
      <w:pPr>
        <w:pStyle w:val="Heading"/>
        <w:keepNext/>
        <w:spacing w:before="120" w:after="60"/>
        <w:jc w:val="both"/>
        <w:outlineLvl w:val="0"/>
        <w:rPr>
          <w:rFonts w:ascii="Times New Roman" w:hAnsi="Times New Roman"/>
          <w:sz w:val="24"/>
        </w:rPr>
      </w:pPr>
      <w:r w:rsidRPr="00BD0C19">
        <w:rPr>
          <w:rFonts w:ascii="Times New Roman" w:hAnsi="Times New Roman"/>
          <w:sz w:val="24"/>
        </w:rPr>
        <w:t>The instrument determines ARS 796.0 and revokes the old reporting standard.</w:t>
      </w:r>
    </w:p>
    <w:p w:rsidR="006675CD" w:rsidRPr="00BD0C19" w:rsidRDefault="006675CD" w:rsidP="009A7C6B">
      <w:pPr>
        <w:pStyle w:val="Heading"/>
        <w:keepNext/>
        <w:spacing w:before="120" w:after="60"/>
        <w:jc w:val="both"/>
        <w:outlineLvl w:val="0"/>
        <w:rPr>
          <w:rFonts w:ascii="Times New Roman" w:hAnsi="Times New Roman"/>
          <w:sz w:val="24"/>
        </w:rPr>
      </w:pPr>
    </w:p>
    <w:p w:rsidR="009A7C6B" w:rsidRPr="00BD0C19" w:rsidRDefault="009A7C6B" w:rsidP="00133A27">
      <w:pPr>
        <w:pStyle w:val="Heading"/>
        <w:numPr>
          <w:ilvl w:val="0"/>
          <w:numId w:val="1"/>
        </w:numPr>
        <w:tabs>
          <w:tab w:val="left" w:pos="360"/>
        </w:tabs>
        <w:spacing w:before="120"/>
        <w:rPr>
          <w:rFonts w:ascii="Times New Roman" w:hAnsi="Times New Roman"/>
          <w:b/>
          <w:sz w:val="24"/>
        </w:rPr>
      </w:pPr>
      <w:bookmarkStart w:id="8" w:name="bkConsultation"/>
      <w:bookmarkEnd w:id="8"/>
      <w:r w:rsidRPr="00BD0C19">
        <w:rPr>
          <w:rFonts w:ascii="Times New Roman" w:hAnsi="Times New Roman"/>
          <w:b/>
          <w:sz w:val="24"/>
        </w:rPr>
        <w:t>Consultation</w:t>
      </w:r>
    </w:p>
    <w:p w:rsidR="0071518A" w:rsidRPr="00BD0C19" w:rsidRDefault="0071518A" w:rsidP="0071518A">
      <w:pPr>
        <w:jc w:val="both"/>
        <w:rPr>
          <w:sz w:val="24"/>
          <w:lang w:eastAsia="en-US"/>
        </w:rPr>
      </w:pPr>
      <w:bookmarkStart w:id="9" w:name="bkRISNO"/>
      <w:bookmarkEnd w:id="9"/>
    </w:p>
    <w:p w:rsidR="0071518A" w:rsidRPr="00BD0C19" w:rsidRDefault="0071518A" w:rsidP="0071518A">
      <w:pPr>
        <w:jc w:val="both"/>
        <w:rPr>
          <w:rFonts w:ascii="Times New Roman" w:hAnsi="Times New Roman"/>
          <w:sz w:val="24"/>
          <w:lang w:eastAsia="en-US"/>
        </w:rPr>
      </w:pPr>
      <w:r w:rsidRPr="00BD0C19">
        <w:rPr>
          <w:rFonts w:ascii="Times New Roman" w:hAnsi="Times New Roman"/>
          <w:sz w:val="24"/>
          <w:lang w:eastAsia="en-US"/>
        </w:rPr>
        <w:t xml:space="preserve">On 23 September 2015, APRA released a discussion paper, </w:t>
      </w:r>
      <w:r w:rsidRPr="00BD0C19">
        <w:rPr>
          <w:rFonts w:ascii="Times New Roman" w:hAnsi="Times New Roman"/>
          <w:i/>
          <w:sz w:val="24"/>
          <w:lang w:eastAsia="en-US"/>
        </w:rPr>
        <w:t xml:space="preserve">Discussion Paper Authorised Deposit-taking Institutions’ Points of Presence statistics (September 2015) </w:t>
      </w:r>
      <w:r w:rsidRPr="00BD0C19">
        <w:rPr>
          <w:rFonts w:ascii="Times New Roman" w:hAnsi="Times New Roman"/>
          <w:sz w:val="24"/>
          <w:lang w:eastAsia="en-US"/>
        </w:rPr>
        <w:t>(</w:t>
      </w:r>
      <w:r w:rsidR="00BE42AF" w:rsidRPr="00BD0C19">
        <w:rPr>
          <w:rFonts w:ascii="Times New Roman" w:hAnsi="Times New Roman"/>
          <w:sz w:val="24"/>
          <w:lang w:eastAsia="en-US"/>
        </w:rPr>
        <w:t xml:space="preserve">the </w:t>
      </w:r>
      <w:r w:rsidRPr="00BD0C19">
        <w:rPr>
          <w:rFonts w:ascii="Times New Roman" w:hAnsi="Times New Roman"/>
          <w:sz w:val="24"/>
          <w:lang w:eastAsia="en-US"/>
        </w:rPr>
        <w:t>Discussion Paper), on changes it proposed to the collection of PoP statistics from ADIs.</w:t>
      </w:r>
    </w:p>
    <w:p w:rsidR="00A4054F" w:rsidRPr="00BD0C19" w:rsidRDefault="00A4054F" w:rsidP="0071518A">
      <w:pPr>
        <w:jc w:val="both"/>
        <w:rPr>
          <w:rFonts w:ascii="Times New Roman" w:hAnsi="Times New Roman"/>
          <w:sz w:val="24"/>
          <w:lang w:eastAsia="en-US"/>
        </w:rPr>
      </w:pPr>
    </w:p>
    <w:p w:rsidR="00A4054F" w:rsidRPr="00BD0C19" w:rsidRDefault="00A4054F" w:rsidP="0071518A">
      <w:pPr>
        <w:jc w:val="both"/>
        <w:rPr>
          <w:rFonts w:ascii="Times New Roman" w:hAnsi="Times New Roman"/>
          <w:sz w:val="24"/>
        </w:rPr>
      </w:pPr>
      <w:r w:rsidRPr="00BD0C19">
        <w:rPr>
          <w:rFonts w:ascii="Times New Roman" w:hAnsi="Times New Roman"/>
          <w:sz w:val="24"/>
        </w:rPr>
        <w:t xml:space="preserve">In the Discussion Paper, APRA sought feedback on the usefulness of the PoP statistics and the proposed content and format of a streamlined approach </w:t>
      </w:r>
      <w:r w:rsidR="00200B4F" w:rsidRPr="00BD0C19">
        <w:rPr>
          <w:rFonts w:ascii="Times New Roman" w:hAnsi="Times New Roman"/>
          <w:sz w:val="24"/>
        </w:rPr>
        <w:t>to collecting and publishing such</w:t>
      </w:r>
      <w:r w:rsidRPr="00BD0C19">
        <w:rPr>
          <w:rFonts w:ascii="Times New Roman" w:hAnsi="Times New Roman"/>
          <w:sz w:val="24"/>
        </w:rPr>
        <w:t xml:space="preserve"> statistics.</w:t>
      </w:r>
    </w:p>
    <w:p w:rsidR="00A4054F" w:rsidRPr="00BD0C19" w:rsidRDefault="00A4054F" w:rsidP="0071518A">
      <w:pPr>
        <w:jc w:val="both"/>
        <w:rPr>
          <w:rFonts w:ascii="Times New Roman" w:hAnsi="Times New Roman"/>
          <w:sz w:val="24"/>
        </w:rPr>
      </w:pPr>
    </w:p>
    <w:p w:rsidR="00A4054F" w:rsidRPr="00BD0C19" w:rsidRDefault="00A4054F" w:rsidP="00A4054F">
      <w:pPr>
        <w:jc w:val="both"/>
        <w:rPr>
          <w:rFonts w:ascii="Times New Roman" w:hAnsi="Times New Roman"/>
          <w:sz w:val="24"/>
          <w:lang w:eastAsia="en-US"/>
        </w:rPr>
      </w:pPr>
      <w:r w:rsidRPr="00BD0C19">
        <w:rPr>
          <w:rFonts w:ascii="Times New Roman" w:hAnsi="Times New Roman"/>
          <w:sz w:val="24"/>
          <w:lang w:eastAsia="en-US"/>
        </w:rPr>
        <w:t>The submissions received by APRA from industry indicated general support for retaining the PoP statistics but there was limited feedb</w:t>
      </w:r>
      <w:r w:rsidR="00CF6615" w:rsidRPr="00BD0C19">
        <w:rPr>
          <w:rFonts w:ascii="Times New Roman" w:hAnsi="Times New Roman"/>
          <w:sz w:val="24"/>
          <w:lang w:eastAsia="en-US"/>
        </w:rPr>
        <w:t>ack on</w:t>
      </w:r>
      <w:r w:rsidRPr="00BD0C19">
        <w:rPr>
          <w:rFonts w:ascii="Times New Roman" w:hAnsi="Times New Roman"/>
          <w:sz w:val="24"/>
          <w:lang w:eastAsia="en-US"/>
        </w:rPr>
        <w:t xml:space="preserve"> the proposed</w:t>
      </w:r>
      <w:r w:rsidR="00200B4F" w:rsidRPr="00BD0C19">
        <w:rPr>
          <w:rFonts w:ascii="Times New Roman" w:hAnsi="Times New Roman"/>
          <w:sz w:val="24"/>
          <w:lang w:eastAsia="en-US"/>
        </w:rPr>
        <w:t xml:space="preserve"> </w:t>
      </w:r>
      <w:r w:rsidR="00CF6615" w:rsidRPr="00BD0C19">
        <w:rPr>
          <w:rFonts w:ascii="Times New Roman" w:hAnsi="Times New Roman"/>
          <w:sz w:val="24"/>
        </w:rPr>
        <w:t>streamlined approach to collecting and publishing PoP statistics.</w:t>
      </w:r>
    </w:p>
    <w:p w:rsidR="00A4054F" w:rsidRPr="00BD0C19" w:rsidRDefault="00A4054F" w:rsidP="00A4054F">
      <w:pPr>
        <w:jc w:val="both"/>
        <w:rPr>
          <w:rFonts w:ascii="Times New Roman" w:hAnsi="Times New Roman"/>
          <w:sz w:val="24"/>
          <w:lang w:eastAsia="en-US"/>
        </w:rPr>
      </w:pPr>
    </w:p>
    <w:p w:rsidR="00A4054F" w:rsidRPr="00BD0C19" w:rsidRDefault="001C67C8" w:rsidP="00A4054F">
      <w:pPr>
        <w:jc w:val="both"/>
        <w:rPr>
          <w:rFonts w:ascii="Times New Roman" w:hAnsi="Times New Roman"/>
          <w:sz w:val="24"/>
          <w:lang w:eastAsia="en-US"/>
        </w:rPr>
      </w:pPr>
      <w:r w:rsidRPr="00BD0C19">
        <w:rPr>
          <w:rFonts w:ascii="Times New Roman" w:hAnsi="Times New Roman"/>
          <w:sz w:val="24"/>
          <w:lang w:eastAsia="en-US"/>
        </w:rPr>
        <w:lastRenderedPageBreak/>
        <w:t>APRA took the</w:t>
      </w:r>
      <w:r w:rsidR="00A4054F" w:rsidRPr="00BD0C19">
        <w:rPr>
          <w:rFonts w:ascii="Times New Roman" w:hAnsi="Times New Roman"/>
          <w:sz w:val="24"/>
          <w:lang w:eastAsia="en-US"/>
        </w:rPr>
        <w:t xml:space="preserve"> submissions into account in deciding </w:t>
      </w:r>
      <w:r w:rsidR="00200B4F" w:rsidRPr="00BD0C19">
        <w:rPr>
          <w:rFonts w:ascii="Times New Roman" w:hAnsi="Times New Roman"/>
          <w:sz w:val="24"/>
          <w:lang w:eastAsia="en-US"/>
        </w:rPr>
        <w:t>the content of</w:t>
      </w:r>
      <w:r w:rsidR="00A4054F" w:rsidRPr="00BD0C19">
        <w:rPr>
          <w:rFonts w:ascii="Times New Roman" w:hAnsi="Times New Roman"/>
          <w:sz w:val="24"/>
          <w:lang w:eastAsia="en-US"/>
        </w:rPr>
        <w:t xml:space="preserve"> ARS 796.0.</w:t>
      </w:r>
    </w:p>
    <w:p w:rsidR="00555DAC" w:rsidRPr="00BD0C19" w:rsidRDefault="00555DAC" w:rsidP="00A4054F">
      <w:pPr>
        <w:jc w:val="both"/>
        <w:rPr>
          <w:rFonts w:ascii="Times New Roman" w:hAnsi="Times New Roman"/>
          <w:sz w:val="24"/>
          <w:lang w:eastAsia="en-US"/>
        </w:rPr>
      </w:pPr>
    </w:p>
    <w:p w:rsidR="00555DAC" w:rsidRPr="00BD0C19" w:rsidRDefault="00555DAC" w:rsidP="00A4054F">
      <w:pPr>
        <w:jc w:val="both"/>
        <w:rPr>
          <w:rFonts w:ascii="Times New Roman" w:hAnsi="Times New Roman"/>
          <w:sz w:val="24"/>
          <w:lang w:eastAsia="en-US"/>
        </w:rPr>
      </w:pPr>
      <w:r w:rsidRPr="00BD0C19">
        <w:rPr>
          <w:rFonts w:ascii="Times New Roman" w:hAnsi="Times New Roman"/>
          <w:sz w:val="24"/>
          <w:lang w:eastAsia="en-US"/>
        </w:rPr>
        <w:t xml:space="preserve">As a transitional measure, APRA </w:t>
      </w:r>
      <w:r w:rsidR="001C7C92" w:rsidRPr="00BD0C19">
        <w:rPr>
          <w:rFonts w:ascii="Times New Roman" w:hAnsi="Times New Roman"/>
          <w:sz w:val="24"/>
        </w:rPr>
        <w:t xml:space="preserve">made Financial Sector (Collection of Data) exemption No. 1 of 2016 </w:t>
      </w:r>
      <w:r w:rsidR="00E8236C">
        <w:rPr>
          <w:rFonts w:ascii="Times New Roman" w:hAnsi="Times New Roman"/>
          <w:sz w:val="24"/>
          <w:lang w:eastAsia="en-US"/>
        </w:rPr>
        <w:t>on 28 June 2016</w:t>
      </w:r>
      <w:r w:rsidR="002C689F" w:rsidRPr="00BD0C19">
        <w:rPr>
          <w:rFonts w:ascii="Times New Roman" w:hAnsi="Times New Roman"/>
          <w:sz w:val="24"/>
          <w:lang w:eastAsia="en-US"/>
        </w:rPr>
        <w:t xml:space="preserve"> </w:t>
      </w:r>
      <w:r w:rsidR="00CA45E2" w:rsidRPr="00BD0C19">
        <w:rPr>
          <w:rFonts w:ascii="Times New Roman" w:hAnsi="Times New Roman"/>
          <w:sz w:val="24"/>
        </w:rPr>
        <w:t xml:space="preserve">under subsection 16(1B) of the Act </w:t>
      </w:r>
      <w:r w:rsidR="001C7C92" w:rsidRPr="00BD0C19">
        <w:rPr>
          <w:rFonts w:ascii="Times New Roman" w:hAnsi="Times New Roman"/>
          <w:sz w:val="24"/>
        </w:rPr>
        <w:t>exempt</w:t>
      </w:r>
      <w:r w:rsidR="00CA45E2" w:rsidRPr="00BD0C19">
        <w:rPr>
          <w:rFonts w:ascii="Times New Roman" w:hAnsi="Times New Roman"/>
          <w:sz w:val="24"/>
        </w:rPr>
        <w:t>ing</w:t>
      </w:r>
      <w:r w:rsidR="001C7C92" w:rsidRPr="00BD0C19">
        <w:rPr>
          <w:rFonts w:ascii="Times New Roman" w:hAnsi="Times New Roman"/>
          <w:sz w:val="24"/>
        </w:rPr>
        <w:t xml:space="preserve"> all financial sector entities from the requirement </w:t>
      </w:r>
      <w:r w:rsidR="000558EA" w:rsidRPr="00BD0C19">
        <w:rPr>
          <w:rFonts w:ascii="Times New Roman" w:hAnsi="Times New Roman"/>
          <w:sz w:val="24"/>
        </w:rPr>
        <w:t xml:space="preserve">to report certain service channels </w:t>
      </w:r>
      <w:r w:rsidR="001C7C92" w:rsidRPr="00BD0C19">
        <w:rPr>
          <w:rFonts w:ascii="Times New Roman" w:hAnsi="Times New Roman"/>
          <w:sz w:val="24"/>
        </w:rPr>
        <w:t>specified in the old reporting standard</w:t>
      </w:r>
      <w:r w:rsidR="000558EA" w:rsidRPr="00BD0C19">
        <w:rPr>
          <w:rFonts w:ascii="Times New Roman" w:hAnsi="Times New Roman"/>
          <w:sz w:val="24"/>
        </w:rPr>
        <w:t>.</w:t>
      </w:r>
      <w:r w:rsidR="001C7C92" w:rsidRPr="00BD0C19">
        <w:rPr>
          <w:rFonts w:ascii="Times New Roman" w:hAnsi="Times New Roman"/>
          <w:i/>
          <w:sz w:val="24"/>
        </w:rPr>
        <w:t xml:space="preserve"> </w:t>
      </w:r>
    </w:p>
    <w:p w:rsidR="00A4054F" w:rsidRPr="00BD0C19" w:rsidRDefault="00A4054F" w:rsidP="0071518A">
      <w:pPr>
        <w:jc w:val="both"/>
        <w:rPr>
          <w:rFonts w:ascii="Times New Roman" w:hAnsi="Times New Roman"/>
          <w:sz w:val="24"/>
          <w:lang w:eastAsia="en-US"/>
        </w:rPr>
      </w:pPr>
    </w:p>
    <w:p w:rsidR="00555DAC" w:rsidRPr="00BD0C19" w:rsidRDefault="00555DAC" w:rsidP="00133A27">
      <w:pPr>
        <w:pStyle w:val="Heading"/>
        <w:numPr>
          <w:ilvl w:val="0"/>
          <w:numId w:val="1"/>
        </w:numPr>
        <w:tabs>
          <w:tab w:val="left" w:pos="360"/>
        </w:tabs>
        <w:spacing w:after="240"/>
        <w:rPr>
          <w:rFonts w:ascii="Times New Roman" w:hAnsi="Times New Roman"/>
          <w:b/>
          <w:sz w:val="24"/>
        </w:rPr>
      </w:pPr>
      <w:bookmarkStart w:id="10" w:name="bkRIS"/>
      <w:r w:rsidRPr="00BD0C19">
        <w:rPr>
          <w:rFonts w:ascii="Times New Roman" w:hAnsi="Times New Roman"/>
          <w:b/>
          <w:sz w:val="24"/>
        </w:rPr>
        <w:t>Regulation Impact Statement</w:t>
      </w:r>
    </w:p>
    <w:bookmarkEnd w:id="10"/>
    <w:p w:rsidR="00555DAC" w:rsidRDefault="00555DAC" w:rsidP="00555DAC">
      <w:pPr>
        <w:pStyle w:val="Heading"/>
        <w:spacing w:after="240"/>
        <w:rPr>
          <w:rFonts w:ascii="Times New Roman" w:hAnsi="Times New Roman"/>
          <w:sz w:val="24"/>
        </w:rPr>
      </w:pPr>
      <w:r w:rsidRPr="00BD0C19">
        <w:rPr>
          <w:rFonts w:ascii="Times New Roman" w:hAnsi="Times New Roman"/>
          <w:sz w:val="24"/>
        </w:rPr>
        <w:t>The Office of Best Practice Regulation has advised that a Regulation Impact Statement is not required for this legislative instrument.</w:t>
      </w:r>
    </w:p>
    <w:p w:rsidR="00555DAC" w:rsidRPr="00BD0C19" w:rsidRDefault="00555DAC" w:rsidP="00133A27">
      <w:pPr>
        <w:pStyle w:val="Heading"/>
        <w:numPr>
          <w:ilvl w:val="0"/>
          <w:numId w:val="1"/>
        </w:numPr>
        <w:tabs>
          <w:tab w:val="left" w:pos="360"/>
        </w:tabs>
        <w:spacing w:after="240"/>
        <w:rPr>
          <w:rFonts w:ascii="Times New Roman" w:hAnsi="Times New Roman"/>
          <w:b/>
          <w:sz w:val="24"/>
        </w:rPr>
      </w:pPr>
      <w:r w:rsidRPr="00BD0C19">
        <w:rPr>
          <w:rFonts w:ascii="Times New Roman" w:hAnsi="Times New Roman"/>
          <w:b/>
          <w:sz w:val="24"/>
        </w:rPr>
        <w:t>Statement of compatibility prepared in accordance with Part 3 of the Human Rights (Parliamentary Scrutiny) Act 2011</w:t>
      </w:r>
    </w:p>
    <w:p w:rsidR="00555DAC" w:rsidRPr="00BD0C19" w:rsidRDefault="00555DAC" w:rsidP="00555DAC">
      <w:pPr>
        <w:pStyle w:val="Heading"/>
        <w:spacing w:after="240"/>
        <w:rPr>
          <w:rFonts w:ascii="Times New Roman" w:hAnsi="Times New Roman"/>
          <w:b/>
          <w:sz w:val="24"/>
        </w:rPr>
      </w:pPr>
      <w:r w:rsidRPr="00BD0C19">
        <w:rPr>
          <w:rFonts w:ascii="Times New Roman" w:hAnsi="Times New Roman"/>
          <w:sz w:val="24"/>
        </w:rPr>
        <w:t xml:space="preserve">A Statement of compatibility prepared in accordance with Part 3 of the </w:t>
      </w:r>
      <w:r w:rsidRPr="00BD0C19">
        <w:rPr>
          <w:rFonts w:ascii="Times New Roman" w:hAnsi="Times New Roman"/>
          <w:i/>
          <w:sz w:val="24"/>
        </w:rPr>
        <w:t>Human Rights (Parliamentary Scrutiny) Act 2011</w:t>
      </w:r>
      <w:r w:rsidRPr="00BD0C19">
        <w:rPr>
          <w:rFonts w:ascii="Times New Roman" w:hAnsi="Times New Roman"/>
          <w:sz w:val="24"/>
        </w:rPr>
        <w:t xml:space="preserve"> is provided at Attachment A to this Explanatory Statement.</w:t>
      </w:r>
    </w:p>
    <w:p w:rsidR="00555DAC" w:rsidRDefault="00555DAC" w:rsidP="00555DAC">
      <w:pPr>
        <w:rPr>
          <w:b/>
          <w:sz w:val="26"/>
          <w:szCs w:val="22"/>
        </w:rPr>
      </w:pPr>
      <w:r>
        <w:br w:type="page"/>
      </w:r>
    </w:p>
    <w:p w:rsidR="00555DAC" w:rsidRDefault="00555DAC" w:rsidP="00555DAC">
      <w:pPr>
        <w:pStyle w:val="Heading"/>
        <w:spacing w:after="240"/>
      </w:pPr>
    </w:p>
    <w:p w:rsidR="00555DAC" w:rsidRDefault="00555DAC" w:rsidP="00555DAC">
      <w:pPr>
        <w:pStyle w:val="Heading"/>
        <w:spacing w:after="240"/>
      </w:pPr>
    </w:p>
    <w:p w:rsidR="00555DAC" w:rsidRDefault="00555DAC" w:rsidP="00555DAC">
      <w:pPr>
        <w:pStyle w:val="Heading"/>
        <w:spacing w:after="240"/>
      </w:pPr>
    </w:p>
    <w:p w:rsidR="00555DAC" w:rsidRPr="008178C2" w:rsidRDefault="00555DAC" w:rsidP="00555DAC">
      <w:pPr>
        <w:spacing w:after="360"/>
        <w:jc w:val="both"/>
        <w:rPr>
          <w:rFonts w:ascii="Times New Roman" w:hAnsi="Times New Roman"/>
          <w:b/>
          <w:sz w:val="24"/>
        </w:rPr>
      </w:pPr>
      <w:r w:rsidRPr="008178C2">
        <w:rPr>
          <w:rFonts w:ascii="Times New Roman" w:hAnsi="Times New Roman"/>
          <w:b/>
          <w:sz w:val="24"/>
          <w:u w:val="single"/>
          <w:lang w:val="en-GB"/>
        </w:rPr>
        <w:t>ATTACHMENT A</w:t>
      </w:r>
    </w:p>
    <w:p w:rsidR="00555DAC" w:rsidRPr="00751835" w:rsidRDefault="00555DAC" w:rsidP="00555DAC">
      <w:pPr>
        <w:spacing w:after="240"/>
        <w:jc w:val="center"/>
        <w:rPr>
          <w:rFonts w:ascii="Times New Roman" w:hAnsi="Times New Roman"/>
          <w:b/>
          <w:sz w:val="24"/>
        </w:rPr>
      </w:pPr>
      <w:r w:rsidRPr="00751835">
        <w:rPr>
          <w:rFonts w:ascii="Times New Roman" w:hAnsi="Times New Roman"/>
          <w:b/>
          <w:sz w:val="24"/>
        </w:rPr>
        <w:t>Statement of Compatibility with Human Rights</w:t>
      </w:r>
    </w:p>
    <w:p w:rsidR="00555DAC" w:rsidRPr="00751835" w:rsidRDefault="00555DAC" w:rsidP="00555DAC">
      <w:pPr>
        <w:keepNext/>
        <w:keepLines/>
        <w:spacing w:after="240"/>
        <w:jc w:val="center"/>
        <w:outlineLvl w:val="0"/>
        <w:rPr>
          <w:rFonts w:ascii="Times New Roman" w:hAnsi="Times New Roman"/>
          <w:bCs/>
          <w:i/>
          <w:color w:val="000000"/>
          <w:sz w:val="24"/>
        </w:rPr>
      </w:pPr>
      <w:r w:rsidRPr="00751835">
        <w:rPr>
          <w:rFonts w:ascii="Times New Roman" w:hAnsi="Times New Roman"/>
          <w:bCs/>
          <w:i/>
          <w:color w:val="000000"/>
          <w:sz w:val="24"/>
        </w:rPr>
        <w:t>Prepared in accordance with Part 3 of the Human Rights (Parliamentary Scrutiny) Act 2011</w:t>
      </w:r>
    </w:p>
    <w:p w:rsidR="00F4178E" w:rsidRPr="00751835" w:rsidRDefault="00F4178E" w:rsidP="00F4178E">
      <w:pPr>
        <w:pStyle w:val="Heading"/>
        <w:spacing w:before="120"/>
        <w:jc w:val="center"/>
        <w:rPr>
          <w:rFonts w:ascii="Times New Roman" w:hAnsi="Times New Roman"/>
          <w:b/>
          <w:sz w:val="24"/>
        </w:rPr>
      </w:pPr>
      <w:r w:rsidRPr="00751835">
        <w:rPr>
          <w:rFonts w:ascii="Times New Roman" w:hAnsi="Times New Roman"/>
          <w:b/>
          <w:sz w:val="24"/>
        </w:rPr>
        <w:t xml:space="preserve">Financial Sector (Collection of Data) (reporting standard) determination No. </w:t>
      </w:r>
      <w:r w:rsidR="002631B2">
        <w:rPr>
          <w:rFonts w:ascii="Times New Roman" w:hAnsi="Times New Roman"/>
          <w:b/>
          <w:sz w:val="24"/>
        </w:rPr>
        <w:t>23</w:t>
      </w:r>
      <w:r w:rsidRPr="00751835">
        <w:rPr>
          <w:rFonts w:ascii="Times New Roman" w:hAnsi="Times New Roman"/>
          <w:b/>
          <w:color w:val="FF0000"/>
          <w:sz w:val="24"/>
        </w:rPr>
        <w:t xml:space="preserve"> </w:t>
      </w:r>
      <w:r w:rsidRPr="00751835">
        <w:rPr>
          <w:rFonts w:ascii="Times New Roman" w:hAnsi="Times New Roman"/>
          <w:b/>
          <w:sz w:val="24"/>
        </w:rPr>
        <w:t>of 2016 – Reporting standard ARS 796.0 Points of Presence</w:t>
      </w:r>
    </w:p>
    <w:p w:rsidR="00555DAC" w:rsidRPr="00751835" w:rsidRDefault="00555DAC" w:rsidP="00555DAC">
      <w:pPr>
        <w:jc w:val="center"/>
        <w:rPr>
          <w:rFonts w:ascii="Times New Roman" w:hAnsi="Times New Roman"/>
          <w:sz w:val="24"/>
        </w:rPr>
      </w:pPr>
    </w:p>
    <w:p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Overview of the legislative instrument</w:t>
      </w:r>
    </w:p>
    <w:p w:rsidR="00555DAC" w:rsidRPr="00751835" w:rsidRDefault="00CA5735" w:rsidP="00CA5735">
      <w:pPr>
        <w:widowControl w:val="0"/>
        <w:spacing w:before="120" w:after="60"/>
        <w:rPr>
          <w:rFonts w:ascii="Times New Roman" w:hAnsi="Times New Roman"/>
          <w:sz w:val="24"/>
        </w:rPr>
      </w:pPr>
      <w:r w:rsidRPr="00751835">
        <w:rPr>
          <w:rFonts w:ascii="Times New Roman" w:hAnsi="Times New Roman"/>
          <w:sz w:val="24"/>
        </w:rPr>
        <w:t xml:space="preserve">The instrument determines a new reporting standard under the </w:t>
      </w:r>
      <w:r w:rsidRPr="00751835">
        <w:rPr>
          <w:rFonts w:ascii="Times New Roman" w:hAnsi="Times New Roman"/>
          <w:i/>
          <w:sz w:val="24"/>
        </w:rPr>
        <w:lastRenderedPageBreak/>
        <w:t>Financial Sector (Collection of Data) Act 2003</w:t>
      </w:r>
      <w:r w:rsidRPr="00751835">
        <w:rPr>
          <w:rFonts w:ascii="Times New Roman" w:hAnsi="Times New Roman"/>
          <w:sz w:val="24"/>
        </w:rPr>
        <w:t>.  The new reporting standard is simi</w:t>
      </w:r>
      <w:r w:rsidR="001D1C15" w:rsidRPr="00751835">
        <w:rPr>
          <w:rFonts w:ascii="Times New Roman" w:hAnsi="Times New Roman"/>
          <w:sz w:val="24"/>
        </w:rPr>
        <w:t>lar to the standard it replaces but</w:t>
      </w:r>
      <w:r w:rsidRPr="00751835">
        <w:rPr>
          <w:rFonts w:ascii="Times New Roman" w:hAnsi="Times New Roman"/>
          <w:sz w:val="24"/>
        </w:rPr>
        <w:t xml:space="preserve"> makes improvements to the Points of Presence statistics APRA collects from authorised deposit-taking institutions (ADIs)</w:t>
      </w:r>
      <w:r w:rsidR="009631F7" w:rsidRPr="00751835">
        <w:rPr>
          <w:rFonts w:ascii="Times New Roman" w:hAnsi="Times New Roman"/>
          <w:sz w:val="24"/>
        </w:rPr>
        <w:t xml:space="preserve"> </w:t>
      </w:r>
      <w:r w:rsidRPr="00751835">
        <w:rPr>
          <w:rFonts w:ascii="Times New Roman" w:hAnsi="Times New Roman"/>
          <w:sz w:val="24"/>
        </w:rPr>
        <w:t>and reduces the overall reporting burden on ADIs.</w:t>
      </w:r>
    </w:p>
    <w:p w:rsidR="00555DAC" w:rsidRPr="00751835" w:rsidRDefault="00555DAC" w:rsidP="00555DAC">
      <w:pPr>
        <w:rPr>
          <w:rFonts w:ascii="Times New Roman" w:hAnsi="Times New Roman"/>
          <w:sz w:val="24"/>
        </w:rPr>
      </w:pPr>
    </w:p>
    <w:p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Human rights implications</w:t>
      </w:r>
    </w:p>
    <w:p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rsidR="00555DAC" w:rsidRPr="00751835" w:rsidRDefault="00555DAC" w:rsidP="00555DAC">
      <w:pPr>
        <w:spacing w:after="240"/>
        <w:jc w:val="both"/>
        <w:rPr>
          <w:rFonts w:ascii="Times New Roman" w:hAnsi="Times New Roman"/>
          <w:b/>
          <w:sz w:val="24"/>
        </w:rPr>
      </w:pPr>
      <w:r w:rsidRPr="00751835">
        <w:rPr>
          <w:rFonts w:ascii="Times New Roman" w:hAnsi="Times New Roman"/>
          <w:b/>
          <w:sz w:val="24"/>
        </w:rPr>
        <w:t>Conclusion</w:t>
      </w:r>
    </w:p>
    <w:p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rsidR="00555DAC" w:rsidRDefault="00555DAC" w:rsidP="00555DAC"/>
    <w:p w:rsidR="00555DAC" w:rsidRPr="008178C2" w:rsidRDefault="00555DAC" w:rsidP="00555DAC"/>
    <w:p w:rsidR="00B04B20" w:rsidRPr="00A4054F" w:rsidRDefault="00B04B20" w:rsidP="0071518A">
      <w:pPr>
        <w:pStyle w:val="Heading"/>
        <w:tabs>
          <w:tab w:val="left" w:pos="360"/>
        </w:tabs>
        <w:spacing w:before="120"/>
        <w:rPr>
          <w:rFonts w:ascii="Times New Roman" w:hAnsi="Times New Roman"/>
        </w:rPr>
      </w:pPr>
    </w:p>
    <w:sectPr w:rsidR="00B04B20" w:rsidRPr="00A4054F" w:rsidSect="00793106">
      <w:headerReference w:type="even" r:id="rId7"/>
      <w:headerReference w:type="default" r:id="rId8"/>
      <w:footerReference w:type="even" r:id="rId9"/>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EB" w:rsidRDefault="00692DEB" w:rsidP="00F544F4">
      <w:r>
        <w:separator/>
      </w:r>
    </w:p>
  </w:endnote>
  <w:endnote w:type="continuationSeparator" w:id="0">
    <w:p w:rsidR="00692DEB" w:rsidRDefault="00692DEB" w:rsidP="00F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EB" w:rsidRDefault="00692DEB" w:rsidP="00793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EB" w:rsidRDefault="00692DEB" w:rsidP="00F544F4">
      <w:r>
        <w:separator/>
      </w:r>
    </w:p>
  </w:footnote>
  <w:footnote w:type="continuationSeparator" w:id="0">
    <w:p w:rsidR="00692DEB" w:rsidRDefault="00692DEB" w:rsidP="00F5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EB" w:rsidRDefault="00B0401E" w:rsidP="00793106">
    <w:pPr>
      <w:pStyle w:val="Header"/>
      <w:framePr w:wrap="around" w:vAnchor="text" w:hAnchor="margin" w:xAlign="center" w:y="1"/>
      <w:rPr>
        <w:rStyle w:val="PageNumber"/>
      </w:rPr>
    </w:pPr>
    <w:r>
      <w:rPr>
        <w:rStyle w:val="PageNumber"/>
      </w:rPr>
      <w:fldChar w:fldCharType="begin"/>
    </w:r>
    <w:r w:rsidR="00692DEB">
      <w:rPr>
        <w:rStyle w:val="PageNumber"/>
      </w:rPr>
      <w:instrText xml:space="preserve">PAGE  </w:instrText>
    </w:r>
    <w:r>
      <w:rPr>
        <w:rStyle w:val="PageNumber"/>
      </w:rPr>
      <w:fldChar w:fldCharType="separate"/>
    </w:r>
    <w:r w:rsidR="00A958B9">
      <w:rPr>
        <w:rStyle w:val="PageNumber"/>
        <w:noProof/>
      </w:rPr>
      <w:t>1</w:t>
    </w:r>
    <w:r>
      <w:rPr>
        <w:rStyle w:val="PageNumber"/>
      </w:rPr>
      <w:fldChar w:fldCharType="end"/>
    </w:r>
  </w:p>
  <w:p w:rsidR="00692DEB" w:rsidRDefault="00692DEB" w:rsidP="007931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EB" w:rsidRDefault="00B0401E" w:rsidP="00793106">
    <w:pPr>
      <w:pStyle w:val="Header"/>
      <w:framePr w:wrap="around" w:vAnchor="text" w:hAnchor="margin" w:xAlign="center" w:y="1"/>
      <w:rPr>
        <w:rStyle w:val="PageNumber"/>
      </w:rPr>
    </w:pPr>
    <w:r>
      <w:rPr>
        <w:rStyle w:val="PageNumber"/>
      </w:rPr>
      <w:fldChar w:fldCharType="begin"/>
    </w:r>
    <w:r w:rsidR="00692DEB">
      <w:rPr>
        <w:rStyle w:val="PageNumber"/>
      </w:rPr>
      <w:instrText xml:space="preserve">PAGE  </w:instrText>
    </w:r>
    <w:r>
      <w:rPr>
        <w:rStyle w:val="PageNumber"/>
      </w:rPr>
      <w:fldChar w:fldCharType="separate"/>
    </w:r>
    <w:r w:rsidR="00A958B9">
      <w:rPr>
        <w:rStyle w:val="PageNumber"/>
        <w:noProof/>
      </w:rPr>
      <w:t>2</w:t>
    </w:r>
    <w:r>
      <w:rPr>
        <w:rStyle w:val="PageNumber"/>
      </w:rPr>
      <w:fldChar w:fldCharType="end"/>
    </w:r>
  </w:p>
  <w:p w:rsidR="00692DEB" w:rsidRDefault="00692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6588"/>
    <w:multiLevelType w:val="hybridMultilevel"/>
    <w:tmpl w:val="CD887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F3259B3"/>
    <w:multiLevelType w:val="hybridMultilevel"/>
    <w:tmpl w:val="3B08FB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FD3BA1"/>
    <w:multiLevelType w:val="hybridMultilevel"/>
    <w:tmpl w:val="9DD2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8"/>
    <w:rsid w:val="000558EA"/>
    <w:rsid w:val="000825D0"/>
    <w:rsid w:val="000C7C38"/>
    <w:rsid w:val="001024C7"/>
    <w:rsid w:val="00107EB1"/>
    <w:rsid w:val="00133A27"/>
    <w:rsid w:val="00170642"/>
    <w:rsid w:val="00182FA1"/>
    <w:rsid w:val="001C0597"/>
    <w:rsid w:val="001C67C8"/>
    <w:rsid w:val="001C7C92"/>
    <w:rsid w:val="001D1C15"/>
    <w:rsid w:val="001E153D"/>
    <w:rsid w:val="001F49C0"/>
    <w:rsid w:val="00200B4F"/>
    <w:rsid w:val="00214C9C"/>
    <w:rsid w:val="00224E43"/>
    <w:rsid w:val="00246C3C"/>
    <w:rsid w:val="002631B2"/>
    <w:rsid w:val="002862F1"/>
    <w:rsid w:val="00291605"/>
    <w:rsid w:val="002C2CC1"/>
    <w:rsid w:val="002C689F"/>
    <w:rsid w:val="002E655B"/>
    <w:rsid w:val="00303B8A"/>
    <w:rsid w:val="00303C1A"/>
    <w:rsid w:val="003643A7"/>
    <w:rsid w:val="003A108C"/>
    <w:rsid w:val="003D5032"/>
    <w:rsid w:val="00416B78"/>
    <w:rsid w:val="00450908"/>
    <w:rsid w:val="0048356E"/>
    <w:rsid w:val="00495974"/>
    <w:rsid w:val="004C3D07"/>
    <w:rsid w:val="005003A8"/>
    <w:rsid w:val="00541700"/>
    <w:rsid w:val="00555DAC"/>
    <w:rsid w:val="005A5950"/>
    <w:rsid w:val="005D3560"/>
    <w:rsid w:val="005D3831"/>
    <w:rsid w:val="005E5910"/>
    <w:rsid w:val="00622480"/>
    <w:rsid w:val="006424B5"/>
    <w:rsid w:val="00647D58"/>
    <w:rsid w:val="006675CD"/>
    <w:rsid w:val="00684F73"/>
    <w:rsid w:val="00692DEB"/>
    <w:rsid w:val="007031F4"/>
    <w:rsid w:val="00715017"/>
    <w:rsid w:val="0071518A"/>
    <w:rsid w:val="00751835"/>
    <w:rsid w:val="00751D6B"/>
    <w:rsid w:val="00771EF4"/>
    <w:rsid w:val="00793106"/>
    <w:rsid w:val="007A47D4"/>
    <w:rsid w:val="007D4CC4"/>
    <w:rsid w:val="00821F5B"/>
    <w:rsid w:val="008B66D6"/>
    <w:rsid w:val="0091439F"/>
    <w:rsid w:val="009341FE"/>
    <w:rsid w:val="00944109"/>
    <w:rsid w:val="009631F7"/>
    <w:rsid w:val="009757D0"/>
    <w:rsid w:val="00984310"/>
    <w:rsid w:val="00984746"/>
    <w:rsid w:val="009A7C6B"/>
    <w:rsid w:val="009C5368"/>
    <w:rsid w:val="00A3003D"/>
    <w:rsid w:val="00A4054F"/>
    <w:rsid w:val="00A47F8A"/>
    <w:rsid w:val="00A63A2B"/>
    <w:rsid w:val="00A958B9"/>
    <w:rsid w:val="00AC2517"/>
    <w:rsid w:val="00AD1A4D"/>
    <w:rsid w:val="00AD6714"/>
    <w:rsid w:val="00AD6864"/>
    <w:rsid w:val="00B0401E"/>
    <w:rsid w:val="00B04B20"/>
    <w:rsid w:val="00B05385"/>
    <w:rsid w:val="00B142E5"/>
    <w:rsid w:val="00BA1EFB"/>
    <w:rsid w:val="00BD0C19"/>
    <w:rsid w:val="00BE42AF"/>
    <w:rsid w:val="00BE4B61"/>
    <w:rsid w:val="00C302FA"/>
    <w:rsid w:val="00C4099D"/>
    <w:rsid w:val="00C75958"/>
    <w:rsid w:val="00C90AD7"/>
    <w:rsid w:val="00CA45E2"/>
    <w:rsid w:val="00CA5735"/>
    <w:rsid w:val="00CA6CB3"/>
    <w:rsid w:val="00CF6615"/>
    <w:rsid w:val="00D33334"/>
    <w:rsid w:val="00D64906"/>
    <w:rsid w:val="00D77D02"/>
    <w:rsid w:val="00E02376"/>
    <w:rsid w:val="00E15497"/>
    <w:rsid w:val="00E17A61"/>
    <w:rsid w:val="00E201A8"/>
    <w:rsid w:val="00E8236C"/>
    <w:rsid w:val="00E85C49"/>
    <w:rsid w:val="00E90C89"/>
    <w:rsid w:val="00EB0370"/>
    <w:rsid w:val="00EC5653"/>
    <w:rsid w:val="00EF1341"/>
    <w:rsid w:val="00F05034"/>
    <w:rsid w:val="00F27606"/>
    <w:rsid w:val="00F4178E"/>
    <w:rsid w:val="00F544F4"/>
    <w:rsid w:val="00F72A90"/>
    <w:rsid w:val="00F7706D"/>
    <w:rsid w:val="00FA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EBBA75F-4573-4FCE-958A-42875D1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8"/>
    <w:pPr>
      <w:spacing w:after="0" w:line="240" w:lineRule="auto"/>
    </w:pPr>
    <w:rPr>
      <w:rFonts w:ascii="Trebuchet MS" w:eastAsia="Times New Roman" w:hAnsi="Trebuchet MS" w:cs="Times New Roman"/>
      <w:szCs w:val="24"/>
      <w:lang w:eastAsia="en-AU"/>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customStyle="1" w:styleId="Heading">
    <w:name w:val="Heading"/>
    <w:basedOn w:val="Normal"/>
    <w:rsid w:val="005003A8"/>
  </w:style>
  <w:style w:type="paragraph" w:styleId="Header">
    <w:name w:val="header"/>
    <w:basedOn w:val="Normal"/>
    <w:link w:val="HeaderChar"/>
    <w:uiPriority w:val="99"/>
    <w:rsid w:val="005003A8"/>
    <w:pPr>
      <w:tabs>
        <w:tab w:val="center" w:pos="4153"/>
        <w:tab w:val="right" w:pos="8306"/>
      </w:tabs>
    </w:pPr>
  </w:style>
  <w:style w:type="character" w:customStyle="1" w:styleId="HeaderChar">
    <w:name w:val="Header Char"/>
    <w:basedOn w:val="DefaultParagraphFont"/>
    <w:link w:val="Header"/>
    <w:uiPriority w:val="99"/>
    <w:rsid w:val="005003A8"/>
    <w:rPr>
      <w:rFonts w:ascii="Trebuchet MS" w:eastAsia="Times New Roman" w:hAnsi="Trebuchet MS" w:cs="Times New Roman"/>
      <w:szCs w:val="24"/>
      <w:lang w:eastAsia="en-AU"/>
    </w:rPr>
  </w:style>
  <w:style w:type="paragraph" w:styleId="Footer">
    <w:name w:val="footer"/>
    <w:basedOn w:val="Normal"/>
    <w:link w:val="FooterChar"/>
    <w:uiPriority w:val="99"/>
    <w:rsid w:val="005003A8"/>
    <w:pPr>
      <w:tabs>
        <w:tab w:val="center" w:pos="4153"/>
        <w:tab w:val="right" w:pos="8306"/>
      </w:tabs>
    </w:pPr>
  </w:style>
  <w:style w:type="character" w:customStyle="1" w:styleId="FooterChar">
    <w:name w:val="Footer Char"/>
    <w:basedOn w:val="DefaultParagraphFont"/>
    <w:link w:val="Footer"/>
    <w:uiPriority w:val="99"/>
    <w:rsid w:val="005003A8"/>
    <w:rPr>
      <w:rFonts w:ascii="Trebuchet MS" w:eastAsia="Times New Roman" w:hAnsi="Trebuchet MS" w:cs="Times New Roman"/>
      <w:szCs w:val="24"/>
      <w:lang w:eastAsia="en-AU"/>
    </w:rPr>
  </w:style>
  <w:style w:type="character" w:styleId="PageNumber">
    <w:name w:val="page number"/>
    <w:basedOn w:val="DefaultParagraphFont"/>
    <w:uiPriority w:val="99"/>
    <w:rsid w:val="005003A8"/>
    <w:rPr>
      <w:rFonts w:cs="Times New Roman"/>
    </w:rPr>
  </w:style>
  <w:style w:type="character" w:styleId="CommentReference">
    <w:name w:val="annotation reference"/>
    <w:basedOn w:val="DefaultParagraphFont"/>
    <w:uiPriority w:val="99"/>
    <w:semiHidden/>
    <w:unhideWhenUsed/>
    <w:rsid w:val="00793106"/>
    <w:rPr>
      <w:sz w:val="16"/>
      <w:szCs w:val="16"/>
    </w:rPr>
  </w:style>
  <w:style w:type="paragraph" w:styleId="CommentText">
    <w:name w:val="annotation text"/>
    <w:basedOn w:val="Normal"/>
    <w:link w:val="CommentTextChar"/>
    <w:uiPriority w:val="99"/>
    <w:unhideWhenUsed/>
    <w:rsid w:val="00793106"/>
    <w:rPr>
      <w:sz w:val="20"/>
      <w:szCs w:val="20"/>
    </w:rPr>
  </w:style>
  <w:style w:type="character" w:customStyle="1" w:styleId="CommentTextChar">
    <w:name w:val="Comment Text Char"/>
    <w:basedOn w:val="DefaultParagraphFont"/>
    <w:link w:val="CommentText"/>
    <w:uiPriority w:val="99"/>
    <w:rsid w:val="00793106"/>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106"/>
    <w:rPr>
      <w:b/>
      <w:bCs/>
    </w:rPr>
  </w:style>
  <w:style w:type="character" w:customStyle="1" w:styleId="CommentSubjectChar">
    <w:name w:val="Comment Subject Char"/>
    <w:basedOn w:val="CommentTextChar"/>
    <w:link w:val="CommentSubject"/>
    <w:uiPriority w:val="99"/>
    <w:semiHidden/>
    <w:rsid w:val="00793106"/>
    <w:rPr>
      <w:rFonts w:ascii="Trebuchet MS" w:eastAsia="Times New Roman" w:hAnsi="Trebuchet MS" w:cs="Times New Roman"/>
      <w:b/>
      <w:bCs/>
      <w:sz w:val="20"/>
      <w:szCs w:val="20"/>
      <w:lang w:eastAsia="en-AU"/>
    </w:rPr>
  </w:style>
  <w:style w:type="character" w:styleId="Hyperlink">
    <w:name w:val="Hyperlink"/>
    <w:basedOn w:val="DefaultParagraphFont"/>
    <w:uiPriority w:val="99"/>
    <w:unhideWhenUsed/>
    <w:rsid w:val="00793106"/>
    <w:rPr>
      <w:color w:val="0000FF" w:themeColor="hyperlink"/>
      <w:u w:val="single"/>
    </w:rPr>
  </w:style>
  <w:style w:type="character" w:styleId="FollowedHyperlink">
    <w:name w:val="FollowedHyperlink"/>
    <w:basedOn w:val="DefaultParagraphFont"/>
    <w:uiPriority w:val="99"/>
    <w:semiHidden/>
    <w:unhideWhenUsed/>
    <w:rsid w:val="00751D6B"/>
    <w:rPr>
      <w:color w:val="800080" w:themeColor="followedHyperlink"/>
      <w:u w:val="single"/>
    </w:rPr>
  </w:style>
  <w:style w:type="paragraph" w:styleId="ListParagraph">
    <w:name w:val="List Paragraph"/>
    <w:basedOn w:val="Normal"/>
    <w:uiPriority w:val="34"/>
    <w:rsid w:val="00133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4304</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Puli</dc:creator>
  <cp:keywords>[SEC=UNCLASSIFIED]</cp:keywords>
  <dc:description/>
  <cp:lastModifiedBy>Toni Michalis</cp:lastModifiedBy>
  <cp:revision>2</cp:revision>
  <cp:lastPrinted>2011-01-23T23:50:00Z</cp:lastPrinted>
  <dcterms:created xsi:type="dcterms:W3CDTF">2016-10-26T09:33:00Z</dcterms:created>
  <dcterms:modified xsi:type="dcterms:W3CDTF">2016-10-26T09:33:00Z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37815223916A28A34C6DB8CE12608F0FF3C1EBB1</vt:lpwstr>
  </property>
  <property fmtid="{D5CDD505-2E9C-101B-9397-08002B2CF9AE}" pid="7" name="PM_InsertionValue">
    <vt:lpwstr>UNCLASSIFIED</vt:lpwstr>
  </property>
  <property fmtid="{D5CDD505-2E9C-101B-9397-08002B2CF9AE}" pid="8" name="PM_Hash_Salt">
    <vt:lpwstr>FFD35161A0319D9434073B0A48C4AE54</vt:lpwstr>
  </property>
  <property fmtid="{D5CDD505-2E9C-101B-9397-08002B2CF9AE}" pid="9" name="PM_Hash_Version">
    <vt:lpwstr>2014.2</vt:lpwstr>
  </property>
  <property fmtid="{D5CDD505-2E9C-101B-9397-08002B2CF9AE}" pid="10" name="PM_Hash_Salt_Prev">
    <vt:lpwstr>33C0D423009ECA0384B9089AABE6226E</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ies>
</file>