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DEB9C" w14:textId="3BC700E2" w:rsidR="002436BD" w:rsidRPr="002C6D26" w:rsidRDefault="00DB543A" w:rsidP="008E5D4C">
      <w:pPr>
        <w:pStyle w:val="Heading"/>
        <w:jc w:val="center"/>
        <w:rPr>
          <w:sz w:val="24"/>
          <w:szCs w:val="24"/>
        </w:rPr>
      </w:pPr>
      <w:bookmarkStart w:id="0" w:name="_GoBack"/>
      <w:bookmarkEnd w:id="0"/>
      <w:r>
        <w:rPr>
          <w:sz w:val="24"/>
          <w:szCs w:val="24"/>
        </w:rPr>
        <w:t xml:space="preserve">Superannuation </w:t>
      </w:r>
      <w:r w:rsidR="00EA09EA">
        <w:rPr>
          <w:sz w:val="24"/>
          <w:szCs w:val="24"/>
        </w:rPr>
        <w:t xml:space="preserve">(prudential standard) </w:t>
      </w:r>
      <w:r w:rsidR="002436BD" w:rsidRPr="002C6D26">
        <w:rPr>
          <w:sz w:val="24"/>
          <w:szCs w:val="24"/>
        </w:rPr>
        <w:t xml:space="preserve">determination No. </w:t>
      </w:r>
      <w:r w:rsidR="00EE04DD">
        <w:rPr>
          <w:sz w:val="24"/>
          <w:szCs w:val="24"/>
        </w:rPr>
        <w:t>1</w:t>
      </w:r>
      <w:r w:rsidR="006C2152">
        <w:rPr>
          <w:sz w:val="24"/>
          <w:szCs w:val="24"/>
        </w:rPr>
        <w:t xml:space="preserve"> </w:t>
      </w:r>
      <w:r w:rsidR="002436BD" w:rsidRPr="002C6D26">
        <w:rPr>
          <w:sz w:val="24"/>
          <w:szCs w:val="24"/>
        </w:rPr>
        <w:t>of 20</w:t>
      </w:r>
      <w:r w:rsidR="00544620">
        <w:rPr>
          <w:sz w:val="24"/>
          <w:szCs w:val="24"/>
        </w:rPr>
        <w:t>16</w:t>
      </w:r>
    </w:p>
    <w:p w14:paraId="19847C11" w14:textId="77777777" w:rsidR="002436BD" w:rsidRPr="002C6D26" w:rsidRDefault="002436BD" w:rsidP="008E5D4C">
      <w:pPr>
        <w:pStyle w:val="Heading"/>
        <w:tabs>
          <w:tab w:val="left" w:pos="360"/>
        </w:tabs>
        <w:jc w:val="center"/>
        <w:rPr>
          <w:sz w:val="24"/>
          <w:szCs w:val="24"/>
          <w:u w:val="single"/>
        </w:rPr>
      </w:pPr>
      <w:bookmarkStart w:id="1" w:name="bkInstrumentSubTitle"/>
      <w:bookmarkEnd w:id="1"/>
      <w:r w:rsidRPr="002C6D26">
        <w:rPr>
          <w:sz w:val="24"/>
          <w:szCs w:val="24"/>
          <w:u w:val="single"/>
        </w:rPr>
        <w:t>EXPLANATORY STATEMENT</w:t>
      </w:r>
    </w:p>
    <w:p w14:paraId="0A985B17" w14:textId="77777777" w:rsidR="002436BD" w:rsidRPr="002C6D26" w:rsidRDefault="002436BD" w:rsidP="008E5D4C">
      <w:pPr>
        <w:pStyle w:val="Heading"/>
        <w:jc w:val="center"/>
        <w:rPr>
          <w:sz w:val="24"/>
          <w:szCs w:val="24"/>
        </w:rPr>
      </w:pPr>
      <w:r w:rsidRPr="002C6D26">
        <w:rPr>
          <w:sz w:val="24"/>
          <w:szCs w:val="24"/>
        </w:rPr>
        <w:t>Prepared by the Australian Prudential Regulation Authority (APRA)</w:t>
      </w:r>
    </w:p>
    <w:p w14:paraId="11EB3CB4" w14:textId="77777777" w:rsidR="002436BD" w:rsidRDefault="00DB543A" w:rsidP="008E5D4C">
      <w:pPr>
        <w:pStyle w:val="Heading"/>
        <w:tabs>
          <w:tab w:val="left" w:pos="360"/>
        </w:tabs>
        <w:jc w:val="center"/>
        <w:rPr>
          <w:b w:val="0"/>
          <w:color w:val="000000"/>
          <w:sz w:val="24"/>
          <w:szCs w:val="24"/>
        </w:rPr>
      </w:pPr>
      <w:r>
        <w:rPr>
          <w:b w:val="0"/>
          <w:i/>
          <w:sz w:val="24"/>
          <w:szCs w:val="24"/>
        </w:rPr>
        <w:t xml:space="preserve">Superannuation Industry (Supervision) </w:t>
      </w:r>
      <w:r w:rsidR="002436BD" w:rsidRPr="002C6D26">
        <w:rPr>
          <w:b w:val="0"/>
          <w:i/>
          <w:sz w:val="24"/>
          <w:szCs w:val="24"/>
        </w:rPr>
        <w:t xml:space="preserve">Act </w:t>
      </w:r>
      <w:r>
        <w:rPr>
          <w:b w:val="0"/>
          <w:i/>
          <w:sz w:val="24"/>
          <w:szCs w:val="24"/>
        </w:rPr>
        <w:t>1993</w:t>
      </w:r>
      <w:r w:rsidR="002436BD" w:rsidRPr="002C6D26">
        <w:rPr>
          <w:b w:val="0"/>
          <w:sz w:val="24"/>
          <w:szCs w:val="24"/>
        </w:rPr>
        <w:t xml:space="preserve">, </w:t>
      </w:r>
      <w:r>
        <w:rPr>
          <w:b w:val="0"/>
          <w:color w:val="000000"/>
          <w:sz w:val="24"/>
          <w:szCs w:val="24"/>
        </w:rPr>
        <w:t>section 34C</w:t>
      </w:r>
    </w:p>
    <w:p w14:paraId="189BC5E7" w14:textId="0ADA5C42" w:rsidR="00C4272D" w:rsidRPr="002C6D26" w:rsidRDefault="00C4272D" w:rsidP="00C4272D">
      <w:pPr>
        <w:widowControl w:val="0"/>
        <w:rPr>
          <w:szCs w:val="24"/>
        </w:rPr>
      </w:pPr>
      <w:bookmarkStart w:id="2" w:name="bkAct"/>
      <w:bookmarkStart w:id="3" w:name="bkExplanatory"/>
      <w:bookmarkEnd w:id="2"/>
      <w:bookmarkEnd w:id="3"/>
      <w:r w:rsidRPr="002C6D26">
        <w:rPr>
          <w:szCs w:val="24"/>
        </w:rPr>
        <w:t>Under subsection</w:t>
      </w:r>
      <w:r>
        <w:rPr>
          <w:szCs w:val="24"/>
        </w:rPr>
        <w:t xml:space="preserve"> 34C(1)</w:t>
      </w:r>
      <w:r w:rsidRPr="002C6D26">
        <w:rPr>
          <w:szCs w:val="24"/>
        </w:rPr>
        <w:t xml:space="preserve"> of the </w:t>
      </w:r>
      <w:r>
        <w:rPr>
          <w:i/>
          <w:szCs w:val="24"/>
        </w:rPr>
        <w:t xml:space="preserve">Superannuation Industry (Supervision) Act 1993 </w:t>
      </w:r>
      <w:r>
        <w:rPr>
          <w:szCs w:val="24"/>
        </w:rPr>
        <w:t>(the Act)</w:t>
      </w:r>
      <w:r w:rsidRPr="007428D4">
        <w:rPr>
          <w:szCs w:val="24"/>
        </w:rPr>
        <w:t>,</w:t>
      </w:r>
      <w:r w:rsidRPr="002C6D26">
        <w:rPr>
          <w:szCs w:val="24"/>
        </w:rPr>
        <w:t xml:space="preserve"> APRA has the power to determine standards </w:t>
      </w:r>
      <w:r w:rsidRPr="007428D4">
        <w:rPr>
          <w:szCs w:val="24"/>
        </w:rPr>
        <w:t>(prudential standards),</w:t>
      </w:r>
      <w:r w:rsidRPr="002C6D26">
        <w:rPr>
          <w:szCs w:val="24"/>
        </w:rPr>
        <w:t xml:space="preserve"> in writing, in relation to prudential matters to be complied with by </w:t>
      </w:r>
      <w:r>
        <w:rPr>
          <w:szCs w:val="24"/>
        </w:rPr>
        <w:t>RSE licensees of registrable superannuation entities (RSEs)</w:t>
      </w:r>
      <w:r w:rsidRPr="007428D4">
        <w:rPr>
          <w:szCs w:val="24"/>
        </w:rPr>
        <w:t>.</w:t>
      </w:r>
      <w:r w:rsidRPr="00F30C81">
        <w:rPr>
          <w:szCs w:val="24"/>
        </w:rPr>
        <w:t xml:space="preserve"> Under s</w:t>
      </w:r>
      <w:r>
        <w:rPr>
          <w:szCs w:val="24"/>
        </w:rPr>
        <w:t>ubsection 34C(6)</w:t>
      </w:r>
      <w:r w:rsidRPr="00F30C81">
        <w:rPr>
          <w:szCs w:val="24"/>
        </w:rPr>
        <w:t xml:space="preserve"> of the Act, APRA may, in writing, vary or revoke a prudential standard.</w:t>
      </w:r>
    </w:p>
    <w:p w14:paraId="2D95FC65" w14:textId="3F837D25" w:rsidR="00C4272D" w:rsidRDefault="00C4272D" w:rsidP="00C4272D">
      <w:pPr>
        <w:widowControl w:val="0"/>
        <w:rPr>
          <w:szCs w:val="24"/>
        </w:rPr>
      </w:pPr>
      <w:r>
        <w:rPr>
          <w:szCs w:val="24"/>
        </w:rPr>
        <w:t xml:space="preserve">On </w:t>
      </w:r>
      <w:r w:rsidR="00396A23">
        <w:rPr>
          <w:szCs w:val="24"/>
        </w:rPr>
        <w:t xml:space="preserve">31 October </w:t>
      </w:r>
      <w:r w:rsidRPr="00396A23">
        <w:rPr>
          <w:szCs w:val="24"/>
        </w:rPr>
        <w:t>2016</w:t>
      </w:r>
      <w:r>
        <w:rPr>
          <w:szCs w:val="24"/>
        </w:rPr>
        <w:t xml:space="preserve">, APRA made </w:t>
      </w:r>
      <w:r w:rsidRPr="00C4272D">
        <w:rPr>
          <w:szCs w:val="24"/>
        </w:rPr>
        <w:t>Superannuation (prudential standard) determination No. 1 of 2016</w:t>
      </w:r>
      <w:r w:rsidRPr="002C6D26">
        <w:rPr>
          <w:szCs w:val="24"/>
        </w:rPr>
        <w:t xml:space="preserve"> </w:t>
      </w:r>
      <w:r>
        <w:rPr>
          <w:szCs w:val="24"/>
        </w:rPr>
        <w:t xml:space="preserve">(the instrument) which revokes </w:t>
      </w:r>
      <w:r w:rsidRPr="009927BF">
        <w:rPr>
          <w:i/>
          <w:szCs w:val="24"/>
        </w:rPr>
        <w:t xml:space="preserve">Prudential Standard </w:t>
      </w:r>
      <w:r>
        <w:rPr>
          <w:i/>
          <w:szCs w:val="24"/>
        </w:rPr>
        <w:t>SPS 510 Governance</w:t>
      </w:r>
      <w:r w:rsidRPr="009927BF">
        <w:rPr>
          <w:szCs w:val="24"/>
        </w:rPr>
        <w:t xml:space="preserve"> </w:t>
      </w:r>
      <w:r>
        <w:rPr>
          <w:szCs w:val="24"/>
        </w:rPr>
        <w:t xml:space="preserve">made </w:t>
      </w:r>
      <w:r w:rsidRPr="009927BF">
        <w:rPr>
          <w:szCs w:val="24"/>
        </w:rPr>
        <w:t xml:space="preserve">under </w:t>
      </w:r>
      <w:r>
        <w:rPr>
          <w:szCs w:val="24"/>
        </w:rPr>
        <w:t xml:space="preserve">Superannuation (prudential standard) determination No. 6 of 2012 and </w:t>
      </w:r>
      <w:r w:rsidRPr="002C6D26">
        <w:rPr>
          <w:szCs w:val="24"/>
        </w:rPr>
        <w:t xml:space="preserve">determines </w:t>
      </w:r>
      <w:r>
        <w:rPr>
          <w:szCs w:val="24"/>
        </w:rPr>
        <w:t xml:space="preserve">a new </w:t>
      </w:r>
      <w:r>
        <w:rPr>
          <w:i/>
          <w:szCs w:val="24"/>
        </w:rPr>
        <w:t>Prudential Standard</w:t>
      </w:r>
      <w:r w:rsidRPr="00246723">
        <w:rPr>
          <w:szCs w:val="24"/>
        </w:rPr>
        <w:t xml:space="preserve"> </w:t>
      </w:r>
      <w:r>
        <w:rPr>
          <w:i/>
          <w:szCs w:val="24"/>
        </w:rPr>
        <w:t xml:space="preserve">SPS 510 Governance </w:t>
      </w:r>
      <w:r>
        <w:rPr>
          <w:szCs w:val="24"/>
        </w:rPr>
        <w:t>(SPS 510).</w:t>
      </w:r>
      <w:r w:rsidRPr="00003D3A">
        <w:t xml:space="preserve"> </w:t>
      </w:r>
    </w:p>
    <w:p w14:paraId="5E9FBB5F" w14:textId="77777777" w:rsidR="00246723" w:rsidRDefault="00625842" w:rsidP="00796A67">
      <w:pPr>
        <w:widowControl w:val="0"/>
        <w:rPr>
          <w:szCs w:val="24"/>
        </w:rPr>
      </w:pPr>
      <w:r>
        <w:rPr>
          <w:szCs w:val="24"/>
        </w:rPr>
        <w:t>The instrument</w:t>
      </w:r>
      <w:r w:rsidR="00AC7A56">
        <w:rPr>
          <w:szCs w:val="24"/>
        </w:rPr>
        <w:t xml:space="preserve"> commence</w:t>
      </w:r>
      <w:r>
        <w:rPr>
          <w:szCs w:val="24"/>
        </w:rPr>
        <w:t>s</w:t>
      </w:r>
      <w:r w:rsidR="00AC7A56">
        <w:rPr>
          <w:szCs w:val="24"/>
        </w:rPr>
        <w:t xml:space="preserve"> on</w:t>
      </w:r>
      <w:r w:rsidR="00673F46">
        <w:rPr>
          <w:szCs w:val="24"/>
        </w:rPr>
        <w:t xml:space="preserve"> 1 July 2017</w:t>
      </w:r>
      <w:r w:rsidR="00AC7A56" w:rsidRPr="002C6D26">
        <w:rPr>
          <w:szCs w:val="24"/>
        </w:rPr>
        <w:t>.</w:t>
      </w:r>
      <w:r w:rsidR="00AC7A56">
        <w:rPr>
          <w:szCs w:val="24"/>
        </w:rPr>
        <w:tab/>
      </w:r>
    </w:p>
    <w:p w14:paraId="30E41144" w14:textId="77777777" w:rsidR="002436BD" w:rsidRDefault="002436BD" w:rsidP="00334D28">
      <w:pPr>
        <w:pStyle w:val="Heading"/>
        <w:keepNext/>
        <w:numPr>
          <w:ilvl w:val="0"/>
          <w:numId w:val="1"/>
        </w:numPr>
        <w:ind w:left="0" w:firstLine="0"/>
        <w:outlineLvl w:val="0"/>
        <w:rPr>
          <w:sz w:val="24"/>
          <w:szCs w:val="24"/>
        </w:rPr>
      </w:pPr>
      <w:r w:rsidRPr="002C6D26">
        <w:rPr>
          <w:sz w:val="24"/>
          <w:szCs w:val="24"/>
        </w:rPr>
        <w:t>Background</w:t>
      </w:r>
    </w:p>
    <w:p w14:paraId="38772ACE" w14:textId="2E2A872E" w:rsidR="00D437E6" w:rsidRDefault="006F3972" w:rsidP="00796A67">
      <w:pPr>
        <w:pStyle w:val="Heading"/>
        <w:keepNext/>
        <w:outlineLvl w:val="0"/>
        <w:rPr>
          <w:b w:val="0"/>
          <w:sz w:val="24"/>
          <w:szCs w:val="24"/>
        </w:rPr>
      </w:pPr>
      <w:r w:rsidRPr="006F3972">
        <w:rPr>
          <w:b w:val="0"/>
          <w:sz w:val="24"/>
          <w:szCs w:val="24"/>
        </w:rPr>
        <w:t xml:space="preserve">SPS 510 </w:t>
      </w:r>
      <w:r w:rsidR="004064B9">
        <w:rPr>
          <w:b w:val="0"/>
          <w:sz w:val="24"/>
          <w:szCs w:val="24"/>
        </w:rPr>
        <w:t xml:space="preserve">was </w:t>
      </w:r>
      <w:r w:rsidRPr="006F3972">
        <w:rPr>
          <w:b w:val="0"/>
          <w:sz w:val="24"/>
          <w:szCs w:val="24"/>
        </w:rPr>
        <w:t xml:space="preserve">introduced </w:t>
      </w:r>
      <w:r w:rsidR="00F63A2E">
        <w:rPr>
          <w:b w:val="0"/>
          <w:sz w:val="24"/>
          <w:szCs w:val="24"/>
        </w:rPr>
        <w:t>in 2012</w:t>
      </w:r>
      <w:r w:rsidRPr="006F3972">
        <w:rPr>
          <w:b w:val="0"/>
          <w:sz w:val="24"/>
          <w:szCs w:val="24"/>
        </w:rPr>
        <w:t xml:space="preserve">, as part of </w:t>
      </w:r>
      <w:r w:rsidR="00F63A2E">
        <w:rPr>
          <w:b w:val="0"/>
          <w:sz w:val="24"/>
          <w:szCs w:val="24"/>
        </w:rPr>
        <w:t xml:space="preserve">a </w:t>
      </w:r>
      <w:r w:rsidRPr="006F3972">
        <w:rPr>
          <w:b w:val="0"/>
          <w:sz w:val="24"/>
          <w:szCs w:val="24"/>
        </w:rPr>
        <w:t xml:space="preserve">package of new prudential standards </w:t>
      </w:r>
      <w:r w:rsidR="00F63A2E">
        <w:rPr>
          <w:b w:val="0"/>
          <w:sz w:val="24"/>
          <w:szCs w:val="24"/>
        </w:rPr>
        <w:t>applying to RSE licensees</w:t>
      </w:r>
      <w:r w:rsidR="006417D0">
        <w:rPr>
          <w:b w:val="0"/>
          <w:sz w:val="24"/>
          <w:szCs w:val="24"/>
        </w:rPr>
        <w:t xml:space="preserve">. </w:t>
      </w:r>
      <w:r w:rsidR="00F63A2E">
        <w:rPr>
          <w:b w:val="0"/>
          <w:sz w:val="24"/>
          <w:szCs w:val="24"/>
        </w:rPr>
        <w:t>APRA was granted pow</w:t>
      </w:r>
      <w:r w:rsidR="00D437E6">
        <w:rPr>
          <w:b w:val="0"/>
          <w:sz w:val="24"/>
          <w:szCs w:val="24"/>
        </w:rPr>
        <w:t xml:space="preserve">er to make prudential standards </w:t>
      </w:r>
      <w:r w:rsidR="00934C4B">
        <w:rPr>
          <w:b w:val="0"/>
          <w:sz w:val="24"/>
          <w:szCs w:val="24"/>
        </w:rPr>
        <w:t xml:space="preserve">applying to RSE licensees </w:t>
      </w:r>
      <w:r w:rsidR="00D437E6">
        <w:rPr>
          <w:b w:val="0"/>
          <w:sz w:val="24"/>
          <w:szCs w:val="24"/>
        </w:rPr>
        <w:t xml:space="preserve">in 2012. The introduction of SPS 510 was </w:t>
      </w:r>
      <w:r w:rsidR="00594789">
        <w:rPr>
          <w:b w:val="0"/>
          <w:sz w:val="24"/>
          <w:szCs w:val="24"/>
        </w:rPr>
        <w:t xml:space="preserve">one of a large number </w:t>
      </w:r>
      <w:r w:rsidR="00D437E6">
        <w:rPr>
          <w:b w:val="0"/>
          <w:sz w:val="24"/>
          <w:szCs w:val="24"/>
        </w:rPr>
        <w:t xml:space="preserve">of significant amendments to the prudential framework for superannuation to strengthen prudential requirements </w:t>
      </w:r>
      <w:r w:rsidR="00934C4B">
        <w:rPr>
          <w:b w:val="0"/>
          <w:sz w:val="24"/>
          <w:szCs w:val="24"/>
        </w:rPr>
        <w:t xml:space="preserve">applying to RSE licensees </w:t>
      </w:r>
      <w:r w:rsidR="00D437E6">
        <w:rPr>
          <w:b w:val="0"/>
          <w:sz w:val="24"/>
          <w:szCs w:val="24"/>
        </w:rPr>
        <w:t xml:space="preserve">and support the amendments </w:t>
      </w:r>
      <w:r w:rsidR="00B048E9">
        <w:rPr>
          <w:b w:val="0"/>
          <w:sz w:val="24"/>
          <w:szCs w:val="24"/>
        </w:rPr>
        <w:t xml:space="preserve">to the legislative framework </w:t>
      </w:r>
      <w:r w:rsidR="00594789">
        <w:rPr>
          <w:b w:val="0"/>
          <w:sz w:val="24"/>
          <w:szCs w:val="24"/>
        </w:rPr>
        <w:t xml:space="preserve">arising from </w:t>
      </w:r>
      <w:r w:rsidR="00B048E9">
        <w:rPr>
          <w:b w:val="0"/>
          <w:sz w:val="24"/>
          <w:szCs w:val="24"/>
        </w:rPr>
        <w:t xml:space="preserve">the </w:t>
      </w:r>
      <w:r w:rsidR="00D437E6">
        <w:rPr>
          <w:b w:val="0"/>
          <w:sz w:val="24"/>
          <w:szCs w:val="24"/>
        </w:rPr>
        <w:t>Government</w:t>
      </w:r>
      <w:r w:rsidR="00033D34">
        <w:rPr>
          <w:b w:val="0"/>
          <w:sz w:val="24"/>
          <w:szCs w:val="24"/>
        </w:rPr>
        <w:t>’s</w:t>
      </w:r>
      <w:r w:rsidR="00D437E6">
        <w:rPr>
          <w:b w:val="0"/>
          <w:sz w:val="24"/>
          <w:szCs w:val="24"/>
        </w:rPr>
        <w:t xml:space="preserve"> Strong</w:t>
      </w:r>
      <w:r w:rsidR="00033D34">
        <w:rPr>
          <w:b w:val="0"/>
          <w:sz w:val="24"/>
          <w:szCs w:val="24"/>
        </w:rPr>
        <w:t>er</w:t>
      </w:r>
      <w:r w:rsidR="00D437E6">
        <w:rPr>
          <w:b w:val="0"/>
          <w:sz w:val="24"/>
          <w:szCs w:val="24"/>
        </w:rPr>
        <w:t xml:space="preserve"> Super reforms. </w:t>
      </w:r>
    </w:p>
    <w:p w14:paraId="4EB1F727" w14:textId="4ABE4D67" w:rsidR="00B048E9" w:rsidRDefault="00B048E9" w:rsidP="00796A67">
      <w:pPr>
        <w:pStyle w:val="Heading"/>
        <w:keepNext/>
        <w:outlineLvl w:val="0"/>
        <w:rPr>
          <w:b w:val="0"/>
          <w:sz w:val="24"/>
          <w:szCs w:val="24"/>
        </w:rPr>
      </w:pPr>
      <w:r>
        <w:rPr>
          <w:b w:val="0"/>
          <w:sz w:val="24"/>
          <w:szCs w:val="24"/>
        </w:rPr>
        <w:t>APRA has review</w:t>
      </w:r>
      <w:r w:rsidR="00934C4B">
        <w:rPr>
          <w:b w:val="0"/>
          <w:sz w:val="24"/>
          <w:szCs w:val="24"/>
        </w:rPr>
        <w:t>ed</w:t>
      </w:r>
      <w:r>
        <w:rPr>
          <w:b w:val="0"/>
          <w:sz w:val="24"/>
          <w:szCs w:val="24"/>
        </w:rPr>
        <w:t xml:space="preserve"> the prudential </w:t>
      </w:r>
      <w:r w:rsidR="00934C4B">
        <w:rPr>
          <w:b w:val="0"/>
          <w:sz w:val="24"/>
          <w:szCs w:val="24"/>
        </w:rPr>
        <w:t xml:space="preserve">requirements </w:t>
      </w:r>
      <w:r w:rsidR="00C55409">
        <w:rPr>
          <w:b w:val="0"/>
          <w:sz w:val="24"/>
          <w:szCs w:val="24"/>
        </w:rPr>
        <w:t xml:space="preserve">relating to governance for RSE licensees and has </w:t>
      </w:r>
      <w:r w:rsidR="00934C4B">
        <w:rPr>
          <w:b w:val="0"/>
          <w:sz w:val="24"/>
          <w:szCs w:val="24"/>
        </w:rPr>
        <w:t xml:space="preserve">enhanced obligations </w:t>
      </w:r>
      <w:r w:rsidR="00C55409">
        <w:rPr>
          <w:b w:val="0"/>
          <w:sz w:val="24"/>
          <w:szCs w:val="24"/>
        </w:rPr>
        <w:t>relating to the management of governance risks in SPS 510</w:t>
      </w:r>
      <w:r w:rsidR="00934C4B">
        <w:rPr>
          <w:b w:val="0"/>
          <w:sz w:val="24"/>
          <w:szCs w:val="24"/>
        </w:rPr>
        <w:t xml:space="preserve">. </w:t>
      </w:r>
      <w:r w:rsidR="00C55409">
        <w:rPr>
          <w:b w:val="0"/>
          <w:sz w:val="24"/>
          <w:szCs w:val="24"/>
        </w:rPr>
        <w:t xml:space="preserve"> </w:t>
      </w:r>
    </w:p>
    <w:p w14:paraId="1C63769A" w14:textId="77777777" w:rsidR="002436BD" w:rsidRDefault="002436BD" w:rsidP="00334D28">
      <w:pPr>
        <w:pStyle w:val="Heading"/>
        <w:keepNext/>
        <w:numPr>
          <w:ilvl w:val="0"/>
          <w:numId w:val="1"/>
        </w:numPr>
        <w:ind w:left="0" w:firstLine="0"/>
        <w:outlineLvl w:val="0"/>
        <w:rPr>
          <w:sz w:val="24"/>
          <w:szCs w:val="24"/>
        </w:rPr>
      </w:pPr>
      <w:bookmarkStart w:id="4" w:name="bkBackground"/>
      <w:bookmarkEnd w:id="4"/>
      <w:r w:rsidRPr="002C6D26">
        <w:rPr>
          <w:sz w:val="24"/>
          <w:szCs w:val="24"/>
        </w:rPr>
        <w:t xml:space="preserve">Purpose </w:t>
      </w:r>
      <w:r w:rsidR="00DF524E">
        <w:rPr>
          <w:sz w:val="24"/>
          <w:szCs w:val="24"/>
        </w:rPr>
        <w:t xml:space="preserve">and operation </w:t>
      </w:r>
      <w:r w:rsidRPr="002C6D26">
        <w:rPr>
          <w:sz w:val="24"/>
          <w:szCs w:val="24"/>
        </w:rPr>
        <w:t>of the instrument</w:t>
      </w:r>
      <w:r w:rsidR="000645D5">
        <w:rPr>
          <w:sz w:val="24"/>
          <w:szCs w:val="24"/>
        </w:rPr>
        <w:t>s</w:t>
      </w:r>
    </w:p>
    <w:p w14:paraId="2EC9A6D9" w14:textId="3A713DF5" w:rsidR="00790740" w:rsidRDefault="002726D0" w:rsidP="0075713B">
      <w:pPr>
        <w:pStyle w:val="Heading"/>
        <w:rPr>
          <w:b w:val="0"/>
          <w:sz w:val="24"/>
          <w:szCs w:val="24"/>
        </w:rPr>
      </w:pPr>
      <w:bookmarkStart w:id="5" w:name="bkPurpose"/>
      <w:bookmarkEnd w:id="5"/>
      <w:r w:rsidRPr="009D1AD4">
        <w:rPr>
          <w:b w:val="0"/>
          <w:sz w:val="24"/>
          <w:szCs w:val="24"/>
        </w:rPr>
        <w:t>The</w:t>
      </w:r>
      <w:r w:rsidR="00270D58">
        <w:rPr>
          <w:b w:val="0"/>
          <w:sz w:val="24"/>
          <w:szCs w:val="24"/>
        </w:rPr>
        <w:t xml:space="preserve"> purpose of this</w:t>
      </w:r>
      <w:r w:rsidRPr="009D1AD4">
        <w:rPr>
          <w:b w:val="0"/>
          <w:sz w:val="24"/>
          <w:szCs w:val="24"/>
        </w:rPr>
        <w:t xml:space="preserve"> instrument is to</w:t>
      </w:r>
      <w:r w:rsidR="00C1778A">
        <w:rPr>
          <w:b w:val="0"/>
          <w:sz w:val="24"/>
          <w:szCs w:val="24"/>
        </w:rPr>
        <w:t xml:space="preserve"> </w:t>
      </w:r>
      <w:r w:rsidR="00790740">
        <w:rPr>
          <w:b w:val="0"/>
          <w:sz w:val="24"/>
          <w:szCs w:val="24"/>
        </w:rPr>
        <w:t xml:space="preserve">amend SPS 510, which sets out requirements for minimum foundations of good governance of an RSE licensee. The key </w:t>
      </w:r>
      <w:r w:rsidR="00934C4B">
        <w:rPr>
          <w:b w:val="0"/>
          <w:sz w:val="24"/>
          <w:szCs w:val="24"/>
        </w:rPr>
        <w:t xml:space="preserve">new </w:t>
      </w:r>
      <w:r w:rsidR="00790740">
        <w:rPr>
          <w:b w:val="0"/>
          <w:sz w:val="24"/>
          <w:szCs w:val="24"/>
        </w:rPr>
        <w:t xml:space="preserve">requirements </w:t>
      </w:r>
      <w:r w:rsidR="00934C4B">
        <w:rPr>
          <w:b w:val="0"/>
          <w:sz w:val="24"/>
          <w:szCs w:val="24"/>
        </w:rPr>
        <w:t>in</w:t>
      </w:r>
      <w:r w:rsidR="00F87BEC">
        <w:rPr>
          <w:b w:val="0"/>
          <w:sz w:val="24"/>
          <w:szCs w:val="24"/>
        </w:rPr>
        <w:t xml:space="preserve"> SPS 510 are that the Board of an </w:t>
      </w:r>
      <w:r w:rsidR="00790740">
        <w:rPr>
          <w:b w:val="0"/>
          <w:sz w:val="24"/>
          <w:szCs w:val="24"/>
        </w:rPr>
        <w:t>RSE licensee must:</w:t>
      </w:r>
    </w:p>
    <w:p w14:paraId="09128F74" w14:textId="77777777" w:rsidR="00790740" w:rsidRDefault="00F87BEC" w:rsidP="00C20C09">
      <w:pPr>
        <w:pStyle w:val="Heading"/>
        <w:numPr>
          <w:ilvl w:val="0"/>
          <w:numId w:val="5"/>
        </w:numPr>
        <w:ind w:left="567" w:hanging="567"/>
        <w:rPr>
          <w:b w:val="0"/>
          <w:sz w:val="24"/>
          <w:szCs w:val="24"/>
        </w:rPr>
      </w:pPr>
      <w:r>
        <w:rPr>
          <w:b w:val="0"/>
          <w:sz w:val="24"/>
          <w:szCs w:val="24"/>
        </w:rPr>
        <w:t>h</w:t>
      </w:r>
      <w:r w:rsidR="00790740">
        <w:rPr>
          <w:b w:val="0"/>
          <w:sz w:val="24"/>
          <w:szCs w:val="24"/>
        </w:rPr>
        <w:t>ave a governance framework which includes, at a minimum, the Board’s charter (or equivalent document) and policies and processes that achieve appropriate skills, structure and composition of the Board;</w:t>
      </w:r>
      <w:r>
        <w:rPr>
          <w:b w:val="0"/>
          <w:sz w:val="24"/>
          <w:szCs w:val="24"/>
        </w:rPr>
        <w:t xml:space="preserve"> and </w:t>
      </w:r>
    </w:p>
    <w:p w14:paraId="28160698" w14:textId="77777777" w:rsidR="00790740" w:rsidRDefault="005B0946" w:rsidP="00C42FFD">
      <w:pPr>
        <w:pStyle w:val="Heading"/>
        <w:numPr>
          <w:ilvl w:val="0"/>
          <w:numId w:val="5"/>
        </w:numPr>
        <w:ind w:left="567" w:hanging="567"/>
        <w:rPr>
          <w:b w:val="0"/>
          <w:sz w:val="24"/>
          <w:szCs w:val="24"/>
        </w:rPr>
      </w:pPr>
      <w:r>
        <w:rPr>
          <w:b w:val="0"/>
          <w:sz w:val="24"/>
          <w:szCs w:val="24"/>
        </w:rPr>
        <w:t xml:space="preserve">have policies and processes </w:t>
      </w:r>
      <w:r w:rsidR="00F87BEC" w:rsidRPr="00F87BEC">
        <w:rPr>
          <w:b w:val="0"/>
          <w:sz w:val="24"/>
          <w:szCs w:val="24"/>
        </w:rPr>
        <w:t>relating to nomination, appointment and removal of directors that support appropriate Board composition and renewal on an ongoing basis.</w:t>
      </w:r>
    </w:p>
    <w:p w14:paraId="7007CA8F" w14:textId="1F1F6F61" w:rsidR="008619BD" w:rsidRDefault="00372195" w:rsidP="00F87BEC">
      <w:pPr>
        <w:pStyle w:val="Heading"/>
        <w:rPr>
          <w:b w:val="0"/>
          <w:sz w:val="24"/>
          <w:szCs w:val="24"/>
        </w:rPr>
      </w:pPr>
      <w:r>
        <w:rPr>
          <w:b w:val="0"/>
          <w:sz w:val="24"/>
          <w:szCs w:val="24"/>
        </w:rPr>
        <w:t xml:space="preserve">These amendments are designed to support improved governance </w:t>
      </w:r>
      <w:r w:rsidR="002726D0" w:rsidRPr="009D1AD4">
        <w:rPr>
          <w:b w:val="0"/>
          <w:sz w:val="24"/>
          <w:szCs w:val="24"/>
        </w:rPr>
        <w:t xml:space="preserve">practices </w:t>
      </w:r>
      <w:r>
        <w:rPr>
          <w:b w:val="0"/>
          <w:sz w:val="24"/>
          <w:szCs w:val="24"/>
        </w:rPr>
        <w:t xml:space="preserve">by </w:t>
      </w:r>
      <w:r w:rsidR="00790740">
        <w:rPr>
          <w:b w:val="0"/>
          <w:sz w:val="24"/>
          <w:szCs w:val="24"/>
        </w:rPr>
        <w:t xml:space="preserve">RSE licensees. </w:t>
      </w:r>
    </w:p>
    <w:p w14:paraId="75F2CBE1" w14:textId="77777777" w:rsidR="00957408" w:rsidRPr="00957408" w:rsidRDefault="00C1778A" w:rsidP="00957408">
      <w:r>
        <w:lastRenderedPageBreak/>
        <w:t>Where this prudential standard</w:t>
      </w:r>
      <w:r w:rsidR="00957408" w:rsidRPr="00C71EC5">
        <w:t xml:space="preserve"> incorporate</w:t>
      </w:r>
      <w:r>
        <w:t>s</w:t>
      </w:r>
      <w:r w:rsidR="00957408" w:rsidRPr="00C71EC5">
        <w:t xml:space="preserve"> by reference the requirements of another prudential standard, this is a reference to the prudential standard as it exists from time to time.</w:t>
      </w:r>
    </w:p>
    <w:p w14:paraId="7E84615C" w14:textId="77777777" w:rsidR="002436BD" w:rsidRDefault="002436BD" w:rsidP="00334D28">
      <w:pPr>
        <w:pStyle w:val="Heading"/>
        <w:numPr>
          <w:ilvl w:val="0"/>
          <w:numId w:val="1"/>
        </w:numPr>
        <w:rPr>
          <w:sz w:val="24"/>
          <w:szCs w:val="24"/>
        </w:rPr>
      </w:pPr>
      <w:bookmarkStart w:id="6" w:name="bkoperation"/>
      <w:bookmarkStart w:id="7" w:name="bkConsultationNo"/>
      <w:bookmarkEnd w:id="6"/>
      <w:bookmarkEnd w:id="7"/>
      <w:r w:rsidRPr="002D7B6D">
        <w:rPr>
          <w:sz w:val="24"/>
          <w:szCs w:val="24"/>
        </w:rPr>
        <w:t>Consultation</w:t>
      </w:r>
    </w:p>
    <w:p w14:paraId="5C9F3699" w14:textId="2D68720A" w:rsidR="001B433C" w:rsidRDefault="00372195" w:rsidP="00840510">
      <w:pPr>
        <w:pStyle w:val="Heading"/>
        <w:keepNext/>
        <w:outlineLvl w:val="0"/>
        <w:rPr>
          <w:b w:val="0"/>
          <w:sz w:val="24"/>
          <w:szCs w:val="24"/>
        </w:rPr>
      </w:pPr>
      <w:r>
        <w:rPr>
          <w:b w:val="0"/>
          <w:sz w:val="24"/>
          <w:szCs w:val="24"/>
        </w:rPr>
        <w:t>APRA consult</w:t>
      </w:r>
      <w:r w:rsidR="00934C4B">
        <w:rPr>
          <w:b w:val="0"/>
          <w:sz w:val="24"/>
          <w:szCs w:val="24"/>
        </w:rPr>
        <w:t>ed publicly</w:t>
      </w:r>
      <w:r>
        <w:rPr>
          <w:b w:val="0"/>
          <w:sz w:val="24"/>
          <w:szCs w:val="24"/>
        </w:rPr>
        <w:t xml:space="preserve"> on </w:t>
      </w:r>
      <w:r w:rsidR="00934C4B">
        <w:rPr>
          <w:b w:val="0"/>
          <w:sz w:val="24"/>
          <w:szCs w:val="24"/>
        </w:rPr>
        <w:t xml:space="preserve">the </w:t>
      </w:r>
      <w:r>
        <w:rPr>
          <w:b w:val="0"/>
          <w:sz w:val="24"/>
          <w:szCs w:val="24"/>
        </w:rPr>
        <w:t xml:space="preserve">changes </w:t>
      </w:r>
      <w:r w:rsidR="00934C4B">
        <w:rPr>
          <w:b w:val="0"/>
          <w:sz w:val="24"/>
          <w:szCs w:val="24"/>
        </w:rPr>
        <w:t xml:space="preserve">to SPS 510 </w:t>
      </w:r>
      <w:r>
        <w:rPr>
          <w:b w:val="0"/>
          <w:sz w:val="24"/>
          <w:szCs w:val="24"/>
        </w:rPr>
        <w:t xml:space="preserve">in </w:t>
      </w:r>
      <w:r w:rsidR="00934C4B">
        <w:rPr>
          <w:b w:val="0"/>
          <w:sz w:val="24"/>
          <w:szCs w:val="24"/>
        </w:rPr>
        <w:t>July-</w:t>
      </w:r>
      <w:r>
        <w:rPr>
          <w:b w:val="0"/>
          <w:sz w:val="24"/>
          <w:szCs w:val="24"/>
        </w:rPr>
        <w:t>August 2015</w:t>
      </w:r>
      <w:r w:rsidR="00934C4B">
        <w:rPr>
          <w:b w:val="0"/>
          <w:sz w:val="24"/>
          <w:szCs w:val="24"/>
        </w:rPr>
        <w:t xml:space="preserve">, with </w:t>
      </w:r>
      <w:r>
        <w:rPr>
          <w:b w:val="0"/>
          <w:sz w:val="24"/>
          <w:szCs w:val="24"/>
        </w:rPr>
        <w:t xml:space="preserve">eight submissions </w:t>
      </w:r>
      <w:r w:rsidR="001B433C">
        <w:rPr>
          <w:b w:val="0"/>
          <w:sz w:val="24"/>
          <w:szCs w:val="24"/>
        </w:rPr>
        <w:t>received</w:t>
      </w:r>
      <w:r>
        <w:rPr>
          <w:b w:val="0"/>
          <w:sz w:val="24"/>
          <w:szCs w:val="24"/>
        </w:rPr>
        <w:t>.</w:t>
      </w:r>
      <w:r w:rsidR="00840510">
        <w:rPr>
          <w:b w:val="0"/>
          <w:sz w:val="24"/>
          <w:szCs w:val="24"/>
        </w:rPr>
        <w:t xml:space="preserve"> Submissions </w:t>
      </w:r>
      <w:r w:rsidR="001B433C">
        <w:rPr>
          <w:b w:val="0"/>
          <w:sz w:val="24"/>
          <w:szCs w:val="24"/>
        </w:rPr>
        <w:t xml:space="preserve">were </w:t>
      </w:r>
      <w:r w:rsidR="00840510">
        <w:rPr>
          <w:b w:val="0"/>
          <w:sz w:val="24"/>
          <w:szCs w:val="24"/>
        </w:rPr>
        <w:t>received</w:t>
      </w:r>
      <w:r w:rsidR="001B433C">
        <w:rPr>
          <w:b w:val="0"/>
          <w:sz w:val="24"/>
          <w:szCs w:val="24"/>
        </w:rPr>
        <w:t xml:space="preserve"> from, and discussions held with, numerous RSE licensees and industry bodies. </w:t>
      </w:r>
    </w:p>
    <w:p w14:paraId="266D04F0" w14:textId="1AEBA295" w:rsidR="00934C4B" w:rsidRDefault="001B433C" w:rsidP="00840510">
      <w:pPr>
        <w:pStyle w:val="Heading"/>
        <w:keepNext/>
        <w:outlineLvl w:val="0"/>
        <w:rPr>
          <w:b w:val="0"/>
          <w:sz w:val="24"/>
          <w:szCs w:val="24"/>
        </w:rPr>
      </w:pPr>
      <w:r>
        <w:rPr>
          <w:b w:val="0"/>
          <w:sz w:val="24"/>
          <w:szCs w:val="24"/>
        </w:rPr>
        <w:t>Submissions largely supported the proposed changes to the governance framework.</w:t>
      </w:r>
    </w:p>
    <w:p w14:paraId="5B409C88" w14:textId="77777777" w:rsidR="002436BD" w:rsidRDefault="002436BD" w:rsidP="00334D28">
      <w:pPr>
        <w:pStyle w:val="Heading"/>
        <w:numPr>
          <w:ilvl w:val="0"/>
          <w:numId w:val="1"/>
        </w:numPr>
        <w:rPr>
          <w:sz w:val="24"/>
          <w:szCs w:val="24"/>
        </w:rPr>
      </w:pPr>
      <w:bookmarkStart w:id="8" w:name="bkConsultation"/>
      <w:bookmarkStart w:id="9" w:name="bkRISNO"/>
      <w:bookmarkStart w:id="10" w:name="bkRIS"/>
      <w:bookmarkEnd w:id="8"/>
      <w:bookmarkEnd w:id="9"/>
      <w:r w:rsidRPr="00EA3F2D">
        <w:rPr>
          <w:sz w:val="24"/>
          <w:szCs w:val="24"/>
        </w:rPr>
        <w:t>Regulation Impact Statem</w:t>
      </w:r>
      <w:r>
        <w:rPr>
          <w:sz w:val="24"/>
          <w:szCs w:val="24"/>
        </w:rPr>
        <w:t>ent</w:t>
      </w:r>
    </w:p>
    <w:bookmarkEnd w:id="10"/>
    <w:p w14:paraId="58C1E5AC" w14:textId="4B8E0295" w:rsidR="00840510" w:rsidRPr="00840510" w:rsidRDefault="00934C4B" w:rsidP="00C42FFD">
      <w:pPr>
        <w:pStyle w:val="Heading"/>
        <w:tabs>
          <w:tab w:val="left" w:pos="360"/>
        </w:tabs>
        <w:rPr>
          <w:b w:val="0"/>
          <w:sz w:val="24"/>
          <w:szCs w:val="24"/>
        </w:rPr>
      </w:pPr>
      <w:r w:rsidRPr="00934C4B">
        <w:rPr>
          <w:b w:val="0"/>
          <w:sz w:val="24"/>
          <w:szCs w:val="24"/>
        </w:rPr>
        <w:t>The Office of Best Practice Regulation has advised that a Regulation Impact Statement is not required for this legislative instrument.</w:t>
      </w:r>
      <w:r>
        <w:rPr>
          <w:b w:val="0"/>
          <w:sz w:val="24"/>
          <w:szCs w:val="24"/>
        </w:rPr>
        <w:t xml:space="preserve"> </w:t>
      </w:r>
    </w:p>
    <w:p w14:paraId="2194D047" w14:textId="77777777" w:rsidR="002436BD" w:rsidRPr="00B3165F" w:rsidRDefault="00DF524E" w:rsidP="008E5D4C">
      <w:pPr>
        <w:pStyle w:val="Heading"/>
        <w:tabs>
          <w:tab w:val="left" w:pos="360"/>
        </w:tabs>
        <w:rPr>
          <w:sz w:val="24"/>
          <w:szCs w:val="24"/>
        </w:rPr>
      </w:pPr>
      <w:r>
        <w:rPr>
          <w:sz w:val="24"/>
          <w:szCs w:val="24"/>
        </w:rPr>
        <w:t>5</w:t>
      </w:r>
      <w:r w:rsidR="002436BD" w:rsidRPr="00B3165F">
        <w:rPr>
          <w:sz w:val="24"/>
          <w:szCs w:val="24"/>
        </w:rPr>
        <w:t>.</w:t>
      </w:r>
      <w:r w:rsidR="002436BD" w:rsidRPr="00B3165F">
        <w:rPr>
          <w:sz w:val="24"/>
          <w:szCs w:val="24"/>
        </w:rPr>
        <w:tab/>
        <w:t>Statement of compatibility prepared in accordance with Part 3 of the Human Rights (Parliamentary Scrutiny) Act 2011</w:t>
      </w:r>
    </w:p>
    <w:p w14:paraId="6506F0A2" w14:textId="77777777" w:rsidR="00193D47" w:rsidRDefault="0030506B" w:rsidP="00413C89">
      <w:r w:rsidRPr="0030506B">
        <w:t xml:space="preserve">A Statement of compatibility prepared in accordance with Part 3 of the </w:t>
      </w:r>
      <w:r w:rsidRPr="0030506B">
        <w:rPr>
          <w:i/>
        </w:rPr>
        <w:t>Human Rights (Parliamentary Scrutiny) Act 2011</w:t>
      </w:r>
      <w:r w:rsidRPr="0030506B">
        <w:t xml:space="preserve"> is provided at Attachment A to this Explanatory Statement.</w:t>
      </w:r>
    </w:p>
    <w:p w14:paraId="564A6392" w14:textId="77777777" w:rsidR="00193D47" w:rsidRDefault="00193D47">
      <w:pPr>
        <w:spacing w:after="0"/>
        <w:jc w:val="left"/>
      </w:pPr>
      <w:r>
        <w:br w:type="page"/>
      </w:r>
    </w:p>
    <w:p w14:paraId="7EDAC761" w14:textId="77777777" w:rsidR="00193D47" w:rsidRDefault="00193D47" w:rsidP="00193D47">
      <w:r w:rsidRPr="00533FD5">
        <w:rPr>
          <w:u w:val="single"/>
          <w:lang w:val="en-GB"/>
        </w:rPr>
        <w:lastRenderedPageBreak/>
        <w:t>ATTACHMENT A</w:t>
      </w:r>
    </w:p>
    <w:p w14:paraId="2A1FD14C" w14:textId="77777777" w:rsidR="00193D47" w:rsidRPr="0022602E" w:rsidRDefault="00193D47" w:rsidP="00193D47">
      <w:pPr>
        <w:pStyle w:val="Heading"/>
        <w:jc w:val="center"/>
        <w:rPr>
          <w:sz w:val="24"/>
          <w:szCs w:val="24"/>
        </w:rPr>
      </w:pPr>
      <w:r w:rsidRPr="00533FD5">
        <w:rPr>
          <w:sz w:val="24"/>
          <w:szCs w:val="24"/>
        </w:rPr>
        <w:t>Statement of Compat</w:t>
      </w:r>
      <w:r>
        <w:rPr>
          <w:sz w:val="24"/>
          <w:szCs w:val="24"/>
        </w:rPr>
        <w:t>i</w:t>
      </w:r>
      <w:r w:rsidRPr="00533FD5">
        <w:rPr>
          <w:sz w:val="24"/>
          <w:szCs w:val="24"/>
        </w:rPr>
        <w:t>bility with Human Rights</w:t>
      </w:r>
    </w:p>
    <w:p w14:paraId="21AD0A3B" w14:textId="77777777" w:rsidR="00193D47" w:rsidRDefault="00193D47" w:rsidP="00193D47">
      <w:pPr>
        <w:pStyle w:val="Heading1"/>
        <w:jc w:val="center"/>
        <w:rPr>
          <w:b w:val="0"/>
          <w:sz w:val="24"/>
          <w:szCs w:val="24"/>
        </w:rPr>
      </w:pPr>
      <w:r w:rsidRPr="00533FD5">
        <w:rPr>
          <w:b w:val="0"/>
          <w:sz w:val="24"/>
          <w:szCs w:val="24"/>
        </w:rPr>
        <w:t xml:space="preserve">Prepared in </w:t>
      </w:r>
      <w:r>
        <w:rPr>
          <w:b w:val="0"/>
          <w:sz w:val="24"/>
          <w:szCs w:val="24"/>
        </w:rPr>
        <w:t xml:space="preserve">accordance with Part 3 of the </w:t>
      </w:r>
      <w:r w:rsidRPr="00ED0B51">
        <w:rPr>
          <w:b w:val="0"/>
          <w:i/>
          <w:sz w:val="24"/>
          <w:szCs w:val="24"/>
        </w:rPr>
        <w:t>Human Rights (Parliamentary Scrutiny) Act 2011</w:t>
      </w:r>
    </w:p>
    <w:p w14:paraId="066E4710" w14:textId="77777777" w:rsidR="00193D47" w:rsidRDefault="00033D34" w:rsidP="00193D47">
      <w:pPr>
        <w:jc w:val="center"/>
      </w:pPr>
      <w:r>
        <w:rPr>
          <w:b/>
        </w:rPr>
        <w:t xml:space="preserve">Superannuation </w:t>
      </w:r>
      <w:r w:rsidR="00193D47" w:rsidRPr="001228B3">
        <w:rPr>
          <w:b/>
        </w:rPr>
        <w:t>(</w:t>
      </w:r>
      <w:r>
        <w:rPr>
          <w:b/>
        </w:rPr>
        <w:t xml:space="preserve">prudential </w:t>
      </w:r>
      <w:r w:rsidR="00193D47" w:rsidRPr="001228B3">
        <w:rPr>
          <w:b/>
        </w:rPr>
        <w:t xml:space="preserve">standard) determination </w:t>
      </w:r>
      <w:r w:rsidR="00193D47" w:rsidRPr="00EF40BB">
        <w:rPr>
          <w:b/>
        </w:rPr>
        <w:t xml:space="preserve">No. 1 of </w:t>
      </w:r>
      <w:r w:rsidR="00193D47" w:rsidRPr="001228B3">
        <w:rPr>
          <w:b/>
        </w:rPr>
        <w:t>201</w:t>
      </w:r>
      <w:r>
        <w:rPr>
          <w:b/>
        </w:rPr>
        <w:t>6</w:t>
      </w:r>
    </w:p>
    <w:p w14:paraId="4FA8EB2E" w14:textId="77777777" w:rsidR="00193D47" w:rsidRDefault="00193D47" w:rsidP="00193D47">
      <w:r w:rsidRPr="00A00162">
        <w:t xml:space="preserve">This Legislative Instrument is compatible with the human rights and freedoms recognised or declared in the international instrument listed in section 3 of the </w:t>
      </w:r>
      <w:r w:rsidRPr="00533FD5">
        <w:rPr>
          <w:i/>
        </w:rPr>
        <w:t>Human Rights (Parliamentary Scrutiny) Act 2011</w:t>
      </w:r>
      <w:r>
        <w:t xml:space="preserve"> (HRPS Act)</w:t>
      </w:r>
    </w:p>
    <w:p w14:paraId="1E5330A9" w14:textId="77777777" w:rsidR="00193D47" w:rsidRDefault="00193D47" w:rsidP="00193D47">
      <w:r w:rsidRPr="00533FD5">
        <w:rPr>
          <w:b/>
        </w:rPr>
        <w:t>Overview of the Legislative Instrument</w:t>
      </w:r>
    </w:p>
    <w:p w14:paraId="787E7AEA" w14:textId="777066A7" w:rsidR="00193D47" w:rsidRDefault="00193D47" w:rsidP="00193D47">
      <w:r w:rsidRPr="0068655F">
        <w:t>The purp</w:t>
      </w:r>
      <w:r w:rsidRPr="007D156F">
        <w:t xml:space="preserve">ose of making </w:t>
      </w:r>
      <w:r w:rsidR="00D85495">
        <w:t>this legislative instrument</w:t>
      </w:r>
      <w:r w:rsidRPr="0068655F">
        <w:t xml:space="preserve"> is to </w:t>
      </w:r>
      <w:r>
        <w:t xml:space="preserve">make minor </w:t>
      </w:r>
      <w:r w:rsidR="00033D34">
        <w:t xml:space="preserve">amendments to </w:t>
      </w:r>
      <w:r w:rsidR="00033D34" w:rsidRPr="008A77E6">
        <w:rPr>
          <w:i/>
          <w:szCs w:val="24"/>
        </w:rPr>
        <w:t>Prudential Standard SPS 510 Governance</w:t>
      </w:r>
      <w:r w:rsidR="00033D34">
        <w:rPr>
          <w:szCs w:val="24"/>
        </w:rPr>
        <w:t xml:space="preserve"> (SPS 510)</w:t>
      </w:r>
      <w:r>
        <w:t xml:space="preserve"> </w:t>
      </w:r>
      <w:r w:rsidR="00033D34">
        <w:t>which sets out minimum standards of governance required of RSE licensees.</w:t>
      </w:r>
      <w:r w:rsidR="00765D00">
        <w:t xml:space="preserve"> The amendments to SPS 510 support improved governance practices by RSE licensees</w:t>
      </w:r>
      <w:r w:rsidR="001B433C">
        <w:t xml:space="preserve"> by requiring the b</w:t>
      </w:r>
      <w:r w:rsidR="005B0946">
        <w:t>oard</w:t>
      </w:r>
      <w:r w:rsidR="00033D34">
        <w:t>s of RSE licensees to have in place a governance framework</w:t>
      </w:r>
      <w:r w:rsidR="00120C85">
        <w:t xml:space="preserve">, which </w:t>
      </w:r>
      <w:r w:rsidR="001B433C">
        <w:t>includes</w:t>
      </w:r>
      <w:r w:rsidR="00120C85">
        <w:t xml:space="preserve"> </w:t>
      </w:r>
      <w:r w:rsidR="00D85495">
        <w:t xml:space="preserve">policies and processes on the </w:t>
      </w:r>
      <w:r w:rsidR="00765D00">
        <w:t>nomination, appointment and removal of directors.</w:t>
      </w:r>
    </w:p>
    <w:p w14:paraId="273E53B4" w14:textId="77777777" w:rsidR="00193D47" w:rsidRDefault="00193D47" w:rsidP="00193D47">
      <w:r w:rsidRPr="00533FD5">
        <w:rPr>
          <w:b/>
        </w:rPr>
        <w:t>Human rights implications</w:t>
      </w:r>
    </w:p>
    <w:p w14:paraId="1D1DDB10" w14:textId="77777777" w:rsidR="00193D47" w:rsidRDefault="00193D47" w:rsidP="004D6608">
      <w:r>
        <w:t>APRA has assessed the instrument against the international instruments listed in section 3 of the HR</w:t>
      </w:r>
      <w:r w:rsidR="005C6165">
        <w:t xml:space="preserve">PS Act and determined that </w:t>
      </w:r>
      <w:r>
        <w:t>Article 17 of the International Covenant on Civil and Politica</w:t>
      </w:r>
      <w:r w:rsidR="00D85495">
        <w:t xml:space="preserve">l Rights (ICCPR) is </w:t>
      </w:r>
      <w:r>
        <w:t>potentially of relevance to the instrument.</w:t>
      </w:r>
    </w:p>
    <w:p w14:paraId="1D69B0E8" w14:textId="77777777" w:rsidR="00193D47" w:rsidRDefault="00193D47" w:rsidP="004D6608">
      <w: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14:paraId="7AB481AE" w14:textId="0790082B" w:rsidR="006039D4" w:rsidRDefault="006039D4" w:rsidP="004D6608">
      <w:r>
        <w:t>Amendments to SPS 510 require RSE licensees to have in place a governance framework</w:t>
      </w:r>
      <w:r w:rsidR="001B433C">
        <w:t xml:space="preserve">, including </w:t>
      </w:r>
      <w:r>
        <w:t xml:space="preserve">policies </w:t>
      </w:r>
      <w:r w:rsidR="005B4877">
        <w:t xml:space="preserve">on the size and composition of the </w:t>
      </w:r>
      <w:r w:rsidR="001B433C">
        <w:t>b</w:t>
      </w:r>
      <w:r w:rsidR="005B4877">
        <w:t xml:space="preserve">oard and </w:t>
      </w:r>
      <w:r w:rsidR="001B433C">
        <w:t>b</w:t>
      </w:r>
      <w:r w:rsidR="005B4877">
        <w:t xml:space="preserve">oard committees, </w:t>
      </w:r>
      <w:r w:rsidR="001B433C">
        <w:t>b</w:t>
      </w:r>
      <w:r w:rsidR="005B4877">
        <w:t xml:space="preserve">oard renewal and the </w:t>
      </w:r>
      <w:r w:rsidR="005C6165">
        <w:t xml:space="preserve">management of </w:t>
      </w:r>
      <w:r w:rsidR="005B4877">
        <w:t xml:space="preserve">nomination, appointment and removal of directors </w:t>
      </w:r>
      <w:r w:rsidR="0090522E">
        <w:t>(</w:t>
      </w:r>
      <w:r w:rsidR="005B4877">
        <w:t>including director terms and maximum tenure</w:t>
      </w:r>
      <w:r w:rsidR="005C6165">
        <w:t xml:space="preserve"> periods</w:t>
      </w:r>
      <w:r w:rsidR="0090522E">
        <w:t>)</w:t>
      </w:r>
      <w:r w:rsidR="005C6165">
        <w:t>.</w:t>
      </w:r>
      <w:r w:rsidR="00865E23">
        <w:t xml:space="preserve"> The requirements of SPS 510</w:t>
      </w:r>
      <w:r w:rsidR="0090522E">
        <w:t xml:space="preserve"> may</w:t>
      </w:r>
      <w:r w:rsidR="00865E23">
        <w:t xml:space="preserve"> necessitate RSE licensees obtaining personal information about candidates and potential candidates for appointment to the Board to assess their suitability as a potential director.</w:t>
      </w:r>
    </w:p>
    <w:p w14:paraId="79DFE266" w14:textId="65B18FFE" w:rsidR="00865E23" w:rsidRDefault="00865E23" w:rsidP="004D6608">
      <w:r>
        <w:t xml:space="preserve">The personal information required to be collected for RSE licensees to meet the requirements of SPS 510 is essential to the effective operation of SPS 510 </w:t>
      </w:r>
      <w:r w:rsidR="00DD5F02">
        <w:t xml:space="preserve">and supports the appointment </w:t>
      </w:r>
      <w:r>
        <w:t xml:space="preserve">of directors </w:t>
      </w:r>
      <w:r w:rsidR="001B433C">
        <w:t xml:space="preserve">to RSE licensee boards </w:t>
      </w:r>
      <w:r>
        <w:t>who are suitably qualified and experienced and match the skills necessary to the role.</w:t>
      </w:r>
    </w:p>
    <w:p w14:paraId="1CFD5C5E" w14:textId="77777777" w:rsidR="00193D47" w:rsidRDefault="00193D47" w:rsidP="004D6608">
      <w:r w:rsidRPr="00533FD5">
        <w:t>Th</w:t>
      </w:r>
      <w:r w:rsidR="00C1778A">
        <w:t>is</w:t>
      </w:r>
      <w:r w:rsidR="006039D4">
        <w:t xml:space="preserve"> </w:t>
      </w:r>
      <w:r w:rsidR="00865E23">
        <w:t xml:space="preserve">information </w:t>
      </w:r>
      <w:r w:rsidR="006039D4">
        <w:t>ultimately support</w:t>
      </w:r>
      <w:r w:rsidR="00DD5F02">
        <w:t>s</w:t>
      </w:r>
      <w:r w:rsidRPr="00533FD5">
        <w:t xml:space="preserve"> APRA achieving its mission of ensuring that, under all reasonable circumstances, financial promises made by the institutions APRA supervises are met within a stable, efficient an</w:t>
      </w:r>
      <w:r>
        <w:t>d competitive financial system.</w:t>
      </w:r>
    </w:p>
    <w:p w14:paraId="3ECD389F" w14:textId="0AA66599" w:rsidR="00865E23" w:rsidRDefault="00865E23" w:rsidP="004D6608">
      <w:r>
        <w:lastRenderedPageBreak/>
        <w:t>APRA also considers that Article 6(1) of the International Covenant on Economic,</w:t>
      </w:r>
      <w:r w:rsidR="00F71064">
        <w:t xml:space="preserve"> </w:t>
      </w:r>
      <w:r>
        <w:t>Social and Cultural Rights (ICESCR) is arguably relevant. The ICES</w:t>
      </w:r>
      <w:r w:rsidR="00C42FFD">
        <w:t>C</w:t>
      </w:r>
      <w:r>
        <w:t>R proclaims the</w:t>
      </w:r>
      <w:r w:rsidR="00F71064">
        <w:t xml:space="preserve"> </w:t>
      </w:r>
      <w:r>
        <w:t>right to work in a general sense. The United Nations Committee on Economic, Social</w:t>
      </w:r>
      <w:r w:rsidR="00F71064">
        <w:t xml:space="preserve"> </w:t>
      </w:r>
      <w:r>
        <w:t>and Cultural Rights (the UN Committee) has stated that ‘the right to work affirms the</w:t>
      </w:r>
      <w:r w:rsidR="00F71064">
        <w:t xml:space="preserve"> </w:t>
      </w:r>
      <w:r>
        <w:t>obligation of States parties to assure individuals their right to freely chosen or</w:t>
      </w:r>
      <w:r w:rsidR="00F71064">
        <w:t xml:space="preserve"> accepted </w:t>
      </w:r>
      <w:r w:rsidR="00C1778A">
        <w:t>w</w:t>
      </w:r>
      <w:r>
        <w:t>ork, including the right not to be deprived of work unfairly’. The right not</w:t>
      </w:r>
      <w:r w:rsidR="00F71064">
        <w:t xml:space="preserve"> </w:t>
      </w:r>
      <w:r>
        <w:t>to be deprived of work unfairly is relevant for the purposes of this Legislative</w:t>
      </w:r>
      <w:r w:rsidR="00F71064">
        <w:t xml:space="preserve"> </w:t>
      </w:r>
      <w:r>
        <w:t>Instrument.</w:t>
      </w:r>
    </w:p>
    <w:p w14:paraId="6202079F" w14:textId="77777777" w:rsidR="00F71064" w:rsidRDefault="00865E23" w:rsidP="004D6608">
      <w:r>
        <w:t>This definition implies that depriving an individual of work may not be a violation of</w:t>
      </w:r>
      <w:r w:rsidR="00F71064">
        <w:t xml:space="preserve"> </w:t>
      </w:r>
      <w:r>
        <w:t>Article 6(1) where that deprivation is regarded as fair</w:t>
      </w:r>
      <w:r w:rsidR="00C1778A">
        <w:t xml:space="preserve">. In determining what is ‘fair’, </w:t>
      </w:r>
      <w:r>
        <w:t>regard may be had to Article 2 of the ICESCR. Article 2 prohibits discrimination in</w:t>
      </w:r>
      <w:r w:rsidR="00F71064">
        <w:t xml:space="preserve"> </w:t>
      </w:r>
      <w:r>
        <w:t>access to and maintenance of employment on the grounds of race, colour, sex,</w:t>
      </w:r>
      <w:r w:rsidR="00C1778A">
        <w:t xml:space="preserve"> </w:t>
      </w:r>
      <w:r>
        <w:t>language, religion, political or other opinion, national or social origin, property, birth</w:t>
      </w:r>
      <w:r w:rsidR="00F71064">
        <w:t xml:space="preserve"> </w:t>
      </w:r>
      <w:r>
        <w:t>or other status, which has the intention or effect of impairing or nullifying exercise of</w:t>
      </w:r>
      <w:r w:rsidR="00F71064">
        <w:t xml:space="preserve"> </w:t>
      </w:r>
      <w:r>
        <w:t>the right to work. Where an individual is deprived of work on the basis of any of these</w:t>
      </w:r>
      <w:r w:rsidR="00F71064">
        <w:t xml:space="preserve"> </w:t>
      </w:r>
      <w:r>
        <w:t>grounds, it is reasonable to assume that that deprivation will be regarded as ‘unfair’</w:t>
      </w:r>
      <w:r w:rsidR="00F71064">
        <w:t xml:space="preserve"> </w:t>
      </w:r>
      <w:r>
        <w:t>and, therefore, that the right to work has been engaged.</w:t>
      </w:r>
      <w:r w:rsidR="00F71064">
        <w:t xml:space="preserve"> </w:t>
      </w:r>
    </w:p>
    <w:p w14:paraId="02EB5321" w14:textId="009595E5" w:rsidR="00F107AF" w:rsidRDefault="001B433C" w:rsidP="004D6608">
      <w:r>
        <w:t xml:space="preserve">SPS </w:t>
      </w:r>
      <w:r w:rsidR="00F71064">
        <w:t xml:space="preserve">510 </w:t>
      </w:r>
      <w:r>
        <w:t xml:space="preserve">requires </w:t>
      </w:r>
      <w:r w:rsidR="00F71064">
        <w:t xml:space="preserve">RSE licensees to have policies </w:t>
      </w:r>
      <w:r>
        <w:t>relating</w:t>
      </w:r>
      <w:r w:rsidR="0090522E">
        <w:t xml:space="preserve"> to</w:t>
      </w:r>
      <w:r w:rsidR="00F71064">
        <w:t xml:space="preserve"> the size and composition of the </w:t>
      </w:r>
      <w:r>
        <w:t>b</w:t>
      </w:r>
      <w:r w:rsidR="00F71064">
        <w:t>oard</w:t>
      </w:r>
      <w:r w:rsidR="00716C90">
        <w:t>,</w:t>
      </w:r>
      <w:r w:rsidR="00F71064">
        <w:t xml:space="preserve"> </w:t>
      </w:r>
      <w:r w:rsidR="0090522E">
        <w:t>and the</w:t>
      </w:r>
      <w:r w:rsidR="00F107AF">
        <w:t xml:space="preserve"> nomination, appointment and removal of directors </w:t>
      </w:r>
      <w:r w:rsidR="00716C90">
        <w:t xml:space="preserve">(which </w:t>
      </w:r>
      <w:r w:rsidR="00F107AF">
        <w:t>includ</w:t>
      </w:r>
      <w:r w:rsidR="00716C90">
        <w:t xml:space="preserve">es the setting of </w:t>
      </w:r>
      <w:r w:rsidR="00F107AF">
        <w:t>director terms</w:t>
      </w:r>
      <w:r w:rsidR="00716C90">
        <w:t xml:space="preserve"> in office</w:t>
      </w:r>
      <w:r w:rsidR="00F107AF">
        <w:t xml:space="preserve"> and maximum tenure periods</w:t>
      </w:r>
      <w:r w:rsidR="00716C90">
        <w:t>)</w:t>
      </w:r>
      <w:r w:rsidR="00F107AF">
        <w:t>. SPS 510 also extends the requirements relating to the nomination, appointment and removal of directors to require RSE licensees to establish and implement formal policies and processes which address, at a minimum:</w:t>
      </w:r>
    </w:p>
    <w:p w14:paraId="18E0CFD7" w14:textId="77777777" w:rsidR="00F107AF" w:rsidRDefault="00F107AF" w:rsidP="00506B92">
      <w:pPr>
        <w:pStyle w:val="ListParagraph"/>
        <w:numPr>
          <w:ilvl w:val="0"/>
          <w:numId w:val="7"/>
        </w:numPr>
      </w:pPr>
      <w:r>
        <w:t>the length of the term to which a director is appointed to the Board;</w:t>
      </w:r>
    </w:p>
    <w:p w14:paraId="03921D17" w14:textId="77777777" w:rsidR="00F107AF" w:rsidRDefault="00F107AF" w:rsidP="00506B92">
      <w:pPr>
        <w:pStyle w:val="ListParagraph"/>
        <w:numPr>
          <w:ilvl w:val="0"/>
          <w:numId w:val="7"/>
        </w:numPr>
      </w:pPr>
      <w:r>
        <w:t xml:space="preserve">the maximum tenure limit for an individual director; </w:t>
      </w:r>
    </w:p>
    <w:p w14:paraId="1772A565" w14:textId="77777777" w:rsidR="00F107AF" w:rsidRDefault="00F107AF" w:rsidP="00506B92">
      <w:pPr>
        <w:pStyle w:val="ListParagraph"/>
        <w:numPr>
          <w:ilvl w:val="0"/>
          <w:numId w:val="7"/>
        </w:numPr>
      </w:pPr>
      <w:r>
        <w:t>how vacancies will be managed, including, where applicable, how the RSE licensee will comply with the vacancy requirements in Part 9 of the SIS Act;</w:t>
      </w:r>
    </w:p>
    <w:p w14:paraId="243FC359" w14:textId="77777777" w:rsidR="00F107AF" w:rsidRDefault="00F107AF" w:rsidP="00506B92">
      <w:pPr>
        <w:pStyle w:val="ListParagraph"/>
        <w:numPr>
          <w:ilvl w:val="0"/>
          <w:numId w:val="7"/>
        </w:numPr>
      </w:pPr>
      <w:r>
        <w:t>the process by which a candidate will be nominated for a vacant Board position;</w:t>
      </w:r>
    </w:p>
    <w:p w14:paraId="3D35F4E4" w14:textId="77777777" w:rsidR="00F107AF" w:rsidRDefault="00F107AF" w:rsidP="00506B92">
      <w:pPr>
        <w:pStyle w:val="ListParagraph"/>
        <w:numPr>
          <w:ilvl w:val="0"/>
          <w:numId w:val="7"/>
        </w:numPr>
      </w:pPr>
      <w:r>
        <w:t xml:space="preserve">the factors that will be considered when assessing the suitability of a nominated candidate, including how the RSE licensee assesses the independence of the candidate where relevant and the Board’s process for determining whether a particular candidate is appointed; </w:t>
      </w:r>
    </w:p>
    <w:p w14:paraId="5A009436" w14:textId="77777777" w:rsidR="00F107AF" w:rsidRDefault="00F107AF" w:rsidP="00506B92">
      <w:pPr>
        <w:pStyle w:val="ListParagraph"/>
        <w:numPr>
          <w:ilvl w:val="0"/>
          <w:numId w:val="7"/>
        </w:numPr>
      </w:pPr>
      <w:r>
        <w:t>the process by which a director will be appointed to the Board;</w:t>
      </w:r>
    </w:p>
    <w:p w14:paraId="6342BD19" w14:textId="77777777" w:rsidR="00F107AF" w:rsidRDefault="00F107AF" w:rsidP="00506B92">
      <w:pPr>
        <w:pStyle w:val="ListParagraph"/>
        <w:numPr>
          <w:ilvl w:val="0"/>
          <w:numId w:val="7"/>
        </w:numPr>
      </w:pPr>
      <w:r>
        <w:t>the factors that will determine when an existing director will be re-appointed, including whether the director has served on the Board for a period that could, or could reasonably be perceived to, materially interfere with their ability to act in the best interests of beneficiaries;</w:t>
      </w:r>
    </w:p>
    <w:p w14:paraId="125D4DFD" w14:textId="77777777" w:rsidR="00F107AF" w:rsidRDefault="00F107AF" w:rsidP="00506B92">
      <w:pPr>
        <w:pStyle w:val="ListParagraph"/>
        <w:numPr>
          <w:ilvl w:val="0"/>
          <w:numId w:val="7"/>
        </w:numPr>
      </w:pPr>
      <w:r>
        <w:t>the process by which the Board will resolve disputes about nominations, appointment, re-appointment or removal of directors;</w:t>
      </w:r>
    </w:p>
    <w:p w14:paraId="20859796" w14:textId="77777777" w:rsidR="00F107AF" w:rsidRDefault="00F107AF" w:rsidP="00506B92">
      <w:pPr>
        <w:pStyle w:val="ListParagraph"/>
        <w:numPr>
          <w:ilvl w:val="0"/>
          <w:numId w:val="7"/>
        </w:numPr>
      </w:pPr>
      <w:r>
        <w:t>when and how a director will be removed from the Board; and</w:t>
      </w:r>
    </w:p>
    <w:p w14:paraId="40152391" w14:textId="05A430AF" w:rsidR="00F71064" w:rsidRDefault="00F107AF" w:rsidP="00C42FFD">
      <w:pPr>
        <w:pStyle w:val="ListParagraph"/>
        <w:numPr>
          <w:ilvl w:val="0"/>
          <w:numId w:val="7"/>
        </w:numPr>
      </w:pPr>
      <w:r>
        <w:lastRenderedPageBreak/>
        <w:t>the Board’s policy on voting rights and procedures in relation to nomination, appointment, reappointment and removal of a director.</w:t>
      </w:r>
    </w:p>
    <w:p w14:paraId="060255DC" w14:textId="308F3099" w:rsidR="00941572" w:rsidRDefault="00941572" w:rsidP="004D6608">
      <w:r>
        <w:t xml:space="preserve">These requirements support both the appointment of appropriate candidates </w:t>
      </w:r>
      <w:r w:rsidR="00716C90">
        <w:t xml:space="preserve">and </w:t>
      </w:r>
      <w:r>
        <w:t xml:space="preserve">ongoing </w:t>
      </w:r>
      <w:r w:rsidR="001B433C">
        <w:t>b</w:t>
      </w:r>
      <w:r>
        <w:t xml:space="preserve">oard renewal by requiring </w:t>
      </w:r>
      <w:r w:rsidR="001B433C">
        <w:t>b</w:t>
      </w:r>
      <w:r>
        <w:t>oards to set maximum periods of tenure that limit t</w:t>
      </w:r>
      <w:r w:rsidR="00716C90">
        <w:t>he</w:t>
      </w:r>
      <w:r>
        <w:t xml:space="preserve"> total length of time a director would serve on </w:t>
      </w:r>
      <w:r w:rsidR="00716C90">
        <w:t>a</w:t>
      </w:r>
      <w:r>
        <w:t xml:space="preserve"> Board. </w:t>
      </w:r>
      <w:r w:rsidR="00C07A4E">
        <w:t>The aim of th</w:t>
      </w:r>
      <w:r w:rsidR="008B3880">
        <w:t>ese</w:t>
      </w:r>
      <w:r w:rsidR="00C07A4E">
        <w:t xml:space="preserve"> requirements is to support the maintenance </w:t>
      </w:r>
      <w:r w:rsidR="00716C90">
        <w:t>o</w:t>
      </w:r>
      <w:r w:rsidR="00C07A4E">
        <w:t xml:space="preserve">f an </w:t>
      </w:r>
      <w:r w:rsidR="00334D28">
        <w:t>appropriate</w:t>
      </w:r>
      <w:r w:rsidR="00C07A4E">
        <w:t xml:space="preserve"> level of independent judgment on the Board.</w:t>
      </w:r>
    </w:p>
    <w:p w14:paraId="22A486C8" w14:textId="446831B9" w:rsidR="00334D28" w:rsidRDefault="00334D28" w:rsidP="004D6608">
      <w:r>
        <w:t xml:space="preserve">This requirement </w:t>
      </w:r>
      <w:r w:rsidR="00C1778A">
        <w:t xml:space="preserve">for </w:t>
      </w:r>
      <w:r w:rsidR="00716C90">
        <w:t>a</w:t>
      </w:r>
      <w:r w:rsidR="001B433C">
        <w:t>n RSE licensee</w:t>
      </w:r>
      <w:r w:rsidR="00716C90">
        <w:t xml:space="preserve"> </w:t>
      </w:r>
      <w:r w:rsidR="001B433C">
        <w:t>b</w:t>
      </w:r>
      <w:r w:rsidR="00C1778A">
        <w:t xml:space="preserve">oard to set limits on </w:t>
      </w:r>
      <w:r>
        <w:t xml:space="preserve">the tenure of directors is not based on any of the grounds of discrimination stated in Article 2. </w:t>
      </w:r>
      <w:r w:rsidR="0010584F">
        <w:t xml:space="preserve">Therefore, it is arguable that requiring </w:t>
      </w:r>
      <w:r w:rsidR="00915938">
        <w:t>an RSE licensee to set pre-determined limits on the length of service of a</w:t>
      </w:r>
      <w:r w:rsidR="001B433C">
        <w:t xml:space="preserve"> </w:t>
      </w:r>
      <w:r w:rsidR="00915938">
        <w:t xml:space="preserve">director </w:t>
      </w:r>
      <w:r w:rsidR="0010584F">
        <w:t xml:space="preserve">is not unfair and, therefore, does not </w:t>
      </w:r>
      <w:r w:rsidR="00716C90">
        <w:t>derogate from</w:t>
      </w:r>
      <w:r w:rsidR="0010584F">
        <w:t xml:space="preserve"> the right to work contained in Article 6(1)</w:t>
      </w:r>
      <w:r w:rsidR="00716C90">
        <w:t xml:space="preserve"> in the necessary sense</w:t>
      </w:r>
      <w:r w:rsidR="0010584F">
        <w:t>.</w:t>
      </w:r>
    </w:p>
    <w:p w14:paraId="19CA2A63" w14:textId="4EE0D0E7" w:rsidR="00E76924" w:rsidRPr="00E61012" w:rsidRDefault="00915938" w:rsidP="004D6608">
      <w:r w:rsidRPr="00E61012">
        <w:t xml:space="preserve">Accordingly, </w:t>
      </w:r>
      <w:r w:rsidR="001B433C">
        <w:t>as</w:t>
      </w:r>
      <w:r w:rsidRPr="00E61012">
        <w:t xml:space="preserve"> SPS 510 </w:t>
      </w:r>
      <w:r w:rsidR="001B433C">
        <w:t>is</w:t>
      </w:r>
      <w:r w:rsidR="001B433C" w:rsidRPr="00E61012">
        <w:t xml:space="preserve"> </w:t>
      </w:r>
      <w:r w:rsidRPr="00E61012">
        <w:t xml:space="preserve">premised on </w:t>
      </w:r>
      <w:r w:rsidR="001B433C">
        <w:t>an RSE licensee</w:t>
      </w:r>
      <w:r w:rsidR="001B433C" w:rsidRPr="00E61012">
        <w:t xml:space="preserve"> </w:t>
      </w:r>
      <w:r w:rsidR="001B433C">
        <w:t>b</w:t>
      </w:r>
      <w:r w:rsidRPr="00E61012">
        <w:t xml:space="preserve">oard establishing and implementing </w:t>
      </w:r>
      <w:r w:rsidR="001B433C">
        <w:t xml:space="preserve">policies so as to </w:t>
      </w:r>
      <w:r w:rsidR="00E76924" w:rsidRPr="00E61012">
        <w:t>achiev</w:t>
      </w:r>
      <w:r w:rsidR="001B433C">
        <w:t>e</w:t>
      </w:r>
      <w:r w:rsidR="00E76924" w:rsidRPr="00E61012">
        <w:t xml:space="preserve"> </w:t>
      </w:r>
      <w:r w:rsidR="00C20C09">
        <w:t xml:space="preserve">the </w:t>
      </w:r>
      <w:r w:rsidR="00E76924" w:rsidRPr="00E61012">
        <w:t xml:space="preserve">appropriate </w:t>
      </w:r>
      <w:r w:rsidR="00C20C09">
        <w:t xml:space="preserve">board </w:t>
      </w:r>
      <w:r w:rsidR="00E76924" w:rsidRPr="00E61012">
        <w:t xml:space="preserve">skills, structure and composition </w:t>
      </w:r>
      <w:r w:rsidR="00C20C09">
        <w:t>necessary to</w:t>
      </w:r>
      <w:r w:rsidR="00E76924" w:rsidRPr="00E61012">
        <w:t xml:space="preserve"> effectively govern </w:t>
      </w:r>
      <w:r w:rsidR="00C20C09">
        <w:t>its business operations</w:t>
      </w:r>
      <w:r w:rsidR="00E76924" w:rsidRPr="00E61012">
        <w:t xml:space="preserve">, an individual </w:t>
      </w:r>
      <w:r w:rsidR="00C20C09">
        <w:t>affected</w:t>
      </w:r>
      <w:r w:rsidR="00C20C09" w:rsidRPr="00E61012">
        <w:t xml:space="preserve"> </w:t>
      </w:r>
      <w:r w:rsidR="00E76924" w:rsidRPr="00E61012">
        <w:t xml:space="preserve">by such policies is </w:t>
      </w:r>
      <w:r w:rsidR="00C20C09">
        <w:t xml:space="preserve">arguably </w:t>
      </w:r>
      <w:r w:rsidR="00E76924" w:rsidRPr="00E61012">
        <w:t>not being unfairly deprived of work and, therefore, the right to work has not been engaged.</w:t>
      </w:r>
    </w:p>
    <w:p w14:paraId="7BC8DF5E" w14:textId="22BD45C4" w:rsidR="00F71064" w:rsidRDefault="00E76924" w:rsidP="004D6608">
      <w:r w:rsidRPr="00E61012">
        <w:t>However, the proper interpretation of the right to work contained in Article 6(1) is</w:t>
      </w:r>
      <w:r w:rsidR="00556AC6" w:rsidRPr="00E61012">
        <w:t xml:space="preserve"> </w:t>
      </w:r>
      <w:r w:rsidRPr="00E61012">
        <w:t>ambiguous and, in particular, the right not to be deprived of work may not be</w:t>
      </w:r>
      <w:r w:rsidR="00556AC6" w:rsidRPr="00E61012">
        <w:t xml:space="preserve"> </w:t>
      </w:r>
      <w:r w:rsidRPr="00E61012">
        <w:t>qualified</w:t>
      </w:r>
      <w:r w:rsidR="00C20C09">
        <w:t xml:space="preserve"> </w:t>
      </w:r>
      <w:r w:rsidR="00556AC6" w:rsidRPr="00E61012">
        <w:t>t</w:t>
      </w:r>
      <w:r w:rsidRPr="00E61012">
        <w:t>o the notion of unfairness. Therefore, the above analysis is not conclusive</w:t>
      </w:r>
      <w:r w:rsidR="00556AC6" w:rsidRPr="00E61012">
        <w:t xml:space="preserve"> </w:t>
      </w:r>
      <w:r w:rsidRPr="00E61012">
        <w:t>and the alternative might be argued: that is, this Legislative Instrument does engage</w:t>
      </w:r>
      <w:r w:rsidR="00556AC6" w:rsidRPr="00E61012">
        <w:t xml:space="preserve"> </w:t>
      </w:r>
      <w:r w:rsidRPr="00E61012">
        <w:t>the right to work.</w:t>
      </w:r>
    </w:p>
    <w:p w14:paraId="642E1D52" w14:textId="77777777" w:rsidR="002E1580" w:rsidRDefault="002E1580" w:rsidP="004D6608">
      <w:r>
        <w:t>Article 4 of the ICESCR provides that countries may subject economic, social and cultural rights only to such limitations ‘as are determined by law only in so far as this may be compatible with the nature of these rights and solely for the purpose of promoting the general welfare in a democratic society’. The UN Committee has stated that such limitations must be proportional and should be of limited duration and subject to review.</w:t>
      </w:r>
    </w:p>
    <w:p w14:paraId="5827BC83" w14:textId="671E9B9D" w:rsidR="00B06C76" w:rsidRDefault="002E1580" w:rsidP="004D6608">
      <w:r>
        <w:t xml:space="preserve">The objective of SPS 510 is to ensure that </w:t>
      </w:r>
      <w:r w:rsidRPr="002E1580">
        <w:t xml:space="preserve">that an RSE licensee’s business operations are managed soundly and prudently by a competent </w:t>
      </w:r>
      <w:r w:rsidR="00C20C09">
        <w:t>b</w:t>
      </w:r>
      <w:r w:rsidRPr="002E1580">
        <w:t>oard, which can make reasonable and impartial business judgements in the best interests of beneficiaries and which duly considers the impact of its decisions on beneficiaries.</w:t>
      </w:r>
      <w:r>
        <w:t xml:space="preserve"> Requiring </w:t>
      </w:r>
      <w:r w:rsidR="008B3880">
        <w:t xml:space="preserve">an </w:t>
      </w:r>
      <w:r>
        <w:t xml:space="preserve">RSE licensee </w:t>
      </w:r>
      <w:r w:rsidR="00C20C09">
        <w:t xml:space="preserve">board </w:t>
      </w:r>
      <w:r>
        <w:t xml:space="preserve">to limit the size, structure and composition of the </w:t>
      </w:r>
      <w:r w:rsidR="00C20C09">
        <w:t xml:space="preserve">board </w:t>
      </w:r>
      <w:r w:rsidR="00B06C76">
        <w:t>strengthens the protection afforded to benefi</w:t>
      </w:r>
      <w:r w:rsidR="00793092">
        <w:t>ciaries and other stakeholders.</w:t>
      </w:r>
    </w:p>
    <w:p w14:paraId="0777D2BF" w14:textId="77777777" w:rsidR="002E1580" w:rsidRDefault="00B06C76" w:rsidP="004D6608">
      <w:r>
        <w:t>Failure to limit access to reasonable person</w:t>
      </w:r>
      <w:r w:rsidR="00C07A4E">
        <w:t xml:space="preserve">s to the appointment of director of an RSE licensee </w:t>
      </w:r>
      <w:r>
        <w:t>considerably increases the risk of significant loss to beneficiaries of superannuation funds. Consequently, the limitation of the right to work by this Legislative Instrument is reasonable, necessary and proportionate to its objective as described above.</w:t>
      </w:r>
    </w:p>
    <w:p w14:paraId="1ADCA51B" w14:textId="77777777" w:rsidR="00193D47" w:rsidRPr="00533FD5" w:rsidRDefault="00193D47" w:rsidP="00C42FFD">
      <w:pPr>
        <w:keepNext/>
        <w:rPr>
          <w:b/>
        </w:rPr>
      </w:pPr>
      <w:r w:rsidRPr="00533FD5">
        <w:rPr>
          <w:b/>
        </w:rPr>
        <w:lastRenderedPageBreak/>
        <w:t>Conclusion</w:t>
      </w:r>
    </w:p>
    <w:p w14:paraId="1DB6CDBC" w14:textId="77777777" w:rsidR="00193D47" w:rsidRPr="001228B3" w:rsidRDefault="00765D00" w:rsidP="00C42FFD">
      <w:pPr>
        <w:keepNext/>
      </w:pPr>
      <w:r>
        <w:t xml:space="preserve">Superannuation </w:t>
      </w:r>
      <w:r w:rsidR="00193D47" w:rsidRPr="001228B3">
        <w:t>(</w:t>
      </w:r>
      <w:r>
        <w:t xml:space="preserve">prudential </w:t>
      </w:r>
      <w:r w:rsidR="00193D47" w:rsidRPr="001228B3">
        <w:t xml:space="preserve">standard) determination No. 1 </w:t>
      </w:r>
      <w:r w:rsidR="00193D47" w:rsidRPr="00EF40BB">
        <w:t>of 201</w:t>
      </w:r>
      <w:r>
        <w:t xml:space="preserve">6 is </w:t>
      </w:r>
      <w:r w:rsidR="00193D47" w:rsidRPr="001228B3">
        <w:t>compatible with human rights because:</w:t>
      </w:r>
    </w:p>
    <w:p w14:paraId="08FF5F5F" w14:textId="1C44D5CA" w:rsidR="00193D47" w:rsidRPr="00533FD5" w:rsidRDefault="00193D47" w:rsidP="00334D28">
      <w:pPr>
        <w:pStyle w:val="ListParagraph"/>
        <w:numPr>
          <w:ilvl w:val="0"/>
          <w:numId w:val="6"/>
        </w:numPr>
        <w:rPr>
          <w:szCs w:val="24"/>
        </w:rPr>
      </w:pPr>
      <w:r w:rsidRPr="00533FD5">
        <w:rPr>
          <w:szCs w:val="24"/>
        </w:rPr>
        <w:t xml:space="preserve">to the extent that </w:t>
      </w:r>
      <w:r w:rsidRPr="00F14172">
        <w:rPr>
          <w:szCs w:val="24"/>
        </w:rPr>
        <w:t xml:space="preserve">determination </w:t>
      </w:r>
      <w:r w:rsidRPr="00EF40BB">
        <w:rPr>
          <w:szCs w:val="24"/>
        </w:rPr>
        <w:t>No. 1</w:t>
      </w:r>
      <w:r w:rsidRPr="00556B7B">
        <w:t xml:space="preserve"> </w:t>
      </w:r>
      <w:r w:rsidR="00765D00">
        <w:rPr>
          <w:szCs w:val="24"/>
        </w:rPr>
        <w:t>of 2016</w:t>
      </w:r>
      <w:r w:rsidR="00BC0F67">
        <w:rPr>
          <w:szCs w:val="24"/>
        </w:rPr>
        <w:t xml:space="preserve"> may</w:t>
      </w:r>
      <w:r w:rsidRPr="001228B3">
        <w:rPr>
          <w:szCs w:val="24"/>
        </w:rPr>
        <w:t xml:space="preserve"> limit</w:t>
      </w:r>
      <w:r w:rsidRPr="00F14172">
        <w:rPr>
          <w:szCs w:val="24"/>
        </w:rPr>
        <w:t xml:space="preserve"> human</w:t>
      </w:r>
      <w:r w:rsidRPr="00533FD5">
        <w:rPr>
          <w:szCs w:val="24"/>
        </w:rPr>
        <w:t xml:space="preserve"> rights, those limitations are reasonable, necessary and proportionate; and</w:t>
      </w:r>
    </w:p>
    <w:p w14:paraId="47FA6A38" w14:textId="17CA749C" w:rsidR="00193D47" w:rsidRPr="0068655F" w:rsidRDefault="00193D47" w:rsidP="00334D28">
      <w:pPr>
        <w:pStyle w:val="ListParagraph"/>
        <w:numPr>
          <w:ilvl w:val="0"/>
          <w:numId w:val="6"/>
        </w:numPr>
        <w:rPr>
          <w:szCs w:val="24"/>
        </w:rPr>
      </w:pPr>
      <w:r w:rsidRPr="00533FD5">
        <w:rPr>
          <w:szCs w:val="24"/>
        </w:rPr>
        <w:t xml:space="preserve">the remaining </w:t>
      </w:r>
      <w:r>
        <w:rPr>
          <w:szCs w:val="24"/>
        </w:rPr>
        <w:t xml:space="preserve">parts of the </w:t>
      </w:r>
      <w:r w:rsidRPr="00533FD5">
        <w:rPr>
          <w:szCs w:val="24"/>
        </w:rPr>
        <w:t>determination do not raise human rights issues</w:t>
      </w:r>
      <w:r>
        <w:t>.</w:t>
      </w:r>
    </w:p>
    <w:p w14:paraId="6CC9D4B6" w14:textId="77777777" w:rsidR="00A808B8" w:rsidRDefault="00A808B8" w:rsidP="00413C89"/>
    <w:sectPr w:rsidR="00A808B8" w:rsidSect="00957604">
      <w:headerReference w:type="default" r:id="rId13"/>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FACD0" w14:textId="77777777" w:rsidR="003E277D" w:rsidRDefault="003E277D" w:rsidP="00226412">
      <w:r>
        <w:separator/>
      </w:r>
    </w:p>
  </w:endnote>
  <w:endnote w:type="continuationSeparator" w:id="0">
    <w:p w14:paraId="1BD96386" w14:textId="77777777" w:rsidR="003E277D" w:rsidRDefault="003E277D" w:rsidP="00226412">
      <w:r>
        <w:continuationSeparator/>
      </w:r>
    </w:p>
  </w:endnote>
  <w:endnote w:type="continuationNotice" w:id="1">
    <w:p w14:paraId="0F511219" w14:textId="77777777" w:rsidR="003E277D" w:rsidRDefault="003E27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8D57D" w14:textId="77777777" w:rsidR="00716C90" w:rsidRDefault="00716C90" w:rsidP="00930715">
    <w:pPr>
      <w:pStyle w:val="Footer"/>
      <w:jc w:val="center"/>
    </w:pPr>
    <w:r>
      <w:fldChar w:fldCharType="begin"/>
    </w:r>
    <w:r>
      <w:instrText xml:space="preserve"> PAGE   \* MERGEFORMAT </w:instrText>
    </w:r>
    <w:r>
      <w:fldChar w:fldCharType="separate"/>
    </w:r>
    <w:r w:rsidR="00674D38">
      <w:rPr>
        <w:noProof/>
      </w:rPr>
      <w:t>6</w:t>
    </w:r>
    <w:r>
      <w:fldChar w:fldCharType="end"/>
    </w:r>
  </w:p>
  <w:p w14:paraId="51D3096E" w14:textId="77777777" w:rsidR="00716C90" w:rsidRDefault="00716C90" w:rsidP="005E0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6FC64" w14:textId="77777777" w:rsidR="003E277D" w:rsidRDefault="003E277D" w:rsidP="006365A0">
      <w:pPr>
        <w:spacing w:after="0"/>
      </w:pPr>
      <w:r>
        <w:separator/>
      </w:r>
    </w:p>
  </w:footnote>
  <w:footnote w:type="continuationSeparator" w:id="0">
    <w:p w14:paraId="0B04FB30" w14:textId="77777777" w:rsidR="003E277D" w:rsidRDefault="003E277D" w:rsidP="006365A0">
      <w:pPr>
        <w:spacing w:after="0"/>
      </w:pPr>
      <w:r>
        <w:continuationSeparator/>
      </w:r>
    </w:p>
  </w:footnote>
  <w:footnote w:type="continuationNotice" w:id="1">
    <w:p w14:paraId="7E574B3A" w14:textId="77777777" w:rsidR="003E277D" w:rsidRDefault="003E277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D2B08" w14:textId="77777777" w:rsidR="00716C90" w:rsidRDefault="00716C90">
    <w:pPr>
      <w:pStyle w:val="Header"/>
    </w:pPr>
    <w:r>
      <w:rPr>
        <w:noProof/>
      </w:rPr>
      <mc:AlternateContent>
        <mc:Choice Requires="wps">
          <w:drawing>
            <wp:anchor distT="0" distB="0" distL="114300" distR="114300" simplePos="0" relativeHeight="251659264" behindDoc="0" locked="1" layoutInCell="1" allowOverlap="1" wp14:anchorId="7104A8A5" wp14:editId="5AC6C79D">
              <wp:simplePos x="0" y="0"/>
              <wp:positionH relativeFrom="margin">
                <wp:align>center</wp:align>
              </wp:positionH>
              <wp:positionV relativeFrom="page">
                <wp:posOffset>457200</wp:posOffset>
              </wp:positionV>
              <wp:extent cx="1696720" cy="42545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1696720" cy="4254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E4ADAD" w14:textId="77777777" w:rsidR="00716C90" w:rsidRPr="008C6DCE" w:rsidRDefault="00716C90" w:rsidP="008C6DCE">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104A8A5" id="_x0000_t202" coordsize="21600,21600" o:spt="202" path="m,l,21600r21600,l21600,xe">
              <v:stroke joinstyle="miter"/>
              <v:path gradientshapeok="t" o:connecttype="rect"/>
            </v:shapetype>
            <v:shape id="janusSEAL SC Header" o:spid="_x0000_s1026" type="#_x0000_t202" style="position:absolute;left:0;text-align:left;margin-left:0;margin-top:36pt;width:133.6pt;height:33.5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" filled="f" stroked="f" strokeweight=".5pt">
              <v:textbox style="mso-fit-shape-to-text:t">
                <w:txbxContent>
                  <w:p w14:paraId="16E4ADAD" w14:textId="77777777" w:rsidR="00716C90" w:rsidRPr="008C6DCE" w:rsidRDefault="00716C90" w:rsidP="008C6DCE">
                    <w:pPr>
                      <w:jc w:val="center"/>
                      <w:rPr>
                        <w:rFonts w:ascii="Arial" w:hAnsi="Arial" w:cs="Arial"/>
                        <w:b/>
                        <w:color w:val="FF0000"/>
                      </w:rPr>
                    </w:pPr>
                  </w:p>
                </w:txbxContent>
              </v:textbox>
              <w10:wrap anchorx="margin"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3B644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C7E94"/>
    <w:multiLevelType w:val="hybridMultilevel"/>
    <w:tmpl w:val="CA42DFF0"/>
    <w:lvl w:ilvl="0" w:tplc="493868FA">
      <w:start w:val="1"/>
      <w:numFmt w:val="decimal"/>
      <w:lvlText w:val="%1."/>
      <w:lvlJc w:val="left"/>
      <w:pPr>
        <w:ind w:left="684" w:hanging="567"/>
      </w:pPr>
      <w:rPr>
        <w:rFonts w:ascii="Times New Roman" w:eastAsia="Times New Roman" w:hAnsi="Times New Roman" w:hint="default"/>
        <w:sz w:val="24"/>
        <w:szCs w:val="24"/>
      </w:rPr>
    </w:lvl>
    <w:lvl w:ilvl="1" w:tplc="1DFE0F2A">
      <w:start w:val="1"/>
      <w:numFmt w:val="lowerLetter"/>
      <w:pStyle w:val="Style2"/>
      <w:lvlText w:val="(%2)"/>
      <w:lvlJc w:val="left"/>
      <w:pPr>
        <w:ind w:left="1253" w:hanging="567"/>
      </w:pPr>
      <w:rPr>
        <w:rFonts w:ascii="Times New Roman" w:hAnsi="Times New Roman" w:hint="default"/>
        <w:b w:val="0"/>
        <w:i w:val="0"/>
        <w:sz w:val="24"/>
        <w:szCs w:val="24"/>
        <w:vertAlign w:val="baseline"/>
      </w:rPr>
    </w:lvl>
    <w:lvl w:ilvl="2" w:tplc="9F1C92D2">
      <w:start w:val="1"/>
      <w:numFmt w:val="bullet"/>
      <w:lvlText w:val="•"/>
      <w:lvlJc w:val="left"/>
      <w:pPr>
        <w:ind w:left="1253" w:hanging="567"/>
      </w:pPr>
      <w:rPr>
        <w:rFonts w:hint="default"/>
      </w:rPr>
    </w:lvl>
    <w:lvl w:ilvl="3" w:tplc="F0F0ED08">
      <w:start w:val="1"/>
      <w:numFmt w:val="bullet"/>
      <w:lvlText w:val="•"/>
      <w:lvlJc w:val="left"/>
      <w:pPr>
        <w:ind w:left="2169" w:hanging="567"/>
      </w:pPr>
      <w:rPr>
        <w:rFonts w:hint="default"/>
      </w:rPr>
    </w:lvl>
    <w:lvl w:ilvl="4" w:tplc="FEACD02A">
      <w:start w:val="1"/>
      <w:numFmt w:val="bullet"/>
      <w:lvlText w:val="•"/>
      <w:lvlJc w:val="left"/>
      <w:pPr>
        <w:ind w:left="3086" w:hanging="567"/>
      </w:pPr>
      <w:rPr>
        <w:rFonts w:hint="default"/>
      </w:rPr>
    </w:lvl>
    <w:lvl w:ilvl="5" w:tplc="82347B3E">
      <w:start w:val="1"/>
      <w:numFmt w:val="bullet"/>
      <w:lvlText w:val="•"/>
      <w:lvlJc w:val="left"/>
      <w:pPr>
        <w:ind w:left="4003" w:hanging="567"/>
      </w:pPr>
      <w:rPr>
        <w:rFonts w:hint="default"/>
      </w:rPr>
    </w:lvl>
    <w:lvl w:ilvl="6" w:tplc="60CE585C">
      <w:start w:val="1"/>
      <w:numFmt w:val="bullet"/>
      <w:lvlText w:val="•"/>
      <w:lvlJc w:val="left"/>
      <w:pPr>
        <w:ind w:left="4919" w:hanging="567"/>
      </w:pPr>
      <w:rPr>
        <w:rFonts w:hint="default"/>
      </w:rPr>
    </w:lvl>
    <w:lvl w:ilvl="7" w:tplc="2FF895D8">
      <w:start w:val="1"/>
      <w:numFmt w:val="bullet"/>
      <w:lvlText w:val="•"/>
      <w:lvlJc w:val="left"/>
      <w:pPr>
        <w:ind w:left="5836" w:hanging="567"/>
      </w:pPr>
      <w:rPr>
        <w:rFonts w:hint="default"/>
      </w:rPr>
    </w:lvl>
    <w:lvl w:ilvl="8" w:tplc="F06CFECA">
      <w:start w:val="1"/>
      <w:numFmt w:val="bullet"/>
      <w:lvlText w:val="•"/>
      <w:lvlJc w:val="left"/>
      <w:pPr>
        <w:ind w:left="6753" w:hanging="567"/>
      </w:pPr>
      <w:rPr>
        <w:rFonts w:hint="default"/>
      </w:rPr>
    </w:lvl>
  </w:abstractNum>
  <w:abstractNum w:abstractNumId="2" w15:restartNumberingAfterBreak="0">
    <w:nsid w:val="062A1D42"/>
    <w:multiLevelType w:val="hybridMultilevel"/>
    <w:tmpl w:val="6FA81BB2"/>
    <w:lvl w:ilvl="0" w:tplc="8FAAD7E8">
      <w:start w:val="1"/>
      <w:numFmt w:val="lowerRoman"/>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F31B20"/>
    <w:multiLevelType w:val="hybridMultilevel"/>
    <w:tmpl w:val="DB0C020A"/>
    <w:lvl w:ilvl="0" w:tplc="F54ACC08">
      <w:start w:val="1"/>
      <w:numFmt w:val="decimal"/>
      <w:pStyle w:val="Style5"/>
      <w:lvlText w:val="%1."/>
      <w:lvlJc w:val="left"/>
      <w:pPr>
        <w:tabs>
          <w:tab w:val="num" w:pos="567"/>
        </w:tabs>
        <w:ind w:left="567" w:hanging="567"/>
      </w:pPr>
      <w:rPr>
        <w:rFonts w:hint="default"/>
        <w:b w:val="0"/>
        <w:i w:val="0"/>
        <w:color w:val="auto"/>
        <w:sz w:val="24"/>
        <w:szCs w:val="24"/>
        <w:vertAlign w:val="baseline"/>
      </w:rPr>
    </w:lvl>
    <w:lvl w:ilvl="1" w:tplc="0C090001">
      <w:start w:val="1"/>
      <w:numFmt w:val="bullet"/>
      <w:lvlText w:val=""/>
      <w:lvlJc w:val="left"/>
      <w:pPr>
        <w:tabs>
          <w:tab w:val="num" w:pos="1134"/>
        </w:tabs>
        <w:ind w:left="1134" w:hanging="567"/>
      </w:pPr>
      <w:rPr>
        <w:rFonts w:ascii="Symbol" w:hAnsi="Symbol" w:hint="default"/>
        <w:b w:val="0"/>
        <w:i w:val="0"/>
        <w:sz w:val="24"/>
        <w:szCs w:val="24"/>
        <w:vertAlign w:val="baseline"/>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612040E2"/>
    <w:multiLevelType w:val="hybridMultilevel"/>
    <w:tmpl w:val="B4D2641E"/>
    <w:lvl w:ilvl="0" w:tplc="05E43D08">
      <w:start w:val="1"/>
      <w:numFmt w:val="lowerLetter"/>
      <w:lvlText w:val="(%1)"/>
      <w:lvlJc w:val="left"/>
      <w:pPr>
        <w:tabs>
          <w:tab w:val="num" w:pos="567"/>
        </w:tabs>
        <w:ind w:left="567"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1A35AA3"/>
    <w:multiLevelType w:val="hybridMultilevel"/>
    <w:tmpl w:val="ED0C9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6"/>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FB"/>
    <w:rsid w:val="000021BA"/>
    <w:rsid w:val="00002C0C"/>
    <w:rsid w:val="00002DE8"/>
    <w:rsid w:val="00004604"/>
    <w:rsid w:val="00005413"/>
    <w:rsid w:val="00011164"/>
    <w:rsid w:val="00016AFC"/>
    <w:rsid w:val="00017753"/>
    <w:rsid w:val="00021767"/>
    <w:rsid w:val="00033D34"/>
    <w:rsid w:val="00035455"/>
    <w:rsid w:val="00036E09"/>
    <w:rsid w:val="000372D9"/>
    <w:rsid w:val="000401FC"/>
    <w:rsid w:val="00041C06"/>
    <w:rsid w:val="00043293"/>
    <w:rsid w:val="00044C61"/>
    <w:rsid w:val="000545E3"/>
    <w:rsid w:val="00056370"/>
    <w:rsid w:val="00056F44"/>
    <w:rsid w:val="0005708C"/>
    <w:rsid w:val="00061993"/>
    <w:rsid w:val="000636F7"/>
    <w:rsid w:val="000645D5"/>
    <w:rsid w:val="00066486"/>
    <w:rsid w:val="00066ABE"/>
    <w:rsid w:val="00066B35"/>
    <w:rsid w:val="00073573"/>
    <w:rsid w:val="00074B9A"/>
    <w:rsid w:val="00075A77"/>
    <w:rsid w:val="00087A48"/>
    <w:rsid w:val="000903EE"/>
    <w:rsid w:val="000914E4"/>
    <w:rsid w:val="000961CD"/>
    <w:rsid w:val="00096EAC"/>
    <w:rsid w:val="000A3245"/>
    <w:rsid w:val="000A3AEA"/>
    <w:rsid w:val="000A5C57"/>
    <w:rsid w:val="000A78A4"/>
    <w:rsid w:val="000B0A5B"/>
    <w:rsid w:val="000B1A97"/>
    <w:rsid w:val="000B256D"/>
    <w:rsid w:val="000B2CC0"/>
    <w:rsid w:val="000B38DA"/>
    <w:rsid w:val="000B53DF"/>
    <w:rsid w:val="000B74CE"/>
    <w:rsid w:val="000C4368"/>
    <w:rsid w:val="000C4C88"/>
    <w:rsid w:val="000D42ED"/>
    <w:rsid w:val="000E109D"/>
    <w:rsid w:val="000E369C"/>
    <w:rsid w:val="000F74EC"/>
    <w:rsid w:val="001011E3"/>
    <w:rsid w:val="00101F83"/>
    <w:rsid w:val="001045C5"/>
    <w:rsid w:val="0010501E"/>
    <w:rsid w:val="0010584F"/>
    <w:rsid w:val="00106F7C"/>
    <w:rsid w:val="00116019"/>
    <w:rsid w:val="00117EDE"/>
    <w:rsid w:val="00120C85"/>
    <w:rsid w:val="00127EB0"/>
    <w:rsid w:val="00133013"/>
    <w:rsid w:val="00134176"/>
    <w:rsid w:val="00141F2D"/>
    <w:rsid w:val="00152E74"/>
    <w:rsid w:val="00154BE6"/>
    <w:rsid w:val="0015565B"/>
    <w:rsid w:val="00155E00"/>
    <w:rsid w:val="001568D6"/>
    <w:rsid w:val="00157481"/>
    <w:rsid w:val="0016285E"/>
    <w:rsid w:val="001641E4"/>
    <w:rsid w:val="00166280"/>
    <w:rsid w:val="00177553"/>
    <w:rsid w:val="0018164C"/>
    <w:rsid w:val="00182FA1"/>
    <w:rsid w:val="001856B1"/>
    <w:rsid w:val="0018614B"/>
    <w:rsid w:val="0018722E"/>
    <w:rsid w:val="00190C3D"/>
    <w:rsid w:val="00193D47"/>
    <w:rsid w:val="001942B7"/>
    <w:rsid w:val="00194A69"/>
    <w:rsid w:val="00196AFC"/>
    <w:rsid w:val="001A55F1"/>
    <w:rsid w:val="001B0D4D"/>
    <w:rsid w:val="001B1EAE"/>
    <w:rsid w:val="001B433C"/>
    <w:rsid w:val="001B61F1"/>
    <w:rsid w:val="001B786A"/>
    <w:rsid w:val="001D064D"/>
    <w:rsid w:val="001D2F39"/>
    <w:rsid w:val="001D76F0"/>
    <w:rsid w:val="001E058C"/>
    <w:rsid w:val="001E42CE"/>
    <w:rsid w:val="001E7D03"/>
    <w:rsid w:val="001F0688"/>
    <w:rsid w:val="001F6D61"/>
    <w:rsid w:val="00202074"/>
    <w:rsid w:val="0020714C"/>
    <w:rsid w:val="00211AD0"/>
    <w:rsid w:val="00217079"/>
    <w:rsid w:val="0021746E"/>
    <w:rsid w:val="00224381"/>
    <w:rsid w:val="00226412"/>
    <w:rsid w:val="00227F50"/>
    <w:rsid w:val="00230593"/>
    <w:rsid w:val="00233299"/>
    <w:rsid w:val="0023336E"/>
    <w:rsid w:val="002348D8"/>
    <w:rsid w:val="002405D5"/>
    <w:rsid w:val="0024331E"/>
    <w:rsid w:val="002436BD"/>
    <w:rsid w:val="00244DC9"/>
    <w:rsid w:val="00245569"/>
    <w:rsid w:val="00246723"/>
    <w:rsid w:val="00253EDF"/>
    <w:rsid w:val="00254EA6"/>
    <w:rsid w:val="00262667"/>
    <w:rsid w:val="002627D2"/>
    <w:rsid w:val="002672E0"/>
    <w:rsid w:val="00270D58"/>
    <w:rsid w:val="002722F6"/>
    <w:rsid w:val="002726D0"/>
    <w:rsid w:val="00272B0C"/>
    <w:rsid w:val="00274C0C"/>
    <w:rsid w:val="0027770C"/>
    <w:rsid w:val="002835CD"/>
    <w:rsid w:val="002844A3"/>
    <w:rsid w:val="00284ED6"/>
    <w:rsid w:val="002A7232"/>
    <w:rsid w:val="002A73BD"/>
    <w:rsid w:val="002B041E"/>
    <w:rsid w:val="002B0439"/>
    <w:rsid w:val="002B2783"/>
    <w:rsid w:val="002B6386"/>
    <w:rsid w:val="002B6D79"/>
    <w:rsid w:val="002B7BB7"/>
    <w:rsid w:val="002C14E9"/>
    <w:rsid w:val="002C3AFA"/>
    <w:rsid w:val="002C4976"/>
    <w:rsid w:val="002D1F9D"/>
    <w:rsid w:val="002D3E02"/>
    <w:rsid w:val="002D46C0"/>
    <w:rsid w:val="002D58F5"/>
    <w:rsid w:val="002D7B6D"/>
    <w:rsid w:val="002E1580"/>
    <w:rsid w:val="002E3ACE"/>
    <w:rsid w:val="002E4B03"/>
    <w:rsid w:val="002F0BD7"/>
    <w:rsid w:val="002F3392"/>
    <w:rsid w:val="002F42C5"/>
    <w:rsid w:val="002F769F"/>
    <w:rsid w:val="00301400"/>
    <w:rsid w:val="0030403D"/>
    <w:rsid w:val="0030506B"/>
    <w:rsid w:val="00307664"/>
    <w:rsid w:val="00310CF8"/>
    <w:rsid w:val="00311318"/>
    <w:rsid w:val="003117CA"/>
    <w:rsid w:val="00313E36"/>
    <w:rsid w:val="00316395"/>
    <w:rsid w:val="003204FE"/>
    <w:rsid w:val="003248D8"/>
    <w:rsid w:val="00324C4D"/>
    <w:rsid w:val="00326070"/>
    <w:rsid w:val="00330462"/>
    <w:rsid w:val="00333198"/>
    <w:rsid w:val="00334045"/>
    <w:rsid w:val="00334D28"/>
    <w:rsid w:val="00334E24"/>
    <w:rsid w:val="0033573E"/>
    <w:rsid w:val="0034065E"/>
    <w:rsid w:val="003526E4"/>
    <w:rsid w:val="00354CB8"/>
    <w:rsid w:val="003710D3"/>
    <w:rsid w:val="0037203F"/>
    <w:rsid w:val="00372112"/>
    <w:rsid w:val="00372195"/>
    <w:rsid w:val="003739DE"/>
    <w:rsid w:val="00375BCE"/>
    <w:rsid w:val="00381F06"/>
    <w:rsid w:val="0038236B"/>
    <w:rsid w:val="00382DD2"/>
    <w:rsid w:val="00382F8A"/>
    <w:rsid w:val="00383B3B"/>
    <w:rsid w:val="003865FB"/>
    <w:rsid w:val="003866AD"/>
    <w:rsid w:val="00387546"/>
    <w:rsid w:val="0039074B"/>
    <w:rsid w:val="00394D40"/>
    <w:rsid w:val="00395028"/>
    <w:rsid w:val="00396341"/>
    <w:rsid w:val="00396A23"/>
    <w:rsid w:val="003A52A5"/>
    <w:rsid w:val="003A66C0"/>
    <w:rsid w:val="003B0516"/>
    <w:rsid w:val="003B0958"/>
    <w:rsid w:val="003B306A"/>
    <w:rsid w:val="003B3D7B"/>
    <w:rsid w:val="003B5297"/>
    <w:rsid w:val="003C0C4B"/>
    <w:rsid w:val="003C41A0"/>
    <w:rsid w:val="003C637E"/>
    <w:rsid w:val="003C7D6A"/>
    <w:rsid w:val="003D229D"/>
    <w:rsid w:val="003D5032"/>
    <w:rsid w:val="003D5880"/>
    <w:rsid w:val="003D5AB0"/>
    <w:rsid w:val="003D6754"/>
    <w:rsid w:val="003E277D"/>
    <w:rsid w:val="003E5D18"/>
    <w:rsid w:val="003E64BB"/>
    <w:rsid w:val="003E7EFA"/>
    <w:rsid w:val="003F31FA"/>
    <w:rsid w:val="003F390C"/>
    <w:rsid w:val="003F5E7C"/>
    <w:rsid w:val="003F6283"/>
    <w:rsid w:val="0040175E"/>
    <w:rsid w:val="00401CE3"/>
    <w:rsid w:val="004040C6"/>
    <w:rsid w:val="004064B9"/>
    <w:rsid w:val="00407B38"/>
    <w:rsid w:val="004108AC"/>
    <w:rsid w:val="00410D78"/>
    <w:rsid w:val="004112A5"/>
    <w:rsid w:val="00412C60"/>
    <w:rsid w:val="00413C89"/>
    <w:rsid w:val="00414D63"/>
    <w:rsid w:val="00414EE9"/>
    <w:rsid w:val="00415102"/>
    <w:rsid w:val="004172B2"/>
    <w:rsid w:val="00422164"/>
    <w:rsid w:val="00423D71"/>
    <w:rsid w:val="004247A8"/>
    <w:rsid w:val="00425230"/>
    <w:rsid w:val="00425B38"/>
    <w:rsid w:val="00426088"/>
    <w:rsid w:val="00435EF5"/>
    <w:rsid w:val="0044159C"/>
    <w:rsid w:val="00443A02"/>
    <w:rsid w:val="0045032D"/>
    <w:rsid w:val="00450440"/>
    <w:rsid w:val="00451C5A"/>
    <w:rsid w:val="0045607C"/>
    <w:rsid w:val="00456505"/>
    <w:rsid w:val="00460DC0"/>
    <w:rsid w:val="00463239"/>
    <w:rsid w:val="0046649A"/>
    <w:rsid w:val="00470C3D"/>
    <w:rsid w:val="004721F7"/>
    <w:rsid w:val="0047493F"/>
    <w:rsid w:val="00474C0D"/>
    <w:rsid w:val="00477083"/>
    <w:rsid w:val="0048002E"/>
    <w:rsid w:val="0048149F"/>
    <w:rsid w:val="00485DC2"/>
    <w:rsid w:val="00485F03"/>
    <w:rsid w:val="0048727B"/>
    <w:rsid w:val="0049188F"/>
    <w:rsid w:val="00494327"/>
    <w:rsid w:val="00494A07"/>
    <w:rsid w:val="00496465"/>
    <w:rsid w:val="004A275F"/>
    <w:rsid w:val="004A38BA"/>
    <w:rsid w:val="004A52F0"/>
    <w:rsid w:val="004A68ED"/>
    <w:rsid w:val="004A7EE1"/>
    <w:rsid w:val="004B2654"/>
    <w:rsid w:val="004B2AC6"/>
    <w:rsid w:val="004B2F2A"/>
    <w:rsid w:val="004B6411"/>
    <w:rsid w:val="004C0C73"/>
    <w:rsid w:val="004C3D07"/>
    <w:rsid w:val="004C5F3D"/>
    <w:rsid w:val="004C5FCE"/>
    <w:rsid w:val="004D2A4C"/>
    <w:rsid w:val="004D3477"/>
    <w:rsid w:val="004D6608"/>
    <w:rsid w:val="004D7CE8"/>
    <w:rsid w:val="004E2008"/>
    <w:rsid w:val="004E4004"/>
    <w:rsid w:val="004F0E66"/>
    <w:rsid w:val="004F1177"/>
    <w:rsid w:val="004F3AA6"/>
    <w:rsid w:val="004F4C0C"/>
    <w:rsid w:val="00506B92"/>
    <w:rsid w:val="00512A7F"/>
    <w:rsid w:val="00513E43"/>
    <w:rsid w:val="0051749B"/>
    <w:rsid w:val="00517C6B"/>
    <w:rsid w:val="0052009A"/>
    <w:rsid w:val="00520498"/>
    <w:rsid w:val="00523331"/>
    <w:rsid w:val="00523B09"/>
    <w:rsid w:val="00526BD5"/>
    <w:rsid w:val="00527067"/>
    <w:rsid w:val="0052739C"/>
    <w:rsid w:val="0053350C"/>
    <w:rsid w:val="00533C6C"/>
    <w:rsid w:val="005370CA"/>
    <w:rsid w:val="00537EB9"/>
    <w:rsid w:val="00544620"/>
    <w:rsid w:val="005461FA"/>
    <w:rsid w:val="00547D5E"/>
    <w:rsid w:val="00550582"/>
    <w:rsid w:val="00550B14"/>
    <w:rsid w:val="00551787"/>
    <w:rsid w:val="00552247"/>
    <w:rsid w:val="00552873"/>
    <w:rsid w:val="005556C2"/>
    <w:rsid w:val="00556AC6"/>
    <w:rsid w:val="00557282"/>
    <w:rsid w:val="00560B42"/>
    <w:rsid w:val="00561213"/>
    <w:rsid w:val="0056141D"/>
    <w:rsid w:val="005647AC"/>
    <w:rsid w:val="00570A7C"/>
    <w:rsid w:val="00571AB7"/>
    <w:rsid w:val="0057262A"/>
    <w:rsid w:val="00573ED0"/>
    <w:rsid w:val="00580BFB"/>
    <w:rsid w:val="00581FCD"/>
    <w:rsid w:val="00585487"/>
    <w:rsid w:val="00585962"/>
    <w:rsid w:val="00586A12"/>
    <w:rsid w:val="0058770B"/>
    <w:rsid w:val="005901D6"/>
    <w:rsid w:val="00594789"/>
    <w:rsid w:val="005A3941"/>
    <w:rsid w:val="005B00CF"/>
    <w:rsid w:val="005B0946"/>
    <w:rsid w:val="005B0A52"/>
    <w:rsid w:val="005B0CCE"/>
    <w:rsid w:val="005B4877"/>
    <w:rsid w:val="005B5471"/>
    <w:rsid w:val="005B5E9A"/>
    <w:rsid w:val="005B7269"/>
    <w:rsid w:val="005C237C"/>
    <w:rsid w:val="005C3092"/>
    <w:rsid w:val="005C6165"/>
    <w:rsid w:val="005C63A2"/>
    <w:rsid w:val="005C7E36"/>
    <w:rsid w:val="005D129D"/>
    <w:rsid w:val="005D333C"/>
    <w:rsid w:val="005D4447"/>
    <w:rsid w:val="005D6B0B"/>
    <w:rsid w:val="005E0740"/>
    <w:rsid w:val="005E3648"/>
    <w:rsid w:val="005E49B7"/>
    <w:rsid w:val="005E5910"/>
    <w:rsid w:val="005F0929"/>
    <w:rsid w:val="005F136C"/>
    <w:rsid w:val="005F2CE4"/>
    <w:rsid w:val="005F45EC"/>
    <w:rsid w:val="005F488A"/>
    <w:rsid w:val="005F5961"/>
    <w:rsid w:val="006001E4"/>
    <w:rsid w:val="006038AE"/>
    <w:rsid w:val="006039D4"/>
    <w:rsid w:val="006061BD"/>
    <w:rsid w:val="0060749F"/>
    <w:rsid w:val="006075C2"/>
    <w:rsid w:val="0060766B"/>
    <w:rsid w:val="0060767B"/>
    <w:rsid w:val="006141EF"/>
    <w:rsid w:val="00622480"/>
    <w:rsid w:val="00625842"/>
    <w:rsid w:val="00631C9D"/>
    <w:rsid w:val="006325B5"/>
    <w:rsid w:val="00633A2C"/>
    <w:rsid w:val="006365A0"/>
    <w:rsid w:val="00640067"/>
    <w:rsid w:val="006417D0"/>
    <w:rsid w:val="00642B39"/>
    <w:rsid w:val="00642B95"/>
    <w:rsid w:val="006446FB"/>
    <w:rsid w:val="00644F76"/>
    <w:rsid w:val="0064571B"/>
    <w:rsid w:val="00647D58"/>
    <w:rsid w:val="00651B5B"/>
    <w:rsid w:val="00653F2B"/>
    <w:rsid w:val="00654A7A"/>
    <w:rsid w:val="00657678"/>
    <w:rsid w:val="00657782"/>
    <w:rsid w:val="00660E2F"/>
    <w:rsid w:val="006621FA"/>
    <w:rsid w:val="00662E3A"/>
    <w:rsid w:val="00663BFA"/>
    <w:rsid w:val="00664755"/>
    <w:rsid w:val="0067066D"/>
    <w:rsid w:val="00670D0C"/>
    <w:rsid w:val="00671C5A"/>
    <w:rsid w:val="00673F46"/>
    <w:rsid w:val="00674D38"/>
    <w:rsid w:val="00680329"/>
    <w:rsid w:val="006826D1"/>
    <w:rsid w:val="00682865"/>
    <w:rsid w:val="00684F73"/>
    <w:rsid w:val="006852CA"/>
    <w:rsid w:val="006863C6"/>
    <w:rsid w:val="006873B3"/>
    <w:rsid w:val="006876EC"/>
    <w:rsid w:val="0069032E"/>
    <w:rsid w:val="006930ED"/>
    <w:rsid w:val="0069346B"/>
    <w:rsid w:val="00693EBA"/>
    <w:rsid w:val="006A6A9A"/>
    <w:rsid w:val="006B093F"/>
    <w:rsid w:val="006B1AC0"/>
    <w:rsid w:val="006B1BF4"/>
    <w:rsid w:val="006B7C29"/>
    <w:rsid w:val="006C1B03"/>
    <w:rsid w:val="006C2152"/>
    <w:rsid w:val="006C2AD8"/>
    <w:rsid w:val="006C71F8"/>
    <w:rsid w:val="006D14B6"/>
    <w:rsid w:val="006D3932"/>
    <w:rsid w:val="006D5B2E"/>
    <w:rsid w:val="006E37B6"/>
    <w:rsid w:val="006E381F"/>
    <w:rsid w:val="006E6CE1"/>
    <w:rsid w:val="006F312D"/>
    <w:rsid w:val="006F3972"/>
    <w:rsid w:val="006F5C47"/>
    <w:rsid w:val="0070053F"/>
    <w:rsid w:val="00702606"/>
    <w:rsid w:val="007031F4"/>
    <w:rsid w:val="00703AE3"/>
    <w:rsid w:val="007049CF"/>
    <w:rsid w:val="00705AFA"/>
    <w:rsid w:val="00706A07"/>
    <w:rsid w:val="00710BB8"/>
    <w:rsid w:val="00710FC1"/>
    <w:rsid w:val="007123E6"/>
    <w:rsid w:val="0071265C"/>
    <w:rsid w:val="00712E1A"/>
    <w:rsid w:val="007160F5"/>
    <w:rsid w:val="0071640D"/>
    <w:rsid w:val="00716C90"/>
    <w:rsid w:val="00727743"/>
    <w:rsid w:val="00730A60"/>
    <w:rsid w:val="00730BB3"/>
    <w:rsid w:val="00731FA6"/>
    <w:rsid w:val="00733A9C"/>
    <w:rsid w:val="007368AD"/>
    <w:rsid w:val="00740183"/>
    <w:rsid w:val="00742513"/>
    <w:rsid w:val="00742524"/>
    <w:rsid w:val="007428D4"/>
    <w:rsid w:val="00747AFF"/>
    <w:rsid w:val="00751CEB"/>
    <w:rsid w:val="0075321F"/>
    <w:rsid w:val="00754AC9"/>
    <w:rsid w:val="00755EE9"/>
    <w:rsid w:val="0075713B"/>
    <w:rsid w:val="0076085B"/>
    <w:rsid w:val="00760D4D"/>
    <w:rsid w:val="00761B22"/>
    <w:rsid w:val="0076276F"/>
    <w:rsid w:val="00763DD0"/>
    <w:rsid w:val="00764468"/>
    <w:rsid w:val="00765D00"/>
    <w:rsid w:val="00766261"/>
    <w:rsid w:val="00771B50"/>
    <w:rsid w:val="007763C1"/>
    <w:rsid w:val="00783359"/>
    <w:rsid w:val="007839D8"/>
    <w:rsid w:val="007851DC"/>
    <w:rsid w:val="00785CDC"/>
    <w:rsid w:val="00790740"/>
    <w:rsid w:val="00793092"/>
    <w:rsid w:val="007967EB"/>
    <w:rsid w:val="00796A67"/>
    <w:rsid w:val="007A5A6D"/>
    <w:rsid w:val="007A747C"/>
    <w:rsid w:val="007B3B44"/>
    <w:rsid w:val="007B5F94"/>
    <w:rsid w:val="007B7F14"/>
    <w:rsid w:val="007C16CA"/>
    <w:rsid w:val="007C2298"/>
    <w:rsid w:val="007D4CA3"/>
    <w:rsid w:val="007D51CF"/>
    <w:rsid w:val="007E1DD5"/>
    <w:rsid w:val="007E23C0"/>
    <w:rsid w:val="007E4B2A"/>
    <w:rsid w:val="007E6CE0"/>
    <w:rsid w:val="007F197B"/>
    <w:rsid w:val="007F569A"/>
    <w:rsid w:val="007F68E8"/>
    <w:rsid w:val="007F7FDF"/>
    <w:rsid w:val="00811BD9"/>
    <w:rsid w:val="00814C76"/>
    <w:rsid w:val="00815838"/>
    <w:rsid w:val="00815B95"/>
    <w:rsid w:val="0081701D"/>
    <w:rsid w:val="00817C33"/>
    <w:rsid w:val="00820034"/>
    <w:rsid w:val="008210F0"/>
    <w:rsid w:val="0082225E"/>
    <w:rsid w:val="0082308D"/>
    <w:rsid w:val="0082342B"/>
    <w:rsid w:val="00830F66"/>
    <w:rsid w:val="00832D4B"/>
    <w:rsid w:val="00833AE9"/>
    <w:rsid w:val="008364CE"/>
    <w:rsid w:val="008376DA"/>
    <w:rsid w:val="008377CA"/>
    <w:rsid w:val="00840510"/>
    <w:rsid w:val="00843AEF"/>
    <w:rsid w:val="00843F95"/>
    <w:rsid w:val="00852D7C"/>
    <w:rsid w:val="00853353"/>
    <w:rsid w:val="00853D97"/>
    <w:rsid w:val="008551AA"/>
    <w:rsid w:val="0085625C"/>
    <w:rsid w:val="008619BD"/>
    <w:rsid w:val="0086334C"/>
    <w:rsid w:val="00865E23"/>
    <w:rsid w:val="00872B2D"/>
    <w:rsid w:val="008748A5"/>
    <w:rsid w:val="00875897"/>
    <w:rsid w:val="00880FF6"/>
    <w:rsid w:val="00883CFC"/>
    <w:rsid w:val="00884B0B"/>
    <w:rsid w:val="00885690"/>
    <w:rsid w:val="0088738A"/>
    <w:rsid w:val="00895C66"/>
    <w:rsid w:val="008964BE"/>
    <w:rsid w:val="00896937"/>
    <w:rsid w:val="00897EA3"/>
    <w:rsid w:val="008A423E"/>
    <w:rsid w:val="008A6BBE"/>
    <w:rsid w:val="008A72D6"/>
    <w:rsid w:val="008A77E6"/>
    <w:rsid w:val="008A7E78"/>
    <w:rsid w:val="008B343C"/>
    <w:rsid w:val="008B3880"/>
    <w:rsid w:val="008B7D5B"/>
    <w:rsid w:val="008C0765"/>
    <w:rsid w:val="008C1E91"/>
    <w:rsid w:val="008C432B"/>
    <w:rsid w:val="008C451A"/>
    <w:rsid w:val="008C6DCE"/>
    <w:rsid w:val="008D12C3"/>
    <w:rsid w:val="008D18A0"/>
    <w:rsid w:val="008D1CDE"/>
    <w:rsid w:val="008D2A92"/>
    <w:rsid w:val="008D3088"/>
    <w:rsid w:val="008D3E51"/>
    <w:rsid w:val="008E2097"/>
    <w:rsid w:val="008E2B37"/>
    <w:rsid w:val="008E2F21"/>
    <w:rsid w:val="008E4AF6"/>
    <w:rsid w:val="008E5D4C"/>
    <w:rsid w:val="008E6DAE"/>
    <w:rsid w:val="008F0B05"/>
    <w:rsid w:val="008F0CD1"/>
    <w:rsid w:val="008F11E4"/>
    <w:rsid w:val="008F3326"/>
    <w:rsid w:val="008F4C65"/>
    <w:rsid w:val="00901AB0"/>
    <w:rsid w:val="0090522E"/>
    <w:rsid w:val="00906ECD"/>
    <w:rsid w:val="00915938"/>
    <w:rsid w:val="0091777B"/>
    <w:rsid w:val="00917EB0"/>
    <w:rsid w:val="00920881"/>
    <w:rsid w:val="00930715"/>
    <w:rsid w:val="00930913"/>
    <w:rsid w:val="00932EFA"/>
    <w:rsid w:val="00933963"/>
    <w:rsid w:val="00934C4B"/>
    <w:rsid w:val="00940EBD"/>
    <w:rsid w:val="00941572"/>
    <w:rsid w:val="009463C9"/>
    <w:rsid w:val="00947DAE"/>
    <w:rsid w:val="00951253"/>
    <w:rsid w:val="00952863"/>
    <w:rsid w:val="00957408"/>
    <w:rsid w:val="00957604"/>
    <w:rsid w:val="009607EA"/>
    <w:rsid w:val="00960B0C"/>
    <w:rsid w:val="00962A4E"/>
    <w:rsid w:val="00962E70"/>
    <w:rsid w:val="00964CD7"/>
    <w:rsid w:val="009664B5"/>
    <w:rsid w:val="00966CC5"/>
    <w:rsid w:val="00967D16"/>
    <w:rsid w:val="009737C1"/>
    <w:rsid w:val="0097591F"/>
    <w:rsid w:val="009833AB"/>
    <w:rsid w:val="009849DE"/>
    <w:rsid w:val="009857A4"/>
    <w:rsid w:val="00985EA9"/>
    <w:rsid w:val="00990A43"/>
    <w:rsid w:val="009912A5"/>
    <w:rsid w:val="00993D59"/>
    <w:rsid w:val="00996D99"/>
    <w:rsid w:val="009A02FA"/>
    <w:rsid w:val="009A0A95"/>
    <w:rsid w:val="009A377B"/>
    <w:rsid w:val="009A3C98"/>
    <w:rsid w:val="009A4E70"/>
    <w:rsid w:val="009B3959"/>
    <w:rsid w:val="009B6DAC"/>
    <w:rsid w:val="009C3AAA"/>
    <w:rsid w:val="009C5368"/>
    <w:rsid w:val="009D005B"/>
    <w:rsid w:val="009D1AD4"/>
    <w:rsid w:val="009D1B19"/>
    <w:rsid w:val="009D22E8"/>
    <w:rsid w:val="009D2657"/>
    <w:rsid w:val="009D38FB"/>
    <w:rsid w:val="009E409F"/>
    <w:rsid w:val="009F0DBC"/>
    <w:rsid w:val="009F1E12"/>
    <w:rsid w:val="009F287D"/>
    <w:rsid w:val="009F7ED8"/>
    <w:rsid w:val="00A00207"/>
    <w:rsid w:val="00A040A6"/>
    <w:rsid w:val="00A046EA"/>
    <w:rsid w:val="00A04A75"/>
    <w:rsid w:val="00A11325"/>
    <w:rsid w:val="00A12736"/>
    <w:rsid w:val="00A12C6D"/>
    <w:rsid w:val="00A13AAC"/>
    <w:rsid w:val="00A279AF"/>
    <w:rsid w:val="00A318C5"/>
    <w:rsid w:val="00A31CA2"/>
    <w:rsid w:val="00A32A77"/>
    <w:rsid w:val="00A379A1"/>
    <w:rsid w:val="00A4133B"/>
    <w:rsid w:val="00A4490B"/>
    <w:rsid w:val="00A50497"/>
    <w:rsid w:val="00A530C9"/>
    <w:rsid w:val="00A602D3"/>
    <w:rsid w:val="00A6341F"/>
    <w:rsid w:val="00A63A2B"/>
    <w:rsid w:val="00A63BF3"/>
    <w:rsid w:val="00A659D8"/>
    <w:rsid w:val="00A7092E"/>
    <w:rsid w:val="00A71BDE"/>
    <w:rsid w:val="00A72455"/>
    <w:rsid w:val="00A808B8"/>
    <w:rsid w:val="00A815DC"/>
    <w:rsid w:val="00A8365B"/>
    <w:rsid w:val="00A864FC"/>
    <w:rsid w:val="00A905D1"/>
    <w:rsid w:val="00A908E7"/>
    <w:rsid w:val="00A92B2A"/>
    <w:rsid w:val="00A92B3C"/>
    <w:rsid w:val="00A9410A"/>
    <w:rsid w:val="00A9527B"/>
    <w:rsid w:val="00A955AB"/>
    <w:rsid w:val="00AA4A7C"/>
    <w:rsid w:val="00AB416E"/>
    <w:rsid w:val="00AC02FB"/>
    <w:rsid w:val="00AC2517"/>
    <w:rsid w:val="00AC2DEA"/>
    <w:rsid w:val="00AC59D7"/>
    <w:rsid w:val="00AC7A56"/>
    <w:rsid w:val="00AD140F"/>
    <w:rsid w:val="00AD2C45"/>
    <w:rsid w:val="00AD5E55"/>
    <w:rsid w:val="00AE1E62"/>
    <w:rsid w:val="00AE2041"/>
    <w:rsid w:val="00AE25A0"/>
    <w:rsid w:val="00AF0D04"/>
    <w:rsid w:val="00AF22B1"/>
    <w:rsid w:val="00AF5E4D"/>
    <w:rsid w:val="00B0059A"/>
    <w:rsid w:val="00B00A20"/>
    <w:rsid w:val="00B0101E"/>
    <w:rsid w:val="00B04613"/>
    <w:rsid w:val="00B048E9"/>
    <w:rsid w:val="00B04B20"/>
    <w:rsid w:val="00B058DB"/>
    <w:rsid w:val="00B05C47"/>
    <w:rsid w:val="00B06C76"/>
    <w:rsid w:val="00B104FE"/>
    <w:rsid w:val="00B11304"/>
    <w:rsid w:val="00B15AB0"/>
    <w:rsid w:val="00B17AB2"/>
    <w:rsid w:val="00B2050E"/>
    <w:rsid w:val="00B20EA4"/>
    <w:rsid w:val="00B2445C"/>
    <w:rsid w:val="00B321A7"/>
    <w:rsid w:val="00B3495C"/>
    <w:rsid w:val="00B34AB7"/>
    <w:rsid w:val="00B35075"/>
    <w:rsid w:val="00B36CB1"/>
    <w:rsid w:val="00B40A51"/>
    <w:rsid w:val="00B41515"/>
    <w:rsid w:val="00B432DE"/>
    <w:rsid w:val="00B43486"/>
    <w:rsid w:val="00B600DA"/>
    <w:rsid w:val="00B60FF9"/>
    <w:rsid w:val="00B61B78"/>
    <w:rsid w:val="00B62A86"/>
    <w:rsid w:val="00B64B2E"/>
    <w:rsid w:val="00B70852"/>
    <w:rsid w:val="00B736A9"/>
    <w:rsid w:val="00B74EB7"/>
    <w:rsid w:val="00B7519A"/>
    <w:rsid w:val="00B80130"/>
    <w:rsid w:val="00B85429"/>
    <w:rsid w:val="00B85B6E"/>
    <w:rsid w:val="00B85F97"/>
    <w:rsid w:val="00B87167"/>
    <w:rsid w:val="00B91557"/>
    <w:rsid w:val="00B9249B"/>
    <w:rsid w:val="00B94460"/>
    <w:rsid w:val="00B97479"/>
    <w:rsid w:val="00BA2D37"/>
    <w:rsid w:val="00BA3F5D"/>
    <w:rsid w:val="00BA458A"/>
    <w:rsid w:val="00BA6307"/>
    <w:rsid w:val="00BB1678"/>
    <w:rsid w:val="00BB1A33"/>
    <w:rsid w:val="00BB64B8"/>
    <w:rsid w:val="00BC0F67"/>
    <w:rsid w:val="00BC3724"/>
    <w:rsid w:val="00BC5F20"/>
    <w:rsid w:val="00BC7D62"/>
    <w:rsid w:val="00BD0595"/>
    <w:rsid w:val="00BD0CE6"/>
    <w:rsid w:val="00BD1B0B"/>
    <w:rsid w:val="00BD1C29"/>
    <w:rsid w:val="00BD7F9D"/>
    <w:rsid w:val="00BE36B6"/>
    <w:rsid w:val="00BE708B"/>
    <w:rsid w:val="00BF08BE"/>
    <w:rsid w:val="00BF0ED7"/>
    <w:rsid w:val="00BF2953"/>
    <w:rsid w:val="00BF29D8"/>
    <w:rsid w:val="00C02897"/>
    <w:rsid w:val="00C03C7C"/>
    <w:rsid w:val="00C03E54"/>
    <w:rsid w:val="00C07A4E"/>
    <w:rsid w:val="00C10269"/>
    <w:rsid w:val="00C11CC0"/>
    <w:rsid w:val="00C12CF2"/>
    <w:rsid w:val="00C132DF"/>
    <w:rsid w:val="00C1592D"/>
    <w:rsid w:val="00C16B09"/>
    <w:rsid w:val="00C1778A"/>
    <w:rsid w:val="00C20C09"/>
    <w:rsid w:val="00C20F0B"/>
    <w:rsid w:val="00C23774"/>
    <w:rsid w:val="00C24E51"/>
    <w:rsid w:val="00C25652"/>
    <w:rsid w:val="00C27B11"/>
    <w:rsid w:val="00C302FA"/>
    <w:rsid w:val="00C312F8"/>
    <w:rsid w:val="00C337E2"/>
    <w:rsid w:val="00C352AA"/>
    <w:rsid w:val="00C363EB"/>
    <w:rsid w:val="00C36A18"/>
    <w:rsid w:val="00C36A54"/>
    <w:rsid w:val="00C40AF0"/>
    <w:rsid w:val="00C4272D"/>
    <w:rsid w:val="00C42FFD"/>
    <w:rsid w:val="00C44105"/>
    <w:rsid w:val="00C453EA"/>
    <w:rsid w:val="00C459BD"/>
    <w:rsid w:val="00C4721B"/>
    <w:rsid w:val="00C47613"/>
    <w:rsid w:val="00C5156F"/>
    <w:rsid w:val="00C52B76"/>
    <w:rsid w:val="00C55409"/>
    <w:rsid w:val="00C57286"/>
    <w:rsid w:val="00C629E7"/>
    <w:rsid w:val="00C64B3A"/>
    <w:rsid w:val="00C65469"/>
    <w:rsid w:val="00C66160"/>
    <w:rsid w:val="00C71EC5"/>
    <w:rsid w:val="00C75EE2"/>
    <w:rsid w:val="00C82FD3"/>
    <w:rsid w:val="00C86777"/>
    <w:rsid w:val="00C87D61"/>
    <w:rsid w:val="00C948AA"/>
    <w:rsid w:val="00C956ED"/>
    <w:rsid w:val="00C97E10"/>
    <w:rsid w:val="00CA07B1"/>
    <w:rsid w:val="00CA5781"/>
    <w:rsid w:val="00CA6CB3"/>
    <w:rsid w:val="00CA7093"/>
    <w:rsid w:val="00CB09B6"/>
    <w:rsid w:val="00CB32CC"/>
    <w:rsid w:val="00CB384A"/>
    <w:rsid w:val="00CB4B41"/>
    <w:rsid w:val="00CB5925"/>
    <w:rsid w:val="00CB60FD"/>
    <w:rsid w:val="00CC0360"/>
    <w:rsid w:val="00CC16AC"/>
    <w:rsid w:val="00CC18C2"/>
    <w:rsid w:val="00CC2B1E"/>
    <w:rsid w:val="00CC74D1"/>
    <w:rsid w:val="00CC7BBE"/>
    <w:rsid w:val="00CD1489"/>
    <w:rsid w:val="00CD1947"/>
    <w:rsid w:val="00CD342A"/>
    <w:rsid w:val="00CD3B8F"/>
    <w:rsid w:val="00CD60F5"/>
    <w:rsid w:val="00CD717A"/>
    <w:rsid w:val="00CD7348"/>
    <w:rsid w:val="00CE116F"/>
    <w:rsid w:val="00CE3EF2"/>
    <w:rsid w:val="00CE5272"/>
    <w:rsid w:val="00CE5F13"/>
    <w:rsid w:val="00CF4C43"/>
    <w:rsid w:val="00CF6A1E"/>
    <w:rsid w:val="00D021C8"/>
    <w:rsid w:val="00D02897"/>
    <w:rsid w:val="00D040B5"/>
    <w:rsid w:val="00D04EAD"/>
    <w:rsid w:val="00D067FB"/>
    <w:rsid w:val="00D07756"/>
    <w:rsid w:val="00D119F5"/>
    <w:rsid w:val="00D15B99"/>
    <w:rsid w:val="00D17CBA"/>
    <w:rsid w:val="00D2228B"/>
    <w:rsid w:val="00D22567"/>
    <w:rsid w:val="00D22646"/>
    <w:rsid w:val="00D22A3C"/>
    <w:rsid w:val="00D242A7"/>
    <w:rsid w:val="00D30A90"/>
    <w:rsid w:val="00D33005"/>
    <w:rsid w:val="00D33224"/>
    <w:rsid w:val="00D3484E"/>
    <w:rsid w:val="00D35ED3"/>
    <w:rsid w:val="00D3681A"/>
    <w:rsid w:val="00D437E6"/>
    <w:rsid w:val="00D53B59"/>
    <w:rsid w:val="00D546F3"/>
    <w:rsid w:val="00D553A1"/>
    <w:rsid w:val="00D56257"/>
    <w:rsid w:val="00D56510"/>
    <w:rsid w:val="00D56937"/>
    <w:rsid w:val="00D60154"/>
    <w:rsid w:val="00D620CD"/>
    <w:rsid w:val="00D64906"/>
    <w:rsid w:val="00D6693A"/>
    <w:rsid w:val="00D730AD"/>
    <w:rsid w:val="00D73D07"/>
    <w:rsid w:val="00D80A91"/>
    <w:rsid w:val="00D81B73"/>
    <w:rsid w:val="00D83531"/>
    <w:rsid w:val="00D838C2"/>
    <w:rsid w:val="00D84BA7"/>
    <w:rsid w:val="00D852BD"/>
    <w:rsid w:val="00D85495"/>
    <w:rsid w:val="00D87E36"/>
    <w:rsid w:val="00D91A02"/>
    <w:rsid w:val="00D94075"/>
    <w:rsid w:val="00D9484D"/>
    <w:rsid w:val="00D9625A"/>
    <w:rsid w:val="00DB0E58"/>
    <w:rsid w:val="00DB17CA"/>
    <w:rsid w:val="00DB1CBF"/>
    <w:rsid w:val="00DB4FFF"/>
    <w:rsid w:val="00DB543A"/>
    <w:rsid w:val="00DB7BB9"/>
    <w:rsid w:val="00DC20CC"/>
    <w:rsid w:val="00DC249B"/>
    <w:rsid w:val="00DC4607"/>
    <w:rsid w:val="00DC5073"/>
    <w:rsid w:val="00DC579E"/>
    <w:rsid w:val="00DC6B74"/>
    <w:rsid w:val="00DD1E96"/>
    <w:rsid w:val="00DD447E"/>
    <w:rsid w:val="00DD4AB0"/>
    <w:rsid w:val="00DD5F02"/>
    <w:rsid w:val="00DE1646"/>
    <w:rsid w:val="00DE213D"/>
    <w:rsid w:val="00DE6310"/>
    <w:rsid w:val="00DF0670"/>
    <w:rsid w:val="00DF4193"/>
    <w:rsid w:val="00DF524E"/>
    <w:rsid w:val="00DF63E5"/>
    <w:rsid w:val="00DF6CD2"/>
    <w:rsid w:val="00E00354"/>
    <w:rsid w:val="00E01495"/>
    <w:rsid w:val="00E01DD8"/>
    <w:rsid w:val="00E02AF6"/>
    <w:rsid w:val="00E02EDB"/>
    <w:rsid w:val="00E1147F"/>
    <w:rsid w:val="00E15497"/>
    <w:rsid w:val="00E154A3"/>
    <w:rsid w:val="00E15A3C"/>
    <w:rsid w:val="00E16789"/>
    <w:rsid w:val="00E201A8"/>
    <w:rsid w:val="00E20418"/>
    <w:rsid w:val="00E20724"/>
    <w:rsid w:val="00E20A96"/>
    <w:rsid w:val="00E21C53"/>
    <w:rsid w:val="00E23DDA"/>
    <w:rsid w:val="00E27728"/>
    <w:rsid w:val="00E304CF"/>
    <w:rsid w:val="00E33629"/>
    <w:rsid w:val="00E3443C"/>
    <w:rsid w:val="00E41BC5"/>
    <w:rsid w:val="00E47DF9"/>
    <w:rsid w:val="00E52DFE"/>
    <w:rsid w:val="00E54E5E"/>
    <w:rsid w:val="00E609E3"/>
    <w:rsid w:val="00E60D6A"/>
    <w:rsid w:val="00E61012"/>
    <w:rsid w:val="00E61B19"/>
    <w:rsid w:val="00E625F1"/>
    <w:rsid w:val="00E64B5D"/>
    <w:rsid w:val="00E65570"/>
    <w:rsid w:val="00E65AFB"/>
    <w:rsid w:val="00E73131"/>
    <w:rsid w:val="00E752F6"/>
    <w:rsid w:val="00E76924"/>
    <w:rsid w:val="00E829A1"/>
    <w:rsid w:val="00E8437C"/>
    <w:rsid w:val="00E87BBB"/>
    <w:rsid w:val="00E90C89"/>
    <w:rsid w:val="00E92FDD"/>
    <w:rsid w:val="00E9734C"/>
    <w:rsid w:val="00E9738A"/>
    <w:rsid w:val="00E97A88"/>
    <w:rsid w:val="00EA05AC"/>
    <w:rsid w:val="00EA09EA"/>
    <w:rsid w:val="00EA2631"/>
    <w:rsid w:val="00EA2E1B"/>
    <w:rsid w:val="00EA3F2D"/>
    <w:rsid w:val="00EA4B33"/>
    <w:rsid w:val="00EB1E7E"/>
    <w:rsid w:val="00EB5844"/>
    <w:rsid w:val="00EC5653"/>
    <w:rsid w:val="00ED038D"/>
    <w:rsid w:val="00ED753E"/>
    <w:rsid w:val="00EE04DD"/>
    <w:rsid w:val="00EE19FE"/>
    <w:rsid w:val="00EE3DB9"/>
    <w:rsid w:val="00EE5E05"/>
    <w:rsid w:val="00EE65BD"/>
    <w:rsid w:val="00EE72C2"/>
    <w:rsid w:val="00EF0DDF"/>
    <w:rsid w:val="00EF365E"/>
    <w:rsid w:val="00EF38DF"/>
    <w:rsid w:val="00EF691B"/>
    <w:rsid w:val="00F00E38"/>
    <w:rsid w:val="00F107AF"/>
    <w:rsid w:val="00F1089E"/>
    <w:rsid w:val="00F10ABE"/>
    <w:rsid w:val="00F119E8"/>
    <w:rsid w:val="00F136A2"/>
    <w:rsid w:val="00F13949"/>
    <w:rsid w:val="00F16457"/>
    <w:rsid w:val="00F23BBF"/>
    <w:rsid w:val="00F253AC"/>
    <w:rsid w:val="00F33B90"/>
    <w:rsid w:val="00F362B4"/>
    <w:rsid w:val="00F365A8"/>
    <w:rsid w:val="00F367A8"/>
    <w:rsid w:val="00F3684B"/>
    <w:rsid w:val="00F371A1"/>
    <w:rsid w:val="00F376C4"/>
    <w:rsid w:val="00F4084F"/>
    <w:rsid w:val="00F436BC"/>
    <w:rsid w:val="00F46039"/>
    <w:rsid w:val="00F47FE2"/>
    <w:rsid w:val="00F527D2"/>
    <w:rsid w:val="00F554AC"/>
    <w:rsid w:val="00F57746"/>
    <w:rsid w:val="00F57F66"/>
    <w:rsid w:val="00F623D7"/>
    <w:rsid w:val="00F63A2E"/>
    <w:rsid w:val="00F64015"/>
    <w:rsid w:val="00F71064"/>
    <w:rsid w:val="00F7706D"/>
    <w:rsid w:val="00F7752F"/>
    <w:rsid w:val="00F806F1"/>
    <w:rsid w:val="00F87BEC"/>
    <w:rsid w:val="00F90E53"/>
    <w:rsid w:val="00F9451E"/>
    <w:rsid w:val="00F9550E"/>
    <w:rsid w:val="00FA1DAF"/>
    <w:rsid w:val="00FA4160"/>
    <w:rsid w:val="00FA5345"/>
    <w:rsid w:val="00FA6622"/>
    <w:rsid w:val="00FB2CE6"/>
    <w:rsid w:val="00FB4063"/>
    <w:rsid w:val="00FB54F5"/>
    <w:rsid w:val="00FB5BDE"/>
    <w:rsid w:val="00FC494F"/>
    <w:rsid w:val="00FD1E4A"/>
    <w:rsid w:val="00FD2FCA"/>
    <w:rsid w:val="00FE0844"/>
    <w:rsid w:val="00FE4874"/>
    <w:rsid w:val="00FE4AE7"/>
    <w:rsid w:val="00FE4D94"/>
    <w:rsid w:val="00FF1A1C"/>
    <w:rsid w:val="00FF224A"/>
    <w:rsid w:val="00FF24C0"/>
    <w:rsid w:val="00FF4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3FF16D"/>
  <w15:docId w15:val="{14FC5826-FF29-427E-BD7B-CC624185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408"/>
    <w:pPr>
      <w:spacing w:after="240"/>
      <w:jc w:val="both"/>
    </w:pPr>
    <w:rPr>
      <w:rFonts w:ascii="Times New Roman" w:eastAsia="Times New Roman" w:hAnsi="Times New Roman"/>
      <w:sz w:val="24"/>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5B0CCE"/>
    <w:pPr>
      <w:spacing w:before="100" w:beforeAutospacing="1" w:after="100" w:afterAutospacing="1"/>
    </w:pPr>
    <w:rPr>
      <w:szCs w:val="24"/>
    </w:rPr>
  </w:style>
  <w:style w:type="paragraph" w:styleId="Header">
    <w:name w:val="header"/>
    <w:basedOn w:val="Normal"/>
    <w:link w:val="HeaderChar"/>
    <w:uiPriority w:val="99"/>
    <w:unhideWhenUsed/>
    <w:rsid w:val="00226412"/>
    <w:pPr>
      <w:tabs>
        <w:tab w:val="center" w:pos="4513"/>
        <w:tab w:val="right" w:pos="9026"/>
      </w:tabs>
    </w:pPr>
  </w:style>
  <w:style w:type="character" w:customStyle="1" w:styleId="HeaderChar">
    <w:name w:val="Header Char"/>
    <w:basedOn w:val="DefaultParagraphFont"/>
    <w:link w:val="Header"/>
    <w:uiPriority w:val="99"/>
    <w:rsid w:val="00226412"/>
    <w:rPr>
      <w:rFonts w:ascii="Trebuchet MS" w:eastAsia="Times New Roman" w:hAnsi="Trebuchet MS"/>
      <w:sz w:val="22"/>
    </w:rPr>
  </w:style>
  <w:style w:type="paragraph" w:styleId="Footer">
    <w:name w:val="footer"/>
    <w:basedOn w:val="Normal"/>
    <w:link w:val="FooterChar"/>
    <w:uiPriority w:val="99"/>
    <w:unhideWhenUsed/>
    <w:rsid w:val="00226412"/>
    <w:pPr>
      <w:tabs>
        <w:tab w:val="center" w:pos="4513"/>
        <w:tab w:val="right" w:pos="9026"/>
      </w:tabs>
    </w:pPr>
  </w:style>
  <w:style w:type="character" w:customStyle="1" w:styleId="FooterChar">
    <w:name w:val="Footer Char"/>
    <w:basedOn w:val="DefaultParagraphFont"/>
    <w:link w:val="Footer"/>
    <w:uiPriority w:val="99"/>
    <w:rsid w:val="00226412"/>
    <w:rPr>
      <w:rFonts w:ascii="Trebuchet MS" w:eastAsia="Times New Roman" w:hAnsi="Trebuchet MS"/>
      <w:sz w:val="22"/>
    </w:rPr>
  </w:style>
  <w:style w:type="table" w:styleId="TableGrid">
    <w:name w:val="Table Grid"/>
    <w:basedOn w:val="TableNormal"/>
    <w:uiPriority w:val="59"/>
    <w:rsid w:val="00A8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64468"/>
    <w:rPr>
      <w:sz w:val="20"/>
    </w:rPr>
  </w:style>
  <w:style w:type="character" w:customStyle="1" w:styleId="FootnoteTextChar">
    <w:name w:val="Footnote Text Char"/>
    <w:basedOn w:val="DefaultParagraphFont"/>
    <w:link w:val="FootnoteText"/>
    <w:semiHidden/>
    <w:rsid w:val="00764468"/>
    <w:rPr>
      <w:rFonts w:ascii="Trebuchet MS" w:eastAsia="Times New Roman" w:hAnsi="Trebuchet MS"/>
    </w:rPr>
  </w:style>
  <w:style w:type="character" w:styleId="FootnoteReference">
    <w:name w:val="footnote reference"/>
    <w:basedOn w:val="DefaultParagraphFont"/>
    <w:unhideWhenUsed/>
    <w:rsid w:val="00764468"/>
    <w:rPr>
      <w:vertAlign w:val="superscript"/>
    </w:rPr>
  </w:style>
  <w:style w:type="character" w:styleId="FollowedHyperlink">
    <w:name w:val="FollowedHyperlink"/>
    <w:basedOn w:val="DefaultParagraphFont"/>
    <w:uiPriority w:val="99"/>
    <w:semiHidden/>
    <w:unhideWhenUsed/>
    <w:rsid w:val="00586A12"/>
    <w:rPr>
      <w:color w:val="800080" w:themeColor="followedHyperlink"/>
      <w:u w:val="single"/>
    </w:rPr>
  </w:style>
  <w:style w:type="paragraph" w:customStyle="1" w:styleId="Style2">
    <w:name w:val="Style2"/>
    <w:basedOn w:val="BodyText"/>
    <w:link w:val="Style2Char"/>
    <w:uiPriority w:val="1"/>
    <w:qFormat/>
    <w:rsid w:val="00196AFC"/>
    <w:pPr>
      <w:widowControl w:val="0"/>
      <w:numPr>
        <w:ilvl w:val="1"/>
        <w:numId w:val="3"/>
      </w:numPr>
      <w:tabs>
        <w:tab w:val="left" w:pos="1134"/>
      </w:tabs>
      <w:spacing w:after="240"/>
      <w:ind w:right="164"/>
    </w:pPr>
    <w:rPr>
      <w:rFonts w:cstheme="minorBidi"/>
      <w:szCs w:val="24"/>
      <w:lang w:val="en-US" w:eastAsia="en-US"/>
    </w:rPr>
  </w:style>
  <w:style w:type="paragraph" w:customStyle="1" w:styleId="Style3">
    <w:name w:val="Style3"/>
    <w:basedOn w:val="FootnoteText"/>
    <w:link w:val="Style3Char"/>
    <w:uiPriority w:val="1"/>
    <w:qFormat/>
    <w:rsid w:val="00196AFC"/>
    <w:pPr>
      <w:ind w:left="567" w:hanging="567"/>
    </w:pPr>
    <w:rPr>
      <w:rFonts w:eastAsia="Times"/>
      <w:sz w:val="24"/>
      <w:szCs w:val="24"/>
      <w:lang w:val="en-US" w:eastAsia="en-US"/>
    </w:rPr>
  </w:style>
  <w:style w:type="character" w:customStyle="1" w:styleId="Style2Char">
    <w:name w:val="Style2 Char"/>
    <w:basedOn w:val="BodyTextChar"/>
    <w:link w:val="Style2"/>
    <w:uiPriority w:val="1"/>
    <w:rsid w:val="00196AFC"/>
    <w:rPr>
      <w:rFonts w:ascii="Times New Roman" w:eastAsia="Times New Roman" w:hAnsi="Times New Roman" w:cstheme="minorBidi"/>
      <w:sz w:val="24"/>
      <w:szCs w:val="24"/>
      <w:lang w:val="en-US" w:eastAsia="en-US"/>
    </w:rPr>
  </w:style>
  <w:style w:type="character" w:customStyle="1" w:styleId="Style3Char">
    <w:name w:val="Style3 Char"/>
    <w:basedOn w:val="BodyTextChar"/>
    <w:link w:val="Style3"/>
    <w:uiPriority w:val="1"/>
    <w:rsid w:val="00196AFC"/>
    <w:rPr>
      <w:rFonts w:ascii="Times New Roman" w:eastAsia="Times" w:hAnsi="Times New Roman"/>
      <w:sz w:val="24"/>
      <w:szCs w:val="24"/>
      <w:lang w:val="en-US" w:eastAsia="en-US"/>
    </w:rPr>
  </w:style>
  <w:style w:type="paragraph" w:customStyle="1" w:styleId="Style5">
    <w:name w:val="Style5"/>
    <w:basedOn w:val="Normal"/>
    <w:link w:val="Style5Char"/>
    <w:uiPriority w:val="1"/>
    <w:qFormat/>
    <w:rsid w:val="00196AFC"/>
    <w:pPr>
      <w:keepNext/>
      <w:numPr>
        <w:numId w:val="2"/>
      </w:numPr>
    </w:pPr>
    <w:rPr>
      <w:szCs w:val="24"/>
    </w:rPr>
  </w:style>
  <w:style w:type="character" w:customStyle="1" w:styleId="Style5Char">
    <w:name w:val="Style5 Char"/>
    <w:basedOn w:val="BodyTextChar"/>
    <w:link w:val="Style5"/>
    <w:uiPriority w:val="1"/>
    <w:rsid w:val="00196AFC"/>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196AFC"/>
    <w:pPr>
      <w:spacing w:after="120"/>
    </w:pPr>
  </w:style>
  <w:style w:type="character" w:customStyle="1" w:styleId="BodyTextChar">
    <w:name w:val="Body Text Char"/>
    <w:basedOn w:val="DefaultParagraphFont"/>
    <w:link w:val="BodyText"/>
    <w:uiPriority w:val="99"/>
    <w:semiHidden/>
    <w:rsid w:val="00196AFC"/>
    <w:rPr>
      <w:rFonts w:ascii="Trebuchet MS" w:eastAsia="Times New Roman" w:hAnsi="Trebuchet MS"/>
      <w:sz w:val="22"/>
    </w:rPr>
  </w:style>
  <w:style w:type="paragraph" w:styleId="ListBullet">
    <w:name w:val="List Bullet"/>
    <w:basedOn w:val="Normal"/>
    <w:uiPriority w:val="99"/>
    <w:unhideWhenUsed/>
    <w:rsid w:val="00640067"/>
    <w:pPr>
      <w:numPr>
        <w:numId w:val="4"/>
      </w:numPr>
      <w:contextualSpacing/>
    </w:pPr>
  </w:style>
  <w:style w:type="paragraph" w:styleId="BodyText2">
    <w:name w:val="Body Text 2"/>
    <w:basedOn w:val="Normal"/>
    <w:link w:val="BodyText2Char"/>
    <w:unhideWhenUsed/>
    <w:qFormat/>
    <w:rsid w:val="00A00207"/>
    <w:pPr>
      <w:spacing w:after="120" w:line="480" w:lineRule="auto"/>
    </w:pPr>
  </w:style>
  <w:style w:type="character" w:customStyle="1" w:styleId="BodyText2Char">
    <w:name w:val="Body Text 2 Char"/>
    <w:basedOn w:val="DefaultParagraphFont"/>
    <w:link w:val="BodyText2"/>
    <w:uiPriority w:val="99"/>
    <w:semiHidden/>
    <w:rsid w:val="00A00207"/>
    <w:rPr>
      <w:rFonts w:ascii="Times New Roman" w:eastAsia="Times New Roman" w:hAnsi="Times New Roman"/>
      <w:sz w:val="24"/>
    </w:rPr>
  </w:style>
  <w:style w:type="paragraph" w:customStyle="1" w:styleId="Default">
    <w:name w:val="Default"/>
    <w:rsid w:val="00957408"/>
    <w:pPr>
      <w:autoSpaceDE w:val="0"/>
      <w:autoSpaceDN w:val="0"/>
      <w:adjustRightInd w:val="0"/>
    </w:pPr>
    <w:rPr>
      <w:rFonts w:ascii="Times New Roman" w:hAnsi="Times New Roman"/>
      <w:color w:val="000000"/>
      <w:sz w:val="24"/>
      <w:szCs w:val="24"/>
    </w:rPr>
  </w:style>
  <w:style w:type="character" w:customStyle="1" w:styleId="BodyText1Char">
    <w:name w:val="Body Text 1 Char"/>
    <w:basedOn w:val="DefaultParagraphFont"/>
    <w:link w:val="BodyText1"/>
    <w:rsid w:val="00957408"/>
    <w:rPr>
      <w:rFonts w:eastAsia="Times New Roman"/>
    </w:rPr>
  </w:style>
  <w:style w:type="paragraph" w:customStyle="1" w:styleId="BodyText1">
    <w:name w:val="Body Text 1"/>
    <w:basedOn w:val="Normal"/>
    <w:link w:val="BodyText1Char"/>
    <w:qFormat/>
    <w:rsid w:val="00957408"/>
    <w:pPr>
      <w:tabs>
        <w:tab w:val="num" w:pos="567"/>
      </w:tabs>
      <w:ind w:left="567" w:hanging="567"/>
    </w:pPr>
    <w:rPr>
      <w:rFonts w:ascii="Calibri" w:hAnsi="Calibri"/>
      <w:sz w:val="20"/>
    </w:rPr>
  </w:style>
  <w:style w:type="paragraph" w:styleId="BodyText3">
    <w:name w:val="Body Text 3"/>
    <w:basedOn w:val="Normal"/>
    <w:link w:val="BodyText3Char"/>
    <w:qFormat/>
    <w:rsid w:val="00957408"/>
    <w:pPr>
      <w:tabs>
        <w:tab w:val="num" w:pos="1701"/>
      </w:tabs>
      <w:ind w:left="1701" w:hanging="567"/>
    </w:pPr>
    <w:rPr>
      <w:rFonts w:eastAsia="Calibri"/>
      <w:szCs w:val="16"/>
    </w:rPr>
  </w:style>
  <w:style w:type="character" w:customStyle="1" w:styleId="BodyText3Char">
    <w:name w:val="Body Text 3 Char"/>
    <w:basedOn w:val="DefaultParagraphFont"/>
    <w:link w:val="BodyText3"/>
    <w:rsid w:val="00957408"/>
    <w:rPr>
      <w:rFonts w:ascii="Times New Roman" w:hAnsi="Times New Roman"/>
      <w:sz w:val="24"/>
      <w:szCs w:val="16"/>
    </w:rPr>
  </w:style>
  <w:style w:type="paragraph" w:styleId="Revision">
    <w:name w:val="Revision"/>
    <w:hidden/>
    <w:uiPriority w:val="99"/>
    <w:semiHidden/>
    <w:rsid w:val="00B432D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54268">
      <w:bodyDiv w:val="1"/>
      <w:marLeft w:val="0"/>
      <w:marRight w:val="0"/>
      <w:marTop w:val="0"/>
      <w:marBottom w:val="0"/>
      <w:divBdr>
        <w:top w:val="none" w:sz="0" w:space="0" w:color="auto"/>
        <w:left w:val="none" w:sz="0" w:space="0" w:color="auto"/>
        <w:bottom w:val="none" w:sz="0" w:space="0" w:color="auto"/>
        <w:right w:val="none" w:sz="0" w:space="0" w:color="auto"/>
      </w:divBdr>
      <w:divsChild>
        <w:div w:id="393355427">
          <w:marLeft w:val="0"/>
          <w:marRight w:val="0"/>
          <w:marTop w:val="0"/>
          <w:marBottom w:val="0"/>
          <w:divBdr>
            <w:top w:val="none" w:sz="0" w:space="0" w:color="auto"/>
            <w:left w:val="none" w:sz="0" w:space="0" w:color="auto"/>
            <w:bottom w:val="none" w:sz="0" w:space="0" w:color="auto"/>
            <w:right w:val="none" w:sz="0" w:space="0" w:color="auto"/>
          </w:divBdr>
          <w:divsChild>
            <w:div w:id="633104635">
              <w:marLeft w:val="0"/>
              <w:marRight w:val="0"/>
              <w:marTop w:val="0"/>
              <w:marBottom w:val="0"/>
              <w:divBdr>
                <w:top w:val="none" w:sz="0" w:space="0" w:color="auto"/>
                <w:left w:val="none" w:sz="0" w:space="0" w:color="auto"/>
                <w:bottom w:val="none" w:sz="0" w:space="0" w:color="auto"/>
                <w:right w:val="none" w:sz="0" w:space="0" w:color="auto"/>
              </w:divBdr>
              <w:divsChild>
                <w:div w:id="17781924">
                  <w:marLeft w:val="0"/>
                  <w:marRight w:val="0"/>
                  <w:marTop w:val="0"/>
                  <w:marBottom w:val="0"/>
                  <w:divBdr>
                    <w:top w:val="single" w:sz="48" w:space="0" w:color="FFFFFF"/>
                    <w:left w:val="none" w:sz="0" w:space="0" w:color="auto"/>
                    <w:bottom w:val="none" w:sz="0" w:space="0" w:color="auto"/>
                    <w:right w:val="none" w:sz="0" w:space="0" w:color="auto"/>
                  </w:divBdr>
                  <w:divsChild>
                    <w:div w:id="125205306">
                      <w:marLeft w:val="3150"/>
                      <w:marRight w:val="0"/>
                      <w:marTop w:val="0"/>
                      <w:marBottom w:val="0"/>
                      <w:divBdr>
                        <w:top w:val="none" w:sz="0" w:space="0" w:color="auto"/>
                        <w:left w:val="none" w:sz="0" w:space="0" w:color="auto"/>
                        <w:bottom w:val="none" w:sz="0" w:space="0" w:color="auto"/>
                        <w:right w:val="none" w:sz="0" w:space="0" w:color="auto"/>
                      </w:divBdr>
                      <w:divsChild>
                        <w:div w:id="139469323">
                          <w:marLeft w:val="0"/>
                          <w:marRight w:val="0"/>
                          <w:marTop w:val="0"/>
                          <w:marBottom w:val="0"/>
                          <w:divBdr>
                            <w:top w:val="none" w:sz="0" w:space="0" w:color="auto"/>
                            <w:left w:val="none" w:sz="0" w:space="0" w:color="auto"/>
                            <w:bottom w:val="none" w:sz="0" w:space="0" w:color="auto"/>
                            <w:right w:val="none" w:sz="0" w:space="0" w:color="auto"/>
                          </w:divBdr>
                          <w:divsChild>
                            <w:div w:id="132991472">
                              <w:marLeft w:val="0"/>
                              <w:marRight w:val="2925"/>
                              <w:marTop w:val="0"/>
                              <w:marBottom w:val="0"/>
                              <w:divBdr>
                                <w:top w:val="none" w:sz="0" w:space="0" w:color="auto"/>
                                <w:left w:val="none" w:sz="0" w:space="0" w:color="auto"/>
                                <w:bottom w:val="none" w:sz="0" w:space="0" w:color="auto"/>
                                <w:right w:val="none" w:sz="0" w:space="0" w:color="auto"/>
                              </w:divBdr>
                              <w:divsChild>
                                <w:div w:id="274366393">
                                  <w:marLeft w:val="0"/>
                                  <w:marRight w:val="0"/>
                                  <w:marTop w:val="0"/>
                                  <w:marBottom w:val="0"/>
                                  <w:divBdr>
                                    <w:top w:val="none" w:sz="0" w:space="0" w:color="auto"/>
                                    <w:left w:val="none" w:sz="0" w:space="0" w:color="auto"/>
                                    <w:bottom w:val="none" w:sz="0" w:space="0" w:color="auto"/>
                                    <w:right w:val="none" w:sz="0" w:space="0" w:color="auto"/>
                                  </w:divBdr>
                                  <w:divsChild>
                                    <w:div w:id="568660767">
                                      <w:marLeft w:val="0"/>
                                      <w:marRight w:val="0"/>
                                      <w:marTop w:val="0"/>
                                      <w:marBottom w:val="0"/>
                                      <w:divBdr>
                                        <w:top w:val="none" w:sz="0" w:space="0" w:color="auto"/>
                                        <w:left w:val="none" w:sz="0" w:space="0" w:color="auto"/>
                                        <w:bottom w:val="none" w:sz="0" w:space="0" w:color="auto"/>
                                        <w:right w:val="none" w:sz="0" w:space="0" w:color="auto"/>
                                      </w:divBdr>
                                      <w:divsChild>
                                        <w:div w:id="1095519385">
                                          <w:marLeft w:val="0"/>
                                          <w:marRight w:val="0"/>
                                          <w:marTop w:val="0"/>
                                          <w:marBottom w:val="0"/>
                                          <w:divBdr>
                                            <w:top w:val="none" w:sz="0" w:space="0" w:color="auto"/>
                                            <w:left w:val="none" w:sz="0" w:space="0" w:color="auto"/>
                                            <w:bottom w:val="none" w:sz="0" w:space="0" w:color="auto"/>
                                            <w:right w:val="none" w:sz="0" w:space="0" w:color="auto"/>
                                          </w:divBdr>
                                        </w:div>
                                        <w:div w:id="21246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137391">
      <w:bodyDiv w:val="1"/>
      <w:marLeft w:val="0"/>
      <w:marRight w:val="0"/>
      <w:marTop w:val="0"/>
      <w:marBottom w:val="0"/>
      <w:divBdr>
        <w:top w:val="none" w:sz="0" w:space="0" w:color="auto"/>
        <w:left w:val="none" w:sz="0" w:space="0" w:color="auto"/>
        <w:bottom w:val="none" w:sz="0" w:space="0" w:color="auto"/>
        <w:right w:val="none" w:sz="0" w:space="0" w:color="auto"/>
      </w:divBdr>
    </w:div>
    <w:div w:id="1436711836">
      <w:bodyDiv w:val="1"/>
      <w:marLeft w:val="0"/>
      <w:marRight w:val="0"/>
      <w:marTop w:val="0"/>
      <w:marBottom w:val="0"/>
      <w:divBdr>
        <w:top w:val="none" w:sz="0" w:space="0" w:color="auto"/>
        <w:left w:val="none" w:sz="0" w:space="0" w:color="auto"/>
        <w:bottom w:val="none" w:sz="0" w:space="0" w:color="auto"/>
        <w:right w:val="none" w:sz="0" w:space="0" w:color="auto"/>
      </w:divBdr>
      <w:divsChild>
        <w:div w:id="810055827">
          <w:marLeft w:val="0"/>
          <w:marRight w:val="0"/>
          <w:marTop w:val="0"/>
          <w:marBottom w:val="0"/>
          <w:divBdr>
            <w:top w:val="none" w:sz="0" w:space="0" w:color="auto"/>
            <w:left w:val="none" w:sz="0" w:space="0" w:color="auto"/>
            <w:bottom w:val="none" w:sz="0" w:space="0" w:color="auto"/>
            <w:right w:val="none" w:sz="0" w:space="0" w:color="auto"/>
          </w:divBdr>
          <w:divsChild>
            <w:div w:id="1649898415">
              <w:marLeft w:val="0"/>
              <w:marRight w:val="0"/>
              <w:marTop w:val="0"/>
              <w:marBottom w:val="0"/>
              <w:divBdr>
                <w:top w:val="none" w:sz="0" w:space="0" w:color="auto"/>
                <w:left w:val="none" w:sz="0" w:space="0" w:color="auto"/>
                <w:bottom w:val="none" w:sz="0" w:space="0" w:color="auto"/>
                <w:right w:val="none" w:sz="0" w:space="0" w:color="auto"/>
              </w:divBdr>
              <w:divsChild>
                <w:div w:id="1131627043">
                  <w:marLeft w:val="0"/>
                  <w:marRight w:val="0"/>
                  <w:marTop w:val="0"/>
                  <w:marBottom w:val="0"/>
                  <w:divBdr>
                    <w:top w:val="none" w:sz="0" w:space="0" w:color="auto"/>
                    <w:left w:val="none" w:sz="0" w:space="0" w:color="auto"/>
                    <w:bottom w:val="none" w:sz="0" w:space="0" w:color="auto"/>
                    <w:right w:val="none" w:sz="0" w:space="0" w:color="auto"/>
                  </w:divBdr>
                  <w:divsChild>
                    <w:div w:id="351299783">
                      <w:marLeft w:val="0"/>
                      <w:marRight w:val="0"/>
                      <w:marTop w:val="0"/>
                      <w:marBottom w:val="0"/>
                      <w:divBdr>
                        <w:top w:val="none" w:sz="0" w:space="0" w:color="auto"/>
                        <w:left w:val="none" w:sz="0" w:space="0" w:color="auto"/>
                        <w:bottom w:val="none" w:sz="0" w:space="0" w:color="auto"/>
                        <w:right w:val="none" w:sz="0" w:space="0" w:color="auto"/>
                      </w:divBdr>
                      <w:divsChild>
                        <w:div w:id="59257480">
                          <w:marLeft w:val="0"/>
                          <w:marRight w:val="0"/>
                          <w:marTop w:val="0"/>
                          <w:marBottom w:val="0"/>
                          <w:divBdr>
                            <w:top w:val="single" w:sz="6" w:space="0" w:color="828282"/>
                            <w:left w:val="single" w:sz="6" w:space="0" w:color="828282"/>
                            <w:bottom w:val="single" w:sz="6" w:space="0" w:color="828282"/>
                            <w:right w:val="single" w:sz="6" w:space="0" w:color="828282"/>
                          </w:divBdr>
                          <w:divsChild>
                            <w:div w:id="575675908">
                              <w:marLeft w:val="0"/>
                              <w:marRight w:val="0"/>
                              <w:marTop w:val="0"/>
                              <w:marBottom w:val="0"/>
                              <w:divBdr>
                                <w:top w:val="none" w:sz="0" w:space="0" w:color="auto"/>
                                <w:left w:val="none" w:sz="0" w:space="0" w:color="auto"/>
                                <w:bottom w:val="none" w:sz="0" w:space="0" w:color="auto"/>
                                <w:right w:val="none" w:sz="0" w:space="0" w:color="auto"/>
                              </w:divBdr>
                              <w:divsChild>
                                <w:div w:id="303973021">
                                  <w:marLeft w:val="0"/>
                                  <w:marRight w:val="0"/>
                                  <w:marTop w:val="0"/>
                                  <w:marBottom w:val="0"/>
                                  <w:divBdr>
                                    <w:top w:val="none" w:sz="0" w:space="0" w:color="auto"/>
                                    <w:left w:val="none" w:sz="0" w:space="0" w:color="auto"/>
                                    <w:bottom w:val="none" w:sz="0" w:space="0" w:color="auto"/>
                                    <w:right w:val="none" w:sz="0" w:space="0" w:color="auto"/>
                                  </w:divBdr>
                                  <w:divsChild>
                                    <w:div w:id="825242288">
                                      <w:marLeft w:val="0"/>
                                      <w:marRight w:val="0"/>
                                      <w:marTop w:val="0"/>
                                      <w:marBottom w:val="0"/>
                                      <w:divBdr>
                                        <w:top w:val="none" w:sz="0" w:space="0" w:color="auto"/>
                                        <w:left w:val="none" w:sz="0" w:space="0" w:color="auto"/>
                                        <w:bottom w:val="none" w:sz="0" w:space="0" w:color="auto"/>
                                        <w:right w:val="none" w:sz="0" w:space="0" w:color="auto"/>
                                      </w:divBdr>
                                      <w:divsChild>
                                        <w:div w:id="1784878917">
                                          <w:marLeft w:val="0"/>
                                          <w:marRight w:val="0"/>
                                          <w:marTop w:val="0"/>
                                          <w:marBottom w:val="0"/>
                                          <w:divBdr>
                                            <w:top w:val="none" w:sz="0" w:space="0" w:color="auto"/>
                                            <w:left w:val="none" w:sz="0" w:space="0" w:color="auto"/>
                                            <w:bottom w:val="none" w:sz="0" w:space="0" w:color="auto"/>
                                            <w:right w:val="none" w:sz="0" w:space="0" w:color="auto"/>
                                          </w:divBdr>
                                          <w:divsChild>
                                            <w:div w:id="1638490348">
                                              <w:marLeft w:val="0"/>
                                              <w:marRight w:val="0"/>
                                              <w:marTop w:val="0"/>
                                              <w:marBottom w:val="0"/>
                                              <w:divBdr>
                                                <w:top w:val="none" w:sz="0" w:space="0" w:color="auto"/>
                                                <w:left w:val="none" w:sz="0" w:space="0" w:color="auto"/>
                                                <w:bottom w:val="none" w:sz="0" w:space="0" w:color="auto"/>
                                                <w:right w:val="none" w:sz="0" w:space="0" w:color="auto"/>
                                              </w:divBdr>
                                              <w:divsChild>
                                                <w:div w:id="8190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Workgroup\Policy\PD2012\CROSS-INDUSTRY\Level%203\2015\9.%20Public%20release\Aug%202016%20Final%20release\Explanatory%20Statement\Template%20-%20ES%20for%20new%20consolidated%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standard development</TermName>
          <TermId xmlns="http://schemas.microsoft.com/office/infopath/2007/PartnerControls">fbeb3364-1425-47e2-8200-3b7f3a245dfe</TermId>
        </TermInfo>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TermInfo xmlns="http://schemas.microsoft.com/office/infopath/2007/PartnerControls">
          <TermName xmlns="http://schemas.microsoft.com/office/infopath/2007/PartnerControls">Superannuation Industry (Supervision) Act 1993</TermName>
          <TermId xmlns="http://schemas.microsoft.com/office/infopath/2007/PartnerControls">277bd5b5-97d3-4847-9ac6-c9c39ae337ae</TermId>
        </TermInfo>
      </Terms>
    </b37d8d7e823543f58f89056343a9035c>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DLM: For Official Use Only</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Governance Reforms</APRAKeywords>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21</Value>
      <Value>29</Value>
      <Value>26</Value>
      <Value>110</Value>
      <Value>109</Value>
      <Value>4</Value>
      <Value>2</Value>
      <Value>1</Value>
      <Value>43</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TermInfo xmlns="http://schemas.microsoft.com/office/infopath/2007/PartnerControls">
          <TermName xmlns="http://schemas.microsoft.com/office/infopath/2007/PartnerControls">Nov</TermName>
          <TermId xmlns="http://schemas.microsoft.com/office/infopath/2007/PartnerControls">52558132-382b-420e-a7d4-e9999004f831</TermId>
        </TermInfo>
      </Term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SUPER</TermName>
          <TermId xmlns="http://schemas.microsoft.com/office/infopath/2007/PartnerControls">622d8f75-8851-e311-9e2e-005056b54f10</TermId>
        </TermInfo>
      </Terms>
    </l003ee8eff60461aa1bd0027aba92ea4>
    <APRADescription xmlns="814d62cb-2db6-4c25-ab62-b9075facbc11">Explanatory Statement
SPS 510 Governance
November 2016 Release</APRADescription>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1b5c42b8-6b9e-4915-a1cb-ced3840d04a1</TermId>
        </TermInfo>
      </Terms>
    </i08e72d8ce2b4ffa9361f9f4e0a63abc>
    <APRADocScanCheck xmlns="814d62cb-2db6-4c25-ab62-b9075facbc11">false</APRADocScanCheck>
    <aa36a5a650d54f768f171f4d17b8b238 xmlns="814d62cb-2db6-4c25-ab62-b9075facbc11">
      <Terms xmlns="http://schemas.microsoft.com/office/infopath/2007/PartnerControls">
        <TermInfo xmlns="http://schemas.microsoft.com/office/infopath/2007/PartnerControls">
          <TermName xmlns="http://schemas.microsoft.com/office/infopath/2007/PartnerControls">SPS 510 Governance</TermName>
          <TermId xmlns="http://schemas.microsoft.com/office/infopath/2007/PartnerControls">14773c0a-eeec-4cc3-967f-5e3ab63edd2e</TermId>
        </TermInfo>
      </Terms>
    </aa36a5a650d54f768f171f4d17b8b238>
    <_dlc_DocId xmlns="814d62cb-2db6-4c25-ab62-b9075facbc11">YF4TAER6Q5NU-117848022-506</_dlc_DocId>
    <_dlc_DocIdUrl xmlns="814d62cb-2db6-4c25-ab62-b9075facbc11">
      <Url>https://im/teams/POLICYSUP/_layouts/15/DocIdRedir.aspx?ID=YF4TAER6Q5NU-117848022-506</Url>
      <Description>YF4TAER6Q5NU-117848022-506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EE372D7CF3824E4FB2A05E5797D698C0" ma:contentTypeVersion="18" ma:contentTypeDescription="Create a new document." ma:contentTypeScope="" ma:versionID="bf40c8c3ac332bd4a107ffc134d1e733">
  <xsd:schema xmlns:xsd="http://www.w3.org/2001/XMLSchema" xmlns:xs="http://www.w3.org/2001/XMLSchema" xmlns:p="http://schemas.microsoft.com/office/2006/metadata/properties" xmlns:ns1="814d62cb-2db6-4c25-ab62-b9075facbc11" targetNamespace="http://schemas.microsoft.com/office/2006/metadata/properties" ma:root="true" ma:fieldsID="eb4de6eb2cb37aa461e9d194343866dd"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maxLength value="255"/>
        </xsd:restriction>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OFFICIAL"/>
          <xsd:enumeration value="UNCLASSIFIED"/>
          <xsd:enumeration value="DLM: For Official Use Only"/>
          <xsd:enumeration value="DLM: Sensitive"/>
          <xsd:enumeration value="DLM: Sensitive: Legal"/>
          <xsd:enumeration value="DLM: Sensitive: Personal"/>
          <xsd:enumeration value="PROTECTED"/>
          <xsd:enumeration value="PROTECTED: Sensitive: Cabinet"/>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4e742ea0-3834-4189-a728-c94c6f19792a}" ma:internalName="TaxCatchAll" ma:showField="CatchAllData" ma:web="d0094546-2c4f-42c1-bfb6-36e147bcdf78">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4e742ea0-3834-4189-a728-c94c6f19792a}" ma:internalName="TaxCatchAllLabel" ma:readOnly="true" ma:showField="CatchAllDataLabel" ma:web="d0094546-2c4f-42c1-bfb6-36e147bcdf78">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63C2B-115D-4451-B0EE-CF3F3853BC3A}">
  <ds:schemaRefs>
    <ds:schemaRef ds:uri="http://schemas.microsoft.com/sharepoint/events"/>
  </ds:schemaRefs>
</ds:datastoreItem>
</file>

<file path=customXml/itemProps2.xml><?xml version="1.0" encoding="utf-8"?>
<ds:datastoreItem xmlns:ds="http://schemas.openxmlformats.org/officeDocument/2006/customXml" ds:itemID="{7CF7FF10-E5F3-4DF1-93B9-5AA707D00E38}">
  <ds:schemaRefs>
    <ds:schemaRef ds:uri="http://schemas.microsoft.com/sharepoint/v3/contenttype/forms"/>
  </ds:schemaRefs>
</ds:datastoreItem>
</file>

<file path=customXml/itemProps3.xml><?xml version="1.0" encoding="utf-8"?>
<ds:datastoreItem xmlns:ds="http://schemas.openxmlformats.org/officeDocument/2006/customXml" ds:itemID="{50F33091-FE0D-4BA2-8A48-29E9E9D67276}">
  <ds:schemaRefs>
    <ds:schemaRef ds:uri="http://purl.org/dc/dcmitype/"/>
    <ds:schemaRef ds:uri="http://schemas.microsoft.com/office/2006/documentManagement/types"/>
    <ds:schemaRef ds:uri="http://schemas.microsoft.com/office/2006/metadata/properties"/>
    <ds:schemaRef ds:uri="http://purl.org/dc/elements/1.1/"/>
    <ds:schemaRef ds:uri="814d62cb-2db6-4c25-ab62-b9075facbc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467224F-B0B5-4F48-811C-B43F5408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98DCD3-7F79-48BD-8D1E-EF31DA4E7523}">
  <ds:schemaRefs>
    <ds:schemaRef ds:uri="Microsoft.SharePoint.Taxonomy.ContentTypeSync"/>
  </ds:schemaRefs>
</ds:datastoreItem>
</file>

<file path=customXml/itemProps6.xml><?xml version="1.0" encoding="utf-8"?>
<ds:datastoreItem xmlns:ds="http://schemas.openxmlformats.org/officeDocument/2006/customXml" ds:itemID="{33140E01-BE83-4382-A172-AB13DEC9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new consolidated prudential standard (April 2016).dotx</Template>
  <TotalTime>0</TotalTime>
  <Pages>6</Pages>
  <Words>1874</Words>
  <Characters>10285</Characters>
  <Application>Microsoft Office Word</Application>
  <DocSecurity>0</DocSecurity>
  <Lines>176</Lines>
  <Paragraphs>60</Paragraphs>
  <ScaleCrop>false</ScaleCrop>
  <HeadingPairs>
    <vt:vector size="2" baseType="variant">
      <vt:variant>
        <vt:lpstr>Title</vt:lpstr>
      </vt:variant>
      <vt:variant>
        <vt:i4>1</vt:i4>
      </vt:variant>
    </vt:vector>
  </HeadingPairs>
  <TitlesOfParts>
    <vt:vector size="1" baseType="lpstr">
      <vt:lpstr>Explanatory Statement SPS 510 Late 2016 Release</vt:lpstr>
    </vt:vector>
  </TitlesOfParts>
  <Company>APRA</Company>
  <LinksUpToDate>false</LinksUpToDate>
  <CharactersWithSpaces>12113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SPS 510 Late 2016 Release</dc:title>
  <dc:subject/>
  <dc:creator>Prasad, Sashikala</dc:creator>
  <cp:keywords>[SEC=DLM-ONLY:For-Official-Use-Only]</cp:keywords>
  <dc:description/>
  <cp:lastModifiedBy>Toni Michalis</cp:lastModifiedBy>
  <cp:revision>2</cp:revision>
  <cp:lastPrinted>2016-10-31T04:33:00Z</cp:lastPrinted>
  <dcterms:created xsi:type="dcterms:W3CDTF">2016-10-31T22:05:00Z</dcterms:created>
  <dcterms:modified xsi:type="dcterms:W3CDTF">2016-10-31T22:05:00Z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DLM-ONLY</vt:lpwstr>
  </property>
  <property fmtid="{D5CDD505-2E9C-101B-9397-08002B2CF9AE}" pid="4" name="PM_DisplayValueSecClassificationWithQualifier">
    <vt:lpwstr>For Official Use Only</vt:lpwstr>
  </property>
  <property fmtid="{D5CDD505-2E9C-101B-9397-08002B2CF9AE}" pid="5" name="PM_Qualifier">
    <vt:lpwstr>For-Official-Use-Only</vt:lpwstr>
  </property>
  <property fmtid="{D5CDD505-2E9C-101B-9397-08002B2CF9AE}" pid="6" name="PM_Hash_SHA1">
    <vt:lpwstr>631DDAE59FE6DAF5C21C6A107AF979FA18FD21E4</vt:lpwstr>
  </property>
  <property fmtid="{D5CDD505-2E9C-101B-9397-08002B2CF9AE}" pid="7" name="PM_InsertionValue">
    <vt:lpwstr>For Official Use Only</vt:lpwstr>
  </property>
  <property fmtid="{D5CDD505-2E9C-101B-9397-08002B2CF9AE}" pid="8" name="PM_Hash_Salt">
    <vt:lpwstr>B774EA64891FFEEE88144A70A7A2F8A8</vt:lpwstr>
  </property>
  <property fmtid="{D5CDD505-2E9C-101B-9397-08002B2CF9AE}" pid="9" name="PM_Hash_Version">
    <vt:lpwstr>2014.2</vt:lpwstr>
  </property>
  <property fmtid="{D5CDD505-2E9C-101B-9397-08002B2CF9AE}" pid="10" name="PM_Hash_Salt_Prev">
    <vt:lpwstr>465FA9E51EF7DC98C47A9A3EF976F9EF</vt:lpwstr>
  </property>
  <property fmtid="{D5CDD505-2E9C-101B-9397-08002B2CF9AE}" pid="11" name="PM_Caveats_Count">
    <vt:lpwstr>0</vt:lpwstr>
  </property>
  <property fmtid="{D5CDD505-2E9C-101B-9397-08002B2CF9AE}" pid="12" name="PM_SecurityClassification_Prev">
    <vt:lpwstr>DLM-ONLY</vt:lpwstr>
  </property>
  <property fmtid="{D5CDD505-2E9C-101B-9397-08002B2CF9AE}" pid="13" name="PM_Qualifier_Prev">
    <vt:lpwstr>For-Official-Use-Only</vt:lpwstr>
  </property>
  <property fmtid="{D5CDD505-2E9C-101B-9397-08002B2CF9AE}" pid="14" name="ContentTypeId">
    <vt:lpwstr>0x0101008CA7A4F8331B45C7B0D3158B4994D0CA0200EE372D7CF3824E4FB2A05E5797D698C0</vt:lpwstr>
  </property>
  <property fmtid="{D5CDD505-2E9C-101B-9397-08002B2CF9AE}" pid="15" name="_dlc_DocIdItemGuid">
    <vt:lpwstr>99afa9e2-467f-4262-beb7-a8618642418a</vt:lpwstr>
  </property>
  <property fmtid="{D5CDD505-2E9C-101B-9397-08002B2CF9AE}" pid="16" name="IsLocked">
    <vt:lpwstr>Yes</vt:lpwstr>
  </property>
  <property fmtid="{D5CDD505-2E9C-101B-9397-08002B2CF9AE}" pid="17" name="APRAPeriod">
    <vt:lpwstr>109;#Nov|52558132-382b-420e-a7d4-e9999004f831</vt:lpwstr>
  </property>
  <property fmtid="{D5CDD505-2E9C-101B-9397-08002B2CF9AE}" pid="18" name="APRACostCentre">
    <vt:lpwstr/>
  </property>
  <property fmtid="{D5CDD505-2E9C-101B-9397-08002B2CF9AE}" pid="19" name="APRACategory">
    <vt:lpwstr/>
  </property>
  <property fmtid="{D5CDD505-2E9C-101B-9397-08002B2CF9AE}" pid="20" name="APRADocumentType">
    <vt:lpwstr>110;#Explanatory statement|b22f2e2f-3f73-411b-9a7c-34264d26fa25</vt:lpwstr>
  </property>
  <property fmtid="{D5CDD505-2E9C-101B-9397-08002B2CF9AE}" pid="21" name="APRAStatus">
    <vt:lpwstr>1;#Draft|0e1556d2-3fe8-443a-ada7-3620563b46b3</vt:lpwstr>
  </property>
  <property fmtid="{D5CDD505-2E9C-101B-9397-08002B2CF9AE}" pid="22" name="APRAPRSG">
    <vt:lpwstr>29;#SPS 510 Governance|14773c0a-eeec-4cc3-967f-5e3ab63edd2e</vt:lpwstr>
  </property>
  <property fmtid="{D5CDD505-2E9C-101B-9397-08002B2CF9AE}" pid="23" name="APRAActivity">
    <vt:lpwstr>26;#Prudential standard development|fbeb3364-1425-47e2-8200-3b7f3a245dfe;#2;#Prudential policy development|4cf81ba0-32a2-4f8f-8216-9e632903331b</vt:lpwstr>
  </property>
  <property fmtid="{D5CDD505-2E9C-101B-9397-08002B2CF9AE}" pid="24" name="APRAEntityAdviceSupport">
    <vt:lpwstr/>
  </property>
  <property fmtid="{D5CDD505-2E9C-101B-9397-08002B2CF9AE}" pid="25" name="APRAIndustry">
    <vt:lpwstr>4;#SUPER|622d8f75-8851-e311-9e2e-005056b54f10</vt:lpwstr>
  </property>
  <property fmtid="{D5CDD505-2E9C-101B-9397-08002B2CF9AE}" pid="26" name="APRALegislation">
    <vt:lpwstr>21;#Superannuation Industry (Supervision) Act 1993|277bd5b5-97d3-4847-9ac6-c9c39ae337ae</vt:lpwstr>
  </property>
  <property fmtid="{D5CDD505-2E9C-101B-9397-08002B2CF9AE}" pid="27" name="APRAYear">
    <vt:lpwstr>43;#2016|1b5c42b8-6b9e-4915-a1cb-ced3840d04a1</vt:lpwstr>
  </property>
  <property fmtid="{D5CDD505-2E9C-101B-9397-08002B2CF9AE}" pid="28" name="APRAExternalOrganisation">
    <vt:lpwstr/>
  </property>
  <property fmtid="{D5CDD505-2E9C-101B-9397-08002B2CF9AE}" pid="29" name="APRAIRTR">
    <vt:lpwstr/>
  </property>
  <property fmtid="{D5CDD505-2E9C-101B-9397-08002B2CF9AE}" pid="30" name="RecordPoint_WorkflowType">
    <vt:lpwstr>ActiveSubmitStub</vt:lpwstr>
  </property>
  <property fmtid="{D5CDD505-2E9C-101B-9397-08002B2CF9AE}" pid="31" name="RecordPoint_ActiveItemWebId">
    <vt:lpwstr>{d0094546-2c4f-42c1-bfb6-36e147bcdf78}</vt:lpwstr>
  </property>
  <property fmtid="{D5CDD505-2E9C-101B-9397-08002B2CF9AE}" pid="32" name="RecordPoint_ActiveItemSiteId">
    <vt:lpwstr>{ae9a005d-dc89-4193-b925-482cbb4c4076}</vt:lpwstr>
  </property>
  <property fmtid="{D5CDD505-2E9C-101B-9397-08002B2CF9AE}" pid="33" name="RecordPoint_ActiveItemListId">
    <vt:lpwstr>{c9117ecd-25f5-482e-a866-d2ab15fdb28a}</vt:lpwstr>
  </property>
  <property fmtid="{D5CDD505-2E9C-101B-9397-08002B2CF9AE}" pid="34" name="RecordPoint_ActiveItemUniqueId">
    <vt:lpwstr>{99afa9e2-467f-4262-beb7-a8618642418a}</vt:lpwstr>
  </property>
  <property fmtid="{D5CDD505-2E9C-101B-9397-08002B2CF9AE}" pid="35" name="RecordPoint_SubmissionCompleted">
    <vt:lpwstr>2016-10-31T15:17:10.9604337+11:00</vt:lpwstr>
  </property>
  <property fmtid="{D5CDD505-2E9C-101B-9397-08002B2CF9AE}" pid="36" name="RecordPoint_RecordNumberSubmitted">
    <vt:lpwstr>R0000025154</vt:lpwstr>
  </property>
  <property fmtid="{D5CDD505-2E9C-101B-9397-08002B2CF9AE}" pid="37" name="RecordPoint_SubmissionDate">
    <vt:lpwstr/>
  </property>
  <property fmtid="{D5CDD505-2E9C-101B-9397-08002B2CF9AE}" pid="38" name="RecordPoint_ActiveItemMoved">
    <vt:lpwstr/>
  </property>
  <property fmtid="{D5CDD505-2E9C-101B-9397-08002B2CF9AE}" pid="39" name="RecordPoint_RecordFormat">
    <vt:lpwstr/>
  </property>
</Properties>
</file>