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8E602" w14:textId="77777777" w:rsidR="008615D3" w:rsidRPr="003B728C" w:rsidRDefault="00E76C4B" w:rsidP="003B728C">
      <w:pPr>
        <w:jc w:val="center"/>
        <w:rPr>
          <w:rFonts w:ascii="Arial" w:hAnsi="Arial" w:cs="Arial"/>
          <w:b/>
          <w:sz w:val="20"/>
          <w:szCs w:val="20"/>
          <w:lang w:val="en-AU"/>
        </w:rPr>
      </w:pPr>
      <w:r w:rsidRPr="003B728C">
        <w:rPr>
          <w:rFonts w:ascii="Arial" w:hAnsi="Arial" w:cs="Arial"/>
          <w:b/>
          <w:sz w:val="20"/>
          <w:szCs w:val="20"/>
          <w:lang w:val="en-AU"/>
        </w:rPr>
        <w:t>EXPLANATORY STATEMENT</w:t>
      </w:r>
    </w:p>
    <w:p w14:paraId="50C8E603" w14:textId="77777777" w:rsidR="008615D3" w:rsidRPr="003B728C" w:rsidRDefault="008615D3" w:rsidP="003B728C">
      <w:pPr>
        <w:jc w:val="center"/>
        <w:rPr>
          <w:rFonts w:ascii="Arial" w:hAnsi="Arial" w:cs="Arial"/>
          <w:i/>
          <w:sz w:val="20"/>
          <w:szCs w:val="20"/>
          <w:lang w:val="en-AU"/>
        </w:rPr>
      </w:pPr>
    </w:p>
    <w:p w14:paraId="50C8E604" w14:textId="77777777" w:rsidR="008615D3" w:rsidRPr="003B728C" w:rsidRDefault="00E76C4B" w:rsidP="003B728C">
      <w:pPr>
        <w:jc w:val="center"/>
        <w:rPr>
          <w:rFonts w:ascii="Arial" w:hAnsi="Arial" w:cs="Arial"/>
          <w:sz w:val="20"/>
          <w:szCs w:val="20"/>
          <w:lang w:val="en-AU"/>
        </w:rPr>
      </w:pPr>
      <w:r w:rsidRPr="003B728C">
        <w:rPr>
          <w:rFonts w:ascii="Arial" w:hAnsi="Arial" w:cs="Arial"/>
          <w:sz w:val="20"/>
          <w:szCs w:val="20"/>
          <w:lang w:val="en-AU"/>
        </w:rPr>
        <w:t>Issued by the Australian Communications and Media Authority</w:t>
      </w:r>
    </w:p>
    <w:p w14:paraId="50C8E605" w14:textId="77777777" w:rsidR="008615D3" w:rsidRPr="003B728C" w:rsidRDefault="008615D3" w:rsidP="003B728C">
      <w:pPr>
        <w:jc w:val="center"/>
        <w:rPr>
          <w:rFonts w:ascii="Arial" w:hAnsi="Arial" w:cs="Arial"/>
          <w:i/>
          <w:sz w:val="20"/>
          <w:szCs w:val="20"/>
          <w:lang w:val="en-AU"/>
        </w:rPr>
      </w:pPr>
    </w:p>
    <w:p w14:paraId="50C8E606" w14:textId="144F617A" w:rsidR="008615D3" w:rsidRPr="003B728C" w:rsidRDefault="00E76C4B" w:rsidP="003B728C">
      <w:pPr>
        <w:jc w:val="center"/>
        <w:rPr>
          <w:rFonts w:ascii="Arial" w:hAnsi="Arial" w:cs="Arial"/>
          <w:i/>
          <w:sz w:val="20"/>
          <w:szCs w:val="20"/>
          <w:lang w:val="en-AU"/>
        </w:rPr>
      </w:pPr>
      <w:r w:rsidRPr="003B728C">
        <w:rPr>
          <w:rFonts w:ascii="Arial" w:hAnsi="Arial" w:cs="Arial"/>
          <w:i/>
          <w:sz w:val="20"/>
          <w:szCs w:val="20"/>
          <w:lang w:val="en-AU"/>
        </w:rPr>
        <w:t xml:space="preserve">Radiocommunications Advisory Guidelines (Managing Interference from Spectrum Licensed Transmitters – </w:t>
      </w:r>
      <w:r w:rsidR="006302E9">
        <w:rPr>
          <w:rFonts w:ascii="Arial" w:hAnsi="Arial" w:cs="Arial"/>
          <w:i/>
          <w:sz w:val="20"/>
          <w:szCs w:val="20"/>
          <w:lang w:val="en-AU"/>
        </w:rPr>
        <w:t>2 GHz Band) 2016</w:t>
      </w:r>
    </w:p>
    <w:p w14:paraId="50C8E607" w14:textId="77777777" w:rsidR="008615D3" w:rsidRPr="003B728C" w:rsidRDefault="008615D3" w:rsidP="003B728C">
      <w:pPr>
        <w:jc w:val="center"/>
        <w:rPr>
          <w:rFonts w:ascii="Arial" w:hAnsi="Arial" w:cs="Arial"/>
          <w:sz w:val="20"/>
          <w:szCs w:val="20"/>
          <w:lang w:val="en-AU"/>
        </w:rPr>
      </w:pPr>
    </w:p>
    <w:p w14:paraId="50C8E608" w14:textId="77777777" w:rsidR="008615D3" w:rsidRPr="003B728C" w:rsidRDefault="00E76C4B" w:rsidP="003B728C">
      <w:pPr>
        <w:jc w:val="center"/>
        <w:rPr>
          <w:rFonts w:ascii="Arial" w:hAnsi="Arial" w:cs="Arial"/>
          <w:i/>
          <w:sz w:val="20"/>
          <w:szCs w:val="20"/>
          <w:lang w:val="en-AU"/>
        </w:rPr>
      </w:pPr>
      <w:bookmarkStart w:id="0" w:name="OLE_LINK1"/>
      <w:bookmarkStart w:id="1" w:name="OLE_LINK2"/>
      <w:r w:rsidRPr="003B728C">
        <w:rPr>
          <w:rFonts w:ascii="Arial" w:hAnsi="Arial" w:cs="Arial"/>
          <w:i/>
          <w:sz w:val="20"/>
          <w:szCs w:val="20"/>
          <w:lang w:val="en-AU"/>
        </w:rPr>
        <w:t xml:space="preserve">Radiocommunications Act </w:t>
      </w:r>
      <w:bookmarkEnd w:id="0"/>
      <w:bookmarkEnd w:id="1"/>
      <w:r w:rsidRPr="003B728C">
        <w:rPr>
          <w:rFonts w:ascii="Arial" w:hAnsi="Arial" w:cs="Arial"/>
          <w:i/>
          <w:sz w:val="20"/>
          <w:szCs w:val="20"/>
          <w:lang w:val="en-AU"/>
        </w:rPr>
        <w:t>1992</w:t>
      </w:r>
    </w:p>
    <w:p w14:paraId="50C8E609" w14:textId="77777777" w:rsidR="008615D3" w:rsidRPr="003B728C" w:rsidRDefault="008615D3" w:rsidP="003B728C">
      <w:pPr>
        <w:jc w:val="both"/>
        <w:rPr>
          <w:rFonts w:ascii="Arial" w:hAnsi="Arial" w:cs="Arial"/>
          <w:sz w:val="20"/>
          <w:szCs w:val="20"/>
          <w:lang w:val="en-AU"/>
        </w:rPr>
      </w:pPr>
    </w:p>
    <w:p w14:paraId="50C8E60A" w14:textId="77777777" w:rsidR="008615D3" w:rsidRDefault="00E76C4B" w:rsidP="003B728C">
      <w:pPr>
        <w:jc w:val="both"/>
        <w:rPr>
          <w:rFonts w:ascii="Arial" w:hAnsi="Arial" w:cs="Arial"/>
          <w:b/>
          <w:sz w:val="20"/>
          <w:szCs w:val="20"/>
          <w:lang w:val="en-AU"/>
        </w:rPr>
      </w:pPr>
      <w:r w:rsidRPr="003B728C">
        <w:rPr>
          <w:rFonts w:ascii="Arial" w:hAnsi="Arial" w:cs="Arial"/>
          <w:b/>
          <w:sz w:val="20"/>
          <w:szCs w:val="20"/>
          <w:lang w:val="en-AU"/>
        </w:rPr>
        <w:t>Purpose</w:t>
      </w:r>
    </w:p>
    <w:p w14:paraId="696D67D5" w14:textId="77777777" w:rsidR="00A70133" w:rsidRPr="003B728C" w:rsidRDefault="00A70133" w:rsidP="003B728C">
      <w:pPr>
        <w:jc w:val="both"/>
        <w:rPr>
          <w:rFonts w:ascii="Arial" w:hAnsi="Arial" w:cs="Arial"/>
          <w:b/>
          <w:sz w:val="20"/>
          <w:szCs w:val="20"/>
          <w:lang w:val="en-AU"/>
        </w:rPr>
      </w:pPr>
    </w:p>
    <w:p w14:paraId="55E62FCD" w14:textId="6D0A7238" w:rsidR="00460F2A" w:rsidRPr="00460F2A" w:rsidRDefault="00460F2A" w:rsidP="003B728C">
      <w:pPr>
        <w:jc w:val="both"/>
        <w:rPr>
          <w:rFonts w:ascii="Arial" w:hAnsi="Arial" w:cs="Arial"/>
          <w:sz w:val="20"/>
          <w:szCs w:val="20"/>
          <w:lang w:val="en-AU"/>
        </w:rPr>
      </w:pPr>
      <w:r>
        <w:rPr>
          <w:rFonts w:ascii="Arial" w:hAnsi="Arial" w:cs="Arial"/>
          <w:sz w:val="20"/>
          <w:szCs w:val="20"/>
          <w:lang w:val="en-AU"/>
        </w:rPr>
        <w:t xml:space="preserve">The Australian Communications and Media Authority </w:t>
      </w:r>
      <w:r w:rsidRPr="00E02DF3">
        <w:rPr>
          <w:rFonts w:ascii="Arial" w:hAnsi="Arial" w:cs="Arial"/>
          <w:sz w:val="20"/>
          <w:szCs w:val="20"/>
          <w:lang w:val="en-AU"/>
        </w:rPr>
        <w:t>(</w:t>
      </w:r>
      <w:r w:rsidRPr="00460F2A">
        <w:rPr>
          <w:rFonts w:ascii="Arial" w:hAnsi="Arial" w:cs="Arial"/>
          <w:b/>
          <w:sz w:val="20"/>
          <w:szCs w:val="20"/>
          <w:lang w:val="en-AU"/>
        </w:rPr>
        <w:t>the ACMA</w:t>
      </w:r>
      <w:r w:rsidRPr="00E02DF3">
        <w:rPr>
          <w:rFonts w:ascii="Arial" w:hAnsi="Arial" w:cs="Arial"/>
          <w:sz w:val="20"/>
          <w:szCs w:val="20"/>
          <w:lang w:val="en-AU"/>
        </w:rPr>
        <w:t>)</w:t>
      </w:r>
      <w:r>
        <w:rPr>
          <w:rFonts w:ascii="Arial" w:hAnsi="Arial" w:cs="Arial"/>
          <w:sz w:val="20"/>
          <w:szCs w:val="20"/>
          <w:lang w:val="en-AU"/>
        </w:rPr>
        <w:t xml:space="preserve"> has made the </w:t>
      </w:r>
      <w:r>
        <w:rPr>
          <w:rFonts w:ascii="Arial" w:hAnsi="Arial" w:cs="Arial"/>
          <w:i/>
          <w:sz w:val="20"/>
          <w:szCs w:val="20"/>
          <w:lang w:val="en-AU"/>
        </w:rPr>
        <w:t>Radiocommunications Advisory Guidelines (Managing Interference from Spectrum Licensed Transmitters – 2 GHz Band) 2016</w:t>
      </w:r>
      <w:r>
        <w:rPr>
          <w:rFonts w:ascii="Arial" w:hAnsi="Arial" w:cs="Arial"/>
          <w:sz w:val="20"/>
          <w:szCs w:val="20"/>
          <w:lang w:val="en-AU"/>
        </w:rPr>
        <w:t xml:space="preserve"> </w:t>
      </w:r>
      <w:r w:rsidRPr="00E02DF3">
        <w:rPr>
          <w:rFonts w:ascii="Arial" w:hAnsi="Arial" w:cs="Arial"/>
          <w:sz w:val="20"/>
          <w:szCs w:val="20"/>
          <w:lang w:val="en-AU"/>
        </w:rPr>
        <w:t>(</w:t>
      </w:r>
      <w:r w:rsidRPr="00460F2A">
        <w:rPr>
          <w:rFonts w:ascii="Arial" w:hAnsi="Arial" w:cs="Arial"/>
          <w:b/>
          <w:sz w:val="20"/>
          <w:szCs w:val="20"/>
          <w:lang w:val="en-AU"/>
        </w:rPr>
        <w:t>the Advisory Guidelines</w:t>
      </w:r>
      <w:r w:rsidRPr="00E02DF3">
        <w:rPr>
          <w:rFonts w:ascii="Arial" w:hAnsi="Arial" w:cs="Arial"/>
          <w:sz w:val="20"/>
          <w:szCs w:val="20"/>
          <w:lang w:val="en-AU"/>
        </w:rPr>
        <w:t>)</w:t>
      </w:r>
      <w:r>
        <w:rPr>
          <w:rFonts w:ascii="Arial" w:hAnsi="Arial" w:cs="Arial"/>
          <w:sz w:val="20"/>
          <w:szCs w:val="20"/>
          <w:lang w:val="en-AU"/>
        </w:rPr>
        <w:t>.</w:t>
      </w:r>
    </w:p>
    <w:p w14:paraId="7AC4A5E8" w14:textId="77777777" w:rsidR="00460F2A" w:rsidRDefault="00460F2A" w:rsidP="003B728C">
      <w:pPr>
        <w:jc w:val="both"/>
        <w:rPr>
          <w:rFonts w:ascii="Arial" w:hAnsi="Arial" w:cs="Arial"/>
          <w:sz w:val="20"/>
          <w:szCs w:val="20"/>
          <w:lang w:val="en-AU"/>
        </w:rPr>
      </w:pPr>
    </w:p>
    <w:p w14:paraId="50C8E60B" w14:textId="3AEA9BCE" w:rsidR="008615D3" w:rsidRPr="003B728C" w:rsidRDefault="00E76C4B" w:rsidP="003B728C">
      <w:pPr>
        <w:jc w:val="both"/>
        <w:rPr>
          <w:rFonts w:ascii="Arial" w:hAnsi="Arial" w:cs="Arial"/>
          <w:sz w:val="20"/>
          <w:szCs w:val="20"/>
          <w:lang w:val="en-AU"/>
        </w:rPr>
      </w:pPr>
      <w:r w:rsidRPr="003B728C">
        <w:rPr>
          <w:rFonts w:ascii="Arial" w:hAnsi="Arial" w:cs="Arial"/>
          <w:sz w:val="20"/>
          <w:szCs w:val="20"/>
          <w:lang w:val="en-AU"/>
        </w:rPr>
        <w:t xml:space="preserve">The purpose of the </w:t>
      </w:r>
      <w:r w:rsidRPr="00460F2A">
        <w:rPr>
          <w:rFonts w:ascii="Arial" w:hAnsi="Arial" w:cs="Arial"/>
          <w:sz w:val="20"/>
          <w:szCs w:val="20"/>
          <w:lang w:val="en-AU"/>
        </w:rPr>
        <w:t>Advisory Guidelines</w:t>
      </w:r>
      <w:r w:rsidRPr="003B728C">
        <w:rPr>
          <w:rFonts w:ascii="Arial" w:hAnsi="Arial" w:cs="Arial"/>
          <w:sz w:val="20"/>
          <w:szCs w:val="20"/>
          <w:lang w:val="en-AU"/>
        </w:rPr>
        <w:t xml:space="preserve"> is to provide guidance to assist in the protection of radiocommunications receivers operati</w:t>
      </w:r>
      <w:r w:rsidR="003B728C">
        <w:rPr>
          <w:rFonts w:ascii="Arial" w:hAnsi="Arial" w:cs="Arial"/>
          <w:sz w:val="20"/>
          <w:szCs w:val="20"/>
          <w:lang w:val="en-AU"/>
        </w:rPr>
        <w:t xml:space="preserve">ng under </w:t>
      </w:r>
      <w:r w:rsidRPr="003B728C">
        <w:rPr>
          <w:rFonts w:ascii="Arial" w:hAnsi="Arial" w:cs="Arial"/>
          <w:sz w:val="20"/>
          <w:szCs w:val="20"/>
          <w:lang w:val="en-AU"/>
        </w:rPr>
        <w:t xml:space="preserve">apparatus </w:t>
      </w:r>
      <w:r w:rsidR="00510C33" w:rsidRPr="003B728C">
        <w:rPr>
          <w:rFonts w:ascii="Arial" w:hAnsi="Arial" w:cs="Arial"/>
          <w:sz w:val="20"/>
          <w:szCs w:val="20"/>
          <w:lang w:val="en-AU"/>
        </w:rPr>
        <w:t xml:space="preserve">or class </w:t>
      </w:r>
      <w:r w:rsidRPr="003B728C">
        <w:rPr>
          <w:rFonts w:ascii="Arial" w:hAnsi="Arial" w:cs="Arial"/>
          <w:sz w:val="20"/>
          <w:szCs w:val="20"/>
          <w:lang w:val="en-AU"/>
        </w:rPr>
        <w:t xml:space="preserve">licences from interference caused by radiocommunications transmitters operating under spectrum licences in the </w:t>
      </w:r>
      <w:r w:rsidR="006302E9">
        <w:rPr>
          <w:rFonts w:ascii="Arial" w:hAnsi="Arial" w:cs="Arial"/>
          <w:sz w:val="20"/>
          <w:szCs w:val="20"/>
          <w:lang w:val="en-AU"/>
        </w:rPr>
        <w:t>2</w:t>
      </w:r>
      <w:r w:rsidRPr="003B728C">
        <w:rPr>
          <w:rFonts w:ascii="Arial" w:hAnsi="Arial" w:cs="Arial"/>
          <w:sz w:val="20"/>
          <w:szCs w:val="20"/>
          <w:lang w:val="en-AU"/>
        </w:rPr>
        <w:t xml:space="preserve"> GHz band in adjacent geographic areas, </w:t>
      </w:r>
      <w:r w:rsidR="003C5724">
        <w:rPr>
          <w:rFonts w:ascii="Arial" w:hAnsi="Arial" w:cs="Arial"/>
          <w:sz w:val="20"/>
          <w:szCs w:val="20"/>
          <w:lang w:val="en-AU"/>
        </w:rPr>
        <w:t xml:space="preserve">or adjacent frequency bands. </w:t>
      </w:r>
      <w:r w:rsidR="003C5724" w:rsidRPr="003C5724">
        <w:rPr>
          <w:rFonts w:ascii="Arial" w:hAnsi="Arial" w:cs="Arial"/>
          <w:sz w:val="20"/>
          <w:szCs w:val="20"/>
          <w:lang w:val="en-AU"/>
        </w:rPr>
        <w:t>The</w:t>
      </w:r>
      <w:r w:rsidR="00460F2A">
        <w:rPr>
          <w:rFonts w:ascii="Arial" w:hAnsi="Arial" w:cs="Arial"/>
          <w:sz w:val="20"/>
          <w:szCs w:val="20"/>
          <w:lang w:val="en-AU"/>
        </w:rPr>
        <w:t xml:space="preserve"> Advisory</w:t>
      </w:r>
      <w:r w:rsidR="003C5724" w:rsidRPr="003C5724">
        <w:rPr>
          <w:rFonts w:ascii="Arial" w:hAnsi="Arial" w:cs="Arial"/>
          <w:sz w:val="20"/>
          <w:szCs w:val="20"/>
          <w:lang w:val="en-AU"/>
        </w:rPr>
        <w:t xml:space="preserve"> </w:t>
      </w:r>
      <w:r w:rsidR="00460F2A">
        <w:rPr>
          <w:rFonts w:ascii="Arial" w:hAnsi="Arial" w:cs="Arial"/>
          <w:sz w:val="20"/>
          <w:szCs w:val="20"/>
          <w:lang w:val="en-AU"/>
        </w:rPr>
        <w:t>G</w:t>
      </w:r>
      <w:r w:rsidR="003C5724" w:rsidRPr="003C5724">
        <w:rPr>
          <w:rFonts w:ascii="Arial" w:hAnsi="Arial" w:cs="Arial"/>
          <w:sz w:val="20"/>
          <w:szCs w:val="20"/>
          <w:lang w:val="en-AU"/>
        </w:rPr>
        <w:t xml:space="preserve">uidelines also provide guidance on managing interference across the geographical boundaries of spectrum licences issued in the </w:t>
      </w:r>
      <w:r w:rsidR="006302E9">
        <w:rPr>
          <w:rFonts w:ascii="Arial" w:hAnsi="Arial" w:cs="Arial"/>
          <w:sz w:val="20"/>
          <w:szCs w:val="20"/>
          <w:lang w:val="en-AU"/>
        </w:rPr>
        <w:t>2</w:t>
      </w:r>
      <w:r w:rsidR="003C5724" w:rsidRPr="003C5724">
        <w:rPr>
          <w:rFonts w:ascii="Arial" w:hAnsi="Arial" w:cs="Arial"/>
          <w:sz w:val="20"/>
          <w:szCs w:val="20"/>
          <w:lang w:val="en-AU"/>
        </w:rPr>
        <w:t xml:space="preserve"> GHz band.</w:t>
      </w:r>
    </w:p>
    <w:p w14:paraId="50C8E60C" w14:textId="77777777" w:rsidR="008615D3" w:rsidRPr="003B728C" w:rsidRDefault="008615D3" w:rsidP="003B728C">
      <w:pPr>
        <w:jc w:val="both"/>
        <w:rPr>
          <w:rFonts w:ascii="Arial" w:hAnsi="Arial" w:cs="Arial"/>
          <w:sz w:val="20"/>
          <w:szCs w:val="20"/>
          <w:lang w:val="en-AU"/>
        </w:rPr>
      </w:pPr>
    </w:p>
    <w:p w14:paraId="50C8E60D" w14:textId="77777777" w:rsidR="008615D3" w:rsidRDefault="00E76C4B" w:rsidP="003B728C">
      <w:pPr>
        <w:jc w:val="both"/>
        <w:rPr>
          <w:rFonts w:ascii="Arial" w:hAnsi="Arial" w:cs="Arial"/>
          <w:sz w:val="20"/>
          <w:szCs w:val="20"/>
          <w:lang w:val="en-AU"/>
        </w:rPr>
      </w:pPr>
      <w:r w:rsidRPr="003B728C">
        <w:rPr>
          <w:rFonts w:ascii="Arial" w:hAnsi="Arial" w:cs="Arial"/>
          <w:sz w:val="20"/>
          <w:szCs w:val="20"/>
          <w:lang w:val="en-AU"/>
        </w:rPr>
        <w:t>The Advisory Guidelines are designed to be used by operators of spectrum licensed services and apparatus licensed services in the planning of services or in the resolution of interference.</w:t>
      </w:r>
    </w:p>
    <w:p w14:paraId="0F02CE44" w14:textId="77777777" w:rsidR="00460F2A" w:rsidRDefault="00460F2A" w:rsidP="003B728C">
      <w:pPr>
        <w:jc w:val="both"/>
        <w:rPr>
          <w:rFonts w:ascii="Arial" w:hAnsi="Arial" w:cs="Arial"/>
          <w:sz w:val="20"/>
          <w:szCs w:val="20"/>
          <w:lang w:val="en-AU"/>
        </w:rPr>
      </w:pPr>
    </w:p>
    <w:p w14:paraId="79AFAF50" w14:textId="27DE9CF6" w:rsidR="00460F2A" w:rsidRPr="003B728C" w:rsidRDefault="00460F2A" w:rsidP="003B728C">
      <w:pPr>
        <w:jc w:val="both"/>
        <w:rPr>
          <w:rFonts w:ascii="Arial" w:hAnsi="Arial" w:cs="Arial"/>
          <w:sz w:val="20"/>
          <w:szCs w:val="20"/>
          <w:lang w:val="en-AU"/>
        </w:rPr>
      </w:pPr>
      <w:r>
        <w:rPr>
          <w:rFonts w:ascii="Arial" w:hAnsi="Arial" w:cs="Arial"/>
          <w:sz w:val="20"/>
          <w:szCs w:val="20"/>
          <w:lang w:val="en-AU"/>
        </w:rPr>
        <w:t xml:space="preserve">The Advisory Guidelines revoke and replace the </w:t>
      </w:r>
      <w:r>
        <w:rPr>
          <w:rFonts w:ascii="Arial" w:hAnsi="Arial" w:cs="Arial"/>
          <w:i/>
          <w:sz w:val="20"/>
          <w:szCs w:val="20"/>
          <w:lang w:val="en-AU"/>
        </w:rPr>
        <w:t xml:space="preserve">Radiocommunications Advisory Guidelines (Protection of Apparatus- licensed and Class-licensed Receivers – 2 GHz Band) 2015 </w:t>
      </w:r>
      <w:r>
        <w:rPr>
          <w:rFonts w:ascii="Arial" w:hAnsi="Arial" w:cs="Arial"/>
          <w:sz w:val="20"/>
          <w:szCs w:val="20"/>
          <w:lang w:val="en-AU"/>
        </w:rPr>
        <w:t>[F2015L00721] (</w:t>
      </w:r>
      <w:r w:rsidRPr="00E02DF3">
        <w:rPr>
          <w:rFonts w:ascii="Arial" w:hAnsi="Arial" w:cs="Arial"/>
          <w:b/>
          <w:sz w:val="20"/>
          <w:szCs w:val="20"/>
          <w:lang w:val="en-AU"/>
        </w:rPr>
        <w:t>the 2015 Advisory Guidelines</w:t>
      </w:r>
      <w:r>
        <w:rPr>
          <w:rFonts w:ascii="Arial" w:hAnsi="Arial" w:cs="Arial"/>
          <w:sz w:val="20"/>
          <w:szCs w:val="20"/>
          <w:lang w:val="en-AU"/>
        </w:rPr>
        <w:t>).</w:t>
      </w:r>
    </w:p>
    <w:p w14:paraId="50C8E60E" w14:textId="77777777" w:rsidR="008615D3" w:rsidRPr="003B728C" w:rsidRDefault="008615D3" w:rsidP="003B728C">
      <w:pPr>
        <w:jc w:val="both"/>
        <w:rPr>
          <w:rFonts w:ascii="Arial" w:hAnsi="Arial" w:cs="Arial"/>
          <w:sz w:val="20"/>
          <w:szCs w:val="20"/>
          <w:lang w:val="en-AU"/>
        </w:rPr>
      </w:pPr>
    </w:p>
    <w:p w14:paraId="50C8E60F" w14:textId="77777777" w:rsidR="008615D3" w:rsidRDefault="00E76C4B" w:rsidP="003B728C">
      <w:pPr>
        <w:jc w:val="both"/>
        <w:rPr>
          <w:rFonts w:ascii="Arial" w:hAnsi="Arial" w:cs="Arial"/>
          <w:b/>
          <w:sz w:val="20"/>
          <w:szCs w:val="20"/>
          <w:lang w:val="en-AU"/>
        </w:rPr>
      </w:pPr>
      <w:r w:rsidRPr="003B728C">
        <w:rPr>
          <w:rFonts w:ascii="Arial" w:hAnsi="Arial" w:cs="Arial"/>
          <w:b/>
          <w:sz w:val="20"/>
          <w:szCs w:val="20"/>
          <w:lang w:val="en-AU"/>
        </w:rPr>
        <w:t>Legislative Provisions</w:t>
      </w:r>
    </w:p>
    <w:p w14:paraId="2025E921" w14:textId="77777777" w:rsidR="00A70133" w:rsidRPr="003B728C" w:rsidRDefault="00A70133" w:rsidP="003B728C">
      <w:pPr>
        <w:jc w:val="both"/>
        <w:rPr>
          <w:rFonts w:ascii="Arial" w:hAnsi="Arial" w:cs="Arial"/>
          <w:b/>
          <w:sz w:val="20"/>
          <w:szCs w:val="20"/>
          <w:lang w:val="en-AU"/>
        </w:rPr>
      </w:pPr>
    </w:p>
    <w:p w14:paraId="720A178F" w14:textId="5567F624" w:rsidR="00560C70" w:rsidRPr="00560C70" w:rsidRDefault="00560C70" w:rsidP="003B728C">
      <w:pPr>
        <w:jc w:val="both"/>
        <w:rPr>
          <w:rFonts w:ascii="Arial" w:hAnsi="Arial" w:cs="Arial"/>
          <w:sz w:val="20"/>
          <w:szCs w:val="20"/>
          <w:lang w:val="en-AU"/>
        </w:rPr>
      </w:pPr>
      <w:r>
        <w:rPr>
          <w:rFonts w:ascii="Arial" w:hAnsi="Arial" w:cs="Arial"/>
          <w:sz w:val="20"/>
          <w:szCs w:val="20"/>
          <w:lang w:val="en-AU"/>
        </w:rPr>
        <w:t xml:space="preserve">The Advisory Guidelines </w:t>
      </w:r>
      <w:r w:rsidR="00D2012A">
        <w:rPr>
          <w:rFonts w:ascii="Arial" w:hAnsi="Arial" w:cs="Arial"/>
          <w:sz w:val="20"/>
          <w:szCs w:val="20"/>
          <w:lang w:val="en-AU"/>
        </w:rPr>
        <w:t>are</w:t>
      </w:r>
      <w:r>
        <w:rPr>
          <w:rFonts w:ascii="Arial" w:hAnsi="Arial" w:cs="Arial"/>
          <w:sz w:val="20"/>
          <w:szCs w:val="20"/>
          <w:lang w:val="en-AU"/>
        </w:rPr>
        <w:t xml:space="preserve"> made by the ACMA in accordance with section 262 of the </w:t>
      </w:r>
      <w:r>
        <w:rPr>
          <w:rFonts w:ascii="Arial" w:hAnsi="Arial" w:cs="Arial"/>
          <w:i/>
          <w:sz w:val="20"/>
          <w:szCs w:val="20"/>
          <w:lang w:val="en-AU"/>
        </w:rPr>
        <w:t xml:space="preserve">Radiocommunications Act 1992 </w:t>
      </w:r>
      <w:r w:rsidRPr="00E02DF3">
        <w:rPr>
          <w:rFonts w:ascii="Arial" w:hAnsi="Arial" w:cs="Arial"/>
          <w:sz w:val="20"/>
          <w:szCs w:val="20"/>
          <w:lang w:val="en-AU"/>
        </w:rPr>
        <w:t>(</w:t>
      </w:r>
      <w:r w:rsidRPr="00560C70">
        <w:rPr>
          <w:rFonts w:ascii="Arial" w:hAnsi="Arial" w:cs="Arial"/>
          <w:b/>
          <w:sz w:val="20"/>
          <w:szCs w:val="20"/>
          <w:lang w:val="en-AU"/>
        </w:rPr>
        <w:t>the Act</w:t>
      </w:r>
      <w:r w:rsidRPr="00E02DF3">
        <w:rPr>
          <w:rFonts w:ascii="Arial" w:hAnsi="Arial" w:cs="Arial"/>
          <w:sz w:val="20"/>
          <w:szCs w:val="20"/>
          <w:lang w:val="en-AU"/>
        </w:rPr>
        <w:t>)</w:t>
      </w:r>
      <w:r>
        <w:rPr>
          <w:rFonts w:ascii="Arial" w:hAnsi="Arial" w:cs="Arial"/>
          <w:sz w:val="20"/>
          <w:szCs w:val="20"/>
          <w:lang w:val="en-AU"/>
        </w:rPr>
        <w:t xml:space="preserve"> and in accordance with subsection 33(3) of the </w:t>
      </w:r>
      <w:r>
        <w:rPr>
          <w:rFonts w:ascii="Arial" w:hAnsi="Arial" w:cs="Arial"/>
          <w:i/>
          <w:sz w:val="20"/>
          <w:szCs w:val="20"/>
          <w:lang w:val="en-AU"/>
        </w:rPr>
        <w:t xml:space="preserve">Acts Interpretation Act 1901 </w:t>
      </w:r>
      <w:r w:rsidRPr="00E02DF3">
        <w:rPr>
          <w:rFonts w:ascii="Arial" w:hAnsi="Arial" w:cs="Arial"/>
          <w:sz w:val="20"/>
          <w:szCs w:val="20"/>
          <w:lang w:val="en-AU"/>
        </w:rPr>
        <w:t>(</w:t>
      </w:r>
      <w:r w:rsidRPr="00560C70">
        <w:rPr>
          <w:rFonts w:ascii="Arial" w:hAnsi="Arial" w:cs="Arial"/>
          <w:b/>
          <w:sz w:val="20"/>
          <w:szCs w:val="20"/>
          <w:lang w:val="en-AU"/>
        </w:rPr>
        <w:t>the AIA</w:t>
      </w:r>
      <w:r w:rsidRPr="00E02DF3">
        <w:rPr>
          <w:rFonts w:ascii="Arial" w:hAnsi="Arial" w:cs="Arial"/>
          <w:sz w:val="20"/>
          <w:szCs w:val="20"/>
          <w:lang w:val="en-AU"/>
        </w:rPr>
        <w:t>)</w:t>
      </w:r>
      <w:r>
        <w:rPr>
          <w:rFonts w:ascii="Arial" w:hAnsi="Arial" w:cs="Arial"/>
          <w:sz w:val="20"/>
          <w:szCs w:val="20"/>
          <w:lang w:val="en-AU"/>
        </w:rPr>
        <w:t>.</w:t>
      </w:r>
    </w:p>
    <w:p w14:paraId="0836BAC5" w14:textId="77777777" w:rsidR="00560C70" w:rsidRDefault="00560C70" w:rsidP="003B728C">
      <w:pPr>
        <w:jc w:val="both"/>
        <w:rPr>
          <w:rFonts w:ascii="Arial" w:hAnsi="Arial" w:cs="Arial"/>
          <w:sz w:val="20"/>
          <w:szCs w:val="20"/>
          <w:lang w:val="en-AU"/>
        </w:rPr>
      </w:pPr>
    </w:p>
    <w:p w14:paraId="550C64C4" w14:textId="3EB60969" w:rsidR="006302E9" w:rsidRDefault="00E76C4B" w:rsidP="003B728C">
      <w:pPr>
        <w:jc w:val="both"/>
        <w:rPr>
          <w:rFonts w:ascii="Arial" w:hAnsi="Arial" w:cs="Arial"/>
          <w:sz w:val="20"/>
          <w:szCs w:val="20"/>
          <w:lang w:val="en-AU"/>
        </w:rPr>
      </w:pPr>
      <w:r w:rsidRPr="003B728C">
        <w:rPr>
          <w:rFonts w:ascii="Arial" w:hAnsi="Arial" w:cs="Arial"/>
          <w:sz w:val="20"/>
          <w:szCs w:val="20"/>
          <w:lang w:val="en-AU"/>
        </w:rPr>
        <w:t xml:space="preserve">Under section 262 of the </w:t>
      </w:r>
      <w:r w:rsidRPr="00560C70">
        <w:rPr>
          <w:rFonts w:ascii="Arial" w:hAnsi="Arial" w:cs="Arial"/>
          <w:sz w:val="20"/>
          <w:szCs w:val="20"/>
          <w:lang w:val="en-AU"/>
        </w:rPr>
        <w:t>Act</w:t>
      </w:r>
      <w:r w:rsidRPr="003B728C">
        <w:rPr>
          <w:rFonts w:ascii="Arial" w:hAnsi="Arial" w:cs="Arial"/>
          <w:sz w:val="20"/>
          <w:szCs w:val="20"/>
          <w:lang w:val="en-AU"/>
        </w:rPr>
        <w:t xml:space="preserve">, the </w:t>
      </w:r>
      <w:r w:rsidRPr="00560C70">
        <w:rPr>
          <w:rFonts w:ascii="Arial" w:hAnsi="Arial" w:cs="Arial"/>
          <w:sz w:val="20"/>
          <w:szCs w:val="20"/>
          <w:lang w:val="en-AU"/>
        </w:rPr>
        <w:t>ACMA</w:t>
      </w:r>
      <w:r w:rsidRPr="003B728C">
        <w:rPr>
          <w:rFonts w:ascii="Arial" w:hAnsi="Arial" w:cs="Arial"/>
          <w:sz w:val="20"/>
          <w:szCs w:val="20"/>
          <w:lang w:val="en-AU"/>
        </w:rPr>
        <w:t xml:space="preserve"> may make </w:t>
      </w:r>
      <w:r w:rsidR="00120C3C">
        <w:rPr>
          <w:rFonts w:ascii="Arial" w:hAnsi="Arial" w:cs="Arial"/>
          <w:sz w:val="20"/>
          <w:szCs w:val="20"/>
          <w:lang w:val="en-AU"/>
        </w:rPr>
        <w:t>A</w:t>
      </w:r>
      <w:r w:rsidRPr="003B728C">
        <w:rPr>
          <w:rFonts w:ascii="Arial" w:hAnsi="Arial" w:cs="Arial"/>
          <w:sz w:val="20"/>
          <w:szCs w:val="20"/>
          <w:lang w:val="en-AU"/>
        </w:rPr>
        <w:t xml:space="preserve">dvisory </w:t>
      </w:r>
      <w:r w:rsidR="00120C3C">
        <w:rPr>
          <w:rFonts w:ascii="Arial" w:hAnsi="Arial" w:cs="Arial"/>
          <w:sz w:val="20"/>
          <w:szCs w:val="20"/>
          <w:lang w:val="en-AU"/>
        </w:rPr>
        <w:t>G</w:t>
      </w:r>
      <w:r w:rsidRPr="003B728C">
        <w:rPr>
          <w:rFonts w:ascii="Arial" w:hAnsi="Arial" w:cs="Arial"/>
          <w:sz w:val="20"/>
          <w:szCs w:val="20"/>
          <w:lang w:val="en-AU"/>
        </w:rPr>
        <w:t xml:space="preserve">uidelines about any aspect of radiocommunication or radio emissions.  Subsection 262(2) of the Act provides a non-exhaustive list of examples of the matters about which </w:t>
      </w:r>
      <w:r w:rsidR="00120C3C">
        <w:rPr>
          <w:rFonts w:ascii="Arial" w:hAnsi="Arial" w:cs="Arial"/>
          <w:sz w:val="20"/>
          <w:szCs w:val="20"/>
          <w:lang w:val="en-AU"/>
        </w:rPr>
        <w:t>A</w:t>
      </w:r>
      <w:r w:rsidRPr="003B728C">
        <w:rPr>
          <w:rFonts w:ascii="Arial" w:hAnsi="Arial" w:cs="Arial"/>
          <w:sz w:val="20"/>
          <w:szCs w:val="20"/>
          <w:lang w:val="en-AU"/>
        </w:rPr>
        <w:t xml:space="preserve">dvisory </w:t>
      </w:r>
      <w:r w:rsidR="00120C3C">
        <w:rPr>
          <w:rFonts w:ascii="Arial" w:hAnsi="Arial" w:cs="Arial"/>
          <w:sz w:val="20"/>
          <w:szCs w:val="20"/>
          <w:lang w:val="en-AU"/>
        </w:rPr>
        <w:t>G</w:t>
      </w:r>
      <w:r w:rsidRPr="003B728C">
        <w:rPr>
          <w:rFonts w:ascii="Arial" w:hAnsi="Arial" w:cs="Arial"/>
          <w:sz w:val="20"/>
          <w:szCs w:val="20"/>
          <w:lang w:val="en-AU"/>
        </w:rPr>
        <w:t xml:space="preserve">uidelines may be made, one of which is ‘interference with radiocommunications’. </w:t>
      </w:r>
    </w:p>
    <w:p w14:paraId="45CE77A7" w14:textId="77777777" w:rsidR="006302E9" w:rsidRDefault="006302E9" w:rsidP="003B728C">
      <w:pPr>
        <w:jc w:val="both"/>
        <w:rPr>
          <w:rFonts w:ascii="Arial" w:hAnsi="Arial" w:cs="Arial"/>
          <w:sz w:val="20"/>
          <w:szCs w:val="20"/>
          <w:lang w:val="en-AU"/>
        </w:rPr>
      </w:pPr>
    </w:p>
    <w:p w14:paraId="6177FC51" w14:textId="1FE46C5B" w:rsidR="00E52E0D" w:rsidRDefault="00E52E0D" w:rsidP="003B728C">
      <w:pPr>
        <w:jc w:val="both"/>
        <w:rPr>
          <w:rFonts w:ascii="Arial" w:hAnsi="Arial" w:cs="Arial"/>
          <w:sz w:val="20"/>
          <w:szCs w:val="20"/>
          <w:lang w:val="en-AU"/>
        </w:rPr>
      </w:pPr>
      <w:r>
        <w:rPr>
          <w:rFonts w:ascii="Arial" w:hAnsi="Arial" w:cs="Arial"/>
          <w:sz w:val="20"/>
          <w:szCs w:val="20"/>
          <w:lang w:val="en-AU"/>
        </w:rPr>
        <w:t xml:space="preserve">Subsection </w:t>
      </w:r>
      <w:r w:rsidR="00C34E28">
        <w:rPr>
          <w:rFonts w:ascii="Arial" w:hAnsi="Arial" w:cs="Arial"/>
          <w:sz w:val="20"/>
          <w:szCs w:val="20"/>
          <w:lang w:val="en-AU"/>
        </w:rPr>
        <w:t>33(3) of the AIA relevantly provides that where an Act confers a power to make a legislative instrument, the power shall be construed as including a power exercisable in the like manner and subject to the like conditions (if any) to repeal, rescind, revoke, amend or vary any such instrument.</w:t>
      </w:r>
    </w:p>
    <w:p w14:paraId="53179F11" w14:textId="77777777" w:rsidR="00E52E0D" w:rsidRDefault="00E52E0D" w:rsidP="003B728C">
      <w:pPr>
        <w:jc w:val="both"/>
        <w:rPr>
          <w:rFonts w:ascii="Arial" w:hAnsi="Arial" w:cs="Arial"/>
          <w:sz w:val="20"/>
          <w:szCs w:val="20"/>
          <w:lang w:val="en-AU"/>
        </w:rPr>
      </w:pPr>
    </w:p>
    <w:p w14:paraId="50C8E610" w14:textId="6893CC98" w:rsidR="008615D3" w:rsidRPr="003B728C" w:rsidRDefault="00E76C4B" w:rsidP="003B728C">
      <w:pPr>
        <w:jc w:val="both"/>
        <w:rPr>
          <w:rFonts w:ascii="Arial" w:hAnsi="Arial" w:cs="Arial"/>
          <w:i/>
          <w:sz w:val="20"/>
          <w:szCs w:val="20"/>
          <w:lang w:val="en-AU"/>
        </w:rPr>
      </w:pPr>
      <w:r w:rsidRPr="003B728C">
        <w:rPr>
          <w:rFonts w:ascii="Arial" w:hAnsi="Arial" w:cs="Arial"/>
          <w:sz w:val="20"/>
          <w:szCs w:val="20"/>
          <w:lang w:val="en-AU"/>
        </w:rPr>
        <w:t xml:space="preserve">The Advisory Guidelines are a legislative instrument </w:t>
      </w:r>
      <w:r w:rsidR="00560C70">
        <w:rPr>
          <w:rFonts w:ascii="Arial" w:hAnsi="Arial" w:cs="Arial"/>
          <w:sz w:val="20"/>
          <w:szCs w:val="20"/>
          <w:lang w:val="en-AU"/>
        </w:rPr>
        <w:t xml:space="preserve">for the purposes of section </w:t>
      </w:r>
      <w:r w:rsidR="00040FD0">
        <w:rPr>
          <w:rFonts w:ascii="Arial" w:hAnsi="Arial" w:cs="Arial"/>
          <w:sz w:val="20"/>
          <w:szCs w:val="20"/>
          <w:lang w:val="en-AU"/>
        </w:rPr>
        <w:t xml:space="preserve">8 </w:t>
      </w:r>
      <w:r w:rsidR="00560C70">
        <w:rPr>
          <w:rFonts w:ascii="Arial" w:hAnsi="Arial" w:cs="Arial"/>
          <w:sz w:val="20"/>
          <w:szCs w:val="20"/>
          <w:lang w:val="en-AU"/>
        </w:rPr>
        <w:t xml:space="preserve">of </w:t>
      </w:r>
      <w:r w:rsidRPr="003B728C">
        <w:rPr>
          <w:rFonts w:ascii="Arial" w:hAnsi="Arial" w:cs="Arial"/>
          <w:sz w:val="20"/>
          <w:szCs w:val="20"/>
          <w:lang w:val="en-AU"/>
        </w:rPr>
        <w:t xml:space="preserve">the </w:t>
      </w:r>
      <w:r w:rsidRPr="003B728C">
        <w:rPr>
          <w:rFonts w:ascii="Arial" w:hAnsi="Arial" w:cs="Arial"/>
          <w:i/>
          <w:sz w:val="20"/>
          <w:szCs w:val="20"/>
          <w:lang w:val="en-AU"/>
        </w:rPr>
        <w:t>Legislati</w:t>
      </w:r>
      <w:r w:rsidR="00560C70">
        <w:rPr>
          <w:rFonts w:ascii="Arial" w:hAnsi="Arial" w:cs="Arial"/>
          <w:i/>
          <w:sz w:val="20"/>
          <w:szCs w:val="20"/>
          <w:lang w:val="en-AU"/>
        </w:rPr>
        <w:t>on</w:t>
      </w:r>
      <w:r w:rsidRPr="003B728C">
        <w:rPr>
          <w:rFonts w:ascii="Arial" w:hAnsi="Arial" w:cs="Arial"/>
          <w:i/>
          <w:sz w:val="20"/>
          <w:szCs w:val="20"/>
          <w:lang w:val="en-AU"/>
        </w:rPr>
        <w:t xml:space="preserve"> Act 2003. </w:t>
      </w:r>
    </w:p>
    <w:p w14:paraId="50C8E611" w14:textId="77777777" w:rsidR="008615D3" w:rsidRPr="003B728C" w:rsidRDefault="008615D3" w:rsidP="003B728C">
      <w:pPr>
        <w:jc w:val="both"/>
        <w:rPr>
          <w:rFonts w:ascii="Arial" w:hAnsi="Arial" w:cs="Arial"/>
          <w:sz w:val="20"/>
          <w:szCs w:val="20"/>
          <w:lang w:val="en-AU"/>
        </w:rPr>
      </w:pPr>
    </w:p>
    <w:p w14:paraId="50C8E612" w14:textId="77777777" w:rsidR="008615D3" w:rsidRPr="003B728C" w:rsidRDefault="00E76C4B" w:rsidP="003B728C">
      <w:pPr>
        <w:keepNext/>
        <w:jc w:val="both"/>
        <w:outlineLvl w:val="0"/>
        <w:rPr>
          <w:rFonts w:ascii="Arial" w:hAnsi="Arial" w:cs="Arial"/>
          <w:b/>
          <w:sz w:val="20"/>
          <w:szCs w:val="20"/>
          <w:lang w:val="en-AU"/>
        </w:rPr>
      </w:pPr>
      <w:r w:rsidRPr="003B728C">
        <w:rPr>
          <w:rFonts w:ascii="Arial" w:hAnsi="Arial" w:cs="Arial"/>
          <w:b/>
          <w:sz w:val="20"/>
          <w:szCs w:val="20"/>
          <w:lang w:val="en-AU"/>
        </w:rPr>
        <w:t>Background</w:t>
      </w:r>
    </w:p>
    <w:p w14:paraId="1CD1136B" w14:textId="77777777" w:rsidR="006302E9" w:rsidRDefault="006302E9" w:rsidP="003B728C">
      <w:pPr>
        <w:jc w:val="both"/>
        <w:rPr>
          <w:rFonts w:ascii="Arial" w:hAnsi="Arial" w:cs="Arial"/>
          <w:sz w:val="20"/>
          <w:szCs w:val="20"/>
          <w:lang w:val="en-AU"/>
        </w:rPr>
      </w:pPr>
    </w:p>
    <w:p w14:paraId="50C8E613" w14:textId="3E2A182D" w:rsidR="008615D3" w:rsidRPr="003B728C" w:rsidRDefault="00E76C4B" w:rsidP="003B728C">
      <w:pPr>
        <w:jc w:val="both"/>
        <w:rPr>
          <w:rFonts w:ascii="Arial" w:hAnsi="Arial" w:cs="Arial"/>
          <w:sz w:val="20"/>
          <w:szCs w:val="20"/>
          <w:lang w:val="en-AU"/>
        </w:rPr>
      </w:pPr>
      <w:r w:rsidRPr="003B728C">
        <w:rPr>
          <w:rFonts w:ascii="Arial" w:hAnsi="Arial" w:cs="Arial"/>
          <w:sz w:val="20"/>
          <w:szCs w:val="20"/>
          <w:lang w:val="en-AU"/>
        </w:rPr>
        <w:t xml:space="preserve">A spectrum licence permits a licensee, subject to specified conditions, to operate radiocommunications devices within a particular spectrum space, defined by a frequency band and a geographic area. Interference can occur between spectrum licensed services and services operating under apparatus and class licensing arrangements </w:t>
      </w:r>
      <w:r w:rsidR="003B728C">
        <w:rPr>
          <w:rFonts w:ascii="Arial" w:hAnsi="Arial" w:cs="Arial"/>
          <w:sz w:val="20"/>
          <w:szCs w:val="20"/>
          <w:lang w:val="en-AU"/>
        </w:rPr>
        <w:t>in adjacent areas and</w:t>
      </w:r>
      <w:r w:rsidR="0090678C">
        <w:rPr>
          <w:rFonts w:ascii="Arial" w:hAnsi="Arial" w:cs="Arial"/>
          <w:sz w:val="20"/>
          <w:szCs w:val="20"/>
          <w:lang w:val="en-AU"/>
        </w:rPr>
        <w:t>/</w:t>
      </w:r>
      <w:r w:rsidR="003B728C">
        <w:rPr>
          <w:rFonts w:ascii="Arial" w:hAnsi="Arial" w:cs="Arial"/>
          <w:sz w:val="20"/>
          <w:szCs w:val="20"/>
          <w:lang w:val="en-AU"/>
        </w:rPr>
        <w:t>or frequencies</w:t>
      </w:r>
      <w:r w:rsidRPr="003B728C">
        <w:rPr>
          <w:rFonts w:ascii="Arial" w:hAnsi="Arial" w:cs="Arial"/>
          <w:sz w:val="20"/>
          <w:szCs w:val="20"/>
          <w:lang w:val="en-AU"/>
        </w:rPr>
        <w:t xml:space="preserve">.  </w:t>
      </w:r>
    </w:p>
    <w:p w14:paraId="50C8E614" w14:textId="77777777" w:rsidR="008615D3" w:rsidRPr="003B728C" w:rsidRDefault="008615D3" w:rsidP="003B728C">
      <w:pPr>
        <w:jc w:val="both"/>
        <w:rPr>
          <w:rFonts w:ascii="Arial" w:hAnsi="Arial" w:cs="Arial"/>
          <w:sz w:val="20"/>
          <w:szCs w:val="20"/>
          <w:lang w:val="en-AU"/>
        </w:rPr>
      </w:pPr>
    </w:p>
    <w:p w14:paraId="50C8E615" w14:textId="6D860877" w:rsidR="003B728C" w:rsidRDefault="00E76C4B" w:rsidP="003B728C">
      <w:pPr>
        <w:jc w:val="both"/>
        <w:rPr>
          <w:rFonts w:ascii="Arial" w:hAnsi="Arial" w:cs="Arial"/>
          <w:bCs/>
          <w:i/>
          <w:sz w:val="20"/>
          <w:szCs w:val="20"/>
        </w:rPr>
      </w:pPr>
      <w:r w:rsidRPr="003B728C">
        <w:rPr>
          <w:rFonts w:ascii="Arial" w:hAnsi="Arial" w:cs="Arial"/>
          <w:sz w:val="20"/>
          <w:szCs w:val="20"/>
          <w:lang w:val="en-AU"/>
        </w:rPr>
        <w:t>The Act provides a number of means by which the ACMA may manage interference resulting from operation of a radiocommunications transmitter under a spectrum licence</w:t>
      </w:r>
      <w:r w:rsidR="00BB033B">
        <w:rPr>
          <w:rFonts w:ascii="Arial" w:hAnsi="Arial" w:cs="Arial"/>
          <w:sz w:val="20"/>
          <w:szCs w:val="20"/>
          <w:lang w:val="en-AU"/>
        </w:rPr>
        <w:t>, including</w:t>
      </w:r>
      <w:r w:rsidRPr="003B728C">
        <w:rPr>
          <w:rFonts w:ascii="Arial" w:hAnsi="Arial" w:cs="Arial"/>
          <w:sz w:val="20"/>
          <w:szCs w:val="20"/>
          <w:lang w:val="en-AU"/>
        </w:rPr>
        <w:t xml:space="preserve"> the ability to make </w:t>
      </w:r>
      <w:r w:rsidR="00415C49">
        <w:rPr>
          <w:rFonts w:ascii="Arial" w:hAnsi="Arial" w:cs="Arial"/>
          <w:sz w:val="20"/>
          <w:szCs w:val="20"/>
          <w:lang w:val="en-AU"/>
        </w:rPr>
        <w:t>a</w:t>
      </w:r>
      <w:r w:rsidRPr="003B728C">
        <w:rPr>
          <w:rFonts w:ascii="Arial" w:hAnsi="Arial" w:cs="Arial"/>
          <w:sz w:val="20"/>
          <w:szCs w:val="20"/>
          <w:lang w:val="en-AU"/>
        </w:rPr>
        <w:t xml:space="preserve">dvisory </w:t>
      </w:r>
      <w:r w:rsidR="00415C49">
        <w:rPr>
          <w:rFonts w:ascii="Arial" w:hAnsi="Arial" w:cs="Arial"/>
          <w:sz w:val="20"/>
          <w:szCs w:val="20"/>
          <w:lang w:val="en-AU"/>
        </w:rPr>
        <w:t>g</w:t>
      </w:r>
      <w:r w:rsidRPr="003B728C">
        <w:rPr>
          <w:rFonts w:ascii="Arial" w:hAnsi="Arial" w:cs="Arial"/>
          <w:sz w:val="20"/>
          <w:szCs w:val="20"/>
          <w:lang w:val="en-AU"/>
        </w:rPr>
        <w:t xml:space="preserve">uidelines under section 262 of the Act. The </w:t>
      </w:r>
      <w:r w:rsidR="00C34E28">
        <w:rPr>
          <w:rFonts w:ascii="Arial" w:hAnsi="Arial" w:cs="Arial"/>
          <w:bCs/>
          <w:sz w:val="20"/>
          <w:szCs w:val="20"/>
        </w:rPr>
        <w:t>Advisory Guidelines</w:t>
      </w:r>
      <w:r w:rsidR="00BB033B">
        <w:rPr>
          <w:rFonts w:ascii="Arial" w:hAnsi="Arial" w:cs="Arial"/>
          <w:sz w:val="20"/>
          <w:szCs w:val="20"/>
          <w:lang w:val="en-AU"/>
        </w:rPr>
        <w:t xml:space="preserve"> provide</w:t>
      </w:r>
      <w:r w:rsidRPr="003B728C">
        <w:rPr>
          <w:rFonts w:ascii="Arial" w:hAnsi="Arial" w:cs="Arial"/>
          <w:sz w:val="20"/>
          <w:szCs w:val="20"/>
          <w:lang w:val="en-AU"/>
        </w:rPr>
        <w:t xml:space="preserve"> guidance to assist with the protection of radiocommunications receivers operating under other licences from spectrum licensed radiocommunications transmitters operating in the </w:t>
      </w:r>
      <w:r w:rsidR="006302E9">
        <w:rPr>
          <w:rFonts w:ascii="Arial" w:hAnsi="Arial" w:cs="Arial"/>
          <w:sz w:val="20"/>
          <w:szCs w:val="20"/>
          <w:lang w:val="en-AU"/>
        </w:rPr>
        <w:t>2</w:t>
      </w:r>
      <w:r w:rsidRPr="003B728C">
        <w:rPr>
          <w:rFonts w:ascii="Arial" w:hAnsi="Arial" w:cs="Arial"/>
          <w:sz w:val="20"/>
          <w:szCs w:val="20"/>
          <w:lang w:val="en-AU"/>
        </w:rPr>
        <w:t xml:space="preserve"> GHz band. </w:t>
      </w:r>
    </w:p>
    <w:p w14:paraId="50C8E616" w14:textId="77777777" w:rsidR="003B728C" w:rsidRPr="003B728C" w:rsidRDefault="003B728C" w:rsidP="003B728C">
      <w:pPr>
        <w:jc w:val="both"/>
        <w:rPr>
          <w:rFonts w:ascii="Arial" w:hAnsi="Arial" w:cs="Arial"/>
          <w:sz w:val="20"/>
          <w:szCs w:val="20"/>
          <w:lang w:val="en-AU"/>
        </w:rPr>
      </w:pPr>
    </w:p>
    <w:p w14:paraId="711FA63D" w14:textId="5C50829C" w:rsidR="007358CB" w:rsidRPr="00D34BBD" w:rsidRDefault="007358CB" w:rsidP="007358CB">
      <w:pPr>
        <w:jc w:val="both"/>
        <w:rPr>
          <w:rFonts w:ascii="Arial" w:hAnsi="Arial" w:cs="Arial"/>
          <w:sz w:val="20"/>
          <w:szCs w:val="20"/>
          <w:lang w:val="en-AU"/>
        </w:rPr>
      </w:pPr>
      <w:r w:rsidRPr="00D34BBD">
        <w:rPr>
          <w:rFonts w:ascii="Arial" w:hAnsi="Arial" w:cs="Arial"/>
          <w:sz w:val="20"/>
          <w:szCs w:val="20"/>
          <w:lang w:val="en-AU"/>
        </w:rPr>
        <w:lastRenderedPageBreak/>
        <w:t>The 2 GHz band was re-allocated for spectrum licensing in the year 2000. Current spectrum licences in the 2 GHz band will expire on 11</w:t>
      </w:r>
      <w:r>
        <w:rPr>
          <w:rFonts w:ascii="Arial" w:hAnsi="Arial" w:cs="Arial"/>
          <w:sz w:val="20"/>
          <w:szCs w:val="20"/>
          <w:lang w:val="en-AU"/>
        </w:rPr>
        <w:t xml:space="preserve"> </w:t>
      </w:r>
      <w:r w:rsidRPr="00D34BBD">
        <w:rPr>
          <w:rFonts w:ascii="Arial" w:hAnsi="Arial" w:cs="Arial"/>
          <w:sz w:val="20"/>
          <w:szCs w:val="20"/>
          <w:lang w:val="en-AU"/>
        </w:rPr>
        <w:t>October 2017. To prepare for the re-issue</w:t>
      </w:r>
      <w:r w:rsidR="0090678C">
        <w:rPr>
          <w:rFonts w:ascii="Arial" w:hAnsi="Arial" w:cs="Arial"/>
          <w:sz w:val="20"/>
          <w:szCs w:val="20"/>
          <w:lang w:val="en-AU"/>
        </w:rPr>
        <w:t xml:space="preserve"> or</w:t>
      </w:r>
      <w:r w:rsidRPr="00D34BBD">
        <w:rPr>
          <w:rFonts w:ascii="Arial" w:hAnsi="Arial" w:cs="Arial"/>
          <w:sz w:val="20"/>
          <w:szCs w:val="20"/>
          <w:lang w:val="en-AU"/>
        </w:rPr>
        <w:t xml:space="preserve"> re-allocation</w:t>
      </w:r>
      <w:r w:rsidR="00C34E28">
        <w:rPr>
          <w:rFonts w:ascii="Arial" w:hAnsi="Arial" w:cs="Arial"/>
          <w:sz w:val="20"/>
          <w:szCs w:val="20"/>
          <w:lang w:val="en-AU"/>
        </w:rPr>
        <w:t>, or both</w:t>
      </w:r>
      <w:r w:rsidR="0090678C">
        <w:rPr>
          <w:rFonts w:ascii="Arial" w:hAnsi="Arial" w:cs="Arial"/>
          <w:sz w:val="20"/>
          <w:szCs w:val="20"/>
          <w:lang w:val="en-AU"/>
        </w:rPr>
        <w:t>,</w:t>
      </w:r>
      <w:r w:rsidRPr="00D34BBD">
        <w:rPr>
          <w:rFonts w:ascii="Arial" w:hAnsi="Arial" w:cs="Arial"/>
          <w:sz w:val="20"/>
          <w:szCs w:val="20"/>
          <w:lang w:val="en-AU"/>
        </w:rPr>
        <w:t xml:space="preserve"> of spectrum licences in the 2 GHz band, the ACMA conducted a review of the 2 GHz spectrum licensing technical framework. The aim of the review was to:</w:t>
      </w:r>
    </w:p>
    <w:p w14:paraId="50C8E618" w14:textId="77777777" w:rsidR="008615D3" w:rsidRPr="003B728C" w:rsidRDefault="00E76C4B" w:rsidP="00FF588D">
      <w:pPr>
        <w:numPr>
          <w:ilvl w:val="0"/>
          <w:numId w:val="22"/>
        </w:numPr>
        <w:spacing w:before="120"/>
        <w:jc w:val="both"/>
        <w:rPr>
          <w:rFonts w:ascii="Arial" w:hAnsi="Arial" w:cs="Arial"/>
          <w:sz w:val="20"/>
          <w:szCs w:val="20"/>
          <w:lang w:val="en-AU"/>
        </w:rPr>
      </w:pPr>
      <w:r w:rsidRPr="003B728C">
        <w:rPr>
          <w:rFonts w:ascii="Arial" w:hAnsi="Arial" w:cs="Arial"/>
          <w:sz w:val="20"/>
          <w:szCs w:val="20"/>
          <w:lang w:val="en-AU"/>
        </w:rPr>
        <w:t>ensure flexibility so that a range of modern technologies can be used in the band, with a particular focus on International Mobile Telecommunications (IMT) technologies;</w:t>
      </w:r>
    </w:p>
    <w:p w14:paraId="50C8E619" w14:textId="77777777" w:rsidR="008615D3" w:rsidRPr="003B728C" w:rsidRDefault="00E76C4B" w:rsidP="00FF588D">
      <w:pPr>
        <w:numPr>
          <w:ilvl w:val="0"/>
          <w:numId w:val="22"/>
        </w:numPr>
        <w:spacing w:before="120"/>
        <w:jc w:val="both"/>
        <w:rPr>
          <w:rFonts w:ascii="Arial" w:hAnsi="Arial" w:cs="Arial"/>
          <w:sz w:val="20"/>
          <w:szCs w:val="20"/>
          <w:lang w:val="en-AU"/>
        </w:rPr>
      </w:pPr>
      <w:r w:rsidRPr="003B728C">
        <w:rPr>
          <w:rFonts w:ascii="Arial" w:hAnsi="Arial" w:cs="Arial"/>
          <w:sz w:val="20"/>
          <w:szCs w:val="20"/>
          <w:lang w:val="en-AU"/>
        </w:rPr>
        <w:t>provide conditions that enable continued usage of existing network technologies in the band;</w:t>
      </w:r>
    </w:p>
    <w:p w14:paraId="50C8E61A" w14:textId="2038288E" w:rsidR="008615D3" w:rsidRPr="003B728C" w:rsidRDefault="00E76C4B" w:rsidP="00FF588D">
      <w:pPr>
        <w:numPr>
          <w:ilvl w:val="0"/>
          <w:numId w:val="22"/>
        </w:numPr>
        <w:spacing w:before="120"/>
        <w:jc w:val="both"/>
        <w:rPr>
          <w:rFonts w:ascii="Arial" w:hAnsi="Arial" w:cs="Arial"/>
          <w:sz w:val="20"/>
          <w:szCs w:val="20"/>
          <w:lang w:val="en-AU"/>
        </w:rPr>
      </w:pPr>
      <w:r w:rsidRPr="003B728C">
        <w:rPr>
          <w:rFonts w:ascii="Arial" w:hAnsi="Arial" w:cs="Arial"/>
          <w:sz w:val="20"/>
          <w:szCs w:val="20"/>
          <w:lang w:val="en-AU"/>
        </w:rPr>
        <w:t xml:space="preserve">provide interference management within the </w:t>
      </w:r>
      <w:r w:rsidR="006302E9">
        <w:rPr>
          <w:rFonts w:ascii="Arial" w:hAnsi="Arial" w:cs="Arial"/>
          <w:sz w:val="20"/>
          <w:szCs w:val="20"/>
          <w:lang w:val="en-AU"/>
        </w:rPr>
        <w:t>2</w:t>
      </w:r>
      <w:r w:rsidRPr="003B728C">
        <w:rPr>
          <w:rFonts w:ascii="Arial" w:hAnsi="Arial" w:cs="Arial"/>
          <w:sz w:val="20"/>
          <w:szCs w:val="20"/>
          <w:lang w:val="en-AU"/>
        </w:rPr>
        <w:t xml:space="preserve"> GHz band, and in adjacent bands; and </w:t>
      </w:r>
    </w:p>
    <w:p w14:paraId="50C8E61B" w14:textId="77777777" w:rsidR="008615D3" w:rsidRPr="003B728C" w:rsidRDefault="00E76C4B" w:rsidP="00FF588D">
      <w:pPr>
        <w:numPr>
          <w:ilvl w:val="0"/>
          <w:numId w:val="22"/>
        </w:numPr>
        <w:spacing w:before="120"/>
        <w:jc w:val="both"/>
        <w:rPr>
          <w:rFonts w:ascii="Arial" w:hAnsi="Arial" w:cs="Arial"/>
          <w:sz w:val="20"/>
          <w:szCs w:val="20"/>
          <w:lang w:val="en-AU"/>
        </w:rPr>
      </w:pPr>
      <w:proofErr w:type="gramStart"/>
      <w:r w:rsidRPr="003B728C">
        <w:rPr>
          <w:rFonts w:ascii="Arial" w:hAnsi="Arial" w:cs="Arial"/>
          <w:sz w:val="20"/>
          <w:szCs w:val="20"/>
          <w:lang w:val="en-AU"/>
        </w:rPr>
        <w:t>address</w:t>
      </w:r>
      <w:proofErr w:type="gramEnd"/>
      <w:r w:rsidRPr="003B728C">
        <w:rPr>
          <w:rFonts w:ascii="Arial" w:hAnsi="Arial" w:cs="Arial"/>
          <w:sz w:val="20"/>
          <w:szCs w:val="20"/>
          <w:lang w:val="en-AU"/>
        </w:rPr>
        <w:t xml:space="preserve"> deficiencies that have come to light during the current licence period.</w:t>
      </w:r>
    </w:p>
    <w:p w14:paraId="50C8E61C" w14:textId="77777777" w:rsidR="008615D3" w:rsidRPr="003B728C" w:rsidRDefault="008615D3" w:rsidP="00FF588D">
      <w:pPr>
        <w:spacing w:before="120"/>
        <w:jc w:val="both"/>
        <w:rPr>
          <w:rFonts w:ascii="Arial" w:hAnsi="Arial" w:cs="Arial"/>
          <w:sz w:val="20"/>
          <w:szCs w:val="20"/>
          <w:lang w:val="en-AU"/>
        </w:rPr>
      </w:pPr>
    </w:p>
    <w:p w14:paraId="61CC6098" w14:textId="41743A2D" w:rsidR="00460F2A" w:rsidRDefault="007358CB" w:rsidP="007358CB">
      <w:pPr>
        <w:jc w:val="both"/>
        <w:rPr>
          <w:rFonts w:ascii="Arial" w:hAnsi="Arial" w:cs="Arial"/>
          <w:sz w:val="20"/>
          <w:szCs w:val="20"/>
          <w:lang w:val="en-AU"/>
        </w:rPr>
      </w:pPr>
      <w:r w:rsidRPr="00EA312C">
        <w:rPr>
          <w:rFonts w:ascii="Arial" w:hAnsi="Arial" w:cs="Arial"/>
          <w:sz w:val="20"/>
          <w:szCs w:val="20"/>
          <w:lang w:val="en-AU"/>
        </w:rPr>
        <w:t xml:space="preserve">The review recommended that the </w:t>
      </w:r>
      <w:r>
        <w:rPr>
          <w:rFonts w:ascii="Arial" w:hAnsi="Arial" w:cs="Arial"/>
          <w:sz w:val="20"/>
          <w:szCs w:val="20"/>
          <w:lang w:val="en-AU"/>
        </w:rPr>
        <w:t>20</w:t>
      </w:r>
      <w:r w:rsidR="00C34E28">
        <w:rPr>
          <w:rFonts w:ascii="Arial" w:hAnsi="Arial" w:cs="Arial"/>
          <w:sz w:val="20"/>
          <w:szCs w:val="20"/>
          <w:lang w:val="en-AU"/>
        </w:rPr>
        <w:t>15 Advisory</w:t>
      </w:r>
      <w:r w:rsidRPr="00EA312C">
        <w:rPr>
          <w:rFonts w:ascii="Arial" w:hAnsi="Arial" w:cs="Arial"/>
          <w:sz w:val="20"/>
          <w:szCs w:val="20"/>
          <w:lang w:val="en-AU"/>
        </w:rPr>
        <w:t xml:space="preserve"> Guidelines be </w:t>
      </w:r>
      <w:r w:rsidR="00C34E28">
        <w:rPr>
          <w:rFonts w:ascii="Arial" w:hAnsi="Arial" w:cs="Arial"/>
          <w:sz w:val="20"/>
          <w:szCs w:val="20"/>
          <w:lang w:val="en-AU"/>
        </w:rPr>
        <w:t>revoked and replaced with the Advisory Guidelines</w:t>
      </w:r>
      <w:r w:rsidRPr="00EA312C">
        <w:rPr>
          <w:rFonts w:ascii="Arial" w:hAnsi="Arial" w:cs="Arial"/>
          <w:sz w:val="20"/>
          <w:szCs w:val="20"/>
          <w:lang w:val="en-AU"/>
        </w:rPr>
        <w:t xml:space="preserve"> to</w:t>
      </w:r>
      <w:r w:rsidR="00C34E28">
        <w:rPr>
          <w:rFonts w:ascii="Arial" w:hAnsi="Arial" w:cs="Arial"/>
          <w:sz w:val="20"/>
          <w:szCs w:val="20"/>
          <w:lang w:val="en-AU"/>
        </w:rPr>
        <w:t xml:space="preserve"> take into</w:t>
      </w:r>
      <w:r w:rsidRPr="00EA312C">
        <w:rPr>
          <w:rFonts w:ascii="Arial" w:hAnsi="Arial" w:cs="Arial"/>
          <w:sz w:val="20"/>
          <w:szCs w:val="20"/>
          <w:lang w:val="en-AU"/>
        </w:rPr>
        <w:t xml:space="preserve"> account the modernisation of mobile communications technologies</w:t>
      </w:r>
      <w:r w:rsidR="00C34E28">
        <w:rPr>
          <w:rFonts w:ascii="Arial" w:hAnsi="Arial" w:cs="Arial"/>
          <w:sz w:val="20"/>
          <w:szCs w:val="20"/>
          <w:lang w:val="en-AU"/>
        </w:rPr>
        <w:t>, which</w:t>
      </w:r>
      <w:r w:rsidRPr="00EA312C">
        <w:rPr>
          <w:rFonts w:ascii="Arial" w:hAnsi="Arial" w:cs="Arial"/>
          <w:sz w:val="20"/>
          <w:szCs w:val="20"/>
          <w:lang w:val="en-AU"/>
        </w:rPr>
        <w:t xml:space="preserve"> </w:t>
      </w:r>
      <w:r w:rsidR="00415C49" w:rsidRPr="00EA312C">
        <w:rPr>
          <w:rFonts w:ascii="Arial" w:hAnsi="Arial" w:cs="Arial"/>
          <w:sz w:val="20"/>
          <w:szCs w:val="20"/>
          <w:lang w:val="en-AU"/>
        </w:rPr>
        <w:t>ha</w:t>
      </w:r>
      <w:r w:rsidR="00415C49">
        <w:rPr>
          <w:rFonts w:ascii="Arial" w:hAnsi="Arial" w:cs="Arial"/>
          <w:sz w:val="20"/>
          <w:szCs w:val="20"/>
          <w:lang w:val="en-AU"/>
        </w:rPr>
        <w:t xml:space="preserve">s </w:t>
      </w:r>
      <w:r w:rsidRPr="00EA312C">
        <w:rPr>
          <w:rFonts w:ascii="Arial" w:hAnsi="Arial" w:cs="Arial"/>
          <w:sz w:val="20"/>
          <w:szCs w:val="20"/>
          <w:lang w:val="en-AU"/>
        </w:rPr>
        <w:t xml:space="preserve">occurred since </w:t>
      </w:r>
      <w:r>
        <w:rPr>
          <w:rFonts w:ascii="Arial" w:hAnsi="Arial" w:cs="Arial"/>
          <w:sz w:val="20"/>
          <w:szCs w:val="20"/>
          <w:lang w:val="en-AU"/>
        </w:rPr>
        <w:t>2000</w:t>
      </w:r>
      <w:r w:rsidRPr="00EA312C">
        <w:rPr>
          <w:rFonts w:ascii="Arial" w:hAnsi="Arial" w:cs="Arial"/>
          <w:sz w:val="20"/>
          <w:szCs w:val="20"/>
          <w:lang w:val="en-AU"/>
        </w:rPr>
        <w:t xml:space="preserve">, as well as to allow for developments that may be expected to take place in the next spectrum licence period. </w:t>
      </w:r>
    </w:p>
    <w:p w14:paraId="0D0A3074" w14:textId="77777777" w:rsidR="00460F2A" w:rsidRDefault="00460F2A" w:rsidP="007358CB">
      <w:pPr>
        <w:jc w:val="both"/>
        <w:rPr>
          <w:rFonts w:ascii="Arial" w:hAnsi="Arial" w:cs="Arial"/>
          <w:sz w:val="20"/>
          <w:szCs w:val="20"/>
          <w:lang w:val="en-AU"/>
        </w:rPr>
      </w:pPr>
    </w:p>
    <w:p w14:paraId="7EF02CF4" w14:textId="0FC21EEF" w:rsidR="007358CB" w:rsidRDefault="00415C49" w:rsidP="007358CB">
      <w:pPr>
        <w:jc w:val="both"/>
        <w:rPr>
          <w:rFonts w:ascii="Arial" w:hAnsi="Arial" w:cs="Arial"/>
          <w:sz w:val="20"/>
          <w:szCs w:val="20"/>
          <w:lang w:val="en-AU"/>
        </w:rPr>
      </w:pPr>
      <w:r>
        <w:rPr>
          <w:rFonts w:ascii="Arial" w:hAnsi="Arial" w:cs="Arial"/>
          <w:sz w:val="20"/>
          <w:szCs w:val="20"/>
          <w:lang w:val="en-AU"/>
        </w:rPr>
        <w:t>A</w:t>
      </w:r>
      <w:r w:rsidR="009B28C7">
        <w:rPr>
          <w:rFonts w:ascii="Arial" w:hAnsi="Arial" w:cs="Arial"/>
          <w:sz w:val="20"/>
          <w:szCs w:val="20"/>
          <w:lang w:val="en-AU"/>
        </w:rPr>
        <w:t xml:space="preserve">djustments made in the new Advisory </w:t>
      </w:r>
      <w:proofErr w:type="gramStart"/>
      <w:r w:rsidR="009B28C7">
        <w:rPr>
          <w:rFonts w:ascii="Arial" w:hAnsi="Arial" w:cs="Arial"/>
          <w:sz w:val="20"/>
          <w:szCs w:val="20"/>
          <w:lang w:val="en-AU"/>
        </w:rPr>
        <w:t xml:space="preserve">Guidelines </w:t>
      </w:r>
      <w:r>
        <w:rPr>
          <w:rFonts w:ascii="Arial" w:hAnsi="Arial" w:cs="Arial"/>
          <w:sz w:val="20"/>
          <w:szCs w:val="20"/>
          <w:lang w:val="en-AU"/>
        </w:rPr>
        <w:t xml:space="preserve"> </w:t>
      </w:r>
      <w:r w:rsidR="007358CB">
        <w:rPr>
          <w:rFonts w:ascii="Arial" w:hAnsi="Arial" w:cs="Arial"/>
          <w:sz w:val="20"/>
          <w:szCs w:val="20"/>
          <w:lang w:val="en-AU"/>
        </w:rPr>
        <w:t>include</w:t>
      </w:r>
      <w:proofErr w:type="gramEnd"/>
      <w:r w:rsidR="007358CB">
        <w:rPr>
          <w:rFonts w:ascii="Arial" w:hAnsi="Arial" w:cs="Arial"/>
          <w:sz w:val="20"/>
          <w:szCs w:val="20"/>
          <w:lang w:val="en-AU"/>
        </w:rPr>
        <w:t>:</w:t>
      </w:r>
    </w:p>
    <w:p w14:paraId="268EACF0" w14:textId="38F3F247" w:rsidR="007358CB" w:rsidRDefault="007358CB" w:rsidP="00FF588D">
      <w:pPr>
        <w:numPr>
          <w:ilvl w:val="0"/>
          <w:numId w:val="22"/>
        </w:numPr>
        <w:spacing w:before="120"/>
        <w:ind w:left="567" w:hanging="207"/>
        <w:jc w:val="both"/>
        <w:rPr>
          <w:rFonts w:ascii="Arial" w:hAnsi="Arial" w:cs="Arial"/>
          <w:sz w:val="20"/>
          <w:szCs w:val="20"/>
          <w:lang w:val="en-AU"/>
        </w:rPr>
      </w:pPr>
      <w:r>
        <w:rPr>
          <w:rFonts w:ascii="Arial" w:hAnsi="Arial" w:cs="Arial"/>
          <w:sz w:val="20"/>
          <w:szCs w:val="20"/>
          <w:lang w:val="en-AU"/>
        </w:rPr>
        <w:t xml:space="preserve">inclusion of protection requirements for new services introduced both in and adjacent to the 2 GHz band, </w:t>
      </w:r>
      <w:r w:rsidR="002A0D98">
        <w:rPr>
          <w:rFonts w:ascii="Arial" w:hAnsi="Arial" w:cs="Arial"/>
          <w:sz w:val="20"/>
          <w:szCs w:val="20"/>
          <w:lang w:val="en-AU"/>
        </w:rPr>
        <w:t>such as television outside broadcast (</w:t>
      </w:r>
      <w:r>
        <w:rPr>
          <w:rFonts w:ascii="Arial" w:hAnsi="Arial" w:cs="Arial"/>
          <w:sz w:val="20"/>
          <w:szCs w:val="20"/>
          <w:lang w:val="en-AU"/>
        </w:rPr>
        <w:t>T</w:t>
      </w:r>
      <w:r w:rsidR="002A0D98">
        <w:rPr>
          <w:rFonts w:ascii="Arial" w:hAnsi="Arial" w:cs="Arial"/>
          <w:sz w:val="20"/>
          <w:szCs w:val="20"/>
          <w:lang w:val="en-AU"/>
        </w:rPr>
        <w:t>V</w:t>
      </w:r>
      <w:r>
        <w:rPr>
          <w:rFonts w:ascii="Arial" w:hAnsi="Arial" w:cs="Arial"/>
          <w:sz w:val="20"/>
          <w:szCs w:val="20"/>
          <w:lang w:val="en-AU"/>
        </w:rPr>
        <w:t>OB</w:t>
      </w:r>
      <w:r w:rsidR="002A0D98">
        <w:rPr>
          <w:rFonts w:ascii="Arial" w:hAnsi="Arial" w:cs="Arial"/>
          <w:sz w:val="20"/>
          <w:szCs w:val="20"/>
          <w:lang w:val="en-AU"/>
        </w:rPr>
        <w:t>)</w:t>
      </w:r>
      <w:r>
        <w:rPr>
          <w:rFonts w:ascii="Arial" w:hAnsi="Arial" w:cs="Arial"/>
          <w:sz w:val="20"/>
          <w:szCs w:val="20"/>
          <w:lang w:val="en-AU"/>
        </w:rPr>
        <w:t xml:space="preserve"> and </w:t>
      </w:r>
      <w:r w:rsidR="002A0D98">
        <w:rPr>
          <w:rFonts w:ascii="Arial" w:hAnsi="Arial" w:cs="Arial"/>
          <w:sz w:val="20"/>
          <w:szCs w:val="20"/>
          <w:lang w:val="en-AU"/>
        </w:rPr>
        <w:t>public telecommunications service</w:t>
      </w:r>
      <w:r w:rsidR="009B28C7">
        <w:rPr>
          <w:rFonts w:ascii="Arial" w:hAnsi="Arial" w:cs="Arial"/>
          <w:sz w:val="20"/>
          <w:szCs w:val="20"/>
          <w:lang w:val="en-AU"/>
        </w:rPr>
        <w:t>s</w:t>
      </w:r>
      <w:r w:rsidR="002A0D98">
        <w:rPr>
          <w:rFonts w:ascii="Arial" w:hAnsi="Arial" w:cs="Arial"/>
          <w:sz w:val="20"/>
          <w:szCs w:val="20"/>
          <w:lang w:val="en-AU"/>
        </w:rPr>
        <w:t xml:space="preserve"> (</w:t>
      </w:r>
      <w:r>
        <w:rPr>
          <w:rFonts w:ascii="Arial" w:hAnsi="Arial" w:cs="Arial"/>
          <w:sz w:val="20"/>
          <w:szCs w:val="20"/>
          <w:lang w:val="en-AU"/>
        </w:rPr>
        <w:t>PTS</w:t>
      </w:r>
      <w:r w:rsidR="002A0D98">
        <w:rPr>
          <w:rFonts w:ascii="Arial" w:hAnsi="Arial" w:cs="Arial"/>
          <w:sz w:val="20"/>
          <w:szCs w:val="20"/>
          <w:lang w:val="en-AU"/>
        </w:rPr>
        <w:t>)</w:t>
      </w:r>
      <w:r>
        <w:rPr>
          <w:rFonts w:ascii="Arial" w:hAnsi="Arial" w:cs="Arial"/>
          <w:sz w:val="20"/>
          <w:szCs w:val="20"/>
          <w:lang w:val="en-AU"/>
        </w:rPr>
        <w:t xml:space="preserve">; </w:t>
      </w:r>
    </w:p>
    <w:p w14:paraId="03A7DFFE" w14:textId="548257EB" w:rsidR="007358CB" w:rsidRDefault="007358CB" w:rsidP="00FF588D">
      <w:pPr>
        <w:numPr>
          <w:ilvl w:val="0"/>
          <w:numId w:val="22"/>
        </w:numPr>
        <w:spacing w:before="120"/>
        <w:ind w:left="567" w:hanging="207"/>
        <w:jc w:val="both"/>
        <w:rPr>
          <w:rFonts w:ascii="Arial" w:hAnsi="Arial" w:cs="Arial"/>
          <w:sz w:val="20"/>
          <w:szCs w:val="20"/>
          <w:lang w:val="en-AU"/>
        </w:rPr>
      </w:pPr>
      <w:r>
        <w:rPr>
          <w:rFonts w:ascii="Arial" w:hAnsi="Arial" w:cs="Arial"/>
          <w:sz w:val="20"/>
          <w:szCs w:val="20"/>
          <w:lang w:val="en-AU"/>
        </w:rPr>
        <w:t>removal of protection requirement</w:t>
      </w:r>
      <w:r w:rsidR="002A0D98">
        <w:rPr>
          <w:rFonts w:ascii="Arial" w:hAnsi="Arial" w:cs="Arial"/>
          <w:sz w:val="20"/>
          <w:szCs w:val="20"/>
          <w:lang w:val="en-AU"/>
        </w:rPr>
        <w:t>s</w:t>
      </w:r>
      <w:r>
        <w:rPr>
          <w:rFonts w:ascii="Arial" w:hAnsi="Arial" w:cs="Arial"/>
          <w:sz w:val="20"/>
          <w:szCs w:val="20"/>
          <w:lang w:val="en-AU"/>
        </w:rPr>
        <w:t xml:space="preserve"> for Multipoint Distribution Systems as they are no longer operating in the band below 2110 MHz;</w:t>
      </w:r>
    </w:p>
    <w:p w14:paraId="5BB19E0F" w14:textId="2773C3BD" w:rsidR="007358CB" w:rsidRDefault="007358CB" w:rsidP="00FF588D">
      <w:pPr>
        <w:numPr>
          <w:ilvl w:val="0"/>
          <w:numId w:val="22"/>
        </w:numPr>
        <w:spacing w:before="120"/>
        <w:ind w:left="567" w:hanging="207"/>
        <w:jc w:val="both"/>
        <w:rPr>
          <w:rFonts w:ascii="Arial" w:hAnsi="Arial" w:cs="Arial"/>
          <w:sz w:val="20"/>
          <w:szCs w:val="20"/>
          <w:lang w:val="en-AU"/>
        </w:rPr>
      </w:pPr>
      <w:r>
        <w:rPr>
          <w:rFonts w:ascii="Arial" w:hAnsi="Arial" w:cs="Arial"/>
          <w:sz w:val="20"/>
          <w:szCs w:val="20"/>
          <w:lang w:val="en-AU"/>
        </w:rPr>
        <w:t xml:space="preserve">introduction of generic guidelines for </w:t>
      </w:r>
      <w:r w:rsidR="002A0D98">
        <w:rPr>
          <w:rFonts w:ascii="Arial" w:hAnsi="Arial" w:cs="Arial"/>
          <w:sz w:val="20"/>
          <w:szCs w:val="20"/>
          <w:lang w:val="en-AU"/>
        </w:rPr>
        <w:t xml:space="preserve">radiocommunications </w:t>
      </w:r>
      <w:r>
        <w:rPr>
          <w:rFonts w:ascii="Arial" w:hAnsi="Arial" w:cs="Arial"/>
          <w:sz w:val="20"/>
          <w:szCs w:val="20"/>
          <w:lang w:val="en-AU"/>
        </w:rPr>
        <w:t>devices operating under class licences;</w:t>
      </w:r>
    </w:p>
    <w:p w14:paraId="7035A91C" w14:textId="4FC5BAF6" w:rsidR="007358CB" w:rsidRPr="007358CB" w:rsidRDefault="007358CB" w:rsidP="00FF588D">
      <w:pPr>
        <w:numPr>
          <w:ilvl w:val="0"/>
          <w:numId w:val="22"/>
        </w:numPr>
        <w:spacing w:before="120"/>
        <w:ind w:left="567" w:hanging="207"/>
        <w:jc w:val="both"/>
        <w:rPr>
          <w:rFonts w:ascii="Arial" w:hAnsi="Arial" w:cs="Arial"/>
          <w:sz w:val="20"/>
          <w:szCs w:val="20"/>
          <w:lang w:val="en-AU"/>
        </w:rPr>
      </w:pPr>
      <w:r>
        <w:rPr>
          <w:rFonts w:ascii="Arial" w:hAnsi="Arial" w:cs="Arial"/>
          <w:sz w:val="20"/>
          <w:szCs w:val="20"/>
          <w:lang w:val="en-AU"/>
        </w:rPr>
        <w:t xml:space="preserve">removal of the schedule relating to propagation models, and replacing it with a reference to ITU-R Recommendation P.1144 </w:t>
      </w:r>
      <w:r w:rsidRPr="007358CB">
        <w:rPr>
          <w:rFonts w:ascii="Arial" w:hAnsi="Arial" w:cs="Arial"/>
          <w:i/>
          <w:sz w:val="20"/>
          <w:szCs w:val="20"/>
          <w:lang w:val="en-AU"/>
        </w:rPr>
        <w:t>Guide to the application of the propagation methods of Radiocommunications Study Group 3</w:t>
      </w:r>
    </w:p>
    <w:p w14:paraId="6FA25ABD" w14:textId="702BDB40" w:rsidR="007358CB" w:rsidRDefault="007358CB" w:rsidP="00FF588D">
      <w:pPr>
        <w:numPr>
          <w:ilvl w:val="0"/>
          <w:numId w:val="22"/>
        </w:numPr>
        <w:spacing w:before="120"/>
        <w:ind w:left="567" w:hanging="207"/>
        <w:jc w:val="both"/>
        <w:rPr>
          <w:rFonts w:ascii="Arial" w:hAnsi="Arial" w:cs="Arial"/>
          <w:sz w:val="20"/>
          <w:szCs w:val="20"/>
          <w:lang w:val="en-AU"/>
        </w:rPr>
      </w:pPr>
      <w:r w:rsidRPr="007358CB">
        <w:rPr>
          <w:rFonts w:ascii="Arial" w:hAnsi="Arial" w:cs="Arial"/>
          <w:sz w:val="20"/>
          <w:szCs w:val="20"/>
          <w:lang w:val="en-AU"/>
        </w:rPr>
        <w:t>updating references to ITU-R and other docu</w:t>
      </w:r>
      <w:r>
        <w:rPr>
          <w:rFonts w:ascii="Arial" w:hAnsi="Arial" w:cs="Arial"/>
          <w:sz w:val="20"/>
          <w:szCs w:val="20"/>
          <w:lang w:val="en-AU"/>
        </w:rPr>
        <w:t>ments incorporated by reference; and</w:t>
      </w:r>
    </w:p>
    <w:p w14:paraId="34369373" w14:textId="6117FC03" w:rsidR="007358CB" w:rsidRPr="007358CB" w:rsidRDefault="007358CB" w:rsidP="00FF588D">
      <w:pPr>
        <w:numPr>
          <w:ilvl w:val="0"/>
          <w:numId w:val="22"/>
        </w:numPr>
        <w:spacing w:before="120"/>
        <w:ind w:left="567" w:hanging="207"/>
        <w:jc w:val="both"/>
        <w:rPr>
          <w:rFonts w:ascii="Arial" w:hAnsi="Arial" w:cs="Arial"/>
          <w:sz w:val="20"/>
          <w:szCs w:val="20"/>
          <w:lang w:val="en-AU"/>
        </w:rPr>
      </w:pPr>
      <w:proofErr w:type="gramStart"/>
      <w:r w:rsidRPr="00D34BBD">
        <w:rPr>
          <w:rFonts w:ascii="Arial" w:hAnsi="Arial" w:cs="Arial"/>
          <w:sz w:val="20"/>
          <w:szCs w:val="20"/>
          <w:lang w:val="en-AU"/>
        </w:rPr>
        <w:t>r</w:t>
      </w:r>
      <w:r>
        <w:rPr>
          <w:rFonts w:ascii="Arial" w:hAnsi="Arial" w:cs="Arial"/>
          <w:sz w:val="20"/>
          <w:szCs w:val="20"/>
          <w:lang w:val="en-AU"/>
        </w:rPr>
        <w:t>emoving</w:t>
      </w:r>
      <w:proofErr w:type="gramEnd"/>
      <w:r w:rsidRPr="00D34BBD">
        <w:rPr>
          <w:rFonts w:ascii="Arial" w:hAnsi="Arial" w:cs="Arial"/>
          <w:sz w:val="20"/>
          <w:szCs w:val="20"/>
          <w:lang w:val="en-AU"/>
        </w:rPr>
        <w:t xml:space="preserve"> the 1900-1920 MHz </w:t>
      </w:r>
      <w:r>
        <w:rPr>
          <w:rFonts w:ascii="Arial" w:hAnsi="Arial" w:cs="Arial"/>
          <w:sz w:val="20"/>
          <w:szCs w:val="20"/>
          <w:lang w:val="en-AU"/>
        </w:rPr>
        <w:t>frequency range from the definition of the 2 GHz band. This is in-line with other instruments that make up the 2 GHz band spectrum licence technical framework. It is intended that the 1900-1920 MHz frequency range</w:t>
      </w:r>
      <w:r w:rsidRPr="00D34BBD">
        <w:rPr>
          <w:rFonts w:ascii="Arial" w:hAnsi="Arial" w:cs="Arial"/>
          <w:sz w:val="20"/>
          <w:szCs w:val="20"/>
          <w:lang w:val="en-AU"/>
        </w:rPr>
        <w:t xml:space="preserve"> will undergo a separate review.</w:t>
      </w:r>
    </w:p>
    <w:p w14:paraId="50C8E61E" w14:textId="77777777" w:rsidR="008615D3" w:rsidRPr="003B728C" w:rsidRDefault="008615D3" w:rsidP="00460F2A">
      <w:pPr>
        <w:jc w:val="both"/>
        <w:rPr>
          <w:rFonts w:ascii="Arial" w:hAnsi="Arial" w:cs="Arial"/>
          <w:sz w:val="20"/>
          <w:szCs w:val="20"/>
          <w:lang w:val="en-AU"/>
        </w:rPr>
      </w:pPr>
    </w:p>
    <w:p w14:paraId="3FBF70EA" w14:textId="25296C7A" w:rsidR="00A87762" w:rsidRDefault="00E76C4B" w:rsidP="003B728C">
      <w:pPr>
        <w:jc w:val="both"/>
        <w:rPr>
          <w:rFonts w:ascii="Arial" w:hAnsi="Arial" w:cs="Arial"/>
          <w:sz w:val="20"/>
          <w:szCs w:val="20"/>
          <w:lang w:val="en-AU"/>
        </w:rPr>
      </w:pPr>
      <w:r w:rsidRPr="003B728C">
        <w:rPr>
          <w:rFonts w:ascii="Arial" w:hAnsi="Arial" w:cs="Arial"/>
          <w:sz w:val="20"/>
          <w:szCs w:val="20"/>
          <w:lang w:val="en-AU"/>
        </w:rPr>
        <w:t xml:space="preserve">The Advisory Guidelines are one of a set of instruments made by the ACMA to vary the technical framework applicable to the </w:t>
      </w:r>
      <w:r w:rsidR="006302E9">
        <w:rPr>
          <w:rFonts w:ascii="Arial" w:hAnsi="Arial" w:cs="Arial"/>
          <w:sz w:val="20"/>
          <w:szCs w:val="20"/>
          <w:lang w:val="en-AU"/>
        </w:rPr>
        <w:t>2</w:t>
      </w:r>
      <w:r w:rsidRPr="003B728C">
        <w:rPr>
          <w:rFonts w:ascii="Arial" w:hAnsi="Arial" w:cs="Arial"/>
          <w:sz w:val="20"/>
          <w:szCs w:val="20"/>
          <w:lang w:val="en-AU"/>
        </w:rPr>
        <w:t xml:space="preserve"> GHz band according to the review recommendations. </w:t>
      </w:r>
      <w:r w:rsidR="00113D11">
        <w:rPr>
          <w:rFonts w:ascii="Arial" w:hAnsi="Arial" w:cs="Arial"/>
          <w:sz w:val="20"/>
          <w:szCs w:val="20"/>
          <w:lang w:val="en-AU"/>
        </w:rPr>
        <w:t>T</w:t>
      </w:r>
      <w:r w:rsidRPr="003B728C">
        <w:rPr>
          <w:rFonts w:ascii="Arial" w:hAnsi="Arial" w:cs="Arial"/>
          <w:sz w:val="20"/>
          <w:szCs w:val="20"/>
          <w:lang w:val="en-AU"/>
        </w:rPr>
        <w:t xml:space="preserve">he ACMA </w:t>
      </w:r>
      <w:r w:rsidR="009B28C7">
        <w:rPr>
          <w:rFonts w:ascii="Arial" w:hAnsi="Arial" w:cs="Arial"/>
          <w:sz w:val="20"/>
          <w:szCs w:val="20"/>
          <w:lang w:val="en-AU"/>
        </w:rPr>
        <w:t>has also made</w:t>
      </w:r>
      <w:r w:rsidRPr="003B728C">
        <w:rPr>
          <w:rFonts w:ascii="Arial" w:hAnsi="Arial" w:cs="Arial"/>
          <w:sz w:val="20"/>
          <w:szCs w:val="20"/>
          <w:lang w:val="en-AU"/>
        </w:rPr>
        <w:t xml:space="preserve"> the </w:t>
      </w:r>
      <w:r w:rsidRPr="003B728C">
        <w:rPr>
          <w:rFonts w:ascii="Arial" w:hAnsi="Arial" w:cs="Arial"/>
          <w:bCs/>
          <w:i/>
          <w:sz w:val="20"/>
          <w:szCs w:val="20"/>
        </w:rPr>
        <w:t xml:space="preserve">Radiocommunications Advisory Guidelines (Managing Interference to </w:t>
      </w:r>
      <w:r w:rsidR="00113D11">
        <w:rPr>
          <w:rFonts w:ascii="Arial" w:hAnsi="Arial" w:cs="Arial"/>
          <w:bCs/>
          <w:i/>
          <w:sz w:val="20"/>
          <w:szCs w:val="20"/>
        </w:rPr>
        <w:t xml:space="preserve">Spectrum Licensed </w:t>
      </w:r>
      <w:r w:rsidRPr="003B728C">
        <w:rPr>
          <w:rFonts w:ascii="Arial" w:hAnsi="Arial" w:cs="Arial"/>
          <w:bCs/>
          <w:i/>
          <w:sz w:val="20"/>
          <w:szCs w:val="20"/>
        </w:rPr>
        <w:t xml:space="preserve">Receivers - </w:t>
      </w:r>
      <w:r w:rsidR="006302E9">
        <w:rPr>
          <w:rFonts w:ascii="Arial" w:hAnsi="Arial" w:cs="Arial"/>
          <w:bCs/>
          <w:i/>
          <w:sz w:val="20"/>
          <w:szCs w:val="20"/>
        </w:rPr>
        <w:t>2</w:t>
      </w:r>
      <w:r w:rsidRPr="003B728C">
        <w:rPr>
          <w:rFonts w:ascii="Arial" w:hAnsi="Arial" w:cs="Arial"/>
          <w:bCs/>
          <w:i/>
          <w:sz w:val="20"/>
          <w:szCs w:val="20"/>
        </w:rPr>
        <w:t xml:space="preserve"> GHz Band) 20</w:t>
      </w:r>
      <w:r w:rsidR="006302E9">
        <w:rPr>
          <w:rFonts w:ascii="Arial" w:hAnsi="Arial" w:cs="Arial"/>
          <w:bCs/>
          <w:i/>
          <w:sz w:val="20"/>
          <w:szCs w:val="20"/>
        </w:rPr>
        <w:t>16</w:t>
      </w:r>
      <w:r w:rsidRPr="003B728C">
        <w:rPr>
          <w:rFonts w:ascii="Arial" w:hAnsi="Arial" w:cs="Arial"/>
          <w:i/>
          <w:sz w:val="20"/>
          <w:szCs w:val="20"/>
          <w:lang w:val="en-AU"/>
        </w:rPr>
        <w:t xml:space="preserve"> </w:t>
      </w:r>
      <w:r w:rsidRPr="003B728C">
        <w:rPr>
          <w:rFonts w:ascii="Arial" w:hAnsi="Arial" w:cs="Arial"/>
          <w:sz w:val="20"/>
          <w:szCs w:val="20"/>
          <w:lang w:val="en-AU"/>
        </w:rPr>
        <w:t xml:space="preserve">and the </w:t>
      </w:r>
      <w:r w:rsidRPr="003B728C">
        <w:rPr>
          <w:rFonts w:ascii="Arial" w:hAnsi="Arial" w:cs="Arial"/>
          <w:i/>
          <w:sz w:val="20"/>
          <w:szCs w:val="20"/>
          <w:lang w:val="en-AU"/>
        </w:rPr>
        <w:t xml:space="preserve">Radiocommunications (Unacceptable Levels of Interference – </w:t>
      </w:r>
      <w:r w:rsidR="006302E9">
        <w:rPr>
          <w:rFonts w:ascii="Arial" w:hAnsi="Arial" w:cs="Arial"/>
          <w:i/>
          <w:sz w:val="20"/>
          <w:szCs w:val="20"/>
          <w:lang w:val="en-AU"/>
        </w:rPr>
        <w:t>2</w:t>
      </w:r>
      <w:r w:rsidRPr="003B728C">
        <w:rPr>
          <w:rFonts w:ascii="Arial" w:hAnsi="Arial" w:cs="Arial"/>
          <w:i/>
          <w:sz w:val="20"/>
          <w:szCs w:val="20"/>
          <w:lang w:val="en-AU"/>
        </w:rPr>
        <w:t xml:space="preserve"> GHz Band) Determination 201</w:t>
      </w:r>
      <w:r w:rsidR="006302E9">
        <w:rPr>
          <w:rFonts w:ascii="Arial" w:hAnsi="Arial" w:cs="Arial"/>
          <w:i/>
          <w:sz w:val="20"/>
          <w:szCs w:val="20"/>
          <w:lang w:val="en-AU"/>
        </w:rPr>
        <w:t>6</w:t>
      </w:r>
      <w:r w:rsidRPr="003B728C">
        <w:rPr>
          <w:rFonts w:ascii="Arial" w:hAnsi="Arial" w:cs="Arial"/>
          <w:sz w:val="20"/>
          <w:szCs w:val="20"/>
          <w:lang w:val="en-AU"/>
        </w:rPr>
        <w:t>.</w:t>
      </w:r>
    </w:p>
    <w:p w14:paraId="086AA9E0" w14:textId="77777777" w:rsidR="00A87762" w:rsidRDefault="00A87762" w:rsidP="003B728C">
      <w:pPr>
        <w:jc w:val="both"/>
        <w:rPr>
          <w:rFonts w:ascii="Arial" w:hAnsi="Arial" w:cs="Arial"/>
          <w:sz w:val="20"/>
          <w:szCs w:val="20"/>
          <w:lang w:val="en-AU"/>
        </w:rPr>
      </w:pPr>
    </w:p>
    <w:p w14:paraId="50C8E61F" w14:textId="04248CFD" w:rsidR="008615D3" w:rsidRPr="003B728C" w:rsidRDefault="00A87762" w:rsidP="003B728C">
      <w:pPr>
        <w:jc w:val="both"/>
        <w:rPr>
          <w:rFonts w:ascii="Arial" w:hAnsi="Arial" w:cs="Arial"/>
          <w:sz w:val="20"/>
          <w:szCs w:val="20"/>
          <w:lang w:val="en-AU"/>
        </w:rPr>
      </w:pPr>
      <w:r>
        <w:rPr>
          <w:rFonts w:ascii="Arial" w:hAnsi="Arial" w:cs="Arial"/>
          <w:sz w:val="20"/>
          <w:szCs w:val="20"/>
          <w:lang w:val="en-AU"/>
        </w:rPr>
        <w:t>The Advisory Guidelines commence on 12 October 2017 and revoke the 2015 Advisory Guidelines on that same day.</w:t>
      </w:r>
    </w:p>
    <w:p w14:paraId="50C8E620" w14:textId="77777777" w:rsidR="008615D3" w:rsidRPr="003B728C" w:rsidRDefault="008615D3" w:rsidP="003B728C">
      <w:pPr>
        <w:jc w:val="both"/>
        <w:rPr>
          <w:rFonts w:ascii="Arial" w:hAnsi="Arial" w:cs="Arial"/>
          <w:sz w:val="20"/>
          <w:szCs w:val="20"/>
          <w:lang w:val="en-AU"/>
        </w:rPr>
      </w:pPr>
    </w:p>
    <w:p w14:paraId="50C8E621" w14:textId="77777777" w:rsidR="008615D3" w:rsidRDefault="00E76C4B" w:rsidP="003B728C">
      <w:pPr>
        <w:jc w:val="both"/>
        <w:outlineLvl w:val="0"/>
        <w:rPr>
          <w:rFonts w:ascii="Arial" w:hAnsi="Arial" w:cs="Arial"/>
          <w:b/>
          <w:sz w:val="20"/>
          <w:szCs w:val="20"/>
          <w:lang w:val="en-AU"/>
        </w:rPr>
      </w:pPr>
      <w:r w:rsidRPr="003B728C">
        <w:rPr>
          <w:rFonts w:ascii="Arial" w:hAnsi="Arial" w:cs="Arial"/>
          <w:b/>
          <w:sz w:val="20"/>
          <w:szCs w:val="20"/>
          <w:lang w:val="en-AU"/>
        </w:rPr>
        <w:t>Operation</w:t>
      </w:r>
    </w:p>
    <w:p w14:paraId="12E648DD" w14:textId="77777777" w:rsidR="00A70133" w:rsidRPr="003B728C" w:rsidRDefault="00A70133" w:rsidP="003B728C">
      <w:pPr>
        <w:jc w:val="both"/>
        <w:outlineLvl w:val="0"/>
        <w:rPr>
          <w:rFonts w:ascii="Arial" w:hAnsi="Arial" w:cs="Arial"/>
          <w:b/>
          <w:sz w:val="20"/>
          <w:szCs w:val="20"/>
          <w:lang w:val="en-AU"/>
        </w:rPr>
      </w:pPr>
    </w:p>
    <w:p w14:paraId="50C8E622" w14:textId="63D2B7E9" w:rsidR="008615D3" w:rsidRDefault="00E76C4B" w:rsidP="003B728C">
      <w:pPr>
        <w:jc w:val="both"/>
        <w:rPr>
          <w:rFonts w:ascii="Arial" w:hAnsi="Arial" w:cs="Arial"/>
          <w:sz w:val="20"/>
          <w:szCs w:val="20"/>
          <w:lang w:val="en-AU"/>
        </w:rPr>
      </w:pPr>
      <w:r w:rsidRPr="003B728C">
        <w:rPr>
          <w:rFonts w:ascii="Arial" w:hAnsi="Arial" w:cs="Arial"/>
          <w:sz w:val="20"/>
          <w:szCs w:val="20"/>
          <w:lang w:val="en-AU"/>
        </w:rPr>
        <w:t>The Advisory Guidelines aim to manage the potential for unwanted emissions, blocking and intermodulation products caused by radiocommunications transmitters operating under a spectrum licence interfering with radiocommunications receivers in the circumstances specified in Parts 2, 3, 4</w:t>
      </w:r>
      <w:r w:rsidR="00282ED3">
        <w:rPr>
          <w:rFonts w:ascii="Arial" w:hAnsi="Arial" w:cs="Arial"/>
          <w:sz w:val="20"/>
          <w:szCs w:val="20"/>
          <w:lang w:val="en-AU"/>
        </w:rPr>
        <w:t>, 5</w:t>
      </w:r>
      <w:r w:rsidR="003B728C">
        <w:rPr>
          <w:rFonts w:ascii="Arial" w:hAnsi="Arial" w:cs="Arial"/>
          <w:sz w:val="20"/>
          <w:szCs w:val="20"/>
          <w:lang w:val="en-AU"/>
        </w:rPr>
        <w:t xml:space="preserve">, </w:t>
      </w:r>
      <w:r w:rsidRPr="003B728C">
        <w:rPr>
          <w:rFonts w:ascii="Arial" w:hAnsi="Arial" w:cs="Arial"/>
          <w:sz w:val="20"/>
          <w:szCs w:val="20"/>
          <w:lang w:val="en-AU"/>
        </w:rPr>
        <w:t>6</w:t>
      </w:r>
      <w:r w:rsidR="003B728C">
        <w:rPr>
          <w:rFonts w:ascii="Arial" w:hAnsi="Arial" w:cs="Arial"/>
          <w:sz w:val="20"/>
          <w:szCs w:val="20"/>
          <w:lang w:val="en-AU"/>
        </w:rPr>
        <w:t xml:space="preserve"> and 7</w:t>
      </w:r>
      <w:r w:rsidRPr="003B728C">
        <w:rPr>
          <w:rFonts w:ascii="Arial" w:hAnsi="Arial" w:cs="Arial"/>
          <w:sz w:val="20"/>
          <w:szCs w:val="20"/>
          <w:lang w:val="en-AU"/>
        </w:rPr>
        <w:t xml:space="preserve"> of the Advisory Guidelines. Operators of spectrum licensed and apparatus licensed services should use the Advisory Guidelines in the planning of services or the resolution of interference. The ACMA also takes the Advisory Guidelines into account when determining whether a spectrum licensee is causing interference to a licensed radiocommunications receiver that is operating in accordance with its licence conditions.</w:t>
      </w:r>
    </w:p>
    <w:p w14:paraId="593D0E1F" w14:textId="77777777" w:rsidR="002A0D98" w:rsidRDefault="002A0D98" w:rsidP="003B728C">
      <w:pPr>
        <w:jc w:val="both"/>
        <w:rPr>
          <w:rFonts w:ascii="Arial" w:hAnsi="Arial" w:cs="Arial"/>
          <w:sz w:val="20"/>
          <w:szCs w:val="20"/>
          <w:lang w:val="en-AU"/>
        </w:rPr>
      </w:pPr>
    </w:p>
    <w:p w14:paraId="1653AD3B" w14:textId="77777777" w:rsidR="002A0D98" w:rsidRDefault="002A0D98" w:rsidP="003B728C">
      <w:pPr>
        <w:jc w:val="both"/>
        <w:rPr>
          <w:rFonts w:ascii="Arial" w:hAnsi="Arial" w:cs="Arial"/>
          <w:sz w:val="20"/>
          <w:szCs w:val="20"/>
          <w:lang w:val="en-AU"/>
        </w:rPr>
      </w:pPr>
    </w:p>
    <w:p w14:paraId="23296E7A" w14:textId="77777777" w:rsidR="002A0D98" w:rsidRPr="003B728C" w:rsidRDefault="002A0D98" w:rsidP="003B728C">
      <w:pPr>
        <w:jc w:val="both"/>
        <w:rPr>
          <w:rFonts w:ascii="Arial" w:hAnsi="Arial" w:cs="Arial"/>
          <w:sz w:val="20"/>
          <w:szCs w:val="20"/>
          <w:lang w:val="en-AU"/>
        </w:rPr>
      </w:pPr>
    </w:p>
    <w:p w14:paraId="50C8E623" w14:textId="77777777" w:rsidR="008615D3" w:rsidRPr="003B728C" w:rsidRDefault="008615D3" w:rsidP="003B728C">
      <w:pPr>
        <w:jc w:val="both"/>
        <w:rPr>
          <w:rFonts w:ascii="Arial" w:hAnsi="Arial" w:cs="Arial"/>
          <w:sz w:val="20"/>
          <w:szCs w:val="20"/>
          <w:lang w:val="en-AU"/>
        </w:rPr>
      </w:pPr>
    </w:p>
    <w:p w14:paraId="50C8E624" w14:textId="77777777" w:rsidR="008615D3" w:rsidRDefault="00E76C4B" w:rsidP="003B728C">
      <w:pPr>
        <w:jc w:val="both"/>
        <w:outlineLvl w:val="0"/>
        <w:rPr>
          <w:rFonts w:ascii="Arial" w:hAnsi="Arial" w:cs="Arial"/>
          <w:b/>
          <w:sz w:val="20"/>
          <w:szCs w:val="20"/>
          <w:lang w:val="en-AU"/>
        </w:rPr>
      </w:pPr>
      <w:r w:rsidRPr="003B728C">
        <w:rPr>
          <w:rFonts w:ascii="Arial" w:hAnsi="Arial" w:cs="Arial"/>
          <w:b/>
          <w:sz w:val="20"/>
          <w:szCs w:val="20"/>
          <w:lang w:val="en-AU"/>
        </w:rPr>
        <w:lastRenderedPageBreak/>
        <w:t>Consultation</w:t>
      </w:r>
    </w:p>
    <w:p w14:paraId="27860D3E" w14:textId="77777777" w:rsidR="00A70133" w:rsidRPr="003B728C" w:rsidRDefault="00A70133" w:rsidP="003B728C">
      <w:pPr>
        <w:jc w:val="both"/>
        <w:outlineLvl w:val="0"/>
        <w:rPr>
          <w:rFonts w:ascii="Arial" w:hAnsi="Arial" w:cs="Arial"/>
          <w:b/>
          <w:sz w:val="20"/>
          <w:szCs w:val="20"/>
          <w:lang w:val="en-AU"/>
        </w:rPr>
      </w:pPr>
    </w:p>
    <w:p w14:paraId="029712A6" w14:textId="2FAF7E94" w:rsidR="00A70133" w:rsidRPr="00D34BBD" w:rsidRDefault="00A70133" w:rsidP="00A70133">
      <w:pPr>
        <w:jc w:val="both"/>
        <w:rPr>
          <w:rFonts w:ascii="Arial" w:hAnsi="Arial" w:cs="Arial"/>
          <w:sz w:val="20"/>
          <w:szCs w:val="20"/>
          <w:lang w:val="en-AU"/>
        </w:rPr>
      </w:pPr>
      <w:r w:rsidRPr="00D34BBD">
        <w:rPr>
          <w:rFonts w:ascii="Arial" w:hAnsi="Arial" w:cs="Arial"/>
          <w:sz w:val="20"/>
          <w:szCs w:val="20"/>
          <w:lang w:val="en-AU"/>
        </w:rPr>
        <w:t xml:space="preserve">The ACMA consulted with stakeholders about the review of the spectrum licensing technical framework for the 2 GHz band from 6 January 2016 to </w:t>
      </w:r>
      <w:r w:rsidR="00E02DF3">
        <w:rPr>
          <w:rFonts w:ascii="Arial" w:hAnsi="Arial" w:cs="Arial"/>
          <w:sz w:val="20"/>
          <w:szCs w:val="20"/>
          <w:lang w:val="en-AU"/>
        </w:rPr>
        <w:t>mid-August</w:t>
      </w:r>
      <w:r w:rsidRPr="00D34BBD">
        <w:rPr>
          <w:rFonts w:ascii="Arial" w:hAnsi="Arial" w:cs="Arial"/>
          <w:sz w:val="20"/>
          <w:szCs w:val="20"/>
          <w:lang w:val="en-AU"/>
        </w:rPr>
        <w:t xml:space="preserve"> 2016. The ACMA developed a discussion paper which outlined the proposed changes to the spectrum licensing framework for the 2 GHz band.  This discussion paper is available on the ACM</w:t>
      </w:r>
      <w:bookmarkStart w:id="2" w:name="_GoBack"/>
      <w:bookmarkEnd w:id="2"/>
      <w:r w:rsidRPr="00D34BBD">
        <w:rPr>
          <w:rFonts w:ascii="Arial" w:hAnsi="Arial" w:cs="Arial"/>
          <w:sz w:val="20"/>
          <w:szCs w:val="20"/>
          <w:lang w:val="en-AU"/>
        </w:rPr>
        <w:t>A</w:t>
      </w:r>
      <w:r w:rsidR="00DE6921">
        <w:rPr>
          <w:rFonts w:ascii="Arial" w:hAnsi="Arial" w:cs="Arial"/>
          <w:sz w:val="20"/>
          <w:szCs w:val="20"/>
          <w:lang w:val="en-AU"/>
        </w:rPr>
        <w:t>’s</w:t>
      </w:r>
      <w:r w:rsidRPr="00D34BBD">
        <w:rPr>
          <w:rFonts w:ascii="Arial" w:hAnsi="Arial" w:cs="Arial"/>
          <w:sz w:val="20"/>
          <w:szCs w:val="20"/>
          <w:lang w:val="en-AU"/>
        </w:rPr>
        <w:t xml:space="preserve"> website at </w:t>
      </w:r>
      <w:hyperlink r:id="rId12" w:history="1">
        <w:r w:rsidRPr="00D34BBD">
          <w:rPr>
            <w:rStyle w:val="Hyperlink"/>
            <w:rFonts w:ascii="Arial" w:hAnsi="Arial" w:cs="Arial"/>
            <w:sz w:val="20"/>
            <w:szCs w:val="20"/>
            <w:lang w:val="en-AU"/>
          </w:rPr>
          <w:t>www.acma.gov.au</w:t>
        </w:r>
      </w:hyperlink>
      <w:r w:rsidRPr="00D34BBD">
        <w:rPr>
          <w:rFonts w:ascii="Arial" w:hAnsi="Arial" w:cs="Arial"/>
          <w:sz w:val="20"/>
          <w:szCs w:val="20"/>
          <w:lang w:val="en-AU"/>
        </w:rPr>
        <w:t>.</w:t>
      </w:r>
    </w:p>
    <w:p w14:paraId="78B3196E" w14:textId="77777777" w:rsidR="00A70133" w:rsidRPr="00D34BBD" w:rsidRDefault="00A70133" w:rsidP="00A70133">
      <w:pPr>
        <w:jc w:val="both"/>
        <w:rPr>
          <w:rFonts w:ascii="Arial" w:hAnsi="Arial" w:cs="Arial"/>
          <w:sz w:val="20"/>
          <w:szCs w:val="20"/>
          <w:lang w:val="en-AU"/>
        </w:rPr>
      </w:pPr>
    </w:p>
    <w:p w14:paraId="09E39AD6" w14:textId="13C618A0" w:rsidR="00A70133" w:rsidRPr="00D34BBD" w:rsidRDefault="00A70133" w:rsidP="00A70133">
      <w:pPr>
        <w:pStyle w:val="ACMABodyText"/>
        <w:spacing w:line="240" w:lineRule="auto"/>
        <w:jc w:val="both"/>
        <w:rPr>
          <w:rFonts w:ascii="Arial" w:hAnsi="Arial" w:cs="Arial"/>
          <w:sz w:val="20"/>
        </w:rPr>
      </w:pPr>
      <w:r w:rsidRPr="00D34BBD">
        <w:rPr>
          <w:rFonts w:ascii="Arial" w:hAnsi="Arial" w:cs="Arial"/>
          <w:sz w:val="20"/>
        </w:rPr>
        <w:t xml:space="preserve">The ACMA received five submissions in response to its consultation process. The submissions commented on various aspects of the proposed changes to the 2 GHz band technical framework. All written submissions from this consultation process are available on the ACMA’s website at </w:t>
      </w:r>
      <w:hyperlink r:id="rId13" w:history="1">
        <w:r w:rsidRPr="00D34BBD">
          <w:rPr>
            <w:rStyle w:val="Hyperlink"/>
            <w:rFonts w:ascii="Arial" w:hAnsi="Arial" w:cs="Arial"/>
            <w:sz w:val="20"/>
          </w:rPr>
          <w:t>www.acma.gov.au</w:t>
        </w:r>
      </w:hyperlink>
      <w:r w:rsidRPr="00D34BBD">
        <w:rPr>
          <w:rFonts w:ascii="Arial" w:hAnsi="Arial" w:cs="Arial"/>
          <w:sz w:val="20"/>
        </w:rPr>
        <w:t xml:space="preserve">. </w:t>
      </w:r>
    </w:p>
    <w:p w14:paraId="50C8E62D" w14:textId="7A97BE3E" w:rsidR="0008189C" w:rsidRDefault="00A70133" w:rsidP="003B728C">
      <w:pPr>
        <w:jc w:val="both"/>
        <w:rPr>
          <w:rFonts w:ascii="Arial" w:hAnsi="Arial" w:cs="Arial"/>
          <w:sz w:val="20"/>
          <w:szCs w:val="20"/>
          <w:lang w:val="en-AU"/>
        </w:rPr>
      </w:pPr>
      <w:r>
        <w:rPr>
          <w:rFonts w:ascii="Arial" w:hAnsi="Arial" w:cs="Arial"/>
          <w:sz w:val="20"/>
          <w:szCs w:val="20"/>
          <w:lang w:val="en-AU"/>
        </w:rPr>
        <w:t xml:space="preserve">Submissions generally agreed with the proposed changes to the Advisory Guidelines. As a result no </w:t>
      </w:r>
      <w:r w:rsidR="00225A34">
        <w:rPr>
          <w:rFonts w:ascii="Arial" w:hAnsi="Arial" w:cs="Arial"/>
          <w:sz w:val="20"/>
          <w:szCs w:val="20"/>
          <w:lang w:val="en-AU"/>
        </w:rPr>
        <w:t xml:space="preserve">substantive </w:t>
      </w:r>
      <w:r>
        <w:rPr>
          <w:rFonts w:ascii="Arial" w:hAnsi="Arial" w:cs="Arial"/>
          <w:sz w:val="20"/>
          <w:szCs w:val="20"/>
          <w:lang w:val="en-AU"/>
        </w:rPr>
        <w:t>changes were made to the instrument as consulted on.</w:t>
      </w:r>
    </w:p>
    <w:p w14:paraId="50C8E62E" w14:textId="77777777" w:rsidR="008615D3" w:rsidRPr="003B728C" w:rsidRDefault="008615D3" w:rsidP="003B728C">
      <w:pPr>
        <w:jc w:val="both"/>
        <w:rPr>
          <w:rFonts w:ascii="Arial" w:hAnsi="Arial" w:cs="Arial"/>
          <w:sz w:val="20"/>
          <w:szCs w:val="20"/>
          <w:lang w:val="en-AU"/>
        </w:rPr>
      </w:pPr>
    </w:p>
    <w:p w14:paraId="50C8E62F" w14:textId="2A6A3F7E" w:rsidR="008615D3" w:rsidRDefault="00E76C4B" w:rsidP="003B728C">
      <w:pPr>
        <w:jc w:val="both"/>
        <w:rPr>
          <w:rFonts w:ascii="Arial" w:hAnsi="Arial" w:cs="Arial"/>
          <w:b/>
          <w:sz w:val="20"/>
          <w:szCs w:val="20"/>
          <w:lang w:val="en-AU"/>
        </w:rPr>
      </w:pPr>
      <w:r w:rsidRPr="003B728C">
        <w:rPr>
          <w:rFonts w:ascii="Arial" w:hAnsi="Arial" w:cs="Arial"/>
          <w:b/>
          <w:sz w:val="20"/>
          <w:szCs w:val="20"/>
          <w:lang w:val="en-AU"/>
        </w:rPr>
        <w:t xml:space="preserve">Regulatory Impact </w:t>
      </w:r>
    </w:p>
    <w:p w14:paraId="5CB6DDE3" w14:textId="77777777" w:rsidR="00A70133" w:rsidRPr="003B728C" w:rsidRDefault="00A70133" w:rsidP="003B728C">
      <w:pPr>
        <w:jc w:val="both"/>
        <w:rPr>
          <w:rFonts w:ascii="Arial" w:hAnsi="Arial" w:cs="Arial"/>
          <w:b/>
          <w:sz w:val="20"/>
          <w:szCs w:val="20"/>
          <w:lang w:val="en-AU"/>
        </w:rPr>
      </w:pPr>
    </w:p>
    <w:p w14:paraId="50C8E630" w14:textId="6A6CFDEE" w:rsidR="008615D3" w:rsidRPr="003B728C" w:rsidRDefault="00E76C4B" w:rsidP="003B728C">
      <w:pPr>
        <w:jc w:val="both"/>
        <w:rPr>
          <w:rFonts w:ascii="Arial" w:hAnsi="Arial" w:cs="Arial"/>
          <w:sz w:val="20"/>
          <w:szCs w:val="20"/>
          <w:lang w:val="en-AU"/>
        </w:rPr>
      </w:pPr>
      <w:r w:rsidRPr="003B728C">
        <w:rPr>
          <w:rFonts w:ascii="Arial" w:hAnsi="Arial" w:cs="Arial"/>
          <w:sz w:val="20"/>
          <w:szCs w:val="20"/>
          <w:lang w:val="en-AU"/>
        </w:rPr>
        <w:t>Prior to releasing the draft Advisory Guidelines for comment, the ACMA consulted with the Office of Best Practice Regulation (</w:t>
      </w:r>
      <w:r w:rsidRPr="00E02DF3">
        <w:rPr>
          <w:rFonts w:ascii="Arial" w:hAnsi="Arial" w:cs="Arial"/>
          <w:b/>
          <w:sz w:val="20"/>
          <w:szCs w:val="20"/>
          <w:lang w:val="en-AU"/>
        </w:rPr>
        <w:t>the OBPR</w:t>
      </w:r>
      <w:r w:rsidRPr="003B728C">
        <w:rPr>
          <w:rFonts w:ascii="Arial" w:hAnsi="Arial" w:cs="Arial"/>
          <w:sz w:val="20"/>
          <w:szCs w:val="20"/>
          <w:lang w:val="en-AU"/>
        </w:rPr>
        <w:t>) on the requirement for a regulation impact statement (RIS) for this legislative instrument. The OBPR advised that the Advisory Guidelines d</w:t>
      </w:r>
      <w:r w:rsidR="009355BD">
        <w:rPr>
          <w:rFonts w:ascii="Arial" w:hAnsi="Arial" w:cs="Arial"/>
          <w:sz w:val="20"/>
          <w:szCs w:val="20"/>
          <w:lang w:val="en-AU"/>
        </w:rPr>
        <w:t>id</w:t>
      </w:r>
      <w:r w:rsidRPr="003B728C">
        <w:rPr>
          <w:rFonts w:ascii="Arial" w:hAnsi="Arial" w:cs="Arial"/>
          <w:sz w:val="20"/>
          <w:szCs w:val="20"/>
          <w:lang w:val="en-AU"/>
        </w:rPr>
        <w:t xml:space="preserve"> not warrant the preparation of a RIS because </w:t>
      </w:r>
      <w:r w:rsidR="00225A34">
        <w:rPr>
          <w:rFonts w:ascii="Arial" w:hAnsi="Arial" w:cs="Arial"/>
          <w:sz w:val="20"/>
          <w:szCs w:val="20"/>
          <w:lang w:val="en-AU"/>
        </w:rPr>
        <w:t>they were</w:t>
      </w:r>
      <w:r w:rsidRPr="003B728C">
        <w:rPr>
          <w:rFonts w:ascii="Arial" w:hAnsi="Arial" w:cs="Arial"/>
          <w:sz w:val="20"/>
          <w:szCs w:val="20"/>
          <w:lang w:val="en-AU"/>
        </w:rPr>
        <w:t xml:space="preserve"> likely to have only minor and machinery impacts. The</w:t>
      </w:r>
      <w:r w:rsidR="009355BD">
        <w:rPr>
          <w:rFonts w:ascii="Arial" w:hAnsi="Arial" w:cs="Arial"/>
          <w:sz w:val="20"/>
          <w:szCs w:val="20"/>
          <w:lang w:val="en-AU"/>
        </w:rPr>
        <w:t xml:space="preserve"> </w:t>
      </w:r>
      <w:r w:rsidRPr="003B728C">
        <w:rPr>
          <w:rFonts w:ascii="Arial" w:hAnsi="Arial" w:cs="Arial"/>
          <w:sz w:val="20"/>
          <w:szCs w:val="20"/>
          <w:lang w:val="en-AU"/>
        </w:rPr>
        <w:t>OBPR</w:t>
      </w:r>
      <w:r w:rsidR="009355BD">
        <w:rPr>
          <w:rFonts w:ascii="Arial" w:hAnsi="Arial" w:cs="Arial"/>
          <w:sz w:val="20"/>
          <w:szCs w:val="20"/>
          <w:lang w:val="en-AU"/>
        </w:rPr>
        <w:t xml:space="preserve"> reference for this</w:t>
      </w:r>
      <w:r w:rsidRPr="003B728C">
        <w:rPr>
          <w:rFonts w:ascii="Arial" w:hAnsi="Arial" w:cs="Arial"/>
          <w:sz w:val="20"/>
          <w:szCs w:val="20"/>
          <w:lang w:val="en-AU"/>
        </w:rPr>
        <w:t xml:space="preserve"> assessment is ID </w:t>
      </w:r>
      <w:r w:rsidR="00A70133" w:rsidRPr="0008189C">
        <w:rPr>
          <w:rFonts w:ascii="Arial" w:hAnsi="Arial" w:cs="Arial"/>
          <w:sz w:val="20"/>
          <w:szCs w:val="20"/>
        </w:rPr>
        <w:t>1</w:t>
      </w:r>
      <w:r w:rsidR="00A70133" w:rsidRPr="00D34BBD">
        <w:rPr>
          <w:rFonts w:ascii="Arial" w:hAnsi="Arial" w:cs="Arial"/>
          <w:sz w:val="20"/>
          <w:szCs w:val="20"/>
          <w:lang w:val="en-AU"/>
        </w:rPr>
        <w:t>9935</w:t>
      </w:r>
      <w:r w:rsidRPr="003B728C">
        <w:rPr>
          <w:rFonts w:ascii="Arial" w:hAnsi="Arial" w:cs="Arial"/>
          <w:sz w:val="20"/>
          <w:szCs w:val="20"/>
          <w:lang w:val="en-AU"/>
        </w:rPr>
        <w:t xml:space="preserve">. </w:t>
      </w:r>
    </w:p>
    <w:p w14:paraId="5B242675" w14:textId="72567A7C" w:rsidR="00FF588D" w:rsidRDefault="00D2012A" w:rsidP="00FF588D">
      <w:pPr>
        <w:jc w:val="both"/>
        <w:rPr>
          <w:rFonts w:ascii="Arial" w:hAnsi="Arial" w:cs="Arial"/>
          <w:b/>
          <w:sz w:val="20"/>
          <w:szCs w:val="20"/>
          <w:lang w:val="en-AU"/>
        </w:rPr>
      </w:pPr>
      <w:r>
        <w:rPr>
          <w:rFonts w:ascii="Arial" w:hAnsi="Arial" w:cs="Arial"/>
          <w:b/>
          <w:sz w:val="20"/>
          <w:szCs w:val="20"/>
          <w:lang w:val="en-AU"/>
        </w:rPr>
        <w:br/>
      </w:r>
      <w:r w:rsidR="00FF588D">
        <w:rPr>
          <w:rFonts w:ascii="Arial" w:hAnsi="Arial" w:cs="Arial"/>
          <w:b/>
          <w:sz w:val="20"/>
          <w:szCs w:val="20"/>
          <w:lang w:val="en-AU"/>
        </w:rPr>
        <w:t xml:space="preserve">Detailed </w:t>
      </w:r>
      <w:r w:rsidR="00F73014">
        <w:rPr>
          <w:rFonts w:ascii="Arial" w:hAnsi="Arial" w:cs="Arial"/>
          <w:b/>
          <w:sz w:val="20"/>
          <w:szCs w:val="20"/>
          <w:lang w:val="en-AU"/>
        </w:rPr>
        <w:t>D</w:t>
      </w:r>
      <w:r w:rsidR="00FF588D">
        <w:rPr>
          <w:rFonts w:ascii="Arial" w:hAnsi="Arial" w:cs="Arial"/>
          <w:b/>
          <w:sz w:val="20"/>
          <w:szCs w:val="20"/>
          <w:lang w:val="en-AU"/>
        </w:rPr>
        <w:t>escription of the Advisory Guidelines</w:t>
      </w:r>
    </w:p>
    <w:p w14:paraId="14E4384A" w14:textId="77777777" w:rsidR="00FF588D" w:rsidRPr="003B728C" w:rsidRDefault="00FF588D" w:rsidP="00FF588D">
      <w:pPr>
        <w:jc w:val="both"/>
        <w:rPr>
          <w:rFonts w:ascii="Arial" w:hAnsi="Arial" w:cs="Arial"/>
          <w:b/>
          <w:sz w:val="20"/>
          <w:szCs w:val="20"/>
          <w:lang w:val="en-AU"/>
        </w:rPr>
      </w:pPr>
    </w:p>
    <w:p w14:paraId="50C8E631" w14:textId="08020D38" w:rsidR="008615D3" w:rsidRDefault="00FF588D" w:rsidP="003B728C">
      <w:pPr>
        <w:jc w:val="both"/>
        <w:rPr>
          <w:rFonts w:ascii="Arial" w:hAnsi="Arial" w:cs="Arial"/>
          <w:sz w:val="20"/>
          <w:szCs w:val="20"/>
          <w:lang w:val="en-AU"/>
        </w:rPr>
      </w:pPr>
      <w:r>
        <w:rPr>
          <w:rFonts w:ascii="Arial" w:hAnsi="Arial" w:cs="Arial"/>
          <w:sz w:val="20"/>
          <w:szCs w:val="20"/>
          <w:lang w:val="en-AU"/>
        </w:rPr>
        <w:t>Details of the Advisory Guidelines are set out in Attachment A</w:t>
      </w:r>
      <w:r w:rsidRPr="003B728C">
        <w:rPr>
          <w:rFonts w:ascii="Arial" w:hAnsi="Arial" w:cs="Arial"/>
          <w:sz w:val="20"/>
          <w:szCs w:val="20"/>
          <w:lang w:val="en-AU"/>
        </w:rPr>
        <w:t xml:space="preserve">. </w:t>
      </w:r>
    </w:p>
    <w:p w14:paraId="0C8811EB" w14:textId="77777777" w:rsidR="00FF588D" w:rsidRPr="003B728C" w:rsidRDefault="00FF588D" w:rsidP="003B728C">
      <w:pPr>
        <w:jc w:val="both"/>
        <w:rPr>
          <w:rFonts w:ascii="Arial" w:hAnsi="Arial" w:cs="Arial"/>
          <w:sz w:val="20"/>
          <w:szCs w:val="20"/>
          <w:lang w:val="en-AU"/>
        </w:rPr>
      </w:pPr>
    </w:p>
    <w:p w14:paraId="50C8E632" w14:textId="77777777" w:rsidR="008615D3" w:rsidRDefault="00E76C4B" w:rsidP="003B728C">
      <w:pPr>
        <w:jc w:val="both"/>
        <w:rPr>
          <w:rFonts w:ascii="Arial" w:hAnsi="Arial" w:cs="Arial"/>
          <w:b/>
          <w:sz w:val="20"/>
          <w:szCs w:val="20"/>
          <w:lang w:val="en-AU"/>
        </w:rPr>
      </w:pPr>
      <w:r w:rsidRPr="003B728C">
        <w:rPr>
          <w:rFonts w:ascii="Arial" w:hAnsi="Arial" w:cs="Arial"/>
          <w:b/>
          <w:sz w:val="20"/>
          <w:szCs w:val="20"/>
          <w:lang w:val="en-AU"/>
        </w:rPr>
        <w:t>Documents Incorporated by Reference</w:t>
      </w:r>
    </w:p>
    <w:p w14:paraId="6E6B298D" w14:textId="77777777" w:rsidR="00A70133" w:rsidRPr="003B728C" w:rsidRDefault="00A70133" w:rsidP="003B728C">
      <w:pPr>
        <w:jc w:val="both"/>
        <w:rPr>
          <w:rFonts w:ascii="Arial" w:hAnsi="Arial" w:cs="Arial"/>
          <w:b/>
          <w:sz w:val="20"/>
          <w:szCs w:val="20"/>
          <w:lang w:val="en-AU"/>
        </w:rPr>
      </w:pPr>
    </w:p>
    <w:p w14:paraId="50C8E633" w14:textId="62B91C5A" w:rsidR="008615D3" w:rsidRPr="003B728C" w:rsidRDefault="00E76C4B" w:rsidP="00E02DF3">
      <w:pPr>
        <w:rPr>
          <w:rFonts w:ascii="Arial" w:hAnsi="Arial" w:cs="Arial"/>
          <w:sz w:val="20"/>
          <w:szCs w:val="20"/>
          <w:lang w:val="en-AU"/>
        </w:rPr>
      </w:pPr>
      <w:r w:rsidRPr="003B728C">
        <w:rPr>
          <w:rFonts w:ascii="Arial" w:hAnsi="Arial" w:cs="Arial"/>
          <w:sz w:val="20"/>
          <w:szCs w:val="20"/>
          <w:lang w:val="en-AU"/>
        </w:rPr>
        <w:t xml:space="preserve">The Advisory Guidelines incorporate the following </w:t>
      </w:r>
      <w:r w:rsidR="00FC3021">
        <w:rPr>
          <w:rFonts w:ascii="Arial" w:hAnsi="Arial" w:cs="Arial"/>
          <w:sz w:val="20"/>
          <w:szCs w:val="20"/>
          <w:lang w:val="en-AU"/>
        </w:rPr>
        <w:t xml:space="preserve">legislative instruments and </w:t>
      </w:r>
      <w:r w:rsidRPr="003B728C">
        <w:rPr>
          <w:rFonts w:ascii="Arial" w:hAnsi="Arial" w:cs="Arial"/>
          <w:sz w:val="20"/>
          <w:szCs w:val="20"/>
          <w:lang w:val="en-AU"/>
        </w:rPr>
        <w:t xml:space="preserve">documents by reference: </w:t>
      </w:r>
      <w:r w:rsidR="00225A34">
        <w:rPr>
          <w:rFonts w:ascii="Arial" w:hAnsi="Arial" w:cs="Arial"/>
          <w:sz w:val="20"/>
          <w:szCs w:val="20"/>
          <w:lang w:val="en-AU"/>
        </w:rPr>
        <w:br/>
      </w:r>
    </w:p>
    <w:p w14:paraId="50C8E636" w14:textId="63322C18" w:rsidR="0008189C" w:rsidRDefault="00E76C4B" w:rsidP="0008189C">
      <w:pPr>
        <w:numPr>
          <w:ilvl w:val="0"/>
          <w:numId w:val="18"/>
        </w:numPr>
        <w:spacing w:after="120"/>
        <w:ind w:left="284" w:hanging="284"/>
        <w:jc w:val="both"/>
        <w:rPr>
          <w:rFonts w:ascii="Arial" w:hAnsi="Arial" w:cs="Arial"/>
          <w:sz w:val="20"/>
          <w:szCs w:val="20"/>
          <w:lang w:val="en-AU"/>
        </w:rPr>
      </w:pPr>
      <w:r w:rsidRPr="003B728C">
        <w:rPr>
          <w:rFonts w:ascii="Arial" w:hAnsi="Arial" w:cs="Arial"/>
          <w:sz w:val="20"/>
          <w:szCs w:val="20"/>
          <w:lang w:val="en-AU"/>
        </w:rPr>
        <w:t xml:space="preserve">The </w:t>
      </w:r>
      <w:r w:rsidRPr="003B728C">
        <w:rPr>
          <w:rFonts w:ascii="Arial" w:hAnsi="Arial" w:cs="Arial"/>
          <w:i/>
          <w:sz w:val="20"/>
          <w:szCs w:val="20"/>
          <w:lang w:val="en-AU"/>
        </w:rPr>
        <w:t xml:space="preserve">Radiocommunications Assignment and Licensing Instruction No. FX 3 - Microwave </w:t>
      </w:r>
      <w:r w:rsidR="00A36EE9">
        <w:rPr>
          <w:rFonts w:ascii="Arial" w:hAnsi="Arial" w:cs="Arial"/>
          <w:i/>
          <w:sz w:val="20"/>
          <w:szCs w:val="20"/>
          <w:lang w:val="en-AU"/>
        </w:rPr>
        <w:t>F</w:t>
      </w:r>
      <w:r w:rsidRPr="003B728C">
        <w:rPr>
          <w:rFonts w:ascii="Arial" w:hAnsi="Arial" w:cs="Arial"/>
          <w:i/>
          <w:sz w:val="20"/>
          <w:szCs w:val="20"/>
          <w:lang w:val="en-AU"/>
        </w:rPr>
        <w:t xml:space="preserve">ixed </w:t>
      </w:r>
      <w:r w:rsidR="00A36EE9">
        <w:rPr>
          <w:rFonts w:ascii="Arial" w:hAnsi="Arial" w:cs="Arial"/>
          <w:i/>
          <w:sz w:val="20"/>
          <w:szCs w:val="20"/>
          <w:lang w:val="en-AU"/>
        </w:rPr>
        <w:t>S</w:t>
      </w:r>
      <w:r w:rsidRPr="003B728C">
        <w:rPr>
          <w:rFonts w:ascii="Arial" w:hAnsi="Arial" w:cs="Arial"/>
          <w:i/>
          <w:sz w:val="20"/>
          <w:szCs w:val="20"/>
          <w:lang w:val="en-AU"/>
        </w:rPr>
        <w:t xml:space="preserve">ervices </w:t>
      </w:r>
      <w:r w:rsidR="00A36EE9">
        <w:rPr>
          <w:rFonts w:ascii="Arial" w:hAnsi="Arial" w:cs="Arial"/>
          <w:i/>
          <w:sz w:val="20"/>
          <w:szCs w:val="20"/>
          <w:lang w:val="en-AU"/>
        </w:rPr>
        <w:t>F</w:t>
      </w:r>
      <w:r w:rsidRPr="003B728C">
        <w:rPr>
          <w:rFonts w:ascii="Arial" w:hAnsi="Arial" w:cs="Arial"/>
          <w:i/>
          <w:sz w:val="20"/>
          <w:szCs w:val="20"/>
          <w:lang w:val="en-AU"/>
        </w:rPr>
        <w:t xml:space="preserve">requency </w:t>
      </w:r>
      <w:r w:rsidR="00A36EE9">
        <w:rPr>
          <w:rFonts w:ascii="Arial" w:hAnsi="Arial" w:cs="Arial"/>
          <w:i/>
          <w:sz w:val="20"/>
          <w:szCs w:val="20"/>
          <w:lang w:val="en-AU"/>
        </w:rPr>
        <w:t>C</w:t>
      </w:r>
      <w:r w:rsidRPr="003B728C">
        <w:rPr>
          <w:rFonts w:ascii="Arial" w:hAnsi="Arial" w:cs="Arial"/>
          <w:i/>
          <w:sz w:val="20"/>
          <w:szCs w:val="20"/>
          <w:lang w:val="en-AU"/>
        </w:rPr>
        <w:t>oordination</w:t>
      </w:r>
      <w:r w:rsidRPr="003B728C">
        <w:rPr>
          <w:rFonts w:ascii="Arial" w:hAnsi="Arial" w:cs="Arial"/>
          <w:sz w:val="20"/>
          <w:szCs w:val="20"/>
          <w:lang w:val="en-AU"/>
        </w:rPr>
        <w:t xml:space="preserve"> (RALI FX 3) published by the ACMA</w:t>
      </w:r>
      <w:r w:rsidR="00002F35">
        <w:rPr>
          <w:rFonts w:ascii="Arial" w:hAnsi="Arial" w:cs="Arial"/>
          <w:sz w:val="20"/>
          <w:szCs w:val="20"/>
          <w:lang w:val="en-AU"/>
        </w:rPr>
        <w:t>,</w:t>
      </w:r>
      <w:r w:rsidRPr="003B728C">
        <w:rPr>
          <w:rFonts w:ascii="Arial" w:hAnsi="Arial" w:cs="Arial"/>
          <w:sz w:val="20"/>
          <w:szCs w:val="20"/>
          <w:lang w:val="en-AU"/>
        </w:rPr>
        <w:t xml:space="preserve"> as in existence from time to time</w:t>
      </w:r>
      <w:r w:rsidR="00A36EE9">
        <w:rPr>
          <w:rFonts w:ascii="Arial" w:hAnsi="Arial" w:cs="Arial"/>
          <w:sz w:val="20"/>
          <w:szCs w:val="20"/>
          <w:lang w:val="en-AU"/>
        </w:rPr>
        <w:t>.</w:t>
      </w:r>
      <w:r w:rsidRPr="003B728C">
        <w:rPr>
          <w:rFonts w:ascii="Arial" w:hAnsi="Arial" w:cs="Arial"/>
          <w:sz w:val="20"/>
          <w:szCs w:val="20"/>
          <w:lang w:val="en-AU"/>
        </w:rPr>
        <w:t xml:space="preserve">  </w:t>
      </w:r>
      <w:r w:rsidR="009355BD">
        <w:rPr>
          <w:rFonts w:ascii="Arial" w:hAnsi="Arial" w:cs="Arial"/>
          <w:sz w:val="20"/>
          <w:szCs w:val="20"/>
          <w:lang w:val="en-AU"/>
        </w:rPr>
        <w:t xml:space="preserve">Copies of RALI FX 3 can be obtained </w:t>
      </w:r>
      <w:r w:rsidR="001C6C87">
        <w:rPr>
          <w:rFonts w:ascii="Arial" w:hAnsi="Arial" w:cs="Arial"/>
          <w:sz w:val="20"/>
          <w:szCs w:val="20"/>
          <w:lang w:val="en-AU"/>
        </w:rPr>
        <w:t xml:space="preserve">from the ACMA’s website </w:t>
      </w:r>
      <w:r w:rsidR="009355BD">
        <w:rPr>
          <w:rFonts w:ascii="Arial" w:hAnsi="Arial" w:cs="Arial"/>
          <w:sz w:val="20"/>
          <w:szCs w:val="20"/>
          <w:lang w:val="en-AU"/>
        </w:rPr>
        <w:t xml:space="preserve">at </w:t>
      </w:r>
      <w:hyperlink r:id="rId14" w:history="1">
        <w:r w:rsidR="009355BD" w:rsidRPr="008D7CED">
          <w:rPr>
            <w:rStyle w:val="Hyperlink"/>
            <w:rFonts w:ascii="Arial" w:hAnsi="Arial" w:cs="Arial"/>
            <w:sz w:val="20"/>
            <w:szCs w:val="20"/>
            <w:lang w:val="en-AU"/>
          </w:rPr>
          <w:t>www.acma.gov.au</w:t>
        </w:r>
      </w:hyperlink>
      <w:r w:rsidR="009355BD">
        <w:rPr>
          <w:rFonts w:ascii="Arial" w:hAnsi="Arial" w:cs="Arial"/>
          <w:sz w:val="20"/>
          <w:szCs w:val="20"/>
          <w:lang w:val="en-AU"/>
        </w:rPr>
        <w:t>.</w:t>
      </w:r>
    </w:p>
    <w:p w14:paraId="50C8E637" w14:textId="686586A5" w:rsidR="008615D3" w:rsidRDefault="00E76C4B" w:rsidP="00A70133">
      <w:pPr>
        <w:numPr>
          <w:ilvl w:val="0"/>
          <w:numId w:val="18"/>
        </w:numPr>
        <w:spacing w:after="120"/>
        <w:ind w:left="284" w:hanging="284"/>
        <w:jc w:val="both"/>
        <w:rPr>
          <w:rFonts w:ascii="Arial" w:hAnsi="Arial" w:cs="Arial"/>
          <w:sz w:val="20"/>
          <w:szCs w:val="20"/>
          <w:lang w:val="en-AU"/>
        </w:rPr>
      </w:pPr>
      <w:r w:rsidRPr="0008189C">
        <w:rPr>
          <w:rFonts w:ascii="Arial" w:hAnsi="Arial" w:cs="Arial"/>
          <w:sz w:val="20"/>
          <w:szCs w:val="20"/>
          <w:lang w:val="en-AU"/>
        </w:rPr>
        <w:t xml:space="preserve">The </w:t>
      </w:r>
      <w:r w:rsidR="0008189C" w:rsidRPr="00A70133">
        <w:rPr>
          <w:rFonts w:ascii="Arial" w:hAnsi="Arial" w:cs="Arial"/>
          <w:i/>
          <w:sz w:val="20"/>
          <w:szCs w:val="20"/>
          <w:lang w:val="en-AU"/>
        </w:rPr>
        <w:t xml:space="preserve">Radiocommunications Assignment and Licensing Instruction No. FX </w:t>
      </w:r>
      <w:r w:rsidR="00A70133" w:rsidRPr="00A70133">
        <w:rPr>
          <w:rFonts w:ascii="Arial" w:hAnsi="Arial" w:cs="Arial"/>
          <w:i/>
          <w:sz w:val="20"/>
          <w:szCs w:val="20"/>
          <w:lang w:val="en-AU"/>
        </w:rPr>
        <w:t>21</w:t>
      </w:r>
      <w:r w:rsidR="0008189C" w:rsidRPr="00A70133">
        <w:rPr>
          <w:rFonts w:ascii="Arial" w:hAnsi="Arial" w:cs="Arial"/>
          <w:i/>
          <w:sz w:val="20"/>
          <w:szCs w:val="20"/>
          <w:lang w:val="en-AU"/>
        </w:rPr>
        <w:t xml:space="preserve">, </w:t>
      </w:r>
      <w:r w:rsidR="00A70133" w:rsidRPr="00A70133">
        <w:rPr>
          <w:rFonts w:ascii="Arial" w:hAnsi="Arial" w:cs="Arial"/>
          <w:i/>
          <w:sz w:val="20"/>
          <w:szCs w:val="20"/>
          <w:lang w:val="en-AU"/>
        </w:rPr>
        <w:t>Television Outside Broadcasting Services in the bands 1980-2110 MHz and 2170-2300 MHz</w:t>
      </w:r>
      <w:r w:rsidR="00A70133" w:rsidRPr="00A70133">
        <w:rPr>
          <w:rFonts w:ascii="Arial" w:hAnsi="Arial" w:cs="Arial"/>
          <w:sz w:val="20"/>
          <w:szCs w:val="20"/>
          <w:lang w:val="en-AU"/>
        </w:rPr>
        <w:t xml:space="preserve"> </w:t>
      </w:r>
      <w:r w:rsidR="0008189C">
        <w:rPr>
          <w:rFonts w:ascii="Arial" w:hAnsi="Arial" w:cs="Arial"/>
          <w:sz w:val="20"/>
          <w:szCs w:val="20"/>
          <w:lang w:val="en-AU"/>
        </w:rPr>
        <w:t>(RALI FX</w:t>
      </w:r>
      <w:r w:rsidR="00A70133">
        <w:rPr>
          <w:rFonts w:ascii="Arial" w:hAnsi="Arial" w:cs="Arial"/>
          <w:sz w:val="20"/>
          <w:szCs w:val="20"/>
          <w:lang w:val="en-AU"/>
        </w:rPr>
        <w:t>21</w:t>
      </w:r>
      <w:r w:rsidR="0008189C">
        <w:rPr>
          <w:rFonts w:ascii="Arial" w:hAnsi="Arial" w:cs="Arial"/>
          <w:sz w:val="20"/>
          <w:szCs w:val="20"/>
          <w:lang w:val="en-AU"/>
        </w:rPr>
        <w:t>)</w:t>
      </w:r>
      <w:r w:rsidR="0008189C" w:rsidRPr="00A70133">
        <w:rPr>
          <w:rFonts w:ascii="Arial" w:hAnsi="Arial" w:cs="Arial"/>
          <w:sz w:val="20"/>
          <w:szCs w:val="20"/>
          <w:lang w:val="en-AU"/>
        </w:rPr>
        <w:t xml:space="preserve">, </w:t>
      </w:r>
      <w:r w:rsidR="0008189C" w:rsidRPr="003B728C">
        <w:rPr>
          <w:rFonts w:ascii="Arial" w:hAnsi="Arial" w:cs="Arial"/>
          <w:sz w:val="20"/>
          <w:szCs w:val="20"/>
          <w:lang w:val="en-AU"/>
        </w:rPr>
        <w:t>published by the ACMA</w:t>
      </w:r>
      <w:r w:rsidR="0008189C">
        <w:rPr>
          <w:rFonts w:ascii="Arial" w:hAnsi="Arial" w:cs="Arial"/>
          <w:sz w:val="20"/>
          <w:szCs w:val="20"/>
          <w:lang w:val="en-AU"/>
        </w:rPr>
        <w:t>,</w:t>
      </w:r>
      <w:r w:rsidR="0008189C" w:rsidRPr="003B728C">
        <w:rPr>
          <w:rFonts w:ascii="Arial" w:hAnsi="Arial" w:cs="Arial"/>
          <w:sz w:val="20"/>
          <w:szCs w:val="20"/>
          <w:lang w:val="en-AU"/>
        </w:rPr>
        <w:t xml:space="preserve"> as in existence from time to time</w:t>
      </w:r>
      <w:r w:rsidR="0008189C">
        <w:rPr>
          <w:rFonts w:ascii="Arial" w:hAnsi="Arial" w:cs="Arial"/>
          <w:sz w:val="20"/>
          <w:szCs w:val="20"/>
          <w:lang w:val="en-AU"/>
        </w:rPr>
        <w:t>.</w:t>
      </w:r>
      <w:r w:rsidR="009355BD">
        <w:rPr>
          <w:rFonts w:ascii="Arial" w:hAnsi="Arial" w:cs="Arial"/>
          <w:sz w:val="20"/>
          <w:szCs w:val="20"/>
          <w:lang w:val="en-AU"/>
        </w:rPr>
        <w:t xml:space="preserve"> Copies of RALI FX21 can be obtained </w:t>
      </w:r>
      <w:r w:rsidR="001C6C87">
        <w:rPr>
          <w:rFonts w:ascii="Arial" w:hAnsi="Arial" w:cs="Arial"/>
          <w:sz w:val="20"/>
          <w:szCs w:val="20"/>
          <w:lang w:val="en-AU"/>
        </w:rPr>
        <w:t xml:space="preserve">from the ACMA’s website </w:t>
      </w:r>
      <w:r w:rsidR="009355BD">
        <w:rPr>
          <w:rFonts w:ascii="Arial" w:hAnsi="Arial" w:cs="Arial"/>
          <w:sz w:val="20"/>
          <w:szCs w:val="20"/>
          <w:lang w:val="en-AU"/>
        </w:rPr>
        <w:t xml:space="preserve">at </w:t>
      </w:r>
      <w:hyperlink r:id="rId15" w:history="1">
        <w:r w:rsidR="009355BD" w:rsidRPr="008D7CED">
          <w:rPr>
            <w:rStyle w:val="Hyperlink"/>
            <w:rFonts w:ascii="Arial" w:hAnsi="Arial" w:cs="Arial"/>
            <w:sz w:val="20"/>
            <w:szCs w:val="20"/>
            <w:lang w:val="en-AU"/>
          </w:rPr>
          <w:t>www.acma.gov.au</w:t>
        </w:r>
      </w:hyperlink>
      <w:r w:rsidR="009355BD">
        <w:rPr>
          <w:rFonts w:ascii="Arial" w:hAnsi="Arial" w:cs="Arial"/>
          <w:sz w:val="20"/>
          <w:szCs w:val="20"/>
          <w:lang w:val="en-AU"/>
        </w:rPr>
        <w:t xml:space="preserve">. </w:t>
      </w:r>
    </w:p>
    <w:p w14:paraId="7488FF22" w14:textId="6DE9AE65" w:rsidR="00C22F26" w:rsidRPr="004A67FA" w:rsidRDefault="005C1620" w:rsidP="00A70133">
      <w:pPr>
        <w:numPr>
          <w:ilvl w:val="0"/>
          <w:numId w:val="18"/>
        </w:numPr>
        <w:spacing w:after="120"/>
        <w:ind w:left="284" w:hanging="284"/>
        <w:jc w:val="both"/>
        <w:rPr>
          <w:rFonts w:ascii="Arial" w:hAnsi="Arial" w:cs="Arial"/>
          <w:sz w:val="20"/>
          <w:szCs w:val="20"/>
          <w:lang w:val="en-AU"/>
        </w:rPr>
      </w:pPr>
      <w:r w:rsidRPr="004A67FA">
        <w:rPr>
          <w:rFonts w:ascii="Arial" w:hAnsi="Arial" w:cs="Arial"/>
          <w:sz w:val="20"/>
          <w:szCs w:val="20"/>
          <w:lang w:val="en-AU"/>
        </w:rPr>
        <w:t xml:space="preserve">The </w:t>
      </w:r>
      <w:r w:rsidRPr="00FC3021">
        <w:rPr>
          <w:rFonts w:ascii="Arial" w:hAnsi="Arial" w:cs="Arial"/>
          <w:i/>
          <w:sz w:val="20"/>
          <w:szCs w:val="20"/>
          <w:lang w:val="en-GB"/>
        </w:rPr>
        <w:t>Radiocommunications (Unacceptable Levels of Interference – 2 GHz Band) Determination 2016</w:t>
      </w:r>
      <w:r w:rsidRPr="00FC3021">
        <w:rPr>
          <w:rFonts w:ascii="Arial" w:hAnsi="Arial" w:cs="Arial"/>
          <w:sz w:val="20"/>
          <w:szCs w:val="20"/>
          <w:lang w:val="en-GB"/>
        </w:rPr>
        <w:t xml:space="preserve">, the </w:t>
      </w:r>
      <w:r w:rsidRPr="00E02DF3">
        <w:rPr>
          <w:rFonts w:ascii="Arial" w:hAnsi="Arial" w:cs="Arial"/>
          <w:i/>
          <w:sz w:val="20"/>
          <w:szCs w:val="20"/>
        </w:rPr>
        <w:t>Radiocommunications (Interpretation) Determination 2015</w:t>
      </w:r>
      <w:r w:rsidR="004A67FA" w:rsidRPr="00E02DF3">
        <w:rPr>
          <w:rFonts w:ascii="Arial" w:hAnsi="Arial" w:cs="Arial"/>
          <w:sz w:val="20"/>
          <w:szCs w:val="20"/>
        </w:rPr>
        <w:t xml:space="preserve"> and the </w:t>
      </w:r>
      <w:r w:rsidR="004A67FA" w:rsidRPr="00E02DF3">
        <w:rPr>
          <w:rFonts w:ascii="Arial" w:hAnsi="Arial" w:cs="Arial"/>
          <w:i/>
          <w:sz w:val="20"/>
          <w:szCs w:val="20"/>
        </w:rPr>
        <w:t>Television Outside Broadcast Service (1980–2110 MHz and 2170–2300 MHz) Frequency Band Plan 2012</w:t>
      </w:r>
      <w:r w:rsidR="00FC3021">
        <w:rPr>
          <w:rFonts w:ascii="Arial" w:hAnsi="Arial" w:cs="Arial"/>
          <w:sz w:val="20"/>
          <w:szCs w:val="20"/>
        </w:rPr>
        <w:t xml:space="preserve"> are available from the Federal Register of Legislation website: www.legislation.gov.au</w:t>
      </w:r>
    </w:p>
    <w:p w14:paraId="50C8E63A" w14:textId="11A81188" w:rsidR="008615D3" w:rsidRPr="003B728C" w:rsidRDefault="00E76C4B" w:rsidP="003B728C">
      <w:pPr>
        <w:numPr>
          <w:ilvl w:val="0"/>
          <w:numId w:val="18"/>
        </w:numPr>
        <w:ind w:left="284" w:hanging="284"/>
        <w:jc w:val="both"/>
        <w:rPr>
          <w:rFonts w:ascii="Arial" w:hAnsi="Arial" w:cs="Arial"/>
          <w:sz w:val="20"/>
          <w:szCs w:val="20"/>
          <w:lang w:val="en-AU"/>
        </w:rPr>
      </w:pPr>
      <w:r w:rsidRPr="003B728C">
        <w:rPr>
          <w:rFonts w:ascii="Arial" w:hAnsi="Arial" w:cs="Arial"/>
          <w:sz w:val="20"/>
          <w:szCs w:val="20"/>
          <w:lang w:val="en-AU"/>
        </w:rPr>
        <w:t>The following documents published by the ITU Radiocommunications Sector and available on the ITU website</w:t>
      </w:r>
      <w:r w:rsidR="00916989">
        <w:rPr>
          <w:rFonts w:ascii="Arial" w:hAnsi="Arial" w:cs="Arial"/>
          <w:sz w:val="20"/>
          <w:szCs w:val="20"/>
          <w:lang w:val="en-AU"/>
        </w:rPr>
        <w:t xml:space="preserve"> </w:t>
      </w:r>
      <w:r w:rsidR="001C6C87">
        <w:rPr>
          <w:rFonts w:ascii="Arial" w:hAnsi="Arial" w:cs="Arial"/>
          <w:sz w:val="20"/>
          <w:szCs w:val="20"/>
          <w:lang w:val="en-AU"/>
        </w:rPr>
        <w:t xml:space="preserve">at </w:t>
      </w:r>
      <w:r w:rsidR="001C6C87">
        <w:rPr>
          <w:rStyle w:val="Hyperlink"/>
          <w:rFonts w:ascii="Arial" w:hAnsi="Arial" w:cs="Arial"/>
          <w:sz w:val="20"/>
          <w:szCs w:val="20"/>
          <w:lang w:val="en-AU"/>
        </w:rPr>
        <w:t>www.itu.int</w:t>
      </w:r>
      <w:r w:rsidRPr="003B728C">
        <w:rPr>
          <w:rFonts w:ascii="Arial" w:hAnsi="Arial" w:cs="Arial"/>
          <w:sz w:val="20"/>
          <w:szCs w:val="20"/>
          <w:lang w:val="en-AU"/>
        </w:rPr>
        <w:t>:</w:t>
      </w:r>
    </w:p>
    <w:p w14:paraId="50C8E63C" w14:textId="15F251E1" w:rsidR="008615D3" w:rsidRPr="003C5724" w:rsidRDefault="00E76C4B" w:rsidP="00FF588D">
      <w:pPr>
        <w:numPr>
          <w:ilvl w:val="1"/>
          <w:numId w:val="18"/>
        </w:numPr>
        <w:spacing w:before="120"/>
        <w:ind w:left="992" w:hanging="426"/>
        <w:jc w:val="both"/>
        <w:rPr>
          <w:rFonts w:ascii="Arial" w:hAnsi="Arial" w:cs="Arial"/>
          <w:sz w:val="20"/>
          <w:szCs w:val="20"/>
          <w:lang w:val="en-AU"/>
        </w:rPr>
      </w:pPr>
      <w:r w:rsidRPr="003B728C">
        <w:rPr>
          <w:rFonts w:ascii="Arial" w:hAnsi="Arial" w:cs="Arial"/>
          <w:sz w:val="20"/>
          <w:szCs w:val="20"/>
          <w:lang w:val="en-AU"/>
        </w:rPr>
        <w:t xml:space="preserve">Recommendation ITU-R P.1144 </w:t>
      </w:r>
      <w:r w:rsidRPr="003B728C">
        <w:rPr>
          <w:rFonts w:ascii="Arial" w:hAnsi="Arial" w:cs="Arial"/>
          <w:i/>
          <w:sz w:val="20"/>
          <w:szCs w:val="20"/>
          <w:lang w:val="en-AU"/>
        </w:rPr>
        <w:t>Guide to the application of the propagation methods of Radiocommunications Study Group 3</w:t>
      </w:r>
      <w:r w:rsidR="00A70133">
        <w:rPr>
          <w:rFonts w:ascii="Arial" w:hAnsi="Arial" w:cs="Arial"/>
          <w:i/>
          <w:sz w:val="20"/>
          <w:szCs w:val="20"/>
          <w:lang w:val="en-AU"/>
        </w:rPr>
        <w:t>;</w:t>
      </w:r>
    </w:p>
    <w:p w14:paraId="12354DA2" w14:textId="0C3BF451" w:rsidR="00A70133" w:rsidRPr="00A70133" w:rsidRDefault="00A70133" w:rsidP="00FF588D">
      <w:pPr>
        <w:numPr>
          <w:ilvl w:val="1"/>
          <w:numId w:val="18"/>
        </w:numPr>
        <w:spacing w:before="120"/>
        <w:ind w:left="992" w:hanging="426"/>
        <w:jc w:val="both"/>
        <w:rPr>
          <w:rFonts w:ascii="Arial" w:hAnsi="Arial" w:cs="Arial"/>
          <w:sz w:val="20"/>
          <w:szCs w:val="20"/>
          <w:lang w:val="en-AU"/>
        </w:rPr>
      </w:pPr>
      <w:r>
        <w:rPr>
          <w:rFonts w:ascii="Arial" w:hAnsi="Arial" w:cs="Arial"/>
          <w:sz w:val="20"/>
          <w:szCs w:val="20"/>
          <w:lang w:val="en-AU"/>
        </w:rPr>
        <w:t xml:space="preserve">Recommendation ITU-R M.1456-0 </w:t>
      </w:r>
      <w:r w:rsidRPr="00A70133">
        <w:rPr>
          <w:rFonts w:ascii="Arial" w:hAnsi="Arial" w:cs="Arial"/>
          <w:i/>
          <w:sz w:val="20"/>
          <w:szCs w:val="20"/>
          <w:lang w:val="en-AU"/>
        </w:rPr>
        <w:t>Minimum performance characteristics and operational conditions for high altitude platform stations providing IMT-2000 in the bands 1 885-1 980 MHz, 2 010-2 025 MHz and 2 110-2 170 MHz in Regions 1 and 3 and 1 885-1 980 MHz and 2 110-2 160 MHz in Region 2</w:t>
      </w:r>
      <w:r>
        <w:rPr>
          <w:rFonts w:ascii="Arial" w:hAnsi="Arial" w:cs="Arial"/>
          <w:i/>
          <w:sz w:val="20"/>
          <w:szCs w:val="20"/>
          <w:lang w:val="en-AU"/>
        </w:rPr>
        <w:t>;</w:t>
      </w:r>
    </w:p>
    <w:p w14:paraId="1BA080E2" w14:textId="1C70296F" w:rsidR="00A70133" w:rsidRPr="00A70133" w:rsidRDefault="00A70133" w:rsidP="00FF588D">
      <w:pPr>
        <w:numPr>
          <w:ilvl w:val="1"/>
          <w:numId w:val="18"/>
        </w:numPr>
        <w:spacing w:before="120"/>
        <w:ind w:left="992" w:hanging="426"/>
        <w:jc w:val="both"/>
        <w:rPr>
          <w:rFonts w:ascii="Arial" w:hAnsi="Arial" w:cs="Arial"/>
          <w:sz w:val="20"/>
          <w:szCs w:val="20"/>
          <w:lang w:val="en-AU"/>
        </w:rPr>
      </w:pPr>
      <w:r>
        <w:rPr>
          <w:rFonts w:ascii="Arial" w:hAnsi="Arial" w:cs="Arial"/>
          <w:sz w:val="20"/>
          <w:szCs w:val="20"/>
          <w:lang w:val="en-AU"/>
        </w:rPr>
        <w:t>ITU R Recommendation SA.1154</w:t>
      </w:r>
      <w:r w:rsidRPr="00A70133">
        <w:rPr>
          <w:rFonts w:ascii="Arial" w:hAnsi="Arial" w:cs="Arial"/>
          <w:sz w:val="20"/>
          <w:szCs w:val="20"/>
          <w:lang w:val="en-AU"/>
        </w:rPr>
        <w:t xml:space="preserve"> </w:t>
      </w:r>
      <w:r w:rsidRPr="00A70133">
        <w:rPr>
          <w:rFonts w:ascii="Arial" w:hAnsi="Arial" w:cs="Arial"/>
          <w:i/>
          <w:sz w:val="20"/>
          <w:szCs w:val="20"/>
          <w:lang w:val="en-AU"/>
        </w:rPr>
        <w:t>Provisions to protect the space research (SR), space operations (SO) and Earth exploration satellite services (EES) and to facilitate sharing with the mobile service in the 2 025-2 110 MHz and 2 200-2 290 MHz bands</w:t>
      </w:r>
      <w:r w:rsidRPr="00A70133">
        <w:rPr>
          <w:rFonts w:ascii="Arial" w:hAnsi="Arial" w:cs="Arial"/>
          <w:sz w:val="20"/>
          <w:szCs w:val="20"/>
          <w:lang w:val="en-AU"/>
        </w:rPr>
        <w:t>;</w:t>
      </w:r>
    </w:p>
    <w:p w14:paraId="777D2A86" w14:textId="1867F805" w:rsidR="00A70133" w:rsidRPr="00A70133" w:rsidRDefault="00A70133" w:rsidP="00FF588D">
      <w:pPr>
        <w:numPr>
          <w:ilvl w:val="1"/>
          <w:numId w:val="18"/>
        </w:numPr>
        <w:spacing w:before="120"/>
        <w:ind w:left="992" w:hanging="426"/>
        <w:jc w:val="both"/>
        <w:rPr>
          <w:rFonts w:ascii="Arial" w:hAnsi="Arial" w:cs="Arial"/>
          <w:sz w:val="20"/>
          <w:szCs w:val="20"/>
          <w:lang w:val="en-AU"/>
        </w:rPr>
      </w:pPr>
      <w:r w:rsidRPr="00A70133">
        <w:rPr>
          <w:rFonts w:ascii="Arial" w:hAnsi="Arial" w:cs="Arial"/>
          <w:sz w:val="20"/>
          <w:szCs w:val="20"/>
          <w:lang w:val="en-AU"/>
        </w:rPr>
        <w:t>ITU R Recommendation SA.363</w:t>
      </w:r>
      <w:r>
        <w:rPr>
          <w:rFonts w:ascii="Arial" w:hAnsi="Arial" w:cs="Arial"/>
          <w:sz w:val="20"/>
          <w:szCs w:val="20"/>
          <w:lang w:val="en-AU"/>
        </w:rPr>
        <w:t xml:space="preserve"> 5 </w:t>
      </w:r>
      <w:r w:rsidRPr="00A70133">
        <w:rPr>
          <w:rFonts w:ascii="Arial" w:hAnsi="Arial" w:cs="Arial"/>
          <w:i/>
          <w:sz w:val="20"/>
          <w:szCs w:val="20"/>
          <w:lang w:val="en-AU"/>
        </w:rPr>
        <w:t>Space operation systems</w:t>
      </w:r>
      <w:r>
        <w:rPr>
          <w:rFonts w:ascii="Arial" w:hAnsi="Arial" w:cs="Arial"/>
          <w:sz w:val="20"/>
          <w:szCs w:val="20"/>
          <w:lang w:val="en-AU"/>
        </w:rPr>
        <w:t xml:space="preserve">; </w:t>
      </w:r>
      <w:r w:rsidR="009355BD">
        <w:rPr>
          <w:rFonts w:ascii="Arial" w:hAnsi="Arial" w:cs="Arial"/>
          <w:sz w:val="20"/>
          <w:szCs w:val="20"/>
          <w:lang w:val="en-AU"/>
        </w:rPr>
        <w:t>and</w:t>
      </w:r>
    </w:p>
    <w:p w14:paraId="4BCE32EC" w14:textId="67A29747" w:rsidR="00A70133" w:rsidRDefault="00A70133" w:rsidP="00FF588D">
      <w:pPr>
        <w:numPr>
          <w:ilvl w:val="1"/>
          <w:numId w:val="18"/>
        </w:numPr>
        <w:spacing w:before="120"/>
        <w:ind w:left="992" w:hanging="426"/>
        <w:jc w:val="both"/>
        <w:rPr>
          <w:rFonts w:ascii="Arial" w:hAnsi="Arial" w:cs="Arial"/>
          <w:sz w:val="20"/>
          <w:szCs w:val="20"/>
          <w:lang w:val="en-AU"/>
        </w:rPr>
      </w:pPr>
      <w:r>
        <w:rPr>
          <w:rFonts w:ascii="Arial" w:hAnsi="Arial" w:cs="Arial"/>
          <w:sz w:val="20"/>
          <w:szCs w:val="20"/>
          <w:lang w:val="en-AU"/>
        </w:rPr>
        <w:t>ITU-R Recommendation SA.1157-1</w:t>
      </w:r>
      <w:r w:rsidRPr="00A70133">
        <w:rPr>
          <w:rFonts w:ascii="Arial" w:hAnsi="Arial" w:cs="Arial"/>
          <w:sz w:val="20"/>
          <w:szCs w:val="20"/>
          <w:lang w:val="en-AU"/>
        </w:rPr>
        <w:t xml:space="preserve"> </w:t>
      </w:r>
      <w:r w:rsidRPr="00A70133">
        <w:rPr>
          <w:rFonts w:ascii="Arial" w:hAnsi="Arial" w:cs="Arial"/>
          <w:i/>
          <w:sz w:val="20"/>
          <w:szCs w:val="20"/>
          <w:lang w:val="en-AU"/>
        </w:rPr>
        <w:t>Protection criteria for deep space research</w:t>
      </w:r>
      <w:r w:rsidR="009355BD">
        <w:rPr>
          <w:rFonts w:ascii="Arial" w:hAnsi="Arial" w:cs="Arial"/>
          <w:sz w:val="20"/>
          <w:szCs w:val="20"/>
          <w:lang w:val="en-AU"/>
        </w:rPr>
        <w:t>.</w:t>
      </w:r>
    </w:p>
    <w:p w14:paraId="50C8E641" w14:textId="77777777" w:rsidR="008615D3" w:rsidRPr="003B728C" w:rsidRDefault="008615D3" w:rsidP="00FF588D">
      <w:pPr>
        <w:jc w:val="both"/>
        <w:rPr>
          <w:rFonts w:ascii="Arial" w:hAnsi="Arial" w:cs="Arial"/>
          <w:sz w:val="20"/>
          <w:szCs w:val="20"/>
          <w:lang w:val="en-AU"/>
        </w:rPr>
      </w:pPr>
    </w:p>
    <w:p w14:paraId="50C8E642" w14:textId="38F1DA5B" w:rsidR="00D27FD9" w:rsidRPr="00F41820" w:rsidRDefault="00D27FD9" w:rsidP="00746AAC">
      <w:pPr>
        <w:spacing w:after="120"/>
        <w:jc w:val="both"/>
        <w:outlineLvl w:val="0"/>
        <w:rPr>
          <w:rFonts w:ascii="Arial" w:hAnsi="Arial" w:cs="Arial"/>
          <w:b/>
          <w:sz w:val="20"/>
          <w:szCs w:val="20"/>
          <w:lang w:val="en-AU"/>
        </w:rPr>
      </w:pPr>
      <w:r w:rsidRPr="00095E28">
        <w:rPr>
          <w:rFonts w:ascii="Arial" w:hAnsi="Arial" w:cs="Arial"/>
          <w:b/>
          <w:sz w:val="20"/>
          <w:szCs w:val="20"/>
          <w:lang w:val="en-AU"/>
        </w:rPr>
        <w:t xml:space="preserve">Statement of </w:t>
      </w:r>
      <w:r w:rsidR="00FF588D">
        <w:rPr>
          <w:rFonts w:ascii="Arial" w:hAnsi="Arial" w:cs="Arial"/>
          <w:b/>
          <w:sz w:val="20"/>
          <w:szCs w:val="20"/>
          <w:lang w:val="en-AU"/>
        </w:rPr>
        <w:t>C</w:t>
      </w:r>
      <w:r w:rsidRPr="00095E28">
        <w:rPr>
          <w:rFonts w:ascii="Arial" w:hAnsi="Arial" w:cs="Arial"/>
          <w:b/>
          <w:sz w:val="20"/>
          <w:szCs w:val="20"/>
          <w:lang w:val="en-AU"/>
        </w:rPr>
        <w:t xml:space="preserve">ompatibility with </w:t>
      </w:r>
      <w:r w:rsidR="00FF588D">
        <w:rPr>
          <w:rFonts w:ascii="Arial" w:hAnsi="Arial" w:cs="Arial"/>
          <w:b/>
          <w:sz w:val="20"/>
          <w:szCs w:val="20"/>
          <w:lang w:val="en-AU"/>
        </w:rPr>
        <w:t>H</w:t>
      </w:r>
      <w:r w:rsidRPr="00095E28">
        <w:rPr>
          <w:rFonts w:ascii="Arial" w:hAnsi="Arial" w:cs="Arial"/>
          <w:b/>
          <w:sz w:val="20"/>
          <w:szCs w:val="20"/>
          <w:lang w:val="en-AU"/>
        </w:rPr>
        <w:t xml:space="preserve">uman </w:t>
      </w:r>
      <w:r w:rsidR="00FF588D">
        <w:rPr>
          <w:rFonts w:ascii="Arial" w:hAnsi="Arial" w:cs="Arial"/>
          <w:b/>
          <w:sz w:val="20"/>
          <w:szCs w:val="20"/>
          <w:lang w:val="en-AU"/>
        </w:rPr>
        <w:t>R</w:t>
      </w:r>
      <w:r w:rsidRPr="00095E28">
        <w:rPr>
          <w:rFonts w:ascii="Arial" w:hAnsi="Arial" w:cs="Arial"/>
          <w:b/>
          <w:sz w:val="20"/>
          <w:szCs w:val="20"/>
          <w:lang w:val="en-AU"/>
        </w:rPr>
        <w:t>ights</w:t>
      </w:r>
    </w:p>
    <w:p w14:paraId="50C8E647" w14:textId="10D780DF" w:rsidR="00D27FD9" w:rsidRDefault="00A9714A" w:rsidP="00D27FD9">
      <w:pPr>
        <w:jc w:val="both"/>
        <w:rPr>
          <w:rFonts w:ascii="Arial" w:hAnsi="Arial" w:cs="Arial"/>
          <w:sz w:val="20"/>
          <w:szCs w:val="20"/>
          <w:lang w:val="en-AU"/>
        </w:rPr>
      </w:pPr>
      <w:r w:rsidRPr="00A3496A">
        <w:rPr>
          <w:rFonts w:ascii="Arial" w:hAnsi="Arial" w:cs="Arial"/>
          <w:sz w:val="20"/>
          <w:szCs w:val="20"/>
          <w:lang w:val="en-AU"/>
        </w:rPr>
        <w:t xml:space="preserve">Subsection 9(1) of the </w:t>
      </w:r>
      <w:r w:rsidRPr="00373432">
        <w:rPr>
          <w:rFonts w:ascii="Arial" w:hAnsi="Arial" w:cs="Arial"/>
          <w:i/>
          <w:sz w:val="20"/>
          <w:szCs w:val="20"/>
          <w:lang w:val="en-AU"/>
        </w:rPr>
        <w:t>Human Rights (Parliamentary Scrutiny) Act 2011</w:t>
      </w:r>
      <w:r w:rsidRPr="00A3496A">
        <w:rPr>
          <w:rFonts w:ascii="Arial" w:hAnsi="Arial" w:cs="Arial"/>
          <w:sz w:val="20"/>
          <w:szCs w:val="20"/>
          <w:lang w:val="en-AU"/>
        </w:rPr>
        <w:t xml:space="preserve"> requires the rule maker in relation to a legislative instrument to which section 42 (disallowance) of the </w:t>
      </w:r>
      <w:r w:rsidRPr="00373432">
        <w:rPr>
          <w:rFonts w:ascii="Arial" w:hAnsi="Arial" w:cs="Arial"/>
          <w:i/>
          <w:sz w:val="20"/>
          <w:szCs w:val="20"/>
          <w:lang w:val="en-AU"/>
        </w:rPr>
        <w:t>Legislati</w:t>
      </w:r>
      <w:r w:rsidR="00F12374" w:rsidRPr="00373432">
        <w:rPr>
          <w:rFonts w:ascii="Arial" w:hAnsi="Arial" w:cs="Arial"/>
          <w:i/>
          <w:sz w:val="20"/>
          <w:szCs w:val="20"/>
          <w:lang w:val="en-AU"/>
        </w:rPr>
        <w:t>on</w:t>
      </w:r>
      <w:r w:rsidRPr="00373432">
        <w:rPr>
          <w:rFonts w:ascii="Arial" w:hAnsi="Arial" w:cs="Arial"/>
          <w:i/>
          <w:sz w:val="20"/>
          <w:szCs w:val="20"/>
          <w:lang w:val="en-AU"/>
        </w:rPr>
        <w:t xml:space="preserve"> Act 2003</w:t>
      </w:r>
      <w:r w:rsidRPr="00A3496A">
        <w:rPr>
          <w:rFonts w:ascii="Arial" w:hAnsi="Arial" w:cs="Arial"/>
          <w:sz w:val="20"/>
          <w:szCs w:val="20"/>
          <w:lang w:val="en-AU"/>
        </w:rPr>
        <w:t xml:space="preserve"> applies to cause a statement of compatibility to be prepared in respect of that legislative instrument. </w:t>
      </w:r>
      <w:r w:rsidR="00776037" w:rsidRPr="00E8597C">
        <w:rPr>
          <w:rFonts w:ascii="Arial" w:hAnsi="Arial" w:cs="Arial"/>
          <w:sz w:val="20"/>
          <w:szCs w:val="20"/>
          <w:lang w:val="en-AU"/>
        </w:rPr>
        <w:t>The Advisory Guidelines are a legislative instrument that is subject to disallowance under section 42 of the</w:t>
      </w:r>
      <w:r w:rsidR="00776037">
        <w:rPr>
          <w:rFonts w:ascii="Arial" w:hAnsi="Arial" w:cs="Arial"/>
          <w:sz w:val="20"/>
          <w:szCs w:val="20"/>
          <w:lang w:val="en-AU"/>
        </w:rPr>
        <w:t xml:space="preserve"> </w:t>
      </w:r>
      <w:r w:rsidR="00776037">
        <w:rPr>
          <w:rFonts w:ascii="Arial" w:hAnsi="Arial" w:cs="Arial"/>
          <w:i/>
          <w:sz w:val="20"/>
          <w:szCs w:val="20"/>
          <w:lang w:val="en-AU"/>
        </w:rPr>
        <w:t>Legislation Act 2003.</w:t>
      </w:r>
      <w:r w:rsidR="00776037">
        <w:rPr>
          <w:rFonts w:ascii="Arial" w:hAnsi="Arial" w:cs="Arial"/>
          <w:i/>
          <w:sz w:val="20"/>
          <w:szCs w:val="20"/>
          <w:lang w:val="en-AU"/>
        </w:rPr>
        <w:t xml:space="preserve"> </w:t>
      </w:r>
      <w:r w:rsidR="00FF588D">
        <w:rPr>
          <w:rFonts w:ascii="Arial" w:hAnsi="Arial" w:cs="Arial"/>
          <w:sz w:val="20"/>
          <w:szCs w:val="20"/>
          <w:lang w:val="en-AU"/>
        </w:rPr>
        <w:t>The Statement of Compatibility with Human Rights for the Advisory Guidelines is set out in</w:t>
      </w:r>
      <w:r>
        <w:rPr>
          <w:rFonts w:ascii="Arial" w:hAnsi="Arial" w:cs="Arial"/>
          <w:sz w:val="20"/>
          <w:szCs w:val="20"/>
          <w:lang w:val="en-AU"/>
        </w:rPr>
        <w:t xml:space="preserve"> Attachment </w:t>
      </w:r>
      <w:r w:rsidR="00FF588D">
        <w:rPr>
          <w:rFonts w:ascii="Arial" w:hAnsi="Arial" w:cs="Arial"/>
          <w:sz w:val="20"/>
          <w:szCs w:val="20"/>
          <w:lang w:val="en-AU"/>
        </w:rPr>
        <w:t>B</w:t>
      </w:r>
      <w:r w:rsidRPr="00A3496A">
        <w:rPr>
          <w:rFonts w:ascii="Arial" w:hAnsi="Arial" w:cs="Arial"/>
          <w:sz w:val="20"/>
          <w:szCs w:val="20"/>
          <w:lang w:val="en-AU"/>
        </w:rPr>
        <w:t>.</w:t>
      </w:r>
    </w:p>
    <w:p w14:paraId="3677B15F" w14:textId="167AEF24" w:rsidR="00776037" w:rsidRDefault="00776037">
      <w:pPr>
        <w:rPr>
          <w:rFonts w:ascii="Arial" w:hAnsi="Arial" w:cs="Arial"/>
          <w:sz w:val="20"/>
          <w:szCs w:val="20"/>
          <w:lang w:val="en-AU"/>
        </w:rPr>
      </w:pPr>
      <w:r>
        <w:rPr>
          <w:rFonts w:ascii="Arial" w:hAnsi="Arial" w:cs="Arial"/>
          <w:sz w:val="20"/>
          <w:szCs w:val="20"/>
          <w:lang w:val="en-AU"/>
        </w:rPr>
        <w:br w:type="page"/>
      </w:r>
    </w:p>
    <w:p w14:paraId="5E634347" w14:textId="53C9D82F" w:rsidR="009D180D" w:rsidRPr="009D180D" w:rsidRDefault="009D180D" w:rsidP="00746AAC">
      <w:pPr>
        <w:rPr>
          <w:rFonts w:ascii="Arial" w:hAnsi="Arial" w:cs="Arial"/>
          <w:b/>
          <w:sz w:val="20"/>
          <w:szCs w:val="20"/>
          <w:lang w:val="en-AU"/>
        </w:rPr>
      </w:pPr>
      <w:r>
        <w:rPr>
          <w:rFonts w:ascii="Arial" w:hAnsi="Arial" w:cs="Arial"/>
          <w:b/>
          <w:sz w:val="20"/>
          <w:szCs w:val="20"/>
          <w:lang w:val="en-AU"/>
        </w:rPr>
        <w:lastRenderedPageBreak/>
        <w:t>Attachment A</w:t>
      </w:r>
    </w:p>
    <w:p w14:paraId="2118E9B0" w14:textId="77777777" w:rsidR="009D180D" w:rsidRDefault="009D180D" w:rsidP="003B728C">
      <w:pPr>
        <w:jc w:val="both"/>
        <w:rPr>
          <w:rFonts w:ascii="Arial" w:hAnsi="Arial" w:cs="Arial"/>
          <w:b/>
          <w:sz w:val="20"/>
          <w:szCs w:val="20"/>
          <w:lang w:val="en-AU"/>
        </w:rPr>
      </w:pPr>
    </w:p>
    <w:p w14:paraId="50C8E649" w14:textId="62102D35" w:rsidR="008615D3" w:rsidRPr="009D180D" w:rsidRDefault="00E76C4B" w:rsidP="009D180D">
      <w:pPr>
        <w:jc w:val="center"/>
        <w:rPr>
          <w:rFonts w:ascii="Arial" w:hAnsi="Arial" w:cs="Arial"/>
          <w:b/>
          <w:i/>
          <w:sz w:val="20"/>
          <w:szCs w:val="20"/>
          <w:lang w:val="en-AU"/>
        </w:rPr>
      </w:pPr>
      <w:r w:rsidRPr="003B728C">
        <w:rPr>
          <w:rFonts w:ascii="Arial" w:hAnsi="Arial" w:cs="Arial"/>
          <w:b/>
          <w:sz w:val="20"/>
          <w:szCs w:val="20"/>
          <w:lang w:val="en-AU"/>
        </w:rPr>
        <w:t xml:space="preserve">Detailed Description of the </w:t>
      </w:r>
      <w:r w:rsidR="009D180D">
        <w:rPr>
          <w:rFonts w:ascii="Arial" w:hAnsi="Arial" w:cs="Arial"/>
          <w:b/>
          <w:i/>
          <w:sz w:val="20"/>
          <w:szCs w:val="20"/>
          <w:lang w:val="en-AU"/>
        </w:rPr>
        <w:t>Radiocommunications Advisory Guidelines (Managing Interference from Spectrum Licensed Transmitters – 2 GHz Band) 2016</w:t>
      </w:r>
    </w:p>
    <w:p w14:paraId="50C8E64A" w14:textId="77777777" w:rsidR="008615D3" w:rsidRDefault="008615D3" w:rsidP="003B728C">
      <w:pPr>
        <w:spacing w:after="120"/>
        <w:jc w:val="both"/>
        <w:rPr>
          <w:rFonts w:ascii="Arial" w:hAnsi="Arial" w:cs="Arial"/>
          <w:sz w:val="20"/>
          <w:szCs w:val="20"/>
          <w:lang w:val="en-AU"/>
        </w:rPr>
      </w:pPr>
    </w:p>
    <w:p w14:paraId="50C8E64C" w14:textId="0FF6617B" w:rsidR="008615D3" w:rsidRPr="003B728C" w:rsidRDefault="00E76C4B" w:rsidP="003B728C">
      <w:pPr>
        <w:spacing w:after="120"/>
        <w:jc w:val="both"/>
        <w:rPr>
          <w:rFonts w:ascii="Arial" w:hAnsi="Arial" w:cs="Arial"/>
          <w:b/>
          <w:sz w:val="20"/>
          <w:szCs w:val="20"/>
          <w:lang w:val="en-AU"/>
        </w:rPr>
      </w:pPr>
      <w:r w:rsidRPr="003B728C">
        <w:rPr>
          <w:rFonts w:ascii="Arial" w:hAnsi="Arial" w:cs="Arial"/>
          <w:b/>
          <w:sz w:val="20"/>
          <w:szCs w:val="20"/>
          <w:lang w:val="en-AU"/>
        </w:rPr>
        <w:t>Section 1 – Name of</w:t>
      </w:r>
      <w:r w:rsidR="009D180D">
        <w:rPr>
          <w:rFonts w:ascii="Arial" w:hAnsi="Arial" w:cs="Arial"/>
          <w:b/>
          <w:sz w:val="20"/>
          <w:szCs w:val="20"/>
          <w:lang w:val="en-AU"/>
        </w:rPr>
        <w:t xml:space="preserve"> </w:t>
      </w:r>
      <w:r w:rsidRPr="003B728C">
        <w:rPr>
          <w:rFonts w:ascii="Arial" w:hAnsi="Arial" w:cs="Arial"/>
          <w:b/>
          <w:sz w:val="20"/>
          <w:szCs w:val="20"/>
          <w:lang w:val="en-AU"/>
        </w:rPr>
        <w:t>Advisory Guidelines</w:t>
      </w:r>
    </w:p>
    <w:p w14:paraId="50C8E64D" w14:textId="63BF3F92" w:rsidR="008615D3" w:rsidRPr="003B728C" w:rsidRDefault="009D180D" w:rsidP="003B728C">
      <w:pPr>
        <w:jc w:val="both"/>
        <w:rPr>
          <w:rFonts w:ascii="Arial" w:hAnsi="Arial" w:cs="Arial"/>
          <w:color w:val="000000"/>
          <w:sz w:val="20"/>
          <w:szCs w:val="20"/>
          <w:lang w:val="en-AU"/>
        </w:rPr>
      </w:pPr>
      <w:r>
        <w:rPr>
          <w:rFonts w:ascii="Arial" w:hAnsi="Arial" w:cs="Arial"/>
          <w:color w:val="000000"/>
          <w:sz w:val="20"/>
          <w:szCs w:val="20"/>
          <w:lang w:val="en-AU"/>
        </w:rPr>
        <w:t>S</w:t>
      </w:r>
      <w:r w:rsidR="00E76C4B" w:rsidRPr="003B728C">
        <w:rPr>
          <w:rFonts w:ascii="Arial" w:hAnsi="Arial" w:cs="Arial"/>
          <w:color w:val="000000"/>
          <w:sz w:val="20"/>
          <w:szCs w:val="20"/>
          <w:lang w:val="en-AU"/>
        </w:rPr>
        <w:t>ection</w:t>
      </w:r>
      <w:r>
        <w:rPr>
          <w:rFonts w:ascii="Arial" w:hAnsi="Arial" w:cs="Arial"/>
          <w:color w:val="000000"/>
          <w:sz w:val="20"/>
          <w:szCs w:val="20"/>
          <w:lang w:val="en-AU"/>
        </w:rPr>
        <w:t xml:space="preserve"> 1</w:t>
      </w:r>
      <w:r w:rsidR="00E76C4B" w:rsidRPr="003B728C">
        <w:rPr>
          <w:rFonts w:ascii="Arial" w:hAnsi="Arial" w:cs="Arial"/>
          <w:color w:val="000000"/>
          <w:sz w:val="20"/>
          <w:szCs w:val="20"/>
          <w:lang w:val="en-AU"/>
        </w:rPr>
        <w:t xml:space="preserve"> provides that the name of the </w:t>
      </w:r>
      <w:r>
        <w:rPr>
          <w:rFonts w:ascii="Arial" w:hAnsi="Arial" w:cs="Arial"/>
          <w:color w:val="000000"/>
          <w:sz w:val="20"/>
          <w:szCs w:val="20"/>
          <w:lang w:val="en-AU"/>
        </w:rPr>
        <w:t>g</w:t>
      </w:r>
      <w:r w:rsidR="00E76C4B" w:rsidRPr="003B728C">
        <w:rPr>
          <w:rFonts w:ascii="Arial" w:hAnsi="Arial" w:cs="Arial"/>
          <w:color w:val="000000"/>
          <w:sz w:val="20"/>
          <w:szCs w:val="20"/>
          <w:lang w:val="en-AU"/>
        </w:rPr>
        <w:t xml:space="preserve">uidelines is the </w:t>
      </w:r>
      <w:r w:rsidR="00E76C4B" w:rsidRPr="003B728C">
        <w:rPr>
          <w:rFonts w:ascii="Arial" w:hAnsi="Arial" w:cs="Arial"/>
          <w:i/>
          <w:color w:val="000000"/>
          <w:sz w:val="20"/>
          <w:szCs w:val="20"/>
          <w:lang w:val="en-AU"/>
        </w:rPr>
        <w:t xml:space="preserve">Radiocommunications Advisory Guidelines (Managing Interference from Spectrum Licensed Transmitters – </w:t>
      </w:r>
      <w:r w:rsidR="006302E9">
        <w:rPr>
          <w:rFonts w:ascii="Arial" w:hAnsi="Arial" w:cs="Arial"/>
          <w:i/>
          <w:color w:val="000000"/>
          <w:sz w:val="20"/>
          <w:szCs w:val="20"/>
          <w:lang w:val="en-AU"/>
        </w:rPr>
        <w:t>2</w:t>
      </w:r>
      <w:r w:rsidR="00E76C4B" w:rsidRPr="003B728C">
        <w:rPr>
          <w:rFonts w:ascii="Arial" w:hAnsi="Arial" w:cs="Arial"/>
          <w:i/>
          <w:color w:val="000000"/>
          <w:sz w:val="20"/>
          <w:szCs w:val="20"/>
          <w:lang w:val="en-AU"/>
        </w:rPr>
        <w:t xml:space="preserve"> GHz Band) 201</w:t>
      </w:r>
      <w:r w:rsidR="006302E9">
        <w:rPr>
          <w:rFonts w:ascii="Arial" w:hAnsi="Arial" w:cs="Arial"/>
          <w:i/>
          <w:color w:val="000000"/>
          <w:sz w:val="20"/>
          <w:szCs w:val="20"/>
          <w:lang w:val="en-AU"/>
        </w:rPr>
        <w:t>6</w:t>
      </w:r>
      <w:r>
        <w:rPr>
          <w:rFonts w:ascii="Arial" w:hAnsi="Arial" w:cs="Arial"/>
          <w:i/>
          <w:color w:val="000000"/>
          <w:sz w:val="20"/>
          <w:szCs w:val="20"/>
          <w:lang w:val="en-AU"/>
        </w:rPr>
        <w:t xml:space="preserve"> </w:t>
      </w:r>
      <w:r>
        <w:rPr>
          <w:rFonts w:ascii="Arial" w:hAnsi="Arial" w:cs="Arial"/>
          <w:color w:val="000000"/>
          <w:sz w:val="20"/>
          <w:szCs w:val="20"/>
          <w:lang w:val="en-AU"/>
        </w:rPr>
        <w:t>(</w:t>
      </w:r>
      <w:r w:rsidRPr="009D180D">
        <w:rPr>
          <w:rFonts w:ascii="Arial" w:hAnsi="Arial" w:cs="Arial"/>
          <w:b/>
          <w:color w:val="000000"/>
          <w:sz w:val="20"/>
          <w:szCs w:val="20"/>
          <w:lang w:val="en-AU"/>
        </w:rPr>
        <w:t>the Advisory Guidelines</w:t>
      </w:r>
      <w:r w:rsidRPr="00776037">
        <w:rPr>
          <w:rFonts w:ascii="Arial" w:hAnsi="Arial" w:cs="Arial"/>
          <w:color w:val="000000"/>
          <w:sz w:val="20"/>
          <w:szCs w:val="20"/>
          <w:lang w:val="en-AU"/>
        </w:rPr>
        <w:t>)</w:t>
      </w:r>
      <w:r w:rsidR="00E76C4B" w:rsidRPr="003B728C">
        <w:rPr>
          <w:rFonts w:ascii="Arial" w:hAnsi="Arial" w:cs="Arial"/>
          <w:color w:val="000000"/>
          <w:sz w:val="20"/>
          <w:szCs w:val="20"/>
          <w:lang w:val="en-AU"/>
        </w:rPr>
        <w:t>.</w:t>
      </w:r>
    </w:p>
    <w:p w14:paraId="50C8E64E" w14:textId="77777777" w:rsidR="008615D3" w:rsidRPr="003B728C" w:rsidRDefault="008615D3" w:rsidP="003B728C">
      <w:pPr>
        <w:jc w:val="both"/>
        <w:rPr>
          <w:rFonts w:ascii="Arial" w:hAnsi="Arial" w:cs="Arial"/>
          <w:b/>
          <w:sz w:val="20"/>
          <w:szCs w:val="20"/>
          <w:lang w:val="en-AU"/>
        </w:rPr>
      </w:pPr>
    </w:p>
    <w:p w14:paraId="50C8E64F" w14:textId="577CF9B1" w:rsidR="008615D3" w:rsidRPr="003B728C" w:rsidRDefault="00E76C4B" w:rsidP="003B728C">
      <w:pPr>
        <w:spacing w:after="120"/>
        <w:jc w:val="both"/>
        <w:rPr>
          <w:rFonts w:ascii="Arial" w:hAnsi="Arial" w:cs="Arial"/>
          <w:b/>
          <w:sz w:val="20"/>
          <w:szCs w:val="20"/>
          <w:lang w:val="en-AU"/>
        </w:rPr>
      </w:pPr>
      <w:r w:rsidRPr="003B728C">
        <w:rPr>
          <w:rFonts w:ascii="Arial" w:hAnsi="Arial" w:cs="Arial"/>
          <w:b/>
          <w:sz w:val="20"/>
          <w:szCs w:val="20"/>
          <w:lang w:val="en-AU"/>
        </w:rPr>
        <w:t>Section 2 – Commencement</w:t>
      </w:r>
    </w:p>
    <w:p w14:paraId="50C8E650" w14:textId="3AF6AD2A" w:rsidR="008615D3" w:rsidRPr="003B728C" w:rsidRDefault="00A87762" w:rsidP="003B728C">
      <w:pPr>
        <w:jc w:val="both"/>
        <w:rPr>
          <w:rFonts w:ascii="Arial" w:hAnsi="Arial" w:cs="Arial"/>
          <w:color w:val="000000"/>
          <w:sz w:val="20"/>
          <w:szCs w:val="20"/>
          <w:lang w:val="en-AU"/>
        </w:rPr>
      </w:pPr>
      <w:r>
        <w:rPr>
          <w:rFonts w:ascii="Arial" w:hAnsi="Arial" w:cs="Arial"/>
          <w:color w:val="000000"/>
          <w:sz w:val="20"/>
          <w:szCs w:val="20"/>
          <w:lang w:val="en-AU"/>
        </w:rPr>
        <w:t>S</w:t>
      </w:r>
      <w:r w:rsidR="00E76C4B" w:rsidRPr="003B728C">
        <w:rPr>
          <w:rFonts w:ascii="Arial" w:hAnsi="Arial" w:cs="Arial"/>
          <w:color w:val="000000"/>
          <w:sz w:val="20"/>
          <w:szCs w:val="20"/>
          <w:lang w:val="en-AU"/>
        </w:rPr>
        <w:t>ection</w:t>
      </w:r>
      <w:r>
        <w:rPr>
          <w:rFonts w:ascii="Arial" w:hAnsi="Arial" w:cs="Arial"/>
          <w:color w:val="000000"/>
          <w:sz w:val="20"/>
          <w:szCs w:val="20"/>
          <w:lang w:val="en-AU"/>
        </w:rPr>
        <w:t xml:space="preserve"> 2</w:t>
      </w:r>
      <w:r w:rsidR="00E76C4B" w:rsidRPr="003B728C">
        <w:rPr>
          <w:rFonts w:ascii="Arial" w:hAnsi="Arial" w:cs="Arial"/>
          <w:color w:val="000000"/>
          <w:sz w:val="20"/>
          <w:szCs w:val="20"/>
          <w:lang w:val="en-AU"/>
        </w:rPr>
        <w:t xml:space="preserve"> provides that the Advisory Guidelines commence on </w:t>
      </w:r>
      <w:r w:rsidR="001623E6">
        <w:rPr>
          <w:rFonts w:ascii="Arial" w:hAnsi="Arial" w:cs="Arial"/>
          <w:sz w:val="20"/>
          <w:szCs w:val="20"/>
          <w:lang w:val="en-AU"/>
        </w:rPr>
        <w:t>12 October 2017</w:t>
      </w:r>
      <w:r w:rsidR="00E76C4B" w:rsidRPr="003B728C">
        <w:rPr>
          <w:rFonts w:ascii="Arial" w:hAnsi="Arial" w:cs="Arial"/>
          <w:color w:val="000000"/>
          <w:sz w:val="20"/>
          <w:szCs w:val="20"/>
          <w:lang w:val="en-AU"/>
        </w:rPr>
        <w:t>.</w:t>
      </w:r>
    </w:p>
    <w:p w14:paraId="50C8E651" w14:textId="77777777" w:rsidR="008615D3" w:rsidRPr="003B728C" w:rsidRDefault="008615D3" w:rsidP="003B728C">
      <w:pPr>
        <w:jc w:val="both"/>
        <w:rPr>
          <w:rFonts w:ascii="Arial" w:hAnsi="Arial" w:cs="Arial"/>
          <w:sz w:val="20"/>
          <w:szCs w:val="20"/>
          <w:lang w:val="en-AU"/>
        </w:rPr>
      </w:pPr>
    </w:p>
    <w:p w14:paraId="50C8E652" w14:textId="7083CE3E" w:rsidR="008615D3" w:rsidRPr="003B728C" w:rsidRDefault="00E76C4B" w:rsidP="003B728C">
      <w:pPr>
        <w:spacing w:after="120"/>
        <w:jc w:val="both"/>
        <w:rPr>
          <w:rFonts w:ascii="Arial" w:hAnsi="Arial" w:cs="Arial"/>
          <w:b/>
          <w:sz w:val="20"/>
          <w:szCs w:val="20"/>
          <w:lang w:val="en-AU"/>
        </w:rPr>
      </w:pPr>
      <w:r w:rsidRPr="003B728C">
        <w:rPr>
          <w:rFonts w:ascii="Arial" w:hAnsi="Arial" w:cs="Arial"/>
          <w:b/>
          <w:sz w:val="20"/>
          <w:szCs w:val="20"/>
          <w:lang w:val="en-AU"/>
        </w:rPr>
        <w:t>Section 3 – Revocation</w:t>
      </w:r>
    </w:p>
    <w:p w14:paraId="50C8E653" w14:textId="4226BB1F" w:rsidR="008615D3" w:rsidRPr="003B728C" w:rsidRDefault="00A87762" w:rsidP="003B728C">
      <w:pPr>
        <w:jc w:val="both"/>
        <w:rPr>
          <w:rFonts w:ascii="Arial" w:hAnsi="Arial" w:cs="Arial"/>
          <w:sz w:val="20"/>
          <w:szCs w:val="20"/>
          <w:lang w:val="en-AU"/>
        </w:rPr>
      </w:pPr>
      <w:r>
        <w:rPr>
          <w:rFonts w:ascii="Arial" w:hAnsi="Arial" w:cs="Arial"/>
          <w:sz w:val="20"/>
          <w:szCs w:val="20"/>
          <w:lang w:val="en-AU"/>
        </w:rPr>
        <w:t>Section 3 provides that the</w:t>
      </w:r>
      <w:r w:rsidR="00E76C4B" w:rsidRPr="003B728C">
        <w:rPr>
          <w:rFonts w:ascii="Arial" w:hAnsi="Arial" w:cs="Arial"/>
          <w:sz w:val="20"/>
          <w:szCs w:val="20"/>
          <w:lang w:val="en-AU"/>
        </w:rPr>
        <w:t xml:space="preserve"> </w:t>
      </w:r>
      <w:r w:rsidR="001623E6" w:rsidRPr="00836F81">
        <w:rPr>
          <w:rFonts w:ascii="Arial" w:hAnsi="Arial" w:cs="Arial"/>
          <w:bCs/>
          <w:i/>
          <w:sz w:val="20"/>
          <w:szCs w:val="20"/>
        </w:rPr>
        <w:t>Radiocommunications Advisory Guidelines (Managing Interference from Apparatus-licensed and Class-licensed Transmitters - 2 GHz Band) 20</w:t>
      </w:r>
      <w:r>
        <w:rPr>
          <w:rFonts w:ascii="Arial" w:hAnsi="Arial" w:cs="Arial"/>
          <w:bCs/>
          <w:i/>
          <w:sz w:val="20"/>
          <w:szCs w:val="20"/>
        </w:rPr>
        <w:t>1</w:t>
      </w:r>
      <w:r w:rsidR="00D2012A">
        <w:rPr>
          <w:rFonts w:ascii="Arial" w:hAnsi="Arial" w:cs="Arial"/>
          <w:bCs/>
          <w:i/>
          <w:sz w:val="20"/>
          <w:szCs w:val="20"/>
        </w:rPr>
        <w:t>5</w:t>
      </w:r>
      <w:r>
        <w:rPr>
          <w:rFonts w:ascii="Arial" w:hAnsi="Arial" w:cs="Arial"/>
          <w:bCs/>
          <w:sz w:val="20"/>
          <w:szCs w:val="20"/>
        </w:rPr>
        <w:t xml:space="preserve"> are revoked</w:t>
      </w:r>
      <w:r w:rsidR="00E76C4B" w:rsidRPr="003B728C">
        <w:rPr>
          <w:rFonts w:ascii="Arial" w:hAnsi="Arial" w:cs="Arial"/>
          <w:sz w:val="20"/>
          <w:szCs w:val="20"/>
          <w:lang w:val="en-AU"/>
        </w:rPr>
        <w:t>.</w:t>
      </w:r>
    </w:p>
    <w:p w14:paraId="50C8E654" w14:textId="77777777" w:rsidR="008615D3" w:rsidRPr="003B728C" w:rsidRDefault="008615D3" w:rsidP="003B728C">
      <w:pPr>
        <w:ind w:left="570" w:hanging="570"/>
        <w:jc w:val="both"/>
        <w:rPr>
          <w:rFonts w:ascii="Arial" w:hAnsi="Arial" w:cs="Arial"/>
          <w:sz w:val="20"/>
          <w:szCs w:val="20"/>
          <w:lang w:val="en-AU"/>
        </w:rPr>
      </w:pPr>
    </w:p>
    <w:p w14:paraId="50C8E655" w14:textId="4AE790A7" w:rsidR="008615D3" w:rsidRPr="003B728C" w:rsidRDefault="00E76C4B" w:rsidP="003B728C">
      <w:pPr>
        <w:keepNext/>
        <w:keepLines/>
        <w:spacing w:after="120"/>
        <w:jc w:val="both"/>
        <w:rPr>
          <w:rFonts w:ascii="Arial" w:hAnsi="Arial" w:cs="Arial"/>
          <w:b/>
          <w:i/>
          <w:sz w:val="20"/>
          <w:szCs w:val="20"/>
          <w:lang w:val="en-AU"/>
        </w:rPr>
      </w:pPr>
      <w:r w:rsidRPr="003B728C">
        <w:rPr>
          <w:rFonts w:ascii="Arial" w:hAnsi="Arial" w:cs="Arial"/>
          <w:b/>
          <w:sz w:val="20"/>
          <w:szCs w:val="20"/>
          <w:lang w:val="en-AU"/>
        </w:rPr>
        <w:t>Section 4 – Purpose</w:t>
      </w:r>
      <w:r w:rsidR="00837DAE">
        <w:rPr>
          <w:rFonts w:ascii="Arial" w:hAnsi="Arial" w:cs="Arial"/>
          <w:b/>
          <w:sz w:val="20"/>
          <w:szCs w:val="20"/>
          <w:lang w:val="en-AU"/>
        </w:rPr>
        <w:t xml:space="preserve"> of th</w:t>
      </w:r>
      <w:r w:rsidR="009947FE">
        <w:rPr>
          <w:rFonts w:ascii="Arial" w:hAnsi="Arial" w:cs="Arial"/>
          <w:b/>
          <w:sz w:val="20"/>
          <w:szCs w:val="20"/>
          <w:lang w:val="en-AU"/>
        </w:rPr>
        <w:t>e</w:t>
      </w:r>
      <w:r w:rsidR="00776037">
        <w:rPr>
          <w:rFonts w:ascii="Arial" w:hAnsi="Arial" w:cs="Arial"/>
          <w:b/>
          <w:sz w:val="20"/>
          <w:szCs w:val="20"/>
          <w:lang w:val="en-AU"/>
        </w:rPr>
        <w:t>se</w:t>
      </w:r>
      <w:r w:rsidR="00837DAE">
        <w:rPr>
          <w:rFonts w:ascii="Arial" w:hAnsi="Arial" w:cs="Arial"/>
          <w:b/>
          <w:sz w:val="20"/>
          <w:szCs w:val="20"/>
          <w:lang w:val="en-AU"/>
        </w:rPr>
        <w:t xml:space="preserve"> guidelines</w:t>
      </w:r>
      <w:r w:rsidRPr="003B728C">
        <w:rPr>
          <w:rFonts w:ascii="Arial" w:hAnsi="Arial" w:cs="Arial"/>
          <w:b/>
          <w:sz w:val="20"/>
          <w:szCs w:val="20"/>
          <w:lang w:val="en-AU"/>
        </w:rPr>
        <w:t xml:space="preserve"> </w:t>
      </w:r>
    </w:p>
    <w:p w14:paraId="50C8E656" w14:textId="13D1397C" w:rsidR="008615D3" w:rsidRDefault="00A87762" w:rsidP="003B728C">
      <w:pPr>
        <w:jc w:val="both"/>
        <w:rPr>
          <w:rFonts w:ascii="Arial" w:hAnsi="Arial" w:cs="Arial"/>
          <w:color w:val="000000"/>
          <w:sz w:val="20"/>
          <w:szCs w:val="20"/>
          <w:lang w:val="en-AU"/>
        </w:rPr>
      </w:pPr>
      <w:r>
        <w:rPr>
          <w:rFonts w:ascii="Arial" w:hAnsi="Arial" w:cs="Arial"/>
          <w:color w:val="000000"/>
          <w:sz w:val="20"/>
          <w:szCs w:val="20"/>
          <w:lang w:val="en-AU"/>
        </w:rPr>
        <w:t>S</w:t>
      </w:r>
      <w:r w:rsidR="00E76C4B" w:rsidRPr="003B728C">
        <w:rPr>
          <w:rFonts w:ascii="Arial" w:hAnsi="Arial" w:cs="Arial"/>
          <w:color w:val="000000"/>
          <w:sz w:val="20"/>
          <w:szCs w:val="20"/>
          <w:lang w:val="en-AU"/>
        </w:rPr>
        <w:t>ection</w:t>
      </w:r>
      <w:r>
        <w:rPr>
          <w:rFonts w:ascii="Arial" w:hAnsi="Arial" w:cs="Arial"/>
          <w:color w:val="000000"/>
          <w:sz w:val="20"/>
          <w:szCs w:val="20"/>
          <w:lang w:val="en-AU"/>
        </w:rPr>
        <w:t xml:space="preserve"> 4</w:t>
      </w:r>
      <w:r w:rsidR="00E76C4B" w:rsidRPr="003B728C">
        <w:rPr>
          <w:rFonts w:ascii="Arial" w:hAnsi="Arial" w:cs="Arial"/>
          <w:color w:val="000000"/>
          <w:sz w:val="20"/>
          <w:szCs w:val="20"/>
          <w:lang w:val="en-AU"/>
        </w:rPr>
        <w:t xml:space="preserve"> </w:t>
      </w:r>
      <w:r>
        <w:rPr>
          <w:rFonts w:ascii="Arial" w:hAnsi="Arial" w:cs="Arial"/>
          <w:color w:val="000000"/>
          <w:sz w:val="20"/>
          <w:szCs w:val="20"/>
          <w:lang w:val="en-AU"/>
        </w:rPr>
        <w:t>provides</w:t>
      </w:r>
      <w:r w:rsidR="00E76C4B" w:rsidRPr="003B728C">
        <w:rPr>
          <w:rFonts w:ascii="Arial" w:hAnsi="Arial" w:cs="Arial"/>
          <w:color w:val="000000"/>
          <w:sz w:val="20"/>
          <w:szCs w:val="20"/>
          <w:lang w:val="en-AU"/>
        </w:rPr>
        <w:t xml:space="preserve"> that the purpose of the Advisory Guidelines is to </w:t>
      </w:r>
      <w:r w:rsidR="00E76C4B" w:rsidRPr="003B728C">
        <w:rPr>
          <w:rFonts w:ascii="Arial" w:hAnsi="Arial" w:cs="Arial"/>
          <w:sz w:val="20"/>
          <w:szCs w:val="20"/>
          <w:lang w:val="en-AU"/>
        </w:rPr>
        <w:t>manage</w:t>
      </w:r>
      <w:r w:rsidR="00E76C4B" w:rsidRPr="003B728C">
        <w:rPr>
          <w:rFonts w:ascii="Arial" w:hAnsi="Arial" w:cs="Arial"/>
          <w:color w:val="000000"/>
          <w:sz w:val="20"/>
          <w:szCs w:val="20"/>
          <w:lang w:val="en-AU"/>
        </w:rPr>
        <w:t xml:space="preserve"> interference to radiocommunications receivers operating under another licence that is </w:t>
      </w:r>
      <w:r w:rsidR="007C319D">
        <w:rPr>
          <w:rFonts w:ascii="Arial" w:hAnsi="Arial" w:cs="Arial"/>
          <w:color w:val="000000"/>
          <w:sz w:val="20"/>
          <w:szCs w:val="20"/>
          <w:lang w:val="en-AU"/>
        </w:rPr>
        <w:t xml:space="preserve">in or </w:t>
      </w:r>
      <w:r w:rsidR="00E76C4B" w:rsidRPr="003B728C">
        <w:rPr>
          <w:rFonts w:ascii="Arial" w:hAnsi="Arial" w:cs="Arial"/>
          <w:color w:val="000000"/>
          <w:sz w:val="20"/>
          <w:szCs w:val="20"/>
          <w:lang w:val="en-AU"/>
        </w:rPr>
        <w:t xml:space="preserve">adjacent to </w:t>
      </w:r>
      <w:r w:rsidR="00672169">
        <w:rPr>
          <w:rFonts w:ascii="Arial" w:hAnsi="Arial" w:cs="Arial"/>
          <w:color w:val="000000"/>
          <w:sz w:val="20"/>
          <w:szCs w:val="20"/>
          <w:lang w:val="en-AU"/>
        </w:rPr>
        <w:t>the</w:t>
      </w:r>
      <w:r w:rsidR="00E76C4B" w:rsidRPr="003B728C">
        <w:rPr>
          <w:rFonts w:ascii="Arial" w:hAnsi="Arial" w:cs="Arial"/>
          <w:color w:val="000000"/>
          <w:sz w:val="20"/>
          <w:szCs w:val="20"/>
          <w:lang w:val="en-AU"/>
        </w:rPr>
        <w:t xml:space="preserve"> </w:t>
      </w:r>
      <w:r w:rsidR="006302E9">
        <w:rPr>
          <w:rFonts w:ascii="Arial" w:hAnsi="Arial" w:cs="Arial"/>
          <w:color w:val="000000"/>
          <w:sz w:val="20"/>
          <w:szCs w:val="20"/>
          <w:lang w:val="en-AU"/>
        </w:rPr>
        <w:t>2</w:t>
      </w:r>
      <w:r w:rsidR="00E76C4B" w:rsidRPr="003B728C">
        <w:rPr>
          <w:rFonts w:ascii="Arial" w:hAnsi="Arial" w:cs="Arial"/>
          <w:color w:val="000000"/>
          <w:sz w:val="20"/>
          <w:szCs w:val="20"/>
          <w:lang w:val="en-AU"/>
        </w:rPr>
        <w:t xml:space="preserve"> GHz band. </w:t>
      </w:r>
      <w:r w:rsidR="00437F03">
        <w:rPr>
          <w:rFonts w:ascii="Arial" w:hAnsi="Arial" w:cs="Arial"/>
          <w:color w:val="000000"/>
          <w:sz w:val="20"/>
          <w:szCs w:val="20"/>
          <w:lang w:val="en-AU"/>
        </w:rPr>
        <w:t>T</w:t>
      </w:r>
      <w:r w:rsidR="00E76C4B" w:rsidRPr="003B728C">
        <w:rPr>
          <w:rFonts w:ascii="Arial" w:hAnsi="Arial" w:cs="Arial"/>
          <w:color w:val="000000"/>
          <w:sz w:val="20"/>
          <w:szCs w:val="20"/>
          <w:lang w:val="en-AU"/>
        </w:rPr>
        <w:t xml:space="preserve">he Advisory Guidelines should </w:t>
      </w:r>
      <w:r>
        <w:rPr>
          <w:rFonts w:ascii="Arial" w:hAnsi="Arial" w:cs="Arial"/>
          <w:color w:val="000000"/>
          <w:sz w:val="20"/>
          <w:szCs w:val="20"/>
          <w:lang w:val="en-AU"/>
        </w:rPr>
        <w:t xml:space="preserve">also </w:t>
      </w:r>
      <w:r w:rsidR="00E76C4B" w:rsidRPr="003B728C">
        <w:rPr>
          <w:rFonts w:ascii="Arial" w:hAnsi="Arial" w:cs="Arial"/>
          <w:color w:val="000000"/>
          <w:sz w:val="20"/>
          <w:szCs w:val="20"/>
          <w:lang w:val="en-AU"/>
        </w:rPr>
        <w:t xml:space="preserve">be referred to in the planning of services in the </w:t>
      </w:r>
      <w:r w:rsidR="006302E9">
        <w:rPr>
          <w:rFonts w:ascii="Arial" w:hAnsi="Arial" w:cs="Arial"/>
          <w:color w:val="000000"/>
          <w:sz w:val="20"/>
          <w:szCs w:val="20"/>
          <w:lang w:val="en-AU"/>
        </w:rPr>
        <w:t>2</w:t>
      </w:r>
      <w:r w:rsidR="00E76C4B" w:rsidRPr="003B728C">
        <w:rPr>
          <w:rFonts w:ascii="Arial" w:hAnsi="Arial" w:cs="Arial"/>
          <w:color w:val="000000"/>
          <w:sz w:val="20"/>
          <w:szCs w:val="20"/>
          <w:lang w:val="en-AU"/>
        </w:rPr>
        <w:t xml:space="preserve"> GHz band as well as in the settling of any interference dispute that may arise between spectrum licensees and any licensees in adjacent licence areas and bands.</w:t>
      </w:r>
    </w:p>
    <w:p w14:paraId="270EFCCC" w14:textId="77777777" w:rsidR="00BA6FFA" w:rsidRDefault="00BA6FFA" w:rsidP="003B728C">
      <w:pPr>
        <w:jc w:val="both"/>
        <w:rPr>
          <w:rFonts w:ascii="Arial" w:hAnsi="Arial" w:cs="Arial"/>
          <w:color w:val="000000"/>
          <w:sz w:val="20"/>
          <w:szCs w:val="20"/>
          <w:lang w:val="en-AU"/>
        </w:rPr>
      </w:pPr>
    </w:p>
    <w:p w14:paraId="6F6ECD54" w14:textId="2BA4E005" w:rsidR="00BA6FFA" w:rsidRPr="00341FD9" w:rsidRDefault="0050282C" w:rsidP="00BA6FFA">
      <w:pPr>
        <w:jc w:val="both"/>
        <w:rPr>
          <w:rFonts w:ascii="Arial" w:hAnsi="Arial" w:cs="Arial"/>
          <w:sz w:val="20"/>
          <w:szCs w:val="20"/>
          <w:lang w:val="en-AU"/>
        </w:rPr>
      </w:pPr>
      <w:r>
        <w:rPr>
          <w:rFonts w:ascii="Arial" w:hAnsi="Arial" w:cs="Arial"/>
          <w:sz w:val="20"/>
          <w:szCs w:val="20"/>
          <w:lang w:val="en-AU"/>
        </w:rPr>
        <w:t>S</w:t>
      </w:r>
      <w:r w:rsidR="00BA6FFA" w:rsidRPr="00FF7AB9">
        <w:rPr>
          <w:rFonts w:ascii="Arial" w:hAnsi="Arial" w:cs="Arial"/>
          <w:sz w:val="20"/>
          <w:szCs w:val="20"/>
          <w:lang w:val="en-AU"/>
        </w:rPr>
        <w:t>ection</w:t>
      </w:r>
      <w:r>
        <w:rPr>
          <w:rFonts w:ascii="Arial" w:hAnsi="Arial" w:cs="Arial"/>
          <w:sz w:val="20"/>
          <w:szCs w:val="20"/>
          <w:lang w:val="en-AU"/>
        </w:rPr>
        <w:t xml:space="preserve"> 4</w:t>
      </w:r>
      <w:r w:rsidR="00BA6FFA" w:rsidRPr="00FF7AB9">
        <w:rPr>
          <w:rFonts w:ascii="Arial" w:hAnsi="Arial" w:cs="Arial"/>
          <w:sz w:val="20"/>
          <w:szCs w:val="20"/>
          <w:lang w:val="en-AU"/>
        </w:rPr>
        <w:t xml:space="preserve"> also </w:t>
      </w:r>
      <w:r w:rsidR="007C319D">
        <w:rPr>
          <w:rFonts w:ascii="Arial" w:hAnsi="Arial" w:cs="Arial"/>
          <w:sz w:val="20"/>
          <w:szCs w:val="20"/>
          <w:lang w:val="en-AU"/>
        </w:rPr>
        <w:t>notes</w:t>
      </w:r>
      <w:r w:rsidR="007C319D" w:rsidRPr="00FF7AB9">
        <w:rPr>
          <w:rFonts w:ascii="Arial" w:hAnsi="Arial" w:cs="Arial"/>
          <w:sz w:val="20"/>
          <w:szCs w:val="20"/>
          <w:lang w:val="en-AU"/>
        </w:rPr>
        <w:t xml:space="preserve"> </w:t>
      </w:r>
      <w:r w:rsidR="00BA6FFA" w:rsidRPr="00FF7AB9">
        <w:rPr>
          <w:rFonts w:ascii="Arial" w:hAnsi="Arial" w:cs="Arial"/>
          <w:sz w:val="20"/>
          <w:szCs w:val="20"/>
          <w:lang w:val="en-AU"/>
        </w:rPr>
        <w:t>that</w:t>
      </w:r>
      <w:r w:rsidR="00BA6FFA">
        <w:rPr>
          <w:rFonts w:ascii="Arial" w:hAnsi="Arial" w:cs="Arial"/>
          <w:sz w:val="20"/>
          <w:szCs w:val="20"/>
          <w:lang w:val="en-AU"/>
        </w:rPr>
        <w:t xml:space="preserve"> </w:t>
      </w:r>
      <w:r w:rsidR="00BA6FFA" w:rsidRPr="00341FD9">
        <w:rPr>
          <w:rFonts w:ascii="Arial" w:hAnsi="Arial" w:cs="Arial"/>
          <w:sz w:val="20"/>
          <w:szCs w:val="20"/>
          <w:lang w:val="en-AU"/>
        </w:rPr>
        <w:t>affected licensees are free to negotiate and come to agreement on alternative measures</w:t>
      </w:r>
      <w:r w:rsidR="00BA6FFA">
        <w:rPr>
          <w:rFonts w:ascii="Arial" w:hAnsi="Arial" w:cs="Arial"/>
          <w:sz w:val="20"/>
          <w:szCs w:val="20"/>
          <w:lang w:val="en-AU"/>
        </w:rPr>
        <w:t xml:space="preserve"> to manage interference</w:t>
      </w:r>
      <w:r w:rsidR="00BA6FFA" w:rsidRPr="00341FD9">
        <w:rPr>
          <w:rFonts w:ascii="Arial" w:hAnsi="Arial" w:cs="Arial"/>
          <w:sz w:val="20"/>
          <w:szCs w:val="20"/>
          <w:lang w:val="en-AU"/>
        </w:rPr>
        <w:t>.</w:t>
      </w:r>
    </w:p>
    <w:p w14:paraId="50C8E657" w14:textId="77777777" w:rsidR="008615D3" w:rsidRPr="003B728C" w:rsidRDefault="008615D3" w:rsidP="003B728C">
      <w:pPr>
        <w:jc w:val="both"/>
        <w:rPr>
          <w:rFonts w:ascii="Arial" w:hAnsi="Arial" w:cs="Arial"/>
          <w:color w:val="000000"/>
          <w:sz w:val="20"/>
          <w:szCs w:val="20"/>
          <w:lang w:val="en-AU"/>
        </w:rPr>
      </w:pPr>
    </w:p>
    <w:p w14:paraId="50C8E658" w14:textId="1A406C5A" w:rsidR="008615D3" w:rsidRPr="003B728C" w:rsidRDefault="00E76C4B" w:rsidP="003B728C">
      <w:pPr>
        <w:keepNext/>
        <w:keepLines/>
        <w:spacing w:after="120"/>
        <w:jc w:val="both"/>
        <w:rPr>
          <w:rFonts w:ascii="Arial" w:hAnsi="Arial" w:cs="Arial"/>
          <w:b/>
          <w:i/>
          <w:sz w:val="20"/>
          <w:szCs w:val="20"/>
          <w:lang w:val="en-AU"/>
        </w:rPr>
      </w:pPr>
      <w:r w:rsidRPr="003B728C">
        <w:rPr>
          <w:rFonts w:ascii="Arial" w:hAnsi="Arial" w:cs="Arial"/>
          <w:b/>
          <w:sz w:val="20"/>
          <w:szCs w:val="20"/>
          <w:lang w:val="en-AU"/>
        </w:rPr>
        <w:t>Section 5 – Interpretation</w:t>
      </w:r>
    </w:p>
    <w:p w14:paraId="50C8E659" w14:textId="75EA629F" w:rsidR="008615D3" w:rsidRPr="003B728C" w:rsidRDefault="00A87762" w:rsidP="003B728C">
      <w:pPr>
        <w:keepNext/>
        <w:keepLines/>
        <w:jc w:val="both"/>
        <w:rPr>
          <w:rFonts w:ascii="Arial" w:hAnsi="Arial" w:cs="Arial"/>
          <w:sz w:val="20"/>
          <w:szCs w:val="20"/>
          <w:lang w:val="en-AU"/>
        </w:rPr>
      </w:pPr>
      <w:r>
        <w:rPr>
          <w:rFonts w:ascii="Arial" w:hAnsi="Arial" w:cs="Arial"/>
          <w:sz w:val="20"/>
          <w:szCs w:val="20"/>
          <w:lang w:val="en-AU"/>
        </w:rPr>
        <w:t>S</w:t>
      </w:r>
      <w:r w:rsidR="00E76C4B" w:rsidRPr="003B728C">
        <w:rPr>
          <w:rFonts w:ascii="Arial" w:hAnsi="Arial" w:cs="Arial"/>
          <w:sz w:val="20"/>
          <w:szCs w:val="20"/>
          <w:lang w:val="en-AU"/>
        </w:rPr>
        <w:t>ection</w:t>
      </w:r>
      <w:r>
        <w:rPr>
          <w:rFonts w:ascii="Arial" w:hAnsi="Arial" w:cs="Arial"/>
          <w:sz w:val="20"/>
          <w:szCs w:val="20"/>
          <w:lang w:val="en-AU"/>
        </w:rPr>
        <w:t xml:space="preserve"> 5 provides definitions for the</w:t>
      </w:r>
      <w:r w:rsidR="00E76C4B" w:rsidRPr="003B728C">
        <w:rPr>
          <w:rFonts w:ascii="Arial" w:hAnsi="Arial" w:cs="Arial"/>
          <w:sz w:val="20"/>
          <w:szCs w:val="20"/>
          <w:lang w:val="en-AU"/>
        </w:rPr>
        <w:t xml:space="preserve"> terms used in the Advisory Guidelines</w:t>
      </w:r>
      <w:r w:rsidR="0050282C">
        <w:rPr>
          <w:rFonts w:ascii="Arial" w:hAnsi="Arial" w:cs="Arial"/>
          <w:sz w:val="20"/>
          <w:szCs w:val="20"/>
          <w:lang w:val="en-AU"/>
        </w:rPr>
        <w:t>. It also states</w:t>
      </w:r>
      <w:r w:rsidR="00421481">
        <w:rPr>
          <w:rFonts w:ascii="Arial" w:hAnsi="Arial" w:cs="Arial"/>
          <w:sz w:val="20"/>
          <w:szCs w:val="20"/>
          <w:lang w:val="en-AU"/>
        </w:rPr>
        <w:t xml:space="preserve"> that</w:t>
      </w:r>
      <w:r w:rsidR="00E76C4B" w:rsidRPr="003B728C">
        <w:rPr>
          <w:rFonts w:ascii="Arial" w:hAnsi="Arial" w:cs="Arial"/>
          <w:sz w:val="20"/>
          <w:szCs w:val="20"/>
          <w:lang w:val="en-AU"/>
        </w:rPr>
        <w:t xml:space="preserve"> </w:t>
      </w:r>
      <w:r w:rsidR="00421481">
        <w:rPr>
          <w:rFonts w:ascii="Arial" w:hAnsi="Arial" w:cs="Arial"/>
          <w:sz w:val="20"/>
          <w:szCs w:val="20"/>
          <w:lang w:val="en-AU"/>
        </w:rPr>
        <w:t>u</w:t>
      </w:r>
      <w:r w:rsidR="00E76C4B" w:rsidRPr="003B728C">
        <w:rPr>
          <w:rFonts w:ascii="Arial" w:hAnsi="Arial" w:cs="Arial"/>
          <w:sz w:val="20"/>
          <w:szCs w:val="20"/>
          <w:lang w:val="en-AU"/>
        </w:rPr>
        <w:t xml:space="preserve">nless the contrary </w:t>
      </w:r>
      <w:r w:rsidR="00253BEB">
        <w:rPr>
          <w:rFonts w:ascii="Arial" w:hAnsi="Arial" w:cs="Arial"/>
          <w:sz w:val="20"/>
          <w:szCs w:val="20"/>
          <w:lang w:val="en-AU"/>
        </w:rPr>
        <w:t xml:space="preserve">intention </w:t>
      </w:r>
      <w:r w:rsidR="00E76C4B" w:rsidRPr="003B728C">
        <w:rPr>
          <w:rFonts w:ascii="Arial" w:hAnsi="Arial" w:cs="Arial"/>
          <w:sz w:val="20"/>
          <w:szCs w:val="20"/>
          <w:lang w:val="en-AU"/>
        </w:rPr>
        <w:t xml:space="preserve">appears, terms used </w:t>
      </w:r>
      <w:r w:rsidR="00437F03">
        <w:rPr>
          <w:rFonts w:ascii="Arial" w:hAnsi="Arial" w:cs="Arial"/>
          <w:sz w:val="20"/>
          <w:szCs w:val="20"/>
          <w:lang w:val="en-AU"/>
        </w:rPr>
        <w:t xml:space="preserve">in the </w:t>
      </w:r>
      <w:r w:rsidR="00421481">
        <w:rPr>
          <w:rFonts w:ascii="Arial" w:hAnsi="Arial" w:cs="Arial"/>
          <w:sz w:val="20"/>
          <w:szCs w:val="20"/>
          <w:lang w:val="en-AU"/>
        </w:rPr>
        <w:t>Advisory G</w:t>
      </w:r>
      <w:r w:rsidR="00437F03">
        <w:rPr>
          <w:rFonts w:ascii="Arial" w:hAnsi="Arial" w:cs="Arial"/>
          <w:sz w:val="20"/>
          <w:szCs w:val="20"/>
          <w:lang w:val="en-AU"/>
        </w:rPr>
        <w:t xml:space="preserve">uidelines that are defined in the </w:t>
      </w:r>
      <w:r w:rsidR="00E76C4B" w:rsidRPr="003B728C">
        <w:rPr>
          <w:rFonts w:ascii="Arial" w:hAnsi="Arial" w:cs="Arial"/>
          <w:i/>
          <w:sz w:val="20"/>
          <w:szCs w:val="20"/>
          <w:lang w:val="en-AU"/>
        </w:rPr>
        <w:t xml:space="preserve">Radiocommunications (Unacceptable Levels of Interference – </w:t>
      </w:r>
      <w:r w:rsidR="006302E9">
        <w:rPr>
          <w:rFonts w:ascii="Arial" w:hAnsi="Arial" w:cs="Arial"/>
          <w:i/>
          <w:sz w:val="20"/>
          <w:szCs w:val="20"/>
          <w:lang w:val="en-AU"/>
        </w:rPr>
        <w:t>2</w:t>
      </w:r>
      <w:r w:rsidR="00E76C4B" w:rsidRPr="003B728C">
        <w:rPr>
          <w:rFonts w:ascii="Arial" w:hAnsi="Arial" w:cs="Arial"/>
          <w:i/>
          <w:sz w:val="20"/>
          <w:szCs w:val="20"/>
          <w:lang w:val="en-AU"/>
        </w:rPr>
        <w:t xml:space="preserve"> GHz Band) Determination 201</w:t>
      </w:r>
      <w:r w:rsidR="006302E9">
        <w:rPr>
          <w:rFonts w:ascii="Arial" w:hAnsi="Arial" w:cs="Arial"/>
          <w:i/>
          <w:sz w:val="20"/>
          <w:szCs w:val="20"/>
          <w:lang w:val="en-AU"/>
        </w:rPr>
        <w:t>6</w:t>
      </w:r>
      <w:r w:rsidR="008A4FBE">
        <w:rPr>
          <w:rFonts w:ascii="Arial" w:hAnsi="Arial" w:cs="Arial"/>
          <w:sz w:val="20"/>
          <w:szCs w:val="20"/>
          <w:lang w:val="en-AU"/>
        </w:rPr>
        <w:t>,</w:t>
      </w:r>
      <w:r w:rsidR="00E76C4B" w:rsidRPr="003B728C">
        <w:rPr>
          <w:rFonts w:ascii="Arial" w:hAnsi="Arial" w:cs="Arial"/>
          <w:sz w:val="20"/>
          <w:szCs w:val="20"/>
          <w:lang w:val="en-AU"/>
        </w:rPr>
        <w:t xml:space="preserve"> the </w:t>
      </w:r>
      <w:r w:rsidR="00E76C4B" w:rsidRPr="003B728C">
        <w:rPr>
          <w:rFonts w:ascii="Arial" w:hAnsi="Arial" w:cs="Arial"/>
          <w:i/>
          <w:sz w:val="20"/>
          <w:szCs w:val="20"/>
        </w:rPr>
        <w:t>Radiocommunications (In</w:t>
      </w:r>
      <w:r w:rsidR="007C7155">
        <w:rPr>
          <w:rFonts w:ascii="Arial" w:hAnsi="Arial" w:cs="Arial"/>
          <w:i/>
          <w:sz w:val="20"/>
          <w:szCs w:val="20"/>
        </w:rPr>
        <w:t>terpretation) Determination 2015</w:t>
      </w:r>
      <w:r w:rsidR="00E76C4B" w:rsidRPr="003B728C">
        <w:rPr>
          <w:rFonts w:ascii="Arial" w:hAnsi="Arial" w:cs="Arial"/>
          <w:i/>
          <w:sz w:val="20"/>
          <w:szCs w:val="20"/>
        </w:rPr>
        <w:t xml:space="preserve"> </w:t>
      </w:r>
      <w:r w:rsidR="00437F03">
        <w:rPr>
          <w:rFonts w:ascii="Arial" w:hAnsi="Arial" w:cs="Arial"/>
          <w:sz w:val="20"/>
          <w:szCs w:val="20"/>
          <w:lang w:val="en-AU"/>
        </w:rPr>
        <w:t>or</w:t>
      </w:r>
      <w:r w:rsidR="00E76C4B" w:rsidRPr="003B728C">
        <w:rPr>
          <w:rFonts w:ascii="Arial" w:hAnsi="Arial" w:cs="Arial"/>
          <w:sz w:val="20"/>
          <w:szCs w:val="20"/>
          <w:lang w:val="en-AU"/>
        </w:rPr>
        <w:t xml:space="preserve"> the Act</w:t>
      </w:r>
      <w:r w:rsidR="00437F03" w:rsidRPr="00437F03">
        <w:rPr>
          <w:rFonts w:ascii="Arial" w:hAnsi="Arial" w:cs="Arial"/>
          <w:sz w:val="20"/>
          <w:szCs w:val="20"/>
          <w:lang w:val="en-AU"/>
        </w:rPr>
        <w:t xml:space="preserve"> </w:t>
      </w:r>
      <w:r w:rsidR="00437F03">
        <w:rPr>
          <w:rFonts w:ascii="Arial" w:hAnsi="Arial" w:cs="Arial"/>
          <w:sz w:val="20"/>
          <w:szCs w:val="20"/>
          <w:lang w:val="en-AU"/>
        </w:rPr>
        <w:t>have the same meaning as in those instruments</w:t>
      </w:r>
      <w:r w:rsidR="00E76C4B" w:rsidRPr="003B728C">
        <w:rPr>
          <w:rFonts w:ascii="Arial" w:hAnsi="Arial" w:cs="Arial"/>
          <w:sz w:val="20"/>
          <w:szCs w:val="20"/>
          <w:lang w:val="en-AU"/>
        </w:rPr>
        <w:t xml:space="preserve">. </w:t>
      </w:r>
    </w:p>
    <w:p w14:paraId="50C8E65A" w14:textId="77777777" w:rsidR="008615D3" w:rsidRPr="003B728C" w:rsidRDefault="008615D3" w:rsidP="003B728C">
      <w:pPr>
        <w:jc w:val="both"/>
        <w:rPr>
          <w:rFonts w:ascii="Arial" w:hAnsi="Arial" w:cs="Arial"/>
          <w:sz w:val="20"/>
          <w:szCs w:val="20"/>
          <w:lang w:val="en-AU"/>
        </w:rPr>
      </w:pPr>
    </w:p>
    <w:p w14:paraId="50C8E65B" w14:textId="0D7BA713" w:rsidR="008615D3" w:rsidRPr="003B728C" w:rsidRDefault="001623E6" w:rsidP="003B728C">
      <w:pPr>
        <w:keepNext/>
        <w:keepLines/>
        <w:spacing w:after="120"/>
        <w:ind w:left="570" w:hanging="570"/>
        <w:jc w:val="both"/>
        <w:rPr>
          <w:rFonts w:ascii="Arial" w:hAnsi="Arial" w:cs="Arial"/>
          <w:b/>
          <w:sz w:val="20"/>
          <w:szCs w:val="20"/>
          <w:lang w:val="en-AU"/>
        </w:rPr>
      </w:pPr>
      <w:r>
        <w:rPr>
          <w:rFonts w:ascii="Arial" w:hAnsi="Arial" w:cs="Arial"/>
          <w:b/>
          <w:sz w:val="20"/>
          <w:szCs w:val="20"/>
          <w:lang w:val="en-AU"/>
        </w:rPr>
        <w:t>Part 1</w:t>
      </w:r>
      <w:r w:rsidR="00E76C4B" w:rsidRPr="003B728C">
        <w:rPr>
          <w:rFonts w:ascii="Arial" w:hAnsi="Arial" w:cs="Arial"/>
          <w:b/>
          <w:sz w:val="20"/>
          <w:szCs w:val="20"/>
          <w:lang w:val="en-AU"/>
        </w:rPr>
        <w:t xml:space="preserve"> </w:t>
      </w:r>
      <w:r w:rsidR="0050282C">
        <w:rPr>
          <w:rFonts w:ascii="Arial" w:hAnsi="Arial" w:cs="Arial"/>
          <w:b/>
          <w:sz w:val="20"/>
          <w:szCs w:val="20"/>
          <w:lang w:val="en-AU"/>
        </w:rPr>
        <w:t xml:space="preserve">– </w:t>
      </w:r>
      <w:r w:rsidR="00E76C4B" w:rsidRPr="003B728C">
        <w:rPr>
          <w:rFonts w:ascii="Arial" w:hAnsi="Arial" w:cs="Arial"/>
          <w:b/>
          <w:sz w:val="20"/>
          <w:szCs w:val="20"/>
          <w:lang w:val="en-AU"/>
        </w:rPr>
        <w:t>Background</w:t>
      </w:r>
    </w:p>
    <w:p w14:paraId="50C8E65C" w14:textId="6F32ED11" w:rsidR="008615D3" w:rsidRPr="003B728C" w:rsidRDefault="00E76C4B" w:rsidP="003B728C">
      <w:pPr>
        <w:jc w:val="both"/>
        <w:rPr>
          <w:rFonts w:ascii="Arial" w:hAnsi="Arial" w:cs="Arial"/>
          <w:color w:val="000000"/>
          <w:sz w:val="20"/>
          <w:szCs w:val="20"/>
          <w:lang w:val="en-AU"/>
        </w:rPr>
      </w:pPr>
      <w:r w:rsidRPr="003B728C">
        <w:rPr>
          <w:rFonts w:ascii="Arial" w:hAnsi="Arial" w:cs="Arial"/>
          <w:color w:val="000000"/>
          <w:sz w:val="20"/>
          <w:szCs w:val="20"/>
          <w:lang w:val="en-AU"/>
        </w:rPr>
        <w:t>Part</w:t>
      </w:r>
      <w:r w:rsidR="00421481">
        <w:rPr>
          <w:rFonts w:ascii="Arial" w:hAnsi="Arial" w:cs="Arial"/>
          <w:color w:val="000000"/>
          <w:sz w:val="20"/>
          <w:szCs w:val="20"/>
          <w:lang w:val="en-AU"/>
        </w:rPr>
        <w:t xml:space="preserve"> 1</w:t>
      </w:r>
      <w:r w:rsidRPr="003B728C">
        <w:rPr>
          <w:rFonts w:ascii="Arial" w:hAnsi="Arial" w:cs="Arial"/>
          <w:color w:val="000000"/>
          <w:sz w:val="20"/>
          <w:szCs w:val="20"/>
          <w:lang w:val="en-AU"/>
        </w:rPr>
        <w:t xml:space="preserve"> provides background information about the </w:t>
      </w:r>
      <w:r w:rsidR="006302E9">
        <w:rPr>
          <w:rFonts w:ascii="Arial" w:hAnsi="Arial" w:cs="Arial"/>
          <w:color w:val="000000"/>
          <w:sz w:val="20"/>
          <w:szCs w:val="20"/>
          <w:lang w:val="en-AU"/>
        </w:rPr>
        <w:t>2</w:t>
      </w:r>
      <w:r w:rsidRPr="003B728C">
        <w:rPr>
          <w:rFonts w:ascii="Arial" w:hAnsi="Arial" w:cs="Arial"/>
          <w:color w:val="000000"/>
          <w:sz w:val="20"/>
          <w:szCs w:val="20"/>
          <w:lang w:val="en-AU"/>
        </w:rPr>
        <w:t xml:space="preserve"> GHz </w:t>
      </w:r>
      <w:r w:rsidR="0050282C">
        <w:rPr>
          <w:rFonts w:ascii="Arial" w:hAnsi="Arial" w:cs="Arial"/>
          <w:color w:val="000000"/>
          <w:sz w:val="20"/>
          <w:szCs w:val="20"/>
          <w:lang w:val="en-AU"/>
        </w:rPr>
        <w:t xml:space="preserve">band and </w:t>
      </w:r>
      <w:r w:rsidRPr="003B728C">
        <w:rPr>
          <w:rFonts w:ascii="Arial" w:hAnsi="Arial" w:cs="Arial"/>
          <w:color w:val="000000"/>
          <w:sz w:val="20"/>
          <w:szCs w:val="20"/>
          <w:lang w:val="en-AU"/>
        </w:rPr>
        <w:t>spectrum licen</w:t>
      </w:r>
      <w:r w:rsidR="0050282C">
        <w:rPr>
          <w:rFonts w:ascii="Arial" w:hAnsi="Arial" w:cs="Arial"/>
          <w:color w:val="000000"/>
          <w:sz w:val="20"/>
          <w:szCs w:val="20"/>
          <w:lang w:val="en-AU"/>
        </w:rPr>
        <w:t>sing</w:t>
      </w:r>
      <w:r w:rsidRPr="003B728C">
        <w:rPr>
          <w:rFonts w:ascii="Arial" w:hAnsi="Arial" w:cs="Arial"/>
          <w:color w:val="000000"/>
          <w:sz w:val="20"/>
          <w:szCs w:val="20"/>
          <w:lang w:val="en-AU"/>
        </w:rPr>
        <w:t>. A radiocommunications transmitter operating under a spectrum licence may cause interference by way of unwante</w:t>
      </w:r>
      <w:r w:rsidR="001623E6">
        <w:rPr>
          <w:rFonts w:ascii="Arial" w:hAnsi="Arial" w:cs="Arial"/>
          <w:color w:val="000000"/>
          <w:sz w:val="20"/>
          <w:szCs w:val="20"/>
          <w:lang w:val="en-AU"/>
        </w:rPr>
        <w:t>d emissions and blocking. Part 1</w:t>
      </w:r>
      <w:r w:rsidRPr="003B728C">
        <w:rPr>
          <w:rFonts w:ascii="Arial" w:hAnsi="Arial" w:cs="Arial"/>
          <w:color w:val="000000"/>
          <w:sz w:val="20"/>
          <w:szCs w:val="20"/>
          <w:lang w:val="en-AU"/>
        </w:rPr>
        <w:t xml:space="preserve"> </w:t>
      </w:r>
      <w:r w:rsidR="007C7155">
        <w:rPr>
          <w:rFonts w:ascii="Arial" w:hAnsi="Arial" w:cs="Arial"/>
          <w:color w:val="000000"/>
          <w:sz w:val="20"/>
          <w:szCs w:val="20"/>
          <w:lang w:val="en-AU"/>
        </w:rPr>
        <w:t xml:space="preserve">outlines what Parts </w:t>
      </w:r>
      <w:r w:rsidR="00253BEB">
        <w:rPr>
          <w:rFonts w:ascii="Arial" w:hAnsi="Arial" w:cs="Arial"/>
          <w:color w:val="000000"/>
          <w:sz w:val="20"/>
          <w:szCs w:val="20"/>
          <w:lang w:val="en-AU"/>
        </w:rPr>
        <w:t>2</w:t>
      </w:r>
      <w:r w:rsidR="00906633">
        <w:rPr>
          <w:rFonts w:ascii="Arial" w:hAnsi="Arial" w:cs="Arial"/>
          <w:color w:val="000000"/>
          <w:sz w:val="20"/>
          <w:szCs w:val="20"/>
          <w:lang w:val="en-AU"/>
        </w:rPr>
        <w:t>-</w:t>
      </w:r>
      <w:r w:rsidR="001623E6">
        <w:rPr>
          <w:rFonts w:ascii="Arial" w:hAnsi="Arial" w:cs="Arial"/>
          <w:color w:val="000000"/>
          <w:sz w:val="20"/>
          <w:szCs w:val="20"/>
          <w:lang w:val="en-AU"/>
        </w:rPr>
        <w:t>7</w:t>
      </w:r>
      <w:r w:rsidR="00906633">
        <w:rPr>
          <w:rFonts w:ascii="Arial" w:hAnsi="Arial" w:cs="Arial"/>
          <w:color w:val="000000"/>
          <w:sz w:val="20"/>
          <w:szCs w:val="20"/>
          <w:lang w:val="en-AU"/>
        </w:rPr>
        <w:t xml:space="preserve"> of </w:t>
      </w:r>
      <w:r w:rsidRPr="003B728C">
        <w:rPr>
          <w:rFonts w:ascii="Arial" w:hAnsi="Arial" w:cs="Arial"/>
          <w:color w:val="000000"/>
          <w:sz w:val="20"/>
          <w:szCs w:val="20"/>
          <w:lang w:val="en-AU"/>
        </w:rPr>
        <w:t>the Advisory Guidelines address</w:t>
      </w:r>
      <w:r w:rsidR="002E309A">
        <w:rPr>
          <w:rFonts w:ascii="Arial" w:hAnsi="Arial" w:cs="Arial"/>
          <w:color w:val="000000"/>
          <w:sz w:val="20"/>
          <w:szCs w:val="20"/>
          <w:lang w:val="en-AU"/>
        </w:rPr>
        <w:t xml:space="preserve">. </w:t>
      </w:r>
      <w:r w:rsidR="001623E6">
        <w:rPr>
          <w:rFonts w:ascii="Arial" w:hAnsi="Arial" w:cs="Arial"/>
          <w:color w:val="000000"/>
          <w:sz w:val="20"/>
          <w:szCs w:val="20"/>
          <w:lang w:val="en-AU"/>
        </w:rPr>
        <w:t>Part 1</w:t>
      </w:r>
      <w:r w:rsidRPr="003B728C">
        <w:rPr>
          <w:rFonts w:ascii="Arial" w:hAnsi="Arial" w:cs="Arial"/>
          <w:color w:val="000000"/>
          <w:sz w:val="20"/>
          <w:szCs w:val="20"/>
          <w:lang w:val="en-AU"/>
        </w:rPr>
        <w:t xml:space="preserve"> also refers to ITU-R Recommendation P.1144 </w:t>
      </w:r>
      <w:r w:rsidRPr="003B728C">
        <w:rPr>
          <w:rFonts w:ascii="Arial" w:hAnsi="Arial" w:cs="Arial"/>
          <w:i/>
          <w:color w:val="000000"/>
          <w:sz w:val="20"/>
          <w:szCs w:val="20"/>
          <w:lang w:val="en-AU"/>
        </w:rPr>
        <w:t>Guide to the application of the propagation methods of Radiocommunications Study Group 3</w:t>
      </w:r>
      <w:r w:rsidRPr="003B728C">
        <w:rPr>
          <w:rFonts w:ascii="Arial" w:hAnsi="Arial" w:cs="Arial"/>
          <w:color w:val="000000"/>
          <w:sz w:val="20"/>
          <w:szCs w:val="20"/>
          <w:lang w:val="en-AU"/>
        </w:rPr>
        <w:t>. This recommendation provides a guide on the application of various propagation methods developed internationally by the ITU-R. It is recommended that consideration be given to this recommendation when choosing a propagation model to assess interference.</w:t>
      </w:r>
    </w:p>
    <w:p w14:paraId="50C8E65D" w14:textId="77777777" w:rsidR="008615D3" w:rsidRPr="003B728C" w:rsidRDefault="008615D3" w:rsidP="003B728C">
      <w:pPr>
        <w:jc w:val="both"/>
        <w:rPr>
          <w:rFonts w:ascii="Arial" w:hAnsi="Arial" w:cs="Arial"/>
          <w:color w:val="000000"/>
          <w:sz w:val="20"/>
          <w:szCs w:val="20"/>
          <w:lang w:val="en-AU"/>
        </w:rPr>
      </w:pPr>
    </w:p>
    <w:p w14:paraId="50C8E65E" w14:textId="17151AFA" w:rsidR="008615D3" w:rsidRPr="003B728C" w:rsidRDefault="001623E6" w:rsidP="003B728C">
      <w:pPr>
        <w:jc w:val="both"/>
        <w:rPr>
          <w:rFonts w:ascii="Arial" w:hAnsi="Arial" w:cs="Arial"/>
          <w:b/>
          <w:color w:val="000000"/>
          <w:sz w:val="20"/>
          <w:szCs w:val="20"/>
          <w:lang w:val="en-AU"/>
        </w:rPr>
      </w:pPr>
      <w:r>
        <w:rPr>
          <w:rFonts w:ascii="Arial" w:hAnsi="Arial" w:cs="Arial"/>
          <w:b/>
          <w:color w:val="000000"/>
          <w:sz w:val="20"/>
          <w:szCs w:val="20"/>
          <w:lang w:val="en-AU"/>
        </w:rPr>
        <w:t>Part 2</w:t>
      </w:r>
      <w:r w:rsidR="00E76C4B" w:rsidRPr="003B728C">
        <w:rPr>
          <w:rFonts w:ascii="Arial" w:hAnsi="Arial" w:cs="Arial"/>
          <w:b/>
          <w:color w:val="000000"/>
          <w:sz w:val="20"/>
          <w:szCs w:val="20"/>
          <w:lang w:val="en-AU"/>
        </w:rPr>
        <w:t xml:space="preserve"> – Point-to-point fixed service receivers</w:t>
      </w:r>
    </w:p>
    <w:p w14:paraId="50C8E661" w14:textId="77777777" w:rsidR="008615D3" w:rsidRPr="003B728C" w:rsidRDefault="008615D3" w:rsidP="003B728C">
      <w:pPr>
        <w:jc w:val="both"/>
        <w:rPr>
          <w:rFonts w:ascii="Arial" w:hAnsi="Arial" w:cs="Arial"/>
          <w:color w:val="000000"/>
          <w:sz w:val="20"/>
          <w:szCs w:val="20"/>
          <w:lang w:val="en-AU"/>
        </w:rPr>
      </w:pPr>
    </w:p>
    <w:p w14:paraId="22072034" w14:textId="77777777" w:rsidR="001623E6" w:rsidRPr="001623E6" w:rsidRDefault="001623E6" w:rsidP="001623E6">
      <w:pPr>
        <w:jc w:val="both"/>
        <w:rPr>
          <w:rFonts w:ascii="Arial" w:hAnsi="Arial" w:cs="Arial"/>
          <w:b/>
          <w:color w:val="000000"/>
          <w:sz w:val="20"/>
          <w:szCs w:val="20"/>
          <w:lang w:val="en-AU"/>
        </w:rPr>
      </w:pPr>
      <w:r w:rsidRPr="001623E6">
        <w:rPr>
          <w:rFonts w:ascii="Arial" w:hAnsi="Arial" w:cs="Arial"/>
          <w:b/>
          <w:color w:val="000000"/>
          <w:sz w:val="20"/>
          <w:szCs w:val="20"/>
          <w:lang w:val="en-AU"/>
        </w:rPr>
        <w:t>Section 2.1 – Background</w:t>
      </w:r>
    </w:p>
    <w:p w14:paraId="066B288F" w14:textId="77777777" w:rsidR="001623E6" w:rsidRPr="001623E6" w:rsidRDefault="001623E6" w:rsidP="001623E6">
      <w:pPr>
        <w:jc w:val="both"/>
        <w:rPr>
          <w:rFonts w:ascii="Arial" w:hAnsi="Arial" w:cs="Arial"/>
          <w:color w:val="000000"/>
          <w:sz w:val="20"/>
          <w:szCs w:val="20"/>
          <w:lang w:val="en-AU"/>
        </w:rPr>
      </w:pPr>
    </w:p>
    <w:p w14:paraId="57FFBC3B" w14:textId="50A0798F" w:rsidR="001623E6" w:rsidRPr="001623E6" w:rsidRDefault="00421481" w:rsidP="001623E6">
      <w:pPr>
        <w:jc w:val="both"/>
        <w:rPr>
          <w:rFonts w:ascii="Arial" w:hAnsi="Arial" w:cs="Arial"/>
          <w:color w:val="000000"/>
          <w:sz w:val="20"/>
          <w:szCs w:val="20"/>
          <w:lang w:val="en-AU"/>
        </w:rPr>
      </w:pPr>
      <w:r>
        <w:rPr>
          <w:rFonts w:ascii="Arial" w:hAnsi="Arial" w:cs="Arial"/>
          <w:color w:val="000000"/>
          <w:sz w:val="20"/>
          <w:szCs w:val="20"/>
          <w:lang w:val="en-AU"/>
        </w:rPr>
        <w:t xml:space="preserve">Section 2.1 </w:t>
      </w:r>
      <w:r w:rsidR="001623E6" w:rsidRPr="001623E6">
        <w:rPr>
          <w:rFonts w:ascii="Arial" w:hAnsi="Arial" w:cs="Arial"/>
          <w:color w:val="000000"/>
          <w:sz w:val="20"/>
          <w:szCs w:val="20"/>
          <w:lang w:val="en-AU"/>
        </w:rPr>
        <w:t xml:space="preserve">provides background information on point-to-point fixed service receivers operating in and adjacent to frequencies and areas that have been allocated for spectrum licensing in the </w:t>
      </w:r>
      <w:r w:rsidR="00AE0F12">
        <w:rPr>
          <w:rFonts w:ascii="Arial" w:hAnsi="Arial" w:cs="Arial"/>
          <w:color w:val="000000"/>
          <w:sz w:val="20"/>
          <w:szCs w:val="20"/>
          <w:lang w:val="en-AU"/>
        </w:rPr>
        <w:t>2 GHz</w:t>
      </w:r>
      <w:r w:rsidR="001623E6" w:rsidRPr="001623E6">
        <w:rPr>
          <w:rFonts w:ascii="Arial" w:hAnsi="Arial" w:cs="Arial"/>
          <w:color w:val="000000"/>
          <w:sz w:val="20"/>
          <w:szCs w:val="20"/>
          <w:lang w:val="en-AU"/>
        </w:rPr>
        <w:t xml:space="preserve"> band.  A reference to RALI FX 3 is made for guidance on channel arrangements and frequency assignment criteria for point-to-point fixed services. Since RALI FX 3 is under </w:t>
      </w:r>
      <w:r w:rsidR="00253BEB" w:rsidRPr="001623E6">
        <w:rPr>
          <w:rFonts w:ascii="Arial" w:hAnsi="Arial" w:cs="Arial"/>
          <w:color w:val="000000"/>
          <w:sz w:val="20"/>
          <w:szCs w:val="20"/>
          <w:lang w:val="en-AU"/>
        </w:rPr>
        <w:t>con</w:t>
      </w:r>
      <w:r w:rsidR="00253BEB">
        <w:rPr>
          <w:rFonts w:ascii="Arial" w:hAnsi="Arial" w:cs="Arial"/>
          <w:color w:val="000000"/>
          <w:sz w:val="20"/>
          <w:szCs w:val="20"/>
          <w:lang w:val="en-AU"/>
        </w:rPr>
        <w:t>tinuing</w:t>
      </w:r>
      <w:r w:rsidR="00253BEB" w:rsidRPr="001623E6">
        <w:rPr>
          <w:rFonts w:ascii="Arial" w:hAnsi="Arial" w:cs="Arial"/>
          <w:color w:val="000000"/>
          <w:sz w:val="20"/>
          <w:szCs w:val="20"/>
          <w:lang w:val="en-AU"/>
        </w:rPr>
        <w:t xml:space="preserve"> </w:t>
      </w:r>
      <w:r w:rsidR="001623E6" w:rsidRPr="001623E6">
        <w:rPr>
          <w:rFonts w:ascii="Arial" w:hAnsi="Arial" w:cs="Arial"/>
          <w:color w:val="000000"/>
          <w:sz w:val="20"/>
          <w:szCs w:val="20"/>
          <w:lang w:val="en-AU"/>
        </w:rPr>
        <w:t>review</w:t>
      </w:r>
      <w:r w:rsidR="00253BEB">
        <w:rPr>
          <w:rFonts w:ascii="Arial" w:hAnsi="Arial" w:cs="Arial"/>
          <w:color w:val="000000"/>
          <w:sz w:val="20"/>
          <w:szCs w:val="20"/>
          <w:lang w:val="en-AU"/>
        </w:rPr>
        <w:t>,</w:t>
      </w:r>
      <w:r w:rsidR="001623E6" w:rsidRPr="001623E6">
        <w:rPr>
          <w:rFonts w:ascii="Arial" w:hAnsi="Arial" w:cs="Arial"/>
          <w:color w:val="000000"/>
          <w:sz w:val="20"/>
          <w:szCs w:val="20"/>
          <w:lang w:val="en-AU"/>
        </w:rPr>
        <w:t xml:space="preserve"> licensees are advised to consult the most current version when planning systems and managing interference. </w:t>
      </w:r>
    </w:p>
    <w:p w14:paraId="66D1746E" w14:textId="77777777" w:rsidR="001623E6" w:rsidRDefault="001623E6" w:rsidP="001623E6">
      <w:pPr>
        <w:jc w:val="both"/>
        <w:rPr>
          <w:rFonts w:ascii="Arial" w:hAnsi="Arial" w:cs="Arial"/>
          <w:color w:val="000000"/>
          <w:sz w:val="20"/>
          <w:szCs w:val="20"/>
          <w:lang w:val="en-AU"/>
        </w:rPr>
      </w:pPr>
    </w:p>
    <w:p w14:paraId="7057E86F" w14:textId="77777777" w:rsidR="00AE0F12" w:rsidRDefault="00AE0F12" w:rsidP="001623E6">
      <w:pPr>
        <w:jc w:val="both"/>
        <w:rPr>
          <w:rFonts w:ascii="Arial" w:hAnsi="Arial" w:cs="Arial"/>
          <w:color w:val="000000"/>
          <w:sz w:val="20"/>
          <w:szCs w:val="20"/>
          <w:lang w:val="en-AU"/>
        </w:rPr>
      </w:pPr>
    </w:p>
    <w:p w14:paraId="777CE235" w14:textId="77777777" w:rsidR="00AE0F12" w:rsidRDefault="00AE0F12" w:rsidP="001623E6">
      <w:pPr>
        <w:jc w:val="both"/>
        <w:rPr>
          <w:rFonts w:ascii="Arial" w:hAnsi="Arial" w:cs="Arial"/>
          <w:color w:val="000000"/>
          <w:sz w:val="20"/>
          <w:szCs w:val="20"/>
          <w:lang w:val="en-AU"/>
        </w:rPr>
      </w:pPr>
    </w:p>
    <w:p w14:paraId="0CFEFD13" w14:textId="77777777" w:rsidR="00AE0F12" w:rsidRPr="001623E6" w:rsidRDefault="00AE0F12" w:rsidP="001623E6">
      <w:pPr>
        <w:jc w:val="both"/>
        <w:rPr>
          <w:rFonts w:ascii="Arial" w:hAnsi="Arial" w:cs="Arial"/>
          <w:color w:val="000000"/>
          <w:sz w:val="20"/>
          <w:szCs w:val="20"/>
          <w:lang w:val="en-AU"/>
        </w:rPr>
      </w:pPr>
    </w:p>
    <w:p w14:paraId="0C6C8ABD" w14:textId="77777777" w:rsidR="001623E6" w:rsidRPr="001623E6" w:rsidRDefault="001623E6" w:rsidP="001623E6">
      <w:pPr>
        <w:jc w:val="both"/>
        <w:rPr>
          <w:rFonts w:ascii="Arial" w:hAnsi="Arial" w:cs="Arial"/>
          <w:b/>
          <w:color w:val="000000"/>
          <w:sz w:val="20"/>
          <w:szCs w:val="20"/>
          <w:lang w:val="en-AU"/>
        </w:rPr>
      </w:pPr>
      <w:r w:rsidRPr="001623E6">
        <w:rPr>
          <w:rFonts w:ascii="Arial" w:hAnsi="Arial" w:cs="Arial"/>
          <w:b/>
          <w:color w:val="000000"/>
          <w:sz w:val="20"/>
          <w:szCs w:val="20"/>
          <w:lang w:val="en-AU"/>
        </w:rPr>
        <w:lastRenderedPageBreak/>
        <w:t>Section 2.2 – Point-to-point receiver categories</w:t>
      </w:r>
    </w:p>
    <w:p w14:paraId="3B1321EB" w14:textId="77777777" w:rsidR="001623E6" w:rsidRPr="001623E6" w:rsidRDefault="001623E6" w:rsidP="001623E6">
      <w:pPr>
        <w:jc w:val="both"/>
        <w:rPr>
          <w:rFonts w:ascii="Arial" w:hAnsi="Arial" w:cs="Arial"/>
          <w:color w:val="000000"/>
          <w:sz w:val="20"/>
          <w:szCs w:val="20"/>
          <w:lang w:val="en-AU"/>
        </w:rPr>
      </w:pPr>
    </w:p>
    <w:p w14:paraId="6809031E" w14:textId="1A96ED67" w:rsidR="001623E6" w:rsidRPr="001623E6" w:rsidRDefault="00421481" w:rsidP="001623E6">
      <w:pPr>
        <w:jc w:val="both"/>
        <w:rPr>
          <w:rFonts w:ascii="Arial" w:hAnsi="Arial" w:cs="Arial"/>
          <w:color w:val="000000"/>
          <w:sz w:val="20"/>
          <w:szCs w:val="20"/>
          <w:lang w:val="en-AU"/>
        </w:rPr>
      </w:pPr>
      <w:r>
        <w:rPr>
          <w:rFonts w:ascii="Arial" w:hAnsi="Arial" w:cs="Arial"/>
          <w:color w:val="000000"/>
          <w:sz w:val="20"/>
          <w:szCs w:val="20"/>
          <w:lang w:val="en-AU"/>
        </w:rPr>
        <w:t>S</w:t>
      </w:r>
      <w:r w:rsidR="001623E6" w:rsidRPr="001623E6">
        <w:rPr>
          <w:rFonts w:ascii="Arial" w:hAnsi="Arial" w:cs="Arial"/>
          <w:color w:val="000000"/>
          <w:sz w:val="20"/>
          <w:szCs w:val="20"/>
          <w:lang w:val="en-AU"/>
        </w:rPr>
        <w:t>ection</w:t>
      </w:r>
      <w:r w:rsidR="00AE0F12">
        <w:rPr>
          <w:rFonts w:ascii="Arial" w:hAnsi="Arial" w:cs="Arial"/>
          <w:color w:val="000000"/>
          <w:sz w:val="20"/>
          <w:szCs w:val="20"/>
          <w:lang w:val="en-AU"/>
        </w:rPr>
        <w:t xml:space="preserve"> 2.2</w:t>
      </w:r>
      <w:r>
        <w:rPr>
          <w:rFonts w:ascii="Arial" w:hAnsi="Arial" w:cs="Arial"/>
          <w:color w:val="000000"/>
          <w:sz w:val="20"/>
          <w:szCs w:val="20"/>
          <w:lang w:val="en-AU"/>
        </w:rPr>
        <w:t xml:space="preserve"> provides </w:t>
      </w:r>
      <w:r w:rsidR="001623E6" w:rsidRPr="001623E6">
        <w:rPr>
          <w:rFonts w:ascii="Arial" w:hAnsi="Arial" w:cs="Arial"/>
          <w:color w:val="000000"/>
          <w:sz w:val="20"/>
          <w:szCs w:val="20"/>
          <w:lang w:val="en-AU"/>
        </w:rPr>
        <w:t xml:space="preserve">that for the purpose of the Advisory Guidelines, radiocommunications receivers of a fixed service operating in the </w:t>
      </w:r>
      <w:r w:rsidR="00AE0F12">
        <w:rPr>
          <w:rFonts w:ascii="Arial" w:hAnsi="Arial" w:cs="Arial"/>
          <w:color w:val="000000"/>
          <w:sz w:val="20"/>
          <w:szCs w:val="20"/>
          <w:lang w:val="en-AU"/>
        </w:rPr>
        <w:t>2 GHz</w:t>
      </w:r>
      <w:r w:rsidR="001623E6" w:rsidRPr="001623E6">
        <w:rPr>
          <w:rFonts w:ascii="Arial" w:hAnsi="Arial" w:cs="Arial"/>
          <w:color w:val="000000"/>
          <w:sz w:val="20"/>
          <w:szCs w:val="20"/>
          <w:lang w:val="en-AU"/>
        </w:rPr>
        <w:t xml:space="preserve"> band are taken to belong to one of two categories. Category 1 is a receiver operating under an apparatus licence that was issued before </w:t>
      </w:r>
      <w:r w:rsidR="001623E6">
        <w:rPr>
          <w:rFonts w:ascii="Arial" w:hAnsi="Arial" w:cs="Arial"/>
          <w:color w:val="000000"/>
          <w:sz w:val="20"/>
          <w:szCs w:val="20"/>
          <w:lang w:val="en-AU"/>
        </w:rPr>
        <w:t>12 October 2017</w:t>
      </w:r>
      <w:r w:rsidR="001623E6" w:rsidRPr="001623E6">
        <w:rPr>
          <w:rFonts w:ascii="Arial" w:hAnsi="Arial" w:cs="Arial"/>
          <w:color w:val="000000"/>
          <w:sz w:val="20"/>
          <w:szCs w:val="20"/>
          <w:lang w:val="en-AU"/>
        </w:rPr>
        <w:t>, and Category 2 is a receiver operating</w:t>
      </w:r>
      <w:r w:rsidR="00CF4E1D">
        <w:rPr>
          <w:rFonts w:ascii="Arial" w:hAnsi="Arial" w:cs="Arial"/>
          <w:color w:val="000000"/>
          <w:sz w:val="20"/>
          <w:szCs w:val="20"/>
          <w:lang w:val="en-AU"/>
        </w:rPr>
        <w:t xml:space="preserve"> outside the spectrum space of a 2GHz band spectrum licence </w:t>
      </w:r>
      <w:r w:rsidR="001623E6" w:rsidRPr="001623E6">
        <w:rPr>
          <w:rFonts w:ascii="Arial" w:hAnsi="Arial" w:cs="Arial"/>
          <w:color w:val="000000"/>
          <w:sz w:val="20"/>
          <w:szCs w:val="20"/>
          <w:lang w:val="en-AU"/>
        </w:rPr>
        <w:t xml:space="preserve">under an apparatus licence that was issued on or after </w:t>
      </w:r>
      <w:r w:rsidR="001623E6">
        <w:rPr>
          <w:rFonts w:ascii="Arial" w:hAnsi="Arial" w:cs="Arial"/>
          <w:color w:val="000000"/>
          <w:sz w:val="20"/>
          <w:szCs w:val="20"/>
          <w:lang w:val="en-AU"/>
        </w:rPr>
        <w:t>12 October 2017</w:t>
      </w:r>
      <w:r w:rsidR="001623E6" w:rsidRPr="001623E6">
        <w:rPr>
          <w:rFonts w:ascii="Arial" w:hAnsi="Arial" w:cs="Arial"/>
          <w:color w:val="000000"/>
          <w:sz w:val="20"/>
          <w:szCs w:val="20"/>
          <w:lang w:val="en-AU"/>
        </w:rPr>
        <w:t xml:space="preserve">.  </w:t>
      </w:r>
    </w:p>
    <w:p w14:paraId="47D854A5" w14:textId="77777777" w:rsidR="001623E6" w:rsidRPr="001623E6" w:rsidRDefault="001623E6" w:rsidP="001623E6">
      <w:pPr>
        <w:jc w:val="both"/>
        <w:rPr>
          <w:rFonts w:ascii="Arial" w:hAnsi="Arial" w:cs="Arial"/>
          <w:color w:val="000000"/>
          <w:sz w:val="20"/>
          <w:szCs w:val="20"/>
          <w:lang w:val="en-AU"/>
        </w:rPr>
      </w:pPr>
    </w:p>
    <w:p w14:paraId="5134202C" w14:textId="19642B47" w:rsidR="001623E6" w:rsidRPr="001623E6" w:rsidRDefault="001623E6" w:rsidP="001623E6">
      <w:pPr>
        <w:jc w:val="both"/>
        <w:rPr>
          <w:rFonts w:ascii="Arial" w:hAnsi="Arial" w:cs="Arial"/>
          <w:color w:val="000000"/>
          <w:sz w:val="20"/>
          <w:szCs w:val="20"/>
          <w:lang w:val="en-AU"/>
        </w:rPr>
      </w:pPr>
      <w:r w:rsidRPr="001623E6">
        <w:rPr>
          <w:rFonts w:ascii="Arial" w:hAnsi="Arial" w:cs="Arial"/>
          <w:color w:val="000000"/>
          <w:sz w:val="20"/>
          <w:szCs w:val="20"/>
          <w:lang w:val="en-AU"/>
        </w:rPr>
        <w:t xml:space="preserve">This is done to simplify interference management considerations and allow services operating before </w:t>
      </w:r>
      <w:r>
        <w:rPr>
          <w:rFonts w:ascii="Arial" w:hAnsi="Arial" w:cs="Arial"/>
          <w:color w:val="000000"/>
          <w:sz w:val="20"/>
          <w:szCs w:val="20"/>
          <w:lang w:val="en-AU"/>
        </w:rPr>
        <w:t xml:space="preserve">12 October 2017 </w:t>
      </w:r>
      <w:r w:rsidRPr="001623E6">
        <w:rPr>
          <w:rFonts w:ascii="Arial" w:hAnsi="Arial" w:cs="Arial"/>
          <w:color w:val="000000"/>
          <w:sz w:val="20"/>
          <w:szCs w:val="20"/>
          <w:lang w:val="en-AU"/>
        </w:rPr>
        <w:t>to receive the full protection offered by RALI FX3.</w:t>
      </w:r>
    </w:p>
    <w:p w14:paraId="0A010938" w14:textId="77777777" w:rsidR="001623E6" w:rsidRPr="001623E6" w:rsidRDefault="001623E6" w:rsidP="001623E6">
      <w:pPr>
        <w:jc w:val="both"/>
        <w:rPr>
          <w:rFonts w:ascii="Arial" w:hAnsi="Arial" w:cs="Arial"/>
          <w:color w:val="000000"/>
          <w:sz w:val="20"/>
          <w:szCs w:val="20"/>
          <w:lang w:val="en-AU"/>
        </w:rPr>
      </w:pPr>
    </w:p>
    <w:p w14:paraId="64CB6A4E" w14:textId="77777777" w:rsidR="001623E6" w:rsidRPr="001623E6" w:rsidRDefault="001623E6" w:rsidP="001623E6">
      <w:pPr>
        <w:jc w:val="both"/>
        <w:rPr>
          <w:rFonts w:ascii="Arial" w:hAnsi="Arial" w:cs="Arial"/>
          <w:b/>
          <w:color w:val="000000"/>
          <w:sz w:val="20"/>
          <w:szCs w:val="20"/>
          <w:lang w:val="en-AU"/>
        </w:rPr>
      </w:pPr>
      <w:r w:rsidRPr="001623E6">
        <w:rPr>
          <w:rFonts w:ascii="Arial" w:hAnsi="Arial" w:cs="Arial"/>
          <w:b/>
          <w:color w:val="000000"/>
          <w:sz w:val="20"/>
          <w:szCs w:val="20"/>
          <w:lang w:val="en-AU"/>
        </w:rPr>
        <w:t>Section 2.3 – Protection requirements</w:t>
      </w:r>
    </w:p>
    <w:p w14:paraId="6ABA1EAE" w14:textId="77777777" w:rsidR="001623E6" w:rsidRPr="001623E6" w:rsidRDefault="001623E6" w:rsidP="001623E6">
      <w:pPr>
        <w:jc w:val="both"/>
        <w:rPr>
          <w:rFonts w:ascii="Arial" w:hAnsi="Arial" w:cs="Arial"/>
          <w:color w:val="000000"/>
          <w:sz w:val="20"/>
          <w:szCs w:val="20"/>
          <w:lang w:val="en-AU"/>
        </w:rPr>
      </w:pPr>
    </w:p>
    <w:p w14:paraId="32DD101F" w14:textId="6CC1CA77" w:rsidR="001623E6" w:rsidRDefault="00421481" w:rsidP="001623E6">
      <w:pPr>
        <w:jc w:val="both"/>
        <w:rPr>
          <w:rFonts w:ascii="Arial" w:hAnsi="Arial" w:cs="Arial"/>
          <w:color w:val="000000"/>
          <w:sz w:val="20"/>
          <w:szCs w:val="20"/>
          <w:lang w:val="en-AU"/>
        </w:rPr>
      </w:pPr>
      <w:r>
        <w:rPr>
          <w:rFonts w:ascii="Arial" w:hAnsi="Arial" w:cs="Arial"/>
          <w:color w:val="000000"/>
          <w:sz w:val="20"/>
          <w:szCs w:val="20"/>
          <w:lang w:val="en-AU"/>
        </w:rPr>
        <w:t>S</w:t>
      </w:r>
      <w:r w:rsidR="001623E6" w:rsidRPr="001623E6">
        <w:rPr>
          <w:rFonts w:ascii="Arial" w:hAnsi="Arial" w:cs="Arial"/>
          <w:color w:val="000000"/>
          <w:sz w:val="20"/>
          <w:szCs w:val="20"/>
          <w:lang w:val="en-AU"/>
        </w:rPr>
        <w:t>ection</w:t>
      </w:r>
      <w:r>
        <w:rPr>
          <w:rFonts w:ascii="Arial" w:hAnsi="Arial" w:cs="Arial"/>
          <w:color w:val="000000"/>
          <w:sz w:val="20"/>
          <w:szCs w:val="20"/>
          <w:lang w:val="en-AU"/>
        </w:rPr>
        <w:t xml:space="preserve"> 2.3 of Part 2 </w:t>
      </w:r>
      <w:r w:rsidR="001623E6" w:rsidRPr="001623E6">
        <w:rPr>
          <w:rFonts w:ascii="Arial" w:hAnsi="Arial" w:cs="Arial"/>
          <w:color w:val="000000"/>
          <w:sz w:val="20"/>
          <w:szCs w:val="20"/>
          <w:lang w:val="en-AU"/>
        </w:rPr>
        <w:t xml:space="preserve">explains the protection afforded to the different point-to-point receiver categories. It is intended that Category 1 receivers are provided with out-of-band and in-band protection in accordance with the protection requirements detailed at Appendix 1 to RALI FX 3. </w:t>
      </w:r>
    </w:p>
    <w:p w14:paraId="1A828E55" w14:textId="77777777" w:rsidR="001623E6" w:rsidRDefault="001623E6" w:rsidP="001623E6">
      <w:pPr>
        <w:jc w:val="both"/>
        <w:rPr>
          <w:rFonts w:ascii="Arial" w:hAnsi="Arial" w:cs="Arial"/>
          <w:color w:val="000000"/>
          <w:sz w:val="20"/>
          <w:szCs w:val="20"/>
          <w:lang w:val="en-AU"/>
        </w:rPr>
      </w:pPr>
    </w:p>
    <w:p w14:paraId="0137EC15" w14:textId="65C03A1E" w:rsidR="001623E6" w:rsidRPr="001623E6" w:rsidRDefault="001623E6" w:rsidP="001623E6">
      <w:pPr>
        <w:jc w:val="both"/>
        <w:rPr>
          <w:rFonts w:ascii="Arial" w:hAnsi="Arial" w:cs="Arial"/>
          <w:color w:val="000000"/>
          <w:sz w:val="20"/>
          <w:szCs w:val="20"/>
          <w:lang w:val="en-AU"/>
        </w:rPr>
      </w:pPr>
      <w:r w:rsidRPr="001623E6">
        <w:rPr>
          <w:rFonts w:ascii="Arial" w:hAnsi="Arial" w:cs="Arial"/>
          <w:color w:val="000000"/>
          <w:sz w:val="20"/>
          <w:szCs w:val="20"/>
          <w:lang w:val="en-AU"/>
        </w:rPr>
        <w:t xml:space="preserve">Category 2 receivers are provided with: </w:t>
      </w:r>
    </w:p>
    <w:p w14:paraId="190B0291" w14:textId="2B1E5239" w:rsidR="001623E6" w:rsidRPr="001623E6" w:rsidRDefault="001623E6" w:rsidP="00FF588D">
      <w:pPr>
        <w:numPr>
          <w:ilvl w:val="0"/>
          <w:numId w:val="18"/>
        </w:numPr>
        <w:spacing w:before="120" w:after="120"/>
        <w:ind w:left="284" w:hanging="284"/>
        <w:jc w:val="both"/>
        <w:rPr>
          <w:rFonts w:ascii="Arial" w:hAnsi="Arial" w:cs="Arial"/>
          <w:sz w:val="20"/>
          <w:szCs w:val="20"/>
          <w:lang w:val="en-AU"/>
        </w:rPr>
      </w:pPr>
      <w:proofErr w:type="gramStart"/>
      <w:r w:rsidRPr="001623E6">
        <w:rPr>
          <w:rFonts w:ascii="Arial" w:hAnsi="Arial" w:cs="Arial"/>
          <w:sz w:val="20"/>
          <w:szCs w:val="20"/>
          <w:lang w:val="en-AU"/>
        </w:rPr>
        <w:t>out-of-band</w:t>
      </w:r>
      <w:proofErr w:type="gramEnd"/>
      <w:r w:rsidRPr="001623E6">
        <w:rPr>
          <w:rFonts w:ascii="Arial" w:hAnsi="Arial" w:cs="Arial"/>
          <w:sz w:val="20"/>
          <w:szCs w:val="20"/>
          <w:lang w:val="en-AU"/>
        </w:rPr>
        <w:t xml:space="preserve"> protection from frequency adjacent </w:t>
      </w:r>
      <w:r w:rsidR="00DE6921">
        <w:rPr>
          <w:rFonts w:ascii="Arial" w:hAnsi="Arial" w:cs="Arial"/>
          <w:sz w:val="20"/>
          <w:szCs w:val="20"/>
          <w:lang w:val="en-AU"/>
        </w:rPr>
        <w:t xml:space="preserve">radiocommunications </w:t>
      </w:r>
      <w:r w:rsidRPr="001623E6">
        <w:rPr>
          <w:rFonts w:ascii="Arial" w:hAnsi="Arial" w:cs="Arial"/>
          <w:sz w:val="20"/>
          <w:szCs w:val="20"/>
          <w:lang w:val="en-AU"/>
        </w:rPr>
        <w:t>transmitters operated under a spectrum licence in accordance with the protection requirements detailed at Appendix 1 to RALI FX 3</w:t>
      </w:r>
      <w:r w:rsidR="0057242E">
        <w:rPr>
          <w:rFonts w:ascii="Arial" w:hAnsi="Arial" w:cs="Arial"/>
          <w:sz w:val="20"/>
          <w:szCs w:val="20"/>
          <w:lang w:val="en-AU"/>
        </w:rPr>
        <w:t xml:space="preserve">. </w:t>
      </w:r>
      <w:r w:rsidR="0057242E">
        <w:rPr>
          <w:rFonts w:ascii="Arial" w:hAnsi="Arial" w:cs="Arial"/>
          <w:color w:val="000000"/>
          <w:sz w:val="20"/>
          <w:szCs w:val="20"/>
          <w:lang w:val="en-AU"/>
        </w:rPr>
        <w:t>Out-of-band p</w:t>
      </w:r>
      <w:r w:rsidR="0057242E" w:rsidRPr="001623E6">
        <w:rPr>
          <w:rFonts w:ascii="Arial" w:hAnsi="Arial" w:cs="Arial"/>
          <w:color w:val="000000"/>
          <w:sz w:val="20"/>
          <w:szCs w:val="20"/>
          <w:lang w:val="en-AU"/>
        </w:rPr>
        <w:t xml:space="preserve">rotection </w:t>
      </w:r>
      <w:r w:rsidR="00CF4E1D">
        <w:rPr>
          <w:rFonts w:ascii="Arial" w:hAnsi="Arial" w:cs="Arial"/>
          <w:color w:val="000000"/>
          <w:sz w:val="20"/>
          <w:szCs w:val="20"/>
          <w:lang w:val="en-AU"/>
        </w:rPr>
        <w:t>for</w:t>
      </w:r>
      <w:r w:rsidR="00CF4E1D" w:rsidRPr="001623E6">
        <w:rPr>
          <w:rFonts w:ascii="Arial" w:hAnsi="Arial" w:cs="Arial"/>
          <w:color w:val="000000"/>
          <w:sz w:val="20"/>
          <w:szCs w:val="20"/>
          <w:lang w:val="en-AU"/>
        </w:rPr>
        <w:t xml:space="preserve"> </w:t>
      </w:r>
      <w:r w:rsidR="0057242E" w:rsidRPr="001623E6">
        <w:rPr>
          <w:rFonts w:ascii="Arial" w:hAnsi="Arial" w:cs="Arial"/>
          <w:color w:val="000000"/>
          <w:sz w:val="20"/>
          <w:szCs w:val="20"/>
          <w:lang w:val="en-AU"/>
        </w:rPr>
        <w:t>Category 2 receivers is based on a firs</w:t>
      </w:r>
      <w:r w:rsidR="0057242E">
        <w:rPr>
          <w:rFonts w:ascii="Arial" w:hAnsi="Arial" w:cs="Arial"/>
          <w:color w:val="000000"/>
          <w:sz w:val="20"/>
          <w:szCs w:val="20"/>
          <w:lang w:val="en-AU"/>
        </w:rPr>
        <w:t>t-in-time coordination process</w:t>
      </w:r>
      <w:r w:rsidRPr="001623E6">
        <w:rPr>
          <w:rFonts w:ascii="Arial" w:hAnsi="Arial" w:cs="Arial"/>
          <w:sz w:val="20"/>
          <w:szCs w:val="20"/>
          <w:lang w:val="en-AU"/>
        </w:rPr>
        <w:t>; and</w:t>
      </w:r>
    </w:p>
    <w:p w14:paraId="5C82A0C4" w14:textId="334165A1" w:rsidR="001623E6" w:rsidRPr="001623E6" w:rsidRDefault="001623E6" w:rsidP="001623E6">
      <w:pPr>
        <w:numPr>
          <w:ilvl w:val="0"/>
          <w:numId w:val="18"/>
        </w:numPr>
        <w:spacing w:after="120"/>
        <w:ind w:left="284" w:hanging="284"/>
        <w:jc w:val="both"/>
        <w:rPr>
          <w:rFonts w:ascii="Arial" w:hAnsi="Arial" w:cs="Arial"/>
          <w:sz w:val="20"/>
          <w:szCs w:val="20"/>
          <w:lang w:val="en-AU"/>
        </w:rPr>
      </w:pPr>
      <w:proofErr w:type="gramStart"/>
      <w:r w:rsidRPr="001623E6">
        <w:rPr>
          <w:rFonts w:ascii="Arial" w:hAnsi="Arial" w:cs="Arial"/>
          <w:sz w:val="20"/>
          <w:szCs w:val="20"/>
          <w:lang w:val="en-AU"/>
        </w:rPr>
        <w:t>the</w:t>
      </w:r>
      <w:proofErr w:type="gramEnd"/>
      <w:r w:rsidRPr="001623E6">
        <w:rPr>
          <w:rFonts w:ascii="Arial" w:hAnsi="Arial" w:cs="Arial"/>
          <w:sz w:val="20"/>
          <w:szCs w:val="20"/>
          <w:lang w:val="en-AU"/>
        </w:rPr>
        <w:t xml:space="preserve"> same in-band protection from co-channel interference as afforded to </w:t>
      </w:r>
      <w:r w:rsidR="00DE6921">
        <w:rPr>
          <w:rFonts w:ascii="Arial" w:hAnsi="Arial" w:cs="Arial"/>
          <w:sz w:val="20"/>
          <w:szCs w:val="20"/>
          <w:lang w:val="en-AU"/>
        </w:rPr>
        <w:t xml:space="preserve">radiocommunications </w:t>
      </w:r>
      <w:r w:rsidRPr="001623E6">
        <w:rPr>
          <w:rFonts w:ascii="Arial" w:hAnsi="Arial" w:cs="Arial"/>
          <w:sz w:val="20"/>
          <w:szCs w:val="20"/>
          <w:lang w:val="en-AU"/>
        </w:rPr>
        <w:t xml:space="preserve">devices operated under a spectrum licence. In this case, a </w:t>
      </w:r>
      <w:r w:rsidR="00DE6921">
        <w:rPr>
          <w:rFonts w:ascii="Arial" w:hAnsi="Arial" w:cs="Arial"/>
          <w:sz w:val="20"/>
          <w:szCs w:val="20"/>
          <w:lang w:val="en-AU"/>
        </w:rPr>
        <w:t xml:space="preserve">radiocommunications </w:t>
      </w:r>
      <w:r w:rsidRPr="001623E6">
        <w:rPr>
          <w:rFonts w:ascii="Arial" w:hAnsi="Arial" w:cs="Arial"/>
          <w:sz w:val="20"/>
          <w:szCs w:val="20"/>
          <w:lang w:val="en-AU"/>
        </w:rPr>
        <w:t xml:space="preserve">transmitter operated under a spectrum licence will not be deemed to cause </w:t>
      </w:r>
      <w:r w:rsidR="00733CBE">
        <w:rPr>
          <w:rFonts w:ascii="Arial" w:hAnsi="Arial" w:cs="Arial"/>
          <w:sz w:val="20"/>
          <w:szCs w:val="20"/>
          <w:lang w:val="en-AU"/>
        </w:rPr>
        <w:t xml:space="preserve">unacceptable </w:t>
      </w:r>
      <w:r w:rsidRPr="001623E6">
        <w:rPr>
          <w:rFonts w:ascii="Arial" w:hAnsi="Arial" w:cs="Arial"/>
          <w:sz w:val="20"/>
          <w:szCs w:val="20"/>
          <w:lang w:val="en-AU"/>
        </w:rPr>
        <w:t xml:space="preserve">interference if it is operated in accordance with the conditions of that spectrum licence and the </w:t>
      </w:r>
      <w:r w:rsidRPr="00373432">
        <w:rPr>
          <w:rFonts w:ascii="Arial" w:hAnsi="Arial" w:cs="Arial"/>
          <w:i/>
          <w:sz w:val="20"/>
          <w:szCs w:val="20"/>
          <w:lang w:val="en-AU"/>
        </w:rPr>
        <w:t xml:space="preserve">Radiocommunications (Unacceptable Levels of Interference – </w:t>
      </w:r>
      <w:r w:rsidR="00AE0F12" w:rsidRPr="00373432">
        <w:rPr>
          <w:rFonts w:ascii="Arial" w:hAnsi="Arial" w:cs="Arial"/>
          <w:i/>
          <w:sz w:val="20"/>
          <w:szCs w:val="20"/>
          <w:lang w:val="en-AU"/>
        </w:rPr>
        <w:t>2 GHz</w:t>
      </w:r>
      <w:r w:rsidRPr="00373432">
        <w:rPr>
          <w:rFonts w:ascii="Arial" w:hAnsi="Arial" w:cs="Arial"/>
          <w:i/>
          <w:sz w:val="20"/>
          <w:szCs w:val="20"/>
          <w:lang w:val="en-AU"/>
        </w:rPr>
        <w:t xml:space="preserve"> Band) Determination 201</w:t>
      </w:r>
      <w:r w:rsidR="00AE0F12" w:rsidRPr="00373432">
        <w:rPr>
          <w:rFonts w:ascii="Arial" w:hAnsi="Arial" w:cs="Arial"/>
          <w:i/>
          <w:sz w:val="20"/>
          <w:szCs w:val="20"/>
          <w:lang w:val="en-AU"/>
        </w:rPr>
        <w:t>6</w:t>
      </w:r>
      <w:r w:rsidRPr="001623E6">
        <w:rPr>
          <w:rFonts w:ascii="Arial" w:hAnsi="Arial" w:cs="Arial"/>
          <w:sz w:val="20"/>
          <w:szCs w:val="20"/>
          <w:lang w:val="en-AU"/>
        </w:rPr>
        <w:t>.</w:t>
      </w:r>
    </w:p>
    <w:p w14:paraId="4FCF3314" w14:textId="77777777" w:rsidR="0057242E" w:rsidRDefault="0057242E" w:rsidP="0057242E">
      <w:pPr>
        <w:jc w:val="both"/>
        <w:rPr>
          <w:rFonts w:ascii="Arial" w:hAnsi="Arial" w:cs="Arial"/>
          <w:color w:val="000000"/>
          <w:sz w:val="20"/>
          <w:szCs w:val="20"/>
          <w:lang w:val="en-AU"/>
        </w:rPr>
      </w:pPr>
    </w:p>
    <w:p w14:paraId="626C3951" w14:textId="1FE4F6ED" w:rsidR="0057242E" w:rsidRPr="003B728C" w:rsidRDefault="0057242E" w:rsidP="0057242E">
      <w:pPr>
        <w:jc w:val="both"/>
        <w:rPr>
          <w:rFonts w:ascii="Arial" w:hAnsi="Arial" w:cs="Arial"/>
          <w:b/>
          <w:color w:val="000000"/>
          <w:sz w:val="20"/>
          <w:szCs w:val="20"/>
          <w:lang w:val="en-AU"/>
        </w:rPr>
      </w:pPr>
      <w:r>
        <w:rPr>
          <w:rFonts w:ascii="Arial" w:hAnsi="Arial" w:cs="Arial"/>
          <w:b/>
          <w:color w:val="000000"/>
          <w:sz w:val="20"/>
          <w:szCs w:val="20"/>
          <w:lang w:val="en-AU"/>
        </w:rPr>
        <w:t>Part 3</w:t>
      </w:r>
      <w:r w:rsidRPr="003B728C">
        <w:rPr>
          <w:rFonts w:ascii="Arial" w:hAnsi="Arial" w:cs="Arial"/>
          <w:b/>
          <w:color w:val="000000"/>
          <w:sz w:val="20"/>
          <w:szCs w:val="20"/>
          <w:lang w:val="en-AU"/>
        </w:rPr>
        <w:t xml:space="preserve"> –</w:t>
      </w:r>
      <w:r>
        <w:rPr>
          <w:rFonts w:ascii="Arial" w:hAnsi="Arial" w:cs="Arial"/>
          <w:b/>
          <w:color w:val="000000"/>
          <w:sz w:val="20"/>
          <w:szCs w:val="20"/>
          <w:lang w:val="en-AU"/>
        </w:rPr>
        <w:t xml:space="preserve"> Mobile Satellite Service</w:t>
      </w:r>
    </w:p>
    <w:p w14:paraId="6CDFD434" w14:textId="77777777" w:rsidR="0057242E" w:rsidRDefault="0057242E" w:rsidP="0057242E">
      <w:pPr>
        <w:spacing w:after="120"/>
        <w:jc w:val="both"/>
        <w:rPr>
          <w:rFonts w:ascii="Arial" w:hAnsi="Arial" w:cs="Arial"/>
          <w:b/>
          <w:color w:val="000000"/>
          <w:sz w:val="20"/>
          <w:szCs w:val="20"/>
          <w:lang w:val="en-AU"/>
        </w:rPr>
      </w:pPr>
    </w:p>
    <w:p w14:paraId="61DCD1CA" w14:textId="0B878EF0" w:rsidR="0057242E" w:rsidRDefault="00096A86" w:rsidP="0057242E">
      <w:pPr>
        <w:spacing w:after="120"/>
        <w:jc w:val="both"/>
        <w:rPr>
          <w:rFonts w:ascii="Arial" w:hAnsi="Arial" w:cs="Arial"/>
          <w:b/>
          <w:color w:val="000000"/>
          <w:sz w:val="20"/>
          <w:szCs w:val="20"/>
          <w:lang w:val="en-AU"/>
        </w:rPr>
      </w:pPr>
      <w:r>
        <w:rPr>
          <w:rFonts w:ascii="Arial" w:hAnsi="Arial" w:cs="Arial"/>
          <w:b/>
          <w:color w:val="000000"/>
          <w:sz w:val="20"/>
          <w:szCs w:val="20"/>
          <w:lang w:val="en-AU"/>
        </w:rPr>
        <w:t>Section 3</w:t>
      </w:r>
      <w:r w:rsidR="0057242E" w:rsidRPr="003B728C">
        <w:rPr>
          <w:rFonts w:ascii="Arial" w:hAnsi="Arial" w:cs="Arial"/>
          <w:b/>
          <w:color w:val="000000"/>
          <w:sz w:val="20"/>
          <w:szCs w:val="20"/>
          <w:lang w:val="en-AU"/>
        </w:rPr>
        <w:t>.1 – Background</w:t>
      </w:r>
      <w:r w:rsidR="0057242E" w:rsidRPr="0029582B">
        <w:rPr>
          <w:rFonts w:ascii="Arial" w:hAnsi="Arial" w:cs="Arial"/>
          <w:b/>
          <w:color w:val="000000"/>
          <w:sz w:val="20"/>
          <w:szCs w:val="20"/>
          <w:lang w:val="en-AU"/>
        </w:rPr>
        <w:t xml:space="preserve"> </w:t>
      </w:r>
    </w:p>
    <w:p w14:paraId="6F6918CF" w14:textId="45452B53" w:rsidR="0057242E" w:rsidRDefault="0057242E" w:rsidP="0057242E">
      <w:pPr>
        <w:jc w:val="both"/>
        <w:rPr>
          <w:rFonts w:ascii="Arial" w:hAnsi="Arial" w:cs="Arial"/>
          <w:color w:val="000000"/>
          <w:sz w:val="20"/>
          <w:szCs w:val="20"/>
          <w:lang w:val="en-AU"/>
        </w:rPr>
      </w:pPr>
      <w:r>
        <w:rPr>
          <w:rFonts w:ascii="Arial" w:hAnsi="Arial" w:cs="Arial"/>
          <w:color w:val="000000"/>
          <w:sz w:val="20"/>
          <w:szCs w:val="20"/>
          <w:lang w:val="en-AU"/>
        </w:rPr>
        <w:t xml:space="preserve">Section </w:t>
      </w:r>
      <w:r w:rsidR="00096A86">
        <w:rPr>
          <w:rFonts w:ascii="Arial" w:hAnsi="Arial" w:cs="Arial"/>
          <w:color w:val="000000"/>
          <w:sz w:val="20"/>
          <w:szCs w:val="20"/>
          <w:lang w:val="en-AU"/>
        </w:rPr>
        <w:t>3</w:t>
      </w:r>
      <w:r>
        <w:rPr>
          <w:rFonts w:ascii="Arial" w:hAnsi="Arial" w:cs="Arial"/>
          <w:color w:val="000000"/>
          <w:sz w:val="20"/>
          <w:szCs w:val="20"/>
          <w:lang w:val="en-AU"/>
        </w:rPr>
        <w:t xml:space="preserve">.1 </w:t>
      </w:r>
      <w:r w:rsidR="00733CBE">
        <w:rPr>
          <w:rFonts w:ascii="Arial" w:hAnsi="Arial" w:cs="Arial"/>
          <w:color w:val="000000"/>
          <w:sz w:val="20"/>
          <w:szCs w:val="20"/>
          <w:lang w:val="en-AU"/>
        </w:rPr>
        <w:t>sets out</w:t>
      </w:r>
      <w:r w:rsidR="0069746A">
        <w:rPr>
          <w:rFonts w:ascii="Arial" w:hAnsi="Arial" w:cs="Arial"/>
          <w:color w:val="000000"/>
          <w:sz w:val="20"/>
          <w:szCs w:val="20"/>
          <w:lang w:val="en-AU"/>
        </w:rPr>
        <w:t xml:space="preserve"> </w:t>
      </w:r>
      <w:r w:rsidR="00096A86">
        <w:rPr>
          <w:rFonts w:ascii="Arial" w:hAnsi="Arial" w:cs="Arial"/>
          <w:color w:val="000000"/>
          <w:sz w:val="20"/>
          <w:szCs w:val="20"/>
          <w:lang w:val="en-AU"/>
        </w:rPr>
        <w:t>the frequencies used by the</w:t>
      </w:r>
      <w:r w:rsidR="00120C3C">
        <w:rPr>
          <w:rFonts w:ascii="Arial" w:hAnsi="Arial" w:cs="Arial"/>
          <w:color w:val="000000"/>
          <w:sz w:val="20"/>
          <w:szCs w:val="20"/>
          <w:lang w:val="en-AU"/>
        </w:rPr>
        <w:t xml:space="preserve"> Mobile Satellite Service (</w:t>
      </w:r>
      <w:r w:rsidR="00096A86" w:rsidRPr="00293B1A">
        <w:rPr>
          <w:rFonts w:ascii="Arial" w:hAnsi="Arial" w:cs="Arial"/>
          <w:b/>
          <w:color w:val="000000"/>
          <w:sz w:val="20"/>
          <w:szCs w:val="20"/>
          <w:lang w:val="en-AU"/>
        </w:rPr>
        <w:t>MSS</w:t>
      </w:r>
      <w:r w:rsidR="00120C3C">
        <w:rPr>
          <w:rFonts w:ascii="Arial" w:hAnsi="Arial" w:cs="Arial"/>
          <w:color w:val="000000"/>
          <w:sz w:val="20"/>
          <w:szCs w:val="20"/>
          <w:lang w:val="en-AU"/>
        </w:rPr>
        <w:t>)</w:t>
      </w:r>
      <w:r w:rsidR="0069746A">
        <w:rPr>
          <w:rFonts w:ascii="Arial" w:hAnsi="Arial" w:cs="Arial"/>
          <w:color w:val="000000"/>
          <w:sz w:val="20"/>
          <w:szCs w:val="20"/>
          <w:lang w:val="en-AU"/>
        </w:rPr>
        <w:t>. It provides information on</w:t>
      </w:r>
      <w:r w:rsidR="00096A86">
        <w:rPr>
          <w:rFonts w:ascii="Arial" w:hAnsi="Arial" w:cs="Arial"/>
          <w:color w:val="000000"/>
          <w:sz w:val="20"/>
          <w:szCs w:val="20"/>
          <w:lang w:val="en-AU"/>
        </w:rPr>
        <w:t xml:space="preserve"> general interference management issues between the MSS and radiocommunications transmitters operated under a 2 GHz band spectrum licence. It state</w:t>
      </w:r>
      <w:r w:rsidR="00733CBE">
        <w:rPr>
          <w:rFonts w:ascii="Arial" w:hAnsi="Arial" w:cs="Arial"/>
          <w:color w:val="000000"/>
          <w:sz w:val="20"/>
          <w:szCs w:val="20"/>
          <w:lang w:val="en-AU"/>
        </w:rPr>
        <w:t>s</w:t>
      </w:r>
      <w:r w:rsidR="00096A86">
        <w:rPr>
          <w:rFonts w:ascii="Arial" w:hAnsi="Arial" w:cs="Arial"/>
          <w:color w:val="000000"/>
          <w:sz w:val="20"/>
          <w:szCs w:val="20"/>
          <w:lang w:val="en-AU"/>
        </w:rPr>
        <w:t xml:space="preserve"> that:</w:t>
      </w:r>
    </w:p>
    <w:p w14:paraId="2FE3D2EA" w14:textId="79F65541" w:rsidR="00096A86" w:rsidRDefault="00096A86" w:rsidP="00FF588D">
      <w:pPr>
        <w:numPr>
          <w:ilvl w:val="0"/>
          <w:numId w:val="18"/>
        </w:numPr>
        <w:spacing w:before="120" w:after="120"/>
        <w:ind w:left="284" w:hanging="284"/>
        <w:jc w:val="both"/>
        <w:rPr>
          <w:rFonts w:ascii="Arial" w:hAnsi="Arial" w:cs="Arial"/>
          <w:sz w:val="20"/>
          <w:szCs w:val="20"/>
          <w:lang w:val="en-AU"/>
        </w:rPr>
      </w:pPr>
      <w:r>
        <w:rPr>
          <w:rFonts w:ascii="Arial" w:hAnsi="Arial" w:cs="Arial"/>
          <w:sz w:val="20"/>
          <w:szCs w:val="20"/>
          <w:lang w:val="en-AU"/>
        </w:rPr>
        <w:t xml:space="preserve">the core conditions of the licence are generally considered sufficient to </w:t>
      </w:r>
      <w:r w:rsidR="0069746A">
        <w:rPr>
          <w:rFonts w:ascii="Arial" w:hAnsi="Arial" w:cs="Arial"/>
          <w:sz w:val="20"/>
          <w:szCs w:val="20"/>
          <w:lang w:val="en-AU"/>
        </w:rPr>
        <w:t xml:space="preserve">provide </w:t>
      </w:r>
      <w:r>
        <w:rPr>
          <w:rFonts w:ascii="Arial" w:hAnsi="Arial" w:cs="Arial"/>
          <w:sz w:val="20"/>
          <w:szCs w:val="20"/>
          <w:lang w:val="en-AU"/>
        </w:rPr>
        <w:t>adequate protect</w:t>
      </w:r>
      <w:r w:rsidR="000860A9">
        <w:rPr>
          <w:rFonts w:ascii="Arial" w:hAnsi="Arial" w:cs="Arial"/>
          <w:sz w:val="20"/>
          <w:szCs w:val="20"/>
          <w:lang w:val="en-AU"/>
        </w:rPr>
        <w:t>ion</w:t>
      </w:r>
      <w:r>
        <w:rPr>
          <w:rFonts w:ascii="Arial" w:hAnsi="Arial" w:cs="Arial"/>
          <w:sz w:val="20"/>
          <w:szCs w:val="20"/>
          <w:lang w:val="en-AU"/>
        </w:rPr>
        <w:t xml:space="preserve"> </w:t>
      </w:r>
      <w:r w:rsidR="0069746A">
        <w:rPr>
          <w:rFonts w:ascii="Arial" w:hAnsi="Arial" w:cs="Arial"/>
          <w:sz w:val="20"/>
          <w:szCs w:val="20"/>
          <w:lang w:val="en-AU"/>
        </w:rPr>
        <w:t xml:space="preserve">to </w:t>
      </w:r>
      <w:r>
        <w:rPr>
          <w:rFonts w:ascii="Arial" w:hAnsi="Arial" w:cs="Arial"/>
          <w:sz w:val="20"/>
          <w:szCs w:val="20"/>
          <w:lang w:val="en-AU"/>
        </w:rPr>
        <w:t>the MSS from terrestrial radiocommunications transmitters operating in the 2 GHz band</w:t>
      </w:r>
      <w:r w:rsidRPr="001623E6">
        <w:rPr>
          <w:rFonts w:ascii="Arial" w:hAnsi="Arial" w:cs="Arial"/>
          <w:sz w:val="20"/>
          <w:szCs w:val="20"/>
          <w:lang w:val="en-AU"/>
        </w:rPr>
        <w:t>; and</w:t>
      </w:r>
    </w:p>
    <w:p w14:paraId="04A6C2CF" w14:textId="1CE34DD9" w:rsidR="00096A86" w:rsidRPr="001623E6" w:rsidRDefault="00A405BE" w:rsidP="00096A86">
      <w:pPr>
        <w:numPr>
          <w:ilvl w:val="0"/>
          <w:numId w:val="18"/>
        </w:numPr>
        <w:spacing w:after="120"/>
        <w:ind w:left="284" w:hanging="284"/>
        <w:jc w:val="both"/>
        <w:rPr>
          <w:rFonts w:ascii="Arial" w:hAnsi="Arial" w:cs="Arial"/>
          <w:sz w:val="20"/>
          <w:szCs w:val="20"/>
          <w:lang w:val="en-AU"/>
        </w:rPr>
      </w:pPr>
      <w:r>
        <w:rPr>
          <w:rFonts w:ascii="Arial" w:hAnsi="Arial" w:cs="Arial"/>
          <w:sz w:val="20"/>
          <w:szCs w:val="20"/>
          <w:lang w:val="en-AU"/>
        </w:rPr>
        <w:t>High Altitude Platform (</w:t>
      </w:r>
      <w:r w:rsidR="00096A86">
        <w:rPr>
          <w:rFonts w:ascii="Arial" w:hAnsi="Arial" w:cs="Arial"/>
          <w:sz w:val="20"/>
          <w:szCs w:val="20"/>
          <w:lang w:val="en-AU"/>
        </w:rPr>
        <w:t>HAP</w:t>
      </w:r>
      <w:r>
        <w:rPr>
          <w:rFonts w:ascii="Arial" w:hAnsi="Arial" w:cs="Arial"/>
          <w:sz w:val="20"/>
          <w:szCs w:val="20"/>
          <w:lang w:val="en-AU"/>
        </w:rPr>
        <w:t>s)</w:t>
      </w:r>
      <w:r w:rsidR="00096A86">
        <w:rPr>
          <w:rFonts w:ascii="Arial" w:hAnsi="Arial" w:cs="Arial"/>
          <w:sz w:val="20"/>
          <w:szCs w:val="20"/>
          <w:lang w:val="en-AU"/>
        </w:rPr>
        <w:t xml:space="preserve"> transmitters should pay regard to the requirements of Recommendation ITU-R M.1456-0 </w:t>
      </w:r>
      <w:r w:rsidR="00096A86" w:rsidRPr="00096A86">
        <w:rPr>
          <w:rFonts w:ascii="Arial" w:hAnsi="Arial" w:cs="Arial"/>
          <w:i/>
          <w:sz w:val="20"/>
          <w:szCs w:val="20"/>
          <w:lang w:val="en-AU"/>
        </w:rPr>
        <w:t>Minimum performance characteristics and operational conditions for high altitude platform stations providing IMT-2000 in the bands 1 885-1 980 MHz, 2 010-2 025 MHz and 2 110-2 170 MHz in Regions 1 and 3 and 1 885-1 980 MHz and 2 110-2 160 MHz in Region 2</w:t>
      </w:r>
      <w:r w:rsidR="000860A9">
        <w:rPr>
          <w:rFonts w:ascii="Arial" w:hAnsi="Arial" w:cs="Arial"/>
          <w:sz w:val="20"/>
          <w:szCs w:val="20"/>
          <w:lang w:val="en-AU"/>
        </w:rPr>
        <w:t xml:space="preserve"> for the protection of MS</w:t>
      </w:r>
      <w:r w:rsidR="00096A86" w:rsidRPr="00096A86">
        <w:rPr>
          <w:rFonts w:ascii="Arial" w:hAnsi="Arial" w:cs="Arial"/>
          <w:sz w:val="20"/>
          <w:szCs w:val="20"/>
          <w:lang w:val="en-AU"/>
        </w:rPr>
        <w:t xml:space="preserve">S earth terminals.  </w:t>
      </w:r>
    </w:p>
    <w:p w14:paraId="2DE9A2A7" w14:textId="77777777" w:rsidR="0057242E" w:rsidRDefault="0057242E" w:rsidP="0057242E">
      <w:pPr>
        <w:jc w:val="both"/>
        <w:rPr>
          <w:rFonts w:ascii="Arial" w:hAnsi="Arial" w:cs="Arial"/>
          <w:color w:val="000000"/>
          <w:sz w:val="20"/>
          <w:szCs w:val="20"/>
          <w:lang w:val="en-AU"/>
        </w:rPr>
      </w:pPr>
    </w:p>
    <w:p w14:paraId="7711B868" w14:textId="4347DB02" w:rsidR="0057242E" w:rsidRDefault="00EA4279" w:rsidP="0057242E">
      <w:pPr>
        <w:jc w:val="both"/>
        <w:rPr>
          <w:rFonts w:ascii="Arial" w:hAnsi="Arial" w:cs="Arial"/>
          <w:b/>
          <w:color w:val="000000"/>
          <w:sz w:val="20"/>
          <w:szCs w:val="20"/>
          <w:lang w:val="en-AU"/>
        </w:rPr>
      </w:pPr>
      <w:r>
        <w:rPr>
          <w:rFonts w:ascii="Arial" w:hAnsi="Arial" w:cs="Arial"/>
          <w:b/>
          <w:color w:val="000000"/>
          <w:sz w:val="20"/>
          <w:szCs w:val="20"/>
          <w:lang w:val="en-AU"/>
        </w:rPr>
        <w:t>Section 3</w:t>
      </w:r>
      <w:r w:rsidR="0057242E" w:rsidRPr="007625E7">
        <w:rPr>
          <w:rFonts w:ascii="Arial" w:hAnsi="Arial" w:cs="Arial"/>
          <w:b/>
          <w:color w:val="000000"/>
          <w:sz w:val="20"/>
          <w:szCs w:val="20"/>
          <w:lang w:val="en-AU"/>
        </w:rPr>
        <w:t>.2 – Protection requirements</w:t>
      </w:r>
    </w:p>
    <w:p w14:paraId="7DDC6284" w14:textId="77777777" w:rsidR="0057242E" w:rsidRPr="003B728C" w:rsidRDefault="0057242E" w:rsidP="0057242E">
      <w:pPr>
        <w:jc w:val="both"/>
        <w:rPr>
          <w:rFonts w:ascii="Arial" w:hAnsi="Arial" w:cs="Arial"/>
          <w:color w:val="000000"/>
          <w:sz w:val="20"/>
          <w:szCs w:val="20"/>
          <w:lang w:val="en-AU"/>
        </w:rPr>
      </w:pPr>
    </w:p>
    <w:p w14:paraId="5E241063" w14:textId="099BE819" w:rsidR="00096A86" w:rsidRPr="001623E6" w:rsidRDefault="0057242E" w:rsidP="000860A9">
      <w:pPr>
        <w:jc w:val="both"/>
        <w:rPr>
          <w:rFonts w:ascii="Arial" w:hAnsi="Arial" w:cs="Arial"/>
          <w:sz w:val="20"/>
          <w:szCs w:val="20"/>
          <w:lang w:val="en-AU"/>
        </w:rPr>
      </w:pPr>
      <w:r>
        <w:rPr>
          <w:rFonts w:ascii="Arial" w:hAnsi="Arial" w:cs="Arial"/>
          <w:color w:val="000000"/>
          <w:sz w:val="20"/>
          <w:szCs w:val="20"/>
          <w:lang w:val="en-AU"/>
        </w:rPr>
        <w:t>S</w:t>
      </w:r>
      <w:r w:rsidRPr="003B728C">
        <w:rPr>
          <w:rFonts w:ascii="Arial" w:hAnsi="Arial" w:cs="Arial"/>
          <w:color w:val="000000"/>
          <w:sz w:val="20"/>
          <w:szCs w:val="20"/>
          <w:lang w:val="en-AU"/>
        </w:rPr>
        <w:t xml:space="preserve">ection </w:t>
      </w:r>
      <w:r w:rsidR="00EA4279">
        <w:rPr>
          <w:rFonts w:ascii="Arial" w:hAnsi="Arial" w:cs="Arial"/>
          <w:color w:val="000000"/>
          <w:sz w:val="20"/>
          <w:szCs w:val="20"/>
          <w:lang w:val="en-AU"/>
        </w:rPr>
        <w:t>3</w:t>
      </w:r>
      <w:r>
        <w:rPr>
          <w:rFonts w:ascii="Arial" w:hAnsi="Arial" w:cs="Arial"/>
          <w:color w:val="000000"/>
          <w:sz w:val="20"/>
          <w:szCs w:val="20"/>
          <w:lang w:val="en-AU"/>
        </w:rPr>
        <w:t>.2</w:t>
      </w:r>
      <w:r w:rsidR="00421481">
        <w:rPr>
          <w:rFonts w:ascii="Arial" w:hAnsi="Arial" w:cs="Arial"/>
          <w:color w:val="000000"/>
          <w:sz w:val="20"/>
          <w:szCs w:val="20"/>
          <w:lang w:val="en-AU"/>
        </w:rPr>
        <w:t xml:space="preserve"> </w:t>
      </w:r>
      <w:r w:rsidRPr="003B728C">
        <w:rPr>
          <w:rFonts w:ascii="Arial" w:hAnsi="Arial" w:cs="Arial"/>
          <w:color w:val="000000"/>
          <w:sz w:val="20"/>
          <w:szCs w:val="20"/>
          <w:lang w:val="en-AU"/>
        </w:rPr>
        <w:t>provides that</w:t>
      </w:r>
      <w:r w:rsidR="000860A9">
        <w:rPr>
          <w:rFonts w:ascii="Arial" w:hAnsi="Arial" w:cs="Arial"/>
          <w:color w:val="000000"/>
          <w:sz w:val="20"/>
          <w:szCs w:val="20"/>
          <w:lang w:val="en-AU"/>
        </w:rPr>
        <w:t xml:space="preserve"> </w:t>
      </w:r>
      <w:r w:rsidR="00096A86" w:rsidRPr="003B728C">
        <w:rPr>
          <w:rFonts w:ascii="Arial" w:hAnsi="Arial" w:cs="Arial"/>
          <w:color w:val="000000"/>
          <w:sz w:val="20"/>
          <w:szCs w:val="20"/>
          <w:lang w:val="en-AU"/>
        </w:rPr>
        <w:t xml:space="preserve">a spectrum licensed </w:t>
      </w:r>
      <w:r w:rsidR="00DE6921">
        <w:rPr>
          <w:rFonts w:ascii="Arial" w:hAnsi="Arial" w:cs="Arial"/>
          <w:color w:val="000000"/>
          <w:sz w:val="20"/>
          <w:szCs w:val="20"/>
          <w:lang w:val="en-AU"/>
        </w:rPr>
        <w:t xml:space="preserve">radiocommunications </w:t>
      </w:r>
      <w:r w:rsidR="00096A86" w:rsidRPr="003B728C">
        <w:rPr>
          <w:rFonts w:ascii="Arial" w:hAnsi="Arial" w:cs="Arial"/>
          <w:color w:val="000000"/>
          <w:sz w:val="20"/>
          <w:szCs w:val="20"/>
          <w:lang w:val="en-AU"/>
        </w:rPr>
        <w:t xml:space="preserve">transmitter </w:t>
      </w:r>
      <w:r w:rsidR="00096A86">
        <w:rPr>
          <w:rFonts w:ascii="Arial" w:hAnsi="Arial" w:cs="Arial"/>
          <w:color w:val="000000"/>
          <w:sz w:val="20"/>
          <w:szCs w:val="20"/>
          <w:lang w:val="en-AU"/>
        </w:rPr>
        <w:t xml:space="preserve">operating in the 2 GHz band </w:t>
      </w:r>
      <w:r w:rsidR="00096A86" w:rsidRPr="003B728C">
        <w:rPr>
          <w:rFonts w:ascii="Arial" w:hAnsi="Arial" w:cs="Arial"/>
          <w:color w:val="000000"/>
          <w:sz w:val="20"/>
          <w:szCs w:val="20"/>
          <w:lang w:val="en-AU"/>
        </w:rPr>
        <w:t xml:space="preserve">will not be deemed to cause unacceptable interference to a </w:t>
      </w:r>
      <w:r w:rsidR="00096A86">
        <w:rPr>
          <w:rFonts w:ascii="Arial" w:hAnsi="Arial" w:cs="Arial"/>
          <w:color w:val="000000"/>
          <w:sz w:val="20"/>
          <w:szCs w:val="20"/>
          <w:lang w:val="en-AU"/>
        </w:rPr>
        <w:t>MSS satellite receiver operating in the 1980-2010 MHz band</w:t>
      </w:r>
      <w:r w:rsidR="00096A86" w:rsidRPr="003B728C">
        <w:rPr>
          <w:rFonts w:ascii="Arial" w:hAnsi="Arial" w:cs="Arial"/>
          <w:color w:val="000000"/>
          <w:sz w:val="20"/>
          <w:szCs w:val="20"/>
          <w:lang w:val="en-AU"/>
        </w:rPr>
        <w:t xml:space="preserve"> if it is operated in accordance with the conditions of the licence</w:t>
      </w:r>
      <w:r w:rsidR="000860A9">
        <w:rPr>
          <w:rFonts w:ascii="Arial" w:hAnsi="Arial" w:cs="Arial"/>
          <w:color w:val="000000"/>
          <w:sz w:val="20"/>
          <w:szCs w:val="20"/>
          <w:lang w:val="en-AU"/>
        </w:rPr>
        <w:t xml:space="preserve">. It also states that </w:t>
      </w:r>
      <w:r w:rsidR="00096A86">
        <w:rPr>
          <w:rFonts w:ascii="Arial" w:hAnsi="Arial" w:cs="Arial"/>
          <w:sz w:val="20"/>
          <w:szCs w:val="20"/>
          <w:lang w:val="en-AU"/>
        </w:rPr>
        <w:t xml:space="preserve">HAPS transmitters need to adhere to the requirements of Recommendation ITU-R M.1456-0 </w:t>
      </w:r>
      <w:r w:rsidR="00096A86" w:rsidRPr="00096A86">
        <w:rPr>
          <w:rFonts w:ascii="Arial" w:hAnsi="Arial" w:cs="Arial"/>
          <w:i/>
          <w:sz w:val="20"/>
          <w:szCs w:val="20"/>
          <w:lang w:val="en-AU"/>
        </w:rPr>
        <w:t>Minimum performance characteristics and operational conditions for high altitude platform stations providing IMT-2000 in the bands 1 885-1 980 MHz, 2 010-2 025 MHz and 2 110-2 170 MHz in Regions 1 and 3 and 1 885-1 980 MHz and 2 110-2 160 MHz in Region 2</w:t>
      </w:r>
      <w:r w:rsidR="00096A86" w:rsidRPr="00096A86">
        <w:rPr>
          <w:rFonts w:ascii="Arial" w:hAnsi="Arial" w:cs="Arial"/>
          <w:sz w:val="20"/>
          <w:szCs w:val="20"/>
          <w:lang w:val="en-AU"/>
        </w:rPr>
        <w:t xml:space="preserve">.  </w:t>
      </w:r>
    </w:p>
    <w:p w14:paraId="460861E1" w14:textId="77777777" w:rsidR="0057242E" w:rsidRDefault="0057242E" w:rsidP="0057242E">
      <w:pPr>
        <w:jc w:val="both"/>
        <w:rPr>
          <w:rFonts w:ascii="Arial" w:hAnsi="Arial" w:cs="Arial"/>
          <w:color w:val="000000"/>
          <w:sz w:val="20"/>
          <w:szCs w:val="20"/>
          <w:lang w:val="en-AU"/>
        </w:rPr>
      </w:pPr>
    </w:p>
    <w:p w14:paraId="3C191324" w14:textId="77777777" w:rsidR="00733CBE" w:rsidRDefault="00733CBE" w:rsidP="0057242E">
      <w:pPr>
        <w:jc w:val="both"/>
        <w:rPr>
          <w:rFonts w:ascii="Arial" w:hAnsi="Arial" w:cs="Arial"/>
          <w:b/>
          <w:color w:val="000000"/>
          <w:sz w:val="20"/>
          <w:szCs w:val="20"/>
          <w:lang w:val="en-AU"/>
        </w:rPr>
      </w:pPr>
    </w:p>
    <w:p w14:paraId="29001B6E" w14:textId="77777777" w:rsidR="00733CBE" w:rsidRDefault="00733CBE" w:rsidP="0057242E">
      <w:pPr>
        <w:jc w:val="both"/>
        <w:rPr>
          <w:rFonts w:ascii="Arial" w:hAnsi="Arial" w:cs="Arial"/>
          <w:b/>
          <w:color w:val="000000"/>
          <w:sz w:val="20"/>
          <w:szCs w:val="20"/>
          <w:lang w:val="en-AU"/>
        </w:rPr>
      </w:pPr>
    </w:p>
    <w:p w14:paraId="04290C27" w14:textId="77777777" w:rsidR="00733CBE" w:rsidRDefault="00733CBE" w:rsidP="0057242E">
      <w:pPr>
        <w:jc w:val="both"/>
        <w:rPr>
          <w:rFonts w:ascii="Arial" w:hAnsi="Arial" w:cs="Arial"/>
          <w:b/>
          <w:color w:val="000000"/>
          <w:sz w:val="20"/>
          <w:szCs w:val="20"/>
          <w:lang w:val="en-AU"/>
        </w:rPr>
      </w:pPr>
    </w:p>
    <w:p w14:paraId="35C3E8B2" w14:textId="77777777" w:rsidR="00733CBE" w:rsidRDefault="00733CBE" w:rsidP="0057242E">
      <w:pPr>
        <w:jc w:val="both"/>
        <w:rPr>
          <w:rFonts w:ascii="Arial" w:hAnsi="Arial" w:cs="Arial"/>
          <w:b/>
          <w:color w:val="000000"/>
          <w:sz w:val="20"/>
          <w:szCs w:val="20"/>
          <w:lang w:val="en-AU"/>
        </w:rPr>
      </w:pPr>
    </w:p>
    <w:p w14:paraId="37C2B4CE" w14:textId="77777777" w:rsidR="00733CBE" w:rsidRDefault="00733CBE" w:rsidP="0057242E">
      <w:pPr>
        <w:jc w:val="both"/>
        <w:rPr>
          <w:rFonts w:ascii="Arial" w:hAnsi="Arial" w:cs="Arial"/>
          <w:b/>
          <w:color w:val="000000"/>
          <w:sz w:val="20"/>
          <w:szCs w:val="20"/>
          <w:lang w:val="en-AU"/>
        </w:rPr>
      </w:pPr>
    </w:p>
    <w:p w14:paraId="3C0ADC28" w14:textId="5CCB09FB" w:rsidR="0057242E" w:rsidRPr="00096A86" w:rsidRDefault="00EA4279" w:rsidP="0057242E">
      <w:pPr>
        <w:jc w:val="both"/>
        <w:rPr>
          <w:rFonts w:ascii="Arial" w:hAnsi="Arial" w:cs="Arial"/>
          <w:b/>
          <w:color w:val="000000"/>
          <w:sz w:val="20"/>
          <w:szCs w:val="20"/>
          <w:lang w:val="en-AU"/>
        </w:rPr>
      </w:pPr>
      <w:r>
        <w:rPr>
          <w:rFonts w:ascii="Arial" w:hAnsi="Arial" w:cs="Arial"/>
          <w:b/>
          <w:color w:val="000000"/>
          <w:sz w:val="20"/>
          <w:szCs w:val="20"/>
          <w:lang w:val="en-AU"/>
        </w:rPr>
        <w:t>Part 4</w:t>
      </w:r>
      <w:r w:rsidR="00096A86" w:rsidRPr="00096A86">
        <w:rPr>
          <w:rFonts w:ascii="Arial" w:hAnsi="Arial" w:cs="Arial"/>
          <w:b/>
          <w:color w:val="000000"/>
          <w:sz w:val="20"/>
          <w:szCs w:val="20"/>
          <w:lang w:val="en-AU"/>
        </w:rPr>
        <w:t xml:space="preserve"> – Space </w:t>
      </w:r>
      <w:r w:rsidR="00837DAE">
        <w:rPr>
          <w:rFonts w:ascii="Arial" w:hAnsi="Arial" w:cs="Arial"/>
          <w:b/>
          <w:color w:val="000000"/>
          <w:sz w:val="20"/>
          <w:szCs w:val="20"/>
          <w:lang w:val="en-AU"/>
        </w:rPr>
        <w:t>services</w:t>
      </w:r>
    </w:p>
    <w:p w14:paraId="07ACC75F" w14:textId="77777777" w:rsidR="0057242E" w:rsidRPr="00096A86" w:rsidRDefault="0057242E" w:rsidP="0057242E">
      <w:pPr>
        <w:jc w:val="both"/>
        <w:rPr>
          <w:rFonts w:ascii="Arial" w:hAnsi="Arial" w:cs="Arial"/>
          <w:b/>
          <w:color w:val="000000"/>
          <w:sz w:val="20"/>
          <w:szCs w:val="20"/>
          <w:lang w:val="en-AU"/>
        </w:rPr>
      </w:pPr>
    </w:p>
    <w:p w14:paraId="0A693D04" w14:textId="0208A1AB" w:rsidR="0057242E" w:rsidRPr="00096A86" w:rsidRDefault="00EA4279" w:rsidP="0057242E">
      <w:pPr>
        <w:jc w:val="both"/>
        <w:rPr>
          <w:rFonts w:ascii="Arial" w:hAnsi="Arial" w:cs="Arial"/>
          <w:b/>
          <w:color w:val="000000"/>
          <w:sz w:val="20"/>
          <w:szCs w:val="20"/>
          <w:lang w:val="en-AU"/>
        </w:rPr>
      </w:pPr>
      <w:r>
        <w:rPr>
          <w:rFonts w:ascii="Arial" w:hAnsi="Arial" w:cs="Arial"/>
          <w:b/>
          <w:color w:val="000000"/>
          <w:sz w:val="20"/>
          <w:szCs w:val="20"/>
          <w:lang w:val="en-AU"/>
        </w:rPr>
        <w:t>Section 4</w:t>
      </w:r>
      <w:r w:rsidR="0057242E" w:rsidRPr="00096A86">
        <w:rPr>
          <w:rFonts w:ascii="Arial" w:hAnsi="Arial" w:cs="Arial"/>
          <w:b/>
          <w:color w:val="000000"/>
          <w:sz w:val="20"/>
          <w:szCs w:val="20"/>
          <w:lang w:val="en-AU"/>
        </w:rPr>
        <w:t xml:space="preserve">.1 </w:t>
      </w:r>
      <w:r w:rsidR="00733CBE">
        <w:rPr>
          <w:rFonts w:ascii="Arial" w:hAnsi="Arial" w:cs="Arial"/>
          <w:b/>
          <w:color w:val="000000"/>
          <w:sz w:val="20"/>
          <w:szCs w:val="20"/>
          <w:lang w:val="en-AU"/>
        </w:rPr>
        <w:t>–</w:t>
      </w:r>
      <w:r w:rsidR="0057242E" w:rsidRPr="00096A86">
        <w:rPr>
          <w:rFonts w:ascii="Arial" w:hAnsi="Arial" w:cs="Arial"/>
          <w:b/>
          <w:color w:val="000000"/>
          <w:sz w:val="20"/>
          <w:szCs w:val="20"/>
          <w:lang w:val="en-AU"/>
        </w:rPr>
        <w:t xml:space="preserve"> Background </w:t>
      </w:r>
    </w:p>
    <w:p w14:paraId="02566A18" w14:textId="77777777" w:rsidR="0057242E" w:rsidRPr="00096A86" w:rsidRDefault="0057242E" w:rsidP="0057242E">
      <w:pPr>
        <w:jc w:val="both"/>
        <w:rPr>
          <w:rFonts w:ascii="Arial" w:hAnsi="Arial" w:cs="Arial"/>
          <w:b/>
          <w:color w:val="000000"/>
          <w:sz w:val="20"/>
          <w:szCs w:val="20"/>
          <w:lang w:val="en-AU"/>
        </w:rPr>
      </w:pPr>
    </w:p>
    <w:p w14:paraId="4830D191" w14:textId="3D23AB7F" w:rsidR="0057242E" w:rsidRPr="0057242E" w:rsidRDefault="00093274" w:rsidP="0057242E">
      <w:pPr>
        <w:jc w:val="both"/>
        <w:rPr>
          <w:rFonts w:ascii="Arial" w:hAnsi="Arial" w:cs="Arial"/>
          <w:color w:val="000000"/>
          <w:sz w:val="20"/>
          <w:szCs w:val="20"/>
          <w:lang w:val="en-AU"/>
        </w:rPr>
      </w:pPr>
      <w:r w:rsidRPr="0069746A">
        <w:rPr>
          <w:rFonts w:ascii="Arial" w:hAnsi="Arial" w:cs="Arial"/>
          <w:color w:val="000000"/>
          <w:sz w:val="20"/>
          <w:szCs w:val="20"/>
          <w:lang w:val="en-AU"/>
        </w:rPr>
        <w:t>Section 4</w:t>
      </w:r>
      <w:r w:rsidR="0057242E" w:rsidRPr="0069746A">
        <w:rPr>
          <w:rFonts w:ascii="Arial" w:hAnsi="Arial" w:cs="Arial"/>
          <w:color w:val="000000"/>
          <w:sz w:val="20"/>
          <w:szCs w:val="20"/>
          <w:lang w:val="en-AU"/>
        </w:rPr>
        <w:t>.1</w:t>
      </w:r>
      <w:r w:rsidR="00421481">
        <w:rPr>
          <w:rFonts w:ascii="Arial" w:hAnsi="Arial" w:cs="Arial"/>
          <w:color w:val="000000"/>
          <w:sz w:val="20"/>
          <w:szCs w:val="20"/>
          <w:lang w:val="en-AU"/>
        </w:rPr>
        <w:t xml:space="preserve"> </w:t>
      </w:r>
      <w:r w:rsidR="0057242E" w:rsidRPr="0069746A">
        <w:rPr>
          <w:rFonts w:ascii="Arial" w:hAnsi="Arial" w:cs="Arial"/>
          <w:color w:val="000000"/>
          <w:sz w:val="20"/>
          <w:szCs w:val="20"/>
          <w:lang w:val="en-AU"/>
        </w:rPr>
        <w:t>outlines</w:t>
      </w:r>
      <w:r w:rsidR="00837DAE">
        <w:rPr>
          <w:rFonts w:ascii="Arial" w:hAnsi="Arial" w:cs="Arial"/>
          <w:color w:val="000000"/>
          <w:sz w:val="20"/>
          <w:szCs w:val="20"/>
          <w:lang w:val="en-AU"/>
        </w:rPr>
        <w:t xml:space="preserve"> </w:t>
      </w:r>
      <w:r w:rsidR="0057242E" w:rsidRPr="0069746A">
        <w:rPr>
          <w:rFonts w:ascii="Arial" w:hAnsi="Arial" w:cs="Arial"/>
          <w:color w:val="000000"/>
          <w:sz w:val="20"/>
          <w:szCs w:val="20"/>
          <w:lang w:val="en-AU"/>
        </w:rPr>
        <w:t xml:space="preserve">the use of the </w:t>
      </w:r>
      <w:r w:rsidRPr="0069746A">
        <w:rPr>
          <w:rFonts w:ascii="Arial" w:hAnsi="Arial" w:cs="Arial"/>
          <w:color w:val="000000"/>
          <w:sz w:val="20"/>
          <w:szCs w:val="20"/>
          <w:lang w:val="en-AU"/>
        </w:rPr>
        <w:t>2025-21</w:t>
      </w:r>
      <w:r w:rsidR="000860A9">
        <w:rPr>
          <w:rFonts w:ascii="Arial" w:hAnsi="Arial" w:cs="Arial"/>
          <w:color w:val="000000"/>
          <w:sz w:val="20"/>
          <w:szCs w:val="20"/>
          <w:lang w:val="en-AU"/>
        </w:rPr>
        <w:t>20 MHz</w:t>
      </w:r>
      <w:r w:rsidRPr="0069746A">
        <w:rPr>
          <w:rFonts w:ascii="Arial" w:hAnsi="Arial" w:cs="Arial"/>
          <w:color w:val="000000"/>
          <w:sz w:val="20"/>
          <w:szCs w:val="20"/>
          <w:lang w:val="en-AU"/>
        </w:rPr>
        <w:t xml:space="preserve"> and </w:t>
      </w:r>
      <w:r w:rsidR="0057242E" w:rsidRPr="0069746A">
        <w:rPr>
          <w:rFonts w:ascii="Arial" w:hAnsi="Arial" w:cs="Arial"/>
          <w:color w:val="000000"/>
          <w:sz w:val="20"/>
          <w:szCs w:val="20"/>
          <w:lang w:val="en-AU"/>
        </w:rPr>
        <w:t>2200-2300 MHz band</w:t>
      </w:r>
      <w:r w:rsidRPr="0069746A">
        <w:rPr>
          <w:rFonts w:ascii="Arial" w:hAnsi="Arial" w:cs="Arial"/>
          <w:color w:val="000000"/>
          <w:sz w:val="20"/>
          <w:szCs w:val="20"/>
          <w:lang w:val="en-AU"/>
        </w:rPr>
        <w:t>s</w:t>
      </w:r>
      <w:r w:rsidR="0057242E" w:rsidRPr="0069746A">
        <w:rPr>
          <w:rFonts w:ascii="Arial" w:hAnsi="Arial" w:cs="Arial"/>
          <w:color w:val="000000"/>
          <w:sz w:val="20"/>
          <w:szCs w:val="20"/>
          <w:lang w:val="en-AU"/>
        </w:rPr>
        <w:t xml:space="preserve"> by space research, space operations and earth exploration-satellite services. Details of the relevant earth stations to protect are contained on the Register</w:t>
      </w:r>
      <w:r w:rsidR="00624E93">
        <w:rPr>
          <w:rFonts w:ascii="Arial" w:hAnsi="Arial" w:cs="Arial"/>
          <w:color w:val="000000"/>
          <w:sz w:val="20"/>
          <w:szCs w:val="20"/>
          <w:lang w:val="en-AU"/>
        </w:rPr>
        <w:t xml:space="preserve"> of Radiocommunications Licences (</w:t>
      </w:r>
      <w:r w:rsidR="00624E93" w:rsidRPr="00E02DF3">
        <w:rPr>
          <w:rFonts w:ascii="Arial" w:hAnsi="Arial" w:cs="Arial"/>
          <w:b/>
          <w:color w:val="000000"/>
          <w:sz w:val="20"/>
          <w:szCs w:val="20"/>
          <w:lang w:val="en-AU"/>
        </w:rPr>
        <w:t>the Register</w:t>
      </w:r>
      <w:r w:rsidR="00624E93">
        <w:rPr>
          <w:rFonts w:ascii="Arial" w:hAnsi="Arial" w:cs="Arial"/>
          <w:color w:val="000000"/>
          <w:sz w:val="20"/>
          <w:szCs w:val="20"/>
          <w:lang w:val="en-AU"/>
        </w:rPr>
        <w:t xml:space="preserve">) established and </w:t>
      </w:r>
      <w:r w:rsidR="00DE6921">
        <w:rPr>
          <w:rFonts w:ascii="Arial" w:hAnsi="Arial" w:cs="Arial"/>
          <w:color w:val="000000"/>
          <w:sz w:val="20"/>
          <w:szCs w:val="20"/>
          <w:lang w:val="en-AU"/>
        </w:rPr>
        <w:t>kept</w:t>
      </w:r>
      <w:r w:rsidR="00624E93">
        <w:rPr>
          <w:rFonts w:ascii="Arial" w:hAnsi="Arial" w:cs="Arial"/>
          <w:color w:val="000000"/>
          <w:sz w:val="20"/>
          <w:szCs w:val="20"/>
          <w:lang w:val="en-AU"/>
        </w:rPr>
        <w:t xml:space="preserve"> under the Act</w:t>
      </w:r>
      <w:r w:rsidR="0057242E" w:rsidRPr="0069746A">
        <w:rPr>
          <w:rFonts w:ascii="Arial" w:hAnsi="Arial" w:cs="Arial"/>
          <w:color w:val="000000"/>
          <w:sz w:val="20"/>
          <w:szCs w:val="20"/>
          <w:lang w:val="en-AU"/>
        </w:rPr>
        <w:t>.</w:t>
      </w:r>
    </w:p>
    <w:p w14:paraId="13E48006" w14:textId="77777777" w:rsidR="0057242E" w:rsidRPr="0057242E" w:rsidRDefault="0057242E" w:rsidP="0057242E">
      <w:pPr>
        <w:jc w:val="both"/>
        <w:rPr>
          <w:rFonts w:ascii="Arial" w:hAnsi="Arial" w:cs="Arial"/>
          <w:color w:val="000000"/>
          <w:sz w:val="20"/>
          <w:szCs w:val="20"/>
          <w:lang w:val="en-AU"/>
        </w:rPr>
      </w:pPr>
    </w:p>
    <w:p w14:paraId="7A6E8BE0" w14:textId="6100C4FE" w:rsidR="00096A86" w:rsidRPr="00096A86" w:rsidRDefault="00EA4279" w:rsidP="00096A86">
      <w:pPr>
        <w:jc w:val="both"/>
        <w:rPr>
          <w:rFonts w:ascii="Arial" w:hAnsi="Arial" w:cs="Arial"/>
          <w:b/>
          <w:color w:val="000000"/>
          <w:sz w:val="20"/>
          <w:szCs w:val="20"/>
          <w:lang w:val="en-AU"/>
        </w:rPr>
      </w:pPr>
      <w:r>
        <w:rPr>
          <w:rFonts w:ascii="Arial" w:hAnsi="Arial" w:cs="Arial"/>
          <w:b/>
          <w:color w:val="000000"/>
          <w:sz w:val="20"/>
          <w:szCs w:val="20"/>
          <w:lang w:val="en-AU"/>
        </w:rPr>
        <w:t>Section 4</w:t>
      </w:r>
      <w:r w:rsidR="00096A86" w:rsidRPr="00096A86">
        <w:rPr>
          <w:rFonts w:ascii="Arial" w:hAnsi="Arial" w:cs="Arial"/>
          <w:b/>
          <w:color w:val="000000"/>
          <w:sz w:val="20"/>
          <w:szCs w:val="20"/>
          <w:lang w:val="en-AU"/>
        </w:rPr>
        <w:t>.2 – Protection requirements</w:t>
      </w:r>
    </w:p>
    <w:p w14:paraId="33A5CB21" w14:textId="77777777" w:rsidR="00096A86" w:rsidRDefault="00096A86" w:rsidP="0057242E">
      <w:pPr>
        <w:jc w:val="both"/>
        <w:rPr>
          <w:rFonts w:ascii="Arial" w:hAnsi="Arial" w:cs="Arial"/>
          <w:color w:val="000000"/>
          <w:sz w:val="20"/>
          <w:szCs w:val="20"/>
          <w:lang w:val="en-AU"/>
        </w:rPr>
      </w:pPr>
    </w:p>
    <w:p w14:paraId="3E4C1A81" w14:textId="1C770B9E" w:rsidR="0057242E" w:rsidRPr="0057242E" w:rsidRDefault="0069746A" w:rsidP="0069746A">
      <w:pPr>
        <w:jc w:val="both"/>
        <w:rPr>
          <w:rFonts w:ascii="Arial" w:hAnsi="Arial" w:cs="Arial"/>
          <w:color w:val="000000"/>
          <w:sz w:val="20"/>
          <w:szCs w:val="20"/>
          <w:lang w:val="en-AU"/>
        </w:rPr>
      </w:pPr>
      <w:r w:rsidRPr="0069746A">
        <w:rPr>
          <w:rFonts w:ascii="Arial" w:hAnsi="Arial" w:cs="Arial"/>
          <w:color w:val="000000"/>
          <w:sz w:val="20"/>
          <w:szCs w:val="20"/>
          <w:lang w:val="en-AU"/>
        </w:rPr>
        <w:t>Section 4</w:t>
      </w:r>
      <w:r w:rsidR="0057242E" w:rsidRPr="0069746A">
        <w:rPr>
          <w:rFonts w:ascii="Arial" w:hAnsi="Arial" w:cs="Arial"/>
          <w:color w:val="000000"/>
          <w:sz w:val="20"/>
          <w:szCs w:val="20"/>
          <w:lang w:val="en-AU"/>
        </w:rPr>
        <w:t xml:space="preserve">.2 </w:t>
      </w:r>
      <w:r w:rsidR="000860A9">
        <w:rPr>
          <w:rFonts w:ascii="Arial" w:hAnsi="Arial" w:cs="Arial"/>
          <w:color w:val="000000"/>
          <w:sz w:val="20"/>
          <w:szCs w:val="20"/>
          <w:lang w:val="en-AU"/>
        </w:rPr>
        <w:t>provides</w:t>
      </w:r>
      <w:r w:rsidR="0057242E" w:rsidRPr="0069746A">
        <w:rPr>
          <w:rFonts w:ascii="Arial" w:hAnsi="Arial" w:cs="Arial"/>
          <w:color w:val="000000"/>
          <w:sz w:val="20"/>
          <w:szCs w:val="20"/>
          <w:lang w:val="en-AU"/>
        </w:rPr>
        <w:t xml:space="preserve"> the protection requirements for Earth station radiocommunications receivers operating in the </w:t>
      </w:r>
      <w:r w:rsidRPr="0069746A">
        <w:rPr>
          <w:rFonts w:ascii="Arial" w:hAnsi="Arial" w:cs="Arial"/>
          <w:color w:val="000000"/>
          <w:sz w:val="20"/>
          <w:szCs w:val="20"/>
          <w:lang w:val="en-AU"/>
        </w:rPr>
        <w:t>space research, space operations and earth exploration-satellite services</w:t>
      </w:r>
      <w:r>
        <w:rPr>
          <w:rFonts w:ascii="Arial" w:hAnsi="Arial" w:cs="Arial"/>
          <w:color w:val="000000"/>
          <w:sz w:val="20"/>
          <w:szCs w:val="20"/>
          <w:lang w:val="en-AU"/>
        </w:rPr>
        <w:t xml:space="preserve"> in </w:t>
      </w:r>
      <w:r w:rsidRPr="0069746A">
        <w:rPr>
          <w:rFonts w:ascii="Arial" w:hAnsi="Arial" w:cs="Arial"/>
          <w:color w:val="000000"/>
          <w:sz w:val="20"/>
          <w:szCs w:val="20"/>
          <w:lang w:val="en-AU"/>
        </w:rPr>
        <w:t>the 2025-2110 MHz, 2110-2120 MHz and 2200-2300 MHz bands</w:t>
      </w:r>
      <w:r>
        <w:rPr>
          <w:rFonts w:ascii="Arial" w:hAnsi="Arial" w:cs="Arial"/>
          <w:color w:val="000000"/>
          <w:sz w:val="20"/>
          <w:szCs w:val="20"/>
          <w:lang w:val="en-AU"/>
        </w:rPr>
        <w:t xml:space="preserve">. </w:t>
      </w:r>
    </w:p>
    <w:p w14:paraId="4A9FDA44" w14:textId="77777777" w:rsidR="0057242E" w:rsidRDefault="0057242E" w:rsidP="0057242E">
      <w:pPr>
        <w:jc w:val="both"/>
        <w:rPr>
          <w:rFonts w:ascii="Arial" w:hAnsi="Arial" w:cs="Arial"/>
          <w:color w:val="000000"/>
          <w:sz w:val="20"/>
          <w:szCs w:val="20"/>
          <w:lang w:val="en-AU"/>
        </w:rPr>
      </w:pPr>
    </w:p>
    <w:p w14:paraId="2DE4122B" w14:textId="43BC9C0E" w:rsidR="0057242E" w:rsidRPr="00EA4279" w:rsidRDefault="0057242E" w:rsidP="0057242E">
      <w:pPr>
        <w:jc w:val="both"/>
        <w:rPr>
          <w:rFonts w:ascii="Arial" w:hAnsi="Arial" w:cs="Arial"/>
          <w:b/>
          <w:color w:val="000000"/>
          <w:sz w:val="20"/>
          <w:szCs w:val="20"/>
          <w:lang w:val="en-AU"/>
        </w:rPr>
      </w:pPr>
      <w:r w:rsidRPr="00EA4279">
        <w:rPr>
          <w:rFonts w:ascii="Arial" w:hAnsi="Arial" w:cs="Arial"/>
          <w:b/>
          <w:color w:val="000000"/>
          <w:sz w:val="20"/>
          <w:szCs w:val="20"/>
          <w:lang w:val="en-AU"/>
        </w:rPr>
        <w:t xml:space="preserve">Part 5 – Television outside broadcast </w:t>
      </w:r>
      <w:r w:rsidR="00493268">
        <w:rPr>
          <w:rFonts w:ascii="Arial" w:hAnsi="Arial" w:cs="Arial"/>
          <w:b/>
          <w:color w:val="000000"/>
          <w:sz w:val="20"/>
          <w:szCs w:val="20"/>
          <w:lang w:val="en-AU"/>
        </w:rPr>
        <w:t xml:space="preserve">(TVOB) </w:t>
      </w:r>
      <w:r w:rsidRPr="00EA4279">
        <w:rPr>
          <w:rFonts w:ascii="Arial" w:hAnsi="Arial" w:cs="Arial"/>
          <w:b/>
          <w:color w:val="000000"/>
          <w:sz w:val="20"/>
          <w:szCs w:val="20"/>
          <w:lang w:val="en-AU"/>
        </w:rPr>
        <w:t>service</w:t>
      </w:r>
      <w:r w:rsidR="00624E93">
        <w:rPr>
          <w:rFonts w:ascii="Arial" w:hAnsi="Arial" w:cs="Arial"/>
          <w:b/>
          <w:color w:val="000000"/>
          <w:sz w:val="20"/>
          <w:szCs w:val="20"/>
          <w:lang w:val="en-AU"/>
        </w:rPr>
        <w:t>s</w:t>
      </w:r>
      <w:r w:rsidRPr="00EA4279">
        <w:rPr>
          <w:rFonts w:ascii="Arial" w:hAnsi="Arial" w:cs="Arial"/>
          <w:b/>
          <w:color w:val="000000"/>
          <w:sz w:val="20"/>
          <w:szCs w:val="20"/>
          <w:lang w:val="en-AU"/>
        </w:rPr>
        <w:t xml:space="preserve"> </w:t>
      </w:r>
    </w:p>
    <w:p w14:paraId="2199D277" w14:textId="77777777" w:rsidR="0057242E" w:rsidRPr="00EA4279" w:rsidRDefault="0057242E" w:rsidP="0057242E">
      <w:pPr>
        <w:jc w:val="both"/>
        <w:rPr>
          <w:rFonts w:ascii="Arial" w:hAnsi="Arial" w:cs="Arial"/>
          <w:b/>
          <w:color w:val="000000"/>
          <w:sz w:val="20"/>
          <w:szCs w:val="20"/>
          <w:lang w:val="en-AU"/>
        </w:rPr>
      </w:pPr>
    </w:p>
    <w:p w14:paraId="252BE6B7" w14:textId="4D397B29" w:rsidR="0057242E" w:rsidRPr="00EA4279" w:rsidRDefault="0057242E" w:rsidP="0057242E">
      <w:pPr>
        <w:jc w:val="both"/>
        <w:rPr>
          <w:rFonts w:ascii="Arial" w:hAnsi="Arial" w:cs="Arial"/>
          <w:b/>
          <w:color w:val="000000"/>
          <w:sz w:val="20"/>
          <w:szCs w:val="20"/>
          <w:lang w:val="en-AU"/>
        </w:rPr>
      </w:pPr>
      <w:r w:rsidRPr="00EA4279">
        <w:rPr>
          <w:rFonts w:ascii="Arial" w:hAnsi="Arial" w:cs="Arial"/>
          <w:b/>
          <w:color w:val="000000"/>
          <w:sz w:val="20"/>
          <w:szCs w:val="20"/>
          <w:lang w:val="en-AU"/>
        </w:rPr>
        <w:t xml:space="preserve">Section 5.1 – Background </w:t>
      </w:r>
    </w:p>
    <w:p w14:paraId="203EB8E6" w14:textId="77777777" w:rsidR="0057242E" w:rsidRPr="0057242E" w:rsidRDefault="0057242E" w:rsidP="0057242E">
      <w:pPr>
        <w:jc w:val="both"/>
        <w:rPr>
          <w:rFonts w:ascii="Arial" w:hAnsi="Arial" w:cs="Arial"/>
          <w:color w:val="000000"/>
          <w:sz w:val="20"/>
          <w:szCs w:val="20"/>
          <w:lang w:val="en-AU"/>
        </w:rPr>
      </w:pPr>
    </w:p>
    <w:p w14:paraId="71854143" w14:textId="1E057621" w:rsidR="0057242E" w:rsidRDefault="0057242E" w:rsidP="0057242E">
      <w:pPr>
        <w:jc w:val="both"/>
        <w:rPr>
          <w:rFonts w:ascii="Arial" w:hAnsi="Arial" w:cs="Arial"/>
          <w:color w:val="000000"/>
          <w:sz w:val="20"/>
          <w:szCs w:val="20"/>
          <w:lang w:val="en-AU"/>
        </w:rPr>
      </w:pPr>
      <w:r w:rsidRPr="0057242E">
        <w:rPr>
          <w:rFonts w:ascii="Arial" w:hAnsi="Arial" w:cs="Arial"/>
          <w:color w:val="000000"/>
          <w:sz w:val="20"/>
          <w:szCs w:val="20"/>
          <w:lang w:val="en-AU"/>
        </w:rPr>
        <w:t xml:space="preserve">Section 5.1 states that the </w:t>
      </w:r>
      <w:r w:rsidRPr="0069746A">
        <w:rPr>
          <w:rFonts w:ascii="Arial" w:hAnsi="Arial" w:cs="Arial"/>
          <w:i/>
          <w:color w:val="000000"/>
          <w:sz w:val="20"/>
          <w:szCs w:val="20"/>
          <w:lang w:val="en-AU"/>
        </w:rPr>
        <w:t xml:space="preserve">Television </w:t>
      </w:r>
      <w:proofErr w:type="gramStart"/>
      <w:r w:rsidRPr="0069746A">
        <w:rPr>
          <w:rFonts w:ascii="Arial" w:hAnsi="Arial" w:cs="Arial"/>
          <w:i/>
          <w:color w:val="000000"/>
          <w:sz w:val="20"/>
          <w:szCs w:val="20"/>
          <w:lang w:val="en-AU"/>
        </w:rPr>
        <w:t>Outside</w:t>
      </w:r>
      <w:proofErr w:type="gramEnd"/>
      <w:r w:rsidRPr="0069746A">
        <w:rPr>
          <w:rFonts w:ascii="Arial" w:hAnsi="Arial" w:cs="Arial"/>
          <w:i/>
          <w:color w:val="000000"/>
          <w:sz w:val="20"/>
          <w:szCs w:val="20"/>
          <w:lang w:val="en-AU"/>
        </w:rPr>
        <w:t xml:space="preserve"> Broadcast Service (1980–2110 MHz and 2170–2300 MHz) Frequency Band Plan 2012</w:t>
      </w:r>
      <w:r w:rsidRPr="0057242E">
        <w:rPr>
          <w:rFonts w:ascii="Arial" w:hAnsi="Arial" w:cs="Arial"/>
          <w:color w:val="000000"/>
          <w:sz w:val="20"/>
          <w:szCs w:val="20"/>
          <w:lang w:val="en-AU"/>
        </w:rPr>
        <w:t xml:space="preserve"> makes provision for television outside broadcast (</w:t>
      </w:r>
      <w:r w:rsidRPr="00293B1A">
        <w:rPr>
          <w:rFonts w:ascii="Arial" w:hAnsi="Arial" w:cs="Arial"/>
          <w:b/>
          <w:color w:val="000000"/>
          <w:sz w:val="20"/>
          <w:szCs w:val="20"/>
          <w:lang w:val="en-AU"/>
        </w:rPr>
        <w:t>TVOB</w:t>
      </w:r>
      <w:r w:rsidRPr="0057242E">
        <w:rPr>
          <w:rFonts w:ascii="Arial" w:hAnsi="Arial" w:cs="Arial"/>
          <w:color w:val="000000"/>
          <w:sz w:val="20"/>
          <w:szCs w:val="20"/>
          <w:lang w:val="en-AU"/>
        </w:rPr>
        <w:t xml:space="preserve">) services to operate in the 1980–2110 MHz and 2170–2300 MHz frequency bands. </w:t>
      </w:r>
    </w:p>
    <w:p w14:paraId="20258A06" w14:textId="77777777" w:rsidR="0057242E" w:rsidRDefault="0057242E" w:rsidP="0057242E">
      <w:pPr>
        <w:jc w:val="both"/>
        <w:rPr>
          <w:rFonts w:ascii="Arial" w:hAnsi="Arial" w:cs="Arial"/>
          <w:color w:val="000000"/>
          <w:sz w:val="20"/>
          <w:szCs w:val="20"/>
          <w:lang w:val="en-AU"/>
        </w:rPr>
      </w:pPr>
    </w:p>
    <w:p w14:paraId="3136A112" w14:textId="52919FA3" w:rsidR="00EA4279" w:rsidRDefault="00EA4279" w:rsidP="0057242E">
      <w:pPr>
        <w:jc w:val="both"/>
        <w:rPr>
          <w:rFonts w:ascii="Arial" w:hAnsi="Arial" w:cs="Arial"/>
          <w:color w:val="000000"/>
          <w:sz w:val="20"/>
          <w:szCs w:val="20"/>
          <w:lang w:val="en-AU"/>
        </w:rPr>
      </w:pPr>
      <w:r w:rsidRPr="00EA4279">
        <w:rPr>
          <w:rFonts w:ascii="Arial" w:hAnsi="Arial" w:cs="Arial"/>
          <w:b/>
          <w:color w:val="000000"/>
          <w:sz w:val="20"/>
          <w:szCs w:val="20"/>
          <w:lang w:val="en-AU"/>
        </w:rPr>
        <w:t xml:space="preserve">Section 5.2 – Protection </w:t>
      </w:r>
      <w:r w:rsidR="00493268">
        <w:rPr>
          <w:rFonts w:ascii="Arial" w:hAnsi="Arial" w:cs="Arial"/>
          <w:b/>
          <w:color w:val="000000"/>
          <w:sz w:val="20"/>
          <w:szCs w:val="20"/>
          <w:lang w:val="en-AU"/>
        </w:rPr>
        <w:t>R</w:t>
      </w:r>
      <w:r w:rsidRPr="00EA4279">
        <w:rPr>
          <w:rFonts w:ascii="Arial" w:hAnsi="Arial" w:cs="Arial"/>
          <w:b/>
          <w:color w:val="000000"/>
          <w:sz w:val="20"/>
          <w:szCs w:val="20"/>
          <w:lang w:val="en-AU"/>
        </w:rPr>
        <w:t>equirements</w:t>
      </w:r>
    </w:p>
    <w:p w14:paraId="5B2CC432" w14:textId="77777777" w:rsidR="0057242E" w:rsidRDefault="0057242E" w:rsidP="0057242E">
      <w:pPr>
        <w:jc w:val="both"/>
        <w:rPr>
          <w:rFonts w:ascii="Arial" w:hAnsi="Arial" w:cs="Arial"/>
          <w:color w:val="000000"/>
          <w:sz w:val="20"/>
          <w:szCs w:val="20"/>
          <w:lang w:val="en-AU"/>
        </w:rPr>
      </w:pPr>
    </w:p>
    <w:p w14:paraId="394BE581" w14:textId="37A60D47" w:rsidR="00EA4279" w:rsidRDefault="00EA4279" w:rsidP="00EA4279">
      <w:pPr>
        <w:jc w:val="both"/>
        <w:rPr>
          <w:rFonts w:ascii="Arial" w:hAnsi="Arial" w:cs="Arial"/>
          <w:color w:val="000000"/>
          <w:sz w:val="20"/>
          <w:szCs w:val="20"/>
          <w:lang w:val="en-AU"/>
        </w:rPr>
      </w:pPr>
      <w:r w:rsidRPr="0057242E">
        <w:rPr>
          <w:rFonts w:ascii="Arial" w:hAnsi="Arial" w:cs="Arial"/>
          <w:color w:val="000000"/>
          <w:sz w:val="20"/>
          <w:szCs w:val="20"/>
          <w:lang w:val="en-AU"/>
        </w:rPr>
        <w:t xml:space="preserve">Section 5.2 provides that a radiocommunications </w:t>
      </w:r>
      <w:r>
        <w:rPr>
          <w:rFonts w:ascii="Arial" w:hAnsi="Arial" w:cs="Arial"/>
          <w:color w:val="000000"/>
          <w:sz w:val="20"/>
          <w:szCs w:val="20"/>
          <w:lang w:val="en-AU"/>
        </w:rPr>
        <w:t>transmitter operated under a 2</w:t>
      </w:r>
      <w:r w:rsidRPr="0057242E">
        <w:rPr>
          <w:rFonts w:ascii="Arial" w:hAnsi="Arial" w:cs="Arial"/>
          <w:color w:val="000000"/>
          <w:sz w:val="20"/>
          <w:szCs w:val="20"/>
          <w:lang w:val="en-AU"/>
        </w:rPr>
        <w:t xml:space="preserve"> GHz band spectrum licence is required to protect TVOB services in accordance with RALI FX 21, if the transmitter was registered in the Register after the date of issue of the TVOB apparatus licence. Only TVOB receivers with site details recorded in the Register will be afforded protection.</w:t>
      </w:r>
    </w:p>
    <w:p w14:paraId="5F6F9EF5" w14:textId="77777777" w:rsidR="0057242E" w:rsidRPr="003B728C" w:rsidRDefault="0057242E" w:rsidP="0057242E">
      <w:pPr>
        <w:jc w:val="both"/>
        <w:rPr>
          <w:rFonts w:ascii="Arial" w:hAnsi="Arial" w:cs="Arial"/>
          <w:color w:val="000000"/>
          <w:sz w:val="20"/>
          <w:szCs w:val="20"/>
          <w:lang w:val="en-AU"/>
        </w:rPr>
      </w:pPr>
    </w:p>
    <w:p w14:paraId="1F20E1E0" w14:textId="2354DAD3" w:rsidR="00EA4279" w:rsidRPr="003B728C" w:rsidRDefault="00EA4279" w:rsidP="00EA4279">
      <w:pPr>
        <w:jc w:val="both"/>
        <w:rPr>
          <w:rFonts w:ascii="Arial" w:hAnsi="Arial" w:cs="Arial"/>
          <w:b/>
          <w:color w:val="000000"/>
          <w:sz w:val="20"/>
          <w:szCs w:val="20"/>
          <w:lang w:val="en-AU"/>
        </w:rPr>
      </w:pPr>
      <w:r>
        <w:rPr>
          <w:rFonts w:ascii="Arial" w:hAnsi="Arial" w:cs="Arial"/>
          <w:b/>
          <w:color w:val="000000"/>
          <w:sz w:val="20"/>
          <w:szCs w:val="20"/>
          <w:lang w:val="en-AU"/>
        </w:rPr>
        <w:t>Part 6</w:t>
      </w:r>
      <w:r w:rsidRPr="003B728C">
        <w:rPr>
          <w:rFonts w:ascii="Arial" w:hAnsi="Arial" w:cs="Arial"/>
          <w:b/>
          <w:color w:val="000000"/>
          <w:sz w:val="20"/>
          <w:szCs w:val="20"/>
          <w:lang w:val="en-AU"/>
        </w:rPr>
        <w:t xml:space="preserve"> – </w:t>
      </w:r>
      <w:r>
        <w:rPr>
          <w:rFonts w:ascii="Arial" w:hAnsi="Arial" w:cs="Arial"/>
          <w:b/>
          <w:color w:val="000000"/>
          <w:sz w:val="20"/>
          <w:szCs w:val="20"/>
          <w:lang w:val="en-AU"/>
        </w:rPr>
        <w:t>Public Telecommunications</w:t>
      </w:r>
      <w:r w:rsidRPr="003B728C">
        <w:rPr>
          <w:rFonts w:ascii="Arial" w:hAnsi="Arial" w:cs="Arial"/>
          <w:b/>
          <w:color w:val="000000"/>
          <w:sz w:val="20"/>
          <w:szCs w:val="20"/>
          <w:lang w:val="en-AU"/>
        </w:rPr>
        <w:t xml:space="preserve"> </w:t>
      </w:r>
      <w:r>
        <w:rPr>
          <w:rFonts w:ascii="Arial" w:hAnsi="Arial" w:cs="Arial"/>
          <w:b/>
          <w:color w:val="000000"/>
          <w:sz w:val="20"/>
          <w:szCs w:val="20"/>
          <w:lang w:val="en-AU"/>
        </w:rPr>
        <w:t>S</w:t>
      </w:r>
      <w:r w:rsidRPr="003B728C">
        <w:rPr>
          <w:rFonts w:ascii="Arial" w:hAnsi="Arial" w:cs="Arial"/>
          <w:b/>
          <w:color w:val="000000"/>
          <w:sz w:val="20"/>
          <w:szCs w:val="20"/>
          <w:lang w:val="en-AU"/>
        </w:rPr>
        <w:t>ervices</w:t>
      </w:r>
    </w:p>
    <w:p w14:paraId="4B8603B9" w14:textId="77777777" w:rsidR="00EA4279" w:rsidRDefault="00EA4279" w:rsidP="00837DAE">
      <w:pPr>
        <w:jc w:val="both"/>
        <w:rPr>
          <w:rFonts w:ascii="Arial" w:hAnsi="Arial" w:cs="Arial"/>
          <w:b/>
          <w:color w:val="000000"/>
          <w:sz w:val="20"/>
          <w:szCs w:val="20"/>
          <w:lang w:val="en-AU"/>
        </w:rPr>
      </w:pPr>
    </w:p>
    <w:p w14:paraId="6F49B6A2" w14:textId="1C3E1A3C" w:rsidR="00EA4279" w:rsidRDefault="00EA4279" w:rsidP="00421481">
      <w:pPr>
        <w:spacing w:after="240"/>
        <w:jc w:val="both"/>
        <w:rPr>
          <w:rFonts w:ascii="Arial" w:hAnsi="Arial" w:cs="Arial"/>
          <w:b/>
          <w:color w:val="000000"/>
          <w:sz w:val="20"/>
          <w:szCs w:val="20"/>
          <w:lang w:val="en-AU"/>
        </w:rPr>
      </w:pPr>
      <w:r>
        <w:rPr>
          <w:rFonts w:ascii="Arial" w:hAnsi="Arial" w:cs="Arial"/>
          <w:b/>
          <w:color w:val="000000"/>
          <w:sz w:val="20"/>
          <w:szCs w:val="20"/>
          <w:lang w:val="en-AU"/>
        </w:rPr>
        <w:t>Section 6</w:t>
      </w:r>
      <w:r w:rsidRPr="003B728C">
        <w:rPr>
          <w:rFonts w:ascii="Arial" w:hAnsi="Arial" w:cs="Arial"/>
          <w:b/>
          <w:color w:val="000000"/>
          <w:sz w:val="20"/>
          <w:szCs w:val="20"/>
          <w:lang w:val="en-AU"/>
        </w:rPr>
        <w:t>.1 – Background</w:t>
      </w:r>
      <w:r w:rsidRPr="0029582B">
        <w:rPr>
          <w:rFonts w:ascii="Arial" w:hAnsi="Arial" w:cs="Arial"/>
          <w:b/>
          <w:color w:val="000000"/>
          <w:sz w:val="20"/>
          <w:szCs w:val="20"/>
          <w:lang w:val="en-AU"/>
        </w:rPr>
        <w:t xml:space="preserve"> </w:t>
      </w:r>
    </w:p>
    <w:p w14:paraId="79F04A4D" w14:textId="1EB19C82" w:rsidR="00EA4279" w:rsidRPr="003B728C" w:rsidRDefault="00EA4279" w:rsidP="00EA4279">
      <w:pPr>
        <w:jc w:val="both"/>
        <w:rPr>
          <w:rFonts w:ascii="Arial" w:hAnsi="Arial" w:cs="Arial"/>
          <w:color w:val="000000"/>
          <w:sz w:val="20"/>
          <w:szCs w:val="20"/>
          <w:lang w:val="en-AU"/>
        </w:rPr>
      </w:pPr>
      <w:r>
        <w:rPr>
          <w:rFonts w:ascii="Arial" w:hAnsi="Arial" w:cs="Arial"/>
          <w:color w:val="000000"/>
          <w:sz w:val="20"/>
          <w:szCs w:val="20"/>
          <w:lang w:val="en-AU"/>
        </w:rPr>
        <w:t>Section 6.1</w:t>
      </w:r>
      <w:r w:rsidR="00421481">
        <w:rPr>
          <w:rFonts w:ascii="Arial" w:hAnsi="Arial" w:cs="Arial"/>
          <w:color w:val="000000"/>
          <w:sz w:val="20"/>
          <w:szCs w:val="20"/>
          <w:lang w:val="en-AU"/>
        </w:rPr>
        <w:t xml:space="preserve"> of Part 6 </w:t>
      </w:r>
      <w:r>
        <w:rPr>
          <w:rFonts w:ascii="Arial" w:hAnsi="Arial" w:cs="Arial"/>
          <w:color w:val="000000"/>
          <w:sz w:val="20"/>
          <w:szCs w:val="20"/>
          <w:lang w:val="en-AU"/>
        </w:rPr>
        <w:t xml:space="preserve">states that </w:t>
      </w:r>
      <w:r w:rsidR="00DE6921">
        <w:rPr>
          <w:rFonts w:ascii="Arial" w:hAnsi="Arial" w:cs="Arial"/>
          <w:color w:val="000000"/>
          <w:sz w:val="20"/>
          <w:szCs w:val="20"/>
          <w:lang w:val="en-AU"/>
        </w:rPr>
        <w:t xml:space="preserve">a </w:t>
      </w:r>
      <w:r w:rsidR="00120C3C">
        <w:rPr>
          <w:rFonts w:ascii="Arial" w:hAnsi="Arial" w:cs="Arial"/>
          <w:color w:val="000000"/>
          <w:sz w:val="20"/>
          <w:szCs w:val="20"/>
          <w:lang w:val="en-AU"/>
        </w:rPr>
        <w:t>Public Telecommunications Service (</w:t>
      </w:r>
      <w:r w:rsidRPr="00293B1A">
        <w:rPr>
          <w:rFonts w:ascii="Arial" w:hAnsi="Arial" w:cs="Arial"/>
          <w:b/>
          <w:color w:val="000000"/>
          <w:sz w:val="20"/>
          <w:szCs w:val="20"/>
          <w:lang w:val="en-AU"/>
        </w:rPr>
        <w:t>PTS</w:t>
      </w:r>
      <w:r w:rsidR="00120C3C">
        <w:rPr>
          <w:rFonts w:ascii="Arial" w:hAnsi="Arial" w:cs="Arial"/>
          <w:color w:val="000000"/>
          <w:sz w:val="20"/>
          <w:szCs w:val="20"/>
          <w:lang w:val="en-AU"/>
        </w:rPr>
        <w:t>)</w:t>
      </w:r>
      <w:r>
        <w:rPr>
          <w:rFonts w:ascii="Arial" w:hAnsi="Arial" w:cs="Arial"/>
          <w:color w:val="000000"/>
          <w:sz w:val="20"/>
          <w:szCs w:val="20"/>
          <w:lang w:val="en-AU"/>
        </w:rPr>
        <w:t xml:space="preserve"> operate</w:t>
      </w:r>
      <w:r w:rsidR="00DE6921">
        <w:rPr>
          <w:rFonts w:ascii="Arial" w:hAnsi="Arial" w:cs="Arial"/>
          <w:color w:val="000000"/>
          <w:sz w:val="20"/>
          <w:szCs w:val="20"/>
          <w:lang w:val="en-AU"/>
        </w:rPr>
        <w:t>s</w:t>
      </w:r>
      <w:r>
        <w:rPr>
          <w:rFonts w:ascii="Arial" w:hAnsi="Arial" w:cs="Arial"/>
          <w:color w:val="000000"/>
          <w:sz w:val="20"/>
          <w:szCs w:val="20"/>
          <w:lang w:val="en-AU"/>
        </w:rPr>
        <w:t xml:space="preserve"> under apparatus licences in the 2 GHz band</w:t>
      </w:r>
      <w:r w:rsidR="000860A9">
        <w:rPr>
          <w:rFonts w:ascii="Arial" w:hAnsi="Arial" w:cs="Arial"/>
          <w:color w:val="000000"/>
          <w:sz w:val="20"/>
          <w:szCs w:val="20"/>
          <w:lang w:val="en-AU"/>
        </w:rPr>
        <w:t>, however,</w:t>
      </w:r>
      <w:r>
        <w:rPr>
          <w:rFonts w:ascii="Arial" w:hAnsi="Arial" w:cs="Arial"/>
          <w:color w:val="000000"/>
          <w:sz w:val="20"/>
          <w:szCs w:val="20"/>
          <w:lang w:val="en-AU"/>
        </w:rPr>
        <w:t xml:space="preserve"> such use is limited to those areas and frequencies of the 2 GHz band not subject to spectrum licencing. </w:t>
      </w:r>
    </w:p>
    <w:p w14:paraId="125F6A15" w14:textId="77777777" w:rsidR="00EA4279" w:rsidRDefault="00EA4279" w:rsidP="00EA4279">
      <w:pPr>
        <w:jc w:val="both"/>
        <w:rPr>
          <w:rFonts w:ascii="Arial" w:hAnsi="Arial" w:cs="Arial"/>
          <w:color w:val="000000"/>
          <w:sz w:val="20"/>
          <w:szCs w:val="20"/>
          <w:lang w:val="en-AU"/>
        </w:rPr>
      </w:pPr>
    </w:p>
    <w:p w14:paraId="71754FB6" w14:textId="78582732" w:rsidR="00EA4279" w:rsidRDefault="00EA4279" w:rsidP="00EA4279">
      <w:pPr>
        <w:jc w:val="both"/>
        <w:rPr>
          <w:rFonts w:ascii="Arial" w:hAnsi="Arial" w:cs="Arial"/>
          <w:b/>
          <w:color w:val="000000"/>
          <w:sz w:val="20"/>
          <w:szCs w:val="20"/>
          <w:lang w:val="en-AU"/>
        </w:rPr>
      </w:pPr>
      <w:r>
        <w:rPr>
          <w:rFonts w:ascii="Arial" w:hAnsi="Arial" w:cs="Arial"/>
          <w:b/>
          <w:color w:val="000000"/>
          <w:sz w:val="20"/>
          <w:szCs w:val="20"/>
          <w:lang w:val="en-AU"/>
        </w:rPr>
        <w:t xml:space="preserve">Section </w:t>
      </w:r>
      <w:r w:rsidR="000860A9">
        <w:rPr>
          <w:rFonts w:ascii="Arial" w:hAnsi="Arial" w:cs="Arial"/>
          <w:b/>
          <w:color w:val="000000"/>
          <w:sz w:val="20"/>
          <w:szCs w:val="20"/>
          <w:lang w:val="en-AU"/>
        </w:rPr>
        <w:t>6</w:t>
      </w:r>
      <w:r w:rsidRPr="007625E7">
        <w:rPr>
          <w:rFonts w:ascii="Arial" w:hAnsi="Arial" w:cs="Arial"/>
          <w:b/>
          <w:color w:val="000000"/>
          <w:sz w:val="20"/>
          <w:szCs w:val="20"/>
          <w:lang w:val="en-AU"/>
        </w:rPr>
        <w:t xml:space="preserve">.2 – Protection </w:t>
      </w:r>
      <w:r w:rsidR="00DC572D">
        <w:rPr>
          <w:rFonts w:ascii="Arial" w:hAnsi="Arial" w:cs="Arial"/>
          <w:b/>
          <w:color w:val="000000"/>
          <w:sz w:val="20"/>
          <w:szCs w:val="20"/>
          <w:lang w:val="en-AU"/>
        </w:rPr>
        <w:t>R</w:t>
      </w:r>
      <w:r w:rsidRPr="007625E7">
        <w:rPr>
          <w:rFonts w:ascii="Arial" w:hAnsi="Arial" w:cs="Arial"/>
          <w:b/>
          <w:color w:val="000000"/>
          <w:sz w:val="20"/>
          <w:szCs w:val="20"/>
          <w:lang w:val="en-AU"/>
        </w:rPr>
        <w:t>equirements</w:t>
      </w:r>
    </w:p>
    <w:p w14:paraId="3C800023" w14:textId="77777777" w:rsidR="00EA4279" w:rsidRPr="003B728C" w:rsidRDefault="00EA4279" w:rsidP="00EA4279">
      <w:pPr>
        <w:jc w:val="both"/>
        <w:rPr>
          <w:rFonts w:ascii="Arial" w:hAnsi="Arial" w:cs="Arial"/>
          <w:color w:val="000000"/>
          <w:sz w:val="20"/>
          <w:szCs w:val="20"/>
          <w:lang w:val="en-AU"/>
        </w:rPr>
      </w:pPr>
    </w:p>
    <w:p w14:paraId="159224D8" w14:textId="68E4912A" w:rsidR="00EA4279" w:rsidRPr="003B728C" w:rsidRDefault="00EA4279" w:rsidP="00EA4279">
      <w:pPr>
        <w:jc w:val="both"/>
        <w:rPr>
          <w:rFonts w:ascii="Arial" w:hAnsi="Arial" w:cs="Arial"/>
          <w:color w:val="000000"/>
          <w:sz w:val="20"/>
          <w:szCs w:val="20"/>
          <w:lang w:val="en-AU"/>
        </w:rPr>
      </w:pPr>
      <w:r>
        <w:rPr>
          <w:rFonts w:ascii="Arial" w:hAnsi="Arial" w:cs="Arial"/>
          <w:color w:val="000000"/>
          <w:sz w:val="20"/>
          <w:szCs w:val="20"/>
          <w:lang w:val="en-AU"/>
        </w:rPr>
        <w:t>S</w:t>
      </w:r>
      <w:r w:rsidRPr="003B728C">
        <w:rPr>
          <w:rFonts w:ascii="Arial" w:hAnsi="Arial" w:cs="Arial"/>
          <w:color w:val="000000"/>
          <w:sz w:val="20"/>
          <w:szCs w:val="20"/>
          <w:lang w:val="en-AU"/>
        </w:rPr>
        <w:t xml:space="preserve">ection </w:t>
      </w:r>
      <w:r w:rsidR="000860A9">
        <w:rPr>
          <w:rFonts w:ascii="Arial" w:hAnsi="Arial" w:cs="Arial"/>
          <w:color w:val="000000"/>
          <w:sz w:val="20"/>
          <w:szCs w:val="20"/>
          <w:lang w:val="en-AU"/>
        </w:rPr>
        <w:t>6</w:t>
      </w:r>
      <w:r>
        <w:rPr>
          <w:rFonts w:ascii="Arial" w:hAnsi="Arial" w:cs="Arial"/>
          <w:color w:val="000000"/>
          <w:sz w:val="20"/>
          <w:szCs w:val="20"/>
          <w:lang w:val="en-AU"/>
        </w:rPr>
        <w:t xml:space="preserve">.2 </w:t>
      </w:r>
      <w:r w:rsidRPr="003B728C">
        <w:rPr>
          <w:rFonts w:ascii="Arial" w:hAnsi="Arial" w:cs="Arial"/>
          <w:color w:val="000000"/>
          <w:sz w:val="20"/>
          <w:szCs w:val="20"/>
          <w:lang w:val="en-AU"/>
        </w:rPr>
        <w:t xml:space="preserve">provides that a spectrum licensed </w:t>
      </w:r>
      <w:r w:rsidR="00DE6921">
        <w:rPr>
          <w:rFonts w:ascii="Arial" w:hAnsi="Arial" w:cs="Arial"/>
          <w:color w:val="000000"/>
          <w:sz w:val="20"/>
          <w:szCs w:val="20"/>
          <w:lang w:val="en-AU"/>
        </w:rPr>
        <w:t xml:space="preserve">radiocommunications </w:t>
      </w:r>
      <w:r w:rsidRPr="003B728C">
        <w:rPr>
          <w:rFonts w:ascii="Arial" w:hAnsi="Arial" w:cs="Arial"/>
          <w:color w:val="000000"/>
          <w:sz w:val="20"/>
          <w:szCs w:val="20"/>
          <w:lang w:val="en-AU"/>
        </w:rPr>
        <w:t xml:space="preserve">transmitter </w:t>
      </w:r>
      <w:r>
        <w:rPr>
          <w:rFonts w:ascii="Arial" w:hAnsi="Arial" w:cs="Arial"/>
          <w:color w:val="000000"/>
          <w:sz w:val="20"/>
          <w:szCs w:val="20"/>
          <w:lang w:val="en-AU"/>
        </w:rPr>
        <w:t xml:space="preserve">operating in the 2 GHz band </w:t>
      </w:r>
      <w:r w:rsidRPr="003B728C">
        <w:rPr>
          <w:rFonts w:ascii="Arial" w:hAnsi="Arial" w:cs="Arial"/>
          <w:color w:val="000000"/>
          <w:sz w:val="20"/>
          <w:szCs w:val="20"/>
          <w:lang w:val="en-AU"/>
        </w:rPr>
        <w:t xml:space="preserve">will not be deemed to cause unacceptable interference to a </w:t>
      </w:r>
      <w:r>
        <w:rPr>
          <w:rFonts w:ascii="Arial" w:hAnsi="Arial" w:cs="Arial"/>
          <w:color w:val="000000"/>
          <w:sz w:val="20"/>
          <w:szCs w:val="20"/>
          <w:lang w:val="en-AU"/>
        </w:rPr>
        <w:t xml:space="preserve">service operating under a PTS apparatus licence </w:t>
      </w:r>
      <w:r w:rsidRPr="003B728C">
        <w:rPr>
          <w:rFonts w:ascii="Arial" w:hAnsi="Arial" w:cs="Arial"/>
          <w:color w:val="000000"/>
          <w:sz w:val="20"/>
          <w:szCs w:val="20"/>
          <w:lang w:val="en-AU"/>
        </w:rPr>
        <w:t xml:space="preserve">if it is operated in accordance with the conditions of the licence. </w:t>
      </w:r>
    </w:p>
    <w:p w14:paraId="229C3C0D" w14:textId="77777777" w:rsidR="00EA4279" w:rsidRDefault="00EA4279" w:rsidP="003B728C">
      <w:pPr>
        <w:jc w:val="both"/>
        <w:rPr>
          <w:rFonts w:ascii="Arial" w:hAnsi="Arial" w:cs="Arial"/>
          <w:b/>
          <w:color w:val="000000"/>
          <w:sz w:val="20"/>
          <w:szCs w:val="20"/>
          <w:lang w:val="en-AU"/>
        </w:rPr>
      </w:pPr>
    </w:p>
    <w:p w14:paraId="50C8E67A" w14:textId="1DDBE3B0" w:rsidR="008615D3" w:rsidRPr="003B728C" w:rsidRDefault="00A93479" w:rsidP="003B728C">
      <w:pPr>
        <w:jc w:val="both"/>
        <w:rPr>
          <w:rFonts w:ascii="Arial" w:hAnsi="Arial" w:cs="Arial"/>
          <w:b/>
          <w:color w:val="000000"/>
          <w:sz w:val="20"/>
          <w:szCs w:val="20"/>
          <w:lang w:val="en-AU"/>
        </w:rPr>
      </w:pPr>
      <w:r>
        <w:rPr>
          <w:rFonts w:ascii="Arial" w:hAnsi="Arial" w:cs="Arial"/>
          <w:b/>
          <w:color w:val="000000"/>
          <w:sz w:val="20"/>
          <w:szCs w:val="20"/>
          <w:lang w:val="en-AU"/>
        </w:rPr>
        <w:t>Part 7</w:t>
      </w:r>
      <w:r w:rsidR="00E76C4B" w:rsidRPr="003B728C">
        <w:rPr>
          <w:rFonts w:ascii="Arial" w:hAnsi="Arial" w:cs="Arial"/>
          <w:b/>
          <w:color w:val="000000"/>
          <w:sz w:val="20"/>
          <w:szCs w:val="20"/>
          <w:lang w:val="en-AU"/>
        </w:rPr>
        <w:t xml:space="preserve"> – Class </w:t>
      </w:r>
      <w:r w:rsidR="00837DAE">
        <w:rPr>
          <w:rFonts w:ascii="Arial" w:hAnsi="Arial" w:cs="Arial"/>
          <w:b/>
          <w:color w:val="000000"/>
          <w:sz w:val="20"/>
          <w:szCs w:val="20"/>
          <w:lang w:val="en-AU"/>
        </w:rPr>
        <w:t>L</w:t>
      </w:r>
      <w:r w:rsidR="00E76C4B" w:rsidRPr="003B728C">
        <w:rPr>
          <w:rFonts w:ascii="Arial" w:hAnsi="Arial" w:cs="Arial"/>
          <w:b/>
          <w:color w:val="000000"/>
          <w:sz w:val="20"/>
          <w:szCs w:val="20"/>
          <w:lang w:val="en-AU"/>
        </w:rPr>
        <w:t xml:space="preserve">icensed </w:t>
      </w:r>
      <w:r w:rsidR="00837DAE">
        <w:rPr>
          <w:rFonts w:ascii="Arial" w:hAnsi="Arial" w:cs="Arial"/>
          <w:b/>
          <w:color w:val="000000"/>
          <w:sz w:val="20"/>
          <w:szCs w:val="20"/>
          <w:lang w:val="en-AU"/>
        </w:rPr>
        <w:t>S</w:t>
      </w:r>
      <w:r w:rsidR="00E76C4B" w:rsidRPr="003B728C">
        <w:rPr>
          <w:rFonts w:ascii="Arial" w:hAnsi="Arial" w:cs="Arial"/>
          <w:b/>
          <w:color w:val="000000"/>
          <w:sz w:val="20"/>
          <w:szCs w:val="20"/>
          <w:lang w:val="en-AU"/>
        </w:rPr>
        <w:t>ervices</w:t>
      </w:r>
    </w:p>
    <w:p w14:paraId="06910D43" w14:textId="77777777" w:rsidR="0057242E" w:rsidRDefault="0057242E" w:rsidP="0029582B">
      <w:pPr>
        <w:spacing w:after="120"/>
        <w:jc w:val="both"/>
        <w:rPr>
          <w:rFonts w:ascii="Arial" w:hAnsi="Arial" w:cs="Arial"/>
          <w:b/>
          <w:color w:val="000000"/>
          <w:sz w:val="20"/>
          <w:szCs w:val="20"/>
          <w:lang w:val="en-AU"/>
        </w:rPr>
      </w:pPr>
    </w:p>
    <w:p w14:paraId="50C8E67B" w14:textId="5DDC114B" w:rsidR="0029582B" w:rsidRDefault="00A93479" w:rsidP="0029582B">
      <w:pPr>
        <w:spacing w:after="120"/>
        <w:jc w:val="both"/>
        <w:rPr>
          <w:rFonts w:ascii="Arial" w:hAnsi="Arial" w:cs="Arial"/>
          <w:b/>
          <w:color w:val="000000"/>
          <w:sz w:val="20"/>
          <w:szCs w:val="20"/>
          <w:lang w:val="en-AU"/>
        </w:rPr>
      </w:pPr>
      <w:r>
        <w:rPr>
          <w:rFonts w:ascii="Arial" w:hAnsi="Arial" w:cs="Arial"/>
          <w:b/>
          <w:color w:val="000000"/>
          <w:sz w:val="20"/>
          <w:szCs w:val="20"/>
          <w:lang w:val="en-AU"/>
        </w:rPr>
        <w:t>Section 7</w:t>
      </w:r>
      <w:r w:rsidR="00E76C4B" w:rsidRPr="003B728C">
        <w:rPr>
          <w:rFonts w:ascii="Arial" w:hAnsi="Arial" w:cs="Arial"/>
          <w:b/>
          <w:color w:val="000000"/>
          <w:sz w:val="20"/>
          <w:szCs w:val="20"/>
          <w:lang w:val="en-AU"/>
        </w:rPr>
        <w:t>.1 – Background</w:t>
      </w:r>
      <w:r w:rsidR="0029582B" w:rsidRPr="0029582B">
        <w:rPr>
          <w:rFonts w:ascii="Arial" w:hAnsi="Arial" w:cs="Arial"/>
          <w:b/>
          <w:color w:val="000000"/>
          <w:sz w:val="20"/>
          <w:szCs w:val="20"/>
          <w:lang w:val="en-AU"/>
        </w:rPr>
        <w:t xml:space="preserve"> </w:t>
      </w:r>
    </w:p>
    <w:p w14:paraId="50C8E67C" w14:textId="12B252FF" w:rsidR="008615D3" w:rsidRPr="003B728C" w:rsidRDefault="00E14247" w:rsidP="003B728C">
      <w:pPr>
        <w:jc w:val="both"/>
        <w:rPr>
          <w:rFonts w:ascii="Arial" w:hAnsi="Arial" w:cs="Arial"/>
          <w:color w:val="000000"/>
          <w:sz w:val="20"/>
          <w:szCs w:val="20"/>
          <w:lang w:val="en-AU"/>
        </w:rPr>
      </w:pPr>
      <w:r>
        <w:rPr>
          <w:rFonts w:ascii="Arial" w:hAnsi="Arial" w:cs="Arial"/>
          <w:color w:val="000000"/>
          <w:sz w:val="20"/>
          <w:szCs w:val="20"/>
          <w:lang w:val="en-AU"/>
        </w:rPr>
        <w:t>S</w:t>
      </w:r>
      <w:r w:rsidR="00AF4BDF">
        <w:rPr>
          <w:rFonts w:ascii="Arial" w:hAnsi="Arial" w:cs="Arial"/>
          <w:color w:val="000000"/>
          <w:sz w:val="20"/>
          <w:szCs w:val="20"/>
          <w:lang w:val="en-AU"/>
        </w:rPr>
        <w:t xml:space="preserve">ection </w:t>
      </w:r>
      <w:r>
        <w:rPr>
          <w:rFonts w:ascii="Arial" w:hAnsi="Arial" w:cs="Arial"/>
          <w:color w:val="000000"/>
          <w:sz w:val="20"/>
          <w:szCs w:val="20"/>
          <w:lang w:val="en-AU"/>
        </w:rPr>
        <w:t>7.1</w:t>
      </w:r>
      <w:r w:rsidR="00421481">
        <w:rPr>
          <w:rFonts w:ascii="Arial" w:hAnsi="Arial" w:cs="Arial"/>
          <w:color w:val="000000"/>
          <w:sz w:val="20"/>
          <w:szCs w:val="20"/>
          <w:lang w:val="en-AU"/>
        </w:rPr>
        <w:t xml:space="preserve"> </w:t>
      </w:r>
      <w:r w:rsidR="00AF4BDF">
        <w:rPr>
          <w:rFonts w:ascii="Arial" w:hAnsi="Arial" w:cs="Arial"/>
          <w:color w:val="000000"/>
          <w:sz w:val="20"/>
          <w:szCs w:val="20"/>
          <w:lang w:val="en-AU"/>
        </w:rPr>
        <w:t>states that</w:t>
      </w:r>
      <w:r w:rsidR="0057242E">
        <w:rPr>
          <w:rFonts w:ascii="Arial" w:hAnsi="Arial" w:cs="Arial"/>
          <w:color w:val="000000"/>
          <w:sz w:val="20"/>
          <w:szCs w:val="20"/>
          <w:lang w:val="en-AU"/>
        </w:rPr>
        <w:t xml:space="preserve"> various class licences permit the operation of </w:t>
      </w:r>
      <w:r w:rsidR="0057242E" w:rsidRPr="0057242E">
        <w:rPr>
          <w:rFonts w:ascii="Arial" w:hAnsi="Arial" w:cs="Arial"/>
          <w:color w:val="000000"/>
          <w:sz w:val="20"/>
          <w:szCs w:val="20"/>
          <w:lang w:val="en-AU"/>
        </w:rPr>
        <w:t>a number of different types of radiocommunications transmitters in and adjacent to the 2 GHz band</w:t>
      </w:r>
      <w:r w:rsidR="00E76C4B" w:rsidRPr="003B728C">
        <w:rPr>
          <w:rFonts w:ascii="Arial" w:hAnsi="Arial" w:cs="Arial"/>
          <w:color w:val="000000"/>
          <w:sz w:val="20"/>
          <w:szCs w:val="20"/>
          <w:lang w:val="en-AU"/>
        </w:rPr>
        <w:t xml:space="preserve">. </w:t>
      </w:r>
      <w:r w:rsidR="0057242E">
        <w:rPr>
          <w:rFonts w:ascii="Arial" w:hAnsi="Arial" w:cs="Arial"/>
          <w:color w:val="000000"/>
          <w:sz w:val="20"/>
          <w:szCs w:val="20"/>
          <w:lang w:val="en-AU"/>
        </w:rPr>
        <w:t xml:space="preserve">Such operation is typically on a </w:t>
      </w:r>
      <w:r w:rsidR="0057242E" w:rsidRPr="0057242E">
        <w:rPr>
          <w:rFonts w:ascii="Arial" w:hAnsi="Arial" w:cs="Arial"/>
          <w:color w:val="000000"/>
          <w:sz w:val="20"/>
          <w:szCs w:val="20"/>
          <w:lang w:val="en-AU"/>
        </w:rPr>
        <w:t>no-interference and no-protection basis.</w:t>
      </w:r>
    </w:p>
    <w:p w14:paraId="50C8E67D" w14:textId="77777777" w:rsidR="008615D3" w:rsidRDefault="008615D3" w:rsidP="003B728C">
      <w:pPr>
        <w:jc w:val="both"/>
        <w:rPr>
          <w:rFonts w:ascii="Arial" w:hAnsi="Arial" w:cs="Arial"/>
          <w:color w:val="000000"/>
          <w:sz w:val="20"/>
          <w:szCs w:val="20"/>
          <w:lang w:val="en-AU"/>
        </w:rPr>
      </w:pPr>
    </w:p>
    <w:p w14:paraId="5E904728" w14:textId="5E26C8F1" w:rsidR="0057242E" w:rsidRDefault="0057242E" w:rsidP="003B728C">
      <w:pPr>
        <w:jc w:val="both"/>
        <w:rPr>
          <w:rFonts w:ascii="Arial" w:hAnsi="Arial" w:cs="Arial"/>
          <w:b/>
          <w:color w:val="000000"/>
          <w:sz w:val="20"/>
          <w:szCs w:val="20"/>
          <w:lang w:val="en-AU"/>
        </w:rPr>
      </w:pPr>
      <w:r>
        <w:rPr>
          <w:rFonts w:ascii="Arial" w:hAnsi="Arial" w:cs="Arial"/>
          <w:b/>
          <w:color w:val="000000"/>
          <w:sz w:val="20"/>
          <w:szCs w:val="20"/>
          <w:lang w:val="en-AU"/>
        </w:rPr>
        <w:t>Section 7</w:t>
      </w:r>
      <w:r w:rsidRPr="007625E7">
        <w:rPr>
          <w:rFonts w:ascii="Arial" w:hAnsi="Arial" w:cs="Arial"/>
          <w:b/>
          <w:color w:val="000000"/>
          <w:sz w:val="20"/>
          <w:szCs w:val="20"/>
          <w:lang w:val="en-AU"/>
        </w:rPr>
        <w:t xml:space="preserve">.2 – Protection </w:t>
      </w:r>
      <w:r w:rsidR="00F40C20">
        <w:rPr>
          <w:rFonts w:ascii="Arial" w:hAnsi="Arial" w:cs="Arial"/>
          <w:b/>
          <w:color w:val="000000"/>
          <w:sz w:val="20"/>
          <w:szCs w:val="20"/>
          <w:lang w:val="en-AU"/>
        </w:rPr>
        <w:t>R</w:t>
      </w:r>
      <w:r w:rsidRPr="007625E7">
        <w:rPr>
          <w:rFonts w:ascii="Arial" w:hAnsi="Arial" w:cs="Arial"/>
          <w:b/>
          <w:color w:val="000000"/>
          <w:sz w:val="20"/>
          <w:szCs w:val="20"/>
          <w:lang w:val="en-AU"/>
        </w:rPr>
        <w:t>equirements</w:t>
      </w:r>
    </w:p>
    <w:p w14:paraId="7B0F35A9" w14:textId="77777777" w:rsidR="0057242E" w:rsidRPr="003B728C" w:rsidRDefault="0057242E" w:rsidP="003B728C">
      <w:pPr>
        <w:jc w:val="both"/>
        <w:rPr>
          <w:rFonts w:ascii="Arial" w:hAnsi="Arial" w:cs="Arial"/>
          <w:color w:val="000000"/>
          <w:sz w:val="20"/>
          <w:szCs w:val="20"/>
          <w:lang w:val="en-AU"/>
        </w:rPr>
      </w:pPr>
    </w:p>
    <w:p w14:paraId="31DB3FAA" w14:textId="10F7AA42" w:rsidR="00F73014" w:rsidRDefault="00E14247">
      <w:pPr>
        <w:rPr>
          <w:rFonts w:ascii="Arial" w:hAnsi="Arial" w:cs="Arial"/>
          <w:color w:val="000000"/>
          <w:sz w:val="20"/>
          <w:szCs w:val="20"/>
          <w:lang w:val="en-AU"/>
        </w:rPr>
      </w:pPr>
      <w:r>
        <w:rPr>
          <w:rFonts w:ascii="Arial" w:hAnsi="Arial" w:cs="Arial"/>
          <w:color w:val="000000"/>
          <w:sz w:val="20"/>
          <w:szCs w:val="20"/>
          <w:lang w:val="en-AU"/>
        </w:rPr>
        <w:t>S</w:t>
      </w:r>
      <w:r w:rsidR="00E76C4B" w:rsidRPr="003B728C">
        <w:rPr>
          <w:rFonts w:ascii="Arial" w:hAnsi="Arial" w:cs="Arial"/>
          <w:color w:val="000000"/>
          <w:sz w:val="20"/>
          <w:szCs w:val="20"/>
          <w:lang w:val="en-AU"/>
        </w:rPr>
        <w:t xml:space="preserve">ection </w:t>
      </w:r>
      <w:r>
        <w:rPr>
          <w:rFonts w:ascii="Arial" w:hAnsi="Arial" w:cs="Arial"/>
          <w:color w:val="000000"/>
          <w:sz w:val="20"/>
          <w:szCs w:val="20"/>
          <w:lang w:val="en-AU"/>
        </w:rPr>
        <w:t xml:space="preserve">7.2 </w:t>
      </w:r>
      <w:r w:rsidR="00E76C4B" w:rsidRPr="003B728C">
        <w:rPr>
          <w:rFonts w:ascii="Arial" w:hAnsi="Arial" w:cs="Arial"/>
          <w:color w:val="000000"/>
          <w:sz w:val="20"/>
          <w:szCs w:val="20"/>
          <w:lang w:val="en-AU"/>
        </w:rPr>
        <w:t xml:space="preserve">provides that a spectrum licensed </w:t>
      </w:r>
      <w:r w:rsidR="00DE6921">
        <w:rPr>
          <w:rFonts w:ascii="Arial" w:hAnsi="Arial" w:cs="Arial"/>
          <w:color w:val="000000"/>
          <w:sz w:val="20"/>
          <w:szCs w:val="20"/>
          <w:lang w:val="en-AU"/>
        </w:rPr>
        <w:t xml:space="preserve">radiocommunications </w:t>
      </w:r>
      <w:r w:rsidR="00E76C4B" w:rsidRPr="003B728C">
        <w:rPr>
          <w:rFonts w:ascii="Arial" w:hAnsi="Arial" w:cs="Arial"/>
          <w:color w:val="000000"/>
          <w:sz w:val="20"/>
          <w:szCs w:val="20"/>
          <w:lang w:val="en-AU"/>
        </w:rPr>
        <w:t xml:space="preserve">transmitter </w:t>
      </w:r>
      <w:r w:rsidR="00F37614">
        <w:rPr>
          <w:rFonts w:ascii="Arial" w:hAnsi="Arial" w:cs="Arial"/>
          <w:color w:val="000000"/>
          <w:sz w:val="20"/>
          <w:szCs w:val="20"/>
          <w:lang w:val="en-AU"/>
        </w:rPr>
        <w:t xml:space="preserve">operating in the </w:t>
      </w:r>
      <w:r w:rsidR="006302E9">
        <w:rPr>
          <w:rFonts w:ascii="Arial" w:hAnsi="Arial" w:cs="Arial"/>
          <w:color w:val="000000"/>
          <w:sz w:val="20"/>
          <w:szCs w:val="20"/>
          <w:lang w:val="en-AU"/>
        </w:rPr>
        <w:t>2</w:t>
      </w:r>
      <w:r w:rsidR="00F37614">
        <w:rPr>
          <w:rFonts w:ascii="Arial" w:hAnsi="Arial" w:cs="Arial"/>
          <w:color w:val="000000"/>
          <w:sz w:val="20"/>
          <w:szCs w:val="20"/>
          <w:lang w:val="en-AU"/>
        </w:rPr>
        <w:t xml:space="preserve"> GHz band </w:t>
      </w:r>
      <w:r w:rsidR="00E76C4B" w:rsidRPr="003B728C">
        <w:rPr>
          <w:rFonts w:ascii="Arial" w:hAnsi="Arial" w:cs="Arial"/>
          <w:color w:val="000000"/>
          <w:sz w:val="20"/>
          <w:szCs w:val="20"/>
          <w:lang w:val="en-AU"/>
        </w:rPr>
        <w:t xml:space="preserve">will not be deemed to cause unacceptable interference to a </w:t>
      </w:r>
      <w:r w:rsidR="00DE6921">
        <w:rPr>
          <w:rFonts w:ascii="Arial" w:hAnsi="Arial" w:cs="Arial"/>
          <w:color w:val="000000"/>
          <w:sz w:val="20"/>
          <w:szCs w:val="20"/>
          <w:lang w:val="en-AU"/>
        </w:rPr>
        <w:t xml:space="preserve">radiocommunications </w:t>
      </w:r>
      <w:r w:rsidR="00E76C4B" w:rsidRPr="003B728C">
        <w:rPr>
          <w:rFonts w:ascii="Arial" w:hAnsi="Arial" w:cs="Arial"/>
          <w:color w:val="000000"/>
          <w:sz w:val="20"/>
          <w:szCs w:val="20"/>
          <w:lang w:val="en-AU"/>
        </w:rPr>
        <w:t xml:space="preserve">device operating under </w:t>
      </w:r>
      <w:r w:rsidR="0057242E">
        <w:rPr>
          <w:rFonts w:ascii="Arial" w:hAnsi="Arial" w:cs="Arial"/>
          <w:color w:val="000000"/>
          <w:sz w:val="20"/>
          <w:szCs w:val="20"/>
          <w:lang w:val="en-AU"/>
        </w:rPr>
        <w:t>a</w:t>
      </w:r>
      <w:r w:rsidR="00E76C4B" w:rsidRPr="003B728C">
        <w:rPr>
          <w:rFonts w:ascii="Arial" w:hAnsi="Arial" w:cs="Arial"/>
          <w:color w:val="000000"/>
          <w:sz w:val="20"/>
          <w:szCs w:val="20"/>
          <w:lang w:val="en-AU"/>
        </w:rPr>
        <w:t xml:space="preserve"> class licence if it is operated in accordance with the conditions of the licence. </w:t>
      </w:r>
      <w:r w:rsidR="00120C3C">
        <w:rPr>
          <w:rFonts w:ascii="Arial" w:hAnsi="Arial" w:cs="Arial"/>
          <w:color w:val="000000"/>
          <w:sz w:val="20"/>
          <w:szCs w:val="20"/>
          <w:lang w:val="en-AU"/>
        </w:rPr>
        <w:t xml:space="preserve"> </w:t>
      </w:r>
      <w:r w:rsidR="00F73014">
        <w:rPr>
          <w:rFonts w:ascii="Arial" w:hAnsi="Arial" w:cs="Arial"/>
          <w:color w:val="000000"/>
          <w:sz w:val="20"/>
          <w:szCs w:val="20"/>
          <w:lang w:val="en-AU"/>
        </w:rPr>
        <w:br w:type="page"/>
      </w:r>
    </w:p>
    <w:p w14:paraId="73D92BB3" w14:textId="4FA96D84" w:rsidR="00A9714A" w:rsidRPr="00A3496A" w:rsidRDefault="00421481" w:rsidP="00293B1A">
      <w:pPr>
        <w:rPr>
          <w:rFonts w:ascii="Arial" w:hAnsi="Arial" w:cs="Arial"/>
          <w:b/>
          <w:bCs/>
          <w:sz w:val="20"/>
          <w:szCs w:val="20"/>
          <w:lang w:eastAsia="en-AU"/>
        </w:rPr>
      </w:pPr>
      <w:r>
        <w:rPr>
          <w:rFonts w:ascii="Arial" w:hAnsi="Arial" w:cs="Arial"/>
          <w:b/>
          <w:bCs/>
          <w:sz w:val="20"/>
          <w:szCs w:val="20"/>
          <w:lang w:eastAsia="en-AU"/>
        </w:rPr>
        <w:lastRenderedPageBreak/>
        <w:t>Attachment B</w:t>
      </w:r>
    </w:p>
    <w:p w14:paraId="6D6E5B86" w14:textId="77777777" w:rsidR="00A9714A" w:rsidRPr="000E655F" w:rsidRDefault="00A9714A" w:rsidP="00A9714A">
      <w:pPr>
        <w:spacing w:line="360" w:lineRule="auto"/>
        <w:jc w:val="center"/>
        <w:rPr>
          <w:lang w:eastAsia="en-AU"/>
        </w:rPr>
      </w:pPr>
      <w:r w:rsidRPr="000E655F">
        <w:rPr>
          <w:rFonts w:ascii="Arial" w:hAnsi="Arial" w:cs="Arial"/>
          <w:b/>
          <w:bCs/>
          <w:sz w:val="20"/>
          <w:szCs w:val="20"/>
          <w:lang w:eastAsia="en-AU"/>
        </w:rPr>
        <w:t>Statement of Compatibility with Human Rights</w:t>
      </w:r>
    </w:p>
    <w:p w14:paraId="3DBA1A4B" w14:textId="77777777" w:rsidR="00A9714A" w:rsidRPr="000E655F" w:rsidRDefault="00A9714A" w:rsidP="00A9714A">
      <w:pPr>
        <w:spacing w:line="360" w:lineRule="auto"/>
        <w:jc w:val="center"/>
        <w:rPr>
          <w:lang w:eastAsia="en-AU"/>
        </w:rPr>
      </w:pPr>
      <w:r w:rsidRPr="000E655F">
        <w:rPr>
          <w:rFonts w:ascii="Arial" w:hAnsi="Arial" w:cs="Arial"/>
          <w:sz w:val="20"/>
          <w:szCs w:val="20"/>
          <w:lang w:eastAsia="en-AU"/>
        </w:rPr>
        <w:t xml:space="preserve">Prepared in accordance with Part 3 of the </w:t>
      </w:r>
      <w:r w:rsidRPr="00373432">
        <w:rPr>
          <w:rFonts w:ascii="Arial" w:hAnsi="Arial" w:cs="Arial"/>
          <w:i/>
          <w:sz w:val="20"/>
          <w:szCs w:val="20"/>
          <w:lang w:eastAsia="en-AU"/>
        </w:rPr>
        <w:t>Human Rights (Parliamentary Scrutiny) Act 2011</w:t>
      </w:r>
    </w:p>
    <w:p w14:paraId="278F7767" w14:textId="77777777" w:rsidR="00A9714A" w:rsidRPr="000E655F" w:rsidRDefault="00A9714A" w:rsidP="00A9714A">
      <w:pPr>
        <w:spacing w:line="360" w:lineRule="auto"/>
        <w:jc w:val="center"/>
        <w:rPr>
          <w:lang w:eastAsia="en-AU"/>
        </w:rPr>
      </w:pPr>
      <w:r w:rsidRPr="000E655F">
        <w:rPr>
          <w:rFonts w:ascii="Arial" w:hAnsi="Arial" w:cs="Arial"/>
          <w:b/>
          <w:bCs/>
          <w:i/>
          <w:iCs/>
          <w:sz w:val="20"/>
          <w:szCs w:val="20"/>
          <w:lang w:eastAsia="en-AU"/>
        </w:rPr>
        <w:t> </w:t>
      </w:r>
    </w:p>
    <w:p w14:paraId="45E4812F" w14:textId="39A8C6DA" w:rsidR="00A9714A" w:rsidRDefault="00A9714A" w:rsidP="00A9714A">
      <w:pPr>
        <w:spacing w:line="360" w:lineRule="auto"/>
        <w:jc w:val="center"/>
        <w:rPr>
          <w:lang w:val="en-AU" w:eastAsia="en-AU"/>
        </w:rPr>
      </w:pPr>
      <w:r>
        <w:rPr>
          <w:rFonts w:ascii="Arial" w:hAnsi="Arial" w:cs="Arial"/>
          <w:b/>
          <w:bCs/>
          <w:i/>
          <w:iCs/>
          <w:sz w:val="20"/>
          <w:szCs w:val="20"/>
        </w:rPr>
        <w:t xml:space="preserve">Radiocommunications Advisory Guidelines (Managing Interference from </w:t>
      </w:r>
      <w:r w:rsidRPr="00A9714A">
        <w:rPr>
          <w:rFonts w:ascii="Arial" w:hAnsi="Arial" w:cs="Arial"/>
          <w:b/>
          <w:bCs/>
          <w:i/>
          <w:iCs/>
          <w:sz w:val="20"/>
          <w:szCs w:val="20"/>
        </w:rPr>
        <w:t xml:space="preserve">Spectrum Licensed </w:t>
      </w:r>
      <w:r>
        <w:rPr>
          <w:rFonts w:ascii="Arial" w:hAnsi="Arial" w:cs="Arial"/>
          <w:b/>
          <w:bCs/>
          <w:i/>
          <w:iCs/>
          <w:sz w:val="20"/>
          <w:szCs w:val="20"/>
        </w:rPr>
        <w:t xml:space="preserve">Transmitters – </w:t>
      </w:r>
      <w:r w:rsidR="006302E9">
        <w:rPr>
          <w:rFonts w:ascii="Arial" w:hAnsi="Arial" w:cs="Arial"/>
          <w:b/>
          <w:bCs/>
          <w:i/>
          <w:iCs/>
          <w:sz w:val="20"/>
          <w:szCs w:val="20"/>
        </w:rPr>
        <w:t>2</w:t>
      </w:r>
      <w:r>
        <w:rPr>
          <w:rFonts w:ascii="Arial" w:hAnsi="Arial" w:cs="Arial"/>
          <w:b/>
          <w:bCs/>
          <w:i/>
          <w:iCs/>
          <w:sz w:val="20"/>
          <w:szCs w:val="20"/>
        </w:rPr>
        <w:t xml:space="preserve"> GHz Band) 201</w:t>
      </w:r>
      <w:r w:rsidR="006302E9">
        <w:rPr>
          <w:rFonts w:ascii="Arial" w:hAnsi="Arial" w:cs="Arial"/>
          <w:b/>
          <w:bCs/>
          <w:i/>
          <w:iCs/>
          <w:sz w:val="20"/>
          <w:szCs w:val="20"/>
        </w:rPr>
        <w:t>6</w:t>
      </w:r>
    </w:p>
    <w:p w14:paraId="6A3CCEF3" w14:textId="77777777" w:rsidR="00A9714A" w:rsidRDefault="00A9714A" w:rsidP="00A9714A">
      <w:pPr>
        <w:jc w:val="center"/>
      </w:pPr>
      <w:r>
        <w:rPr>
          <w:rFonts w:ascii="Arial" w:hAnsi="Arial" w:cs="Arial"/>
          <w:b/>
          <w:bCs/>
          <w:sz w:val="20"/>
          <w:szCs w:val="20"/>
        </w:rPr>
        <w:t> </w:t>
      </w:r>
    </w:p>
    <w:p w14:paraId="39DC292D" w14:textId="77777777" w:rsidR="00A9714A" w:rsidRDefault="00A9714A" w:rsidP="00A9714A">
      <w:pPr>
        <w:jc w:val="center"/>
      </w:pPr>
      <w:r>
        <w:rPr>
          <w:rFonts w:ascii="Arial" w:hAnsi="Arial" w:cs="Arial"/>
          <w:b/>
          <w:bCs/>
          <w:sz w:val="20"/>
          <w:szCs w:val="20"/>
        </w:rPr>
        <w:t> </w:t>
      </w:r>
    </w:p>
    <w:p w14:paraId="4E248893" w14:textId="407E2033" w:rsidR="00A9714A" w:rsidRDefault="008F02EE" w:rsidP="00A9714A">
      <w:pPr>
        <w:jc w:val="both"/>
        <w:rPr>
          <w:rFonts w:ascii="Arial" w:hAnsi="Arial" w:cs="Arial"/>
          <w:sz w:val="20"/>
          <w:szCs w:val="20"/>
          <w:lang w:val="en-AU"/>
        </w:rPr>
      </w:pPr>
      <w:r>
        <w:rPr>
          <w:rFonts w:ascii="Arial" w:hAnsi="Arial" w:cs="Arial"/>
          <w:sz w:val="20"/>
          <w:szCs w:val="20"/>
          <w:lang w:val="en-AU"/>
        </w:rPr>
        <w:t xml:space="preserve">The </w:t>
      </w:r>
      <w:r>
        <w:rPr>
          <w:rFonts w:ascii="Arial" w:hAnsi="Arial" w:cs="Arial"/>
          <w:i/>
          <w:sz w:val="20"/>
          <w:szCs w:val="20"/>
          <w:lang w:val="en-AU"/>
        </w:rPr>
        <w:t xml:space="preserve">Radiocommunications Advisory Guidelines (Managing Interference from Spectrum Licensed Transmitters – 2 GHz Band) 2016 </w:t>
      </w:r>
      <w:r w:rsidRPr="00E02DF3">
        <w:rPr>
          <w:rFonts w:ascii="Arial" w:hAnsi="Arial" w:cs="Arial"/>
          <w:sz w:val="20"/>
          <w:szCs w:val="20"/>
          <w:lang w:val="en-AU"/>
        </w:rPr>
        <w:t>(</w:t>
      </w:r>
      <w:r>
        <w:rPr>
          <w:rFonts w:ascii="Arial" w:hAnsi="Arial" w:cs="Arial"/>
          <w:b/>
          <w:sz w:val="20"/>
          <w:szCs w:val="20"/>
          <w:lang w:val="en-AU"/>
        </w:rPr>
        <w:t>the Advisory Guidelines</w:t>
      </w:r>
      <w:r w:rsidRPr="00E02DF3">
        <w:rPr>
          <w:rFonts w:ascii="Arial" w:hAnsi="Arial" w:cs="Arial"/>
          <w:sz w:val="20"/>
          <w:szCs w:val="20"/>
          <w:lang w:val="en-AU"/>
        </w:rPr>
        <w:t>)</w:t>
      </w:r>
      <w:r w:rsidR="00A9714A" w:rsidRPr="00E8597C">
        <w:rPr>
          <w:rFonts w:ascii="Arial" w:hAnsi="Arial" w:cs="Arial"/>
          <w:sz w:val="20"/>
          <w:szCs w:val="20"/>
          <w:lang w:val="en-AU"/>
        </w:rPr>
        <w:t xml:space="preserve"> </w:t>
      </w:r>
      <w:r>
        <w:rPr>
          <w:rFonts w:ascii="Arial" w:hAnsi="Arial" w:cs="Arial"/>
          <w:sz w:val="20"/>
          <w:szCs w:val="20"/>
          <w:lang w:val="en-AU"/>
        </w:rPr>
        <w:t>are</w:t>
      </w:r>
      <w:r w:rsidR="00A9714A" w:rsidRPr="00E8597C">
        <w:rPr>
          <w:rFonts w:ascii="Arial" w:hAnsi="Arial" w:cs="Arial"/>
          <w:sz w:val="20"/>
          <w:szCs w:val="20"/>
          <w:lang w:val="en-AU"/>
        </w:rPr>
        <w:t xml:space="preserve"> compatible with the human rights and freedoms recognised or declared in the international instruments listed in section 3 of the </w:t>
      </w:r>
      <w:r w:rsidR="00A9714A" w:rsidRPr="00373432">
        <w:rPr>
          <w:rFonts w:ascii="Arial" w:hAnsi="Arial" w:cs="Arial"/>
          <w:i/>
          <w:sz w:val="20"/>
          <w:szCs w:val="20"/>
          <w:lang w:val="en-AU"/>
        </w:rPr>
        <w:t>Human Rights (Parliamentary Scrutiny) Act 2011</w:t>
      </w:r>
      <w:r w:rsidR="00A9714A" w:rsidRPr="00E8597C">
        <w:rPr>
          <w:rFonts w:ascii="Arial" w:hAnsi="Arial" w:cs="Arial"/>
          <w:sz w:val="20"/>
          <w:szCs w:val="20"/>
          <w:lang w:val="en-AU"/>
        </w:rPr>
        <w:t>.</w:t>
      </w:r>
    </w:p>
    <w:p w14:paraId="6A985873" w14:textId="77777777" w:rsidR="00A9714A" w:rsidRDefault="00A9714A" w:rsidP="00A9714A">
      <w:pPr>
        <w:jc w:val="both"/>
        <w:rPr>
          <w:rFonts w:ascii="Arial" w:hAnsi="Arial" w:cs="Arial"/>
          <w:sz w:val="20"/>
          <w:szCs w:val="20"/>
          <w:lang w:val="en-AU"/>
        </w:rPr>
      </w:pPr>
    </w:p>
    <w:p w14:paraId="718626F0" w14:textId="77777777" w:rsidR="00A9714A" w:rsidRDefault="00A9714A" w:rsidP="00A9714A">
      <w:pPr>
        <w:jc w:val="both"/>
        <w:rPr>
          <w:rFonts w:ascii="Arial" w:hAnsi="Arial" w:cs="Arial"/>
          <w:sz w:val="20"/>
          <w:szCs w:val="20"/>
          <w:lang w:val="en-AU"/>
        </w:rPr>
      </w:pPr>
      <w:r w:rsidRPr="00E8597C">
        <w:rPr>
          <w:rFonts w:ascii="Arial" w:hAnsi="Arial" w:cs="Arial"/>
          <w:b/>
          <w:sz w:val="20"/>
          <w:szCs w:val="20"/>
          <w:lang w:val="en-AU"/>
        </w:rPr>
        <w:t>Overview of the Legislative Instrument</w:t>
      </w:r>
    </w:p>
    <w:p w14:paraId="4290CC5C" w14:textId="77777777" w:rsidR="00A9714A" w:rsidRDefault="00A9714A" w:rsidP="00A9714A">
      <w:pPr>
        <w:jc w:val="both"/>
        <w:rPr>
          <w:rFonts w:ascii="Arial" w:hAnsi="Arial" w:cs="Arial"/>
          <w:sz w:val="20"/>
          <w:szCs w:val="20"/>
          <w:lang w:val="en-AU"/>
        </w:rPr>
      </w:pPr>
    </w:p>
    <w:p w14:paraId="47FCB2F9" w14:textId="31F500BE" w:rsidR="00A9714A" w:rsidRPr="00E8597C" w:rsidRDefault="00A9714A" w:rsidP="00A9714A">
      <w:pPr>
        <w:jc w:val="both"/>
        <w:rPr>
          <w:rFonts w:ascii="Arial" w:hAnsi="Arial" w:cs="Arial"/>
          <w:sz w:val="20"/>
          <w:szCs w:val="20"/>
          <w:lang w:val="en-AU"/>
        </w:rPr>
      </w:pPr>
      <w:r w:rsidRPr="00E8597C">
        <w:rPr>
          <w:rFonts w:ascii="Arial" w:hAnsi="Arial" w:cs="Arial"/>
          <w:sz w:val="20"/>
          <w:szCs w:val="20"/>
          <w:lang w:val="en-AU"/>
        </w:rPr>
        <w:t xml:space="preserve">Section 262 of the </w:t>
      </w:r>
      <w:r w:rsidRPr="00373432">
        <w:rPr>
          <w:rFonts w:ascii="Arial" w:hAnsi="Arial" w:cs="Arial"/>
          <w:i/>
          <w:sz w:val="20"/>
          <w:szCs w:val="20"/>
          <w:lang w:val="en-AU"/>
        </w:rPr>
        <w:t>Radiocommunications Act 1992</w:t>
      </w:r>
      <w:r w:rsidRPr="00E8597C">
        <w:rPr>
          <w:rFonts w:ascii="Arial" w:hAnsi="Arial" w:cs="Arial"/>
          <w:sz w:val="20"/>
          <w:szCs w:val="20"/>
          <w:lang w:val="en-AU"/>
        </w:rPr>
        <w:t xml:space="preserve"> permits the Australian Communications and Media Authority to make </w:t>
      </w:r>
      <w:r w:rsidR="00E91B68">
        <w:rPr>
          <w:rFonts w:ascii="Arial" w:hAnsi="Arial" w:cs="Arial"/>
          <w:sz w:val="20"/>
          <w:szCs w:val="20"/>
          <w:lang w:val="en-AU"/>
        </w:rPr>
        <w:t>a</w:t>
      </w:r>
      <w:r w:rsidRPr="00E8597C">
        <w:rPr>
          <w:rFonts w:ascii="Arial" w:hAnsi="Arial" w:cs="Arial"/>
          <w:sz w:val="20"/>
          <w:szCs w:val="20"/>
          <w:lang w:val="en-AU"/>
        </w:rPr>
        <w:t xml:space="preserve">dvisory </w:t>
      </w:r>
      <w:r w:rsidR="00E91B68">
        <w:rPr>
          <w:rFonts w:ascii="Arial" w:hAnsi="Arial" w:cs="Arial"/>
          <w:sz w:val="20"/>
          <w:szCs w:val="20"/>
          <w:lang w:val="en-AU"/>
        </w:rPr>
        <w:t>g</w:t>
      </w:r>
      <w:r w:rsidRPr="00E8597C">
        <w:rPr>
          <w:rFonts w:ascii="Arial" w:hAnsi="Arial" w:cs="Arial"/>
          <w:sz w:val="20"/>
          <w:szCs w:val="20"/>
          <w:lang w:val="en-AU"/>
        </w:rPr>
        <w:t xml:space="preserve">uidelines about any aspect of radiocommunication or radio emissions.  </w:t>
      </w:r>
    </w:p>
    <w:p w14:paraId="446AD439" w14:textId="77777777" w:rsidR="00A9714A" w:rsidRDefault="00A9714A" w:rsidP="00A9714A">
      <w:pPr>
        <w:jc w:val="both"/>
        <w:rPr>
          <w:rFonts w:ascii="Arial" w:hAnsi="Arial" w:cs="Arial"/>
          <w:sz w:val="20"/>
          <w:szCs w:val="20"/>
          <w:lang w:val="en-AU"/>
        </w:rPr>
      </w:pPr>
    </w:p>
    <w:p w14:paraId="515C5969" w14:textId="73CE8962" w:rsidR="00A9714A" w:rsidRPr="00E8597C" w:rsidRDefault="00A9714A" w:rsidP="00A9714A">
      <w:pPr>
        <w:jc w:val="both"/>
        <w:rPr>
          <w:rFonts w:ascii="Arial" w:hAnsi="Arial" w:cs="Arial"/>
          <w:sz w:val="20"/>
          <w:szCs w:val="20"/>
          <w:lang w:val="en-AU"/>
        </w:rPr>
      </w:pPr>
      <w:r w:rsidRPr="00E8597C">
        <w:rPr>
          <w:rFonts w:ascii="Arial" w:hAnsi="Arial" w:cs="Arial"/>
          <w:sz w:val="20"/>
          <w:szCs w:val="20"/>
          <w:lang w:val="en-AU"/>
        </w:rPr>
        <w:t xml:space="preserve">The purpose of the Advisory Guidelines </w:t>
      </w:r>
      <w:r>
        <w:rPr>
          <w:rFonts w:ascii="Arial" w:hAnsi="Arial" w:cs="Arial"/>
          <w:sz w:val="20"/>
          <w:szCs w:val="20"/>
        </w:rPr>
        <w:t>is to provide information and guidance to assist with the management of interference to radiocommunications receivers operating under apparatus</w:t>
      </w:r>
      <w:r w:rsidR="001C4EE9">
        <w:rPr>
          <w:rFonts w:ascii="Arial" w:hAnsi="Arial" w:cs="Arial"/>
          <w:sz w:val="20"/>
          <w:szCs w:val="20"/>
        </w:rPr>
        <w:t xml:space="preserve"> and</w:t>
      </w:r>
      <w:r>
        <w:rPr>
          <w:rFonts w:ascii="Arial" w:hAnsi="Arial" w:cs="Arial"/>
          <w:sz w:val="20"/>
          <w:szCs w:val="20"/>
        </w:rPr>
        <w:t xml:space="preserve"> class </w:t>
      </w:r>
      <w:proofErr w:type="spellStart"/>
      <w:r>
        <w:rPr>
          <w:rFonts w:ascii="Arial" w:hAnsi="Arial" w:cs="Arial"/>
          <w:sz w:val="20"/>
          <w:szCs w:val="20"/>
        </w:rPr>
        <w:t>licences</w:t>
      </w:r>
      <w:proofErr w:type="spellEnd"/>
      <w:r>
        <w:rPr>
          <w:rFonts w:ascii="Arial" w:hAnsi="Arial" w:cs="Arial"/>
          <w:sz w:val="20"/>
          <w:szCs w:val="20"/>
        </w:rPr>
        <w:t xml:space="preserve"> in or adjacent to the </w:t>
      </w:r>
      <w:r w:rsidR="006302E9">
        <w:rPr>
          <w:rFonts w:ascii="Arial" w:hAnsi="Arial" w:cs="Arial"/>
          <w:sz w:val="20"/>
          <w:szCs w:val="20"/>
        </w:rPr>
        <w:t>2</w:t>
      </w:r>
      <w:r>
        <w:rPr>
          <w:rFonts w:ascii="Arial" w:hAnsi="Arial" w:cs="Arial"/>
          <w:sz w:val="20"/>
          <w:szCs w:val="20"/>
        </w:rPr>
        <w:t xml:space="preserve"> GHz band caused by radiocommunications transmitters operating under spectrum </w:t>
      </w:r>
      <w:proofErr w:type="spellStart"/>
      <w:r>
        <w:rPr>
          <w:rFonts w:ascii="Arial" w:hAnsi="Arial" w:cs="Arial"/>
          <w:sz w:val="20"/>
          <w:szCs w:val="20"/>
        </w:rPr>
        <w:t>licences</w:t>
      </w:r>
      <w:proofErr w:type="spellEnd"/>
      <w:r>
        <w:rPr>
          <w:rFonts w:ascii="Arial" w:hAnsi="Arial" w:cs="Arial"/>
          <w:sz w:val="20"/>
          <w:szCs w:val="20"/>
        </w:rPr>
        <w:t xml:space="preserve"> issued for the </w:t>
      </w:r>
      <w:r w:rsidR="006302E9">
        <w:rPr>
          <w:rFonts w:ascii="Arial" w:hAnsi="Arial" w:cs="Arial"/>
          <w:sz w:val="20"/>
          <w:szCs w:val="20"/>
        </w:rPr>
        <w:t>2</w:t>
      </w:r>
      <w:r>
        <w:rPr>
          <w:rFonts w:ascii="Arial" w:hAnsi="Arial" w:cs="Arial"/>
          <w:sz w:val="20"/>
          <w:szCs w:val="20"/>
        </w:rPr>
        <w:t xml:space="preserve"> GHz band.</w:t>
      </w:r>
    </w:p>
    <w:p w14:paraId="5EDEEEA7" w14:textId="77777777" w:rsidR="00A9714A" w:rsidRPr="00E8597C" w:rsidRDefault="00A9714A" w:rsidP="00A9714A">
      <w:pPr>
        <w:jc w:val="both"/>
        <w:rPr>
          <w:rFonts w:ascii="Arial" w:hAnsi="Arial" w:cs="Arial"/>
          <w:sz w:val="20"/>
          <w:szCs w:val="20"/>
          <w:lang w:val="en-AU"/>
        </w:rPr>
      </w:pPr>
    </w:p>
    <w:p w14:paraId="3FD55D60" w14:textId="77777777" w:rsidR="00A9714A" w:rsidRPr="00E8597C" w:rsidRDefault="00A9714A" w:rsidP="00A9714A">
      <w:pPr>
        <w:jc w:val="both"/>
        <w:rPr>
          <w:rFonts w:ascii="Arial" w:hAnsi="Arial" w:cs="Arial"/>
          <w:sz w:val="20"/>
          <w:szCs w:val="20"/>
          <w:lang w:val="en-AU"/>
        </w:rPr>
      </w:pPr>
    </w:p>
    <w:p w14:paraId="0726C384" w14:textId="77777777" w:rsidR="00A9714A" w:rsidRPr="00E8597C" w:rsidRDefault="00A9714A" w:rsidP="00A9714A">
      <w:pPr>
        <w:jc w:val="both"/>
        <w:rPr>
          <w:rFonts w:ascii="Arial" w:hAnsi="Arial" w:cs="Arial"/>
          <w:sz w:val="20"/>
          <w:szCs w:val="20"/>
          <w:lang w:val="en-AU"/>
        </w:rPr>
      </w:pPr>
    </w:p>
    <w:p w14:paraId="75275EB7" w14:textId="77777777" w:rsidR="00A9714A" w:rsidRPr="00E8597C" w:rsidRDefault="00A9714A" w:rsidP="00A9714A">
      <w:pPr>
        <w:jc w:val="both"/>
        <w:rPr>
          <w:rFonts w:ascii="Arial" w:hAnsi="Arial" w:cs="Arial"/>
          <w:b/>
          <w:sz w:val="20"/>
          <w:szCs w:val="20"/>
          <w:lang w:val="en-AU"/>
        </w:rPr>
      </w:pPr>
      <w:r w:rsidRPr="00E8597C">
        <w:rPr>
          <w:rFonts w:ascii="Arial" w:hAnsi="Arial" w:cs="Arial"/>
          <w:b/>
          <w:sz w:val="20"/>
          <w:szCs w:val="20"/>
          <w:lang w:val="en-AU"/>
        </w:rPr>
        <w:t>Human Rights Implications</w:t>
      </w:r>
    </w:p>
    <w:p w14:paraId="0269826D" w14:textId="77777777" w:rsidR="00A9714A" w:rsidRPr="00E8597C" w:rsidRDefault="00A9714A" w:rsidP="00A9714A">
      <w:pPr>
        <w:jc w:val="both"/>
        <w:rPr>
          <w:rFonts w:ascii="Arial" w:hAnsi="Arial" w:cs="Arial"/>
          <w:sz w:val="20"/>
          <w:szCs w:val="20"/>
          <w:lang w:val="en-AU"/>
        </w:rPr>
      </w:pPr>
    </w:p>
    <w:p w14:paraId="24BD5176" w14:textId="77777777" w:rsidR="00A9714A" w:rsidRPr="00E8597C" w:rsidRDefault="00A9714A" w:rsidP="00A9714A">
      <w:pPr>
        <w:jc w:val="both"/>
        <w:rPr>
          <w:rFonts w:ascii="Arial" w:hAnsi="Arial" w:cs="Arial"/>
          <w:sz w:val="20"/>
          <w:szCs w:val="20"/>
          <w:lang w:val="en-AU"/>
        </w:rPr>
      </w:pPr>
      <w:r w:rsidRPr="00E8597C">
        <w:rPr>
          <w:rFonts w:ascii="Arial" w:hAnsi="Arial" w:cs="Arial"/>
          <w:sz w:val="20"/>
          <w:szCs w:val="20"/>
          <w:lang w:val="en-AU"/>
        </w:rPr>
        <w:t>The Advisory Guidelines do not engage any of the applicable rights or freedoms.</w:t>
      </w:r>
    </w:p>
    <w:p w14:paraId="0DEAE8C0" w14:textId="77777777" w:rsidR="00A9714A" w:rsidRPr="00E8597C" w:rsidRDefault="00A9714A" w:rsidP="00A9714A">
      <w:pPr>
        <w:jc w:val="both"/>
        <w:rPr>
          <w:rFonts w:ascii="Arial" w:hAnsi="Arial" w:cs="Arial"/>
          <w:sz w:val="20"/>
          <w:szCs w:val="20"/>
          <w:lang w:val="en-AU"/>
        </w:rPr>
      </w:pPr>
    </w:p>
    <w:p w14:paraId="07EFBFCE" w14:textId="77777777" w:rsidR="00A9714A" w:rsidRPr="00E8597C" w:rsidRDefault="00A9714A" w:rsidP="00A9714A">
      <w:pPr>
        <w:jc w:val="both"/>
        <w:rPr>
          <w:rFonts w:ascii="Arial" w:hAnsi="Arial" w:cs="Arial"/>
          <w:b/>
          <w:sz w:val="20"/>
          <w:szCs w:val="20"/>
          <w:lang w:val="en-AU"/>
        </w:rPr>
      </w:pPr>
      <w:r w:rsidRPr="00E8597C">
        <w:rPr>
          <w:rFonts w:ascii="Arial" w:hAnsi="Arial" w:cs="Arial"/>
          <w:b/>
          <w:sz w:val="20"/>
          <w:szCs w:val="20"/>
          <w:lang w:val="en-AU"/>
        </w:rPr>
        <w:t>Conclusion</w:t>
      </w:r>
    </w:p>
    <w:p w14:paraId="139E0234" w14:textId="77777777" w:rsidR="00A9714A" w:rsidRPr="00E8597C" w:rsidRDefault="00A9714A" w:rsidP="00A9714A">
      <w:pPr>
        <w:jc w:val="both"/>
        <w:rPr>
          <w:rFonts w:ascii="Arial" w:hAnsi="Arial" w:cs="Arial"/>
          <w:sz w:val="20"/>
          <w:szCs w:val="20"/>
          <w:lang w:val="en-AU"/>
        </w:rPr>
      </w:pPr>
    </w:p>
    <w:p w14:paraId="2FC7397E" w14:textId="77777777" w:rsidR="00A9714A" w:rsidRDefault="00A9714A" w:rsidP="00A9714A">
      <w:pPr>
        <w:jc w:val="both"/>
        <w:rPr>
          <w:rFonts w:ascii="Arial" w:hAnsi="Arial" w:cs="Arial"/>
          <w:sz w:val="20"/>
          <w:szCs w:val="20"/>
          <w:lang w:val="en-AU"/>
        </w:rPr>
      </w:pPr>
      <w:r w:rsidRPr="00E8597C">
        <w:rPr>
          <w:rFonts w:ascii="Arial" w:hAnsi="Arial" w:cs="Arial"/>
          <w:sz w:val="20"/>
          <w:szCs w:val="20"/>
          <w:lang w:val="en-AU"/>
        </w:rPr>
        <w:t>The Advisory Guidelines are compatible with human rights as they do not raise any human rights issues.</w:t>
      </w:r>
    </w:p>
    <w:p w14:paraId="5DF1C38D" w14:textId="77777777" w:rsidR="008615D3" w:rsidRPr="003B728C" w:rsidRDefault="008615D3" w:rsidP="003B728C">
      <w:pPr>
        <w:jc w:val="both"/>
        <w:rPr>
          <w:rFonts w:ascii="Arial" w:hAnsi="Arial" w:cs="Arial"/>
          <w:sz w:val="20"/>
          <w:szCs w:val="20"/>
          <w:lang w:val="en-AU"/>
        </w:rPr>
      </w:pPr>
    </w:p>
    <w:sectPr w:rsidR="008615D3" w:rsidRPr="003B728C" w:rsidSect="0074067F">
      <w:headerReference w:type="even" r:id="rId16"/>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8FB0" w14:textId="77777777" w:rsidR="000273BF" w:rsidRDefault="000273BF">
      <w:r>
        <w:separator/>
      </w:r>
    </w:p>
  </w:endnote>
  <w:endnote w:type="continuationSeparator" w:id="0">
    <w:p w14:paraId="5FFF207B" w14:textId="77777777" w:rsidR="000273BF" w:rsidRDefault="0002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altName w:val="Malgun Gothic"/>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E691" w14:textId="77777777" w:rsidR="00282ED3" w:rsidRDefault="00282ED3" w:rsidP="0036213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E692" w14:textId="77777777" w:rsidR="00282ED3" w:rsidRDefault="00282ED3" w:rsidP="00B32F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A29A1" w14:textId="77777777" w:rsidR="000273BF" w:rsidRDefault="000273BF">
      <w:r>
        <w:separator/>
      </w:r>
    </w:p>
  </w:footnote>
  <w:footnote w:type="continuationSeparator" w:id="0">
    <w:p w14:paraId="15B4850E" w14:textId="77777777" w:rsidR="000273BF" w:rsidRDefault="00027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E68C" w14:textId="77777777" w:rsidR="00282ED3" w:rsidRDefault="00E76C4B" w:rsidP="00A844EF">
    <w:pPr>
      <w:pStyle w:val="Header"/>
      <w:framePr w:wrap="around" w:vAnchor="text" w:hAnchor="margin" w:xAlign="center" w:y="1"/>
      <w:rPr>
        <w:rStyle w:val="PageNumber"/>
      </w:rPr>
    </w:pPr>
    <w:r>
      <w:rPr>
        <w:rStyle w:val="PageNumber"/>
      </w:rPr>
      <w:fldChar w:fldCharType="begin"/>
    </w:r>
    <w:r w:rsidR="00282ED3">
      <w:rPr>
        <w:rStyle w:val="PageNumber"/>
      </w:rPr>
      <w:instrText xml:space="preserve">PAGE  </w:instrText>
    </w:r>
    <w:r>
      <w:rPr>
        <w:rStyle w:val="PageNumber"/>
      </w:rPr>
      <w:fldChar w:fldCharType="end"/>
    </w:r>
  </w:p>
  <w:p w14:paraId="50C8E68D" w14:textId="77777777" w:rsidR="00282ED3" w:rsidRDefault="00282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E68E" w14:textId="77777777" w:rsidR="00282ED3" w:rsidRDefault="00E76C4B" w:rsidP="00A13E1F">
    <w:pPr>
      <w:pStyle w:val="Header"/>
      <w:framePr w:wrap="around" w:vAnchor="text" w:hAnchor="margin" w:xAlign="center" w:y="1"/>
      <w:jc w:val="center"/>
      <w:rPr>
        <w:rStyle w:val="PageNumber"/>
      </w:rPr>
    </w:pPr>
    <w:r>
      <w:rPr>
        <w:rStyle w:val="PageNumber"/>
      </w:rPr>
      <w:fldChar w:fldCharType="begin"/>
    </w:r>
    <w:r w:rsidR="00282ED3">
      <w:rPr>
        <w:rStyle w:val="PageNumber"/>
      </w:rPr>
      <w:instrText xml:space="preserve">PAGE  </w:instrText>
    </w:r>
    <w:r>
      <w:rPr>
        <w:rStyle w:val="PageNumber"/>
      </w:rPr>
      <w:fldChar w:fldCharType="separate"/>
    </w:r>
    <w:r w:rsidR="00E02DF3">
      <w:rPr>
        <w:rStyle w:val="PageNumber"/>
        <w:noProof/>
      </w:rPr>
      <w:t>3</w:t>
    </w:r>
    <w:r>
      <w:rPr>
        <w:rStyle w:val="PageNumber"/>
      </w:rPr>
      <w:fldChar w:fldCharType="end"/>
    </w:r>
  </w:p>
  <w:p w14:paraId="50C8E68F" w14:textId="77777777" w:rsidR="00282ED3" w:rsidRDefault="00282ED3" w:rsidP="00362134">
    <w:pPr>
      <w:pStyle w:val="Header"/>
      <w:jc w:val="center"/>
      <w:rPr>
        <w:b/>
        <w:sz w:val="32"/>
        <w:szCs w:val="32"/>
        <w:lang w:val="en-AU"/>
      </w:rPr>
    </w:pPr>
  </w:p>
  <w:p w14:paraId="50C8E690" w14:textId="77777777" w:rsidR="00282ED3" w:rsidRDefault="00282ED3" w:rsidP="00E72F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6EE6A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FFFFFFFE"/>
    <w:multiLevelType w:val="singleLevel"/>
    <w:tmpl w:val="35B85848"/>
    <w:lvl w:ilvl="0">
      <w:numFmt w:val="bullet"/>
      <w:lvlText w:val="*"/>
      <w:lvlJc w:val="left"/>
    </w:lvl>
  </w:abstractNum>
  <w:abstractNum w:abstractNumId="2">
    <w:nsid w:val="025C27F5"/>
    <w:multiLevelType w:val="hybridMultilevel"/>
    <w:tmpl w:val="1EB6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D6789"/>
    <w:multiLevelType w:val="hybridMultilevel"/>
    <w:tmpl w:val="8B5A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65676"/>
    <w:multiLevelType w:val="hybridMultilevel"/>
    <w:tmpl w:val="60BA2F60"/>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B204A"/>
    <w:multiLevelType w:val="hybridMultilevel"/>
    <w:tmpl w:val="A9FA672E"/>
    <w:lvl w:ilvl="0" w:tplc="555039CC">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
    <w:nsid w:val="0FFE43E5"/>
    <w:multiLevelType w:val="hybridMultilevel"/>
    <w:tmpl w:val="1B8C26CA"/>
    <w:lvl w:ilvl="0" w:tplc="36E0A874">
      <w:start w:val="2"/>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EA09EF"/>
    <w:multiLevelType w:val="hybridMultilevel"/>
    <w:tmpl w:val="752CA0D4"/>
    <w:lvl w:ilvl="0" w:tplc="44D6412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2333B0"/>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E40709"/>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B76651"/>
    <w:multiLevelType w:val="hybridMultilevel"/>
    <w:tmpl w:val="563A7DC4"/>
    <w:lvl w:ilvl="0" w:tplc="44D64128">
      <w:start w:val="1"/>
      <w:numFmt w:val="bullet"/>
      <w:lvlText w:val="˃"/>
      <w:lvlJc w:val="left"/>
      <w:pPr>
        <w:ind w:left="720" w:hanging="360"/>
      </w:pPr>
      <w:rPr>
        <w:rFonts w:ascii="Arial" w:hAnsi="Arial" w:hint="default"/>
      </w:rPr>
    </w:lvl>
    <w:lvl w:ilvl="1" w:tplc="622244E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5C2EFB"/>
    <w:multiLevelType w:val="hybridMultilevel"/>
    <w:tmpl w:val="E0AEF3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2B66172D"/>
    <w:multiLevelType w:val="hybridMultilevel"/>
    <w:tmpl w:val="83FC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C277D0"/>
    <w:multiLevelType w:val="hybridMultilevel"/>
    <w:tmpl w:val="59D01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03B1455"/>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B8119F"/>
    <w:multiLevelType w:val="hybridMultilevel"/>
    <w:tmpl w:val="5308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204A19"/>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2A1F7F"/>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A5061C"/>
    <w:multiLevelType w:val="hybridMultilevel"/>
    <w:tmpl w:val="0D8E4A70"/>
    <w:lvl w:ilvl="0" w:tplc="0C090019">
      <w:start w:val="1"/>
      <w:numFmt w:val="lowerLetter"/>
      <w:lvlText w:val="%1."/>
      <w:lvlJc w:val="left"/>
      <w:pPr>
        <w:tabs>
          <w:tab w:val="num" w:pos="900"/>
        </w:tabs>
        <w:ind w:left="900" w:hanging="360"/>
      </w:pPr>
    </w:lvl>
    <w:lvl w:ilvl="1" w:tplc="40A2D154">
      <w:start w:val="1"/>
      <w:numFmt w:val="lowerLetter"/>
      <w:lvlText w:val="(%2)"/>
      <w:lvlJc w:val="left"/>
      <w:pPr>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4EFA0A30"/>
    <w:multiLevelType w:val="hybridMultilevel"/>
    <w:tmpl w:val="13249442"/>
    <w:lvl w:ilvl="0" w:tplc="CCD47F66">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DB7A66"/>
    <w:multiLevelType w:val="hybridMultilevel"/>
    <w:tmpl w:val="BDD29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B373C8"/>
    <w:multiLevelType w:val="hybridMultilevel"/>
    <w:tmpl w:val="464C5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9017BB"/>
    <w:multiLevelType w:val="hybridMultilevel"/>
    <w:tmpl w:val="4442F48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nsid w:val="5F602317"/>
    <w:multiLevelType w:val="hybridMultilevel"/>
    <w:tmpl w:val="91CA8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DD4708"/>
    <w:multiLevelType w:val="hybridMultilevel"/>
    <w:tmpl w:val="7818CD1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791F3F"/>
    <w:multiLevelType w:val="hybridMultilevel"/>
    <w:tmpl w:val="EF28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0E2F15"/>
    <w:multiLevelType w:val="hybridMultilevel"/>
    <w:tmpl w:val="0B1EF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582E89"/>
    <w:multiLevelType w:val="hybridMultilevel"/>
    <w:tmpl w:val="D4A09600"/>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6E60B8"/>
    <w:multiLevelType w:val="hybridMultilevel"/>
    <w:tmpl w:val="92E8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201B9F"/>
    <w:multiLevelType w:val="hybridMultilevel"/>
    <w:tmpl w:val="B396FFF2"/>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3"/>
  </w:num>
  <w:num w:numId="4">
    <w:abstractNumId w:val="3"/>
  </w:num>
  <w:num w:numId="5">
    <w:abstractNumId w:val="21"/>
  </w:num>
  <w:num w:numId="6">
    <w:abstractNumId w:val="1"/>
    <w:lvlOverride w:ilvl="0">
      <w:lvl w:ilvl="0">
        <w:numFmt w:val="bullet"/>
        <w:lvlText w:val="•"/>
        <w:legacy w:legacy="1" w:legacySpace="0" w:legacyIndent="0"/>
        <w:lvlJc w:val="left"/>
        <w:rPr>
          <w:rFonts w:ascii="Helv" w:hAnsi="Helv" w:hint="default"/>
        </w:rPr>
      </w:lvl>
    </w:lvlOverride>
  </w:num>
  <w:num w:numId="7">
    <w:abstractNumId w:val="24"/>
  </w:num>
  <w:num w:numId="8">
    <w:abstractNumId w:val="16"/>
  </w:num>
  <w:num w:numId="9">
    <w:abstractNumId w:val="17"/>
  </w:num>
  <w:num w:numId="10">
    <w:abstractNumId w:val="8"/>
  </w:num>
  <w:num w:numId="11">
    <w:abstractNumId w:val="14"/>
  </w:num>
  <w:num w:numId="12">
    <w:abstractNumId w:val="29"/>
  </w:num>
  <w:num w:numId="13">
    <w:abstractNumId w:val="19"/>
  </w:num>
  <w:num w:numId="14">
    <w:abstractNumId w:val="4"/>
  </w:num>
  <w:num w:numId="15">
    <w:abstractNumId w:val="9"/>
  </w:num>
  <w:num w:numId="16">
    <w:abstractNumId w:val="27"/>
  </w:num>
  <w:num w:numId="17">
    <w:abstractNumId w:val="6"/>
  </w:num>
  <w:num w:numId="18">
    <w:abstractNumId w:val="10"/>
  </w:num>
  <w:num w:numId="19">
    <w:abstractNumId w:val="7"/>
  </w:num>
  <w:num w:numId="20">
    <w:abstractNumId w:val="13"/>
  </w:num>
  <w:num w:numId="21">
    <w:abstractNumId w:val="25"/>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18"/>
  </w:num>
  <w:num w:numId="26">
    <w:abstractNumId w:val="2"/>
  </w:num>
  <w:num w:numId="27">
    <w:abstractNumId w:val="26"/>
  </w:num>
  <w:num w:numId="28">
    <w:abstractNumId w:val="15"/>
  </w:num>
  <w:num w:numId="29">
    <w:abstractNumId w:val="0"/>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22"/>
    <w:rsid w:val="00002F35"/>
    <w:rsid w:val="0000300B"/>
    <w:rsid w:val="0000334E"/>
    <w:rsid w:val="00005643"/>
    <w:rsid w:val="00007C8D"/>
    <w:rsid w:val="00016BA2"/>
    <w:rsid w:val="00020E56"/>
    <w:rsid w:val="000227EC"/>
    <w:rsid w:val="00023C08"/>
    <w:rsid w:val="00024211"/>
    <w:rsid w:val="00025D13"/>
    <w:rsid w:val="000273BF"/>
    <w:rsid w:val="0003025D"/>
    <w:rsid w:val="00032B32"/>
    <w:rsid w:val="00035C5D"/>
    <w:rsid w:val="00036086"/>
    <w:rsid w:val="00040B05"/>
    <w:rsid w:val="00040FD0"/>
    <w:rsid w:val="0004150F"/>
    <w:rsid w:val="0004274A"/>
    <w:rsid w:val="00043812"/>
    <w:rsid w:val="000440AD"/>
    <w:rsid w:val="00046969"/>
    <w:rsid w:val="00051A91"/>
    <w:rsid w:val="0005280F"/>
    <w:rsid w:val="00052DB6"/>
    <w:rsid w:val="0005491A"/>
    <w:rsid w:val="000609D9"/>
    <w:rsid w:val="00065340"/>
    <w:rsid w:val="00070531"/>
    <w:rsid w:val="00070A52"/>
    <w:rsid w:val="00072306"/>
    <w:rsid w:val="00072549"/>
    <w:rsid w:val="000727E2"/>
    <w:rsid w:val="00073B86"/>
    <w:rsid w:val="000760FB"/>
    <w:rsid w:val="00076E3A"/>
    <w:rsid w:val="0008189C"/>
    <w:rsid w:val="00082EB4"/>
    <w:rsid w:val="00084D8E"/>
    <w:rsid w:val="00086091"/>
    <w:rsid w:val="000860A9"/>
    <w:rsid w:val="000907DE"/>
    <w:rsid w:val="00093274"/>
    <w:rsid w:val="00096A86"/>
    <w:rsid w:val="00096FB8"/>
    <w:rsid w:val="000A0E4B"/>
    <w:rsid w:val="000A2AE5"/>
    <w:rsid w:val="000A3641"/>
    <w:rsid w:val="000A4D28"/>
    <w:rsid w:val="000A5293"/>
    <w:rsid w:val="000A6A9B"/>
    <w:rsid w:val="000A72F1"/>
    <w:rsid w:val="000A78D9"/>
    <w:rsid w:val="000A79B8"/>
    <w:rsid w:val="000A7A3F"/>
    <w:rsid w:val="000B1051"/>
    <w:rsid w:val="000B193B"/>
    <w:rsid w:val="000B2131"/>
    <w:rsid w:val="000B2834"/>
    <w:rsid w:val="000B2A91"/>
    <w:rsid w:val="000B3A34"/>
    <w:rsid w:val="000B3F4F"/>
    <w:rsid w:val="000B46E0"/>
    <w:rsid w:val="000B69A3"/>
    <w:rsid w:val="000B785D"/>
    <w:rsid w:val="000C14FE"/>
    <w:rsid w:val="000C2BDB"/>
    <w:rsid w:val="000C3067"/>
    <w:rsid w:val="000C50E2"/>
    <w:rsid w:val="000C67D4"/>
    <w:rsid w:val="000C7244"/>
    <w:rsid w:val="000C7E17"/>
    <w:rsid w:val="000D02FC"/>
    <w:rsid w:val="000D0461"/>
    <w:rsid w:val="000D1326"/>
    <w:rsid w:val="000D432B"/>
    <w:rsid w:val="000D454D"/>
    <w:rsid w:val="000D4FF8"/>
    <w:rsid w:val="000D61AC"/>
    <w:rsid w:val="000D68D5"/>
    <w:rsid w:val="000D767B"/>
    <w:rsid w:val="000D797B"/>
    <w:rsid w:val="000E2F73"/>
    <w:rsid w:val="000E312C"/>
    <w:rsid w:val="000E3954"/>
    <w:rsid w:val="000E44D2"/>
    <w:rsid w:val="000E7688"/>
    <w:rsid w:val="000E7BC7"/>
    <w:rsid w:val="000F145B"/>
    <w:rsid w:val="000F1F80"/>
    <w:rsid w:val="000F66BE"/>
    <w:rsid w:val="000F6A00"/>
    <w:rsid w:val="000F7B2C"/>
    <w:rsid w:val="000F7DDD"/>
    <w:rsid w:val="001002A8"/>
    <w:rsid w:val="001019FD"/>
    <w:rsid w:val="001037A5"/>
    <w:rsid w:val="001040ED"/>
    <w:rsid w:val="00105943"/>
    <w:rsid w:val="00107C9C"/>
    <w:rsid w:val="00110856"/>
    <w:rsid w:val="00111D3B"/>
    <w:rsid w:val="001127B6"/>
    <w:rsid w:val="001127FD"/>
    <w:rsid w:val="001130BC"/>
    <w:rsid w:val="00113D11"/>
    <w:rsid w:val="00113FC2"/>
    <w:rsid w:val="0011424C"/>
    <w:rsid w:val="00120C3C"/>
    <w:rsid w:val="00122FA0"/>
    <w:rsid w:val="0012342D"/>
    <w:rsid w:val="00123DFD"/>
    <w:rsid w:val="001240A3"/>
    <w:rsid w:val="001244AE"/>
    <w:rsid w:val="00124A67"/>
    <w:rsid w:val="001250A7"/>
    <w:rsid w:val="00125A68"/>
    <w:rsid w:val="001264EA"/>
    <w:rsid w:val="00126FD0"/>
    <w:rsid w:val="00134A4B"/>
    <w:rsid w:val="001358C8"/>
    <w:rsid w:val="00135A6D"/>
    <w:rsid w:val="00137EBF"/>
    <w:rsid w:val="001421F8"/>
    <w:rsid w:val="00145166"/>
    <w:rsid w:val="001469CC"/>
    <w:rsid w:val="00147015"/>
    <w:rsid w:val="001522E5"/>
    <w:rsid w:val="00153F0C"/>
    <w:rsid w:val="001611E0"/>
    <w:rsid w:val="00161DE7"/>
    <w:rsid w:val="001623E6"/>
    <w:rsid w:val="00162CC3"/>
    <w:rsid w:val="001631C5"/>
    <w:rsid w:val="00165E54"/>
    <w:rsid w:val="001673DE"/>
    <w:rsid w:val="00170D27"/>
    <w:rsid w:val="00171504"/>
    <w:rsid w:val="001716D9"/>
    <w:rsid w:val="0017393E"/>
    <w:rsid w:val="00175F46"/>
    <w:rsid w:val="001767FA"/>
    <w:rsid w:val="00176E4D"/>
    <w:rsid w:val="00177AFD"/>
    <w:rsid w:val="001802C0"/>
    <w:rsid w:val="0018129A"/>
    <w:rsid w:val="00181E1C"/>
    <w:rsid w:val="001847A6"/>
    <w:rsid w:val="00185301"/>
    <w:rsid w:val="001901D9"/>
    <w:rsid w:val="00191769"/>
    <w:rsid w:val="00191C04"/>
    <w:rsid w:val="00193000"/>
    <w:rsid w:val="001939F0"/>
    <w:rsid w:val="00193CCB"/>
    <w:rsid w:val="00193EB6"/>
    <w:rsid w:val="0019576A"/>
    <w:rsid w:val="00197574"/>
    <w:rsid w:val="001A084F"/>
    <w:rsid w:val="001A0B8E"/>
    <w:rsid w:val="001A0C51"/>
    <w:rsid w:val="001A2609"/>
    <w:rsid w:val="001A4ADD"/>
    <w:rsid w:val="001A5D71"/>
    <w:rsid w:val="001A730C"/>
    <w:rsid w:val="001B218D"/>
    <w:rsid w:val="001B30AB"/>
    <w:rsid w:val="001B466C"/>
    <w:rsid w:val="001B53D9"/>
    <w:rsid w:val="001B58E7"/>
    <w:rsid w:val="001B5A54"/>
    <w:rsid w:val="001B700D"/>
    <w:rsid w:val="001B79DD"/>
    <w:rsid w:val="001C2D26"/>
    <w:rsid w:val="001C4EE9"/>
    <w:rsid w:val="001C6C87"/>
    <w:rsid w:val="001C7822"/>
    <w:rsid w:val="001D0811"/>
    <w:rsid w:val="001D3D7B"/>
    <w:rsid w:val="001D597D"/>
    <w:rsid w:val="001D7A76"/>
    <w:rsid w:val="001E0ED3"/>
    <w:rsid w:val="001E11A4"/>
    <w:rsid w:val="001E4C38"/>
    <w:rsid w:val="001E504A"/>
    <w:rsid w:val="001E7008"/>
    <w:rsid w:val="001F0D48"/>
    <w:rsid w:val="001F1B3D"/>
    <w:rsid w:val="001F2B55"/>
    <w:rsid w:val="001F375E"/>
    <w:rsid w:val="001F645C"/>
    <w:rsid w:val="001F6F5B"/>
    <w:rsid w:val="001F7B1E"/>
    <w:rsid w:val="00203272"/>
    <w:rsid w:val="002036F3"/>
    <w:rsid w:val="00203DB1"/>
    <w:rsid w:val="002041C8"/>
    <w:rsid w:val="002104D9"/>
    <w:rsid w:val="002108C7"/>
    <w:rsid w:val="00212BDC"/>
    <w:rsid w:val="002137F6"/>
    <w:rsid w:val="00214F91"/>
    <w:rsid w:val="00221DD3"/>
    <w:rsid w:val="00224576"/>
    <w:rsid w:val="00224650"/>
    <w:rsid w:val="00224F56"/>
    <w:rsid w:val="00225A34"/>
    <w:rsid w:val="00225E40"/>
    <w:rsid w:val="00232983"/>
    <w:rsid w:val="00235C92"/>
    <w:rsid w:val="00236BB5"/>
    <w:rsid w:val="00237298"/>
    <w:rsid w:val="002378FB"/>
    <w:rsid w:val="00237B11"/>
    <w:rsid w:val="002406D2"/>
    <w:rsid w:val="002419E7"/>
    <w:rsid w:val="00242911"/>
    <w:rsid w:val="00242A7B"/>
    <w:rsid w:val="00245D33"/>
    <w:rsid w:val="00246998"/>
    <w:rsid w:val="002520E1"/>
    <w:rsid w:val="00252F3A"/>
    <w:rsid w:val="00253BEB"/>
    <w:rsid w:val="002546FC"/>
    <w:rsid w:val="0025733D"/>
    <w:rsid w:val="00257897"/>
    <w:rsid w:val="00260D08"/>
    <w:rsid w:val="00262777"/>
    <w:rsid w:val="002631B5"/>
    <w:rsid w:val="002636B5"/>
    <w:rsid w:val="0026726C"/>
    <w:rsid w:val="00267635"/>
    <w:rsid w:val="00271A26"/>
    <w:rsid w:val="00272394"/>
    <w:rsid w:val="00272903"/>
    <w:rsid w:val="002729D9"/>
    <w:rsid w:val="002745BF"/>
    <w:rsid w:val="00275CCC"/>
    <w:rsid w:val="00276491"/>
    <w:rsid w:val="00276EAE"/>
    <w:rsid w:val="00277A54"/>
    <w:rsid w:val="00277B95"/>
    <w:rsid w:val="002806E5"/>
    <w:rsid w:val="002815AE"/>
    <w:rsid w:val="00281E6D"/>
    <w:rsid w:val="00282ED3"/>
    <w:rsid w:val="002840DE"/>
    <w:rsid w:val="0029141C"/>
    <w:rsid w:val="00293B1A"/>
    <w:rsid w:val="00293E33"/>
    <w:rsid w:val="00293EA0"/>
    <w:rsid w:val="0029459F"/>
    <w:rsid w:val="00294E1F"/>
    <w:rsid w:val="0029582B"/>
    <w:rsid w:val="00296E82"/>
    <w:rsid w:val="002A0D98"/>
    <w:rsid w:val="002A23F8"/>
    <w:rsid w:val="002A385F"/>
    <w:rsid w:val="002A4CD1"/>
    <w:rsid w:val="002A4EDD"/>
    <w:rsid w:val="002A6D08"/>
    <w:rsid w:val="002A7083"/>
    <w:rsid w:val="002B2544"/>
    <w:rsid w:val="002B33EF"/>
    <w:rsid w:val="002B3894"/>
    <w:rsid w:val="002B4583"/>
    <w:rsid w:val="002B5841"/>
    <w:rsid w:val="002B5972"/>
    <w:rsid w:val="002B79CE"/>
    <w:rsid w:val="002B7A07"/>
    <w:rsid w:val="002C0058"/>
    <w:rsid w:val="002C0956"/>
    <w:rsid w:val="002C102F"/>
    <w:rsid w:val="002C1EB2"/>
    <w:rsid w:val="002C5DFB"/>
    <w:rsid w:val="002D0747"/>
    <w:rsid w:val="002D3196"/>
    <w:rsid w:val="002D6B3F"/>
    <w:rsid w:val="002E1DCA"/>
    <w:rsid w:val="002E1E61"/>
    <w:rsid w:val="002E25EB"/>
    <w:rsid w:val="002E309A"/>
    <w:rsid w:val="002E37B6"/>
    <w:rsid w:val="002E4BAD"/>
    <w:rsid w:val="002E5DE0"/>
    <w:rsid w:val="002E77CA"/>
    <w:rsid w:val="002F0B29"/>
    <w:rsid w:val="002F482C"/>
    <w:rsid w:val="002F4D69"/>
    <w:rsid w:val="002F5BF5"/>
    <w:rsid w:val="002F7391"/>
    <w:rsid w:val="00300BC6"/>
    <w:rsid w:val="00301425"/>
    <w:rsid w:val="003017BE"/>
    <w:rsid w:val="0030187D"/>
    <w:rsid w:val="00303130"/>
    <w:rsid w:val="00304232"/>
    <w:rsid w:val="003057AE"/>
    <w:rsid w:val="00305928"/>
    <w:rsid w:val="00311E45"/>
    <w:rsid w:val="0031334B"/>
    <w:rsid w:val="0031382E"/>
    <w:rsid w:val="00322075"/>
    <w:rsid w:val="00326BE5"/>
    <w:rsid w:val="003274A8"/>
    <w:rsid w:val="00327D8A"/>
    <w:rsid w:val="0033118F"/>
    <w:rsid w:val="00332C7D"/>
    <w:rsid w:val="0033639D"/>
    <w:rsid w:val="00337EE5"/>
    <w:rsid w:val="00340E2E"/>
    <w:rsid w:val="00340EA6"/>
    <w:rsid w:val="00340F08"/>
    <w:rsid w:val="00342B33"/>
    <w:rsid w:val="00343425"/>
    <w:rsid w:val="00343921"/>
    <w:rsid w:val="00344282"/>
    <w:rsid w:val="0034610D"/>
    <w:rsid w:val="0034741A"/>
    <w:rsid w:val="00351C52"/>
    <w:rsid w:val="00353910"/>
    <w:rsid w:val="003541E8"/>
    <w:rsid w:val="00354A22"/>
    <w:rsid w:val="00357E8B"/>
    <w:rsid w:val="00362134"/>
    <w:rsid w:val="003634DD"/>
    <w:rsid w:val="00363579"/>
    <w:rsid w:val="00363C72"/>
    <w:rsid w:val="00367786"/>
    <w:rsid w:val="00370DB5"/>
    <w:rsid w:val="0037141B"/>
    <w:rsid w:val="0037224D"/>
    <w:rsid w:val="00373432"/>
    <w:rsid w:val="00374AF5"/>
    <w:rsid w:val="00376093"/>
    <w:rsid w:val="00377C7C"/>
    <w:rsid w:val="00382D1E"/>
    <w:rsid w:val="0038369F"/>
    <w:rsid w:val="00383D7C"/>
    <w:rsid w:val="003879DF"/>
    <w:rsid w:val="00390D0A"/>
    <w:rsid w:val="0039504C"/>
    <w:rsid w:val="003955FC"/>
    <w:rsid w:val="00397C1B"/>
    <w:rsid w:val="003A0F7D"/>
    <w:rsid w:val="003A19D6"/>
    <w:rsid w:val="003A346C"/>
    <w:rsid w:val="003A547B"/>
    <w:rsid w:val="003B0803"/>
    <w:rsid w:val="003B0A1E"/>
    <w:rsid w:val="003B0E76"/>
    <w:rsid w:val="003B125F"/>
    <w:rsid w:val="003B1A98"/>
    <w:rsid w:val="003B324C"/>
    <w:rsid w:val="003B3402"/>
    <w:rsid w:val="003B3D41"/>
    <w:rsid w:val="003B61D0"/>
    <w:rsid w:val="003B728C"/>
    <w:rsid w:val="003C0792"/>
    <w:rsid w:val="003C1578"/>
    <w:rsid w:val="003C1691"/>
    <w:rsid w:val="003C23DE"/>
    <w:rsid w:val="003C24D0"/>
    <w:rsid w:val="003C5724"/>
    <w:rsid w:val="003C7A04"/>
    <w:rsid w:val="003D1955"/>
    <w:rsid w:val="003D4EA5"/>
    <w:rsid w:val="003D5948"/>
    <w:rsid w:val="003D629D"/>
    <w:rsid w:val="003D7D4A"/>
    <w:rsid w:val="003E0537"/>
    <w:rsid w:val="003E1E77"/>
    <w:rsid w:val="003E225E"/>
    <w:rsid w:val="003E22FC"/>
    <w:rsid w:val="003E57F8"/>
    <w:rsid w:val="003E689D"/>
    <w:rsid w:val="003E7E12"/>
    <w:rsid w:val="003F2116"/>
    <w:rsid w:val="003F2693"/>
    <w:rsid w:val="003F68EA"/>
    <w:rsid w:val="003F6C2D"/>
    <w:rsid w:val="0040129F"/>
    <w:rsid w:val="00402C1C"/>
    <w:rsid w:val="00402CED"/>
    <w:rsid w:val="00403F51"/>
    <w:rsid w:val="00404E95"/>
    <w:rsid w:val="00406A3E"/>
    <w:rsid w:val="00411188"/>
    <w:rsid w:val="00415C49"/>
    <w:rsid w:val="00416765"/>
    <w:rsid w:val="00421481"/>
    <w:rsid w:val="004261DB"/>
    <w:rsid w:val="00426566"/>
    <w:rsid w:val="004273B8"/>
    <w:rsid w:val="00427D2E"/>
    <w:rsid w:val="0043191F"/>
    <w:rsid w:val="00433ADF"/>
    <w:rsid w:val="0043436F"/>
    <w:rsid w:val="00437695"/>
    <w:rsid w:val="00437BA1"/>
    <w:rsid w:val="00437CBA"/>
    <w:rsid w:val="00437F03"/>
    <w:rsid w:val="004437B3"/>
    <w:rsid w:val="004471CE"/>
    <w:rsid w:val="00450357"/>
    <w:rsid w:val="00452BEB"/>
    <w:rsid w:val="00453A54"/>
    <w:rsid w:val="00454284"/>
    <w:rsid w:val="0045517A"/>
    <w:rsid w:val="00456404"/>
    <w:rsid w:val="0045700F"/>
    <w:rsid w:val="00460F2A"/>
    <w:rsid w:val="00464707"/>
    <w:rsid w:val="0046505B"/>
    <w:rsid w:val="00466743"/>
    <w:rsid w:val="00467644"/>
    <w:rsid w:val="00472449"/>
    <w:rsid w:val="00476F8B"/>
    <w:rsid w:val="0048134B"/>
    <w:rsid w:val="00481707"/>
    <w:rsid w:val="004829D0"/>
    <w:rsid w:val="0048765D"/>
    <w:rsid w:val="00491998"/>
    <w:rsid w:val="00493268"/>
    <w:rsid w:val="00493C8E"/>
    <w:rsid w:val="004A054B"/>
    <w:rsid w:val="004A0D98"/>
    <w:rsid w:val="004A19A3"/>
    <w:rsid w:val="004A4EA1"/>
    <w:rsid w:val="004A59D9"/>
    <w:rsid w:val="004A5B88"/>
    <w:rsid w:val="004A67FA"/>
    <w:rsid w:val="004A69DF"/>
    <w:rsid w:val="004A789E"/>
    <w:rsid w:val="004B0659"/>
    <w:rsid w:val="004B128D"/>
    <w:rsid w:val="004B2D77"/>
    <w:rsid w:val="004C24D3"/>
    <w:rsid w:val="004C2506"/>
    <w:rsid w:val="004C3CE8"/>
    <w:rsid w:val="004C3FD6"/>
    <w:rsid w:val="004C61EA"/>
    <w:rsid w:val="004D08CE"/>
    <w:rsid w:val="004D47D9"/>
    <w:rsid w:val="004D52E9"/>
    <w:rsid w:val="004E0192"/>
    <w:rsid w:val="004E025A"/>
    <w:rsid w:val="004E320F"/>
    <w:rsid w:val="004E35A3"/>
    <w:rsid w:val="004E4C3C"/>
    <w:rsid w:val="004E6C7A"/>
    <w:rsid w:val="004E6E14"/>
    <w:rsid w:val="004F0388"/>
    <w:rsid w:val="004F2FDE"/>
    <w:rsid w:val="004F3FEF"/>
    <w:rsid w:val="004F4155"/>
    <w:rsid w:val="004F5BAE"/>
    <w:rsid w:val="004F5DC7"/>
    <w:rsid w:val="004F641F"/>
    <w:rsid w:val="004F6459"/>
    <w:rsid w:val="004F6A6B"/>
    <w:rsid w:val="004F72F7"/>
    <w:rsid w:val="0050282C"/>
    <w:rsid w:val="00503BDE"/>
    <w:rsid w:val="00503F64"/>
    <w:rsid w:val="00505C16"/>
    <w:rsid w:val="00507010"/>
    <w:rsid w:val="00510C33"/>
    <w:rsid w:val="00511097"/>
    <w:rsid w:val="00511181"/>
    <w:rsid w:val="00513CDE"/>
    <w:rsid w:val="0052206D"/>
    <w:rsid w:val="0052263F"/>
    <w:rsid w:val="00522C7C"/>
    <w:rsid w:val="00522DC5"/>
    <w:rsid w:val="0052325C"/>
    <w:rsid w:val="00524A35"/>
    <w:rsid w:val="00524A47"/>
    <w:rsid w:val="00525AF3"/>
    <w:rsid w:val="00531B55"/>
    <w:rsid w:val="0053278B"/>
    <w:rsid w:val="0054110B"/>
    <w:rsid w:val="0054415C"/>
    <w:rsid w:val="0054416C"/>
    <w:rsid w:val="00544701"/>
    <w:rsid w:val="00551EE5"/>
    <w:rsid w:val="0055293B"/>
    <w:rsid w:val="005536DF"/>
    <w:rsid w:val="00557A8F"/>
    <w:rsid w:val="00560C70"/>
    <w:rsid w:val="005614D6"/>
    <w:rsid w:val="00562BBE"/>
    <w:rsid w:val="00562DAE"/>
    <w:rsid w:val="00570FC1"/>
    <w:rsid w:val="0057242E"/>
    <w:rsid w:val="00573732"/>
    <w:rsid w:val="0057385A"/>
    <w:rsid w:val="00574E59"/>
    <w:rsid w:val="00576D51"/>
    <w:rsid w:val="00580AC1"/>
    <w:rsid w:val="00581992"/>
    <w:rsid w:val="005842A4"/>
    <w:rsid w:val="005855E7"/>
    <w:rsid w:val="005861E6"/>
    <w:rsid w:val="00586C54"/>
    <w:rsid w:val="00590384"/>
    <w:rsid w:val="005907C3"/>
    <w:rsid w:val="005908D2"/>
    <w:rsid w:val="00591C99"/>
    <w:rsid w:val="00592092"/>
    <w:rsid w:val="00592454"/>
    <w:rsid w:val="00593959"/>
    <w:rsid w:val="005939A7"/>
    <w:rsid w:val="00593AB5"/>
    <w:rsid w:val="005948AF"/>
    <w:rsid w:val="005958C1"/>
    <w:rsid w:val="00595E64"/>
    <w:rsid w:val="005965E9"/>
    <w:rsid w:val="00597470"/>
    <w:rsid w:val="005A1292"/>
    <w:rsid w:val="005A1DA6"/>
    <w:rsid w:val="005A1FF2"/>
    <w:rsid w:val="005A599B"/>
    <w:rsid w:val="005A64F7"/>
    <w:rsid w:val="005B1791"/>
    <w:rsid w:val="005B1D3D"/>
    <w:rsid w:val="005B5B68"/>
    <w:rsid w:val="005C1620"/>
    <w:rsid w:val="005C341C"/>
    <w:rsid w:val="005C3787"/>
    <w:rsid w:val="005C3AB7"/>
    <w:rsid w:val="005C51F7"/>
    <w:rsid w:val="005D1812"/>
    <w:rsid w:val="005D206A"/>
    <w:rsid w:val="005D2679"/>
    <w:rsid w:val="005D48CA"/>
    <w:rsid w:val="005D5A16"/>
    <w:rsid w:val="005E0661"/>
    <w:rsid w:val="005E09F7"/>
    <w:rsid w:val="005E110A"/>
    <w:rsid w:val="005E306B"/>
    <w:rsid w:val="005E4329"/>
    <w:rsid w:val="005F0138"/>
    <w:rsid w:val="005F23D4"/>
    <w:rsid w:val="005F3083"/>
    <w:rsid w:val="005F3F07"/>
    <w:rsid w:val="005F4643"/>
    <w:rsid w:val="005F4C60"/>
    <w:rsid w:val="005F5D29"/>
    <w:rsid w:val="005F68AC"/>
    <w:rsid w:val="005F7F10"/>
    <w:rsid w:val="006009AE"/>
    <w:rsid w:val="00601D0E"/>
    <w:rsid w:val="006046D0"/>
    <w:rsid w:val="006046F8"/>
    <w:rsid w:val="00604ECF"/>
    <w:rsid w:val="00605EEE"/>
    <w:rsid w:val="006065D3"/>
    <w:rsid w:val="00606889"/>
    <w:rsid w:val="00607B24"/>
    <w:rsid w:val="006103E3"/>
    <w:rsid w:val="006142CB"/>
    <w:rsid w:val="0061493C"/>
    <w:rsid w:val="00615237"/>
    <w:rsid w:val="00617167"/>
    <w:rsid w:val="00617543"/>
    <w:rsid w:val="00621713"/>
    <w:rsid w:val="00623C0D"/>
    <w:rsid w:val="00624E93"/>
    <w:rsid w:val="00626085"/>
    <w:rsid w:val="006266C6"/>
    <w:rsid w:val="00626DE6"/>
    <w:rsid w:val="00627040"/>
    <w:rsid w:val="00627E5C"/>
    <w:rsid w:val="006300DE"/>
    <w:rsid w:val="006302E9"/>
    <w:rsid w:val="0063048A"/>
    <w:rsid w:val="00631A55"/>
    <w:rsid w:val="00635547"/>
    <w:rsid w:val="0063614D"/>
    <w:rsid w:val="00640477"/>
    <w:rsid w:val="006445AD"/>
    <w:rsid w:val="0064732F"/>
    <w:rsid w:val="00647418"/>
    <w:rsid w:val="00647AEA"/>
    <w:rsid w:val="00650720"/>
    <w:rsid w:val="00651944"/>
    <w:rsid w:val="0065257F"/>
    <w:rsid w:val="006534C6"/>
    <w:rsid w:val="006623F2"/>
    <w:rsid w:val="00662DD9"/>
    <w:rsid w:val="006636A6"/>
    <w:rsid w:val="00664DC3"/>
    <w:rsid w:val="00665C05"/>
    <w:rsid w:val="0066629F"/>
    <w:rsid w:val="00667ADE"/>
    <w:rsid w:val="00672169"/>
    <w:rsid w:val="00675410"/>
    <w:rsid w:val="00681510"/>
    <w:rsid w:val="00681ADC"/>
    <w:rsid w:val="006846A9"/>
    <w:rsid w:val="00684AE2"/>
    <w:rsid w:val="006851A5"/>
    <w:rsid w:val="00687704"/>
    <w:rsid w:val="0069746A"/>
    <w:rsid w:val="006A1904"/>
    <w:rsid w:val="006A32AA"/>
    <w:rsid w:val="006A44C1"/>
    <w:rsid w:val="006A4999"/>
    <w:rsid w:val="006A5F06"/>
    <w:rsid w:val="006A727F"/>
    <w:rsid w:val="006B28C4"/>
    <w:rsid w:val="006B2F38"/>
    <w:rsid w:val="006B3ED7"/>
    <w:rsid w:val="006C3D70"/>
    <w:rsid w:val="006C60D1"/>
    <w:rsid w:val="006C7D95"/>
    <w:rsid w:val="006D0A5C"/>
    <w:rsid w:val="006D0B5D"/>
    <w:rsid w:val="006D5E01"/>
    <w:rsid w:val="006D6479"/>
    <w:rsid w:val="006D749A"/>
    <w:rsid w:val="006E00EA"/>
    <w:rsid w:val="006E0975"/>
    <w:rsid w:val="006E0AC6"/>
    <w:rsid w:val="006E1935"/>
    <w:rsid w:val="006E39EC"/>
    <w:rsid w:val="006E7459"/>
    <w:rsid w:val="006F011A"/>
    <w:rsid w:val="006F22F7"/>
    <w:rsid w:val="006F4862"/>
    <w:rsid w:val="006F4C8C"/>
    <w:rsid w:val="006F4D67"/>
    <w:rsid w:val="006F778E"/>
    <w:rsid w:val="006F7A60"/>
    <w:rsid w:val="00700626"/>
    <w:rsid w:val="007022CD"/>
    <w:rsid w:val="007045F7"/>
    <w:rsid w:val="007055F7"/>
    <w:rsid w:val="00707DCF"/>
    <w:rsid w:val="00707FEF"/>
    <w:rsid w:val="00711188"/>
    <w:rsid w:val="00711584"/>
    <w:rsid w:val="00713A6E"/>
    <w:rsid w:val="007163AA"/>
    <w:rsid w:val="007172FD"/>
    <w:rsid w:val="00717714"/>
    <w:rsid w:val="00725AA7"/>
    <w:rsid w:val="0072722A"/>
    <w:rsid w:val="007273F0"/>
    <w:rsid w:val="007304CB"/>
    <w:rsid w:val="00732357"/>
    <w:rsid w:val="007332AD"/>
    <w:rsid w:val="00733CBE"/>
    <w:rsid w:val="007358CB"/>
    <w:rsid w:val="00735B89"/>
    <w:rsid w:val="0074067F"/>
    <w:rsid w:val="00740F62"/>
    <w:rsid w:val="007424D8"/>
    <w:rsid w:val="00742978"/>
    <w:rsid w:val="00742EA5"/>
    <w:rsid w:val="00742F88"/>
    <w:rsid w:val="00744FCB"/>
    <w:rsid w:val="00745491"/>
    <w:rsid w:val="00745527"/>
    <w:rsid w:val="007460C3"/>
    <w:rsid w:val="00746205"/>
    <w:rsid w:val="00746AAC"/>
    <w:rsid w:val="00746C7E"/>
    <w:rsid w:val="007506D8"/>
    <w:rsid w:val="00750DB6"/>
    <w:rsid w:val="00755059"/>
    <w:rsid w:val="00755E64"/>
    <w:rsid w:val="00756BEE"/>
    <w:rsid w:val="00757531"/>
    <w:rsid w:val="00757AD6"/>
    <w:rsid w:val="0076073C"/>
    <w:rsid w:val="00760F83"/>
    <w:rsid w:val="00761C8D"/>
    <w:rsid w:val="007625E7"/>
    <w:rsid w:val="0076357D"/>
    <w:rsid w:val="00764418"/>
    <w:rsid w:val="00765927"/>
    <w:rsid w:val="00773D41"/>
    <w:rsid w:val="007745AD"/>
    <w:rsid w:val="00774617"/>
    <w:rsid w:val="00776037"/>
    <w:rsid w:val="00776FB8"/>
    <w:rsid w:val="00780E42"/>
    <w:rsid w:val="007846EA"/>
    <w:rsid w:val="00784997"/>
    <w:rsid w:val="00786B66"/>
    <w:rsid w:val="0079221C"/>
    <w:rsid w:val="00796B12"/>
    <w:rsid w:val="007A0937"/>
    <w:rsid w:val="007A5674"/>
    <w:rsid w:val="007A6995"/>
    <w:rsid w:val="007A72F5"/>
    <w:rsid w:val="007B37DA"/>
    <w:rsid w:val="007B4CDE"/>
    <w:rsid w:val="007C03C6"/>
    <w:rsid w:val="007C08A7"/>
    <w:rsid w:val="007C213F"/>
    <w:rsid w:val="007C319D"/>
    <w:rsid w:val="007C4108"/>
    <w:rsid w:val="007C7155"/>
    <w:rsid w:val="007C7864"/>
    <w:rsid w:val="007C79D1"/>
    <w:rsid w:val="007D0224"/>
    <w:rsid w:val="007D5DE0"/>
    <w:rsid w:val="007E2115"/>
    <w:rsid w:val="007E2540"/>
    <w:rsid w:val="007E42E6"/>
    <w:rsid w:val="007F0969"/>
    <w:rsid w:val="007F2EBD"/>
    <w:rsid w:val="007F40E0"/>
    <w:rsid w:val="007F504F"/>
    <w:rsid w:val="007F6C6C"/>
    <w:rsid w:val="00800903"/>
    <w:rsid w:val="0080190D"/>
    <w:rsid w:val="00803443"/>
    <w:rsid w:val="00805EFE"/>
    <w:rsid w:val="00810038"/>
    <w:rsid w:val="00811B46"/>
    <w:rsid w:val="00811EA3"/>
    <w:rsid w:val="0081505B"/>
    <w:rsid w:val="008160F0"/>
    <w:rsid w:val="008207A6"/>
    <w:rsid w:val="00821D09"/>
    <w:rsid w:val="0082440D"/>
    <w:rsid w:val="00825324"/>
    <w:rsid w:val="00833ACD"/>
    <w:rsid w:val="00834D8C"/>
    <w:rsid w:val="00837DAE"/>
    <w:rsid w:val="00840056"/>
    <w:rsid w:val="008424C7"/>
    <w:rsid w:val="0084448C"/>
    <w:rsid w:val="00846186"/>
    <w:rsid w:val="00852E1F"/>
    <w:rsid w:val="00854A74"/>
    <w:rsid w:val="00855664"/>
    <w:rsid w:val="008565A7"/>
    <w:rsid w:val="00856E01"/>
    <w:rsid w:val="00857222"/>
    <w:rsid w:val="008579AF"/>
    <w:rsid w:val="00860498"/>
    <w:rsid w:val="008615D3"/>
    <w:rsid w:val="0086194A"/>
    <w:rsid w:val="00861FE4"/>
    <w:rsid w:val="0086440B"/>
    <w:rsid w:val="0086502F"/>
    <w:rsid w:val="008664BE"/>
    <w:rsid w:val="008670E9"/>
    <w:rsid w:val="0087052C"/>
    <w:rsid w:val="008735CD"/>
    <w:rsid w:val="00875E54"/>
    <w:rsid w:val="00875F47"/>
    <w:rsid w:val="00876233"/>
    <w:rsid w:val="0088025E"/>
    <w:rsid w:val="008842A2"/>
    <w:rsid w:val="00887248"/>
    <w:rsid w:val="00887CC1"/>
    <w:rsid w:val="00890895"/>
    <w:rsid w:val="00892E16"/>
    <w:rsid w:val="00893253"/>
    <w:rsid w:val="008934E0"/>
    <w:rsid w:val="00896094"/>
    <w:rsid w:val="008965FB"/>
    <w:rsid w:val="00897680"/>
    <w:rsid w:val="008A0420"/>
    <w:rsid w:val="008A0FB0"/>
    <w:rsid w:val="008A16B3"/>
    <w:rsid w:val="008A1D78"/>
    <w:rsid w:val="008A40F0"/>
    <w:rsid w:val="008A4FBE"/>
    <w:rsid w:val="008A5186"/>
    <w:rsid w:val="008A6E78"/>
    <w:rsid w:val="008A7A77"/>
    <w:rsid w:val="008B006E"/>
    <w:rsid w:val="008B608B"/>
    <w:rsid w:val="008C27CD"/>
    <w:rsid w:val="008C4786"/>
    <w:rsid w:val="008D1340"/>
    <w:rsid w:val="008D1436"/>
    <w:rsid w:val="008D196E"/>
    <w:rsid w:val="008D20E8"/>
    <w:rsid w:val="008D4068"/>
    <w:rsid w:val="008D70C8"/>
    <w:rsid w:val="008D7AC0"/>
    <w:rsid w:val="008E0894"/>
    <w:rsid w:val="008E0AAE"/>
    <w:rsid w:val="008E3968"/>
    <w:rsid w:val="008E49A5"/>
    <w:rsid w:val="008E658A"/>
    <w:rsid w:val="008E7352"/>
    <w:rsid w:val="008F02EE"/>
    <w:rsid w:val="008F0A2F"/>
    <w:rsid w:val="008F0AA0"/>
    <w:rsid w:val="008F1A30"/>
    <w:rsid w:val="008F265A"/>
    <w:rsid w:val="008F268F"/>
    <w:rsid w:val="008F3515"/>
    <w:rsid w:val="008F3CE5"/>
    <w:rsid w:val="008F4DCB"/>
    <w:rsid w:val="009003FF"/>
    <w:rsid w:val="009007A8"/>
    <w:rsid w:val="0090366E"/>
    <w:rsid w:val="00904EB8"/>
    <w:rsid w:val="00906633"/>
    <w:rsid w:val="0090678C"/>
    <w:rsid w:val="009156BD"/>
    <w:rsid w:val="00916989"/>
    <w:rsid w:val="009175FE"/>
    <w:rsid w:val="009252EE"/>
    <w:rsid w:val="00926FB5"/>
    <w:rsid w:val="0092727E"/>
    <w:rsid w:val="009279BC"/>
    <w:rsid w:val="00930C6B"/>
    <w:rsid w:val="009319D8"/>
    <w:rsid w:val="009333A1"/>
    <w:rsid w:val="00933FDC"/>
    <w:rsid w:val="009345AD"/>
    <w:rsid w:val="00934CA2"/>
    <w:rsid w:val="009355BD"/>
    <w:rsid w:val="009365B2"/>
    <w:rsid w:val="00941688"/>
    <w:rsid w:val="00944A58"/>
    <w:rsid w:val="00946CB6"/>
    <w:rsid w:val="00947063"/>
    <w:rsid w:val="00947EF9"/>
    <w:rsid w:val="0095171E"/>
    <w:rsid w:val="00952071"/>
    <w:rsid w:val="00953B77"/>
    <w:rsid w:val="00953D02"/>
    <w:rsid w:val="009551D2"/>
    <w:rsid w:val="00956080"/>
    <w:rsid w:val="00957BDA"/>
    <w:rsid w:val="00962D6A"/>
    <w:rsid w:val="009660FA"/>
    <w:rsid w:val="00966614"/>
    <w:rsid w:val="00967803"/>
    <w:rsid w:val="00970DA6"/>
    <w:rsid w:val="0097258B"/>
    <w:rsid w:val="009726DE"/>
    <w:rsid w:val="00972967"/>
    <w:rsid w:val="00975726"/>
    <w:rsid w:val="00980615"/>
    <w:rsid w:val="00982211"/>
    <w:rsid w:val="009824A5"/>
    <w:rsid w:val="0098262A"/>
    <w:rsid w:val="009829DB"/>
    <w:rsid w:val="00983876"/>
    <w:rsid w:val="00983973"/>
    <w:rsid w:val="009861A4"/>
    <w:rsid w:val="00986FA1"/>
    <w:rsid w:val="00990EDA"/>
    <w:rsid w:val="00993EE8"/>
    <w:rsid w:val="0099442B"/>
    <w:rsid w:val="0099465D"/>
    <w:rsid w:val="009947FE"/>
    <w:rsid w:val="00994E50"/>
    <w:rsid w:val="0099662E"/>
    <w:rsid w:val="00996B54"/>
    <w:rsid w:val="00997125"/>
    <w:rsid w:val="00997C1A"/>
    <w:rsid w:val="00997E2E"/>
    <w:rsid w:val="009A0C9C"/>
    <w:rsid w:val="009A3374"/>
    <w:rsid w:val="009A3E5C"/>
    <w:rsid w:val="009A7686"/>
    <w:rsid w:val="009A7F77"/>
    <w:rsid w:val="009B28C7"/>
    <w:rsid w:val="009B47B3"/>
    <w:rsid w:val="009C0ABD"/>
    <w:rsid w:val="009C0B38"/>
    <w:rsid w:val="009C2743"/>
    <w:rsid w:val="009C3B95"/>
    <w:rsid w:val="009C58EA"/>
    <w:rsid w:val="009C6A28"/>
    <w:rsid w:val="009C6FF8"/>
    <w:rsid w:val="009D092A"/>
    <w:rsid w:val="009D0F4A"/>
    <w:rsid w:val="009D180D"/>
    <w:rsid w:val="009D31C6"/>
    <w:rsid w:val="009D3892"/>
    <w:rsid w:val="009D4B1C"/>
    <w:rsid w:val="009D67B7"/>
    <w:rsid w:val="009E0739"/>
    <w:rsid w:val="009E13A4"/>
    <w:rsid w:val="009E1704"/>
    <w:rsid w:val="009E1DD5"/>
    <w:rsid w:val="009E2171"/>
    <w:rsid w:val="009E3D06"/>
    <w:rsid w:val="009E5237"/>
    <w:rsid w:val="009E6A92"/>
    <w:rsid w:val="009E7C58"/>
    <w:rsid w:val="009F016C"/>
    <w:rsid w:val="009F05B2"/>
    <w:rsid w:val="009F28F0"/>
    <w:rsid w:val="009F33FC"/>
    <w:rsid w:val="009F3690"/>
    <w:rsid w:val="009F4413"/>
    <w:rsid w:val="00A00FC6"/>
    <w:rsid w:val="00A01AE3"/>
    <w:rsid w:val="00A03B39"/>
    <w:rsid w:val="00A067FA"/>
    <w:rsid w:val="00A11461"/>
    <w:rsid w:val="00A13E1F"/>
    <w:rsid w:val="00A14B5D"/>
    <w:rsid w:val="00A15CBF"/>
    <w:rsid w:val="00A2098B"/>
    <w:rsid w:val="00A25216"/>
    <w:rsid w:val="00A25DCA"/>
    <w:rsid w:val="00A26018"/>
    <w:rsid w:val="00A36EA1"/>
    <w:rsid w:val="00A36EE9"/>
    <w:rsid w:val="00A37D63"/>
    <w:rsid w:val="00A405BE"/>
    <w:rsid w:val="00A4198D"/>
    <w:rsid w:val="00A444FB"/>
    <w:rsid w:val="00A4495C"/>
    <w:rsid w:val="00A44C18"/>
    <w:rsid w:val="00A45D9F"/>
    <w:rsid w:val="00A45F0C"/>
    <w:rsid w:val="00A50ABE"/>
    <w:rsid w:val="00A51702"/>
    <w:rsid w:val="00A5181E"/>
    <w:rsid w:val="00A52CC1"/>
    <w:rsid w:val="00A577B8"/>
    <w:rsid w:val="00A620CC"/>
    <w:rsid w:val="00A63ADE"/>
    <w:rsid w:val="00A63F16"/>
    <w:rsid w:val="00A658A9"/>
    <w:rsid w:val="00A66403"/>
    <w:rsid w:val="00A66C7E"/>
    <w:rsid w:val="00A67531"/>
    <w:rsid w:val="00A70133"/>
    <w:rsid w:val="00A7100B"/>
    <w:rsid w:val="00A7120D"/>
    <w:rsid w:val="00A7130A"/>
    <w:rsid w:val="00A71AE7"/>
    <w:rsid w:val="00A7471C"/>
    <w:rsid w:val="00A749D9"/>
    <w:rsid w:val="00A75489"/>
    <w:rsid w:val="00A806FE"/>
    <w:rsid w:val="00A81ABD"/>
    <w:rsid w:val="00A822BF"/>
    <w:rsid w:val="00A844EF"/>
    <w:rsid w:val="00A85C38"/>
    <w:rsid w:val="00A868CB"/>
    <w:rsid w:val="00A87762"/>
    <w:rsid w:val="00A87974"/>
    <w:rsid w:val="00A91E45"/>
    <w:rsid w:val="00A93479"/>
    <w:rsid w:val="00A94AEF"/>
    <w:rsid w:val="00A9565C"/>
    <w:rsid w:val="00A95C1C"/>
    <w:rsid w:val="00A9714A"/>
    <w:rsid w:val="00AA09DF"/>
    <w:rsid w:val="00AA141F"/>
    <w:rsid w:val="00AA1598"/>
    <w:rsid w:val="00AA2FE2"/>
    <w:rsid w:val="00AA4283"/>
    <w:rsid w:val="00AA4E6A"/>
    <w:rsid w:val="00AA575B"/>
    <w:rsid w:val="00AA7BC0"/>
    <w:rsid w:val="00AB6870"/>
    <w:rsid w:val="00AC3499"/>
    <w:rsid w:val="00AC5241"/>
    <w:rsid w:val="00AC58A1"/>
    <w:rsid w:val="00AC6B3A"/>
    <w:rsid w:val="00AC7521"/>
    <w:rsid w:val="00AC7E6D"/>
    <w:rsid w:val="00AD17F1"/>
    <w:rsid w:val="00AD3607"/>
    <w:rsid w:val="00AD38E2"/>
    <w:rsid w:val="00AD62F6"/>
    <w:rsid w:val="00AD7CEB"/>
    <w:rsid w:val="00AE09E2"/>
    <w:rsid w:val="00AE0F12"/>
    <w:rsid w:val="00AE1898"/>
    <w:rsid w:val="00AE3CB2"/>
    <w:rsid w:val="00AE6F79"/>
    <w:rsid w:val="00AF0145"/>
    <w:rsid w:val="00AF0EF3"/>
    <w:rsid w:val="00AF38F4"/>
    <w:rsid w:val="00AF4BDF"/>
    <w:rsid w:val="00AF616A"/>
    <w:rsid w:val="00B014D6"/>
    <w:rsid w:val="00B017CE"/>
    <w:rsid w:val="00B017DF"/>
    <w:rsid w:val="00B028E2"/>
    <w:rsid w:val="00B109EF"/>
    <w:rsid w:val="00B1234C"/>
    <w:rsid w:val="00B127E3"/>
    <w:rsid w:val="00B13B74"/>
    <w:rsid w:val="00B1472D"/>
    <w:rsid w:val="00B15208"/>
    <w:rsid w:val="00B162D8"/>
    <w:rsid w:val="00B17A81"/>
    <w:rsid w:val="00B17E76"/>
    <w:rsid w:val="00B2143B"/>
    <w:rsid w:val="00B22411"/>
    <w:rsid w:val="00B228A8"/>
    <w:rsid w:val="00B307CD"/>
    <w:rsid w:val="00B30AB5"/>
    <w:rsid w:val="00B3186B"/>
    <w:rsid w:val="00B32862"/>
    <w:rsid w:val="00B32F28"/>
    <w:rsid w:val="00B3381D"/>
    <w:rsid w:val="00B3382E"/>
    <w:rsid w:val="00B341C6"/>
    <w:rsid w:val="00B35434"/>
    <w:rsid w:val="00B35C7A"/>
    <w:rsid w:val="00B36053"/>
    <w:rsid w:val="00B36865"/>
    <w:rsid w:val="00B37065"/>
    <w:rsid w:val="00B42036"/>
    <w:rsid w:val="00B435D9"/>
    <w:rsid w:val="00B473D3"/>
    <w:rsid w:val="00B51A0F"/>
    <w:rsid w:val="00B52B94"/>
    <w:rsid w:val="00B52C7C"/>
    <w:rsid w:val="00B53B55"/>
    <w:rsid w:val="00B53CB9"/>
    <w:rsid w:val="00B57322"/>
    <w:rsid w:val="00B57973"/>
    <w:rsid w:val="00B6044D"/>
    <w:rsid w:val="00B61244"/>
    <w:rsid w:val="00B61BE1"/>
    <w:rsid w:val="00B62EE0"/>
    <w:rsid w:val="00B63516"/>
    <w:rsid w:val="00B64C3C"/>
    <w:rsid w:val="00B6603C"/>
    <w:rsid w:val="00B6650E"/>
    <w:rsid w:val="00B66D17"/>
    <w:rsid w:val="00B722BF"/>
    <w:rsid w:val="00B7383F"/>
    <w:rsid w:val="00B74576"/>
    <w:rsid w:val="00B75132"/>
    <w:rsid w:val="00B75368"/>
    <w:rsid w:val="00B756EB"/>
    <w:rsid w:val="00B76D62"/>
    <w:rsid w:val="00B84901"/>
    <w:rsid w:val="00B91A15"/>
    <w:rsid w:val="00B92274"/>
    <w:rsid w:val="00B946C1"/>
    <w:rsid w:val="00B96A20"/>
    <w:rsid w:val="00B97AC5"/>
    <w:rsid w:val="00BA4990"/>
    <w:rsid w:val="00BA5F93"/>
    <w:rsid w:val="00BA6FFA"/>
    <w:rsid w:val="00BB033B"/>
    <w:rsid w:val="00BB19EC"/>
    <w:rsid w:val="00BB7DC3"/>
    <w:rsid w:val="00BC1EF7"/>
    <w:rsid w:val="00BC51E6"/>
    <w:rsid w:val="00BC557B"/>
    <w:rsid w:val="00BC5704"/>
    <w:rsid w:val="00BC5BB1"/>
    <w:rsid w:val="00BC6486"/>
    <w:rsid w:val="00BC6582"/>
    <w:rsid w:val="00BD1172"/>
    <w:rsid w:val="00BD11CB"/>
    <w:rsid w:val="00BD24F6"/>
    <w:rsid w:val="00BD2F8F"/>
    <w:rsid w:val="00BD327C"/>
    <w:rsid w:val="00BD57E4"/>
    <w:rsid w:val="00BD6D72"/>
    <w:rsid w:val="00BE09E5"/>
    <w:rsid w:val="00BE1682"/>
    <w:rsid w:val="00BE22C8"/>
    <w:rsid w:val="00BE3F5D"/>
    <w:rsid w:val="00BE4635"/>
    <w:rsid w:val="00BE6509"/>
    <w:rsid w:val="00BE6B53"/>
    <w:rsid w:val="00BF1852"/>
    <w:rsid w:val="00BF1940"/>
    <w:rsid w:val="00BF5DF2"/>
    <w:rsid w:val="00BF7EB1"/>
    <w:rsid w:val="00C02081"/>
    <w:rsid w:val="00C025F8"/>
    <w:rsid w:val="00C03098"/>
    <w:rsid w:val="00C03E0E"/>
    <w:rsid w:val="00C04739"/>
    <w:rsid w:val="00C04BFF"/>
    <w:rsid w:val="00C06AFA"/>
    <w:rsid w:val="00C11CD9"/>
    <w:rsid w:val="00C13808"/>
    <w:rsid w:val="00C13F17"/>
    <w:rsid w:val="00C17032"/>
    <w:rsid w:val="00C1716C"/>
    <w:rsid w:val="00C171D8"/>
    <w:rsid w:val="00C205B9"/>
    <w:rsid w:val="00C20C78"/>
    <w:rsid w:val="00C212C0"/>
    <w:rsid w:val="00C22F26"/>
    <w:rsid w:val="00C265DC"/>
    <w:rsid w:val="00C278B6"/>
    <w:rsid w:val="00C27FE8"/>
    <w:rsid w:val="00C309F5"/>
    <w:rsid w:val="00C33E7E"/>
    <w:rsid w:val="00C34D18"/>
    <w:rsid w:val="00C34E28"/>
    <w:rsid w:val="00C355E4"/>
    <w:rsid w:val="00C40793"/>
    <w:rsid w:val="00C419A2"/>
    <w:rsid w:val="00C51656"/>
    <w:rsid w:val="00C55818"/>
    <w:rsid w:val="00C57060"/>
    <w:rsid w:val="00C57FF2"/>
    <w:rsid w:val="00C60269"/>
    <w:rsid w:val="00C60614"/>
    <w:rsid w:val="00C63213"/>
    <w:rsid w:val="00C63969"/>
    <w:rsid w:val="00C651B4"/>
    <w:rsid w:val="00C65AB2"/>
    <w:rsid w:val="00C6675A"/>
    <w:rsid w:val="00C70D1A"/>
    <w:rsid w:val="00C718DD"/>
    <w:rsid w:val="00C71D47"/>
    <w:rsid w:val="00C72105"/>
    <w:rsid w:val="00C72A6C"/>
    <w:rsid w:val="00C72FA7"/>
    <w:rsid w:val="00C73201"/>
    <w:rsid w:val="00C76BC1"/>
    <w:rsid w:val="00C83152"/>
    <w:rsid w:val="00C911FE"/>
    <w:rsid w:val="00C9145E"/>
    <w:rsid w:val="00C92443"/>
    <w:rsid w:val="00C92AB5"/>
    <w:rsid w:val="00CA326E"/>
    <w:rsid w:val="00CA4725"/>
    <w:rsid w:val="00CA552C"/>
    <w:rsid w:val="00CA55D2"/>
    <w:rsid w:val="00CB14CD"/>
    <w:rsid w:val="00CB1EA4"/>
    <w:rsid w:val="00CB3163"/>
    <w:rsid w:val="00CB433D"/>
    <w:rsid w:val="00CB4CA0"/>
    <w:rsid w:val="00CB5D88"/>
    <w:rsid w:val="00CB65C7"/>
    <w:rsid w:val="00CB79F9"/>
    <w:rsid w:val="00CC00E8"/>
    <w:rsid w:val="00CC0D17"/>
    <w:rsid w:val="00CC0DC5"/>
    <w:rsid w:val="00CC283F"/>
    <w:rsid w:val="00CC47D9"/>
    <w:rsid w:val="00CC7339"/>
    <w:rsid w:val="00CD21EC"/>
    <w:rsid w:val="00CD2207"/>
    <w:rsid w:val="00CD390F"/>
    <w:rsid w:val="00CD4446"/>
    <w:rsid w:val="00CD4F07"/>
    <w:rsid w:val="00CE0E62"/>
    <w:rsid w:val="00CE3519"/>
    <w:rsid w:val="00CE3604"/>
    <w:rsid w:val="00CE3C7C"/>
    <w:rsid w:val="00CE4095"/>
    <w:rsid w:val="00CE6D23"/>
    <w:rsid w:val="00CE6F37"/>
    <w:rsid w:val="00CE7C33"/>
    <w:rsid w:val="00CF26D1"/>
    <w:rsid w:val="00CF4E1D"/>
    <w:rsid w:val="00CF660B"/>
    <w:rsid w:val="00D01FCD"/>
    <w:rsid w:val="00D025DE"/>
    <w:rsid w:val="00D02F76"/>
    <w:rsid w:val="00D04493"/>
    <w:rsid w:val="00D067E0"/>
    <w:rsid w:val="00D07ECD"/>
    <w:rsid w:val="00D12417"/>
    <w:rsid w:val="00D12A02"/>
    <w:rsid w:val="00D12B1B"/>
    <w:rsid w:val="00D13F71"/>
    <w:rsid w:val="00D149E3"/>
    <w:rsid w:val="00D16197"/>
    <w:rsid w:val="00D17517"/>
    <w:rsid w:val="00D2012A"/>
    <w:rsid w:val="00D20379"/>
    <w:rsid w:val="00D20F1F"/>
    <w:rsid w:val="00D2106C"/>
    <w:rsid w:val="00D21673"/>
    <w:rsid w:val="00D24557"/>
    <w:rsid w:val="00D27FD9"/>
    <w:rsid w:val="00D314FA"/>
    <w:rsid w:val="00D33A91"/>
    <w:rsid w:val="00D35180"/>
    <w:rsid w:val="00D35DFF"/>
    <w:rsid w:val="00D36A0F"/>
    <w:rsid w:val="00D3729D"/>
    <w:rsid w:val="00D40F8C"/>
    <w:rsid w:val="00D43617"/>
    <w:rsid w:val="00D44663"/>
    <w:rsid w:val="00D474BB"/>
    <w:rsid w:val="00D506A2"/>
    <w:rsid w:val="00D532BE"/>
    <w:rsid w:val="00D54DC4"/>
    <w:rsid w:val="00D5690A"/>
    <w:rsid w:val="00D570D8"/>
    <w:rsid w:val="00D611C9"/>
    <w:rsid w:val="00D61D65"/>
    <w:rsid w:val="00D66EA5"/>
    <w:rsid w:val="00D70F0B"/>
    <w:rsid w:val="00D726E8"/>
    <w:rsid w:val="00D73AA8"/>
    <w:rsid w:val="00D742F3"/>
    <w:rsid w:val="00D74C98"/>
    <w:rsid w:val="00D76247"/>
    <w:rsid w:val="00D806F1"/>
    <w:rsid w:val="00D8089E"/>
    <w:rsid w:val="00D80A44"/>
    <w:rsid w:val="00D80AAB"/>
    <w:rsid w:val="00D82EAF"/>
    <w:rsid w:val="00D83B5F"/>
    <w:rsid w:val="00D84186"/>
    <w:rsid w:val="00D850C2"/>
    <w:rsid w:val="00D9147D"/>
    <w:rsid w:val="00D92246"/>
    <w:rsid w:val="00D95309"/>
    <w:rsid w:val="00D968A8"/>
    <w:rsid w:val="00D969B6"/>
    <w:rsid w:val="00DA005B"/>
    <w:rsid w:val="00DA0381"/>
    <w:rsid w:val="00DA0584"/>
    <w:rsid w:val="00DA1022"/>
    <w:rsid w:val="00DA11FA"/>
    <w:rsid w:val="00DA2715"/>
    <w:rsid w:val="00DA2886"/>
    <w:rsid w:val="00DA3793"/>
    <w:rsid w:val="00DB0F56"/>
    <w:rsid w:val="00DB1BD2"/>
    <w:rsid w:val="00DB32C7"/>
    <w:rsid w:val="00DB3913"/>
    <w:rsid w:val="00DB4593"/>
    <w:rsid w:val="00DB4BEF"/>
    <w:rsid w:val="00DB4D62"/>
    <w:rsid w:val="00DB4DB2"/>
    <w:rsid w:val="00DB5BDC"/>
    <w:rsid w:val="00DB5C77"/>
    <w:rsid w:val="00DB7543"/>
    <w:rsid w:val="00DB7B0B"/>
    <w:rsid w:val="00DC14B1"/>
    <w:rsid w:val="00DC219D"/>
    <w:rsid w:val="00DC572D"/>
    <w:rsid w:val="00DC6183"/>
    <w:rsid w:val="00DD0BE4"/>
    <w:rsid w:val="00DD133C"/>
    <w:rsid w:val="00DD24C5"/>
    <w:rsid w:val="00DD41C4"/>
    <w:rsid w:val="00DD43F7"/>
    <w:rsid w:val="00DD4570"/>
    <w:rsid w:val="00DD4FD4"/>
    <w:rsid w:val="00DD63A7"/>
    <w:rsid w:val="00DD6ACF"/>
    <w:rsid w:val="00DD7016"/>
    <w:rsid w:val="00DD7248"/>
    <w:rsid w:val="00DE0285"/>
    <w:rsid w:val="00DE15F8"/>
    <w:rsid w:val="00DE1E6E"/>
    <w:rsid w:val="00DE2CAB"/>
    <w:rsid w:val="00DE4570"/>
    <w:rsid w:val="00DE58D0"/>
    <w:rsid w:val="00DE5B5A"/>
    <w:rsid w:val="00DE5D6C"/>
    <w:rsid w:val="00DE6921"/>
    <w:rsid w:val="00DE72C3"/>
    <w:rsid w:val="00DE7BA3"/>
    <w:rsid w:val="00DF1BDF"/>
    <w:rsid w:val="00DF2361"/>
    <w:rsid w:val="00DF2BA6"/>
    <w:rsid w:val="00DF65B4"/>
    <w:rsid w:val="00E02DF3"/>
    <w:rsid w:val="00E0325B"/>
    <w:rsid w:val="00E04C55"/>
    <w:rsid w:val="00E04E2B"/>
    <w:rsid w:val="00E0791A"/>
    <w:rsid w:val="00E107B9"/>
    <w:rsid w:val="00E10A07"/>
    <w:rsid w:val="00E1200C"/>
    <w:rsid w:val="00E12F94"/>
    <w:rsid w:val="00E14247"/>
    <w:rsid w:val="00E15786"/>
    <w:rsid w:val="00E21332"/>
    <w:rsid w:val="00E21770"/>
    <w:rsid w:val="00E22C97"/>
    <w:rsid w:val="00E2651E"/>
    <w:rsid w:val="00E3280A"/>
    <w:rsid w:val="00E33496"/>
    <w:rsid w:val="00E3413E"/>
    <w:rsid w:val="00E4020A"/>
    <w:rsid w:val="00E40E95"/>
    <w:rsid w:val="00E417EF"/>
    <w:rsid w:val="00E4362F"/>
    <w:rsid w:val="00E47E91"/>
    <w:rsid w:val="00E52AFE"/>
    <w:rsid w:val="00E52E0D"/>
    <w:rsid w:val="00E54BAA"/>
    <w:rsid w:val="00E54E24"/>
    <w:rsid w:val="00E5506F"/>
    <w:rsid w:val="00E55D65"/>
    <w:rsid w:val="00E5658A"/>
    <w:rsid w:val="00E576F5"/>
    <w:rsid w:val="00E60415"/>
    <w:rsid w:val="00E60527"/>
    <w:rsid w:val="00E6103C"/>
    <w:rsid w:val="00E662FB"/>
    <w:rsid w:val="00E70E4E"/>
    <w:rsid w:val="00E72F2E"/>
    <w:rsid w:val="00E74328"/>
    <w:rsid w:val="00E7462C"/>
    <w:rsid w:val="00E76C4B"/>
    <w:rsid w:val="00E81264"/>
    <w:rsid w:val="00E82C4E"/>
    <w:rsid w:val="00E83561"/>
    <w:rsid w:val="00E866AA"/>
    <w:rsid w:val="00E87A30"/>
    <w:rsid w:val="00E90100"/>
    <w:rsid w:val="00E905DC"/>
    <w:rsid w:val="00E91B68"/>
    <w:rsid w:val="00E9703B"/>
    <w:rsid w:val="00EA0D64"/>
    <w:rsid w:val="00EA0E31"/>
    <w:rsid w:val="00EA1919"/>
    <w:rsid w:val="00EA4279"/>
    <w:rsid w:val="00EA4397"/>
    <w:rsid w:val="00EB4161"/>
    <w:rsid w:val="00EB48A9"/>
    <w:rsid w:val="00EB495D"/>
    <w:rsid w:val="00EB5FEC"/>
    <w:rsid w:val="00EC3449"/>
    <w:rsid w:val="00EC373A"/>
    <w:rsid w:val="00EC40C8"/>
    <w:rsid w:val="00EC4C90"/>
    <w:rsid w:val="00EC4D12"/>
    <w:rsid w:val="00ED141B"/>
    <w:rsid w:val="00ED567C"/>
    <w:rsid w:val="00ED6B7D"/>
    <w:rsid w:val="00ED77DC"/>
    <w:rsid w:val="00EE0D00"/>
    <w:rsid w:val="00EE24FA"/>
    <w:rsid w:val="00EE4544"/>
    <w:rsid w:val="00EE4AAA"/>
    <w:rsid w:val="00EE7CF9"/>
    <w:rsid w:val="00EF03BC"/>
    <w:rsid w:val="00EF0A1D"/>
    <w:rsid w:val="00EF1399"/>
    <w:rsid w:val="00EF250F"/>
    <w:rsid w:val="00EF32C1"/>
    <w:rsid w:val="00F00ECF"/>
    <w:rsid w:val="00F034B8"/>
    <w:rsid w:val="00F03AFB"/>
    <w:rsid w:val="00F04A9B"/>
    <w:rsid w:val="00F05F4C"/>
    <w:rsid w:val="00F06C13"/>
    <w:rsid w:val="00F10653"/>
    <w:rsid w:val="00F10801"/>
    <w:rsid w:val="00F12374"/>
    <w:rsid w:val="00F144DC"/>
    <w:rsid w:val="00F14961"/>
    <w:rsid w:val="00F2095F"/>
    <w:rsid w:val="00F2449E"/>
    <w:rsid w:val="00F24DF5"/>
    <w:rsid w:val="00F2642E"/>
    <w:rsid w:val="00F268D5"/>
    <w:rsid w:val="00F27F77"/>
    <w:rsid w:val="00F31BBD"/>
    <w:rsid w:val="00F328F7"/>
    <w:rsid w:val="00F3380E"/>
    <w:rsid w:val="00F34B25"/>
    <w:rsid w:val="00F35950"/>
    <w:rsid w:val="00F36705"/>
    <w:rsid w:val="00F368EF"/>
    <w:rsid w:val="00F37614"/>
    <w:rsid w:val="00F37D14"/>
    <w:rsid w:val="00F40B4E"/>
    <w:rsid w:val="00F40C20"/>
    <w:rsid w:val="00F440DE"/>
    <w:rsid w:val="00F47C44"/>
    <w:rsid w:val="00F47E98"/>
    <w:rsid w:val="00F50574"/>
    <w:rsid w:val="00F50A85"/>
    <w:rsid w:val="00F529D5"/>
    <w:rsid w:val="00F55166"/>
    <w:rsid w:val="00F55365"/>
    <w:rsid w:val="00F56921"/>
    <w:rsid w:val="00F57F95"/>
    <w:rsid w:val="00F64025"/>
    <w:rsid w:val="00F64C76"/>
    <w:rsid w:val="00F71AFC"/>
    <w:rsid w:val="00F721C5"/>
    <w:rsid w:val="00F73014"/>
    <w:rsid w:val="00F736CD"/>
    <w:rsid w:val="00F73BD3"/>
    <w:rsid w:val="00F74E29"/>
    <w:rsid w:val="00F76034"/>
    <w:rsid w:val="00F83F5F"/>
    <w:rsid w:val="00F84074"/>
    <w:rsid w:val="00F847D4"/>
    <w:rsid w:val="00F86637"/>
    <w:rsid w:val="00F91121"/>
    <w:rsid w:val="00F9120B"/>
    <w:rsid w:val="00F91255"/>
    <w:rsid w:val="00F92C4E"/>
    <w:rsid w:val="00F936D9"/>
    <w:rsid w:val="00F949AB"/>
    <w:rsid w:val="00FA088B"/>
    <w:rsid w:val="00FA095E"/>
    <w:rsid w:val="00FA1EB3"/>
    <w:rsid w:val="00FA2734"/>
    <w:rsid w:val="00FA2CAC"/>
    <w:rsid w:val="00FA30AD"/>
    <w:rsid w:val="00FA5F1D"/>
    <w:rsid w:val="00FA6C84"/>
    <w:rsid w:val="00FB0CA6"/>
    <w:rsid w:val="00FB15A0"/>
    <w:rsid w:val="00FB3DD1"/>
    <w:rsid w:val="00FB50DC"/>
    <w:rsid w:val="00FB661B"/>
    <w:rsid w:val="00FB6EED"/>
    <w:rsid w:val="00FC1E04"/>
    <w:rsid w:val="00FC3021"/>
    <w:rsid w:val="00FC32CF"/>
    <w:rsid w:val="00FC344E"/>
    <w:rsid w:val="00FC61A5"/>
    <w:rsid w:val="00FC72C2"/>
    <w:rsid w:val="00FD1B83"/>
    <w:rsid w:val="00FD5248"/>
    <w:rsid w:val="00FD529E"/>
    <w:rsid w:val="00FD6C6C"/>
    <w:rsid w:val="00FE0745"/>
    <w:rsid w:val="00FE11E2"/>
    <w:rsid w:val="00FE28FA"/>
    <w:rsid w:val="00FE2F4F"/>
    <w:rsid w:val="00FE4A1B"/>
    <w:rsid w:val="00FE6196"/>
    <w:rsid w:val="00FE66AE"/>
    <w:rsid w:val="00FE756C"/>
    <w:rsid w:val="00FE7D07"/>
    <w:rsid w:val="00FF012B"/>
    <w:rsid w:val="00FF4A5E"/>
    <w:rsid w:val="00FF5499"/>
    <w:rsid w:val="00FF588D"/>
    <w:rsid w:val="00FF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8E602"/>
  <w15:docId w15:val="{76AC68A6-19B4-40C7-B14E-989A40F4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134"/>
    <w:pPr>
      <w:tabs>
        <w:tab w:val="center" w:pos="4153"/>
        <w:tab w:val="right" w:pos="8306"/>
      </w:tabs>
    </w:pPr>
  </w:style>
  <w:style w:type="paragraph" w:styleId="Footer">
    <w:name w:val="footer"/>
    <w:basedOn w:val="Normal"/>
    <w:link w:val="FooterChar"/>
    <w:rsid w:val="00362134"/>
    <w:pPr>
      <w:tabs>
        <w:tab w:val="center" w:pos="4153"/>
        <w:tab w:val="right" w:pos="8306"/>
      </w:tabs>
    </w:pPr>
  </w:style>
  <w:style w:type="character" w:styleId="PageNumber">
    <w:name w:val="page number"/>
    <w:basedOn w:val="DefaultParagraphFont"/>
    <w:rsid w:val="000907DE"/>
  </w:style>
  <w:style w:type="paragraph" w:styleId="FootnoteText">
    <w:name w:val="footnote text"/>
    <w:basedOn w:val="Normal"/>
    <w:link w:val="FootnoteTextChar"/>
    <w:semiHidden/>
    <w:rsid w:val="00D33A91"/>
    <w:rPr>
      <w:sz w:val="20"/>
      <w:szCs w:val="20"/>
    </w:rPr>
  </w:style>
  <w:style w:type="character" w:styleId="FootnoteReference">
    <w:name w:val="footnote reference"/>
    <w:basedOn w:val="DefaultParagraphFont"/>
    <w:semiHidden/>
    <w:rsid w:val="00D33A91"/>
    <w:rPr>
      <w:vertAlign w:val="superscript"/>
    </w:rPr>
  </w:style>
  <w:style w:type="paragraph" w:styleId="BalloonText">
    <w:name w:val="Balloon Text"/>
    <w:basedOn w:val="Normal"/>
    <w:semiHidden/>
    <w:rsid w:val="00107C9C"/>
    <w:rPr>
      <w:rFonts w:ascii="Tahoma" w:hAnsi="Tahoma" w:cs="Tahoma"/>
      <w:sz w:val="16"/>
      <w:szCs w:val="16"/>
    </w:rPr>
  </w:style>
  <w:style w:type="paragraph" w:customStyle="1" w:styleId="Pa3">
    <w:name w:val="Pa3"/>
    <w:basedOn w:val="Normal"/>
    <w:next w:val="Normal"/>
    <w:rsid w:val="00153F0C"/>
    <w:pPr>
      <w:autoSpaceDE w:val="0"/>
      <w:autoSpaceDN w:val="0"/>
      <w:adjustRightInd w:val="0"/>
      <w:spacing w:line="221" w:lineRule="atLeast"/>
    </w:pPr>
    <w:rPr>
      <w:rFonts w:ascii="Myriad Pro Light" w:hAnsi="Myriad Pro Light"/>
    </w:rPr>
  </w:style>
  <w:style w:type="character" w:styleId="CommentReference">
    <w:name w:val="annotation reference"/>
    <w:basedOn w:val="DefaultParagraphFont"/>
    <w:semiHidden/>
    <w:rsid w:val="00E72F2E"/>
    <w:rPr>
      <w:sz w:val="16"/>
      <w:szCs w:val="16"/>
    </w:rPr>
  </w:style>
  <w:style w:type="paragraph" w:styleId="CommentText">
    <w:name w:val="annotation text"/>
    <w:basedOn w:val="Normal"/>
    <w:link w:val="CommentTextChar"/>
    <w:rsid w:val="00E72F2E"/>
    <w:rPr>
      <w:sz w:val="20"/>
      <w:szCs w:val="20"/>
    </w:rPr>
  </w:style>
  <w:style w:type="paragraph" w:styleId="CommentSubject">
    <w:name w:val="annotation subject"/>
    <w:basedOn w:val="CommentText"/>
    <w:next w:val="CommentText"/>
    <w:semiHidden/>
    <w:rsid w:val="00E72F2E"/>
    <w:rPr>
      <w:b/>
      <w:bCs/>
    </w:rPr>
  </w:style>
  <w:style w:type="character" w:customStyle="1" w:styleId="FooterChar">
    <w:name w:val="Footer Char"/>
    <w:basedOn w:val="DefaultParagraphFont"/>
    <w:link w:val="Footer"/>
    <w:rsid w:val="003C0792"/>
    <w:rPr>
      <w:sz w:val="24"/>
      <w:szCs w:val="24"/>
      <w:lang w:val="en-US" w:eastAsia="en-US" w:bidi="ar-SA"/>
    </w:rPr>
  </w:style>
  <w:style w:type="paragraph" w:customStyle="1" w:styleId="ACMAHeading3">
    <w:name w:val="ACMA Heading 3"/>
    <w:next w:val="Normal"/>
    <w:rsid w:val="001B79DD"/>
    <w:pPr>
      <w:keepNext/>
      <w:suppressAutoHyphens/>
      <w:spacing w:before="240"/>
      <w:outlineLvl w:val="3"/>
    </w:pPr>
    <w:rPr>
      <w:rFonts w:ascii="Arial" w:hAnsi="Arial"/>
      <w:b/>
      <w:sz w:val="24"/>
      <w:lang w:val="en-US" w:eastAsia="en-US"/>
    </w:rPr>
  </w:style>
  <w:style w:type="paragraph" w:customStyle="1" w:styleId="RGPara">
    <w:name w:val="RGPara"/>
    <w:aliases w:val="Readers Guide Para"/>
    <w:basedOn w:val="Normal"/>
    <w:rsid w:val="001B79DD"/>
    <w:pPr>
      <w:spacing w:before="120" w:line="260" w:lineRule="exact"/>
      <w:jc w:val="both"/>
    </w:pPr>
    <w:rPr>
      <w:lang w:val="en-AU" w:eastAsia="en-AU"/>
    </w:rPr>
  </w:style>
  <w:style w:type="paragraph" w:customStyle="1" w:styleId="R1">
    <w:name w:val="R1"/>
    <w:aliases w:val="1. or 1.(1)"/>
    <w:basedOn w:val="Normal"/>
    <w:next w:val="Normal"/>
    <w:rsid w:val="001B79DD"/>
    <w:pPr>
      <w:keepLines/>
      <w:tabs>
        <w:tab w:val="right" w:pos="794"/>
      </w:tabs>
      <w:spacing w:before="120" w:line="260" w:lineRule="exact"/>
      <w:ind w:left="964" w:hanging="964"/>
      <w:jc w:val="both"/>
    </w:pPr>
    <w:rPr>
      <w:lang w:val="en-AU" w:eastAsia="en-AU"/>
    </w:rPr>
  </w:style>
  <w:style w:type="paragraph" w:styleId="ListParagraph">
    <w:name w:val="List Paragraph"/>
    <w:basedOn w:val="Normal"/>
    <w:uiPriority w:val="34"/>
    <w:qFormat/>
    <w:rsid w:val="00DF1BDF"/>
    <w:pPr>
      <w:ind w:left="720"/>
    </w:pPr>
  </w:style>
  <w:style w:type="character" w:styleId="Hyperlink">
    <w:name w:val="Hyperlink"/>
    <w:basedOn w:val="DefaultParagraphFont"/>
    <w:uiPriority w:val="99"/>
    <w:unhideWhenUsed/>
    <w:rsid w:val="002E1E61"/>
    <w:rPr>
      <w:color w:val="0000FF"/>
      <w:u w:val="single"/>
    </w:rPr>
  </w:style>
  <w:style w:type="paragraph" w:customStyle="1" w:styleId="ACMABodyText">
    <w:name w:val="ACMA Body Text"/>
    <w:link w:val="ACMABodyTextChar1"/>
    <w:qFormat/>
    <w:rsid w:val="00DA005B"/>
    <w:pPr>
      <w:suppressAutoHyphens/>
      <w:spacing w:before="80" w:after="120" w:line="280" w:lineRule="atLeast"/>
    </w:pPr>
    <w:rPr>
      <w:snapToGrid w:val="0"/>
      <w:sz w:val="24"/>
      <w:lang w:eastAsia="en-US"/>
    </w:rPr>
  </w:style>
  <w:style w:type="character" w:styleId="FollowedHyperlink">
    <w:name w:val="FollowedHyperlink"/>
    <w:basedOn w:val="DefaultParagraphFont"/>
    <w:uiPriority w:val="99"/>
    <w:semiHidden/>
    <w:unhideWhenUsed/>
    <w:rsid w:val="00AC5241"/>
    <w:rPr>
      <w:color w:val="800080"/>
      <w:u w:val="single"/>
    </w:rPr>
  </w:style>
  <w:style w:type="character" w:customStyle="1" w:styleId="ACMABodyTextChar1">
    <w:name w:val="ACMA Body Text Char1"/>
    <w:basedOn w:val="DefaultParagraphFont"/>
    <w:link w:val="ACMABodyText"/>
    <w:rsid w:val="00AA141F"/>
    <w:rPr>
      <w:snapToGrid w:val="0"/>
      <w:sz w:val="24"/>
      <w:lang w:val="en-AU" w:eastAsia="en-US" w:bidi="ar-SA"/>
    </w:rPr>
  </w:style>
  <w:style w:type="paragraph" w:customStyle="1" w:styleId="HR">
    <w:name w:val="HR"/>
    <w:aliases w:val="Regulation Heading"/>
    <w:basedOn w:val="Normal"/>
    <w:next w:val="Normal"/>
    <w:rsid w:val="00773D41"/>
    <w:pPr>
      <w:keepNext/>
      <w:keepLines/>
      <w:spacing w:before="360"/>
      <w:ind w:left="964" w:hanging="964"/>
    </w:pPr>
    <w:rPr>
      <w:rFonts w:ascii="Arial" w:hAnsi="Arial"/>
      <w:b/>
      <w:lang w:val="en-AU" w:eastAsia="en-AU"/>
    </w:rPr>
  </w:style>
  <w:style w:type="paragraph" w:styleId="Revision">
    <w:name w:val="Revision"/>
    <w:hidden/>
    <w:uiPriority w:val="99"/>
    <w:semiHidden/>
    <w:rsid w:val="005B5B68"/>
    <w:rPr>
      <w:sz w:val="24"/>
      <w:szCs w:val="24"/>
      <w:lang w:val="en-US" w:eastAsia="en-US"/>
    </w:rPr>
  </w:style>
  <w:style w:type="character" w:customStyle="1" w:styleId="FootnoteTextChar">
    <w:name w:val="Footnote Text Char"/>
    <w:basedOn w:val="DefaultParagraphFont"/>
    <w:link w:val="FootnoteText"/>
    <w:semiHidden/>
    <w:rsid w:val="005965E9"/>
    <w:rPr>
      <w:lang w:val="en-US" w:eastAsia="en-US"/>
    </w:rPr>
  </w:style>
  <w:style w:type="character" w:customStyle="1" w:styleId="CommentTextChar">
    <w:name w:val="Comment Text Char"/>
    <w:basedOn w:val="DefaultParagraphFont"/>
    <w:link w:val="CommentText"/>
    <w:rsid w:val="005965E9"/>
    <w:rPr>
      <w:lang w:val="en-US" w:eastAsia="en-US"/>
    </w:rPr>
  </w:style>
  <w:style w:type="character" w:customStyle="1" w:styleId="HelpTextChar">
    <w:name w:val="Help Text Char"/>
    <w:basedOn w:val="DefaultParagraphFont"/>
    <w:link w:val="HelpText"/>
    <w:locked/>
    <w:rsid w:val="005965E9"/>
    <w:rPr>
      <w:rFonts w:ascii="Arial" w:hAnsi="Arial" w:cs="Arial"/>
      <w:vanish/>
      <w:color w:val="008000"/>
      <w:sz w:val="18"/>
    </w:rPr>
  </w:style>
  <w:style w:type="paragraph" w:customStyle="1" w:styleId="HelpText">
    <w:name w:val="Help Text"/>
    <w:basedOn w:val="Normal"/>
    <w:link w:val="HelpTextChar"/>
    <w:rsid w:val="005965E9"/>
    <w:pPr>
      <w:overflowPunct w:val="0"/>
      <w:autoSpaceDE w:val="0"/>
      <w:autoSpaceDN w:val="0"/>
      <w:adjustRightInd w:val="0"/>
      <w:spacing w:before="120" w:after="120"/>
    </w:pPr>
    <w:rPr>
      <w:rFonts w:ascii="Arial" w:hAnsi="Arial" w:cs="Arial"/>
      <w:vanish/>
      <w:color w:val="008000"/>
      <w:sz w:val="18"/>
      <w:szCs w:val="20"/>
      <w:lang w:val="en-AU" w:eastAsia="en-AU"/>
    </w:rPr>
  </w:style>
  <w:style w:type="paragraph" w:styleId="ListBullet">
    <w:name w:val="List Bullet"/>
    <w:basedOn w:val="Normal"/>
    <w:rsid w:val="00FA2734"/>
    <w:pPr>
      <w:numPr>
        <w:numId w:val="29"/>
      </w:numPr>
      <w:spacing w:after="80" w:line="240" w:lineRule="atLeast"/>
    </w:pPr>
    <w:rPr>
      <w:rFonts w:ascii="HelveticaNeueLT Std Lt" w:hAnsi="HelveticaNeueLT Std Lt"/>
      <w:sz w:val="20"/>
      <w:lang w:val="en-AU" w:eastAsia="en-AU"/>
    </w:rPr>
  </w:style>
  <w:style w:type="paragraph" w:styleId="NormalWeb">
    <w:name w:val="Normal (Web)"/>
    <w:basedOn w:val="Normal"/>
    <w:uiPriority w:val="99"/>
    <w:rsid w:val="004F0388"/>
    <w:rPr>
      <w:noProof/>
      <w:lang w:val="en-AU" w:eastAsia="en-AU"/>
    </w:rPr>
  </w:style>
  <w:style w:type="paragraph" w:customStyle="1" w:styleId="R2">
    <w:name w:val="R2"/>
    <w:aliases w:val="(2)"/>
    <w:basedOn w:val="Normal"/>
    <w:rsid w:val="00437F03"/>
    <w:pPr>
      <w:tabs>
        <w:tab w:val="right" w:pos="794"/>
      </w:tabs>
      <w:spacing w:before="180" w:line="260" w:lineRule="exact"/>
      <w:ind w:left="964" w:hanging="964"/>
      <w:jc w:val="both"/>
    </w:pPr>
    <w:rPr>
      <w:noProo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663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2">
          <w:marLeft w:val="0"/>
          <w:marRight w:val="0"/>
          <w:marTop w:val="0"/>
          <w:marBottom w:val="0"/>
          <w:divBdr>
            <w:top w:val="none" w:sz="0" w:space="0" w:color="auto"/>
            <w:left w:val="none" w:sz="0" w:space="0" w:color="auto"/>
            <w:bottom w:val="none" w:sz="0" w:space="0" w:color="auto"/>
            <w:right w:val="none" w:sz="0" w:space="0" w:color="auto"/>
          </w:divBdr>
          <w:divsChild>
            <w:div w:id="65495387">
              <w:marLeft w:val="0"/>
              <w:marRight w:val="0"/>
              <w:marTop w:val="0"/>
              <w:marBottom w:val="0"/>
              <w:divBdr>
                <w:top w:val="none" w:sz="0" w:space="0" w:color="auto"/>
                <w:left w:val="none" w:sz="0" w:space="0" w:color="auto"/>
                <w:bottom w:val="none" w:sz="0" w:space="0" w:color="auto"/>
                <w:right w:val="none" w:sz="0" w:space="0" w:color="auto"/>
              </w:divBdr>
              <w:divsChild>
                <w:div w:id="922031112">
                  <w:marLeft w:val="0"/>
                  <w:marRight w:val="0"/>
                  <w:marTop w:val="0"/>
                  <w:marBottom w:val="0"/>
                  <w:divBdr>
                    <w:top w:val="none" w:sz="0" w:space="0" w:color="auto"/>
                    <w:left w:val="none" w:sz="0" w:space="0" w:color="auto"/>
                    <w:bottom w:val="none" w:sz="0" w:space="0" w:color="auto"/>
                    <w:right w:val="none" w:sz="0" w:space="0" w:color="auto"/>
                  </w:divBdr>
                  <w:divsChild>
                    <w:div w:id="635183565">
                      <w:marLeft w:val="0"/>
                      <w:marRight w:val="0"/>
                      <w:marTop w:val="0"/>
                      <w:marBottom w:val="0"/>
                      <w:divBdr>
                        <w:top w:val="none" w:sz="0" w:space="0" w:color="auto"/>
                        <w:left w:val="none" w:sz="0" w:space="0" w:color="auto"/>
                        <w:bottom w:val="none" w:sz="0" w:space="0" w:color="auto"/>
                        <w:right w:val="none" w:sz="0" w:space="0" w:color="auto"/>
                      </w:divBdr>
                      <w:divsChild>
                        <w:div w:id="969435801">
                          <w:marLeft w:val="0"/>
                          <w:marRight w:val="0"/>
                          <w:marTop w:val="0"/>
                          <w:marBottom w:val="0"/>
                          <w:divBdr>
                            <w:top w:val="none" w:sz="0" w:space="0" w:color="auto"/>
                            <w:left w:val="none" w:sz="0" w:space="0" w:color="auto"/>
                            <w:bottom w:val="none" w:sz="0" w:space="0" w:color="auto"/>
                            <w:right w:val="none" w:sz="0" w:space="0" w:color="auto"/>
                          </w:divBdr>
                          <w:divsChild>
                            <w:div w:id="1082024011">
                              <w:marLeft w:val="0"/>
                              <w:marRight w:val="0"/>
                              <w:marTop w:val="0"/>
                              <w:marBottom w:val="0"/>
                              <w:divBdr>
                                <w:top w:val="single" w:sz="6" w:space="0" w:color="828282"/>
                                <w:left w:val="single" w:sz="6" w:space="0" w:color="828282"/>
                                <w:bottom w:val="single" w:sz="6" w:space="0" w:color="828282"/>
                                <w:right w:val="single" w:sz="6" w:space="0" w:color="828282"/>
                              </w:divBdr>
                              <w:divsChild>
                                <w:div w:id="1255942168">
                                  <w:marLeft w:val="0"/>
                                  <w:marRight w:val="0"/>
                                  <w:marTop w:val="0"/>
                                  <w:marBottom w:val="0"/>
                                  <w:divBdr>
                                    <w:top w:val="none" w:sz="0" w:space="0" w:color="auto"/>
                                    <w:left w:val="none" w:sz="0" w:space="0" w:color="auto"/>
                                    <w:bottom w:val="none" w:sz="0" w:space="0" w:color="auto"/>
                                    <w:right w:val="none" w:sz="0" w:space="0" w:color="auto"/>
                                  </w:divBdr>
                                  <w:divsChild>
                                    <w:div w:id="1728142254">
                                      <w:marLeft w:val="0"/>
                                      <w:marRight w:val="0"/>
                                      <w:marTop w:val="0"/>
                                      <w:marBottom w:val="0"/>
                                      <w:divBdr>
                                        <w:top w:val="none" w:sz="0" w:space="0" w:color="auto"/>
                                        <w:left w:val="none" w:sz="0" w:space="0" w:color="auto"/>
                                        <w:bottom w:val="none" w:sz="0" w:space="0" w:color="auto"/>
                                        <w:right w:val="none" w:sz="0" w:space="0" w:color="auto"/>
                                      </w:divBdr>
                                      <w:divsChild>
                                        <w:div w:id="1307663829">
                                          <w:marLeft w:val="0"/>
                                          <w:marRight w:val="0"/>
                                          <w:marTop w:val="0"/>
                                          <w:marBottom w:val="0"/>
                                          <w:divBdr>
                                            <w:top w:val="none" w:sz="0" w:space="0" w:color="auto"/>
                                            <w:left w:val="none" w:sz="0" w:space="0" w:color="auto"/>
                                            <w:bottom w:val="none" w:sz="0" w:space="0" w:color="auto"/>
                                            <w:right w:val="none" w:sz="0" w:space="0" w:color="auto"/>
                                          </w:divBdr>
                                          <w:divsChild>
                                            <w:div w:id="817461407">
                                              <w:marLeft w:val="0"/>
                                              <w:marRight w:val="0"/>
                                              <w:marTop w:val="0"/>
                                              <w:marBottom w:val="0"/>
                                              <w:divBdr>
                                                <w:top w:val="none" w:sz="0" w:space="0" w:color="auto"/>
                                                <w:left w:val="none" w:sz="0" w:space="0" w:color="auto"/>
                                                <w:bottom w:val="none" w:sz="0" w:space="0" w:color="auto"/>
                                                <w:right w:val="none" w:sz="0" w:space="0" w:color="auto"/>
                                              </w:divBdr>
                                              <w:divsChild>
                                                <w:div w:id="1917284474">
                                                  <w:marLeft w:val="0"/>
                                                  <w:marRight w:val="0"/>
                                                  <w:marTop w:val="0"/>
                                                  <w:marBottom w:val="0"/>
                                                  <w:divBdr>
                                                    <w:top w:val="none" w:sz="0" w:space="0" w:color="auto"/>
                                                    <w:left w:val="none" w:sz="0" w:space="0" w:color="auto"/>
                                                    <w:bottom w:val="none" w:sz="0" w:space="0" w:color="auto"/>
                                                    <w:right w:val="none" w:sz="0" w:space="0" w:color="auto"/>
                                                  </w:divBdr>
                                                  <w:divsChild>
                                                    <w:div w:id="422529919">
                                                      <w:marLeft w:val="0"/>
                                                      <w:marRight w:val="0"/>
                                                      <w:marTop w:val="0"/>
                                                      <w:marBottom w:val="0"/>
                                                      <w:divBdr>
                                                        <w:top w:val="none" w:sz="0" w:space="0" w:color="auto"/>
                                                        <w:left w:val="none" w:sz="0" w:space="0" w:color="auto"/>
                                                        <w:bottom w:val="none" w:sz="0" w:space="0" w:color="auto"/>
                                                        <w:right w:val="none" w:sz="0" w:space="0" w:color="auto"/>
                                                      </w:divBdr>
                                                      <w:divsChild>
                                                        <w:div w:id="200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012661">
      <w:bodyDiv w:val="1"/>
      <w:marLeft w:val="0"/>
      <w:marRight w:val="0"/>
      <w:marTop w:val="0"/>
      <w:marBottom w:val="0"/>
      <w:divBdr>
        <w:top w:val="none" w:sz="0" w:space="0" w:color="auto"/>
        <w:left w:val="none" w:sz="0" w:space="0" w:color="auto"/>
        <w:bottom w:val="none" w:sz="0" w:space="0" w:color="auto"/>
        <w:right w:val="none" w:sz="0" w:space="0" w:color="auto"/>
      </w:divBdr>
      <w:divsChild>
        <w:div w:id="1885634072">
          <w:marLeft w:val="0"/>
          <w:marRight w:val="0"/>
          <w:marTop w:val="0"/>
          <w:marBottom w:val="0"/>
          <w:divBdr>
            <w:top w:val="none" w:sz="0" w:space="0" w:color="auto"/>
            <w:left w:val="none" w:sz="0" w:space="0" w:color="auto"/>
            <w:bottom w:val="none" w:sz="0" w:space="0" w:color="auto"/>
            <w:right w:val="none" w:sz="0" w:space="0" w:color="auto"/>
          </w:divBdr>
          <w:divsChild>
            <w:div w:id="69353192">
              <w:marLeft w:val="0"/>
              <w:marRight w:val="0"/>
              <w:marTop w:val="0"/>
              <w:marBottom w:val="0"/>
              <w:divBdr>
                <w:top w:val="none" w:sz="0" w:space="0" w:color="auto"/>
                <w:left w:val="none" w:sz="0" w:space="0" w:color="auto"/>
                <w:bottom w:val="none" w:sz="0" w:space="0" w:color="auto"/>
                <w:right w:val="none" w:sz="0" w:space="0" w:color="auto"/>
              </w:divBdr>
              <w:divsChild>
                <w:div w:id="2027366886">
                  <w:marLeft w:val="0"/>
                  <w:marRight w:val="0"/>
                  <w:marTop w:val="0"/>
                  <w:marBottom w:val="0"/>
                  <w:divBdr>
                    <w:top w:val="none" w:sz="0" w:space="0" w:color="auto"/>
                    <w:left w:val="none" w:sz="0" w:space="0" w:color="auto"/>
                    <w:bottom w:val="none" w:sz="0" w:space="0" w:color="auto"/>
                    <w:right w:val="none" w:sz="0" w:space="0" w:color="auto"/>
                  </w:divBdr>
                  <w:divsChild>
                    <w:div w:id="667095701">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single" w:sz="6" w:space="0" w:color="828282"/>
                            <w:left w:val="single" w:sz="6" w:space="0" w:color="828282"/>
                            <w:bottom w:val="single" w:sz="6" w:space="0" w:color="828282"/>
                            <w:right w:val="single" w:sz="6" w:space="0" w:color="828282"/>
                          </w:divBdr>
                          <w:divsChild>
                            <w:div w:id="1421219517">
                              <w:marLeft w:val="0"/>
                              <w:marRight w:val="0"/>
                              <w:marTop w:val="0"/>
                              <w:marBottom w:val="0"/>
                              <w:divBdr>
                                <w:top w:val="none" w:sz="0" w:space="0" w:color="auto"/>
                                <w:left w:val="none" w:sz="0" w:space="0" w:color="auto"/>
                                <w:bottom w:val="none" w:sz="0" w:space="0" w:color="auto"/>
                                <w:right w:val="none" w:sz="0" w:space="0" w:color="auto"/>
                              </w:divBdr>
                              <w:divsChild>
                                <w:div w:id="1283222848">
                                  <w:marLeft w:val="0"/>
                                  <w:marRight w:val="0"/>
                                  <w:marTop w:val="0"/>
                                  <w:marBottom w:val="0"/>
                                  <w:divBdr>
                                    <w:top w:val="none" w:sz="0" w:space="0" w:color="auto"/>
                                    <w:left w:val="none" w:sz="0" w:space="0" w:color="auto"/>
                                    <w:bottom w:val="none" w:sz="0" w:space="0" w:color="auto"/>
                                    <w:right w:val="none" w:sz="0" w:space="0" w:color="auto"/>
                                  </w:divBdr>
                                  <w:divsChild>
                                    <w:div w:id="1926107593">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1321620043">
                                              <w:marLeft w:val="0"/>
                                              <w:marRight w:val="0"/>
                                              <w:marTop w:val="0"/>
                                              <w:marBottom w:val="0"/>
                                              <w:divBdr>
                                                <w:top w:val="none" w:sz="0" w:space="0" w:color="auto"/>
                                                <w:left w:val="none" w:sz="0" w:space="0" w:color="auto"/>
                                                <w:bottom w:val="none" w:sz="0" w:space="0" w:color="auto"/>
                                                <w:right w:val="none" w:sz="0" w:space="0" w:color="auto"/>
                                              </w:divBdr>
                                              <w:divsChild>
                                                <w:div w:id="1295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978311">
      <w:bodyDiv w:val="1"/>
      <w:marLeft w:val="0"/>
      <w:marRight w:val="0"/>
      <w:marTop w:val="0"/>
      <w:marBottom w:val="0"/>
      <w:divBdr>
        <w:top w:val="none" w:sz="0" w:space="0" w:color="auto"/>
        <w:left w:val="none" w:sz="0" w:space="0" w:color="auto"/>
        <w:bottom w:val="none" w:sz="0" w:space="0" w:color="auto"/>
        <w:right w:val="none" w:sz="0" w:space="0" w:color="auto"/>
      </w:divBdr>
      <w:divsChild>
        <w:div w:id="608507906">
          <w:marLeft w:val="0"/>
          <w:marRight w:val="0"/>
          <w:marTop w:val="0"/>
          <w:marBottom w:val="0"/>
          <w:divBdr>
            <w:top w:val="none" w:sz="0" w:space="0" w:color="auto"/>
            <w:left w:val="none" w:sz="0" w:space="0" w:color="auto"/>
            <w:bottom w:val="none" w:sz="0" w:space="0" w:color="auto"/>
            <w:right w:val="none" w:sz="0" w:space="0" w:color="auto"/>
          </w:divBdr>
          <w:divsChild>
            <w:div w:id="14696834">
              <w:marLeft w:val="0"/>
              <w:marRight w:val="0"/>
              <w:marTop w:val="0"/>
              <w:marBottom w:val="0"/>
              <w:divBdr>
                <w:top w:val="none" w:sz="0" w:space="0" w:color="auto"/>
                <w:left w:val="none" w:sz="0" w:space="0" w:color="auto"/>
                <w:bottom w:val="none" w:sz="0" w:space="0" w:color="auto"/>
                <w:right w:val="none" w:sz="0" w:space="0" w:color="auto"/>
              </w:divBdr>
              <w:divsChild>
                <w:div w:id="1462844934">
                  <w:marLeft w:val="0"/>
                  <w:marRight w:val="0"/>
                  <w:marTop w:val="0"/>
                  <w:marBottom w:val="0"/>
                  <w:divBdr>
                    <w:top w:val="none" w:sz="0" w:space="0" w:color="auto"/>
                    <w:left w:val="none" w:sz="0" w:space="0" w:color="auto"/>
                    <w:bottom w:val="none" w:sz="0" w:space="0" w:color="auto"/>
                    <w:right w:val="none" w:sz="0" w:space="0" w:color="auto"/>
                  </w:divBdr>
                  <w:divsChild>
                    <w:div w:id="1703943352">
                      <w:marLeft w:val="0"/>
                      <w:marRight w:val="0"/>
                      <w:marTop w:val="0"/>
                      <w:marBottom w:val="0"/>
                      <w:divBdr>
                        <w:top w:val="none" w:sz="0" w:space="0" w:color="auto"/>
                        <w:left w:val="none" w:sz="0" w:space="0" w:color="auto"/>
                        <w:bottom w:val="none" w:sz="0" w:space="0" w:color="auto"/>
                        <w:right w:val="none" w:sz="0" w:space="0" w:color="auto"/>
                      </w:divBdr>
                      <w:divsChild>
                        <w:div w:id="701781471">
                          <w:marLeft w:val="0"/>
                          <w:marRight w:val="0"/>
                          <w:marTop w:val="0"/>
                          <w:marBottom w:val="0"/>
                          <w:divBdr>
                            <w:top w:val="none" w:sz="0" w:space="0" w:color="auto"/>
                            <w:left w:val="none" w:sz="0" w:space="0" w:color="auto"/>
                            <w:bottom w:val="none" w:sz="0" w:space="0" w:color="auto"/>
                            <w:right w:val="none" w:sz="0" w:space="0" w:color="auto"/>
                          </w:divBdr>
                          <w:divsChild>
                            <w:div w:id="1536427997">
                              <w:marLeft w:val="0"/>
                              <w:marRight w:val="0"/>
                              <w:marTop w:val="0"/>
                              <w:marBottom w:val="0"/>
                              <w:divBdr>
                                <w:top w:val="single" w:sz="6" w:space="0" w:color="828282"/>
                                <w:left w:val="single" w:sz="6" w:space="0" w:color="828282"/>
                                <w:bottom w:val="single" w:sz="6" w:space="0" w:color="828282"/>
                                <w:right w:val="single" w:sz="6" w:space="0" w:color="828282"/>
                              </w:divBdr>
                              <w:divsChild>
                                <w:div w:id="1576740455">
                                  <w:marLeft w:val="0"/>
                                  <w:marRight w:val="0"/>
                                  <w:marTop w:val="0"/>
                                  <w:marBottom w:val="0"/>
                                  <w:divBdr>
                                    <w:top w:val="none" w:sz="0" w:space="0" w:color="auto"/>
                                    <w:left w:val="none" w:sz="0" w:space="0" w:color="auto"/>
                                    <w:bottom w:val="none" w:sz="0" w:space="0" w:color="auto"/>
                                    <w:right w:val="none" w:sz="0" w:space="0" w:color="auto"/>
                                  </w:divBdr>
                                  <w:divsChild>
                                    <w:div w:id="619454192">
                                      <w:marLeft w:val="0"/>
                                      <w:marRight w:val="0"/>
                                      <w:marTop w:val="0"/>
                                      <w:marBottom w:val="0"/>
                                      <w:divBdr>
                                        <w:top w:val="none" w:sz="0" w:space="0" w:color="auto"/>
                                        <w:left w:val="none" w:sz="0" w:space="0" w:color="auto"/>
                                        <w:bottom w:val="none" w:sz="0" w:space="0" w:color="auto"/>
                                        <w:right w:val="none" w:sz="0" w:space="0" w:color="auto"/>
                                      </w:divBdr>
                                      <w:divsChild>
                                        <w:div w:id="1285233790">
                                          <w:marLeft w:val="0"/>
                                          <w:marRight w:val="0"/>
                                          <w:marTop w:val="0"/>
                                          <w:marBottom w:val="0"/>
                                          <w:divBdr>
                                            <w:top w:val="none" w:sz="0" w:space="0" w:color="auto"/>
                                            <w:left w:val="none" w:sz="0" w:space="0" w:color="auto"/>
                                            <w:bottom w:val="none" w:sz="0" w:space="0" w:color="auto"/>
                                            <w:right w:val="none" w:sz="0" w:space="0" w:color="auto"/>
                                          </w:divBdr>
                                          <w:divsChild>
                                            <w:div w:id="1619293163">
                                              <w:marLeft w:val="0"/>
                                              <w:marRight w:val="0"/>
                                              <w:marTop w:val="0"/>
                                              <w:marBottom w:val="0"/>
                                              <w:divBdr>
                                                <w:top w:val="none" w:sz="0" w:space="0" w:color="auto"/>
                                                <w:left w:val="none" w:sz="0" w:space="0" w:color="auto"/>
                                                <w:bottom w:val="none" w:sz="0" w:space="0" w:color="auto"/>
                                                <w:right w:val="none" w:sz="0" w:space="0" w:color="auto"/>
                                              </w:divBdr>
                                              <w:divsChild>
                                                <w:div w:id="577176555">
                                                  <w:marLeft w:val="0"/>
                                                  <w:marRight w:val="0"/>
                                                  <w:marTop w:val="0"/>
                                                  <w:marBottom w:val="0"/>
                                                  <w:divBdr>
                                                    <w:top w:val="none" w:sz="0" w:space="0" w:color="auto"/>
                                                    <w:left w:val="none" w:sz="0" w:space="0" w:color="auto"/>
                                                    <w:bottom w:val="none" w:sz="0" w:space="0" w:color="auto"/>
                                                    <w:right w:val="none" w:sz="0" w:space="0" w:color="auto"/>
                                                  </w:divBdr>
                                                  <w:divsChild>
                                                    <w:div w:id="224877875">
                                                      <w:marLeft w:val="0"/>
                                                      <w:marRight w:val="0"/>
                                                      <w:marTop w:val="0"/>
                                                      <w:marBottom w:val="0"/>
                                                      <w:divBdr>
                                                        <w:top w:val="none" w:sz="0" w:space="0" w:color="auto"/>
                                                        <w:left w:val="none" w:sz="0" w:space="0" w:color="auto"/>
                                                        <w:bottom w:val="none" w:sz="0" w:space="0" w:color="auto"/>
                                                        <w:right w:val="none" w:sz="0" w:space="0" w:color="auto"/>
                                                      </w:divBdr>
                                                      <w:divsChild>
                                                        <w:div w:id="6097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9539583">
      <w:bodyDiv w:val="1"/>
      <w:marLeft w:val="0"/>
      <w:marRight w:val="0"/>
      <w:marTop w:val="0"/>
      <w:marBottom w:val="0"/>
      <w:divBdr>
        <w:top w:val="none" w:sz="0" w:space="0" w:color="auto"/>
        <w:left w:val="none" w:sz="0" w:space="0" w:color="auto"/>
        <w:bottom w:val="none" w:sz="0" w:space="0" w:color="auto"/>
        <w:right w:val="none" w:sz="0" w:space="0" w:color="auto"/>
      </w:divBdr>
      <w:divsChild>
        <w:div w:id="622812174">
          <w:marLeft w:val="0"/>
          <w:marRight w:val="0"/>
          <w:marTop w:val="0"/>
          <w:marBottom w:val="0"/>
          <w:divBdr>
            <w:top w:val="none" w:sz="0" w:space="0" w:color="auto"/>
            <w:left w:val="none" w:sz="0" w:space="0" w:color="auto"/>
            <w:bottom w:val="none" w:sz="0" w:space="0" w:color="auto"/>
            <w:right w:val="none" w:sz="0" w:space="0" w:color="auto"/>
          </w:divBdr>
          <w:divsChild>
            <w:div w:id="773402495">
              <w:marLeft w:val="0"/>
              <w:marRight w:val="0"/>
              <w:marTop w:val="0"/>
              <w:marBottom w:val="0"/>
              <w:divBdr>
                <w:top w:val="none" w:sz="0" w:space="0" w:color="auto"/>
                <w:left w:val="none" w:sz="0" w:space="0" w:color="auto"/>
                <w:bottom w:val="none" w:sz="0" w:space="0" w:color="auto"/>
                <w:right w:val="none" w:sz="0" w:space="0" w:color="auto"/>
              </w:divBdr>
              <w:divsChild>
                <w:div w:id="64768760">
                  <w:marLeft w:val="0"/>
                  <w:marRight w:val="0"/>
                  <w:marTop w:val="0"/>
                  <w:marBottom w:val="0"/>
                  <w:divBdr>
                    <w:top w:val="none" w:sz="0" w:space="0" w:color="auto"/>
                    <w:left w:val="none" w:sz="0" w:space="0" w:color="auto"/>
                    <w:bottom w:val="none" w:sz="0" w:space="0" w:color="auto"/>
                    <w:right w:val="none" w:sz="0" w:space="0" w:color="auto"/>
                  </w:divBdr>
                  <w:divsChild>
                    <w:div w:id="1616600514">
                      <w:marLeft w:val="0"/>
                      <w:marRight w:val="0"/>
                      <w:marTop w:val="0"/>
                      <w:marBottom w:val="0"/>
                      <w:divBdr>
                        <w:top w:val="none" w:sz="0" w:space="0" w:color="auto"/>
                        <w:left w:val="none" w:sz="0" w:space="0" w:color="auto"/>
                        <w:bottom w:val="none" w:sz="0" w:space="0" w:color="auto"/>
                        <w:right w:val="none" w:sz="0" w:space="0" w:color="auto"/>
                      </w:divBdr>
                      <w:divsChild>
                        <w:div w:id="1992950473">
                          <w:marLeft w:val="0"/>
                          <w:marRight w:val="0"/>
                          <w:marTop w:val="0"/>
                          <w:marBottom w:val="0"/>
                          <w:divBdr>
                            <w:top w:val="none" w:sz="0" w:space="0" w:color="auto"/>
                            <w:left w:val="none" w:sz="0" w:space="0" w:color="auto"/>
                            <w:bottom w:val="none" w:sz="0" w:space="0" w:color="auto"/>
                            <w:right w:val="none" w:sz="0" w:space="0" w:color="auto"/>
                          </w:divBdr>
                          <w:divsChild>
                            <w:div w:id="1403722630">
                              <w:marLeft w:val="0"/>
                              <w:marRight w:val="0"/>
                              <w:marTop w:val="0"/>
                              <w:marBottom w:val="0"/>
                              <w:divBdr>
                                <w:top w:val="single" w:sz="6" w:space="0" w:color="828282"/>
                                <w:left w:val="single" w:sz="6" w:space="0" w:color="828282"/>
                                <w:bottom w:val="single" w:sz="6" w:space="0" w:color="828282"/>
                                <w:right w:val="single" w:sz="6" w:space="0" w:color="828282"/>
                              </w:divBdr>
                              <w:divsChild>
                                <w:div w:id="141123623">
                                  <w:marLeft w:val="0"/>
                                  <w:marRight w:val="0"/>
                                  <w:marTop w:val="0"/>
                                  <w:marBottom w:val="0"/>
                                  <w:divBdr>
                                    <w:top w:val="none" w:sz="0" w:space="0" w:color="auto"/>
                                    <w:left w:val="none" w:sz="0" w:space="0" w:color="auto"/>
                                    <w:bottom w:val="none" w:sz="0" w:space="0" w:color="auto"/>
                                    <w:right w:val="none" w:sz="0" w:space="0" w:color="auto"/>
                                  </w:divBdr>
                                  <w:divsChild>
                                    <w:div w:id="247622230">
                                      <w:marLeft w:val="0"/>
                                      <w:marRight w:val="0"/>
                                      <w:marTop w:val="0"/>
                                      <w:marBottom w:val="0"/>
                                      <w:divBdr>
                                        <w:top w:val="none" w:sz="0" w:space="0" w:color="auto"/>
                                        <w:left w:val="none" w:sz="0" w:space="0" w:color="auto"/>
                                        <w:bottom w:val="none" w:sz="0" w:space="0" w:color="auto"/>
                                        <w:right w:val="none" w:sz="0" w:space="0" w:color="auto"/>
                                      </w:divBdr>
                                      <w:divsChild>
                                        <w:div w:id="275793575">
                                          <w:marLeft w:val="0"/>
                                          <w:marRight w:val="0"/>
                                          <w:marTop w:val="0"/>
                                          <w:marBottom w:val="0"/>
                                          <w:divBdr>
                                            <w:top w:val="none" w:sz="0" w:space="0" w:color="auto"/>
                                            <w:left w:val="none" w:sz="0" w:space="0" w:color="auto"/>
                                            <w:bottom w:val="none" w:sz="0" w:space="0" w:color="auto"/>
                                            <w:right w:val="none" w:sz="0" w:space="0" w:color="auto"/>
                                          </w:divBdr>
                                          <w:divsChild>
                                            <w:div w:id="1189834816">
                                              <w:marLeft w:val="0"/>
                                              <w:marRight w:val="0"/>
                                              <w:marTop w:val="0"/>
                                              <w:marBottom w:val="0"/>
                                              <w:divBdr>
                                                <w:top w:val="none" w:sz="0" w:space="0" w:color="auto"/>
                                                <w:left w:val="none" w:sz="0" w:space="0" w:color="auto"/>
                                                <w:bottom w:val="none" w:sz="0" w:space="0" w:color="auto"/>
                                                <w:right w:val="none" w:sz="0" w:space="0" w:color="auto"/>
                                              </w:divBdr>
                                              <w:divsChild>
                                                <w:div w:id="342391565">
                                                  <w:marLeft w:val="0"/>
                                                  <w:marRight w:val="0"/>
                                                  <w:marTop w:val="0"/>
                                                  <w:marBottom w:val="0"/>
                                                  <w:divBdr>
                                                    <w:top w:val="none" w:sz="0" w:space="0" w:color="auto"/>
                                                    <w:left w:val="none" w:sz="0" w:space="0" w:color="auto"/>
                                                    <w:bottom w:val="none" w:sz="0" w:space="0" w:color="auto"/>
                                                    <w:right w:val="none" w:sz="0" w:space="0" w:color="auto"/>
                                                  </w:divBdr>
                                                  <w:divsChild>
                                                    <w:div w:id="219094899">
                                                      <w:marLeft w:val="0"/>
                                                      <w:marRight w:val="0"/>
                                                      <w:marTop w:val="0"/>
                                                      <w:marBottom w:val="0"/>
                                                      <w:divBdr>
                                                        <w:top w:val="none" w:sz="0" w:space="0" w:color="auto"/>
                                                        <w:left w:val="none" w:sz="0" w:space="0" w:color="auto"/>
                                                        <w:bottom w:val="none" w:sz="0" w:space="0" w:color="auto"/>
                                                        <w:right w:val="none" w:sz="0" w:space="0" w:color="auto"/>
                                                      </w:divBdr>
                                                      <w:divsChild>
                                                        <w:div w:id="1964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954193">
      <w:bodyDiv w:val="1"/>
      <w:marLeft w:val="0"/>
      <w:marRight w:val="0"/>
      <w:marTop w:val="0"/>
      <w:marBottom w:val="0"/>
      <w:divBdr>
        <w:top w:val="none" w:sz="0" w:space="0" w:color="auto"/>
        <w:left w:val="none" w:sz="0" w:space="0" w:color="auto"/>
        <w:bottom w:val="none" w:sz="0" w:space="0" w:color="auto"/>
        <w:right w:val="none" w:sz="0" w:space="0" w:color="auto"/>
      </w:divBdr>
      <w:divsChild>
        <w:div w:id="213740486">
          <w:marLeft w:val="0"/>
          <w:marRight w:val="0"/>
          <w:marTop w:val="0"/>
          <w:marBottom w:val="0"/>
          <w:divBdr>
            <w:top w:val="none" w:sz="0" w:space="0" w:color="auto"/>
            <w:left w:val="none" w:sz="0" w:space="0" w:color="auto"/>
            <w:bottom w:val="none" w:sz="0" w:space="0" w:color="auto"/>
            <w:right w:val="none" w:sz="0" w:space="0" w:color="auto"/>
          </w:divBdr>
          <w:divsChild>
            <w:div w:id="2059283039">
              <w:marLeft w:val="0"/>
              <w:marRight w:val="0"/>
              <w:marTop w:val="0"/>
              <w:marBottom w:val="0"/>
              <w:divBdr>
                <w:top w:val="none" w:sz="0" w:space="0" w:color="auto"/>
                <w:left w:val="none" w:sz="0" w:space="0" w:color="auto"/>
                <w:bottom w:val="none" w:sz="0" w:space="0" w:color="auto"/>
                <w:right w:val="none" w:sz="0" w:space="0" w:color="auto"/>
              </w:divBdr>
              <w:divsChild>
                <w:div w:id="530192135">
                  <w:marLeft w:val="0"/>
                  <w:marRight w:val="0"/>
                  <w:marTop w:val="0"/>
                  <w:marBottom w:val="0"/>
                  <w:divBdr>
                    <w:top w:val="none" w:sz="0" w:space="0" w:color="auto"/>
                    <w:left w:val="none" w:sz="0" w:space="0" w:color="auto"/>
                    <w:bottom w:val="none" w:sz="0" w:space="0" w:color="auto"/>
                    <w:right w:val="none" w:sz="0" w:space="0" w:color="auto"/>
                  </w:divBdr>
                  <w:divsChild>
                    <w:div w:id="1664164080">
                      <w:marLeft w:val="0"/>
                      <w:marRight w:val="0"/>
                      <w:marTop w:val="0"/>
                      <w:marBottom w:val="0"/>
                      <w:divBdr>
                        <w:top w:val="none" w:sz="0" w:space="0" w:color="auto"/>
                        <w:left w:val="none" w:sz="0" w:space="0" w:color="auto"/>
                        <w:bottom w:val="none" w:sz="0" w:space="0" w:color="auto"/>
                        <w:right w:val="none" w:sz="0" w:space="0" w:color="auto"/>
                      </w:divBdr>
                      <w:divsChild>
                        <w:div w:id="1800371154">
                          <w:marLeft w:val="0"/>
                          <w:marRight w:val="0"/>
                          <w:marTop w:val="0"/>
                          <w:marBottom w:val="0"/>
                          <w:divBdr>
                            <w:top w:val="single" w:sz="6" w:space="0" w:color="828282"/>
                            <w:left w:val="single" w:sz="6" w:space="0" w:color="828282"/>
                            <w:bottom w:val="single" w:sz="6" w:space="0" w:color="828282"/>
                            <w:right w:val="single" w:sz="6" w:space="0" w:color="828282"/>
                          </w:divBdr>
                          <w:divsChild>
                            <w:div w:id="2029670745">
                              <w:marLeft w:val="0"/>
                              <w:marRight w:val="0"/>
                              <w:marTop w:val="0"/>
                              <w:marBottom w:val="0"/>
                              <w:divBdr>
                                <w:top w:val="none" w:sz="0" w:space="0" w:color="auto"/>
                                <w:left w:val="none" w:sz="0" w:space="0" w:color="auto"/>
                                <w:bottom w:val="none" w:sz="0" w:space="0" w:color="auto"/>
                                <w:right w:val="none" w:sz="0" w:space="0" w:color="auto"/>
                              </w:divBdr>
                              <w:divsChild>
                                <w:div w:id="278880963">
                                  <w:marLeft w:val="0"/>
                                  <w:marRight w:val="0"/>
                                  <w:marTop w:val="0"/>
                                  <w:marBottom w:val="0"/>
                                  <w:divBdr>
                                    <w:top w:val="none" w:sz="0" w:space="0" w:color="auto"/>
                                    <w:left w:val="none" w:sz="0" w:space="0" w:color="auto"/>
                                    <w:bottom w:val="none" w:sz="0" w:space="0" w:color="auto"/>
                                    <w:right w:val="none" w:sz="0" w:space="0" w:color="auto"/>
                                  </w:divBdr>
                                  <w:divsChild>
                                    <w:div w:id="428158232">
                                      <w:marLeft w:val="0"/>
                                      <w:marRight w:val="0"/>
                                      <w:marTop w:val="0"/>
                                      <w:marBottom w:val="0"/>
                                      <w:divBdr>
                                        <w:top w:val="none" w:sz="0" w:space="0" w:color="auto"/>
                                        <w:left w:val="none" w:sz="0" w:space="0" w:color="auto"/>
                                        <w:bottom w:val="none" w:sz="0" w:space="0" w:color="auto"/>
                                        <w:right w:val="none" w:sz="0" w:space="0" w:color="auto"/>
                                      </w:divBdr>
                                      <w:divsChild>
                                        <w:div w:id="804201221">
                                          <w:marLeft w:val="0"/>
                                          <w:marRight w:val="0"/>
                                          <w:marTop w:val="0"/>
                                          <w:marBottom w:val="0"/>
                                          <w:divBdr>
                                            <w:top w:val="none" w:sz="0" w:space="0" w:color="auto"/>
                                            <w:left w:val="none" w:sz="0" w:space="0" w:color="auto"/>
                                            <w:bottom w:val="none" w:sz="0" w:space="0" w:color="auto"/>
                                            <w:right w:val="none" w:sz="0" w:space="0" w:color="auto"/>
                                          </w:divBdr>
                                          <w:divsChild>
                                            <w:div w:id="1329408524">
                                              <w:marLeft w:val="0"/>
                                              <w:marRight w:val="0"/>
                                              <w:marTop w:val="0"/>
                                              <w:marBottom w:val="0"/>
                                              <w:divBdr>
                                                <w:top w:val="none" w:sz="0" w:space="0" w:color="auto"/>
                                                <w:left w:val="none" w:sz="0" w:space="0" w:color="auto"/>
                                                <w:bottom w:val="none" w:sz="0" w:space="0" w:color="auto"/>
                                                <w:right w:val="none" w:sz="0" w:space="0" w:color="auto"/>
                                              </w:divBdr>
                                              <w:divsChild>
                                                <w:div w:id="765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1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dambiec/AppData/Local/Microsoft/Windows/Temporary%20Internet%20Files/Content.Outlook/00IFG55I/www.acm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acm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ma.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04b8ec43-391f-4ce4-8841-d6a482add564">UQVA7MFFXVNW-1058874327-752</_dlc_DocId>
    <_dlc_DocIdUrl xmlns="04b8ec43-391f-4ce4-8841-d6a482add564">
      <Url>http://collaboration/organisation/auth/Chair/Auth/_layouts/15/DocIdRedir.aspx?ID=UQVA7MFFXVNW-1058874327-752</Url>
      <Description>UQVA7MFFXVNW-1058874327-752</Description>
    </_dlc_DocIdUrl>
    <Category xmlns="3f364d92-07cb-4b3e-a872-160096f8dd54">(none)</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F53C29F68C24D871E2753E210AED7" ma:contentTypeVersion="6" ma:contentTypeDescription="Create a new document." ma:contentTypeScope="" ma:versionID="ed3de06719579fdd7deadc7b69a79308">
  <xsd:schema xmlns:xsd="http://www.w3.org/2001/XMLSchema" xmlns:xs="http://www.w3.org/2001/XMLSchema" xmlns:p="http://schemas.microsoft.com/office/2006/metadata/properties" xmlns:ns2="04b8ec43-391f-4ce4-8841-d6a482add564" xmlns:ns3="3f364d92-07cb-4b3e-a872-160096f8dd54" targetNamespace="http://schemas.microsoft.com/office/2006/metadata/properties" ma:root="true" ma:fieldsID="014f185616fecdd5a119a0b760501d53" ns2:_="" ns3:_="">
    <xsd:import namespace="04b8ec43-391f-4ce4-8841-d6a482add564"/>
    <xsd:import namespace="3f364d92-07cb-4b3e-a872-160096f8dd5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364d92-07cb-4b3e-a872-160096f8dd54"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608D-5358-4F2C-9F43-95E6094076B5}">
  <ds:schemaRefs>
    <ds:schemaRef ds:uri="http://schemas.microsoft.com/sharepoint/events"/>
  </ds:schemaRefs>
</ds:datastoreItem>
</file>

<file path=customXml/itemProps2.xml><?xml version="1.0" encoding="utf-8"?>
<ds:datastoreItem xmlns:ds="http://schemas.openxmlformats.org/officeDocument/2006/customXml" ds:itemID="{677DB36F-711C-4F49-82DA-29BD3B5100E5}">
  <ds:schemaRefs>
    <ds:schemaRef ds:uri="http://schemas.microsoft.com/sharepoint/v3/contenttype/forms"/>
  </ds:schemaRefs>
</ds:datastoreItem>
</file>

<file path=customXml/itemProps3.xml><?xml version="1.0" encoding="utf-8"?>
<ds:datastoreItem xmlns:ds="http://schemas.openxmlformats.org/officeDocument/2006/customXml" ds:itemID="{5FC8D959-5A0E-4B10-B01A-E40B9B694B1E}">
  <ds:schemaRefs>
    <ds:schemaRef ds:uri="http://schemas.microsoft.com/office/2006/metadata/properties"/>
    <ds:schemaRef ds:uri="04b8ec43-391f-4ce4-8841-d6a482add564"/>
    <ds:schemaRef ds:uri="3f364d92-07cb-4b3e-a872-160096f8dd54"/>
  </ds:schemaRefs>
</ds:datastoreItem>
</file>

<file path=customXml/itemProps4.xml><?xml version="1.0" encoding="utf-8"?>
<ds:datastoreItem xmlns:ds="http://schemas.openxmlformats.org/officeDocument/2006/customXml" ds:itemID="{69CE4DB9-5797-4A94-8E1D-2BDDE66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3f364d92-07cb-4b3e-a872-160096f8d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6C543-E37B-4159-BBDF-3B765F0B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Communications and Media Authority</Company>
  <LinksUpToDate>false</LinksUpToDate>
  <CharactersWithSpaces>21367</CharactersWithSpaces>
  <SharedDoc>false</SharedDoc>
  <HLinks>
    <vt:vector size="66" baseType="variant">
      <vt:variant>
        <vt:i4>1769548</vt:i4>
      </vt:variant>
      <vt:variant>
        <vt:i4>30</vt:i4>
      </vt:variant>
      <vt:variant>
        <vt:i4>0</vt:i4>
      </vt:variant>
      <vt:variant>
        <vt:i4>5</vt:i4>
      </vt:variant>
      <vt:variant>
        <vt:lpwstr>http://www.3gpp.org/ftp/Specs/html-info/45005.htm</vt:lpwstr>
      </vt:variant>
      <vt:variant>
        <vt:lpwstr/>
      </vt:variant>
      <vt:variant>
        <vt:i4>3997730</vt:i4>
      </vt:variant>
      <vt:variant>
        <vt:i4>27</vt:i4>
      </vt:variant>
      <vt:variant>
        <vt:i4>0</vt:i4>
      </vt:variant>
      <vt:variant>
        <vt:i4>5</vt:i4>
      </vt:variant>
      <vt:variant>
        <vt:lpwstr>http://www.acma.gov.au/</vt:lpwstr>
      </vt:variant>
      <vt:variant>
        <vt:lpwstr/>
      </vt:variant>
      <vt:variant>
        <vt:i4>6160468</vt:i4>
      </vt:variant>
      <vt:variant>
        <vt:i4>24</vt:i4>
      </vt:variant>
      <vt:variant>
        <vt:i4>0</vt:i4>
      </vt:variant>
      <vt:variant>
        <vt:i4>5</vt:i4>
      </vt:variant>
      <vt:variant>
        <vt:lpwstr>http://www.comlaw.gov.au/</vt:lpwstr>
      </vt:variant>
      <vt:variant>
        <vt:lpwstr/>
      </vt:variant>
      <vt:variant>
        <vt:i4>6160468</vt:i4>
      </vt:variant>
      <vt:variant>
        <vt:i4>21</vt:i4>
      </vt:variant>
      <vt:variant>
        <vt:i4>0</vt:i4>
      </vt:variant>
      <vt:variant>
        <vt:i4>5</vt:i4>
      </vt:variant>
      <vt:variant>
        <vt:lpwstr>http://www.comlaw.gov.au/</vt:lpwstr>
      </vt:variant>
      <vt:variant>
        <vt:lpwstr/>
      </vt:variant>
      <vt:variant>
        <vt:i4>2752612</vt:i4>
      </vt:variant>
      <vt:variant>
        <vt:i4>18</vt:i4>
      </vt:variant>
      <vt:variant>
        <vt:i4>0</vt:i4>
      </vt:variant>
      <vt:variant>
        <vt:i4>5</vt:i4>
      </vt:variant>
      <vt:variant>
        <vt:lpwstr>http://www.itu.int/</vt:lpwstr>
      </vt:variant>
      <vt:variant>
        <vt:lpwstr/>
      </vt:variant>
      <vt:variant>
        <vt:i4>4194420</vt:i4>
      </vt:variant>
      <vt:variant>
        <vt:i4>15</vt:i4>
      </vt:variant>
      <vt:variant>
        <vt:i4>0</vt:i4>
      </vt:variant>
      <vt:variant>
        <vt:i4>5</vt:i4>
      </vt:variant>
      <vt:variant>
        <vt:lpwstr>http://www.acma.gov.au/WEB/STANDARD/pc=PC_2708</vt:lpwstr>
      </vt:variant>
      <vt:variant>
        <vt:lpwstr/>
      </vt:variant>
      <vt:variant>
        <vt:i4>4194420</vt:i4>
      </vt:variant>
      <vt:variant>
        <vt:i4>12</vt:i4>
      </vt:variant>
      <vt:variant>
        <vt:i4>0</vt:i4>
      </vt:variant>
      <vt:variant>
        <vt:i4>5</vt:i4>
      </vt:variant>
      <vt:variant>
        <vt:lpwstr>http://www.acma.gov.au/WEB/STANDARD/pc=PC_2708</vt:lpwstr>
      </vt:variant>
      <vt:variant>
        <vt:lpwstr/>
      </vt:variant>
      <vt:variant>
        <vt:i4>7864390</vt:i4>
      </vt:variant>
      <vt:variant>
        <vt:i4>9</vt:i4>
      </vt:variant>
      <vt:variant>
        <vt:i4>0</vt:i4>
      </vt:variant>
      <vt:variant>
        <vt:i4>5</vt:i4>
      </vt:variant>
      <vt:variant>
        <vt:lpwstr>http://www.acma.gov.au/WEB/STANDARD/pc=PC_410046</vt:lpwstr>
      </vt:variant>
      <vt:variant>
        <vt:lpwstr/>
      </vt:variant>
      <vt:variant>
        <vt:i4>262235</vt:i4>
      </vt:variant>
      <vt:variant>
        <vt:i4>6</vt:i4>
      </vt:variant>
      <vt:variant>
        <vt:i4>0</vt:i4>
      </vt:variant>
      <vt:variant>
        <vt:i4>5</vt:i4>
      </vt:variant>
      <vt:variant>
        <vt:lpwstr>http://www.comlaw.gov.au/Details/F2005B00477</vt:lpwstr>
      </vt:variant>
      <vt:variant>
        <vt:lpwstr/>
      </vt:variant>
      <vt:variant>
        <vt:i4>327771</vt:i4>
      </vt:variant>
      <vt:variant>
        <vt:i4>3</vt:i4>
      </vt:variant>
      <vt:variant>
        <vt:i4>0</vt:i4>
      </vt:variant>
      <vt:variant>
        <vt:i4>5</vt:i4>
      </vt:variant>
      <vt:variant>
        <vt:lpwstr>http://www.comlaw.gov.au/Details/F2005B00476</vt:lpwstr>
      </vt:variant>
      <vt:variant>
        <vt:lpwstr/>
      </vt:variant>
      <vt:variant>
        <vt:i4>393309</vt:i4>
      </vt:variant>
      <vt:variant>
        <vt:i4>0</vt:i4>
      </vt:variant>
      <vt:variant>
        <vt:i4>0</vt:i4>
      </vt:variant>
      <vt:variant>
        <vt:i4>5</vt:i4>
      </vt:variant>
      <vt:variant>
        <vt:lpwstr>http://www.comlaw.gov.au/Details/F2005C00809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David Goggin</cp:lastModifiedBy>
  <cp:revision>6</cp:revision>
  <cp:lastPrinted>2010-06-25T01:30:00Z</cp:lastPrinted>
  <dcterms:created xsi:type="dcterms:W3CDTF">2016-10-27T03:38:00Z</dcterms:created>
  <dcterms:modified xsi:type="dcterms:W3CDTF">2016-10-31T00:18:00Z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_dlc_DocIdItemGuid">
    <vt:lpwstr>562b1d35-0c4c-48c4-98e1-e70cffc5923e</vt:lpwstr>
  </property>
  <property fmtid="{D5CDD505-2E9C-101B-9397-08002B2CF9AE}" pid="4" name="ContentTypeId">
    <vt:lpwstr>0x010100D70F53C29F68C24D871E2753E210AED7</vt:lpwstr>
  </property>
  <property fmtid="{D5CDD505-2E9C-101B-9397-08002B2CF9AE}" pid="5" name="Order">
    <vt:r8>4400</vt:r8>
  </property>
  <property fmtid="{D5CDD505-2E9C-101B-9397-08002B2CF9AE}" pid="6" name="xd_ProgID">
    <vt:lpwstr/>
  </property>
  <property fmtid="{D5CDD505-2E9C-101B-9397-08002B2CF9AE}" pid="7" name="TemplateUrl">
    <vt:lpwstr/>
  </property>
</Properties>
</file>