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026" w:rsidRPr="00172BEB" w:rsidRDefault="00CF0026" w:rsidP="00CF0026">
      <w:pPr>
        <w:pStyle w:val="Heading1"/>
      </w:pPr>
      <w:r>
        <w:t>Legal Services Amendment (Repeal of Solicitor</w:t>
      </w:r>
      <w:r>
        <w:noBreakHyphen/>
        <w:t xml:space="preserve">General Opinions) Direction 2016 </w:t>
      </w:r>
    </w:p>
    <w:p w:rsidR="00CF0026" w:rsidRPr="00F47EC9" w:rsidRDefault="00CF0026" w:rsidP="00CF0026">
      <w:pPr>
        <w:pStyle w:val="Heading1"/>
      </w:pPr>
      <w:r w:rsidRPr="00172BEB">
        <w:t>EXPLANATORY STATEMENT</w:t>
      </w:r>
    </w:p>
    <w:p w:rsidR="00CF0026" w:rsidRPr="00172BEB" w:rsidRDefault="00CF0026" w:rsidP="00CF0026">
      <w:pPr>
        <w:spacing w:before="180" w:line="240" w:lineRule="auto"/>
        <w:jc w:val="center"/>
        <w:rPr>
          <w:i/>
        </w:rPr>
      </w:pPr>
      <w:r w:rsidRPr="00172BEB">
        <w:t xml:space="preserve">Issued </w:t>
      </w:r>
      <w:r>
        <w:t>by</w:t>
      </w:r>
      <w:r w:rsidRPr="00172BEB">
        <w:t xml:space="preserve"> the Attorney</w:t>
      </w:r>
      <w:r>
        <w:noBreakHyphen/>
      </w:r>
      <w:r w:rsidRPr="00172BEB">
        <w:t>Ge</w:t>
      </w:r>
      <w:r>
        <w:t>neral</w:t>
      </w:r>
      <w:r>
        <w:br/>
        <w:t xml:space="preserve">in compliance with section 15G of the </w:t>
      </w:r>
      <w:r>
        <w:rPr>
          <w:i/>
        </w:rPr>
        <w:t>Legislation Act 2003</w:t>
      </w:r>
    </w:p>
    <w:p w:rsidR="00CF0026" w:rsidRPr="00172BEB" w:rsidRDefault="00CF0026" w:rsidP="00CF0026">
      <w:pPr>
        <w:pBdr>
          <w:bottom w:val="single" w:sz="4" w:space="1" w:color="auto"/>
        </w:pBdr>
        <w:spacing w:after="240"/>
        <w:jc w:val="center"/>
      </w:pPr>
    </w:p>
    <w:p w:rsidR="00CF0026" w:rsidRPr="00172BEB" w:rsidRDefault="00CF0026" w:rsidP="00CF0026">
      <w:pPr>
        <w:pStyle w:val="Heading2"/>
      </w:pPr>
      <w:r w:rsidRPr="00172BEB">
        <w:t>INTRODUCTION</w:t>
      </w:r>
    </w:p>
    <w:p w:rsidR="00CF0026" w:rsidRDefault="00CF0026" w:rsidP="00CF0026">
      <w:pPr>
        <w:spacing w:before="240"/>
        <w:rPr>
          <w:szCs w:val="22"/>
        </w:rPr>
      </w:pPr>
      <w:r w:rsidRPr="008D096F">
        <w:rPr>
          <w:szCs w:val="22"/>
        </w:rPr>
        <w:t xml:space="preserve">Under </w:t>
      </w:r>
      <w:r>
        <w:rPr>
          <w:szCs w:val="22"/>
        </w:rPr>
        <w:t>subsection</w:t>
      </w:r>
      <w:r w:rsidRPr="008D096F">
        <w:rPr>
          <w:szCs w:val="22"/>
        </w:rPr>
        <w:t xml:space="preserve"> </w:t>
      </w:r>
      <w:proofErr w:type="gramStart"/>
      <w:r w:rsidRPr="008D096F">
        <w:rPr>
          <w:szCs w:val="22"/>
        </w:rPr>
        <w:t>55ZF(</w:t>
      </w:r>
      <w:proofErr w:type="gramEnd"/>
      <w:r w:rsidRPr="008D096F">
        <w:rPr>
          <w:szCs w:val="22"/>
        </w:rPr>
        <w:t xml:space="preserve">1)(a) of the </w:t>
      </w:r>
      <w:r w:rsidRPr="008D096F">
        <w:rPr>
          <w:i/>
          <w:iCs/>
          <w:szCs w:val="22"/>
        </w:rPr>
        <w:t>Judiciary Act 1903</w:t>
      </w:r>
      <w:r w:rsidRPr="008D096F">
        <w:rPr>
          <w:iCs/>
          <w:szCs w:val="22"/>
        </w:rPr>
        <w:t xml:space="preserve">, </w:t>
      </w:r>
      <w:r w:rsidRPr="008D096F">
        <w:rPr>
          <w:szCs w:val="22"/>
        </w:rPr>
        <w:t>the Attorney-General may issue Legal Services Directions (</w:t>
      </w:r>
      <w:r>
        <w:rPr>
          <w:szCs w:val="22"/>
        </w:rPr>
        <w:t xml:space="preserve">the </w:t>
      </w:r>
      <w:r w:rsidRPr="008D096F">
        <w:rPr>
          <w:szCs w:val="22"/>
        </w:rPr>
        <w:t xml:space="preserve">Directions) applying generally to Commonwealth legal work (as defined in that section). </w:t>
      </w:r>
    </w:p>
    <w:p w:rsidR="00CF0026" w:rsidRDefault="00CF0026" w:rsidP="00CF0026">
      <w:pPr>
        <w:spacing w:before="240"/>
        <w:rPr>
          <w:szCs w:val="22"/>
        </w:rPr>
      </w:pPr>
      <w:r w:rsidRPr="008D096F">
        <w:rPr>
          <w:szCs w:val="22"/>
        </w:rPr>
        <w:t xml:space="preserve">The power to issue </w:t>
      </w:r>
      <w:r>
        <w:rPr>
          <w:szCs w:val="22"/>
        </w:rPr>
        <w:t xml:space="preserve">the </w:t>
      </w:r>
      <w:r w:rsidRPr="008D096F">
        <w:rPr>
          <w:szCs w:val="22"/>
        </w:rPr>
        <w:t>Directions was conferred having regard to the Attorney-General’s responsibility, as First Law Officer, for matters relating to the performance of Commonwealth legal work by, and on behalf of, the Commonwealth and its agencies.</w:t>
      </w:r>
      <w:r>
        <w:rPr>
          <w:szCs w:val="22"/>
        </w:rPr>
        <w:t xml:space="preserve"> </w:t>
      </w:r>
    </w:p>
    <w:p w:rsidR="00CF0026" w:rsidRPr="008D096F" w:rsidRDefault="00CF0026" w:rsidP="00CF0026">
      <w:pPr>
        <w:spacing w:before="240"/>
        <w:rPr>
          <w:szCs w:val="22"/>
        </w:rPr>
      </w:pPr>
      <w:r>
        <w:rPr>
          <w:szCs w:val="22"/>
        </w:rPr>
        <w:t xml:space="preserve">Under subsection 33(3) of the </w:t>
      </w:r>
      <w:r>
        <w:rPr>
          <w:i/>
          <w:szCs w:val="22"/>
        </w:rPr>
        <w:t>Acts Interpretation Act 1901</w:t>
      </w:r>
      <w:r>
        <w:rPr>
          <w:szCs w:val="22"/>
        </w:rPr>
        <w:t xml:space="preserve">, the power to issue such Directions includes the power to repeal, rescind, revoke, amend or vary those Directions.  </w:t>
      </w:r>
    </w:p>
    <w:p w:rsidR="00CF0026" w:rsidRPr="00172BEB" w:rsidRDefault="00CF0026" w:rsidP="00CF0026">
      <w:pPr>
        <w:pStyle w:val="Heading2"/>
      </w:pPr>
      <w:r w:rsidRPr="00172BEB">
        <w:t>OUTLINE</w:t>
      </w:r>
    </w:p>
    <w:p w:rsidR="00CF0026" w:rsidRPr="006A1AC6" w:rsidRDefault="00CF0026" w:rsidP="00CF0026">
      <w:pPr>
        <w:spacing w:before="180" w:line="240" w:lineRule="auto"/>
      </w:pPr>
      <w:r>
        <w:t xml:space="preserve">Section 55ZF of the </w:t>
      </w:r>
      <w:r>
        <w:rPr>
          <w:i/>
        </w:rPr>
        <w:t>Judiciary Act 1903</w:t>
      </w:r>
      <w:r>
        <w:t xml:space="preserve"> empowers the Attorney-General to issue the Directions, which are to apply generally to Commonwealth legal work, or that are to apply to Commonwealth legal work being performed, or to be performed, in relation to a particular matter.</w:t>
      </w:r>
    </w:p>
    <w:p w:rsidR="00CF0026" w:rsidRDefault="00CF0026" w:rsidP="00CF0026">
      <w:pPr>
        <w:spacing w:before="180" w:line="240" w:lineRule="auto"/>
      </w:pPr>
      <w:r>
        <w:t xml:space="preserve">Paragraph 12(b) of the </w:t>
      </w:r>
      <w:r>
        <w:rPr>
          <w:i/>
        </w:rPr>
        <w:t>Law Officers Act 1964</w:t>
      </w:r>
      <w:r>
        <w:t xml:space="preserve"> provides that the functions of the Solicitor</w:t>
      </w:r>
      <w:r>
        <w:noBreakHyphen/>
        <w:t>General, in addition to acting as counsel, include furnishing opinions to the Attorney-General on questions of law referred by the Attorney-General.</w:t>
      </w:r>
    </w:p>
    <w:p w:rsidR="00CF0026" w:rsidRDefault="00CF0026" w:rsidP="00CF0026">
      <w:pPr>
        <w:spacing w:before="180" w:line="240" w:lineRule="auto"/>
      </w:pPr>
      <w:r>
        <w:t xml:space="preserve">The purpose of this legislative instrument is to amend the Directions to repeal paragraph 10B of the </w:t>
      </w:r>
      <w:r w:rsidRPr="0053045D">
        <w:rPr>
          <w:i/>
        </w:rPr>
        <w:t>Lega</w:t>
      </w:r>
      <w:r>
        <w:rPr>
          <w:i/>
        </w:rPr>
        <w:t>l Services Directions 2005</w:t>
      </w:r>
      <w:r>
        <w:t xml:space="preserve">. </w:t>
      </w:r>
    </w:p>
    <w:p w:rsidR="00CF0026" w:rsidRPr="00172BEB" w:rsidRDefault="00CF0026" w:rsidP="00CF0026">
      <w:pPr>
        <w:pStyle w:val="Heading2"/>
      </w:pPr>
      <w:r w:rsidRPr="00172BEB">
        <w:t xml:space="preserve">PROCESS BEFORE </w:t>
      </w:r>
      <w:r>
        <w:t>THIS LEGISLATIVE INSTRUMENT WAS MADE</w:t>
      </w:r>
    </w:p>
    <w:p w:rsidR="00CF0026" w:rsidRDefault="00CF0026" w:rsidP="00CF0026">
      <w:pPr>
        <w:pStyle w:val="Heading3"/>
        <w:rPr>
          <w:sz w:val="22"/>
          <w:szCs w:val="22"/>
        </w:rPr>
      </w:pPr>
      <w:r w:rsidRPr="008D096F">
        <w:rPr>
          <w:sz w:val="22"/>
          <w:szCs w:val="22"/>
        </w:rPr>
        <w:t>Regulatory impact analysis</w:t>
      </w:r>
    </w:p>
    <w:p w:rsidR="00CF0026" w:rsidRPr="00EB5540" w:rsidRDefault="00CF0026" w:rsidP="00CF0026"/>
    <w:p w:rsidR="00CF0026" w:rsidRPr="008D096F" w:rsidRDefault="00CF0026" w:rsidP="00CF0026">
      <w:pPr>
        <w:rPr>
          <w:szCs w:val="22"/>
        </w:rPr>
      </w:pPr>
      <w:r w:rsidRPr="008D096F">
        <w:rPr>
          <w:szCs w:val="22"/>
        </w:rPr>
        <w:t xml:space="preserve">The Office of Best Practice Regulation (OBPR) has advised that a Regulation Impact Statement is not required as the Directions are machinery in nature and do not change the regulatory burden placed on businesses or the non-profit sector (OBPR </w:t>
      </w:r>
      <w:r w:rsidRPr="00EB5540">
        <w:rPr>
          <w:szCs w:val="22"/>
        </w:rPr>
        <w:t xml:space="preserve">ID </w:t>
      </w:r>
      <w:r w:rsidRPr="00EB5540">
        <w:rPr>
          <w:bCs/>
        </w:rPr>
        <w:t>20861</w:t>
      </w:r>
      <w:r w:rsidRPr="008D096F">
        <w:rPr>
          <w:szCs w:val="22"/>
        </w:rPr>
        <w:t xml:space="preserve">).  </w:t>
      </w:r>
    </w:p>
    <w:p w:rsidR="00CF0026" w:rsidRPr="00172BEB" w:rsidRDefault="00CF0026" w:rsidP="00CF0026">
      <w:pPr>
        <w:pStyle w:val="Heading3"/>
        <w:ind w:left="0" w:firstLine="0"/>
      </w:pPr>
      <w:r w:rsidRPr="00172BEB">
        <w:t>Statement of compatibility with human rights obligations</w:t>
      </w:r>
    </w:p>
    <w:p w:rsidR="00CF0026" w:rsidRDefault="00CF0026" w:rsidP="00CF0026">
      <w:pPr>
        <w:spacing w:before="180" w:line="240" w:lineRule="auto"/>
      </w:pPr>
      <w:r w:rsidRPr="0053045D">
        <w:t>Before this instrument was made, its impact on human rights was assessed using tools and guidance published by the Attorney</w:t>
      </w:r>
      <w:r w:rsidRPr="0053045D">
        <w:noBreakHyphen/>
        <w:t>General’s Department. It is fully compatible with human rights as defined i</w:t>
      </w:r>
      <w:r w:rsidRPr="0053045D">
        <w:rPr>
          <w:color w:val="000000"/>
        </w:rPr>
        <w:t xml:space="preserve">n section 3 of the </w:t>
      </w:r>
      <w:hyperlink r:id="rId9" w:history="1">
        <w:r w:rsidRPr="0053045D">
          <w:rPr>
            <w:rStyle w:val="Hyperlink"/>
            <w:i/>
            <w:color w:val="000000"/>
            <w:u w:val="none"/>
          </w:rPr>
          <w:t>Human Rights (Parliamentary Scrutiny) Act 2011</w:t>
        </w:r>
      </w:hyperlink>
      <w:r w:rsidRPr="0053045D">
        <w:rPr>
          <w:color w:val="000000"/>
        </w:rPr>
        <w:t xml:space="preserve">. </w:t>
      </w:r>
    </w:p>
    <w:p w:rsidR="00CF0026" w:rsidRPr="00172BEB" w:rsidRDefault="00CF0026" w:rsidP="00CF0026">
      <w:pPr>
        <w:pStyle w:val="Heading3"/>
      </w:pPr>
      <w:r w:rsidRPr="00172BEB">
        <w:lastRenderedPageBreak/>
        <w:t xml:space="preserve">Consultation </w:t>
      </w:r>
      <w:r>
        <w:t>before making</w:t>
      </w:r>
    </w:p>
    <w:p w:rsidR="00CF0026" w:rsidRPr="0053045D" w:rsidRDefault="00CF0026" w:rsidP="00CF0026">
      <w:pPr>
        <w:spacing w:before="180" w:line="240" w:lineRule="auto"/>
      </w:pPr>
      <w:r w:rsidRPr="0053045D">
        <w:t>Before this instrument was made, the Attorney</w:t>
      </w:r>
      <w:r w:rsidRPr="0053045D">
        <w:noBreakHyphen/>
        <w:t xml:space="preserve">General </w:t>
      </w:r>
      <w:bookmarkStart w:id="0" w:name="_GoBack"/>
      <w:bookmarkEnd w:id="0"/>
      <w:r>
        <w:t>consulted the Acting Solicitor</w:t>
      </w:r>
      <w:r>
        <w:noBreakHyphen/>
        <w:t xml:space="preserve">General. </w:t>
      </w:r>
    </w:p>
    <w:p w:rsidR="00CF0026" w:rsidRPr="00172BEB" w:rsidRDefault="00CF0026" w:rsidP="00CF0026">
      <w:pPr>
        <w:pStyle w:val="Heading3"/>
        <w:ind w:left="12" w:hanging="12"/>
      </w:pPr>
      <w:r w:rsidRPr="00172BEB">
        <w:t xml:space="preserve">Statutory preconditions and Parliamentary undertakings relevant to this </w:t>
      </w:r>
      <w:r>
        <w:t>legislative instrument</w:t>
      </w:r>
    </w:p>
    <w:p w:rsidR="00CF0026" w:rsidRDefault="00CF0026" w:rsidP="00CF0026">
      <w:pPr>
        <w:spacing w:before="180" w:line="240" w:lineRule="auto"/>
      </w:pPr>
      <w:r w:rsidRPr="000B67DD">
        <w:t xml:space="preserve">There are no other </w:t>
      </w:r>
      <w:r>
        <w:t xml:space="preserve">preconditions </w:t>
      </w:r>
      <w:r w:rsidRPr="000B67DD">
        <w:t xml:space="preserve">relevant to the making of this </w:t>
      </w:r>
      <w:r>
        <w:t xml:space="preserve">legislative </w:t>
      </w:r>
      <w:r w:rsidRPr="000B67DD">
        <w:t>instrument.</w:t>
      </w:r>
      <w:r>
        <w:t xml:space="preserve"> </w:t>
      </w:r>
    </w:p>
    <w:p w:rsidR="00CF0026" w:rsidRPr="00172BEB" w:rsidRDefault="00CF0026" w:rsidP="00CF0026">
      <w:pPr>
        <w:pStyle w:val="Heading2"/>
      </w:pPr>
      <w:r w:rsidRPr="00172BEB">
        <w:t xml:space="preserve">PROCESSES FOR REVIEW OF THIS </w:t>
      </w:r>
      <w:r>
        <w:t xml:space="preserve">LEGISLATIVE INSTRUMENT </w:t>
      </w:r>
      <w:r w:rsidRPr="00172BEB">
        <w:t xml:space="preserve"> </w:t>
      </w:r>
    </w:p>
    <w:p w:rsidR="00CF0026" w:rsidRPr="00172BEB" w:rsidRDefault="00CF0026" w:rsidP="00CF0026">
      <w:pPr>
        <w:spacing w:before="180" w:line="240" w:lineRule="auto"/>
      </w:pPr>
      <w:r w:rsidRPr="00172BEB">
        <w:t xml:space="preserve">This </w:t>
      </w:r>
      <w:r>
        <w:t>instrument</w:t>
      </w:r>
      <w:r w:rsidRPr="00172BEB">
        <w:t xml:space="preserve"> is subject to tabling and dis</w:t>
      </w:r>
      <w:r>
        <w:t>allowance under Chapter 3 of the Legislation Act.</w:t>
      </w:r>
    </w:p>
    <w:p w:rsidR="00CF0026" w:rsidRPr="00172BEB" w:rsidRDefault="00CF0026" w:rsidP="00CF0026">
      <w:pPr>
        <w:pStyle w:val="Heading2"/>
      </w:pPr>
      <w:r>
        <w:t>OTHER ISSUES</w:t>
      </w:r>
    </w:p>
    <w:p w:rsidR="00CF0026" w:rsidRPr="00172BEB" w:rsidRDefault="00CF0026" w:rsidP="00CF0026">
      <w:pPr>
        <w:pStyle w:val="Heading3"/>
      </w:pPr>
      <w:r w:rsidRPr="00172BEB">
        <w:t>Matter incorporated by reference</w:t>
      </w:r>
    </w:p>
    <w:p w:rsidR="00CF0026" w:rsidRPr="00172BEB" w:rsidRDefault="00CF0026" w:rsidP="00CF0026">
      <w:pPr>
        <w:spacing w:before="180" w:line="240" w:lineRule="auto"/>
      </w:pPr>
      <w:r w:rsidRPr="00172BEB">
        <w:t xml:space="preserve">This </w:t>
      </w:r>
      <w:r>
        <w:t xml:space="preserve">instrument </w:t>
      </w:r>
      <w:r w:rsidRPr="00172BEB">
        <w:t>does not apply, adopt or incorporate other matter by reference.</w:t>
      </w:r>
    </w:p>
    <w:p w:rsidR="00CF0026" w:rsidRPr="00172BEB" w:rsidRDefault="00CF0026" w:rsidP="00CF0026">
      <w:pPr>
        <w:pStyle w:val="Heading3"/>
      </w:pPr>
      <w:r>
        <w:t>More information</w:t>
      </w:r>
    </w:p>
    <w:p w:rsidR="00CF0026" w:rsidRPr="00172BEB" w:rsidRDefault="00CF0026" w:rsidP="00CF0026">
      <w:pPr>
        <w:spacing w:before="180" w:line="240" w:lineRule="auto"/>
      </w:pPr>
      <w:r w:rsidRPr="00172BEB">
        <w:t xml:space="preserve">A provision </w:t>
      </w:r>
      <w:r>
        <w:t xml:space="preserve">by provision explanation of this legislative instrument </w:t>
      </w:r>
      <w:r w:rsidRPr="00172BEB">
        <w:t xml:space="preserve">is provided in </w:t>
      </w:r>
      <w:r w:rsidRPr="00172BEB">
        <w:rPr>
          <w:u w:val="single"/>
        </w:rPr>
        <w:t>Attachment A</w:t>
      </w:r>
      <w:r w:rsidRPr="00172BEB">
        <w:t>.</w:t>
      </w:r>
    </w:p>
    <w:p w:rsidR="00CF0026" w:rsidRDefault="00CF0026" w:rsidP="00CF0026">
      <w:pPr>
        <w:pStyle w:val="Heading2"/>
        <w:rPr>
          <w:u w:val="single"/>
        </w:rPr>
      </w:pPr>
      <w:r w:rsidRPr="00172BEB">
        <w:rPr>
          <w:rStyle w:val="Heading1Char"/>
        </w:rPr>
        <w:br w:type="page"/>
      </w:r>
      <w:r w:rsidRPr="00172BEB">
        <w:lastRenderedPageBreak/>
        <w:t>NOTES ON SECTIONS</w:t>
      </w:r>
      <w:r w:rsidRPr="00172BEB">
        <w:tab/>
      </w:r>
      <w:r w:rsidRPr="00172BEB">
        <w:tab/>
      </w:r>
      <w:r w:rsidRPr="00172BEB">
        <w:tab/>
      </w:r>
      <w:r w:rsidRPr="00172BEB">
        <w:tab/>
      </w:r>
      <w:r w:rsidRPr="00172BEB">
        <w:tab/>
      </w:r>
      <w:r w:rsidRPr="00172BEB">
        <w:tab/>
        <w:t xml:space="preserve">       </w:t>
      </w:r>
      <w:r w:rsidRPr="00172BEB">
        <w:rPr>
          <w:u w:val="single"/>
        </w:rPr>
        <w:t>ATTACHMENT A</w:t>
      </w:r>
    </w:p>
    <w:p w:rsidR="00CF0026" w:rsidRPr="00172BEB" w:rsidRDefault="00CF0026" w:rsidP="00CF0026">
      <w:pPr>
        <w:pStyle w:val="Heading3"/>
      </w:pPr>
      <w:r w:rsidRPr="00172BEB">
        <w:t>Section 1</w:t>
      </w:r>
      <w:r w:rsidRPr="00172BEB">
        <w:tab/>
        <w:t xml:space="preserve">Name of </w:t>
      </w:r>
      <w:r>
        <w:t xml:space="preserve">the </w:t>
      </w:r>
      <w:r w:rsidR="004B1D94" w:rsidRPr="004B1D94">
        <w:rPr>
          <w:i/>
        </w:rPr>
        <w:t>Legal Services Amendment (Repeal of Soli</w:t>
      </w:r>
      <w:r w:rsidR="004B1D94">
        <w:rPr>
          <w:i/>
        </w:rPr>
        <w:t>citor</w:t>
      </w:r>
      <w:r w:rsidR="004B1D94">
        <w:rPr>
          <w:i/>
        </w:rPr>
        <w:noBreakHyphen/>
      </w:r>
      <w:r w:rsidR="004B1D94" w:rsidRPr="004B1D94">
        <w:rPr>
          <w:i/>
        </w:rPr>
        <w:t>General Opinions) Direction 2016</w:t>
      </w:r>
      <w:r>
        <w:rPr>
          <w:i/>
        </w:rPr>
        <w:t xml:space="preserve"> </w:t>
      </w:r>
    </w:p>
    <w:p w:rsidR="00CF0026" w:rsidRPr="00172BEB" w:rsidRDefault="00CF0026" w:rsidP="00CF0026">
      <w:pPr>
        <w:spacing w:before="180" w:line="240" w:lineRule="auto"/>
      </w:pPr>
      <w:r w:rsidRPr="00A17B30">
        <w:t xml:space="preserve">This section provides for the </w:t>
      </w:r>
      <w:r>
        <w:t xml:space="preserve">instrument </w:t>
      </w:r>
      <w:r w:rsidRPr="00A17B30">
        <w:t xml:space="preserve">to </w:t>
      </w:r>
      <w:r w:rsidRPr="00010BEF">
        <w:t xml:space="preserve">be named as </w:t>
      </w:r>
      <w:r>
        <w:t xml:space="preserve">the </w:t>
      </w:r>
      <w:bookmarkStart w:id="1" w:name="BKCheck15B_3"/>
      <w:bookmarkEnd w:id="1"/>
      <w:r w:rsidR="004B1D94" w:rsidRPr="004B1D94">
        <w:rPr>
          <w:i/>
        </w:rPr>
        <w:t>Legal Services Amendment (Repeal of Soli</w:t>
      </w:r>
      <w:r w:rsidR="004B1D94">
        <w:rPr>
          <w:i/>
        </w:rPr>
        <w:t>citor</w:t>
      </w:r>
      <w:r w:rsidR="004B1D94">
        <w:rPr>
          <w:i/>
        </w:rPr>
        <w:noBreakHyphen/>
      </w:r>
      <w:r w:rsidR="004B1D94" w:rsidRPr="004B1D94">
        <w:rPr>
          <w:i/>
        </w:rPr>
        <w:t>General Opinions) Direction 2016</w:t>
      </w:r>
      <w:r w:rsidRPr="00010BEF">
        <w:t>. The</w:t>
      </w:r>
      <w:r>
        <w:t xml:space="preserve"> legislative instrument </w:t>
      </w:r>
      <w:r w:rsidRPr="00010BEF">
        <w:t>may</w:t>
      </w:r>
      <w:r w:rsidRPr="00A17B30">
        <w:t xml:space="preserve"> be cited by that name.</w:t>
      </w:r>
    </w:p>
    <w:p w:rsidR="00CF0026" w:rsidRPr="00172BEB" w:rsidRDefault="00CF0026" w:rsidP="00CF0026">
      <w:pPr>
        <w:pStyle w:val="Heading3"/>
      </w:pPr>
      <w:r w:rsidRPr="00172BEB">
        <w:t xml:space="preserve">Section 2 </w:t>
      </w:r>
      <w:r w:rsidRPr="00172BEB">
        <w:tab/>
        <w:t>Commencement</w:t>
      </w:r>
    </w:p>
    <w:p w:rsidR="00CF0026" w:rsidRPr="00172BEB" w:rsidRDefault="00CF0026" w:rsidP="00CF0026">
      <w:pPr>
        <w:spacing w:before="180" w:line="240" w:lineRule="auto"/>
      </w:pPr>
      <w:r w:rsidRPr="00E90882">
        <w:t xml:space="preserve">This section provides for the instrument to commence on the day that it is registered on the Federal Register of Legislation. In accordance with section 3 of the </w:t>
      </w:r>
      <w:r w:rsidRPr="00E90882">
        <w:rPr>
          <w:i/>
          <w:iCs/>
        </w:rPr>
        <w:t>Acts Interpretation Act 1901</w:t>
      </w:r>
      <w:r w:rsidRPr="00E90882">
        <w:t xml:space="preserve"> this means that it will commence from the first minute of the day on which it is registered. The instrument will operate from the beginning of the day it was registered. It does not enliven any of the retrospectivity issues that subsection 12(2) of the </w:t>
      </w:r>
      <w:r w:rsidRPr="00E90882">
        <w:rPr>
          <w:i/>
          <w:iCs/>
        </w:rPr>
        <w:t xml:space="preserve">Legislation Act 2003 </w:t>
      </w:r>
      <w:r w:rsidRPr="00E90882">
        <w:t xml:space="preserve">seeks to address. </w:t>
      </w:r>
      <w:r>
        <w:t xml:space="preserve"> </w:t>
      </w:r>
    </w:p>
    <w:p w:rsidR="00CF0026" w:rsidRPr="00172BEB" w:rsidRDefault="00CF0026" w:rsidP="00CF0026">
      <w:pPr>
        <w:pStyle w:val="Heading3"/>
      </w:pPr>
      <w:r w:rsidRPr="00172BEB">
        <w:t>Section 3</w:t>
      </w:r>
      <w:r w:rsidRPr="00172BEB">
        <w:tab/>
        <w:t>Authority</w:t>
      </w:r>
    </w:p>
    <w:p w:rsidR="00CF0026" w:rsidRPr="00F24A2A" w:rsidRDefault="00CF0026" w:rsidP="00CF0026">
      <w:pPr>
        <w:spacing w:before="180" w:line="240" w:lineRule="auto"/>
      </w:pPr>
      <w:r w:rsidRPr="00172BEB">
        <w:t xml:space="preserve">This section identifies the Act that authorises the making of the </w:t>
      </w:r>
      <w:r>
        <w:t xml:space="preserve">legislative instrument as the </w:t>
      </w:r>
      <w:r>
        <w:rPr>
          <w:i/>
        </w:rPr>
        <w:t>Judiciary Act 1903</w:t>
      </w:r>
      <w:r>
        <w:t>.</w:t>
      </w:r>
    </w:p>
    <w:p w:rsidR="00CF0026" w:rsidRPr="00101466" w:rsidRDefault="00CF0026" w:rsidP="00CF0026">
      <w:pPr>
        <w:pStyle w:val="Heading3"/>
      </w:pPr>
      <w:r>
        <w:t>Section 4</w:t>
      </w:r>
      <w:r w:rsidRPr="00101466">
        <w:tab/>
      </w:r>
      <w:r>
        <w:t xml:space="preserve">Schedule </w:t>
      </w:r>
    </w:p>
    <w:p w:rsidR="00CF0026" w:rsidRDefault="00CF0026" w:rsidP="00CF0026">
      <w:pPr>
        <w:spacing w:before="180" w:line="240" w:lineRule="auto"/>
      </w:pPr>
      <w:r>
        <w:t xml:space="preserve">This section provides that the instrument specified in the Schedule is amended or repealed according to the terms of that Schedule. </w:t>
      </w:r>
    </w:p>
    <w:p w:rsidR="00CF0026" w:rsidRDefault="00CF0026" w:rsidP="00CF0026">
      <w:pPr>
        <w:pStyle w:val="Heading3"/>
      </w:pPr>
      <w:r>
        <w:t>Schedule 1</w:t>
      </w:r>
    </w:p>
    <w:p w:rsidR="00CF0026" w:rsidRPr="008A0825" w:rsidRDefault="00CF0026" w:rsidP="00CF0026">
      <w:pPr>
        <w:spacing w:before="180" w:line="240" w:lineRule="auto"/>
      </w:pPr>
      <w:r>
        <w:t xml:space="preserve">This Schedule repeals paragraph 10B of the Legal Services Directions 2005. </w:t>
      </w:r>
    </w:p>
    <w:p w:rsidR="008A0825" w:rsidRPr="00CF0026" w:rsidRDefault="008A0825" w:rsidP="00CF0026"/>
    <w:sectPr w:rsidR="008A0825" w:rsidRPr="00CF0026" w:rsidSect="00D4781D">
      <w:headerReference w:type="even" r:id="rId10"/>
      <w:headerReference w:type="default" r:id="rId11"/>
      <w:footerReference w:type="even" r:id="rId12"/>
      <w:footerReference w:type="default" r:id="rId13"/>
      <w:headerReference w:type="first" r:id="rId14"/>
      <w:footerReference w:type="first" r:id="rId15"/>
      <w:pgSz w:w="11907" w:h="1683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F01" w:rsidRDefault="009E1F01">
      <w:pPr>
        <w:spacing w:line="240" w:lineRule="auto"/>
      </w:pPr>
      <w:r>
        <w:separator/>
      </w:r>
    </w:p>
  </w:endnote>
  <w:endnote w:type="continuationSeparator" w:id="0">
    <w:p w:rsidR="009E1F01" w:rsidRDefault="009E1F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01" w:rsidRDefault="009E1F01" w:rsidP="00D478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9E1F01" w:rsidRDefault="009E1F01" w:rsidP="00D4781D">
    <w:pPr>
      <w:pStyle w:val="Footer"/>
      <w:ind w:right="360"/>
    </w:pPr>
  </w:p>
  <w:p w:rsidR="009E1F01" w:rsidRPr="00172BEB" w:rsidRDefault="009E1F01" w:rsidP="00D4781D">
    <w:pPr>
      <w:pStyle w:val="Footer"/>
      <w:ind w:right="360"/>
      <w:jc w:val="right"/>
      <w:rPr>
        <w:i/>
        <w:sz w:val="18"/>
      </w:rPr>
    </w:pPr>
    <w:r>
      <w:rPr>
        <w:i/>
        <w:sz w:val="18"/>
      </w:rPr>
      <w:fldChar w:fldCharType="begin"/>
    </w:r>
    <w:r>
      <w:rPr>
        <w:i/>
        <w:sz w:val="18"/>
      </w:rPr>
      <w:instrText xml:space="preserve"> FILENAME \p \* MERGEFORMAT </w:instrText>
    </w:r>
    <w:r>
      <w:rPr>
        <w:i/>
        <w:sz w:val="18"/>
      </w:rPr>
      <w:fldChar w:fldCharType="separate"/>
    </w:r>
    <w:r w:rsidR="005D414A">
      <w:rPr>
        <w:i/>
        <w:noProof/>
        <w:sz w:val="18"/>
      </w:rPr>
      <w:t>C:\Users\wignam\AppData\Roaming\Hewlett-Packard\HP TRIM\Offline Records (AG)\Template Explanatory Statement for Instrument - for OLSC completion and review for accuracy.docx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4B1D94">
      <w:rPr>
        <w:i/>
        <w:noProof/>
        <w:sz w:val="18"/>
      </w:rPr>
      <w:t>10/11/2016 12:01 PM</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825" w:rsidRDefault="008A0825" w:rsidP="008A0825">
    <w:pPr>
      <w:pStyle w:val="Footer"/>
      <w:tabs>
        <w:tab w:val="clear" w:pos="4153"/>
        <w:tab w:val="clear" w:pos="8306"/>
        <w:tab w:val="left" w:pos="7680"/>
      </w:tabs>
      <w:ind w:right="27"/>
      <w:jc w:val="right"/>
    </w:pPr>
    <w:r>
      <w:t xml:space="preserve">ES for the </w:t>
    </w:r>
    <w:r w:rsidRPr="008A0825">
      <w:rPr>
        <w:i/>
      </w:rPr>
      <w:t>Legal Services Amendment (Repeal of Solicitor-General Opinions) Direction 2016</w:t>
    </w:r>
    <w:r>
      <w:t xml:space="preserve"> </w:t>
    </w:r>
  </w:p>
  <w:p w:rsidR="008A0825" w:rsidRDefault="008A0825" w:rsidP="008A0825">
    <w:pPr>
      <w:pStyle w:val="Footer"/>
      <w:tabs>
        <w:tab w:val="clear" w:pos="4153"/>
        <w:tab w:val="clear" w:pos="8306"/>
        <w:tab w:val="left" w:pos="7680"/>
      </w:tabs>
      <w:ind w:right="27"/>
      <w:jc w:val="right"/>
      <w:rPr>
        <w:noProof/>
      </w:rPr>
    </w:pPr>
    <w:r>
      <w:fldChar w:fldCharType="begin"/>
    </w:r>
    <w:r>
      <w:instrText xml:space="preserve"> PAGE  \* MERGEFORMAT </w:instrText>
    </w:r>
    <w:r>
      <w:fldChar w:fldCharType="separate"/>
    </w:r>
    <w:r w:rsidR="004B1D94">
      <w:rPr>
        <w:noProof/>
      </w:rPr>
      <w:t>2</w:t>
    </w:r>
    <w:r>
      <w:rPr>
        <w:noProof/>
      </w:rPr>
      <w:fldChar w:fldCharType="end"/>
    </w:r>
    <w:r>
      <w:rPr>
        <w:noProof/>
      </w:rPr>
      <w:t xml:space="preserve"> of </w:t>
    </w:r>
    <w:r w:rsidR="004B1D94">
      <w:fldChar w:fldCharType="begin"/>
    </w:r>
    <w:r w:rsidR="004B1D94">
      <w:instrText xml:space="preserve"> NUMPAGES </w:instrText>
    </w:r>
    <w:r w:rsidR="004B1D94">
      <w:fldChar w:fldCharType="separate"/>
    </w:r>
    <w:r w:rsidR="004B1D94">
      <w:rPr>
        <w:noProof/>
      </w:rPr>
      <w:t>3</w:t>
    </w:r>
    <w:r w:rsidR="004B1D94">
      <w:rPr>
        <w:noProof/>
      </w:rPr>
      <w:fldChar w:fldCharType="end"/>
    </w:r>
  </w:p>
  <w:p w:rsidR="009E1F01" w:rsidRPr="000B0D5F" w:rsidRDefault="009E1F01" w:rsidP="00D4781D">
    <w:pPr>
      <w:pStyle w:val="Footer"/>
      <w:tabs>
        <w:tab w:val="clear" w:pos="4153"/>
        <w:tab w:val="clear" w:pos="8306"/>
        <w:tab w:val="left" w:pos="7680"/>
      </w:tabs>
      <w:ind w:right="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1F01" w:rsidRDefault="009E1F01">
    <w:pPr>
      <w:pStyle w:val="Footer"/>
    </w:pPr>
  </w:p>
  <w:p w:rsidR="009E1F01" w:rsidRPr="00172BEB" w:rsidRDefault="009E1F01" w:rsidP="00D4781D">
    <w:pPr>
      <w:pStyle w:val="Footer"/>
      <w:rPr>
        <w:i/>
        <w:sz w:val="18"/>
      </w:rPr>
    </w:pPr>
    <w:r>
      <w:rPr>
        <w:i/>
        <w:sz w:val="18"/>
      </w:rPr>
      <w:fldChar w:fldCharType="begin"/>
    </w:r>
    <w:r>
      <w:rPr>
        <w:i/>
        <w:sz w:val="18"/>
      </w:rPr>
      <w:instrText xml:space="preserve"> FILENAME \p \* MERGEFORMAT </w:instrText>
    </w:r>
    <w:r>
      <w:rPr>
        <w:i/>
        <w:sz w:val="18"/>
      </w:rPr>
      <w:fldChar w:fldCharType="separate"/>
    </w:r>
    <w:r w:rsidR="005D414A">
      <w:rPr>
        <w:i/>
        <w:noProof/>
        <w:sz w:val="18"/>
      </w:rPr>
      <w:t>C:\Users\wignam\AppData\Roaming\Hewlett-Packard\HP TRIM\Offline Records (AG)\Template Explanatory Statement for Instrument - for OLSC completion and review for accuracy.docx</w:t>
    </w:r>
    <w:r>
      <w:rPr>
        <w:i/>
        <w:sz w:val="18"/>
      </w:rPr>
      <w:fldChar w:fldCharType="end"/>
    </w:r>
    <w:r>
      <w:rPr>
        <w:i/>
        <w:sz w:val="18"/>
      </w:rPr>
      <w:t xml:space="preserve"> </w:t>
    </w:r>
    <w:r>
      <w:rPr>
        <w:i/>
        <w:sz w:val="18"/>
      </w:rPr>
      <w:fldChar w:fldCharType="begin"/>
    </w:r>
    <w:r>
      <w:rPr>
        <w:i/>
        <w:sz w:val="18"/>
      </w:rPr>
      <w:instrText xml:space="preserve"> TIME \@ "d/M/yyyy h:mm am/pm" \* MERGEFORMAT </w:instrText>
    </w:r>
    <w:r>
      <w:rPr>
        <w:i/>
        <w:sz w:val="18"/>
      </w:rPr>
      <w:fldChar w:fldCharType="separate"/>
    </w:r>
    <w:r w:rsidR="004B1D94">
      <w:rPr>
        <w:i/>
        <w:noProof/>
        <w:sz w:val="18"/>
      </w:rPr>
      <w:t>10/11/2016 12:01 PM</w:t>
    </w:r>
    <w:r>
      <w:rPr>
        <w: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F01" w:rsidRDefault="009E1F01">
      <w:pPr>
        <w:spacing w:line="240" w:lineRule="auto"/>
      </w:pPr>
      <w:r>
        <w:separator/>
      </w:r>
    </w:p>
  </w:footnote>
  <w:footnote w:type="continuationSeparator" w:id="0">
    <w:p w:rsidR="009E1F01" w:rsidRDefault="009E1F0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825" w:rsidRDefault="008A082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825" w:rsidRDefault="008A082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0825" w:rsidRDefault="008A08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B24A9E"/>
    <w:multiLevelType w:val="hybridMultilevel"/>
    <w:tmpl w:val="A000C32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C2B60FB"/>
    <w:multiLevelType w:val="hybridMultilevel"/>
    <w:tmpl w:val="8E084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3DA"/>
    <w:rsid w:val="000073EA"/>
    <w:rsid w:val="00010BEF"/>
    <w:rsid w:val="000143F9"/>
    <w:rsid w:val="000363DA"/>
    <w:rsid w:val="000770CE"/>
    <w:rsid w:val="000B273A"/>
    <w:rsid w:val="000B5286"/>
    <w:rsid w:val="00101466"/>
    <w:rsid w:val="00151239"/>
    <w:rsid w:val="00181852"/>
    <w:rsid w:val="00196BDA"/>
    <w:rsid w:val="001B096C"/>
    <w:rsid w:val="001B4FAA"/>
    <w:rsid w:val="001D7F78"/>
    <w:rsid w:val="001F2CF3"/>
    <w:rsid w:val="001F6514"/>
    <w:rsid w:val="00200F3C"/>
    <w:rsid w:val="002058DF"/>
    <w:rsid w:val="00217489"/>
    <w:rsid w:val="0025323D"/>
    <w:rsid w:val="00260AAE"/>
    <w:rsid w:val="00270E15"/>
    <w:rsid w:val="00275D48"/>
    <w:rsid w:val="0027652D"/>
    <w:rsid w:val="00277697"/>
    <w:rsid w:val="002A0154"/>
    <w:rsid w:val="002D001F"/>
    <w:rsid w:val="003120B9"/>
    <w:rsid w:val="00315D79"/>
    <w:rsid w:val="0034662E"/>
    <w:rsid w:val="00362811"/>
    <w:rsid w:val="003811BA"/>
    <w:rsid w:val="003E4174"/>
    <w:rsid w:val="004415DE"/>
    <w:rsid w:val="004A0B44"/>
    <w:rsid w:val="004B1D94"/>
    <w:rsid w:val="004C2A74"/>
    <w:rsid w:val="004D0E4B"/>
    <w:rsid w:val="004F3E34"/>
    <w:rsid w:val="0053045D"/>
    <w:rsid w:val="00563481"/>
    <w:rsid w:val="005639AB"/>
    <w:rsid w:val="00577A23"/>
    <w:rsid w:val="005D3F9B"/>
    <w:rsid w:val="005D414A"/>
    <w:rsid w:val="005D4B3E"/>
    <w:rsid w:val="00616391"/>
    <w:rsid w:val="00637E09"/>
    <w:rsid w:val="00654E56"/>
    <w:rsid w:val="006D437D"/>
    <w:rsid w:val="006F2B01"/>
    <w:rsid w:val="00702554"/>
    <w:rsid w:val="00727C98"/>
    <w:rsid w:val="007573F5"/>
    <w:rsid w:val="007B66E9"/>
    <w:rsid w:val="00873074"/>
    <w:rsid w:val="00896745"/>
    <w:rsid w:val="008A0825"/>
    <w:rsid w:val="008C0177"/>
    <w:rsid w:val="00982E68"/>
    <w:rsid w:val="0099448A"/>
    <w:rsid w:val="00996327"/>
    <w:rsid w:val="009C09F6"/>
    <w:rsid w:val="009D4613"/>
    <w:rsid w:val="009E1F01"/>
    <w:rsid w:val="00A26554"/>
    <w:rsid w:val="00A3465F"/>
    <w:rsid w:val="00A52C7F"/>
    <w:rsid w:val="00A67806"/>
    <w:rsid w:val="00A75BB1"/>
    <w:rsid w:val="00AB4BCC"/>
    <w:rsid w:val="00AB699E"/>
    <w:rsid w:val="00AD7076"/>
    <w:rsid w:val="00AF3E5F"/>
    <w:rsid w:val="00BA5A1D"/>
    <w:rsid w:val="00BB77BA"/>
    <w:rsid w:val="00BF6837"/>
    <w:rsid w:val="00C06039"/>
    <w:rsid w:val="00C4520B"/>
    <w:rsid w:val="00C65F75"/>
    <w:rsid w:val="00CA2858"/>
    <w:rsid w:val="00CA5CEA"/>
    <w:rsid w:val="00CC253E"/>
    <w:rsid w:val="00CE0478"/>
    <w:rsid w:val="00CF0026"/>
    <w:rsid w:val="00CF4ED7"/>
    <w:rsid w:val="00CF5670"/>
    <w:rsid w:val="00D043AB"/>
    <w:rsid w:val="00D20763"/>
    <w:rsid w:val="00D416DC"/>
    <w:rsid w:val="00D4781D"/>
    <w:rsid w:val="00D60673"/>
    <w:rsid w:val="00D751F1"/>
    <w:rsid w:val="00D81AD7"/>
    <w:rsid w:val="00E32A5A"/>
    <w:rsid w:val="00E90882"/>
    <w:rsid w:val="00EE0BF1"/>
    <w:rsid w:val="00EE22CD"/>
    <w:rsid w:val="00F109A0"/>
    <w:rsid w:val="00F15C52"/>
    <w:rsid w:val="00F23B18"/>
    <w:rsid w:val="00F47EC9"/>
    <w:rsid w:val="00F616AE"/>
    <w:rsid w:val="00F74E03"/>
    <w:rsid w:val="00F87D23"/>
    <w:rsid w:val="00FB5E49"/>
    <w:rsid w:val="00FD0A66"/>
    <w:rsid w:val="00FF1C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3DA"/>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0363DA"/>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0363DA"/>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0363DA"/>
    <w:pPr>
      <w:keepNext/>
      <w:spacing w:before="280"/>
      <w:outlineLvl w:val="2"/>
    </w:pPr>
  </w:style>
  <w:style w:type="paragraph" w:styleId="Heading6">
    <w:name w:val="heading 6"/>
    <w:basedOn w:val="Normal"/>
    <w:next w:val="Normal"/>
    <w:link w:val="Heading6Char"/>
    <w:uiPriority w:val="9"/>
    <w:semiHidden/>
    <w:unhideWhenUsed/>
    <w:qFormat/>
    <w:rsid w:val="00F47EC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DA"/>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0363DA"/>
    <w:rPr>
      <w:rFonts w:ascii="Times" w:eastAsia="Calibri" w:hAnsi="Times" w:cs="Times New Roman"/>
      <w:b/>
      <w:sz w:val="24"/>
      <w:szCs w:val="20"/>
    </w:rPr>
  </w:style>
  <w:style w:type="character" w:customStyle="1" w:styleId="Heading3Char">
    <w:name w:val="Heading 3 Char"/>
    <w:basedOn w:val="DefaultParagraphFont"/>
    <w:link w:val="Heading3"/>
    <w:rsid w:val="000363DA"/>
    <w:rPr>
      <w:rFonts w:ascii="Times" w:eastAsia="Calibri" w:hAnsi="Times" w:cs="Times New Roman"/>
      <w:b/>
      <w:sz w:val="24"/>
      <w:szCs w:val="20"/>
    </w:rPr>
  </w:style>
  <w:style w:type="character" w:styleId="Hyperlink">
    <w:name w:val="Hyperlink"/>
    <w:uiPriority w:val="99"/>
    <w:rsid w:val="000363DA"/>
    <w:rPr>
      <w:color w:val="0000FF"/>
      <w:u w:val="single"/>
    </w:rPr>
  </w:style>
  <w:style w:type="paragraph" w:styleId="Footer">
    <w:name w:val="footer"/>
    <w:link w:val="FooterChar"/>
    <w:rsid w:val="000363D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363DA"/>
    <w:rPr>
      <w:rFonts w:ascii="Times New Roman" w:eastAsia="Times New Roman" w:hAnsi="Times New Roman" w:cs="Times New Roman"/>
      <w:szCs w:val="24"/>
      <w:lang w:eastAsia="en-AU"/>
    </w:rPr>
  </w:style>
  <w:style w:type="paragraph" w:customStyle="1" w:styleId="Notes">
    <w:name w:val="Notes"/>
    <w:basedOn w:val="Normal"/>
    <w:link w:val="NotesChar"/>
    <w:qFormat/>
    <w:rsid w:val="000363DA"/>
    <w:rPr>
      <w:i/>
    </w:rPr>
  </w:style>
  <w:style w:type="character" w:customStyle="1" w:styleId="NotesChar">
    <w:name w:val="Notes Char"/>
    <w:link w:val="Notes"/>
    <w:rsid w:val="000363DA"/>
    <w:rPr>
      <w:rFonts w:ascii="Times New Roman" w:eastAsia="Calibri" w:hAnsi="Times New Roman" w:cs="Times New Roman"/>
      <w:i/>
      <w:szCs w:val="20"/>
    </w:rPr>
  </w:style>
  <w:style w:type="character" w:styleId="PageNumber">
    <w:name w:val="page number"/>
    <w:rsid w:val="000363DA"/>
  </w:style>
  <w:style w:type="character" w:customStyle="1" w:styleId="CharAmPartText">
    <w:name w:val="CharAmPartText"/>
    <w:uiPriority w:val="1"/>
    <w:qFormat/>
    <w:rsid w:val="000363DA"/>
  </w:style>
  <w:style w:type="paragraph" w:customStyle="1" w:styleId="notedraft">
    <w:name w:val="note(draft)"/>
    <w:aliases w:val="nd"/>
    <w:basedOn w:val="Normal"/>
    <w:rsid w:val="000363DA"/>
    <w:pPr>
      <w:spacing w:before="240" w:line="240" w:lineRule="auto"/>
      <w:ind w:left="284" w:hanging="284"/>
    </w:pPr>
    <w:rPr>
      <w:rFonts w:eastAsia="Times New Roman"/>
      <w:i/>
      <w:sz w:val="24"/>
      <w:lang w:eastAsia="en-AU"/>
    </w:rPr>
  </w:style>
  <w:style w:type="character" w:styleId="CommentReference">
    <w:name w:val="annotation reference"/>
    <w:basedOn w:val="DefaultParagraphFont"/>
    <w:uiPriority w:val="99"/>
    <w:semiHidden/>
    <w:unhideWhenUsed/>
    <w:rsid w:val="000363DA"/>
    <w:rPr>
      <w:sz w:val="16"/>
      <w:szCs w:val="16"/>
    </w:rPr>
  </w:style>
  <w:style w:type="paragraph" w:styleId="CommentText">
    <w:name w:val="annotation text"/>
    <w:basedOn w:val="Normal"/>
    <w:link w:val="CommentTextChar"/>
    <w:uiPriority w:val="99"/>
    <w:semiHidden/>
    <w:unhideWhenUsed/>
    <w:rsid w:val="000363DA"/>
    <w:pPr>
      <w:spacing w:line="240" w:lineRule="auto"/>
    </w:pPr>
    <w:rPr>
      <w:sz w:val="20"/>
    </w:rPr>
  </w:style>
  <w:style w:type="character" w:customStyle="1" w:styleId="CommentTextChar">
    <w:name w:val="Comment Text Char"/>
    <w:basedOn w:val="DefaultParagraphFont"/>
    <w:link w:val="CommentText"/>
    <w:uiPriority w:val="99"/>
    <w:semiHidden/>
    <w:rsid w:val="000363D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363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D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10BEF"/>
    <w:rPr>
      <w:b/>
      <w:bCs/>
    </w:rPr>
  </w:style>
  <w:style w:type="character" w:customStyle="1" w:styleId="CommentSubjectChar">
    <w:name w:val="Comment Subject Char"/>
    <w:basedOn w:val="CommentTextChar"/>
    <w:link w:val="CommentSubject"/>
    <w:uiPriority w:val="99"/>
    <w:semiHidden/>
    <w:rsid w:val="00010BEF"/>
    <w:rPr>
      <w:rFonts w:ascii="Times New Roman" w:eastAsia="Calibri" w:hAnsi="Times New Roman" w:cs="Times New Roman"/>
      <w:b/>
      <w:bCs/>
      <w:sz w:val="20"/>
      <w:szCs w:val="20"/>
    </w:rPr>
  </w:style>
  <w:style w:type="paragraph" w:customStyle="1" w:styleId="Default">
    <w:name w:val="Default"/>
    <w:rsid w:val="009D46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0177"/>
    <w:pPr>
      <w:spacing w:after="0" w:line="240" w:lineRule="auto"/>
    </w:pPr>
    <w:rPr>
      <w:rFonts w:ascii="Times New Roman" w:eastAsia="Calibri" w:hAnsi="Times New Roman" w:cs="Times New Roman"/>
      <w:szCs w:val="20"/>
    </w:rPr>
  </w:style>
  <w:style w:type="character" w:customStyle="1" w:styleId="Heading6Char">
    <w:name w:val="Heading 6 Char"/>
    <w:basedOn w:val="DefaultParagraphFont"/>
    <w:link w:val="Heading6"/>
    <w:uiPriority w:val="9"/>
    <w:semiHidden/>
    <w:rsid w:val="00F47EC9"/>
    <w:rPr>
      <w:rFonts w:asciiTheme="majorHAnsi" w:eastAsiaTheme="majorEastAsia" w:hAnsiTheme="majorHAnsi" w:cstheme="majorBidi"/>
      <w:i/>
      <w:iCs/>
      <w:color w:val="243F60" w:themeColor="accent1" w:themeShade="7F"/>
      <w:szCs w:val="20"/>
    </w:rPr>
  </w:style>
  <w:style w:type="paragraph" w:styleId="Header">
    <w:name w:val="header"/>
    <w:basedOn w:val="Normal"/>
    <w:link w:val="HeaderChar"/>
    <w:uiPriority w:val="99"/>
    <w:unhideWhenUsed/>
    <w:rsid w:val="008A0825"/>
    <w:pPr>
      <w:tabs>
        <w:tab w:val="center" w:pos="4513"/>
        <w:tab w:val="right" w:pos="9026"/>
      </w:tabs>
      <w:spacing w:line="240" w:lineRule="auto"/>
    </w:pPr>
  </w:style>
  <w:style w:type="character" w:customStyle="1" w:styleId="HeaderChar">
    <w:name w:val="Header Char"/>
    <w:basedOn w:val="DefaultParagraphFont"/>
    <w:link w:val="Header"/>
    <w:uiPriority w:val="99"/>
    <w:rsid w:val="008A0825"/>
    <w:rPr>
      <w:rFonts w:ascii="Times New Roman" w:eastAsia="Calibri"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0363DA"/>
    <w:pPr>
      <w:spacing w:after="0" w:line="260" w:lineRule="atLeast"/>
    </w:pPr>
    <w:rPr>
      <w:rFonts w:ascii="Times New Roman" w:eastAsia="Calibri" w:hAnsi="Times New Roman" w:cs="Times New Roman"/>
      <w:szCs w:val="20"/>
    </w:rPr>
  </w:style>
  <w:style w:type="paragraph" w:styleId="Heading1">
    <w:name w:val="heading 1"/>
    <w:basedOn w:val="Heading2"/>
    <w:next w:val="Normal"/>
    <w:link w:val="Heading1Char"/>
    <w:qFormat/>
    <w:rsid w:val="000363DA"/>
    <w:pPr>
      <w:ind w:left="0" w:firstLine="0"/>
      <w:jc w:val="center"/>
      <w:outlineLvl w:val="0"/>
    </w:pPr>
    <w:rPr>
      <w:rFonts w:ascii="Times New Roman" w:hAnsi="Times New Roman"/>
      <w:sz w:val="28"/>
    </w:rPr>
  </w:style>
  <w:style w:type="paragraph" w:styleId="Heading2">
    <w:name w:val="heading 2"/>
    <w:basedOn w:val="Normal"/>
    <w:next w:val="Normal"/>
    <w:link w:val="Heading2Char"/>
    <w:qFormat/>
    <w:rsid w:val="000363DA"/>
    <w:pPr>
      <w:spacing w:before="360"/>
      <w:ind w:left="1452" w:hanging="1452"/>
      <w:outlineLvl w:val="1"/>
    </w:pPr>
    <w:rPr>
      <w:rFonts w:ascii="Times" w:hAnsi="Times"/>
      <w:b/>
      <w:sz w:val="24"/>
    </w:rPr>
  </w:style>
  <w:style w:type="paragraph" w:styleId="Heading3">
    <w:name w:val="heading 3"/>
    <w:basedOn w:val="Heading2"/>
    <w:next w:val="Normal"/>
    <w:link w:val="Heading3Char"/>
    <w:qFormat/>
    <w:rsid w:val="000363DA"/>
    <w:pPr>
      <w:keepNext/>
      <w:spacing w:before="280"/>
      <w:outlineLvl w:val="2"/>
    </w:pPr>
  </w:style>
  <w:style w:type="paragraph" w:styleId="Heading6">
    <w:name w:val="heading 6"/>
    <w:basedOn w:val="Normal"/>
    <w:next w:val="Normal"/>
    <w:link w:val="Heading6Char"/>
    <w:uiPriority w:val="9"/>
    <w:semiHidden/>
    <w:unhideWhenUsed/>
    <w:qFormat/>
    <w:rsid w:val="00F47EC9"/>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363DA"/>
    <w:rPr>
      <w:rFonts w:ascii="Times New Roman" w:eastAsia="Calibri" w:hAnsi="Times New Roman" w:cs="Times New Roman"/>
      <w:b/>
      <w:sz w:val="28"/>
      <w:szCs w:val="20"/>
    </w:rPr>
  </w:style>
  <w:style w:type="character" w:customStyle="1" w:styleId="Heading2Char">
    <w:name w:val="Heading 2 Char"/>
    <w:basedOn w:val="DefaultParagraphFont"/>
    <w:link w:val="Heading2"/>
    <w:rsid w:val="000363DA"/>
    <w:rPr>
      <w:rFonts w:ascii="Times" w:eastAsia="Calibri" w:hAnsi="Times" w:cs="Times New Roman"/>
      <w:b/>
      <w:sz w:val="24"/>
      <w:szCs w:val="20"/>
    </w:rPr>
  </w:style>
  <w:style w:type="character" w:customStyle="1" w:styleId="Heading3Char">
    <w:name w:val="Heading 3 Char"/>
    <w:basedOn w:val="DefaultParagraphFont"/>
    <w:link w:val="Heading3"/>
    <w:rsid w:val="000363DA"/>
    <w:rPr>
      <w:rFonts w:ascii="Times" w:eastAsia="Calibri" w:hAnsi="Times" w:cs="Times New Roman"/>
      <w:b/>
      <w:sz w:val="24"/>
      <w:szCs w:val="20"/>
    </w:rPr>
  </w:style>
  <w:style w:type="character" w:styleId="Hyperlink">
    <w:name w:val="Hyperlink"/>
    <w:uiPriority w:val="99"/>
    <w:rsid w:val="000363DA"/>
    <w:rPr>
      <w:color w:val="0000FF"/>
      <w:u w:val="single"/>
    </w:rPr>
  </w:style>
  <w:style w:type="paragraph" w:styleId="Footer">
    <w:name w:val="footer"/>
    <w:link w:val="FooterChar"/>
    <w:rsid w:val="000363DA"/>
    <w:pPr>
      <w:tabs>
        <w:tab w:val="center" w:pos="4153"/>
        <w:tab w:val="right" w:pos="8306"/>
      </w:tabs>
      <w:spacing w:after="0" w:line="240" w:lineRule="auto"/>
    </w:pPr>
    <w:rPr>
      <w:rFonts w:ascii="Times New Roman" w:eastAsia="Times New Roman" w:hAnsi="Times New Roman" w:cs="Times New Roman"/>
      <w:szCs w:val="24"/>
      <w:lang w:eastAsia="en-AU"/>
    </w:rPr>
  </w:style>
  <w:style w:type="character" w:customStyle="1" w:styleId="FooterChar">
    <w:name w:val="Footer Char"/>
    <w:basedOn w:val="DefaultParagraphFont"/>
    <w:link w:val="Footer"/>
    <w:rsid w:val="000363DA"/>
    <w:rPr>
      <w:rFonts w:ascii="Times New Roman" w:eastAsia="Times New Roman" w:hAnsi="Times New Roman" w:cs="Times New Roman"/>
      <w:szCs w:val="24"/>
      <w:lang w:eastAsia="en-AU"/>
    </w:rPr>
  </w:style>
  <w:style w:type="paragraph" w:customStyle="1" w:styleId="Notes">
    <w:name w:val="Notes"/>
    <w:basedOn w:val="Normal"/>
    <w:link w:val="NotesChar"/>
    <w:qFormat/>
    <w:rsid w:val="000363DA"/>
    <w:rPr>
      <w:i/>
    </w:rPr>
  </w:style>
  <w:style w:type="character" w:customStyle="1" w:styleId="NotesChar">
    <w:name w:val="Notes Char"/>
    <w:link w:val="Notes"/>
    <w:rsid w:val="000363DA"/>
    <w:rPr>
      <w:rFonts w:ascii="Times New Roman" w:eastAsia="Calibri" w:hAnsi="Times New Roman" w:cs="Times New Roman"/>
      <w:i/>
      <w:szCs w:val="20"/>
    </w:rPr>
  </w:style>
  <w:style w:type="character" w:styleId="PageNumber">
    <w:name w:val="page number"/>
    <w:rsid w:val="000363DA"/>
  </w:style>
  <w:style w:type="character" w:customStyle="1" w:styleId="CharAmPartText">
    <w:name w:val="CharAmPartText"/>
    <w:uiPriority w:val="1"/>
    <w:qFormat/>
    <w:rsid w:val="000363DA"/>
  </w:style>
  <w:style w:type="paragraph" w:customStyle="1" w:styleId="notedraft">
    <w:name w:val="note(draft)"/>
    <w:aliases w:val="nd"/>
    <w:basedOn w:val="Normal"/>
    <w:rsid w:val="000363DA"/>
    <w:pPr>
      <w:spacing w:before="240" w:line="240" w:lineRule="auto"/>
      <w:ind w:left="284" w:hanging="284"/>
    </w:pPr>
    <w:rPr>
      <w:rFonts w:eastAsia="Times New Roman"/>
      <w:i/>
      <w:sz w:val="24"/>
      <w:lang w:eastAsia="en-AU"/>
    </w:rPr>
  </w:style>
  <w:style w:type="character" w:styleId="CommentReference">
    <w:name w:val="annotation reference"/>
    <w:basedOn w:val="DefaultParagraphFont"/>
    <w:uiPriority w:val="99"/>
    <w:semiHidden/>
    <w:unhideWhenUsed/>
    <w:rsid w:val="000363DA"/>
    <w:rPr>
      <w:sz w:val="16"/>
      <w:szCs w:val="16"/>
    </w:rPr>
  </w:style>
  <w:style w:type="paragraph" w:styleId="CommentText">
    <w:name w:val="annotation text"/>
    <w:basedOn w:val="Normal"/>
    <w:link w:val="CommentTextChar"/>
    <w:uiPriority w:val="99"/>
    <w:semiHidden/>
    <w:unhideWhenUsed/>
    <w:rsid w:val="000363DA"/>
    <w:pPr>
      <w:spacing w:line="240" w:lineRule="auto"/>
    </w:pPr>
    <w:rPr>
      <w:sz w:val="20"/>
    </w:rPr>
  </w:style>
  <w:style w:type="character" w:customStyle="1" w:styleId="CommentTextChar">
    <w:name w:val="Comment Text Char"/>
    <w:basedOn w:val="DefaultParagraphFont"/>
    <w:link w:val="CommentText"/>
    <w:uiPriority w:val="99"/>
    <w:semiHidden/>
    <w:rsid w:val="000363DA"/>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0363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3DA"/>
    <w:rPr>
      <w:rFonts w:ascii="Tahoma" w:eastAsia="Calibri" w:hAnsi="Tahoma" w:cs="Tahoma"/>
      <w:sz w:val="16"/>
      <w:szCs w:val="16"/>
    </w:rPr>
  </w:style>
  <w:style w:type="paragraph" w:styleId="CommentSubject">
    <w:name w:val="annotation subject"/>
    <w:basedOn w:val="CommentText"/>
    <w:next w:val="CommentText"/>
    <w:link w:val="CommentSubjectChar"/>
    <w:uiPriority w:val="99"/>
    <w:semiHidden/>
    <w:unhideWhenUsed/>
    <w:rsid w:val="00010BEF"/>
    <w:rPr>
      <w:b/>
      <w:bCs/>
    </w:rPr>
  </w:style>
  <w:style w:type="character" w:customStyle="1" w:styleId="CommentSubjectChar">
    <w:name w:val="Comment Subject Char"/>
    <w:basedOn w:val="CommentTextChar"/>
    <w:link w:val="CommentSubject"/>
    <w:uiPriority w:val="99"/>
    <w:semiHidden/>
    <w:rsid w:val="00010BEF"/>
    <w:rPr>
      <w:rFonts w:ascii="Times New Roman" w:eastAsia="Calibri" w:hAnsi="Times New Roman" w:cs="Times New Roman"/>
      <w:b/>
      <w:bCs/>
      <w:sz w:val="20"/>
      <w:szCs w:val="20"/>
    </w:rPr>
  </w:style>
  <w:style w:type="paragraph" w:customStyle="1" w:styleId="Default">
    <w:name w:val="Default"/>
    <w:rsid w:val="009D4613"/>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8C0177"/>
    <w:pPr>
      <w:spacing w:after="0" w:line="240" w:lineRule="auto"/>
    </w:pPr>
    <w:rPr>
      <w:rFonts w:ascii="Times New Roman" w:eastAsia="Calibri" w:hAnsi="Times New Roman" w:cs="Times New Roman"/>
      <w:szCs w:val="20"/>
    </w:rPr>
  </w:style>
  <w:style w:type="character" w:customStyle="1" w:styleId="Heading6Char">
    <w:name w:val="Heading 6 Char"/>
    <w:basedOn w:val="DefaultParagraphFont"/>
    <w:link w:val="Heading6"/>
    <w:uiPriority w:val="9"/>
    <w:semiHidden/>
    <w:rsid w:val="00F47EC9"/>
    <w:rPr>
      <w:rFonts w:asciiTheme="majorHAnsi" w:eastAsiaTheme="majorEastAsia" w:hAnsiTheme="majorHAnsi" w:cstheme="majorBidi"/>
      <w:i/>
      <w:iCs/>
      <w:color w:val="243F60" w:themeColor="accent1" w:themeShade="7F"/>
      <w:szCs w:val="20"/>
    </w:rPr>
  </w:style>
  <w:style w:type="paragraph" w:styleId="Header">
    <w:name w:val="header"/>
    <w:basedOn w:val="Normal"/>
    <w:link w:val="HeaderChar"/>
    <w:uiPriority w:val="99"/>
    <w:unhideWhenUsed/>
    <w:rsid w:val="008A0825"/>
    <w:pPr>
      <w:tabs>
        <w:tab w:val="center" w:pos="4513"/>
        <w:tab w:val="right" w:pos="9026"/>
      </w:tabs>
      <w:spacing w:line="240" w:lineRule="auto"/>
    </w:pPr>
  </w:style>
  <w:style w:type="character" w:customStyle="1" w:styleId="HeaderChar">
    <w:name w:val="Header Char"/>
    <w:basedOn w:val="DefaultParagraphFont"/>
    <w:link w:val="Header"/>
    <w:uiPriority w:val="99"/>
    <w:rsid w:val="008A0825"/>
    <w:rPr>
      <w:rFonts w:ascii="Times New Roman" w:eastAsia="Calibri"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0886">
      <w:bodyDiv w:val="1"/>
      <w:marLeft w:val="0"/>
      <w:marRight w:val="0"/>
      <w:marTop w:val="0"/>
      <w:marBottom w:val="0"/>
      <w:divBdr>
        <w:top w:val="none" w:sz="0" w:space="0" w:color="auto"/>
        <w:left w:val="none" w:sz="0" w:space="0" w:color="auto"/>
        <w:bottom w:val="none" w:sz="0" w:space="0" w:color="auto"/>
        <w:right w:val="none" w:sz="0" w:space="0" w:color="auto"/>
      </w:divBdr>
    </w:div>
    <w:div w:id="55514420">
      <w:bodyDiv w:val="1"/>
      <w:marLeft w:val="0"/>
      <w:marRight w:val="0"/>
      <w:marTop w:val="0"/>
      <w:marBottom w:val="0"/>
      <w:divBdr>
        <w:top w:val="none" w:sz="0" w:space="0" w:color="auto"/>
        <w:left w:val="none" w:sz="0" w:space="0" w:color="auto"/>
        <w:bottom w:val="none" w:sz="0" w:space="0" w:color="auto"/>
        <w:right w:val="none" w:sz="0" w:space="0" w:color="auto"/>
      </w:divBdr>
    </w:div>
    <w:div w:id="441413034">
      <w:bodyDiv w:val="1"/>
      <w:marLeft w:val="0"/>
      <w:marRight w:val="0"/>
      <w:marTop w:val="0"/>
      <w:marBottom w:val="0"/>
      <w:divBdr>
        <w:top w:val="none" w:sz="0" w:space="0" w:color="auto"/>
        <w:left w:val="none" w:sz="0" w:space="0" w:color="auto"/>
        <w:bottom w:val="none" w:sz="0" w:space="0" w:color="auto"/>
        <w:right w:val="none" w:sz="0" w:space="0" w:color="auto"/>
      </w:divBdr>
    </w:div>
    <w:div w:id="597912719">
      <w:bodyDiv w:val="1"/>
      <w:marLeft w:val="0"/>
      <w:marRight w:val="0"/>
      <w:marTop w:val="0"/>
      <w:marBottom w:val="0"/>
      <w:divBdr>
        <w:top w:val="none" w:sz="0" w:space="0" w:color="auto"/>
        <w:left w:val="none" w:sz="0" w:space="0" w:color="auto"/>
        <w:bottom w:val="none" w:sz="0" w:space="0" w:color="auto"/>
        <w:right w:val="none" w:sz="0" w:space="0" w:color="auto"/>
      </w:divBdr>
    </w:div>
    <w:div w:id="962883770">
      <w:bodyDiv w:val="1"/>
      <w:marLeft w:val="0"/>
      <w:marRight w:val="0"/>
      <w:marTop w:val="0"/>
      <w:marBottom w:val="0"/>
      <w:divBdr>
        <w:top w:val="none" w:sz="0" w:space="0" w:color="auto"/>
        <w:left w:val="none" w:sz="0" w:space="0" w:color="auto"/>
        <w:bottom w:val="none" w:sz="0" w:space="0" w:color="auto"/>
        <w:right w:val="none" w:sz="0" w:space="0" w:color="auto"/>
      </w:divBdr>
    </w:div>
    <w:div w:id="1509517827">
      <w:bodyDiv w:val="1"/>
      <w:marLeft w:val="0"/>
      <w:marRight w:val="0"/>
      <w:marTop w:val="0"/>
      <w:marBottom w:val="0"/>
      <w:divBdr>
        <w:top w:val="none" w:sz="0" w:space="0" w:color="auto"/>
        <w:left w:val="none" w:sz="0" w:space="0" w:color="auto"/>
        <w:bottom w:val="none" w:sz="0" w:space="0" w:color="auto"/>
        <w:right w:val="none" w:sz="0" w:space="0" w:color="auto"/>
      </w:divBdr>
    </w:div>
    <w:div w:id="1831558585">
      <w:bodyDiv w:val="1"/>
      <w:marLeft w:val="0"/>
      <w:marRight w:val="0"/>
      <w:marTop w:val="0"/>
      <w:marBottom w:val="0"/>
      <w:divBdr>
        <w:top w:val="none" w:sz="0" w:space="0" w:color="auto"/>
        <w:left w:val="none" w:sz="0" w:space="0" w:color="auto"/>
        <w:bottom w:val="none" w:sz="0" w:space="0" w:color="auto"/>
        <w:right w:val="none" w:sz="0" w:space="0" w:color="auto"/>
      </w:divBdr>
    </w:div>
    <w:div w:id="1884055535">
      <w:bodyDiv w:val="1"/>
      <w:marLeft w:val="0"/>
      <w:marRight w:val="0"/>
      <w:marTop w:val="0"/>
      <w:marBottom w:val="0"/>
      <w:divBdr>
        <w:top w:val="none" w:sz="0" w:space="0" w:color="auto"/>
        <w:left w:val="none" w:sz="0" w:space="0" w:color="auto"/>
        <w:bottom w:val="none" w:sz="0" w:space="0" w:color="auto"/>
        <w:right w:val="none" w:sz="0" w:space="0" w:color="auto"/>
      </w:divBdr>
    </w:div>
    <w:div w:id="2019773987">
      <w:bodyDiv w:val="1"/>
      <w:marLeft w:val="0"/>
      <w:marRight w:val="0"/>
      <w:marTop w:val="0"/>
      <w:marBottom w:val="0"/>
      <w:divBdr>
        <w:top w:val="none" w:sz="0" w:space="0" w:color="auto"/>
        <w:left w:val="none" w:sz="0" w:space="0" w:color="auto"/>
        <w:bottom w:val="none" w:sz="0" w:space="0" w:color="auto"/>
        <w:right w:val="none" w:sz="0" w:space="0" w:color="auto"/>
      </w:divBdr>
    </w:div>
    <w:div w:id="2133934403">
      <w:bodyDiv w:val="1"/>
      <w:marLeft w:val="0"/>
      <w:marRight w:val="0"/>
      <w:marTop w:val="0"/>
      <w:marBottom w:val="0"/>
      <w:divBdr>
        <w:top w:val="none" w:sz="0" w:space="0" w:color="auto"/>
        <w:left w:val="none" w:sz="0" w:space="0" w:color="auto"/>
        <w:bottom w:val="none" w:sz="0" w:space="0" w:color="auto"/>
        <w:right w:val="none" w:sz="0" w:space="0" w:color="auto"/>
      </w:divBdr>
    </w:div>
    <w:div w:id="214519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omlaw.gov.au/Current/C2011A0018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DDF69-DA5E-40C0-BAA0-60D4F3E04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3</Pages>
  <Words>617</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Australian Attorney General's Department</Company>
  <LinksUpToDate>false</LinksUpToDate>
  <CharactersWithSpaces>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tehang</dc:creator>
  <cp:lastModifiedBy>damiam</cp:lastModifiedBy>
  <cp:revision>11</cp:revision>
  <cp:lastPrinted>2016-11-10T00:04:00Z</cp:lastPrinted>
  <dcterms:created xsi:type="dcterms:W3CDTF">2016-11-09T23:33:00Z</dcterms:created>
  <dcterms:modified xsi:type="dcterms:W3CDTF">2016-11-10T01:07:00Z</dcterms:modified>
</cp:coreProperties>
</file>