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162" w:rsidRPr="005D7CFC" w:rsidRDefault="00925162" w:rsidP="00252F64">
      <w:pPr>
        <w:spacing w:before="0"/>
        <w:ind w:right="40"/>
        <w:jc w:val="center"/>
        <w:rPr>
          <w:b/>
          <w:szCs w:val="24"/>
          <w:u w:val="single"/>
        </w:rPr>
      </w:pPr>
      <w:r w:rsidRPr="00C57F23">
        <w:rPr>
          <w:b/>
          <w:szCs w:val="24"/>
          <w:u w:val="single"/>
        </w:rPr>
        <w:t xml:space="preserve">EXPLANATORY </w:t>
      </w:r>
      <w:r w:rsidR="0074366F">
        <w:rPr>
          <w:b/>
          <w:szCs w:val="24"/>
          <w:u w:val="single"/>
        </w:rPr>
        <w:t>STATEMEN</w:t>
      </w:r>
      <w:r w:rsidR="0074366F" w:rsidRPr="005D7CFC">
        <w:rPr>
          <w:b/>
          <w:szCs w:val="24"/>
          <w:u w:val="single"/>
        </w:rPr>
        <w:t>T</w:t>
      </w:r>
    </w:p>
    <w:p w:rsidR="0043632A" w:rsidRPr="005D7CFC" w:rsidRDefault="0043632A" w:rsidP="00252F64">
      <w:pPr>
        <w:spacing w:before="0"/>
        <w:ind w:right="40"/>
        <w:jc w:val="center"/>
        <w:rPr>
          <w:b/>
          <w:szCs w:val="24"/>
          <w:u w:val="single"/>
        </w:rPr>
      </w:pPr>
    </w:p>
    <w:p w:rsidR="00BF6037" w:rsidRPr="005D7CFC" w:rsidRDefault="00BF6037" w:rsidP="00252F64">
      <w:pPr>
        <w:spacing w:before="0"/>
        <w:ind w:right="40"/>
        <w:jc w:val="center"/>
        <w:rPr>
          <w:szCs w:val="24"/>
        </w:rPr>
      </w:pPr>
      <w:r w:rsidRPr="005D7CFC">
        <w:rPr>
          <w:szCs w:val="24"/>
        </w:rPr>
        <w:t>Issued by the Minister for Immigration and Border Protection</w:t>
      </w:r>
    </w:p>
    <w:p w:rsidR="00BF6037" w:rsidRPr="005D7CFC" w:rsidRDefault="00BF6037" w:rsidP="00252F64">
      <w:pPr>
        <w:spacing w:before="0"/>
        <w:ind w:right="40"/>
        <w:jc w:val="center"/>
        <w:rPr>
          <w:szCs w:val="24"/>
        </w:rPr>
      </w:pPr>
    </w:p>
    <w:p w:rsidR="00BF6037" w:rsidRDefault="00BF6037" w:rsidP="00252F64">
      <w:pPr>
        <w:spacing w:before="0"/>
        <w:ind w:right="40"/>
        <w:jc w:val="center"/>
        <w:rPr>
          <w:i/>
          <w:szCs w:val="24"/>
        </w:rPr>
      </w:pPr>
      <w:r w:rsidRPr="005D7CFC">
        <w:rPr>
          <w:i/>
          <w:szCs w:val="24"/>
        </w:rPr>
        <w:t>Migration Act 1958</w:t>
      </w:r>
    </w:p>
    <w:p w:rsidR="00490012" w:rsidRDefault="00490012" w:rsidP="00252F64">
      <w:pPr>
        <w:spacing w:before="0"/>
        <w:ind w:right="40"/>
        <w:jc w:val="center"/>
        <w:rPr>
          <w:i/>
          <w:szCs w:val="24"/>
        </w:rPr>
      </w:pPr>
    </w:p>
    <w:p w:rsidR="00BF6037" w:rsidRPr="005D7CFC" w:rsidRDefault="00413463" w:rsidP="00252F64">
      <w:pPr>
        <w:spacing w:before="0"/>
        <w:ind w:right="40"/>
        <w:jc w:val="center"/>
        <w:rPr>
          <w:i/>
          <w:szCs w:val="24"/>
        </w:rPr>
      </w:pPr>
      <w:r w:rsidRPr="001428DE">
        <w:rPr>
          <w:i/>
          <w:szCs w:val="24"/>
        </w:rPr>
        <w:t xml:space="preserve">Migration </w:t>
      </w:r>
      <w:r w:rsidR="00FF72D5" w:rsidRPr="001428DE">
        <w:rPr>
          <w:i/>
          <w:szCs w:val="24"/>
        </w:rPr>
        <w:t xml:space="preserve">Legislation </w:t>
      </w:r>
      <w:r w:rsidRPr="001428DE">
        <w:rPr>
          <w:i/>
          <w:szCs w:val="24"/>
        </w:rPr>
        <w:t>Amendment (</w:t>
      </w:r>
      <w:r w:rsidR="00FF72D5" w:rsidRPr="001428DE">
        <w:rPr>
          <w:i/>
          <w:szCs w:val="24"/>
        </w:rPr>
        <w:t xml:space="preserve">2016 Measures No. </w:t>
      </w:r>
      <w:r w:rsidR="000032CF">
        <w:rPr>
          <w:i/>
          <w:szCs w:val="24"/>
        </w:rPr>
        <w:t>5</w:t>
      </w:r>
      <w:r w:rsidR="00432F29" w:rsidRPr="001428DE">
        <w:rPr>
          <w:i/>
          <w:szCs w:val="24"/>
        </w:rPr>
        <w:t>) Regulation </w:t>
      </w:r>
      <w:r w:rsidRPr="001428DE">
        <w:rPr>
          <w:i/>
          <w:szCs w:val="24"/>
        </w:rPr>
        <w:t>2016</w:t>
      </w:r>
    </w:p>
    <w:p w:rsidR="00C16836" w:rsidRPr="005D7CFC" w:rsidRDefault="00C16836" w:rsidP="00252F64">
      <w:pPr>
        <w:spacing w:before="0"/>
        <w:ind w:right="40"/>
        <w:rPr>
          <w:szCs w:val="24"/>
        </w:rPr>
      </w:pPr>
    </w:p>
    <w:p w:rsidR="007D20EF" w:rsidRPr="005D7CFC" w:rsidRDefault="007D20EF" w:rsidP="00252F64">
      <w:pPr>
        <w:spacing w:before="0"/>
        <w:rPr>
          <w:szCs w:val="24"/>
        </w:rPr>
      </w:pPr>
      <w:r w:rsidRPr="005D7CFC">
        <w:rPr>
          <w:szCs w:val="24"/>
        </w:rPr>
        <w:t xml:space="preserve">The </w:t>
      </w:r>
      <w:r w:rsidRPr="005D7CFC">
        <w:rPr>
          <w:i/>
          <w:szCs w:val="24"/>
        </w:rPr>
        <w:t>Migration Act 1958</w:t>
      </w:r>
      <w:r w:rsidRPr="005D7CFC">
        <w:rPr>
          <w:szCs w:val="24"/>
        </w:rPr>
        <w:t xml:space="preserve"> (the Migration Act) is an Act relating to the entry into, and presence in, Australia of aliens, and the departure or deportation from Australia of aliens and certain other persons.</w:t>
      </w:r>
    </w:p>
    <w:p w:rsidR="007D20EF" w:rsidRPr="004D77C6" w:rsidRDefault="007D20EF" w:rsidP="00252F64">
      <w:pPr>
        <w:spacing w:before="0"/>
        <w:rPr>
          <w:szCs w:val="24"/>
        </w:rPr>
      </w:pPr>
    </w:p>
    <w:p w:rsidR="00490012" w:rsidRDefault="00490012" w:rsidP="00490012">
      <w:pPr>
        <w:spacing w:before="0"/>
        <w:ind w:right="42"/>
        <w:rPr>
          <w:szCs w:val="24"/>
        </w:rPr>
      </w:pPr>
      <w:r w:rsidRPr="00087615">
        <w:rPr>
          <w:szCs w:val="24"/>
        </w:rPr>
        <w:t xml:space="preserve">Subsection 504(1) of the </w:t>
      </w:r>
      <w:r>
        <w:rPr>
          <w:szCs w:val="24"/>
        </w:rPr>
        <w:t>Migration Act provide</w:t>
      </w:r>
      <w:r w:rsidR="001428DE">
        <w:rPr>
          <w:szCs w:val="24"/>
        </w:rPr>
        <w:t>s</w:t>
      </w:r>
      <w:r>
        <w:rPr>
          <w:szCs w:val="24"/>
        </w:rPr>
        <w:t xml:space="preserve"> that the Governor-General may make regulations prescribing matters required or permitted by the </w:t>
      </w:r>
      <w:r w:rsidR="001428DE">
        <w:rPr>
          <w:szCs w:val="24"/>
        </w:rPr>
        <w:t>Migration</w:t>
      </w:r>
      <w:r>
        <w:rPr>
          <w:szCs w:val="24"/>
        </w:rPr>
        <w:t xml:space="preserve"> Act to be prescri</w:t>
      </w:r>
      <w:r w:rsidR="001428DE">
        <w:rPr>
          <w:szCs w:val="24"/>
        </w:rPr>
        <w:t xml:space="preserve">bed, or necessary or convenient </w:t>
      </w:r>
      <w:r>
        <w:rPr>
          <w:szCs w:val="24"/>
        </w:rPr>
        <w:t>to be prescribed for carrying out or giving effect to the</w:t>
      </w:r>
      <w:r w:rsidR="001428DE">
        <w:rPr>
          <w:szCs w:val="24"/>
        </w:rPr>
        <w:t xml:space="preserve"> Migration Act</w:t>
      </w:r>
      <w:r>
        <w:rPr>
          <w:szCs w:val="24"/>
        </w:rPr>
        <w:t xml:space="preserve">. </w:t>
      </w:r>
    </w:p>
    <w:p w:rsidR="00490012" w:rsidRPr="00B8043A" w:rsidRDefault="00490012" w:rsidP="00490012">
      <w:pPr>
        <w:spacing w:before="0"/>
        <w:ind w:right="42"/>
        <w:rPr>
          <w:szCs w:val="24"/>
        </w:rPr>
      </w:pPr>
    </w:p>
    <w:p w:rsidR="007D20EF" w:rsidRDefault="007D20EF" w:rsidP="00252F64">
      <w:pPr>
        <w:spacing w:before="0"/>
        <w:ind w:right="42"/>
        <w:rPr>
          <w:szCs w:val="24"/>
        </w:rPr>
      </w:pPr>
      <w:r w:rsidRPr="004D77C6">
        <w:rPr>
          <w:szCs w:val="24"/>
        </w:rPr>
        <w:t xml:space="preserve">In addition, regulations may be made pursuant to the provisions of the </w:t>
      </w:r>
      <w:r w:rsidR="001428DE">
        <w:rPr>
          <w:szCs w:val="24"/>
        </w:rPr>
        <w:t>Migration Act</w:t>
      </w:r>
      <w:r w:rsidRPr="004D77C6">
        <w:rPr>
          <w:szCs w:val="24"/>
        </w:rPr>
        <w:t xml:space="preserve"> listed in </w:t>
      </w:r>
      <w:r w:rsidRPr="004D77C6">
        <w:rPr>
          <w:szCs w:val="24"/>
          <w:u w:val="single"/>
        </w:rPr>
        <w:t>Attachment</w:t>
      </w:r>
      <w:r w:rsidR="006B1197" w:rsidRPr="004D77C6">
        <w:rPr>
          <w:szCs w:val="24"/>
          <w:u w:val="single"/>
        </w:rPr>
        <w:t xml:space="preserve"> A</w:t>
      </w:r>
      <w:r w:rsidRPr="004D77C6">
        <w:rPr>
          <w:szCs w:val="24"/>
        </w:rPr>
        <w:t>.</w:t>
      </w:r>
    </w:p>
    <w:p w:rsidR="00490012" w:rsidRDefault="00490012" w:rsidP="00252F64">
      <w:pPr>
        <w:spacing w:before="0"/>
        <w:ind w:right="42"/>
        <w:rPr>
          <w:szCs w:val="24"/>
        </w:rPr>
      </w:pPr>
      <w:r>
        <w:rPr>
          <w:szCs w:val="24"/>
        </w:rPr>
        <w:t xml:space="preserve"> </w:t>
      </w:r>
    </w:p>
    <w:p w:rsidR="00490012" w:rsidRPr="00C920BE" w:rsidRDefault="00490012" w:rsidP="00490012">
      <w:pPr>
        <w:spacing w:before="0"/>
        <w:ind w:right="40"/>
      </w:pPr>
      <w:r w:rsidRPr="00B069C6">
        <w:rPr>
          <w:szCs w:val="24"/>
        </w:rPr>
        <w:t xml:space="preserve">The purpose of the </w:t>
      </w:r>
      <w:r w:rsidRPr="001428DE">
        <w:rPr>
          <w:i/>
          <w:szCs w:val="24"/>
        </w:rPr>
        <w:t xml:space="preserve">Migration Legislation Amendment </w:t>
      </w:r>
      <w:r w:rsidR="004302A6" w:rsidRPr="001428DE">
        <w:rPr>
          <w:i/>
          <w:szCs w:val="24"/>
        </w:rPr>
        <w:t xml:space="preserve">(2016 Measures No. </w:t>
      </w:r>
      <w:r w:rsidR="002A2E96">
        <w:rPr>
          <w:i/>
          <w:szCs w:val="24"/>
        </w:rPr>
        <w:t>5</w:t>
      </w:r>
      <w:r w:rsidRPr="001428DE">
        <w:rPr>
          <w:i/>
          <w:szCs w:val="24"/>
        </w:rPr>
        <w:t>) Regulation 2016</w:t>
      </w:r>
      <w:r w:rsidRPr="00B069C6">
        <w:rPr>
          <w:szCs w:val="24"/>
        </w:rPr>
        <w:t xml:space="preserve"> (the Regulation) is </w:t>
      </w:r>
      <w:r>
        <w:rPr>
          <w:szCs w:val="24"/>
        </w:rPr>
        <w:t xml:space="preserve">to amend the </w:t>
      </w:r>
      <w:r>
        <w:rPr>
          <w:i/>
          <w:szCs w:val="24"/>
        </w:rPr>
        <w:t xml:space="preserve">Migration Regulations 1994 </w:t>
      </w:r>
      <w:r>
        <w:rPr>
          <w:szCs w:val="24"/>
        </w:rPr>
        <w:t>(the Migration Regulations) to strengthen and update immigration</w:t>
      </w:r>
      <w:r w:rsidR="001428DE">
        <w:rPr>
          <w:szCs w:val="24"/>
        </w:rPr>
        <w:t xml:space="preserve"> </w:t>
      </w:r>
      <w:r>
        <w:rPr>
          <w:szCs w:val="24"/>
        </w:rPr>
        <w:t xml:space="preserve">policy. </w:t>
      </w:r>
    </w:p>
    <w:p w:rsidR="00490012" w:rsidRDefault="00490012" w:rsidP="00490012">
      <w:pPr>
        <w:spacing w:before="0"/>
        <w:ind w:right="42"/>
        <w:rPr>
          <w:szCs w:val="24"/>
        </w:rPr>
      </w:pPr>
    </w:p>
    <w:p w:rsidR="00490012" w:rsidRDefault="00490012" w:rsidP="00490012">
      <w:pPr>
        <w:spacing w:before="0"/>
        <w:ind w:right="42"/>
        <w:rPr>
          <w:szCs w:val="24"/>
        </w:rPr>
      </w:pPr>
      <w:r>
        <w:rPr>
          <w:szCs w:val="24"/>
        </w:rPr>
        <w:t>In particular, the Regulation amend</w:t>
      </w:r>
      <w:r w:rsidR="00A76F6F">
        <w:rPr>
          <w:szCs w:val="24"/>
        </w:rPr>
        <w:t>s</w:t>
      </w:r>
      <w:r>
        <w:rPr>
          <w:szCs w:val="24"/>
        </w:rPr>
        <w:t xml:space="preserve"> the Migration </w:t>
      </w:r>
      <w:r w:rsidR="005468EE">
        <w:rPr>
          <w:szCs w:val="24"/>
        </w:rPr>
        <w:t>Regulations to</w:t>
      </w:r>
      <w:r>
        <w:rPr>
          <w:szCs w:val="24"/>
        </w:rPr>
        <w:t>:</w:t>
      </w:r>
    </w:p>
    <w:p w:rsidR="00D72916" w:rsidRDefault="00D72916" w:rsidP="00D72916">
      <w:pPr>
        <w:spacing w:before="0"/>
        <w:ind w:right="42"/>
        <w:rPr>
          <w:szCs w:val="24"/>
        </w:rPr>
      </w:pPr>
    </w:p>
    <w:p w:rsidR="00EB776A" w:rsidRDefault="00EB776A" w:rsidP="008845CB">
      <w:pPr>
        <w:pStyle w:val="ListParagraph"/>
        <w:numPr>
          <w:ilvl w:val="0"/>
          <w:numId w:val="6"/>
        </w:numPr>
        <w:spacing w:before="120"/>
        <w:contextualSpacing/>
      </w:pPr>
      <w:r>
        <w:t>create a new visitor visa stream for frequent travellers which permit</w:t>
      </w:r>
      <w:r w:rsidR="00891DE8">
        <w:t>s</w:t>
      </w:r>
      <w:r>
        <w:t xml:space="preserve"> both tourism and business visitor activities and allow up to 10 years’ validity. This visa stream </w:t>
      </w:r>
      <w:r w:rsidR="00891DE8">
        <w:t>is</w:t>
      </w:r>
      <w:r>
        <w:t xml:space="preserve"> only be available to citizens of certain countries as specified in an instrument;</w:t>
      </w:r>
    </w:p>
    <w:p w:rsidR="00EB776A" w:rsidRDefault="00EB776A" w:rsidP="00EB776A">
      <w:pPr>
        <w:pStyle w:val="ListParagraph"/>
        <w:contextualSpacing/>
      </w:pPr>
    </w:p>
    <w:p w:rsidR="00891DE8" w:rsidRDefault="00A029D1" w:rsidP="00891DE8">
      <w:pPr>
        <w:pStyle w:val="ListParagraph"/>
        <w:numPr>
          <w:ilvl w:val="0"/>
          <w:numId w:val="6"/>
        </w:numPr>
        <w:contextualSpacing/>
      </w:pPr>
      <w:r>
        <w:t>simplify the provisions that enable the Minister</w:t>
      </w:r>
      <w:r w:rsidR="00EB776A">
        <w:t xml:space="preserve"> </w:t>
      </w:r>
      <w:r>
        <w:t xml:space="preserve">to specify </w:t>
      </w:r>
      <w:r w:rsidR="00EB776A">
        <w:t xml:space="preserve"> </w:t>
      </w:r>
      <w:r>
        <w:t xml:space="preserve">matters in a </w:t>
      </w:r>
      <w:r w:rsidR="00EB776A">
        <w:t>legislative instrument in relation to requirements for a valid visa application;</w:t>
      </w:r>
    </w:p>
    <w:p w:rsidR="00891DE8" w:rsidRDefault="00891DE8" w:rsidP="00891DE8">
      <w:pPr>
        <w:pStyle w:val="ListParagraph"/>
        <w:contextualSpacing/>
      </w:pPr>
    </w:p>
    <w:p w:rsidR="00891DE8" w:rsidRDefault="00891DE8" w:rsidP="00891DE8">
      <w:pPr>
        <w:pStyle w:val="ListParagraph"/>
        <w:numPr>
          <w:ilvl w:val="0"/>
          <w:numId w:val="6"/>
        </w:numPr>
        <w:spacing w:before="0"/>
        <w:contextualSpacing/>
      </w:pPr>
      <w:r>
        <w:t>change when certain Bridging visas cease (refer Subclass 010 (Bridging A) visas, Subclass 020 (Bridging B) visas, Subclass 030 (Bridging C) visas, Subclass 050 (Bridging (General)) visas and  Subclass 051 (Bridging (Protection Visa Applicant)) visas. As a result of the amendments, where</w:t>
      </w:r>
      <w:r w:rsidRPr="00A47E16">
        <w:t xml:space="preserve"> </w:t>
      </w:r>
      <w:r>
        <w:t>the cessation of one of these bridging visas was previously triggered by notification of a decision, it will instead be triggered by the decision itself.  This removes uncertainty around whether a bridging visa has ceased where there is defective notification and therefore provide more certainty about a person’s visa status. As an associated measure, the Regulation also extends the period during which the  bridging visas remain in effect once an event which triggers cessation occurs (for example, when a decision is made or an application is w</w:t>
      </w:r>
      <w:r w:rsidR="00C130C7">
        <w:t>ithdrawn). These bridging visas</w:t>
      </w:r>
      <w:r>
        <w:t xml:space="preserve"> now cease: </w:t>
      </w:r>
    </w:p>
    <w:p w:rsidR="00891DE8" w:rsidRDefault="00891DE8" w:rsidP="00891DE8">
      <w:pPr>
        <w:pStyle w:val="ListParagraph"/>
        <w:ind w:left="1440"/>
        <w:contextualSpacing/>
      </w:pPr>
    </w:p>
    <w:p w:rsidR="00891DE8" w:rsidRDefault="00891DE8" w:rsidP="00891DE8">
      <w:pPr>
        <w:pStyle w:val="ListParagraph"/>
        <w:numPr>
          <w:ilvl w:val="1"/>
          <w:numId w:val="6"/>
        </w:numPr>
        <w:contextualSpacing/>
      </w:pPr>
      <w:r>
        <w:t>35 days, rather than 28 days, after the relevant event occurs; or</w:t>
      </w:r>
    </w:p>
    <w:p w:rsidR="00891DE8" w:rsidRDefault="00891DE8" w:rsidP="00891DE8">
      <w:pPr>
        <w:pStyle w:val="ListParagraph"/>
        <w:ind w:left="1440"/>
        <w:contextualSpacing/>
      </w:pPr>
    </w:p>
    <w:p w:rsidR="00891DE8" w:rsidRPr="004A3C55" w:rsidRDefault="00891DE8" w:rsidP="00C130C7">
      <w:pPr>
        <w:pStyle w:val="ListParagraph"/>
        <w:numPr>
          <w:ilvl w:val="1"/>
          <w:numId w:val="6"/>
        </w:numPr>
        <w:contextualSpacing/>
        <w:rPr>
          <w:szCs w:val="24"/>
        </w:rPr>
      </w:pPr>
      <w:r>
        <w:t>14 working days, rather than 7 working days, after the relevant event occurs</w:t>
      </w:r>
      <w:r w:rsidR="00C130C7">
        <w:t>.</w:t>
      </w:r>
      <w:r w:rsidR="00C130C7" w:rsidRPr="004A3C55">
        <w:rPr>
          <w:szCs w:val="24"/>
        </w:rPr>
        <w:t xml:space="preserve"> </w:t>
      </w:r>
    </w:p>
    <w:p w:rsidR="002A2E96" w:rsidRPr="002A2E96" w:rsidRDefault="002A2E96" w:rsidP="002A2E96">
      <w:pPr>
        <w:spacing w:before="0"/>
        <w:ind w:right="42"/>
        <w:rPr>
          <w:szCs w:val="24"/>
          <w:highlight w:val="yellow"/>
        </w:rPr>
      </w:pPr>
    </w:p>
    <w:p w:rsidR="00B37BDF" w:rsidRDefault="00B37BDF" w:rsidP="00252F64">
      <w:pPr>
        <w:spacing w:before="0"/>
        <w:ind w:right="42"/>
        <w:rPr>
          <w:szCs w:val="24"/>
        </w:rPr>
      </w:pPr>
      <w:r w:rsidRPr="00F42887">
        <w:rPr>
          <w:szCs w:val="24"/>
        </w:rPr>
        <w:lastRenderedPageBreak/>
        <w:t>A Statement of Compatibility with Human Rights (the Statement) has been c</w:t>
      </w:r>
      <w:r w:rsidRPr="003A3872">
        <w:rPr>
          <w:szCs w:val="24"/>
        </w:rPr>
        <w:t xml:space="preserve">ompleted in accordance with the </w:t>
      </w:r>
      <w:r w:rsidRPr="00BC2C9B">
        <w:rPr>
          <w:i/>
          <w:iCs/>
          <w:szCs w:val="24"/>
        </w:rPr>
        <w:t>Human Rights (Parliamentary Scrutiny) Act 2011</w:t>
      </w:r>
      <w:r w:rsidRPr="00BC2C9B">
        <w:rPr>
          <w:szCs w:val="24"/>
        </w:rPr>
        <w:t>. The overall</w:t>
      </w:r>
      <w:r w:rsidRPr="004D77C6">
        <w:rPr>
          <w:szCs w:val="24"/>
        </w:rPr>
        <w:t xml:space="preserve"> assessment is that the Regulation is compatible with human rig</w:t>
      </w:r>
      <w:r w:rsidR="00EA2117" w:rsidRPr="004D77C6">
        <w:rPr>
          <w:szCs w:val="24"/>
        </w:rPr>
        <w:t>hts. A copy of the Statement is </w:t>
      </w:r>
      <w:r w:rsidRPr="004D77C6">
        <w:rPr>
          <w:szCs w:val="24"/>
        </w:rPr>
        <w:t xml:space="preserve">at </w:t>
      </w:r>
      <w:r w:rsidRPr="004D77C6">
        <w:rPr>
          <w:szCs w:val="24"/>
          <w:u w:val="single"/>
        </w:rPr>
        <w:t>Attachment B</w:t>
      </w:r>
      <w:r w:rsidRPr="004D77C6">
        <w:rPr>
          <w:szCs w:val="24"/>
        </w:rPr>
        <w:t>.</w:t>
      </w:r>
    </w:p>
    <w:p w:rsidR="001C719A" w:rsidRDefault="001C719A" w:rsidP="00252F64">
      <w:pPr>
        <w:spacing w:before="0"/>
        <w:ind w:right="42"/>
        <w:rPr>
          <w:szCs w:val="24"/>
        </w:rPr>
      </w:pPr>
    </w:p>
    <w:p w:rsidR="001C719A" w:rsidRPr="005D7CFC" w:rsidRDefault="001C719A" w:rsidP="00252F64">
      <w:pPr>
        <w:spacing w:before="0"/>
      </w:pPr>
      <w:r w:rsidRPr="005D7CFC">
        <w:t xml:space="preserve">The </w:t>
      </w:r>
      <w:r w:rsidR="00FF61CE">
        <w:t xml:space="preserve">Migration </w:t>
      </w:r>
      <w:r w:rsidRPr="005D7CFC">
        <w:t xml:space="preserve">Act specifies no conditions that need to be satisfied before the power to make the Regulation may be exercised. </w:t>
      </w:r>
    </w:p>
    <w:p w:rsidR="001C719A" w:rsidRPr="005D7CFC" w:rsidRDefault="001C719A" w:rsidP="00252F64">
      <w:pPr>
        <w:spacing w:before="0"/>
        <w:jc w:val="both"/>
      </w:pPr>
    </w:p>
    <w:p w:rsidR="001C719A" w:rsidRPr="005D7CFC" w:rsidRDefault="001C719A" w:rsidP="00252F64">
      <w:pPr>
        <w:spacing w:before="0"/>
        <w:jc w:val="both"/>
      </w:pPr>
      <w:r w:rsidRPr="005D7CFC">
        <w:t xml:space="preserve">Details of the Regulation are set out in </w:t>
      </w:r>
      <w:r w:rsidRPr="005D7CFC">
        <w:rPr>
          <w:u w:val="single"/>
        </w:rPr>
        <w:t xml:space="preserve">Attachment </w:t>
      </w:r>
      <w:r>
        <w:rPr>
          <w:u w:val="single"/>
        </w:rPr>
        <w:t>C</w:t>
      </w:r>
      <w:r w:rsidRPr="005D7CFC">
        <w:t xml:space="preserve">. </w:t>
      </w:r>
    </w:p>
    <w:p w:rsidR="001C719A" w:rsidRPr="005D7CFC" w:rsidRDefault="001C719A" w:rsidP="00252F64">
      <w:pPr>
        <w:spacing w:before="0"/>
        <w:jc w:val="both"/>
      </w:pPr>
    </w:p>
    <w:p w:rsidR="001C719A" w:rsidRPr="00E225B5" w:rsidRDefault="001C719A" w:rsidP="00252F64">
      <w:pPr>
        <w:tabs>
          <w:tab w:val="left" w:pos="6521"/>
        </w:tabs>
        <w:spacing w:before="0"/>
        <w:ind w:right="521"/>
        <w:rPr>
          <w:szCs w:val="24"/>
        </w:rPr>
      </w:pPr>
      <w:r w:rsidRPr="005D7CFC">
        <w:rPr>
          <w:szCs w:val="24"/>
        </w:rPr>
        <w:t xml:space="preserve">The Regulation is a legislative instrument for the purposes of </w:t>
      </w:r>
      <w:r w:rsidRPr="00E225B5">
        <w:rPr>
          <w:szCs w:val="24"/>
        </w:rPr>
        <w:t xml:space="preserve">the </w:t>
      </w:r>
      <w:r w:rsidRPr="00E225B5">
        <w:rPr>
          <w:i/>
          <w:szCs w:val="24"/>
        </w:rPr>
        <w:t>Legislation Act 2003</w:t>
      </w:r>
      <w:r w:rsidRPr="00E225B5">
        <w:rPr>
          <w:szCs w:val="24"/>
        </w:rPr>
        <w:t>.</w:t>
      </w:r>
    </w:p>
    <w:p w:rsidR="003A340C" w:rsidRPr="00E225B5" w:rsidRDefault="003A340C" w:rsidP="003A340C">
      <w:pPr>
        <w:tabs>
          <w:tab w:val="left" w:pos="6521"/>
        </w:tabs>
        <w:spacing w:before="0"/>
        <w:ind w:right="521"/>
        <w:rPr>
          <w:szCs w:val="24"/>
        </w:rPr>
      </w:pPr>
    </w:p>
    <w:p w:rsidR="003A340C" w:rsidRDefault="004302A6" w:rsidP="004302A6">
      <w:pPr>
        <w:tabs>
          <w:tab w:val="left" w:pos="6521"/>
        </w:tabs>
        <w:spacing w:before="0"/>
        <w:ind w:right="521"/>
        <w:rPr>
          <w:szCs w:val="24"/>
        </w:rPr>
      </w:pPr>
      <w:r w:rsidRPr="00D72916">
        <w:rPr>
          <w:szCs w:val="24"/>
        </w:rPr>
        <w:t xml:space="preserve">The Regulation commences on </w:t>
      </w:r>
      <w:r w:rsidR="00D72916" w:rsidRPr="00D72916">
        <w:rPr>
          <w:szCs w:val="24"/>
        </w:rPr>
        <w:t>19</w:t>
      </w:r>
      <w:r w:rsidRPr="00D72916">
        <w:rPr>
          <w:szCs w:val="24"/>
        </w:rPr>
        <w:t xml:space="preserve"> November 2016.</w:t>
      </w:r>
    </w:p>
    <w:p w:rsidR="003A340C" w:rsidRDefault="003A340C" w:rsidP="003A340C">
      <w:pPr>
        <w:spacing w:before="0"/>
        <w:ind w:right="42"/>
        <w:rPr>
          <w:szCs w:val="24"/>
        </w:rPr>
      </w:pPr>
    </w:p>
    <w:p w:rsidR="009A063E" w:rsidRPr="009A063E" w:rsidRDefault="009A063E" w:rsidP="00252F64">
      <w:pPr>
        <w:spacing w:before="0"/>
        <w:ind w:right="42"/>
        <w:rPr>
          <w:szCs w:val="24"/>
        </w:rPr>
      </w:pPr>
      <w:r w:rsidRPr="009A063E">
        <w:rPr>
          <w:szCs w:val="24"/>
        </w:rPr>
        <w:t xml:space="preserve">The Office of Best Practice Regulation (the OBPR) has been consulted </w:t>
      </w:r>
      <w:r w:rsidR="001E3F99">
        <w:rPr>
          <w:szCs w:val="24"/>
        </w:rPr>
        <w:t>regarding</w:t>
      </w:r>
      <w:r w:rsidRPr="009A063E">
        <w:rPr>
          <w:szCs w:val="24"/>
        </w:rPr>
        <w:t xml:space="preserve"> the amendments made by the Regulation. The OBPR considers that the changes</w:t>
      </w:r>
      <w:r w:rsidR="00AB592E">
        <w:rPr>
          <w:szCs w:val="24"/>
        </w:rPr>
        <w:t xml:space="preserve"> in </w:t>
      </w:r>
      <w:r w:rsidR="00E12D3A">
        <w:rPr>
          <w:szCs w:val="24"/>
        </w:rPr>
        <w:t xml:space="preserve">the Regulation </w:t>
      </w:r>
      <w:r>
        <w:rPr>
          <w:szCs w:val="24"/>
        </w:rPr>
        <w:t xml:space="preserve">will not have a </w:t>
      </w:r>
      <w:r w:rsidR="0065557D">
        <w:rPr>
          <w:szCs w:val="24"/>
        </w:rPr>
        <w:t xml:space="preserve">significant </w:t>
      </w:r>
      <w:r>
        <w:rPr>
          <w:szCs w:val="24"/>
        </w:rPr>
        <w:t xml:space="preserve">regulatory impact </w:t>
      </w:r>
      <w:r w:rsidRPr="009A063E">
        <w:rPr>
          <w:szCs w:val="24"/>
        </w:rPr>
        <w:t>on business</w:t>
      </w:r>
      <w:r w:rsidR="00010BCA">
        <w:rPr>
          <w:szCs w:val="24"/>
        </w:rPr>
        <w:t>es</w:t>
      </w:r>
      <w:r w:rsidR="00010BCA">
        <w:t>, individuals or community organisations</w:t>
      </w:r>
      <w:r w:rsidRPr="009A063E">
        <w:rPr>
          <w:szCs w:val="24"/>
        </w:rPr>
        <w:t xml:space="preserve"> </w:t>
      </w:r>
      <w:r>
        <w:rPr>
          <w:szCs w:val="24"/>
        </w:rPr>
        <w:t xml:space="preserve">and </w:t>
      </w:r>
      <w:r w:rsidRPr="009A063E">
        <w:rPr>
          <w:szCs w:val="24"/>
        </w:rPr>
        <w:t xml:space="preserve">no further analysis (in </w:t>
      </w:r>
      <w:r w:rsidRPr="009A063E">
        <w:rPr>
          <w:color w:val="000000"/>
          <w:szCs w:val="24"/>
        </w:rPr>
        <w:t>the form o</w:t>
      </w:r>
      <w:r w:rsidR="00D72916">
        <w:rPr>
          <w:color w:val="000000"/>
          <w:szCs w:val="24"/>
        </w:rPr>
        <w:t>f a Regulation Impact Statement</w:t>
      </w:r>
      <w:r w:rsidRPr="009A063E">
        <w:rPr>
          <w:color w:val="000000"/>
          <w:szCs w:val="24"/>
        </w:rPr>
        <w:t xml:space="preserve">) is required. </w:t>
      </w:r>
      <w:r w:rsidRPr="009A063E">
        <w:rPr>
          <w:szCs w:val="24"/>
        </w:rPr>
        <w:t>The OBPR consultation references are as follows:</w:t>
      </w:r>
    </w:p>
    <w:p w:rsidR="00AB592E" w:rsidRPr="00131C43" w:rsidRDefault="00131C43" w:rsidP="008845CB">
      <w:pPr>
        <w:pStyle w:val="ListParagraph"/>
        <w:numPr>
          <w:ilvl w:val="0"/>
          <w:numId w:val="3"/>
        </w:numPr>
        <w:spacing w:before="100" w:beforeAutospacing="1" w:after="100" w:afterAutospacing="1"/>
        <w:rPr>
          <w:sz w:val="14"/>
          <w:szCs w:val="14"/>
        </w:rPr>
      </w:pPr>
      <w:r w:rsidRPr="00131C43">
        <w:t>19030</w:t>
      </w:r>
      <w:r w:rsidR="00E12D3A" w:rsidRPr="00131C43">
        <w:t xml:space="preserve"> </w:t>
      </w:r>
      <w:r w:rsidR="00AB592E" w:rsidRPr="00131C43">
        <w:t>(Schedule 1);</w:t>
      </w:r>
      <w:r w:rsidR="00C32959" w:rsidRPr="00131C43">
        <w:t xml:space="preserve"> and</w:t>
      </w:r>
    </w:p>
    <w:p w:rsidR="00C8268E" w:rsidRPr="00131C43" w:rsidRDefault="00131C43" w:rsidP="008845CB">
      <w:pPr>
        <w:pStyle w:val="ListParagraph"/>
        <w:numPr>
          <w:ilvl w:val="0"/>
          <w:numId w:val="3"/>
        </w:numPr>
        <w:spacing w:before="100" w:beforeAutospacing="1" w:after="100" w:afterAutospacing="1"/>
        <w:rPr>
          <w:szCs w:val="24"/>
        </w:rPr>
      </w:pPr>
      <w:r w:rsidRPr="00131C43">
        <w:t>20613</w:t>
      </w:r>
      <w:r w:rsidR="004302A6" w:rsidRPr="00131C43">
        <w:rPr>
          <w:szCs w:val="24"/>
        </w:rPr>
        <w:t xml:space="preserve"> </w:t>
      </w:r>
      <w:r>
        <w:rPr>
          <w:szCs w:val="24"/>
        </w:rPr>
        <w:t>(Schedule 2).</w:t>
      </w:r>
    </w:p>
    <w:p w:rsidR="00131C43" w:rsidRPr="00407E9C" w:rsidRDefault="00131C43" w:rsidP="00131C43">
      <w:pPr>
        <w:tabs>
          <w:tab w:val="left" w:pos="6521"/>
        </w:tabs>
        <w:spacing w:before="0"/>
        <w:ind w:right="91"/>
        <w:rPr>
          <w:lang w:val="en"/>
        </w:rPr>
      </w:pPr>
      <w:r>
        <w:rPr>
          <w:szCs w:val="24"/>
        </w:rPr>
        <w:t>Regarding</w:t>
      </w:r>
      <w:r w:rsidR="00C8268E" w:rsidRPr="00131C43">
        <w:rPr>
          <w:szCs w:val="24"/>
        </w:rPr>
        <w:t xml:space="preserve"> the amendments made by Schedule 1, </w:t>
      </w:r>
      <w:r>
        <w:rPr>
          <w:lang w:val="en"/>
        </w:rPr>
        <w:t xml:space="preserve">consultation was conducted </w:t>
      </w:r>
      <w:r w:rsidRPr="00131C43">
        <w:rPr>
          <w:lang w:val="en"/>
        </w:rPr>
        <w:t>with</w:t>
      </w:r>
      <w:r>
        <w:rPr>
          <w:lang w:val="en"/>
        </w:rPr>
        <w:t xml:space="preserve"> tourism industry stakeholders in relation to these changes through the Tourism Visa Advisory Group.</w:t>
      </w:r>
    </w:p>
    <w:p w:rsidR="00131C43" w:rsidRDefault="00A22009" w:rsidP="00131C43">
      <w:r w:rsidRPr="00131C43">
        <w:rPr>
          <w:szCs w:val="24"/>
        </w:rPr>
        <w:t xml:space="preserve">Regarding </w:t>
      </w:r>
      <w:r w:rsidR="00D4244B" w:rsidRPr="00131C43">
        <w:rPr>
          <w:szCs w:val="24"/>
        </w:rPr>
        <w:t xml:space="preserve">the amendments made by Schedule 2, </w:t>
      </w:r>
      <w:r w:rsidR="00977BA9" w:rsidRPr="00131C43">
        <w:rPr>
          <w:szCs w:val="24"/>
        </w:rPr>
        <w:t xml:space="preserve">no consultation was undertaken under section 17 of the </w:t>
      </w:r>
      <w:r w:rsidR="00977BA9" w:rsidRPr="00977BA9">
        <w:rPr>
          <w:i/>
          <w:szCs w:val="24"/>
        </w:rPr>
        <w:t>Legislation Act</w:t>
      </w:r>
      <w:r w:rsidR="00977BA9">
        <w:rPr>
          <w:szCs w:val="24"/>
        </w:rPr>
        <w:t xml:space="preserve"> </w:t>
      </w:r>
      <w:r w:rsidR="00977BA9" w:rsidRPr="00977BA9">
        <w:rPr>
          <w:i/>
          <w:szCs w:val="24"/>
        </w:rPr>
        <w:t>2003</w:t>
      </w:r>
      <w:r w:rsidR="00977BA9">
        <w:rPr>
          <w:szCs w:val="24"/>
        </w:rPr>
        <w:t>. The amendments</w:t>
      </w:r>
      <w:r w:rsidR="005112C0" w:rsidRPr="00131C43">
        <w:rPr>
          <w:szCs w:val="24"/>
        </w:rPr>
        <w:t xml:space="preserve"> </w:t>
      </w:r>
      <w:r w:rsidR="00131C43" w:rsidRPr="00131C43">
        <w:rPr>
          <w:szCs w:val="24"/>
        </w:rPr>
        <w:t>are designed to provide greater certainty about when certain bridging visas cease to be in effect by linking cessation to the making of a</w:t>
      </w:r>
      <w:r w:rsidR="00131C43">
        <w:t xml:space="preserve"> decision, rather than to notification of that decision. In addition, the amendments extend the time during which a bridging visa remains in effect once the relevant decision has been made. This change is intended to ensure that bridging visa holders are not disadvantaged by the fact that cessation will now be linked to the decision, rather than the subsequent notification of that decision. Bridging visa holders will be advised of the ceasing arrangements for their visa when they are notified of the grant of their bridging visa. In light of the above, further consultation was not considered necessary or appropriate.</w:t>
      </w:r>
      <w:r w:rsidR="00131C43" w:rsidRPr="00131C43">
        <w:rPr>
          <w:szCs w:val="24"/>
        </w:rPr>
        <w:t xml:space="preserve"> This accords with subsection 17(1) of the </w:t>
      </w:r>
      <w:r w:rsidR="00131C43" w:rsidRPr="00131C43">
        <w:rPr>
          <w:i/>
          <w:szCs w:val="24"/>
        </w:rPr>
        <w:t>Legislation Act 2003</w:t>
      </w:r>
      <w:r w:rsidR="00131C43" w:rsidRPr="00131C43">
        <w:rPr>
          <w:szCs w:val="24"/>
        </w:rPr>
        <w:t xml:space="preserve"> which envisages consultations where appropriate and reasonably practicable.</w:t>
      </w:r>
    </w:p>
    <w:p w:rsidR="00B43B2B" w:rsidRPr="00131C43" w:rsidRDefault="00B43B2B" w:rsidP="00131C43">
      <w:pPr>
        <w:tabs>
          <w:tab w:val="left" w:pos="6521"/>
        </w:tabs>
        <w:spacing w:before="0"/>
        <w:ind w:right="91"/>
        <w:rPr>
          <w:lang w:val="en"/>
        </w:rPr>
      </w:pPr>
    </w:p>
    <w:p w:rsidR="00D4244B" w:rsidRPr="00775D9B" w:rsidRDefault="00D4244B" w:rsidP="003A340C">
      <w:pPr>
        <w:tabs>
          <w:tab w:val="left" w:pos="6521"/>
        </w:tabs>
        <w:spacing w:before="0"/>
        <w:ind w:right="521"/>
        <w:rPr>
          <w:szCs w:val="24"/>
          <w:highlight w:val="yellow"/>
        </w:rPr>
      </w:pPr>
    </w:p>
    <w:p w:rsidR="00BE4093" w:rsidRDefault="00BE4093" w:rsidP="00A054DE">
      <w:pPr>
        <w:tabs>
          <w:tab w:val="left" w:pos="6521"/>
        </w:tabs>
        <w:spacing w:before="0"/>
        <w:ind w:right="521"/>
        <w:rPr>
          <w:szCs w:val="24"/>
          <w:highlight w:val="yellow"/>
        </w:rPr>
      </w:pPr>
    </w:p>
    <w:p w:rsidR="004D2A58" w:rsidRDefault="004D2A58">
      <w:pPr>
        <w:spacing w:before="0"/>
        <w:rPr>
          <w:b/>
          <w:szCs w:val="24"/>
          <w:u w:val="single"/>
        </w:rPr>
      </w:pPr>
      <w:r>
        <w:rPr>
          <w:b/>
          <w:szCs w:val="24"/>
          <w:u w:val="single"/>
        </w:rPr>
        <w:br w:type="page"/>
      </w:r>
    </w:p>
    <w:p w:rsidR="007D20EF" w:rsidRPr="005D7CFC" w:rsidRDefault="007D20EF" w:rsidP="00252F64">
      <w:pPr>
        <w:spacing w:before="0"/>
        <w:ind w:right="42"/>
        <w:jc w:val="right"/>
        <w:rPr>
          <w:szCs w:val="24"/>
          <w:u w:val="single"/>
        </w:rPr>
      </w:pPr>
      <w:r w:rsidRPr="005D7CFC">
        <w:rPr>
          <w:b/>
          <w:szCs w:val="24"/>
          <w:u w:val="single"/>
        </w:rPr>
        <w:lastRenderedPageBreak/>
        <w:t>ATTACHMENT</w:t>
      </w:r>
      <w:r w:rsidR="001E6AC4" w:rsidRPr="005D7CFC">
        <w:rPr>
          <w:b/>
          <w:szCs w:val="24"/>
          <w:u w:val="single"/>
        </w:rPr>
        <w:t xml:space="preserve"> A</w:t>
      </w:r>
    </w:p>
    <w:p w:rsidR="007D20EF" w:rsidRPr="005D7CFC" w:rsidRDefault="007D20EF" w:rsidP="00252F64">
      <w:pPr>
        <w:tabs>
          <w:tab w:val="left" w:pos="435"/>
        </w:tabs>
        <w:spacing w:before="0"/>
        <w:ind w:right="42"/>
        <w:rPr>
          <w:szCs w:val="24"/>
        </w:rPr>
      </w:pPr>
    </w:p>
    <w:p w:rsidR="007D20EF" w:rsidRPr="005D7CFC" w:rsidRDefault="007D20EF" w:rsidP="00252F64">
      <w:pPr>
        <w:tabs>
          <w:tab w:val="left" w:pos="435"/>
        </w:tabs>
        <w:spacing w:before="0"/>
        <w:ind w:right="42"/>
        <w:jc w:val="center"/>
        <w:rPr>
          <w:b/>
          <w:szCs w:val="24"/>
        </w:rPr>
      </w:pPr>
      <w:r w:rsidRPr="005D7CFC">
        <w:rPr>
          <w:b/>
          <w:szCs w:val="24"/>
        </w:rPr>
        <w:t>AUTHORISING PROVISIONS</w:t>
      </w:r>
    </w:p>
    <w:p w:rsidR="007D20EF" w:rsidRPr="005D7CFC" w:rsidRDefault="007D20EF" w:rsidP="00252F64">
      <w:pPr>
        <w:tabs>
          <w:tab w:val="left" w:pos="435"/>
        </w:tabs>
        <w:spacing w:before="0"/>
        <w:ind w:right="42"/>
        <w:rPr>
          <w:szCs w:val="24"/>
        </w:rPr>
      </w:pPr>
    </w:p>
    <w:p w:rsidR="00440C24" w:rsidRDefault="007D20EF" w:rsidP="00252F64">
      <w:pPr>
        <w:spacing w:before="0"/>
        <w:ind w:right="42"/>
        <w:rPr>
          <w:szCs w:val="24"/>
        </w:rPr>
      </w:pPr>
      <w:r w:rsidRPr="005D7CFC">
        <w:rPr>
          <w:szCs w:val="24"/>
        </w:rPr>
        <w:t xml:space="preserve">Subsection 504(1) of the </w:t>
      </w:r>
      <w:r w:rsidRPr="005D7CFC">
        <w:rPr>
          <w:i/>
          <w:szCs w:val="24"/>
        </w:rPr>
        <w:t>Migration Act 1958</w:t>
      </w:r>
      <w:r w:rsidRPr="005D7CFC">
        <w:rPr>
          <w:szCs w:val="24"/>
        </w:rPr>
        <w:t xml:space="preserve"> (the Migration Act) relevantly provides that the Governor</w:t>
      </w:r>
      <w:r w:rsidRPr="005D7CFC">
        <w:rPr>
          <w:szCs w:val="24"/>
        </w:rPr>
        <w:noBreakHyphen/>
        <w:t>General may make regulations, not inconsistent with the Migration Act, prescribing all matters which by the Migration Act are required or permitted to be prescribed or which are necessary or convenient to be prescribed for carrying out or giving effect to the Migration Act.</w:t>
      </w:r>
      <w:r w:rsidR="006A2F2C" w:rsidRPr="006A2F2C">
        <w:rPr>
          <w:szCs w:val="24"/>
        </w:rPr>
        <w:t xml:space="preserve"> </w:t>
      </w:r>
    </w:p>
    <w:p w:rsidR="00AE2653" w:rsidRDefault="00AE2653" w:rsidP="00252F64">
      <w:pPr>
        <w:spacing w:before="0"/>
        <w:ind w:right="42"/>
        <w:rPr>
          <w:szCs w:val="24"/>
        </w:rPr>
      </w:pPr>
    </w:p>
    <w:p w:rsidR="00C25AD3" w:rsidRDefault="00C25AD3" w:rsidP="00C25AD3">
      <w:pPr>
        <w:spacing w:before="0"/>
        <w:ind w:right="43"/>
        <w:rPr>
          <w:szCs w:val="24"/>
        </w:rPr>
      </w:pPr>
      <w:r w:rsidRPr="00F2282D">
        <w:rPr>
          <w:szCs w:val="24"/>
        </w:rPr>
        <w:t>In ad</w:t>
      </w:r>
      <w:r>
        <w:rPr>
          <w:szCs w:val="24"/>
        </w:rPr>
        <w:t>dition, the following provisions</w:t>
      </w:r>
      <w:r w:rsidRPr="00F2282D">
        <w:rPr>
          <w:szCs w:val="24"/>
        </w:rPr>
        <w:t xml:space="preserve"> of the Migration Act may apply:</w:t>
      </w:r>
    </w:p>
    <w:p w:rsidR="00C25AD3" w:rsidRDefault="00C25AD3" w:rsidP="00C25AD3">
      <w:pPr>
        <w:tabs>
          <w:tab w:val="left" w:pos="435"/>
        </w:tabs>
        <w:spacing w:before="0"/>
        <w:ind w:right="42"/>
        <w:rPr>
          <w:color w:val="000000"/>
        </w:rPr>
      </w:pPr>
    </w:p>
    <w:p w:rsidR="00EB776A" w:rsidRDefault="00EB776A" w:rsidP="008845CB">
      <w:pPr>
        <w:numPr>
          <w:ilvl w:val="0"/>
          <w:numId w:val="6"/>
        </w:numPr>
        <w:tabs>
          <w:tab w:val="left" w:pos="345"/>
        </w:tabs>
        <w:spacing w:before="0"/>
        <w:ind w:right="237"/>
      </w:pPr>
      <w:r w:rsidRPr="00211909">
        <w:t xml:space="preserve">subsection 31(3), which provides that the </w:t>
      </w:r>
      <w:r w:rsidRPr="00D61FDE">
        <w:rPr>
          <w:i/>
        </w:rPr>
        <w:t>Migration Regulation</w:t>
      </w:r>
      <w:r w:rsidRPr="004202EE">
        <w:rPr>
          <w:i/>
        </w:rPr>
        <w:t>s</w:t>
      </w:r>
      <w:r w:rsidRPr="00D61FDE">
        <w:t> </w:t>
      </w:r>
      <w:r w:rsidRPr="00D61FDE">
        <w:rPr>
          <w:i/>
        </w:rPr>
        <w:t>1994</w:t>
      </w:r>
      <w:r w:rsidRPr="00D61FDE">
        <w:t xml:space="preserve"> (the Migration Regulations)</w:t>
      </w:r>
      <w:r>
        <w:t xml:space="preserve"> </w:t>
      </w:r>
      <w:r w:rsidRPr="00211909">
        <w:t>may prescribe criteria for a visa or visas of a specified class (which, without limiting the generality of this subsection, may be a class provided for by section 32, 3</w:t>
      </w:r>
      <w:r>
        <w:t>5A</w:t>
      </w:r>
      <w:r w:rsidRPr="00211909">
        <w:t>, 37, 37A or 38B but not by section 33, 34, 35, 38 or 38A)</w:t>
      </w:r>
      <w:r>
        <w:t>;</w:t>
      </w:r>
    </w:p>
    <w:p w:rsidR="00EB776A" w:rsidRDefault="00EB776A" w:rsidP="00EB776A">
      <w:pPr>
        <w:tabs>
          <w:tab w:val="left" w:pos="345"/>
        </w:tabs>
        <w:spacing w:before="0"/>
        <w:ind w:left="720" w:right="43"/>
        <w:rPr>
          <w:szCs w:val="24"/>
          <w:highlight w:val="yellow"/>
        </w:rPr>
      </w:pPr>
    </w:p>
    <w:p w:rsidR="00EB776A" w:rsidRPr="00780FB0" w:rsidRDefault="00EB776A" w:rsidP="008845CB">
      <w:pPr>
        <w:numPr>
          <w:ilvl w:val="0"/>
          <w:numId w:val="4"/>
        </w:numPr>
        <w:tabs>
          <w:tab w:val="left" w:pos="345"/>
        </w:tabs>
        <w:spacing w:before="0"/>
        <w:ind w:right="237"/>
      </w:pPr>
      <w:r>
        <w:t>subsection 31(4), which provides that the regulations may prescribe whether visas of a class are visas to travel to and enter Australia, or to remain in Australia, or both;</w:t>
      </w:r>
      <w:r w:rsidRPr="00780FB0">
        <w:rPr>
          <w:szCs w:val="24"/>
          <w:highlight w:val="yellow"/>
        </w:rPr>
        <w:br/>
      </w:r>
    </w:p>
    <w:p w:rsidR="00EB776A" w:rsidRPr="008C604F" w:rsidRDefault="00EB776A" w:rsidP="008845CB">
      <w:pPr>
        <w:numPr>
          <w:ilvl w:val="0"/>
          <w:numId w:val="4"/>
        </w:numPr>
        <w:tabs>
          <w:tab w:val="left" w:pos="345"/>
        </w:tabs>
        <w:spacing w:before="0"/>
        <w:ind w:right="43"/>
        <w:rPr>
          <w:szCs w:val="24"/>
        </w:rPr>
      </w:pPr>
      <w:r w:rsidRPr="008C604F">
        <w:rPr>
          <w:szCs w:val="24"/>
        </w:rPr>
        <w:t>subsection 40(1), which provides that the regulations may provide that visas or visas of a specified class may only be granted in specified circumstances;</w:t>
      </w:r>
    </w:p>
    <w:p w:rsidR="00EB776A" w:rsidRPr="008C604F" w:rsidRDefault="00EB776A" w:rsidP="00EB776A">
      <w:pPr>
        <w:tabs>
          <w:tab w:val="left" w:pos="345"/>
        </w:tabs>
        <w:spacing w:before="0"/>
        <w:ind w:left="720" w:right="43"/>
        <w:rPr>
          <w:szCs w:val="24"/>
        </w:rPr>
      </w:pPr>
    </w:p>
    <w:p w:rsidR="00EB776A" w:rsidRPr="008C604F" w:rsidRDefault="00EB776A" w:rsidP="008845CB">
      <w:pPr>
        <w:numPr>
          <w:ilvl w:val="0"/>
          <w:numId w:val="4"/>
        </w:numPr>
        <w:tabs>
          <w:tab w:val="left" w:pos="345"/>
        </w:tabs>
        <w:spacing w:before="0"/>
        <w:ind w:right="43"/>
        <w:rPr>
          <w:szCs w:val="24"/>
        </w:rPr>
      </w:pPr>
      <w:r w:rsidRPr="008C604F">
        <w:rPr>
          <w:szCs w:val="24"/>
        </w:rPr>
        <w:t>subsection 41(1), which provides that the regulations may provide that visas, or visas of a specified class, are subject to specified conditions;</w:t>
      </w:r>
    </w:p>
    <w:p w:rsidR="00EB776A" w:rsidRPr="00695632" w:rsidRDefault="00EB776A" w:rsidP="00EB776A">
      <w:pPr>
        <w:tabs>
          <w:tab w:val="left" w:pos="345"/>
        </w:tabs>
        <w:spacing w:before="0"/>
        <w:ind w:left="720" w:right="43"/>
        <w:rPr>
          <w:szCs w:val="24"/>
          <w:highlight w:val="yellow"/>
        </w:rPr>
      </w:pPr>
    </w:p>
    <w:p w:rsidR="00EB776A" w:rsidRPr="00970F91" w:rsidRDefault="00EB776A" w:rsidP="008845CB">
      <w:pPr>
        <w:pStyle w:val="ListParagraph"/>
        <w:numPr>
          <w:ilvl w:val="0"/>
          <w:numId w:val="4"/>
        </w:numPr>
        <w:tabs>
          <w:tab w:val="left" w:pos="345"/>
        </w:tabs>
        <w:spacing w:before="0"/>
        <w:ind w:right="91"/>
        <w:rPr>
          <w:szCs w:val="24"/>
        </w:rPr>
      </w:pPr>
      <w:r w:rsidRPr="00970F91">
        <w:rPr>
          <w:szCs w:val="24"/>
        </w:rPr>
        <w:t>subsection 46(1), which relevantly provides that, subject to subsections 46(1A), (2) and (2A), an application for a visa is valid if, and only if:</w:t>
      </w:r>
    </w:p>
    <w:p w:rsidR="00EB776A" w:rsidRPr="00970F91" w:rsidRDefault="00EB776A" w:rsidP="008845CB">
      <w:pPr>
        <w:numPr>
          <w:ilvl w:val="1"/>
          <w:numId w:val="4"/>
        </w:numPr>
        <w:tabs>
          <w:tab w:val="left" w:pos="345"/>
        </w:tabs>
        <w:spacing w:before="0"/>
        <w:ind w:right="91"/>
        <w:rPr>
          <w:szCs w:val="24"/>
        </w:rPr>
      </w:pPr>
      <w:r w:rsidRPr="00970F91">
        <w:rPr>
          <w:szCs w:val="24"/>
        </w:rPr>
        <w:t>it is for a visa of a class specified in the application; and</w:t>
      </w:r>
    </w:p>
    <w:p w:rsidR="00EB776A" w:rsidRPr="00970F91" w:rsidRDefault="00EB776A" w:rsidP="008845CB">
      <w:pPr>
        <w:numPr>
          <w:ilvl w:val="1"/>
          <w:numId w:val="4"/>
        </w:numPr>
        <w:tabs>
          <w:tab w:val="left" w:pos="345"/>
        </w:tabs>
        <w:spacing w:before="0"/>
        <w:ind w:right="91"/>
        <w:rPr>
          <w:szCs w:val="24"/>
        </w:rPr>
      </w:pPr>
      <w:r w:rsidRPr="00970F91">
        <w:rPr>
          <w:szCs w:val="24"/>
        </w:rPr>
        <w:t>it satisfies the criteria and requirements prescribed under this section; and</w:t>
      </w:r>
    </w:p>
    <w:p w:rsidR="00EB776A" w:rsidRPr="00970F91" w:rsidRDefault="00EB776A" w:rsidP="008845CB">
      <w:pPr>
        <w:numPr>
          <w:ilvl w:val="1"/>
          <w:numId w:val="4"/>
        </w:numPr>
        <w:tabs>
          <w:tab w:val="left" w:pos="345"/>
        </w:tabs>
        <w:spacing w:before="0"/>
        <w:ind w:right="91"/>
        <w:rPr>
          <w:szCs w:val="24"/>
        </w:rPr>
      </w:pPr>
      <w:r w:rsidRPr="00970F91">
        <w:rPr>
          <w:szCs w:val="24"/>
        </w:rPr>
        <w:t>subject to the Migration Regulations providing otherwise, any visa application charge that the Migration Regulations require to be paid at the time when the application is made, has been paid; and</w:t>
      </w:r>
    </w:p>
    <w:p w:rsidR="00EB776A" w:rsidRDefault="00EB776A" w:rsidP="008845CB">
      <w:pPr>
        <w:numPr>
          <w:ilvl w:val="1"/>
          <w:numId w:val="4"/>
        </w:numPr>
        <w:tabs>
          <w:tab w:val="left" w:pos="345"/>
        </w:tabs>
        <w:spacing w:before="0"/>
        <w:ind w:right="91"/>
        <w:rPr>
          <w:szCs w:val="24"/>
        </w:rPr>
      </w:pPr>
      <w:r w:rsidRPr="00970F91">
        <w:rPr>
          <w:szCs w:val="24"/>
        </w:rPr>
        <w:t xml:space="preserve">any fees payable in respect of it under the Migration Regulations have been paid; </w:t>
      </w:r>
    </w:p>
    <w:p w:rsidR="00EB776A" w:rsidRPr="00695632" w:rsidRDefault="00EB776A" w:rsidP="00EB776A">
      <w:pPr>
        <w:tabs>
          <w:tab w:val="left" w:pos="345"/>
        </w:tabs>
        <w:spacing w:before="0"/>
        <w:ind w:right="43"/>
        <w:rPr>
          <w:szCs w:val="24"/>
          <w:highlight w:val="yellow"/>
        </w:rPr>
      </w:pPr>
    </w:p>
    <w:p w:rsidR="00EB776A" w:rsidRPr="008C604F" w:rsidRDefault="00EB776A" w:rsidP="008845CB">
      <w:pPr>
        <w:numPr>
          <w:ilvl w:val="0"/>
          <w:numId w:val="4"/>
        </w:numPr>
        <w:tabs>
          <w:tab w:val="left" w:pos="345"/>
        </w:tabs>
        <w:spacing w:before="0"/>
        <w:ind w:right="43"/>
        <w:rPr>
          <w:szCs w:val="24"/>
        </w:rPr>
      </w:pPr>
      <w:r w:rsidRPr="008C604F">
        <w:rPr>
          <w:szCs w:val="24"/>
        </w:rPr>
        <w:t>subsection 46(3), which provides that the regulations may prescribe criteria that must be satisfied for an application for a visa of a specified class to be a valid application;</w:t>
      </w:r>
    </w:p>
    <w:p w:rsidR="00EB776A" w:rsidRDefault="00EB776A" w:rsidP="00EB776A">
      <w:pPr>
        <w:tabs>
          <w:tab w:val="left" w:pos="345"/>
        </w:tabs>
        <w:spacing w:before="0"/>
        <w:ind w:right="662"/>
        <w:rPr>
          <w:szCs w:val="24"/>
        </w:rPr>
      </w:pPr>
    </w:p>
    <w:p w:rsidR="00EB776A" w:rsidRDefault="00EB776A" w:rsidP="008845CB">
      <w:pPr>
        <w:numPr>
          <w:ilvl w:val="0"/>
          <w:numId w:val="6"/>
        </w:numPr>
        <w:tabs>
          <w:tab w:val="left" w:pos="345"/>
          <w:tab w:val="left" w:pos="8789"/>
        </w:tabs>
        <w:spacing w:before="0"/>
        <w:ind w:right="746"/>
        <w:rPr>
          <w:szCs w:val="24"/>
        </w:rPr>
      </w:pPr>
      <w:r w:rsidRPr="003C7BB1">
        <w:rPr>
          <w:szCs w:val="24"/>
        </w:rPr>
        <w:t xml:space="preserve">subsection 504(2), which provides that </w:t>
      </w:r>
      <w:r w:rsidRPr="003C7BB1">
        <w:rPr>
          <w:color w:val="000000"/>
          <w:szCs w:val="24"/>
          <w:lang w:val="en"/>
        </w:rPr>
        <w:t> </w:t>
      </w:r>
      <w:r w:rsidRPr="008C604F">
        <w:rPr>
          <w:szCs w:val="24"/>
        </w:rPr>
        <w:t xml:space="preserve">section 14 of the </w:t>
      </w:r>
      <w:hyperlink r:id="rId9" w:history="1">
        <w:r w:rsidRPr="008C604F">
          <w:rPr>
            <w:i/>
          </w:rPr>
          <w:t>Legislation Act 2003</w:t>
        </w:r>
      </w:hyperlink>
      <w:r w:rsidRPr="008C604F">
        <w:rPr>
          <w:i/>
          <w:szCs w:val="24"/>
        </w:rPr>
        <w:t xml:space="preserve"> </w:t>
      </w:r>
      <w:r w:rsidRPr="008C604F">
        <w:rPr>
          <w:szCs w:val="24"/>
        </w:rPr>
        <w:t>does not prevent, and has not prevented, regulations whose operation depends</w:t>
      </w:r>
      <w:r w:rsidRPr="003C7BB1">
        <w:rPr>
          <w:color w:val="000000"/>
          <w:szCs w:val="24"/>
          <w:lang w:val="en"/>
        </w:rPr>
        <w:t xml:space="preserve"> on a country or other matter being specified or certified by the Minister in an instrument in writing made under the regulations after the commencement of the regulations</w:t>
      </w:r>
      <w:r>
        <w:rPr>
          <w:szCs w:val="24"/>
        </w:rPr>
        <w:t>;</w:t>
      </w:r>
    </w:p>
    <w:p w:rsidR="00EB776A" w:rsidRDefault="00EB776A" w:rsidP="00EB776A">
      <w:pPr>
        <w:spacing w:before="0"/>
        <w:rPr>
          <w:szCs w:val="24"/>
        </w:rPr>
      </w:pPr>
      <w:r>
        <w:rPr>
          <w:szCs w:val="24"/>
        </w:rPr>
        <w:br w:type="page"/>
      </w:r>
    </w:p>
    <w:p w:rsidR="00EB776A" w:rsidRDefault="00EB776A" w:rsidP="00EB776A">
      <w:pPr>
        <w:tabs>
          <w:tab w:val="left" w:pos="345"/>
          <w:tab w:val="left" w:pos="8789"/>
        </w:tabs>
        <w:spacing w:before="0"/>
        <w:ind w:left="720" w:right="746"/>
        <w:rPr>
          <w:szCs w:val="24"/>
        </w:rPr>
      </w:pPr>
    </w:p>
    <w:p w:rsidR="00EB776A" w:rsidRDefault="00EB776A" w:rsidP="008845CB">
      <w:pPr>
        <w:numPr>
          <w:ilvl w:val="0"/>
          <w:numId w:val="6"/>
        </w:numPr>
        <w:tabs>
          <w:tab w:val="left" w:pos="345"/>
        </w:tabs>
        <w:spacing w:before="0"/>
        <w:ind w:right="746"/>
        <w:jc w:val="both"/>
      </w:pPr>
      <w:r>
        <w:t>section 73 of the Act, which provides that, if the Minister is satisfied that an eligible non-citizen satisfies the criteria for a bridging visa as prescribed under subsection 31(3), the Minister may grant a bridging visa permitting the non-citizen to remain in, or to travel to, enter and remain in Australia, during a specified period or until a specified event happens; and</w:t>
      </w:r>
    </w:p>
    <w:p w:rsidR="00EB776A" w:rsidRDefault="00EB776A" w:rsidP="00EB776A">
      <w:pPr>
        <w:tabs>
          <w:tab w:val="left" w:pos="345"/>
        </w:tabs>
        <w:spacing w:before="0"/>
        <w:ind w:right="746"/>
        <w:jc w:val="both"/>
      </w:pPr>
    </w:p>
    <w:p w:rsidR="00C25AD3" w:rsidRPr="00EB776A" w:rsidRDefault="00EB776A" w:rsidP="008845CB">
      <w:pPr>
        <w:numPr>
          <w:ilvl w:val="0"/>
          <w:numId w:val="6"/>
        </w:numPr>
        <w:tabs>
          <w:tab w:val="left" w:pos="345"/>
          <w:tab w:val="left" w:pos="8789"/>
        </w:tabs>
        <w:spacing w:before="0"/>
        <w:ind w:right="746"/>
        <w:rPr>
          <w:szCs w:val="24"/>
        </w:rPr>
      </w:pPr>
      <w:r>
        <w:t>S</w:t>
      </w:r>
      <w:r w:rsidRPr="00EA088D">
        <w:t>ubsection 82(7A) of the Act, which provides that a bridging visa permitting the holder to remain in, or travel to, enter and remain in, Australia until a specified event happens, ceases to be in effect the moment the event happens.</w:t>
      </w:r>
    </w:p>
    <w:p w:rsidR="00C25AD3" w:rsidRDefault="00C25AD3">
      <w:pPr>
        <w:spacing w:before="0"/>
        <w:rPr>
          <w:color w:val="000000"/>
        </w:rPr>
      </w:pPr>
      <w:r>
        <w:rPr>
          <w:color w:val="000000"/>
        </w:rPr>
        <w:br w:type="page"/>
      </w:r>
    </w:p>
    <w:p w:rsidR="00F536DE" w:rsidRPr="005D7CFC" w:rsidRDefault="00F536DE" w:rsidP="00252F64">
      <w:pPr>
        <w:tabs>
          <w:tab w:val="left" w:pos="345"/>
        </w:tabs>
        <w:spacing w:before="0"/>
        <w:ind w:right="43"/>
        <w:contextualSpacing/>
        <w:jc w:val="right"/>
        <w:rPr>
          <w:b/>
          <w:szCs w:val="24"/>
          <w:u w:val="single"/>
        </w:rPr>
      </w:pPr>
      <w:r w:rsidRPr="00875A34">
        <w:rPr>
          <w:b/>
          <w:szCs w:val="24"/>
          <w:u w:val="single"/>
        </w:rPr>
        <w:lastRenderedPageBreak/>
        <w:t>ATTACHMENT B</w:t>
      </w:r>
    </w:p>
    <w:p w:rsidR="00F536DE" w:rsidRPr="005D7CFC" w:rsidRDefault="00F536DE" w:rsidP="00252F64">
      <w:pPr>
        <w:tabs>
          <w:tab w:val="left" w:pos="345"/>
        </w:tabs>
        <w:spacing w:before="0"/>
        <w:ind w:right="43"/>
        <w:contextualSpacing/>
        <w:jc w:val="right"/>
        <w:rPr>
          <w:b/>
          <w:szCs w:val="24"/>
          <w:u w:val="single"/>
        </w:rPr>
      </w:pPr>
    </w:p>
    <w:p w:rsidR="008A4DE2" w:rsidRPr="005D7CFC" w:rsidRDefault="008A4DE2" w:rsidP="00252F64">
      <w:pPr>
        <w:pStyle w:val="Default"/>
        <w:jc w:val="center"/>
        <w:rPr>
          <w:color w:val="auto"/>
        </w:rPr>
      </w:pPr>
      <w:r w:rsidRPr="005D7CFC">
        <w:rPr>
          <w:b/>
          <w:bCs/>
          <w:color w:val="auto"/>
        </w:rPr>
        <w:t>Statement of Compatibility with Human Rights</w:t>
      </w:r>
    </w:p>
    <w:p w:rsidR="008A4DE2" w:rsidRDefault="008A4DE2" w:rsidP="00252F64">
      <w:pPr>
        <w:pStyle w:val="Default"/>
        <w:jc w:val="center"/>
        <w:rPr>
          <w:i/>
          <w:iCs/>
          <w:color w:val="auto"/>
        </w:rPr>
      </w:pPr>
      <w:r w:rsidRPr="005D7CFC">
        <w:rPr>
          <w:i/>
          <w:iCs/>
          <w:color w:val="auto"/>
        </w:rPr>
        <w:t>Prepared in accordance with Part 3 of the Human Rights (Parliamentary Scrutiny) Act 2011</w:t>
      </w:r>
    </w:p>
    <w:p w:rsidR="00FC2BAB" w:rsidRPr="005D7CFC" w:rsidRDefault="00FC2BAB" w:rsidP="00252F64">
      <w:pPr>
        <w:pStyle w:val="Default"/>
        <w:jc w:val="center"/>
        <w:rPr>
          <w:i/>
          <w:iCs/>
          <w:color w:val="auto"/>
        </w:rPr>
      </w:pPr>
    </w:p>
    <w:p w:rsidR="00EE3000" w:rsidRDefault="00FC2BAB" w:rsidP="00252F64">
      <w:pPr>
        <w:pStyle w:val="Default"/>
        <w:jc w:val="center"/>
        <w:rPr>
          <w:b/>
          <w:i/>
        </w:rPr>
      </w:pPr>
      <w:r w:rsidRPr="00AE2653">
        <w:rPr>
          <w:b/>
          <w:i/>
        </w:rPr>
        <w:t xml:space="preserve">Migration </w:t>
      </w:r>
      <w:r w:rsidR="0085440C" w:rsidRPr="00AE2653">
        <w:rPr>
          <w:b/>
          <w:i/>
        </w:rPr>
        <w:t xml:space="preserve">Legislation </w:t>
      </w:r>
      <w:r w:rsidRPr="00AE2653">
        <w:rPr>
          <w:b/>
          <w:i/>
        </w:rPr>
        <w:t>Amendment (</w:t>
      </w:r>
      <w:r w:rsidR="0085440C" w:rsidRPr="00AE2653">
        <w:rPr>
          <w:b/>
          <w:i/>
        </w:rPr>
        <w:t xml:space="preserve">2016 Measures No. </w:t>
      </w:r>
      <w:r w:rsidR="00724C43">
        <w:rPr>
          <w:b/>
          <w:i/>
        </w:rPr>
        <w:t>5</w:t>
      </w:r>
      <w:r w:rsidRPr="00AE2653">
        <w:rPr>
          <w:b/>
          <w:i/>
        </w:rPr>
        <w:t>) Regulation 2016</w:t>
      </w:r>
    </w:p>
    <w:p w:rsidR="00FC2BAB" w:rsidRPr="005D7CFC" w:rsidRDefault="00FC2BAB" w:rsidP="00252F64">
      <w:pPr>
        <w:pStyle w:val="Default"/>
        <w:jc w:val="center"/>
        <w:rPr>
          <w:color w:val="auto"/>
        </w:rPr>
      </w:pPr>
    </w:p>
    <w:p w:rsidR="008A4DE2" w:rsidRPr="005D7CFC" w:rsidRDefault="00EE3000" w:rsidP="00252F64">
      <w:pPr>
        <w:pStyle w:val="Default"/>
        <w:jc w:val="center"/>
        <w:rPr>
          <w:color w:val="auto"/>
        </w:rPr>
      </w:pPr>
      <w:r w:rsidRPr="005D7CFC">
        <w:rPr>
          <w:color w:val="auto"/>
        </w:rPr>
        <w:t xml:space="preserve">This legislative instrument is </w:t>
      </w:r>
      <w:r w:rsidR="008A4DE2" w:rsidRPr="005D7CFC">
        <w:rPr>
          <w:color w:val="auto"/>
        </w:rPr>
        <w:t xml:space="preserve">compatible with the human rights and freedoms recognised or declared in the international instruments listed in section 3 of the </w:t>
      </w:r>
      <w:r w:rsidR="008A4DE2" w:rsidRPr="005D7CFC">
        <w:rPr>
          <w:i/>
          <w:iCs/>
          <w:color w:val="auto"/>
        </w:rPr>
        <w:t>Human Rights (Parliamentary Scrutiny) Act 2011</w:t>
      </w:r>
      <w:r w:rsidR="008A4DE2" w:rsidRPr="005D7CFC">
        <w:rPr>
          <w:color w:val="auto"/>
        </w:rPr>
        <w:t>.</w:t>
      </w:r>
    </w:p>
    <w:p w:rsidR="000424E3" w:rsidRPr="005D7CFC" w:rsidRDefault="000424E3" w:rsidP="00252F64">
      <w:pPr>
        <w:spacing w:before="0"/>
        <w:contextualSpacing/>
        <w:rPr>
          <w:b/>
          <w:szCs w:val="24"/>
          <w:u w:val="single"/>
        </w:rPr>
      </w:pPr>
    </w:p>
    <w:p w:rsidR="009A6D8F" w:rsidRDefault="0085440C" w:rsidP="009A6D8F">
      <w:pPr>
        <w:spacing w:before="0"/>
        <w:jc w:val="both"/>
        <w:outlineLvl w:val="2"/>
        <w:rPr>
          <w:rFonts w:eastAsiaTheme="minorHAnsi" w:cstheme="minorBidi"/>
          <w:b/>
          <w:szCs w:val="24"/>
          <w:u w:val="single"/>
          <w:lang w:eastAsia="en-US"/>
        </w:rPr>
      </w:pPr>
      <w:r w:rsidRPr="00411026">
        <w:rPr>
          <w:rFonts w:eastAsiaTheme="minorHAnsi" w:cstheme="minorBidi"/>
          <w:b/>
          <w:szCs w:val="24"/>
          <w:u w:val="single"/>
          <w:lang w:eastAsia="en-US"/>
        </w:rPr>
        <w:t xml:space="preserve">Schedule </w:t>
      </w:r>
      <w:r w:rsidR="00A9540E" w:rsidRPr="00411026">
        <w:rPr>
          <w:rFonts w:eastAsiaTheme="minorHAnsi" w:cstheme="minorBidi"/>
          <w:b/>
          <w:szCs w:val="24"/>
          <w:u w:val="single"/>
          <w:lang w:eastAsia="en-US"/>
        </w:rPr>
        <w:t>1</w:t>
      </w:r>
      <w:r w:rsidRPr="00411026">
        <w:rPr>
          <w:rFonts w:eastAsiaTheme="minorHAnsi" w:cstheme="minorBidi"/>
          <w:b/>
          <w:szCs w:val="24"/>
          <w:u w:val="single"/>
          <w:lang w:eastAsia="en-US"/>
        </w:rPr>
        <w:t xml:space="preserve"> – </w:t>
      </w:r>
      <w:r w:rsidR="00EB776A">
        <w:rPr>
          <w:rFonts w:eastAsiaTheme="minorHAnsi" w:cstheme="minorBidi"/>
          <w:b/>
          <w:szCs w:val="24"/>
          <w:u w:val="single"/>
          <w:lang w:eastAsia="en-US"/>
        </w:rPr>
        <w:t>Frequent Traveller Stream</w:t>
      </w:r>
    </w:p>
    <w:p w:rsidR="00EB776A" w:rsidRPr="00DA3477" w:rsidRDefault="00EB776A" w:rsidP="00EB776A">
      <w:pPr>
        <w:spacing w:before="0"/>
      </w:pPr>
    </w:p>
    <w:p w:rsidR="008845CB" w:rsidRDefault="00EB776A" w:rsidP="00C130C7">
      <w:pPr>
        <w:spacing w:before="0" w:after="200"/>
      </w:pPr>
      <w:r w:rsidRPr="00807197">
        <w:t xml:space="preserve">As announced in the </w:t>
      </w:r>
      <w:r w:rsidRPr="00C130C7">
        <w:rPr>
          <w:i/>
        </w:rPr>
        <w:t>White Paper on Developing Northern Australia</w:t>
      </w:r>
      <w:r w:rsidRPr="00807197">
        <w:t>, the Government is trialling the introduction of a 10-year validity Visitor visa for Chinese nationals</w:t>
      </w:r>
      <w:r>
        <w:t xml:space="preserve">. </w:t>
      </w:r>
    </w:p>
    <w:p w:rsidR="008845CB" w:rsidRDefault="00EB776A" w:rsidP="00C130C7">
      <w:pPr>
        <w:spacing w:before="0" w:after="200"/>
      </w:pPr>
      <w:r>
        <w:t xml:space="preserve">To support this initiative, this </w:t>
      </w:r>
      <w:r w:rsidR="00010BCA">
        <w:t>Schedule</w:t>
      </w:r>
      <w:r>
        <w:t xml:space="preserve"> amends the </w:t>
      </w:r>
      <w:r w:rsidRPr="00C130C7">
        <w:rPr>
          <w:i/>
        </w:rPr>
        <w:t>Migration Regulations 1994</w:t>
      </w:r>
      <w:r>
        <w:t xml:space="preserve"> to introduce a new Frequent Traveller stream into the Subclass 600 (Visitor) visa, by introducing the criteria for this visa and setting its Visa Application </w:t>
      </w:r>
      <w:r w:rsidRPr="002312F2">
        <w:t>Charge (VAC).</w:t>
      </w:r>
      <w:r>
        <w:t xml:space="preserve"> </w:t>
      </w:r>
    </w:p>
    <w:p w:rsidR="008845CB" w:rsidRDefault="00EB776A" w:rsidP="00C130C7">
      <w:pPr>
        <w:spacing w:before="0" w:after="200"/>
      </w:pPr>
      <w:r>
        <w:t xml:space="preserve">The Frequent Traveller stream will facilitate the grant of a visa with up to 10 years’ validity which will allow for multiple entries and up to a three-month stay period after each entry during the validity period of the visa, with no more than 12 months cumulative stay in a 24 month period. </w:t>
      </w:r>
    </w:p>
    <w:p w:rsidR="008845CB" w:rsidRDefault="00EB776A" w:rsidP="00C130C7">
      <w:pPr>
        <w:spacing w:before="0" w:after="200"/>
      </w:pPr>
      <w:r>
        <w:t xml:space="preserve">The Frequent Traveller stream will permit both tourism and business visitor activities, however use of this visa to maintain de facto residence or to work in Australia will not be permitted and such actions will lead to a consideration of cancellation. </w:t>
      </w:r>
    </w:p>
    <w:p w:rsidR="008845CB" w:rsidRDefault="00EB776A" w:rsidP="00C130C7">
      <w:pPr>
        <w:spacing w:before="0" w:after="200"/>
      </w:pPr>
      <w:r>
        <w:t xml:space="preserve">The introduction of the Frequent Traveller stream </w:t>
      </w:r>
      <w:r w:rsidRPr="00C65D3F">
        <w:t xml:space="preserve">is intended to reduce the regulatory burden on applicants who will have </w:t>
      </w:r>
      <w:r>
        <w:t xml:space="preserve">to complete </w:t>
      </w:r>
      <w:r w:rsidRPr="00C65D3F">
        <w:t xml:space="preserve">fewer repeat visa applications. </w:t>
      </w:r>
    </w:p>
    <w:p w:rsidR="008845CB" w:rsidRDefault="00EB776A" w:rsidP="00C130C7">
      <w:pPr>
        <w:spacing w:before="0" w:after="200"/>
      </w:pPr>
      <w:r w:rsidRPr="00B47DDE">
        <w:t>The new Frequent Traveller stream offers an additional Visitor visa option to interested Chinese nationals and will not disadvantage Chinese nationals or clients of other nationalities as it will not prohibit or restrict the grant of Visitor visas in the existing streams to Chinese nationals or nationals of any other country.</w:t>
      </w:r>
      <w:r>
        <w:t xml:space="preserve"> </w:t>
      </w:r>
    </w:p>
    <w:p w:rsidR="008845CB" w:rsidRDefault="00EB776A" w:rsidP="00C130C7">
      <w:pPr>
        <w:spacing w:before="0" w:after="200"/>
      </w:pPr>
      <w:r>
        <w:t xml:space="preserve">The VAC for the Frequent Traveller stream will be AUD1000 and will be marketed as a premium visa product to attract high value frequent travellers. </w:t>
      </w:r>
    </w:p>
    <w:p w:rsidR="00EB776A" w:rsidRDefault="00EB776A" w:rsidP="00C130C7">
      <w:pPr>
        <w:spacing w:before="0" w:after="200"/>
      </w:pPr>
      <w:r>
        <w:t xml:space="preserve">Initially, the Frequent Traveller stream will only be available to applicants who are nationals of the People’s Republic of China with a view to progressively allowing nationals of other countries to apply following evaluation. </w:t>
      </w:r>
    </w:p>
    <w:p w:rsidR="00EB776A" w:rsidRPr="003A0221" w:rsidRDefault="00EB776A" w:rsidP="00EB776A">
      <w:pPr>
        <w:jc w:val="both"/>
        <w:rPr>
          <w:b/>
          <w:szCs w:val="24"/>
        </w:rPr>
      </w:pPr>
      <w:r w:rsidRPr="003A0221">
        <w:rPr>
          <w:b/>
          <w:szCs w:val="24"/>
        </w:rPr>
        <w:t>Human rights implications</w:t>
      </w:r>
    </w:p>
    <w:p w:rsidR="00EB776A" w:rsidRDefault="00C36011" w:rsidP="00EB776A">
      <w:pPr>
        <w:spacing w:before="120" w:after="120"/>
        <w:jc w:val="both"/>
        <w:rPr>
          <w:szCs w:val="24"/>
        </w:rPr>
      </w:pPr>
      <w:r>
        <w:rPr>
          <w:szCs w:val="24"/>
        </w:rPr>
        <w:t xml:space="preserve">The amendments in this </w:t>
      </w:r>
      <w:r w:rsidR="00977BA9">
        <w:rPr>
          <w:szCs w:val="24"/>
        </w:rPr>
        <w:t>Schedule</w:t>
      </w:r>
      <w:r w:rsidR="00EB776A">
        <w:rPr>
          <w:szCs w:val="24"/>
        </w:rPr>
        <w:t xml:space="preserve"> ha</w:t>
      </w:r>
      <w:r>
        <w:rPr>
          <w:szCs w:val="24"/>
        </w:rPr>
        <w:t>ve</w:t>
      </w:r>
      <w:r w:rsidR="00EB776A">
        <w:rPr>
          <w:szCs w:val="24"/>
        </w:rPr>
        <w:t xml:space="preserve"> been considered against each of the </w:t>
      </w:r>
      <w:r w:rsidR="00EB776A" w:rsidRPr="00995790">
        <w:rPr>
          <w:szCs w:val="24"/>
        </w:rPr>
        <w:t>seven</w:t>
      </w:r>
      <w:r w:rsidR="00EB776A">
        <w:rPr>
          <w:szCs w:val="24"/>
        </w:rPr>
        <w:t xml:space="preserve"> core international human rights treaties and engage the following rights:</w:t>
      </w:r>
    </w:p>
    <w:p w:rsidR="00EB776A" w:rsidRDefault="00EB776A" w:rsidP="00EB776A">
      <w:pPr>
        <w:spacing w:before="120" w:after="120"/>
        <w:jc w:val="both"/>
        <w:rPr>
          <w:i/>
          <w:szCs w:val="24"/>
        </w:rPr>
      </w:pPr>
    </w:p>
    <w:p w:rsidR="00EB776A" w:rsidRDefault="00EB776A" w:rsidP="00EB776A">
      <w:pPr>
        <w:spacing w:before="120" w:after="120"/>
        <w:jc w:val="both"/>
        <w:rPr>
          <w:szCs w:val="24"/>
        </w:rPr>
      </w:pPr>
      <w:r>
        <w:rPr>
          <w:i/>
          <w:szCs w:val="24"/>
        </w:rPr>
        <w:t xml:space="preserve">Non-discrimination </w:t>
      </w:r>
    </w:p>
    <w:p w:rsidR="00EB776A" w:rsidRDefault="00EB776A" w:rsidP="00EB776A">
      <w:pPr>
        <w:spacing w:before="120" w:after="120"/>
        <w:jc w:val="both"/>
        <w:rPr>
          <w:szCs w:val="24"/>
        </w:rPr>
      </w:pPr>
      <w:r>
        <w:rPr>
          <w:szCs w:val="24"/>
        </w:rPr>
        <w:t>Article 2(1) of the International Covenant on Civil and Political Rights (</w:t>
      </w:r>
      <w:r w:rsidRPr="00214892">
        <w:rPr>
          <w:szCs w:val="24"/>
        </w:rPr>
        <w:t>ICCPR</w:t>
      </w:r>
      <w:r>
        <w:rPr>
          <w:szCs w:val="24"/>
        </w:rPr>
        <w:t>) states:</w:t>
      </w:r>
    </w:p>
    <w:p w:rsidR="00EB776A" w:rsidRDefault="00EB776A" w:rsidP="00EB776A">
      <w:pPr>
        <w:spacing w:before="120" w:after="120"/>
        <w:ind w:left="714" w:firstLine="6"/>
        <w:jc w:val="both"/>
        <w:rPr>
          <w:i/>
          <w:szCs w:val="24"/>
        </w:rPr>
      </w:pPr>
      <w:r>
        <w:rPr>
          <w:i/>
          <w:szCs w:val="24"/>
        </w:rPr>
        <w:lastRenderedPageBreak/>
        <w:t xml:space="preserve">Each State Party to the present Covenant undertakes to respect and to ensure to all individuals within its territory and subject to its jurisdiction the rights recognised in the present Covenant, without distinction of any kind, such as race, colour, sex, language, religion, political or other opinion, national or social origin, property, birth or other status. </w:t>
      </w:r>
    </w:p>
    <w:p w:rsidR="00EB776A" w:rsidRDefault="00EB776A" w:rsidP="00EB776A">
      <w:pPr>
        <w:jc w:val="both"/>
        <w:rPr>
          <w:szCs w:val="24"/>
        </w:rPr>
      </w:pPr>
      <w:r>
        <w:rPr>
          <w:szCs w:val="24"/>
        </w:rPr>
        <w:t xml:space="preserve">Article 26 of the ICCPR states: </w:t>
      </w:r>
    </w:p>
    <w:p w:rsidR="00EB776A" w:rsidRPr="00781A11" w:rsidRDefault="00EB776A" w:rsidP="00EB776A">
      <w:pPr>
        <w:ind w:left="720"/>
        <w:jc w:val="both"/>
        <w:rPr>
          <w:i/>
          <w:szCs w:val="24"/>
        </w:rPr>
      </w:pPr>
      <w:r>
        <w:rPr>
          <w:i/>
          <w:szCs w:val="24"/>
        </w:rPr>
        <w:t>All persons are equal before the law and are entitled without any discrimination to the equal protection of the law.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w:t>
      </w:r>
    </w:p>
    <w:p w:rsidR="00EB776A" w:rsidRDefault="00EB776A" w:rsidP="00EB776A">
      <w:pPr>
        <w:jc w:val="both"/>
        <w:rPr>
          <w:szCs w:val="24"/>
        </w:rPr>
      </w:pPr>
      <w:r>
        <w:rPr>
          <w:szCs w:val="24"/>
        </w:rPr>
        <w:t xml:space="preserve">To the extent that the </w:t>
      </w:r>
      <w:r w:rsidR="00977BA9">
        <w:rPr>
          <w:szCs w:val="24"/>
        </w:rPr>
        <w:t>amendments</w:t>
      </w:r>
      <w:r w:rsidR="00010BCA">
        <w:rPr>
          <w:szCs w:val="24"/>
        </w:rPr>
        <w:t xml:space="preserve"> in this Schedule</w:t>
      </w:r>
      <w:r>
        <w:rPr>
          <w:szCs w:val="24"/>
        </w:rPr>
        <w:t xml:space="preserve"> engage the obligations in Article 2(1) and Article 26 of the ICCPR by only initially allowing Chinese nationals to apply for the Frequent Traveller stream, the Government considers that this is reasonable for the legitimate purpose of testing the implementation of the Frequent Traveller stream as well as further interest in it with an increasingly large cohort of applicants who may be most likely to apply for this product in the future. Depending on the success of the practical implementation of the Frequent Traveller stream and if sufficient interest is shown, it may be expanded to eligible passport holders of other nationalities in the future.  </w:t>
      </w:r>
    </w:p>
    <w:p w:rsidR="00EB776A" w:rsidRDefault="00EB776A" w:rsidP="00EB776A">
      <w:pPr>
        <w:jc w:val="both"/>
        <w:rPr>
          <w:szCs w:val="24"/>
        </w:rPr>
      </w:pPr>
      <w:r>
        <w:rPr>
          <w:szCs w:val="24"/>
        </w:rPr>
        <w:t xml:space="preserve">Further, the benefit of an extended validity visa to Chinese nationals will not disadvantage clients of other nationalities as it will not prohibit or restrict the grant of other streams of the Subclass 600 (Visitor) visa to nationals of other countries. </w:t>
      </w:r>
    </w:p>
    <w:p w:rsidR="00EB776A" w:rsidRDefault="00EB776A" w:rsidP="00EB776A">
      <w:pPr>
        <w:jc w:val="both"/>
        <w:rPr>
          <w:szCs w:val="24"/>
        </w:rPr>
      </w:pPr>
      <w:r>
        <w:rPr>
          <w:b/>
          <w:szCs w:val="24"/>
        </w:rPr>
        <w:t>Conclusion</w:t>
      </w:r>
    </w:p>
    <w:p w:rsidR="00EB776A" w:rsidRDefault="00EB776A" w:rsidP="00EB776A">
      <w:pPr>
        <w:jc w:val="both"/>
        <w:rPr>
          <w:szCs w:val="24"/>
        </w:rPr>
      </w:pPr>
      <w:r>
        <w:rPr>
          <w:szCs w:val="24"/>
        </w:rPr>
        <w:t xml:space="preserve">To the extent that the </w:t>
      </w:r>
      <w:r w:rsidR="00977BA9">
        <w:rPr>
          <w:szCs w:val="24"/>
        </w:rPr>
        <w:t>amendments in this Schedule engage</w:t>
      </w:r>
      <w:r>
        <w:rPr>
          <w:szCs w:val="24"/>
        </w:rPr>
        <w:t xml:space="preserve"> human rights, </w:t>
      </w:r>
      <w:r w:rsidR="00977BA9">
        <w:rPr>
          <w:szCs w:val="24"/>
        </w:rPr>
        <w:t>they are</w:t>
      </w:r>
      <w:r>
        <w:rPr>
          <w:szCs w:val="24"/>
        </w:rPr>
        <w:t xml:space="preserve"> compatible with those human rights. </w:t>
      </w:r>
    </w:p>
    <w:p w:rsidR="00D86549" w:rsidRPr="00AE2653" w:rsidRDefault="00D86549" w:rsidP="001937A4">
      <w:pPr>
        <w:spacing w:before="0"/>
        <w:rPr>
          <w:rFonts w:eastAsiaTheme="minorHAnsi"/>
          <w:szCs w:val="24"/>
          <w:highlight w:val="yellow"/>
          <w:lang w:eastAsia="en-US"/>
        </w:rPr>
      </w:pPr>
    </w:p>
    <w:p w:rsidR="004A37D2" w:rsidRPr="00411026" w:rsidRDefault="004A37D2" w:rsidP="001937A4">
      <w:pPr>
        <w:spacing w:before="0"/>
        <w:rPr>
          <w:rFonts w:eastAsiaTheme="minorHAnsi"/>
          <w:b/>
          <w:szCs w:val="24"/>
          <w:u w:val="single"/>
          <w:lang w:eastAsia="en-US"/>
        </w:rPr>
      </w:pPr>
      <w:r w:rsidRPr="00411026">
        <w:rPr>
          <w:rFonts w:eastAsiaTheme="minorHAnsi"/>
          <w:b/>
          <w:szCs w:val="24"/>
          <w:u w:val="single"/>
          <w:lang w:eastAsia="en-US"/>
        </w:rPr>
        <w:t xml:space="preserve">Schedule 2 – </w:t>
      </w:r>
      <w:r w:rsidR="00EB776A">
        <w:rPr>
          <w:b/>
          <w:u w:val="single"/>
        </w:rPr>
        <w:t>Cessation of bridging visas</w:t>
      </w:r>
    </w:p>
    <w:p w:rsidR="00EB776A" w:rsidRDefault="00EB776A" w:rsidP="00EB776A">
      <w:pPr>
        <w:spacing w:before="120"/>
        <w:jc w:val="both"/>
        <w:rPr>
          <w:szCs w:val="24"/>
        </w:rPr>
      </w:pPr>
      <w:r>
        <w:rPr>
          <w:szCs w:val="24"/>
        </w:rPr>
        <w:t xml:space="preserve">This </w:t>
      </w:r>
      <w:r w:rsidR="00977BA9">
        <w:rPr>
          <w:szCs w:val="24"/>
        </w:rPr>
        <w:t>Schedule</w:t>
      </w:r>
      <w:r>
        <w:rPr>
          <w:szCs w:val="24"/>
        </w:rPr>
        <w:t xml:space="preserve"> amends the </w:t>
      </w:r>
      <w:r>
        <w:rPr>
          <w:i/>
          <w:szCs w:val="24"/>
        </w:rPr>
        <w:t>Migration Regulations 1994</w:t>
      </w:r>
      <w:r>
        <w:rPr>
          <w:szCs w:val="24"/>
        </w:rPr>
        <w:t xml:space="preserve"> (the Regulations)</w:t>
      </w:r>
      <w:r>
        <w:rPr>
          <w:i/>
          <w:szCs w:val="24"/>
        </w:rPr>
        <w:t xml:space="preserve"> </w:t>
      </w:r>
      <w:r>
        <w:rPr>
          <w:szCs w:val="24"/>
        </w:rPr>
        <w:t xml:space="preserve">to make changes to prescribed trigger events for bridging visa cessation. The effect of this amendment is that bridging visas </w:t>
      </w:r>
      <w:r w:rsidRPr="0034606D">
        <w:rPr>
          <w:szCs w:val="24"/>
        </w:rPr>
        <w:t>(subclasses 010, 020, 03</w:t>
      </w:r>
      <w:r>
        <w:rPr>
          <w:szCs w:val="24"/>
        </w:rPr>
        <w:t>0, 050, 051) will cease</w:t>
      </w:r>
      <w:r w:rsidRPr="0034606D">
        <w:rPr>
          <w:szCs w:val="24"/>
        </w:rPr>
        <w:t xml:space="preserve"> </w:t>
      </w:r>
      <w:r>
        <w:rPr>
          <w:szCs w:val="24"/>
        </w:rPr>
        <w:t>a fixed period</w:t>
      </w:r>
      <w:r w:rsidRPr="0034606D">
        <w:rPr>
          <w:szCs w:val="24"/>
        </w:rPr>
        <w:t xml:space="preserve"> after </w:t>
      </w:r>
      <w:r>
        <w:rPr>
          <w:szCs w:val="24"/>
        </w:rPr>
        <w:t>a relevant</w:t>
      </w:r>
      <w:r w:rsidRPr="0034606D">
        <w:rPr>
          <w:szCs w:val="24"/>
        </w:rPr>
        <w:t xml:space="preserve"> de</w:t>
      </w:r>
      <w:r>
        <w:rPr>
          <w:szCs w:val="24"/>
        </w:rPr>
        <w:t xml:space="preserve">cision or purported decision is made, by the Department of Immigration and Border Protection or the relevant review authority, in relation to certain application processes. </w:t>
      </w:r>
    </w:p>
    <w:p w:rsidR="00EB776A" w:rsidRDefault="00EB776A" w:rsidP="00EB776A">
      <w:pPr>
        <w:spacing w:before="0"/>
        <w:jc w:val="both"/>
        <w:rPr>
          <w:szCs w:val="24"/>
        </w:rPr>
      </w:pPr>
    </w:p>
    <w:p w:rsidR="00EB776A" w:rsidRDefault="00EB776A" w:rsidP="00EB776A">
      <w:pPr>
        <w:spacing w:before="0" w:after="120"/>
        <w:jc w:val="both"/>
        <w:rPr>
          <w:b/>
          <w:szCs w:val="24"/>
        </w:rPr>
      </w:pPr>
      <w:r w:rsidRPr="00E4135E">
        <w:rPr>
          <w:b/>
          <w:szCs w:val="24"/>
        </w:rPr>
        <w:t>Human rights implications</w:t>
      </w:r>
    </w:p>
    <w:p w:rsidR="00EB776A" w:rsidRPr="00342D92" w:rsidRDefault="00EB776A" w:rsidP="00EB776A">
      <w:pPr>
        <w:spacing w:before="120" w:after="120"/>
        <w:jc w:val="both"/>
        <w:rPr>
          <w:szCs w:val="24"/>
          <w:u w:val="single"/>
        </w:rPr>
      </w:pPr>
      <w:r w:rsidRPr="00342D92">
        <w:rPr>
          <w:szCs w:val="24"/>
          <w:u w:val="single"/>
        </w:rPr>
        <w:t>Right to Security of the Person and Freedom from Arbitrary Detention</w:t>
      </w:r>
    </w:p>
    <w:p w:rsidR="00EB776A" w:rsidRDefault="00EB776A" w:rsidP="00EB776A">
      <w:pPr>
        <w:spacing w:before="120" w:after="120"/>
        <w:jc w:val="both"/>
        <w:rPr>
          <w:i/>
          <w:szCs w:val="24"/>
        </w:rPr>
      </w:pPr>
      <w:r w:rsidRPr="00D733A1">
        <w:rPr>
          <w:i/>
          <w:szCs w:val="24"/>
        </w:rPr>
        <w:t>International Covenant on Civil and Political Rights (ICCPR)</w:t>
      </w:r>
    </w:p>
    <w:p w:rsidR="00EB776A" w:rsidRPr="00D733A1" w:rsidRDefault="00EB776A" w:rsidP="00EB776A">
      <w:pPr>
        <w:spacing w:before="120" w:after="120"/>
        <w:jc w:val="both"/>
        <w:rPr>
          <w:i/>
          <w:szCs w:val="24"/>
        </w:rPr>
      </w:pPr>
      <w:r w:rsidRPr="00D733A1">
        <w:rPr>
          <w:i/>
          <w:szCs w:val="24"/>
        </w:rPr>
        <w:t>Article 9.1</w:t>
      </w:r>
    </w:p>
    <w:p w:rsidR="00EB776A" w:rsidRPr="00D733A1" w:rsidRDefault="00EB776A" w:rsidP="00EB776A">
      <w:pPr>
        <w:spacing w:before="120" w:after="120"/>
        <w:ind w:left="720"/>
        <w:jc w:val="both"/>
        <w:rPr>
          <w:i/>
          <w:szCs w:val="24"/>
        </w:rPr>
      </w:pPr>
      <w:r w:rsidRPr="00D733A1">
        <w:rPr>
          <w:i/>
          <w:szCs w:val="24"/>
        </w:rPr>
        <w:t>Everyone has the right to liberty and security of person. No one shall be subjected to arbitrary arrest or detention. No one shall be deprived of his liberty except on such grounds and in accordance with such procedure as are established by law.</w:t>
      </w:r>
    </w:p>
    <w:p w:rsidR="00EB776A" w:rsidRDefault="00010BCA" w:rsidP="00EB776A">
      <w:pPr>
        <w:spacing w:before="120" w:after="120"/>
        <w:jc w:val="both"/>
        <w:rPr>
          <w:szCs w:val="24"/>
        </w:rPr>
      </w:pPr>
      <w:r>
        <w:rPr>
          <w:szCs w:val="24"/>
        </w:rPr>
        <w:t>The amendments in this Schedule</w:t>
      </w:r>
      <w:r w:rsidR="00EB776A">
        <w:rPr>
          <w:szCs w:val="24"/>
        </w:rPr>
        <w:t xml:space="preserve"> may engage the right to </w:t>
      </w:r>
      <w:r w:rsidR="00EB776A" w:rsidRPr="005432E2">
        <w:rPr>
          <w:szCs w:val="24"/>
        </w:rPr>
        <w:t>security of the person and freedom from arbitrary detention</w:t>
      </w:r>
      <w:r w:rsidR="00EB776A">
        <w:rPr>
          <w:szCs w:val="24"/>
        </w:rPr>
        <w:t xml:space="preserve"> under Article 9.1 of the ICCPR. </w:t>
      </w:r>
      <w:r w:rsidR="00EB776A" w:rsidRPr="000B6ADB">
        <w:rPr>
          <w:szCs w:val="24"/>
        </w:rPr>
        <w:t xml:space="preserve">Australia has a universal visa system </w:t>
      </w:r>
      <w:r w:rsidR="00EB776A" w:rsidRPr="000B6ADB">
        <w:rPr>
          <w:szCs w:val="24"/>
        </w:rPr>
        <w:lastRenderedPageBreak/>
        <w:t xml:space="preserve">and under the </w:t>
      </w:r>
      <w:r w:rsidR="00EB776A" w:rsidRPr="003019FE">
        <w:rPr>
          <w:i/>
          <w:szCs w:val="24"/>
        </w:rPr>
        <w:t>Migration Act 1958</w:t>
      </w:r>
      <w:r w:rsidR="00EB776A" w:rsidRPr="000B6ADB">
        <w:rPr>
          <w:szCs w:val="24"/>
        </w:rPr>
        <w:t xml:space="preserve"> (the Act),</w:t>
      </w:r>
      <w:r w:rsidR="00EB776A">
        <w:rPr>
          <w:szCs w:val="24"/>
        </w:rPr>
        <w:t xml:space="preserve"> </w:t>
      </w:r>
      <w:r w:rsidR="00EB776A" w:rsidRPr="000B6ADB">
        <w:rPr>
          <w:szCs w:val="24"/>
        </w:rPr>
        <w:t>people who have entered Australia and do not hold valid visas are unlawful non-citizens  and must</w:t>
      </w:r>
      <w:r w:rsidR="00EB776A">
        <w:rPr>
          <w:szCs w:val="24"/>
        </w:rPr>
        <w:t>, relevantly,</w:t>
      </w:r>
      <w:r w:rsidR="00EB776A" w:rsidRPr="000B6ADB">
        <w:rPr>
          <w:szCs w:val="24"/>
        </w:rPr>
        <w:t xml:space="preserve"> be detained and removed as soon as practicable unless they are granted a visa.</w:t>
      </w:r>
    </w:p>
    <w:p w:rsidR="00EB776A" w:rsidRDefault="00EB776A" w:rsidP="00EB776A">
      <w:pPr>
        <w:spacing w:before="120" w:after="120"/>
        <w:jc w:val="both"/>
        <w:rPr>
          <w:szCs w:val="24"/>
        </w:rPr>
      </w:pPr>
      <w:r>
        <w:rPr>
          <w:szCs w:val="24"/>
        </w:rPr>
        <w:t>However, immigration detention is lawful by virtue of the Migration Act. Further, the Government submits it is not arbitrary, and thus does not breach Article 9.</w:t>
      </w:r>
    </w:p>
    <w:p w:rsidR="00EB776A" w:rsidRDefault="00EB776A" w:rsidP="00EB776A">
      <w:pPr>
        <w:spacing w:before="120" w:after="120"/>
        <w:jc w:val="both"/>
        <w:rPr>
          <w:szCs w:val="24"/>
        </w:rPr>
      </w:pPr>
      <w:r w:rsidRPr="003A290B">
        <w:rPr>
          <w:color w:val="000000" w:themeColor="text1"/>
          <w:szCs w:val="24"/>
        </w:rPr>
        <w:t>Broadly, the purpose of bridging visas is to provide lawful status in Australia to certain non-citizens</w:t>
      </w:r>
      <w:r>
        <w:rPr>
          <w:color w:val="000000" w:themeColor="text1"/>
          <w:szCs w:val="24"/>
        </w:rPr>
        <w:t xml:space="preserve"> while</w:t>
      </w:r>
      <w:r w:rsidRPr="003A290B">
        <w:rPr>
          <w:color w:val="000000" w:themeColor="text1"/>
          <w:szCs w:val="24"/>
        </w:rPr>
        <w:t xml:space="preserve"> they await the outcome of a migration or citizenship related decision. </w:t>
      </w:r>
    </w:p>
    <w:p w:rsidR="00EB776A" w:rsidRDefault="00EB776A" w:rsidP="00EB776A">
      <w:pPr>
        <w:spacing w:before="120" w:after="120"/>
        <w:jc w:val="both"/>
        <w:rPr>
          <w:szCs w:val="24"/>
        </w:rPr>
      </w:pPr>
      <w:r w:rsidRPr="003019FE">
        <w:rPr>
          <w:szCs w:val="24"/>
        </w:rPr>
        <w:t>The</w:t>
      </w:r>
      <w:r w:rsidRPr="000E35DB">
        <w:rPr>
          <w:i/>
          <w:szCs w:val="24"/>
        </w:rPr>
        <w:t xml:space="preserve"> </w:t>
      </w:r>
      <w:r w:rsidRPr="000E35DB">
        <w:rPr>
          <w:szCs w:val="24"/>
        </w:rPr>
        <w:t xml:space="preserve">Regulations currently prescribe an exhaustive list of trigger events which will cause a bridging visa to cease. For bridging visas that are granted and held in association with </w:t>
      </w:r>
      <w:r>
        <w:rPr>
          <w:szCs w:val="24"/>
        </w:rPr>
        <w:t>certain matters, such as substantive visa application or in relation to a citizenship process,</w:t>
      </w:r>
      <w:r w:rsidRPr="000E35DB">
        <w:rPr>
          <w:szCs w:val="24"/>
        </w:rPr>
        <w:t xml:space="preserve"> these events include notification of the </w:t>
      </w:r>
      <w:r>
        <w:rPr>
          <w:szCs w:val="24"/>
        </w:rPr>
        <w:t>outcome or decision in relation to the application</w:t>
      </w:r>
      <w:r w:rsidRPr="000E35DB">
        <w:rPr>
          <w:szCs w:val="24"/>
        </w:rPr>
        <w:t>.</w:t>
      </w:r>
      <w:r>
        <w:rPr>
          <w:szCs w:val="24"/>
        </w:rPr>
        <w:t xml:space="preserve"> Therefore, any bridging visa held in association with these processes will not cease until effective notification of a decision in relation to that process has occurred.</w:t>
      </w:r>
      <w:r w:rsidRPr="003A290B">
        <w:t xml:space="preserve"> </w:t>
      </w:r>
      <w:r w:rsidRPr="003A290B">
        <w:rPr>
          <w:szCs w:val="24"/>
        </w:rPr>
        <w:t xml:space="preserve">Sections 494B and 494C of the Act provide for the methods by which the Minister can notify a person </w:t>
      </w:r>
      <w:r>
        <w:rPr>
          <w:szCs w:val="24"/>
        </w:rPr>
        <w:t xml:space="preserve">of the decision in relation to a particular application process (for example) </w:t>
      </w:r>
      <w:r w:rsidRPr="003A290B">
        <w:rPr>
          <w:szCs w:val="24"/>
        </w:rPr>
        <w:t>and when a person is taken to have been notified</w:t>
      </w:r>
      <w:r>
        <w:rPr>
          <w:szCs w:val="24"/>
        </w:rPr>
        <w:t xml:space="preserve"> of that decision</w:t>
      </w:r>
      <w:r w:rsidRPr="003A290B">
        <w:rPr>
          <w:szCs w:val="24"/>
        </w:rPr>
        <w:t>, respectively.</w:t>
      </w:r>
    </w:p>
    <w:p w:rsidR="00EB776A" w:rsidRDefault="00EB776A" w:rsidP="00EB776A">
      <w:pPr>
        <w:spacing w:before="120" w:after="120"/>
        <w:jc w:val="both"/>
        <w:rPr>
          <w:szCs w:val="24"/>
        </w:rPr>
      </w:pPr>
      <w:r>
        <w:rPr>
          <w:szCs w:val="24"/>
        </w:rPr>
        <w:t>It follows that under the current bridging visa cessation framework, it is difficult for both Departmental officers and visa applicants alike to determine whether a bridging visa held in association with a certain process has in fact ceased.</w:t>
      </w:r>
    </w:p>
    <w:p w:rsidR="00EB776A" w:rsidRDefault="00EB776A" w:rsidP="00EB776A">
      <w:pPr>
        <w:spacing w:before="120" w:after="120"/>
        <w:jc w:val="both"/>
        <w:rPr>
          <w:szCs w:val="24"/>
        </w:rPr>
      </w:pPr>
      <w:r>
        <w:rPr>
          <w:szCs w:val="24"/>
        </w:rPr>
        <w:t>The purpose of this amendment is to:-</w:t>
      </w:r>
    </w:p>
    <w:p w:rsidR="00EB776A" w:rsidRDefault="00EB776A" w:rsidP="008845CB">
      <w:pPr>
        <w:pStyle w:val="ListParagraph"/>
        <w:numPr>
          <w:ilvl w:val="0"/>
          <w:numId w:val="8"/>
        </w:numPr>
        <w:spacing w:before="120" w:after="120"/>
        <w:contextualSpacing/>
        <w:jc w:val="both"/>
        <w:rPr>
          <w:szCs w:val="24"/>
        </w:rPr>
      </w:pPr>
      <w:r>
        <w:rPr>
          <w:szCs w:val="24"/>
        </w:rPr>
        <w:t xml:space="preserve">simplify the complex framework in relation to bridging visa cessation; </w:t>
      </w:r>
    </w:p>
    <w:p w:rsidR="00EB776A" w:rsidRDefault="00EB776A" w:rsidP="008845CB">
      <w:pPr>
        <w:pStyle w:val="ListParagraph"/>
        <w:numPr>
          <w:ilvl w:val="0"/>
          <w:numId w:val="8"/>
        </w:numPr>
        <w:spacing w:before="120" w:after="120"/>
        <w:contextualSpacing/>
        <w:jc w:val="both"/>
        <w:rPr>
          <w:szCs w:val="24"/>
        </w:rPr>
      </w:pPr>
      <w:r>
        <w:rPr>
          <w:szCs w:val="24"/>
        </w:rPr>
        <w:t xml:space="preserve">shift bridging visa cessation from effective notification of the decision to the decision itself; </w:t>
      </w:r>
    </w:p>
    <w:p w:rsidR="00EB776A" w:rsidRDefault="00EB776A" w:rsidP="008845CB">
      <w:pPr>
        <w:pStyle w:val="ListParagraph"/>
        <w:numPr>
          <w:ilvl w:val="0"/>
          <w:numId w:val="8"/>
        </w:numPr>
        <w:spacing w:before="120" w:after="120"/>
        <w:contextualSpacing/>
        <w:jc w:val="both"/>
        <w:rPr>
          <w:szCs w:val="24"/>
        </w:rPr>
      </w:pPr>
      <w:r>
        <w:rPr>
          <w:szCs w:val="24"/>
        </w:rPr>
        <w:t xml:space="preserve">provide greater consistency and certainty in relation to when a bridging visa ceases, and more generally, the immigration status of the person/s concerned once a decision has been made; </w:t>
      </w:r>
    </w:p>
    <w:p w:rsidR="00EB776A" w:rsidRDefault="00EB776A" w:rsidP="008845CB">
      <w:pPr>
        <w:pStyle w:val="ListParagraph"/>
        <w:numPr>
          <w:ilvl w:val="0"/>
          <w:numId w:val="8"/>
        </w:numPr>
        <w:spacing w:before="120" w:after="120"/>
        <w:contextualSpacing/>
        <w:jc w:val="both"/>
        <w:rPr>
          <w:szCs w:val="24"/>
        </w:rPr>
      </w:pPr>
      <w:r>
        <w:rPr>
          <w:szCs w:val="24"/>
        </w:rPr>
        <w:t>produce greater efficiencies and streamline the processes and timeframes in relation to the immigration status resolution process; and</w:t>
      </w:r>
    </w:p>
    <w:p w:rsidR="00EB776A" w:rsidRPr="00013A9C" w:rsidRDefault="00EB776A" w:rsidP="008845CB">
      <w:pPr>
        <w:pStyle w:val="ListParagraph"/>
        <w:numPr>
          <w:ilvl w:val="0"/>
          <w:numId w:val="8"/>
        </w:numPr>
        <w:spacing w:before="120" w:after="120"/>
        <w:contextualSpacing/>
        <w:jc w:val="both"/>
        <w:rPr>
          <w:szCs w:val="24"/>
        </w:rPr>
      </w:pPr>
      <w:r>
        <w:rPr>
          <w:szCs w:val="24"/>
        </w:rPr>
        <w:t>encourage visa applicants to more proactively engage with the Department of Immigration and Border Protection to facilitate the efficient management of their immigration status.</w:t>
      </w:r>
    </w:p>
    <w:p w:rsidR="00EB776A" w:rsidRDefault="00EB776A" w:rsidP="00EB776A">
      <w:pPr>
        <w:spacing w:before="120"/>
        <w:jc w:val="both"/>
        <w:rPr>
          <w:szCs w:val="24"/>
        </w:rPr>
      </w:pPr>
      <w:r>
        <w:rPr>
          <w:szCs w:val="24"/>
        </w:rPr>
        <w:t>The amendment does not affect whether or not a visa application is finally determined, or timeframes for applying for merits review. Visa applicants will still need to be properly notified of a decision in relation to their visa application for the application to be finally determined; and the legislative amendment does not deal with or affect merits review timeframes, which still require effective notification in order to trigger the timeframe for merits review.</w:t>
      </w:r>
    </w:p>
    <w:p w:rsidR="00977BA9" w:rsidRDefault="00977BA9" w:rsidP="00EB776A">
      <w:pPr>
        <w:spacing w:before="120" w:after="120"/>
        <w:jc w:val="both"/>
        <w:rPr>
          <w:b/>
          <w:szCs w:val="24"/>
        </w:rPr>
      </w:pPr>
    </w:p>
    <w:p w:rsidR="00EB776A" w:rsidRPr="00E4135E" w:rsidRDefault="00EB776A" w:rsidP="00EB776A">
      <w:pPr>
        <w:spacing w:before="120" w:after="120"/>
        <w:jc w:val="both"/>
        <w:rPr>
          <w:b/>
          <w:szCs w:val="24"/>
        </w:rPr>
      </w:pPr>
      <w:r w:rsidRPr="00E4135E">
        <w:rPr>
          <w:b/>
          <w:szCs w:val="24"/>
        </w:rPr>
        <w:t>Conclusion</w:t>
      </w:r>
    </w:p>
    <w:p w:rsidR="00EB776A" w:rsidRDefault="00010BCA" w:rsidP="00EB776A">
      <w:pPr>
        <w:spacing w:before="120" w:after="120"/>
        <w:jc w:val="both"/>
        <w:rPr>
          <w:szCs w:val="24"/>
        </w:rPr>
      </w:pPr>
      <w:r>
        <w:rPr>
          <w:szCs w:val="24"/>
        </w:rPr>
        <w:t>The amendments in this schedule engage</w:t>
      </w:r>
      <w:r w:rsidR="00EB776A">
        <w:rPr>
          <w:szCs w:val="24"/>
        </w:rPr>
        <w:t xml:space="preserve"> Article 9 of the ICCPR by affecting the period of time within which a non-citizen’s bridging visa will cease, which may lead to a person becoming an unlawful non-citizen if no other visa is held; however, it does not limit this right. </w:t>
      </w:r>
    </w:p>
    <w:p w:rsidR="00AD3210" w:rsidRPr="00AE2653" w:rsidRDefault="00AD3210" w:rsidP="001937A4">
      <w:pPr>
        <w:spacing w:before="0"/>
        <w:rPr>
          <w:rFonts w:eastAsiaTheme="minorHAnsi"/>
          <w:b/>
          <w:szCs w:val="24"/>
          <w:highlight w:val="yellow"/>
          <w:u w:val="single"/>
          <w:lang w:eastAsia="en-US"/>
        </w:rPr>
      </w:pPr>
    </w:p>
    <w:p w:rsidR="00010BCA" w:rsidRPr="00A70FBB" w:rsidRDefault="00010BCA" w:rsidP="00010BCA">
      <w:pPr>
        <w:spacing w:before="120" w:after="120"/>
        <w:jc w:val="center"/>
        <w:rPr>
          <w:b/>
          <w:szCs w:val="24"/>
        </w:rPr>
      </w:pPr>
      <w:r w:rsidRPr="00A70FBB">
        <w:rPr>
          <w:b/>
          <w:szCs w:val="24"/>
        </w:rPr>
        <w:t>The Hon. Peter Dutton MP, Minister for Immigration and Border Protection</w:t>
      </w:r>
    </w:p>
    <w:p w:rsidR="00BD6620" w:rsidRDefault="00BD6620" w:rsidP="00010BCA">
      <w:pPr>
        <w:tabs>
          <w:tab w:val="left" w:pos="709"/>
        </w:tabs>
        <w:contextualSpacing/>
      </w:pPr>
    </w:p>
    <w:p w:rsidR="00BD6620" w:rsidRDefault="00BD6620" w:rsidP="00EE06BD">
      <w:pPr>
        <w:spacing w:before="0"/>
      </w:pPr>
    </w:p>
    <w:p w:rsidR="00781B14" w:rsidRPr="005D7CFC" w:rsidRDefault="00781B14" w:rsidP="00252F64">
      <w:pPr>
        <w:tabs>
          <w:tab w:val="left" w:pos="345"/>
        </w:tabs>
        <w:spacing w:before="0"/>
        <w:ind w:right="43"/>
        <w:jc w:val="right"/>
        <w:rPr>
          <w:b/>
          <w:szCs w:val="24"/>
          <w:u w:val="single"/>
        </w:rPr>
      </w:pPr>
      <w:bookmarkStart w:id="0" w:name="JD_401740a41"/>
      <w:bookmarkStart w:id="1" w:name="JD_401740b41"/>
      <w:bookmarkStart w:id="2" w:name="JD_401740c41"/>
      <w:bookmarkEnd w:id="0"/>
      <w:bookmarkEnd w:id="1"/>
      <w:bookmarkEnd w:id="2"/>
      <w:r>
        <w:rPr>
          <w:b/>
          <w:szCs w:val="24"/>
          <w:u w:val="single"/>
        </w:rPr>
        <w:t xml:space="preserve">ATTACHMENT </w:t>
      </w:r>
      <w:r w:rsidR="005D2F8A">
        <w:rPr>
          <w:b/>
          <w:szCs w:val="24"/>
          <w:u w:val="single"/>
        </w:rPr>
        <w:t>C</w:t>
      </w:r>
    </w:p>
    <w:p w:rsidR="00781B14" w:rsidRDefault="00781B14" w:rsidP="00252F64">
      <w:pPr>
        <w:tabs>
          <w:tab w:val="left" w:pos="345"/>
        </w:tabs>
        <w:spacing w:before="0"/>
        <w:ind w:right="43"/>
        <w:jc w:val="right"/>
        <w:rPr>
          <w:b/>
          <w:szCs w:val="24"/>
          <w:u w:val="single"/>
        </w:rPr>
      </w:pPr>
    </w:p>
    <w:p w:rsidR="0085440C" w:rsidRPr="0085440C" w:rsidRDefault="006C1B9B" w:rsidP="00252F64">
      <w:pPr>
        <w:pStyle w:val="Default"/>
        <w:jc w:val="center"/>
        <w:rPr>
          <w:b/>
          <w:i/>
          <w:u w:val="single"/>
        </w:rPr>
      </w:pPr>
      <w:r w:rsidRPr="005D7CFC">
        <w:rPr>
          <w:b/>
          <w:u w:val="single"/>
        </w:rPr>
        <w:t xml:space="preserve">Details </w:t>
      </w:r>
      <w:r w:rsidRPr="0085440C">
        <w:rPr>
          <w:b/>
          <w:u w:val="single"/>
        </w:rPr>
        <w:t xml:space="preserve">of the </w:t>
      </w:r>
      <w:r w:rsidR="0085440C" w:rsidRPr="00A054DE">
        <w:rPr>
          <w:b/>
          <w:i/>
          <w:u w:val="single"/>
        </w:rPr>
        <w:t>Migration Legislation Amendment (2016 Measures No.</w:t>
      </w:r>
      <w:r w:rsidR="00744C33">
        <w:rPr>
          <w:b/>
          <w:i/>
          <w:u w:val="single"/>
        </w:rPr>
        <w:t xml:space="preserve"> </w:t>
      </w:r>
      <w:r w:rsidR="00724C43">
        <w:rPr>
          <w:b/>
          <w:i/>
          <w:u w:val="single"/>
        </w:rPr>
        <w:t>5</w:t>
      </w:r>
      <w:r w:rsidR="0085440C" w:rsidRPr="00A054DE">
        <w:rPr>
          <w:b/>
          <w:i/>
          <w:u w:val="single"/>
        </w:rPr>
        <w:t>)</w:t>
      </w:r>
      <w:r w:rsidR="0085440C" w:rsidRPr="0085440C">
        <w:rPr>
          <w:b/>
          <w:i/>
          <w:u w:val="single"/>
        </w:rPr>
        <w:t xml:space="preserve"> Regulation 2016</w:t>
      </w:r>
    </w:p>
    <w:p w:rsidR="006C1B9B" w:rsidRPr="005D7CFC" w:rsidRDefault="006C1B9B" w:rsidP="00252F64">
      <w:pPr>
        <w:spacing w:before="0"/>
        <w:ind w:right="43"/>
        <w:rPr>
          <w:b/>
          <w:i/>
          <w:szCs w:val="24"/>
          <w:u w:val="single"/>
        </w:rPr>
      </w:pPr>
    </w:p>
    <w:p w:rsidR="006C1B9B" w:rsidRPr="005D7CFC" w:rsidRDefault="006C1B9B" w:rsidP="00252F64">
      <w:pPr>
        <w:spacing w:before="0"/>
        <w:ind w:right="91"/>
        <w:jc w:val="both"/>
      </w:pPr>
      <w:r w:rsidRPr="005D7CFC">
        <w:rPr>
          <w:u w:val="single"/>
        </w:rPr>
        <w:t xml:space="preserve">Section 1 – Name </w:t>
      </w:r>
    </w:p>
    <w:p w:rsidR="006C1B9B" w:rsidRPr="005D7CFC" w:rsidRDefault="006C1B9B" w:rsidP="00252F64">
      <w:pPr>
        <w:spacing w:before="0"/>
        <w:ind w:right="91"/>
        <w:jc w:val="both"/>
      </w:pPr>
    </w:p>
    <w:p w:rsidR="00A76BD5" w:rsidRPr="00A76BD5" w:rsidRDefault="006C1B9B" w:rsidP="00252F64">
      <w:pPr>
        <w:pStyle w:val="Default"/>
        <w:rPr>
          <w:i/>
        </w:rPr>
      </w:pPr>
      <w:r w:rsidRPr="00A76BD5">
        <w:t xml:space="preserve">This section provides that the title of </w:t>
      </w:r>
      <w:r w:rsidRPr="00A054DE">
        <w:t xml:space="preserve">the </w:t>
      </w:r>
      <w:r w:rsidR="003220C9" w:rsidRPr="00A054DE">
        <w:t xml:space="preserve">Regulation </w:t>
      </w:r>
      <w:r w:rsidRPr="00A054DE">
        <w:t xml:space="preserve">is the </w:t>
      </w:r>
      <w:r w:rsidR="00A76BD5" w:rsidRPr="00A054DE">
        <w:rPr>
          <w:i/>
        </w:rPr>
        <w:t xml:space="preserve">Migration Legislation Amendment (2016 Measures No. </w:t>
      </w:r>
      <w:r w:rsidR="00724C43">
        <w:rPr>
          <w:i/>
        </w:rPr>
        <w:t>5</w:t>
      </w:r>
      <w:r w:rsidR="00A76BD5" w:rsidRPr="00A054DE">
        <w:rPr>
          <w:i/>
        </w:rPr>
        <w:t>) Regulation 2016</w:t>
      </w:r>
      <w:r w:rsidR="0099351D">
        <w:t xml:space="preserve"> (the Regulation).</w:t>
      </w:r>
    </w:p>
    <w:p w:rsidR="006C1B9B" w:rsidRPr="005D7CFC" w:rsidRDefault="006C1B9B" w:rsidP="00252F64">
      <w:pPr>
        <w:spacing w:before="0"/>
        <w:ind w:right="91"/>
        <w:jc w:val="both"/>
      </w:pPr>
    </w:p>
    <w:p w:rsidR="006C1B9B" w:rsidRPr="005D7CFC" w:rsidRDefault="006C1B9B" w:rsidP="00252F64">
      <w:pPr>
        <w:spacing w:before="0"/>
        <w:ind w:right="91"/>
        <w:jc w:val="both"/>
        <w:rPr>
          <w:u w:val="single"/>
        </w:rPr>
      </w:pPr>
      <w:r w:rsidRPr="005D7CFC">
        <w:rPr>
          <w:u w:val="single"/>
        </w:rPr>
        <w:t>Section 2 – Commencement</w:t>
      </w:r>
    </w:p>
    <w:p w:rsidR="006C1B9B" w:rsidRPr="005D7CFC" w:rsidRDefault="006C1B9B" w:rsidP="00252F64">
      <w:pPr>
        <w:spacing w:before="0"/>
        <w:ind w:right="91"/>
        <w:jc w:val="both"/>
      </w:pPr>
    </w:p>
    <w:p w:rsidR="00E62081" w:rsidRDefault="00E62081" w:rsidP="00E62081">
      <w:pPr>
        <w:tabs>
          <w:tab w:val="left" w:pos="8364"/>
        </w:tabs>
        <w:spacing w:before="0"/>
        <w:ind w:right="84"/>
        <w:rPr>
          <w:szCs w:val="24"/>
        </w:rPr>
      </w:pPr>
      <w:r w:rsidRPr="005D7CFC">
        <w:rPr>
          <w:szCs w:val="24"/>
        </w:rPr>
        <w:t>T</w:t>
      </w:r>
      <w:r w:rsidR="001311D6">
        <w:rPr>
          <w:szCs w:val="24"/>
        </w:rPr>
        <w:t>his section provides for the Regulation to commence on 19 November 2016</w:t>
      </w:r>
      <w:r w:rsidRPr="005D7CFC">
        <w:rPr>
          <w:szCs w:val="24"/>
        </w:rPr>
        <w:t>.</w:t>
      </w:r>
    </w:p>
    <w:p w:rsidR="00E62081" w:rsidRPr="005D7CFC" w:rsidRDefault="00E62081" w:rsidP="00E62081">
      <w:pPr>
        <w:tabs>
          <w:tab w:val="left" w:pos="8364"/>
        </w:tabs>
        <w:spacing w:before="0"/>
        <w:ind w:right="84"/>
        <w:rPr>
          <w:szCs w:val="24"/>
        </w:rPr>
      </w:pPr>
    </w:p>
    <w:p w:rsidR="00B14AD6" w:rsidRPr="005D7CFC" w:rsidRDefault="00B14AD6" w:rsidP="00252F64">
      <w:pPr>
        <w:pStyle w:val="Default"/>
        <w:rPr>
          <w:color w:val="auto"/>
        </w:rPr>
      </w:pPr>
      <w:r w:rsidRPr="005D7CFC">
        <w:rPr>
          <w:color w:val="auto"/>
        </w:rPr>
        <w:t xml:space="preserve">Subsection 2(1) provides that each provision of the </w:t>
      </w:r>
      <w:r w:rsidR="00AE2037">
        <w:rPr>
          <w:color w:val="auto"/>
        </w:rPr>
        <w:t xml:space="preserve">instrument </w:t>
      </w:r>
      <w:r w:rsidRPr="005D7CFC">
        <w:rPr>
          <w:color w:val="auto"/>
        </w:rPr>
        <w:t>specified in column 1 of the table commences, or is taken to have commenced, in accordance with column 2 of the table. Any other statement in column 2 has effect according to its terms.</w:t>
      </w:r>
    </w:p>
    <w:p w:rsidR="00B14AD6" w:rsidRPr="005D7CFC" w:rsidRDefault="00B14AD6" w:rsidP="00252F64">
      <w:pPr>
        <w:pStyle w:val="Default"/>
        <w:rPr>
          <w:color w:val="auto"/>
        </w:rPr>
      </w:pPr>
    </w:p>
    <w:p w:rsidR="00B14AD6" w:rsidRPr="005D7CFC" w:rsidRDefault="00B14AD6" w:rsidP="00252F64">
      <w:pPr>
        <w:pStyle w:val="Default"/>
        <w:rPr>
          <w:color w:val="auto"/>
        </w:rPr>
      </w:pPr>
      <w:r w:rsidRPr="005D7CFC">
        <w:rPr>
          <w:color w:val="auto"/>
        </w:rPr>
        <w:t>A note clarifies that this table relates only to the provisions of this instrument as originally made. It will not be amended to deal with any later amendments of this instrument.</w:t>
      </w:r>
    </w:p>
    <w:p w:rsidR="00B14AD6" w:rsidRPr="005D7CFC" w:rsidRDefault="00B14AD6" w:rsidP="00252F64">
      <w:pPr>
        <w:pStyle w:val="Default"/>
        <w:rPr>
          <w:color w:val="auto"/>
        </w:rPr>
      </w:pPr>
    </w:p>
    <w:p w:rsidR="00B14AD6" w:rsidRPr="005D7CFC" w:rsidRDefault="00B14AD6" w:rsidP="00252F64">
      <w:pPr>
        <w:pStyle w:val="Default"/>
        <w:rPr>
          <w:color w:val="auto"/>
        </w:rPr>
      </w:pPr>
      <w:r w:rsidRPr="005D7CFC">
        <w:rPr>
          <w:color w:val="auto"/>
        </w:rPr>
        <w:t xml:space="preserve">Subsection 2(2) provides that any information in column 3 of the table is not part of the </w:t>
      </w:r>
      <w:r w:rsidR="00687286">
        <w:rPr>
          <w:color w:val="auto"/>
        </w:rPr>
        <w:t>instrument</w:t>
      </w:r>
      <w:r w:rsidRPr="005D7CFC">
        <w:rPr>
          <w:color w:val="auto"/>
        </w:rPr>
        <w:t>. Information may be inserted in this column, or information in it may be edited, in any published version of this instrument. Column 3 of the table provides the date/details of the commencement date.</w:t>
      </w:r>
    </w:p>
    <w:p w:rsidR="00B14AD6" w:rsidRPr="005D7CFC" w:rsidRDefault="00B14AD6" w:rsidP="00252F64">
      <w:pPr>
        <w:spacing w:before="0"/>
        <w:ind w:right="91"/>
        <w:jc w:val="both"/>
      </w:pPr>
    </w:p>
    <w:p w:rsidR="006C1B9B" w:rsidRPr="005D7CFC" w:rsidRDefault="006C1B9B" w:rsidP="00252F64">
      <w:pPr>
        <w:spacing w:before="0"/>
        <w:ind w:right="91"/>
        <w:jc w:val="both"/>
      </w:pPr>
      <w:r w:rsidRPr="005D7CFC">
        <w:rPr>
          <w:u w:val="single"/>
        </w:rPr>
        <w:t>Section 3 – Authority</w:t>
      </w:r>
    </w:p>
    <w:p w:rsidR="006C1B9B" w:rsidRPr="005D7CFC" w:rsidRDefault="006C1B9B" w:rsidP="00252F64">
      <w:pPr>
        <w:spacing w:before="0"/>
        <w:ind w:right="91"/>
        <w:jc w:val="both"/>
      </w:pPr>
    </w:p>
    <w:p w:rsidR="006C1B9B" w:rsidRPr="005D7CFC" w:rsidRDefault="0013568C" w:rsidP="0013568C">
      <w:pPr>
        <w:spacing w:before="0"/>
        <w:ind w:right="91"/>
        <w:jc w:val="both"/>
        <w:rPr>
          <w:rFonts w:eastAsia="Calibri"/>
          <w:szCs w:val="24"/>
          <w:lang w:eastAsia="en-US"/>
        </w:rPr>
      </w:pPr>
      <w:r w:rsidRPr="005D7CFC">
        <w:rPr>
          <w:rFonts w:eastAsia="Calibri"/>
          <w:szCs w:val="24"/>
          <w:lang w:eastAsia="en-US"/>
        </w:rPr>
        <w:t xml:space="preserve">The purpose of this section is to set out the </w:t>
      </w:r>
      <w:r>
        <w:rPr>
          <w:rFonts w:eastAsia="Calibri"/>
          <w:szCs w:val="24"/>
          <w:lang w:eastAsia="en-US"/>
        </w:rPr>
        <w:t>authority</w:t>
      </w:r>
      <w:r w:rsidRPr="005D7CFC">
        <w:rPr>
          <w:rFonts w:eastAsia="Calibri"/>
          <w:szCs w:val="24"/>
          <w:lang w:eastAsia="en-US"/>
        </w:rPr>
        <w:t xml:space="preserve"> under which </w:t>
      </w:r>
      <w:r>
        <w:rPr>
          <w:rFonts w:eastAsia="Calibri"/>
          <w:szCs w:val="24"/>
          <w:lang w:eastAsia="en-US"/>
        </w:rPr>
        <w:t xml:space="preserve">the Regulation is </w:t>
      </w:r>
      <w:r w:rsidRPr="005D7CFC">
        <w:rPr>
          <w:rFonts w:eastAsia="Calibri"/>
          <w:szCs w:val="24"/>
          <w:lang w:eastAsia="en-US"/>
        </w:rPr>
        <w:t>made</w:t>
      </w:r>
      <w:r>
        <w:rPr>
          <w:rFonts w:eastAsia="Calibri"/>
          <w:szCs w:val="24"/>
          <w:lang w:eastAsia="en-US"/>
        </w:rPr>
        <w:t xml:space="preserve">, namely the </w:t>
      </w:r>
      <w:r w:rsidR="006C1B9B" w:rsidRPr="005D7CFC">
        <w:rPr>
          <w:rFonts w:eastAsia="Calibri"/>
          <w:i/>
          <w:szCs w:val="24"/>
          <w:lang w:eastAsia="en-US"/>
        </w:rPr>
        <w:t>Migration Act 1958</w:t>
      </w:r>
      <w:r w:rsidR="008A6165" w:rsidRPr="005D7CFC">
        <w:rPr>
          <w:rFonts w:eastAsia="Calibri"/>
          <w:szCs w:val="24"/>
          <w:lang w:eastAsia="en-US"/>
        </w:rPr>
        <w:t xml:space="preserve"> (the Migration Act)</w:t>
      </w:r>
      <w:r>
        <w:rPr>
          <w:rFonts w:eastAsia="Calibri"/>
          <w:szCs w:val="24"/>
          <w:lang w:eastAsia="en-US"/>
        </w:rPr>
        <w:t>.</w:t>
      </w:r>
    </w:p>
    <w:p w:rsidR="003239D3" w:rsidRPr="005D7CFC" w:rsidRDefault="003239D3" w:rsidP="00252F64">
      <w:pPr>
        <w:spacing w:before="0"/>
        <w:ind w:right="91"/>
        <w:jc w:val="both"/>
        <w:rPr>
          <w:rFonts w:eastAsia="Calibri"/>
          <w:szCs w:val="24"/>
          <w:lang w:eastAsia="en-US"/>
        </w:rPr>
      </w:pPr>
    </w:p>
    <w:p w:rsidR="006C1B9B" w:rsidRPr="005D7CFC" w:rsidRDefault="00E62081" w:rsidP="00252F64">
      <w:pPr>
        <w:pStyle w:val="EMHeading"/>
        <w:keepNext w:val="0"/>
        <w:spacing w:after="0"/>
        <w:ind w:right="91"/>
        <w:jc w:val="both"/>
      </w:pPr>
      <w:r>
        <w:t>Section 4 – Schedule</w:t>
      </w:r>
      <w:r w:rsidR="006C1B9B" w:rsidRPr="005D7CFC">
        <w:t>s</w:t>
      </w:r>
    </w:p>
    <w:p w:rsidR="006C1B9B" w:rsidRPr="005D7CFC" w:rsidRDefault="006C1B9B" w:rsidP="00252F64">
      <w:pPr>
        <w:spacing w:before="0"/>
        <w:ind w:right="91"/>
        <w:jc w:val="both"/>
      </w:pPr>
    </w:p>
    <w:p w:rsidR="00BE637F" w:rsidRDefault="00BE637F" w:rsidP="00BE637F">
      <w:pPr>
        <w:spacing w:before="0"/>
        <w:ind w:right="-57"/>
        <w:rPr>
          <w:rFonts w:eastAsia="Calibri"/>
          <w:szCs w:val="24"/>
          <w:lang w:eastAsia="en-US"/>
        </w:rPr>
      </w:pPr>
      <w:r w:rsidRPr="005D7CFC">
        <w:rPr>
          <w:rFonts w:eastAsia="Calibri"/>
          <w:szCs w:val="24"/>
          <w:lang w:eastAsia="en-US"/>
        </w:rPr>
        <w:t>The purpose of this section is to provi</w:t>
      </w:r>
      <w:r>
        <w:rPr>
          <w:rFonts w:eastAsia="Calibri"/>
          <w:szCs w:val="24"/>
          <w:lang w:eastAsia="en-US"/>
        </w:rPr>
        <w:t xml:space="preserve">de for how the amendments </w:t>
      </w:r>
      <w:r w:rsidR="009F495C">
        <w:rPr>
          <w:rFonts w:eastAsia="Calibri"/>
          <w:szCs w:val="24"/>
          <w:lang w:eastAsia="en-US"/>
        </w:rPr>
        <w:t xml:space="preserve">in each Schedule of </w:t>
      </w:r>
      <w:r>
        <w:rPr>
          <w:rFonts w:eastAsia="Calibri"/>
          <w:szCs w:val="24"/>
          <w:lang w:eastAsia="en-US"/>
        </w:rPr>
        <w:t xml:space="preserve">the Regulation </w:t>
      </w:r>
      <w:r w:rsidRPr="005D7CFC">
        <w:rPr>
          <w:rFonts w:eastAsia="Calibri"/>
          <w:szCs w:val="24"/>
          <w:lang w:eastAsia="en-US"/>
        </w:rPr>
        <w:t>operate.</w:t>
      </w:r>
    </w:p>
    <w:p w:rsidR="00BE637F" w:rsidRDefault="00BE637F" w:rsidP="00BE637F">
      <w:pPr>
        <w:spacing w:before="0"/>
        <w:ind w:right="-57"/>
        <w:rPr>
          <w:rFonts w:eastAsia="Calibri"/>
          <w:szCs w:val="24"/>
          <w:lang w:eastAsia="en-US"/>
        </w:rPr>
      </w:pPr>
    </w:p>
    <w:p w:rsidR="003239D3" w:rsidRPr="005D7CFC" w:rsidRDefault="00BE637F" w:rsidP="00BE637F">
      <w:pPr>
        <w:spacing w:before="0"/>
        <w:ind w:right="-57"/>
        <w:rPr>
          <w:rFonts w:eastAsia="Calibri"/>
          <w:szCs w:val="24"/>
          <w:lang w:eastAsia="en-US"/>
        </w:rPr>
      </w:pPr>
      <w:r>
        <w:rPr>
          <w:rFonts w:eastAsia="Calibri"/>
          <w:szCs w:val="24"/>
          <w:lang w:eastAsia="en-US"/>
        </w:rPr>
        <w:t xml:space="preserve">It provides that </w:t>
      </w:r>
      <w:r w:rsidR="003239D3" w:rsidRPr="005D7CFC">
        <w:t xml:space="preserve">each instrument </w:t>
      </w:r>
      <w:r w:rsidR="003239D3" w:rsidRPr="005D7CFC">
        <w:rPr>
          <w:rFonts w:eastAsia="Calibri"/>
          <w:szCs w:val="24"/>
          <w:lang w:eastAsia="en-US"/>
        </w:rPr>
        <w:t xml:space="preserve">specified in a Schedule to </w:t>
      </w:r>
      <w:r>
        <w:rPr>
          <w:rFonts w:eastAsia="Calibri"/>
          <w:szCs w:val="24"/>
          <w:lang w:eastAsia="en-US"/>
        </w:rPr>
        <w:t>the</w:t>
      </w:r>
      <w:r w:rsidR="003239D3" w:rsidRPr="005D7CFC">
        <w:rPr>
          <w:rFonts w:eastAsia="Calibri"/>
          <w:szCs w:val="24"/>
          <w:lang w:eastAsia="en-US"/>
        </w:rPr>
        <w:t xml:space="preserve"> </w:t>
      </w:r>
      <w:r w:rsidR="009F495C">
        <w:rPr>
          <w:rFonts w:eastAsia="Calibri"/>
          <w:szCs w:val="24"/>
          <w:lang w:eastAsia="en-US"/>
        </w:rPr>
        <w:t>Regulation</w:t>
      </w:r>
      <w:r w:rsidR="003239D3" w:rsidRPr="005D7CFC">
        <w:rPr>
          <w:rFonts w:eastAsia="Calibri"/>
          <w:szCs w:val="24"/>
          <w:lang w:eastAsia="en-US"/>
        </w:rPr>
        <w:t xml:space="preserve"> is amended or repealed as set out in the applicable items in the Schedule concerned</w:t>
      </w:r>
      <w:r>
        <w:rPr>
          <w:rFonts w:eastAsia="Calibri"/>
          <w:szCs w:val="24"/>
          <w:lang w:eastAsia="en-US"/>
        </w:rPr>
        <w:t xml:space="preserve">, and that any </w:t>
      </w:r>
      <w:r w:rsidR="003239D3" w:rsidRPr="005D7CFC">
        <w:rPr>
          <w:rFonts w:eastAsia="Calibri"/>
          <w:szCs w:val="24"/>
          <w:lang w:eastAsia="en-US"/>
        </w:rPr>
        <w:t>other item in a Schedule to th</w:t>
      </w:r>
      <w:r w:rsidR="00100677">
        <w:rPr>
          <w:rFonts w:eastAsia="Calibri"/>
          <w:szCs w:val="24"/>
          <w:lang w:eastAsia="en-US"/>
        </w:rPr>
        <w:t>e Regulation</w:t>
      </w:r>
      <w:r w:rsidR="003239D3" w:rsidRPr="005D7CFC">
        <w:rPr>
          <w:rFonts w:eastAsia="Calibri"/>
          <w:szCs w:val="24"/>
          <w:lang w:eastAsia="en-US"/>
        </w:rPr>
        <w:t xml:space="preserve"> has effect according to its terms.</w:t>
      </w:r>
    </w:p>
    <w:p w:rsidR="006C1B9B" w:rsidRPr="005D7CFC" w:rsidRDefault="006C1B9B" w:rsidP="00252F64">
      <w:pPr>
        <w:spacing w:before="0"/>
        <w:ind w:right="91"/>
        <w:jc w:val="both"/>
        <w:rPr>
          <w:rFonts w:eastAsia="Calibri"/>
          <w:szCs w:val="24"/>
          <w:lang w:eastAsia="en-US"/>
        </w:rPr>
      </w:pPr>
    </w:p>
    <w:p w:rsidR="00B45BA1" w:rsidRPr="00D60D50" w:rsidRDefault="0051068A" w:rsidP="00155F4A">
      <w:pPr>
        <w:spacing w:before="0"/>
        <w:ind w:right="-57"/>
        <w:rPr>
          <w:b/>
          <w:szCs w:val="24"/>
          <w:u w:val="single"/>
        </w:rPr>
      </w:pPr>
      <w:r w:rsidRPr="00D60D50">
        <w:rPr>
          <w:b/>
          <w:szCs w:val="24"/>
          <w:u w:val="single"/>
        </w:rPr>
        <w:t xml:space="preserve">Schedule 1 – </w:t>
      </w:r>
      <w:r w:rsidR="00EB776A">
        <w:rPr>
          <w:b/>
          <w:u w:val="single"/>
        </w:rPr>
        <w:t>Frequent Traveller Stream</w:t>
      </w:r>
    </w:p>
    <w:p w:rsidR="007F779F" w:rsidRPr="00D60D50" w:rsidRDefault="007F779F" w:rsidP="00155F4A">
      <w:pPr>
        <w:spacing w:before="0"/>
        <w:ind w:right="-57"/>
        <w:rPr>
          <w:szCs w:val="24"/>
          <w:u w:val="single"/>
        </w:rPr>
      </w:pPr>
    </w:p>
    <w:p w:rsidR="002A1454" w:rsidRDefault="002A1454" w:rsidP="00155F4A">
      <w:pPr>
        <w:spacing w:before="0"/>
        <w:ind w:right="-57"/>
        <w:rPr>
          <w:b/>
          <w:i/>
          <w:szCs w:val="24"/>
        </w:rPr>
      </w:pPr>
      <w:r w:rsidRPr="00A054DE">
        <w:rPr>
          <w:b/>
          <w:i/>
          <w:szCs w:val="24"/>
        </w:rPr>
        <w:t>Migration Regulations 1994</w:t>
      </w:r>
    </w:p>
    <w:p w:rsidR="00FF61CE" w:rsidRPr="00D60D50" w:rsidRDefault="00FF61CE" w:rsidP="00155F4A">
      <w:pPr>
        <w:spacing w:before="0"/>
        <w:ind w:right="-57"/>
        <w:rPr>
          <w:b/>
          <w:i/>
          <w:szCs w:val="24"/>
        </w:rPr>
      </w:pPr>
    </w:p>
    <w:p w:rsidR="00EB776A" w:rsidRPr="00407E9C" w:rsidRDefault="00EB776A" w:rsidP="00EB776A">
      <w:pPr>
        <w:spacing w:before="0"/>
        <w:ind w:right="91"/>
        <w:rPr>
          <w:u w:val="single"/>
        </w:rPr>
      </w:pPr>
      <w:r w:rsidRPr="00407E9C">
        <w:rPr>
          <w:u w:val="single"/>
        </w:rPr>
        <w:t>Item 1 – </w:t>
      </w:r>
      <w:r>
        <w:rPr>
          <w:u w:val="single"/>
        </w:rPr>
        <w:t>Subregulation 2.07(1) (note)</w:t>
      </w:r>
    </w:p>
    <w:p w:rsidR="00EB776A" w:rsidRPr="00407E9C" w:rsidRDefault="00EB776A" w:rsidP="00EB776A">
      <w:pPr>
        <w:tabs>
          <w:tab w:val="left" w:pos="6521"/>
        </w:tabs>
        <w:spacing w:before="0"/>
        <w:ind w:right="91"/>
      </w:pPr>
    </w:p>
    <w:p w:rsidR="00EB776A" w:rsidRDefault="00EB776A" w:rsidP="00EB776A">
      <w:pPr>
        <w:tabs>
          <w:tab w:val="left" w:pos="6521"/>
        </w:tabs>
        <w:spacing w:before="0"/>
        <w:ind w:right="91"/>
      </w:pPr>
      <w:r w:rsidRPr="00407E9C">
        <w:t>This</w:t>
      </w:r>
      <w:r>
        <w:t xml:space="preserve"> item is a technical amendment to update a note in order to reflect the changes made at items 2-4 below. </w:t>
      </w:r>
    </w:p>
    <w:p w:rsidR="00EB776A" w:rsidRDefault="00EB776A" w:rsidP="00EB776A">
      <w:pPr>
        <w:tabs>
          <w:tab w:val="left" w:pos="6521"/>
        </w:tabs>
        <w:spacing w:before="0"/>
        <w:ind w:right="91"/>
      </w:pPr>
    </w:p>
    <w:p w:rsidR="00EB776A" w:rsidRDefault="00EB776A" w:rsidP="00EB776A">
      <w:pPr>
        <w:tabs>
          <w:tab w:val="left" w:pos="6521"/>
        </w:tabs>
        <w:spacing w:before="0"/>
        <w:ind w:right="91"/>
        <w:rPr>
          <w:u w:val="single"/>
        </w:rPr>
      </w:pPr>
    </w:p>
    <w:p w:rsidR="00EB776A" w:rsidRPr="00407E9C" w:rsidRDefault="00EB776A" w:rsidP="00EB776A">
      <w:pPr>
        <w:tabs>
          <w:tab w:val="left" w:pos="6521"/>
        </w:tabs>
        <w:spacing w:before="0"/>
        <w:ind w:right="91"/>
        <w:rPr>
          <w:u w:val="single"/>
        </w:rPr>
      </w:pPr>
      <w:r w:rsidRPr="00407E9C">
        <w:rPr>
          <w:u w:val="single"/>
        </w:rPr>
        <w:t>Item</w:t>
      </w:r>
      <w:r>
        <w:rPr>
          <w:u w:val="single"/>
        </w:rPr>
        <w:t>s</w:t>
      </w:r>
      <w:r w:rsidRPr="00407E9C">
        <w:rPr>
          <w:u w:val="single"/>
        </w:rPr>
        <w:t> </w:t>
      </w:r>
      <w:r>
        <w:rPr>
          <w:u w:val="single"/>
        </w:rPr>
        <w:t>2-4</w:t>
      </w:r>
      <w:r w:rsidRPr="00407E9C">
        <w:rPr>
          <w:u w:val="single"/>
        </w:rPr>
        <w:t> – </w:t>
      </w:r>
      <w:r>
        <w:rPr>
          <w:u w:val="single"/>
        </w:rPr>
        <w:t>Subregulation 2.07(5) and paragraph 2.07(5)(c)</w:t>
      </w:r>
    </w:p>
    <w:p w:rsidR="00EB776A" w:rsidRPr="00407E9C" w:rsidRDefault="00EB776A" w:rsidP="00EB776A">
      <w:pPr>
        <w:tabs>
          <w:tab w:val="left" w:pos="6521"/>
        </w:tabs>
        <w:spacing w:before="0"/>
        <w:ind w:right="91"/>
      </w:pPr>
    </w:p>
    <w:p w:rsidR="006B5F8E" w:rsidRDefault="00EB776A" w:rsidP="00EB776A">
      <w:pPr>
        <w:tabs>
          <w:tab w:val="left" w:pos="6521"/>
        </w:tabs>
        <w:spacing w:before="0"/>
        <w:ind w:right="91"/>
      </w:pPr>
      <w:r>
        <w:t>These</w:t>
      </w:r>
      <w:r w:rsidRPr="00407E9C">
        <w:t xml:space="preserve"> item</w:t>
      </w:r>
      <w:r>
        <w:t>s</w:t>
      </w:r>
      <w:r w:rsidRPr="00407E9C">
        <w:t xml:space="preserve"> </w:t>
      </w:r>
      <w:r>
        <w:t>expand the matters the Minister can specify by legislative instrument</w:t>
      </w:r>
      <w:r w:rsidR="006E5782">
        <w:t xml:space="preserve"> under </w:t>
      </w:r>
      <w:r w:rsidR="00BB1692">
        <w:t>sub</w:t>
      </w:r>
      <w:r w:rsidR="006E5782">
        <w:t>regulation 2.07(5)</w:t>
      </w:r>
      <w:r>
        <w:t xml:space="preserve"> for the purposes of whether an application for a particular class of visa is valid. The matters the Minister </w:t>
      </w:r>
      <w:r w:rsidR="006E5782">
        <w:t>could</w:t>
      </w:r>
      <w:r>
        <w:t xml:space="preserve"> specify by legislative instrument</w:t>
      </w:r>
      <w:r w:rsidR="006E5782">
        <w:t xml:space="preserve"> under </w:t>
      </w:r>
      <w:r w:rsidR="00BB1692">
        <w:t>sub</w:t>
      </w:r>
      <w:r w:rsidR="006B5F8E">
        <w:t>regulation 2.07(5)</w:t>
      </w:r>
      <w:r>
        <w:t xml:space="preserve"> </w:t>
      </w:r>
      <w:r w:rsidR="006B5F8E">
        <w:t>were</w:t>
      </w:r>
      <w:r>
        <w:t xml:space="preserve">: the approved form for making an application for that visa class; the way in which a visa application for that visa class must be made, and the place at which an application for that visa class must be made. Items 2-4 expand the matters the Minister can specify by legislative instrument to include ‘any other matter’. </w:t>
      </w:r>
    </w:p>
    <w:p w:rsidR="006B5F8E" w:rsidRDefault="006B5F8E" w:rsidP="00EB776A">
      <w:pPr>
        <w:tabs>
          <w:tab w:val="left" w:pos="6521"/>
        </w:tabs>
        <w:spacing w:before="0"/>
        <w:ind w:right="91"/>
      </w:pPr>
    </w:p>
    <w:p w:rsidR="00C36728" w:rsidRDefault="007C6B7E" w:rsidP="00EB776A">
      <w:pPr>
        <w:tabs>
          <w:tab w:val="left" w:pos="6521"/>
        </w:tabs>
        <w:spacing w:before="0"/>
        <w:ind w:right="91"/>
      </w:pPr>
      <w:r>
        <w:t xml:space="preserve">This does not permit </w:t>
      </w:r>
      <w:r w:rsidR="006E5782">
        <w:t>the Minister</w:t>
      </w:r>
      <w:r>
        <w:t xml:space="preserve"> </w:t>
      </w:r>
      <w:r w:rsidR="006E5782">
        <w:t xml:space="preserve">to specify </w:t>
      </w:r>
      <w:r>
        <w:t xml:space="preserve">new </w:t>
      </w:r>
      <w:r w:rsidR="006E5782">
        <w:t>matters by instrument</w:t>
      </w:r>
      <w:r w:rsidR="00BB1692">
        <w:t xml:space="preserve"> without a regulation being made</w:t>
      </w:r>
      <w:r w:rsidR="008C3A07">
        <w:t>.  S</w:t>
      </w:r>
      <w:r w:rsidR="00BB1692">
        <w:t xml:space="preserve">ubregulation 2.07(5) requires that Schedule 1 to the </w:t>
      </w:r>
      <w:r w:rsidR="00EA28A9" w:rsidRPr="006B5F8E">
        <w:rPr>
          <w:i/>
        </w:rPr>
        <w:t>Migration R</w:t>
      </w:r>
      <w:r w:rsidR="00BB1692" w:rsidRPr="006B5F8E">
        <w:rPr>
          <w:i/>
        </w:rPr>
        <w:t xml:space="preserve">egulations </w:t>
      </w:r>
      <w:r w:rsidR="00EA28A9" w:rsidRPr="006B5F8E">
        <w:rPr>
          <w:i/>
        </w:rPr>
        <w:t xml:space="preserve">1994 </w:t>
      </w:r>
      <w:r w:rsidR="00EA28A9">
        <w:t xml:space="preserve">(the </w:t>
      </w:r>
      <w:r w:rsidR="00951FCE">
        <w:t xml:space="preserve">Migration </w:t>
      </w:r>
      <w:r w:rsidR="00EA28A9">
        <w:t xml:space="preserve">Regulations) </w:t>
      </w:r>
      <w:r w:rsidR="00BB1692">
        <w:t xml:space="preserve">must prescribe the matter to be specified by instrument. Therefore any additional matter to be specified </w:t>
      </w:r>
      <w:r w:rsidR="00FB75CA">
        <w:t>by</w:t>
      </w:r>
      <w:r w:rsidR="00BB1692">
        <w:t xml:space="preserve"> instrument must first be prescribed in Schedule 1, which would be an amendment in a disallowable instrument, thereby giving the Parliament the opportunity to scrutinise and disallow the amendment</w:t>
      </w:r>
      <w:r w:rsidR="00FB75CA">
        <w:t xml:space="preserve"> and prevent the matter being specified by instrument</w:t>
      </w:r>
      <w:r w:rsidR="0072780D">
        <w:t xml:space="preserve"> if it so wished</w:t>
      </w:r>
      <w:r w:rsidR="00BB1692">
        <w:t xml:space="preserve">. </w:t>
      </w:r>
      <w:r w:rsidR="00FB75CA">
        <w:t xml:space="preserve"> </w:t>
      </w:r>
    </w:p>
    <w:p w:rsidR="00C36728" w:rsidRDefault="00C36728" w:rsidP="00EB776A">
      <w:pPr>
        <w:tabs>
          <w:tab w:val="left" w:pos="6521"/>
        </w:tabs>
        <w:spacing w:before="0"/>
        <w:ind w:right="91"/>
      </w:pPr>
    </w:p>
    <w:p w:rsidR="0072780D" w:rsidRDefault="00C36728" w:rsidP="00EB776A">
      <w:pPr>
        <w:tabs>
          <w:tab w:val="left" w:pos="6521"/>
        </w:tabs>
        <w:spacing w:before="0"/>
        <w:ind w:right="91"/>
      </w:pPr>
      <w:r>
        <w:t xml:space="preserve">The amendment was not strictly necessary but was suggested by the Office of Parliamentary Counsel purely to simplify drafting so that </w:t>
      </w:r>
      <w:r w:rsidR="00EA28A9">
        <w:t xml:space="preserve">all </w:t>
      </w:r>
      <w:r>
        <w:t xml:space="preserve">provisions prescribing matters in Schedule 1 could refer back to </w:t>
      </w:r>
      <w:r w:rsidR="007C6B7E">
        <w:t>sub</w:t>
      </w:r>
      <w:r>
        <w:t>regulation 2.07(5) for neatness.</w:t>
      </w:r>
      <w:r w:rsidR="007C6B7E">
        <w:t xml:space="preserve"> </w:t>
      </w:r>
      <w:r w:rsidR="008C3A07">
        <w:t xml:space="preserve"> </w:t>
      </w:r>
      <w:r w:rsidR="007C6B7E">
        <w:t xml:space="preserve">In this way, the amendment is a technical amendment only and does not alter any existing instrument-making powers. </w:t>
      </w:r>
    </w:p>
    <w:p w:rsidR="00EB776A" w:rsidRPr="00090D1F" w:rsidRDefault="00EB776A" w:rsidP="00EB776A">
      <w:pPr>
        <w:tabs>
          <w:tab w:val="left" w:pos="6521"/>
        </w:tabs>
        <w:spacing w:before="0"/>
        <w:ind w:right="91"/>
      </w:pPr>
      <w:r>
        <w:t xml:space="preserve">These amendments support the changes at item 8, which set out the visa application validity requirements for the new </w:t>
      </w:r>
      <w:r w:rsidRPr="00431668">
        <w:t>Frequent Traveller stream</w:t>
      </w:r>
      <w:r>
        <w:t xml:space="preserve"> in the Subclass 600 (Visitor) visa</w:t>
      </w:r>
      <w:r w:rsidRPr="00431668">
        <w:t xml:space="preserve"> </w:t>
      </w:r>
      <w:r>
        <w:t xml:space="preserve">(Frequent Traveller visa). The amendments </w:t>
      </w:r>
      <w:r w:rsidR="00FB75CA">
        <w:t>do not</w:t>
      </w:r>
      <w:r>
        <w:t xml:space="preserve"> substantially alter existing arrangements for making visa applications, but support future flexibility to change and update administrative arrangements for making and processing applications.</w:t>
      </w:r>
    </w:p>
    <w:p w:rsidR="00EB776A" w:rsidRDefault="00EB776A" w:rsidP="00EB776A">
      <w:pPr>
        <w:tabs>
          <w:tab w:val="left" w:pos="6521"/>
        </w:tabs>
        <w:spacing w:before="0"/>
        <w:ind w:right="91"/>
      </w:pPr>
    </w:p>
    <w:p w:rsidR="00EB776A" w:rsidRDefault="00EB776A" w:rsidP="00EB776A">
      <w:pPr>
        <w:tabs>
          <w:tab w:val="left" w:pos="6521"/>
        </w:tabs>
        <w:spacing w:before="0"/>
        <w:ind w:right="91"/>
        <w:rPr>
          <w:u w:val="single"/>
        </w:rPr>
      </w:pPr>
      <w:r>
        <w:rPr>
          <w:u w:val="single"/>
        </w:rPr>
        <w:t>Item 5 – Subregulation 2.07(6)</w:t>
      </w:r>
    </w:p>
    <w:p w:rsidR="00EB776A" w:rsidRDefault="00EB776A" w:rsidP="00EB776A">
      <w:pPr>
        <w:tabs>
          <w:tab w:val="left" w:pos="6521"/>
        </w:tabs>
        <w:spacing w:before="0"/>
        <w:ind w:right="91"/>
        <w:rPr>
          <w:u w:val="single"/>
        </w:rPr>
      </w:pPr>
    </w:p>
    <w:p w:rsidR="00EB776A" w:rsidRPr="00256626" w:rsidRDefault="00EB776A" w:rsidP="00EB776A">
      <w:pPr>
        <w:tabs>
          <w:tab w:val="left" w:pos="6521"/>
        </w:tabs>
        <w:spacing w:before="0"/>
        <w:ind w:right="91"/>
      </w:pPr>
      <w:r w:rsidRPr="00256626">
        <w:t>Th</w:t>
      </w:r>
      <w:r>
        <w:t>is item makes a minor amendment, which is consequential to the changes at items 2-4 above and ensures consistency of language within the subregulation.</w:t>
      </w:r>
    </w:p>
    <w:p w:rsidR="00EB776A" w:rsidRDefault="00EB776A" w:rsidP="00EB776A">
      <w:pPr>
        <w:tabs>
          <w:tab w:val="left" w:pos="6521"/>
        </w:tabs>
        <w:spacing w:before="0"/>
        <w:ind w:right="91"/>
        <w:rPr>
          <w:u w:val="single"/>
        </w:rPr>
      </w:pPr>
    </w:p>
    <w:p w:rsidR="00EB776A" w:rsidRPr="00431668" w:rsidRDefault="00EB776A" w:rsidP="00EB776A">
      <w:pPr>
        <w:tabs>
          <w:tab w:val="left" w:pos="6521"/>
        </w:tabs>
        <w:spacing w:before="0"/>
        <w:ind w:right="91"/>
      </w:pPr>
      <w:r w:rsidRPr="00512677">
        <w:rPr>
          <w:u w:val="single"/>
        </w:rPr>
        <w:t>Item</w:t>
      </w:r>
      <w:r>
        <w:rPr>
          <w:u w:val="single"/>
        </w:rPr>
        <w:t>s</w:t>
      </w:r>
      <w:r w:rsidRPr="00512677">
        <w:rPr>
          <w:u w:val="single"/>
        </w:rPr>
        <w:t xml:space="preserve"> 6</w:t>
      </w:r>
      <w:r>
        <w:rPr>
          <w:u w:val="single"/>
        </w:rPr>
        <w:t>-</w:t>
      </w:r>
      <w:r w:rsidRPr="007F26D4">
        <w:rPr>
          <w:u w:val="single"/>
        </w:rPr>
        <w:t>7 - Paragraph 1236(2)(a) of Schedule 1 and after paragraph 1236(2)(a) of Schedule 1</w:t>
      </w:r>
    </w:p>
    <w:p w:rsidR="00EB776A" w:rsidRDefault="00EB776A" w:rsidP="00EB776A">
      <w:pPr>
        <w:tabs>
          <w:tab w:val="left" w:pos="6521"/>
        </w:tabs>
        <w:spacing w:before="0"/>
        <w:ind w:right="91"/>
        <w:rPr>
          <w:u w:val="single"/>
        </w:rPr>
      </w:pPr>
      <w:r>
        <w:t xml:space="preserve"> </w:t>
      </w:r>
    </w:p>
    <w:p w:rsidR="00EB776A" w:rsidRDefault="00EB776A" w:rsidP="00EB776A">
      <w:pPr>
        <w:tabs>
          <w:tab w:val="left" w:pos="0"/>
        </w:tabs>
        <w:spacing w:before="0"/>
        <w:ind w:right="91"/>
      </w:pPr>
      <w:r>
        <w:t>These items specify that the first instalment of the visa application charge for Frequent Traveller visas is $1,000, payable at the time of application. There is no second instalment.</w:t>
      </w:r>
    </w:p>
    <w:p w:rsidR="00EB776A" w:rsidRDefault="00EB776A" w:rsidP="00EB776A">
      <w:pPr>
        <w:tabs>
          <w:tab w:val="left" w:pos="0"/>
        </w:tabs>
        <w:spacing w:before="0"/>
        <w:ind w:right="91"/>
      </w:pPr>
    </w:p>
    <w:p w:rsidR="00EB776A" w:rsidRDefault="00EB776A" w:rsidP="00EB776A">
      <w:pPr>
        <w:tabs>
          <w:tab w:val="left" w:pos="0"/>
        </w:tabs>
        <w:spacing w:before="0"/>
        <w:ind w:right="91"/>
      </w:pPr>
      <w:r>
        <w:t>In calculating the amount of the visa application charge, the following considerations were relevant:</w:t>
      </w:r>
    </w:p>
    <w:p w:rsidR="00EB776A" w:rsidRDefault="00EB776A" w:rsidP="0089397F">
      <w:pPr>
        <w:pStyle w:val="ListParagraph"/>
        <w:numPr>
          <w:ilvl w:val="0"/>
          <w:numId w:val="20"/>
        </w:numPr>
        <w:tabs>
          <w:tab w:val="left" w:pos="0"/>
        </w:tabs>
        <w:spacing w:before="0"/>
        <w:ind w:right="91"/>
        <w:contextualSpacing/>
      </w:pPr>
      <w:r>
        <w:t xml:space="preserve">the number of visa applications </w:t>
      </w:r>
      <w:r w:rsidR="0091478C">
        <w:t xml:space="preserve">that would have been </w:t>
      </w:r>
      <w:r>
        <w:t>required to facilitate travel over a 10 year period</w:t>
      </w:r>
      <w:r w:rsidR="007D4A58">
        <w:t xml:space="preserve"> </w:t>
      </w:r>
      <w:r w:rsidR="0091478C">
        <w:t>prior to this visa stream being available</w:t>
      </w:r>
      <w:r>
        <w:t>;</w:t>
      </w:r>
    </w:p>
    <w:p w:rsidR="00EB776A" w:rsidRDefault="00EB776A" w:rsidP="0089397F">
      <w:pPr>
        <w:pStyle w:val="ListParagraph"/>
        <w:numPr>
          <w:ilvl w:val="0"/>
          <w:numId w:val="20"/>
        </w:numPr>
        <w:tabs>
          <w:tab w:val="left" w:pos="0"/>
        </w:tabs>
        <w:spacing w:before="0"/>
        <w:ind w:right="91"/>
        <w:contextualSpacing/>
      </w:pPr>
      <w:r>
        <w:t>the associated savings in visa application charges and compliance with regulatory requirements; and</w:t>
      </w:r>
    </w:p>
    <w:p w:rsidR="00EB776A" w:rsidRDefault="00EB776A" w:rsidP="0089397F">
      <w:pPr>
        <w:pStyle w:val="ListParagraph"/>
        <w:numPr>
          <w:ilvl w:val="0"/>
          <w:numId w:val="20"/>
        </w:numPr>
        <w:tabs>
          <w:tab w:val="left" w:pos="0"/>
        </w:tabs>
        <w:spacing w:before="0"/>
        <w:ind w:right="91"/>
        <w:contextualSpacing/>
      </w:pPr>
      <w:r>
        <w:t>international comparisons in relation to equivalent visas, to ensure that Australia remains a competitive and attractive destination.</w:t>
      </w:r>
    </w:p>
    <w:p w:rsidR="00EB776A" w:rsidRDefault="00EB776A" w:rsidP="00EB776A">
      <w:pPr>
        <w:tabs>
          <w:tab w:val="left" w:pos="0"/>
        </w:tabs>
        <w:spacing w:before="0"/>
        <w:ind w:left="420" w:right="91"/>
      </w:pPr>
    </w:p>
    <w:p w:rsidR="00EB776A" w:rsidRDefault="00EB776A" w:rsidP="00EB776A">
      <w:pPr>
        <w:spacing w:before="0" w:after="200"/>
      </w:pPr>
      <w:r>
        <w:lastRenderedPageBreak/>
        <w:t>It is intended that all parameters of the new visa, including the visa application charge, will be reassessed as part of an evaluation process. Future adjustments may be required to ensure that the visa settings are appropriate and reasonable.</w:t>
      </w:r>
    </w:p>
    <w:p w:rsidR="00EB776A" w:rsidRPr="00512677" w:rsidRDefault="00EB776A" w:rsidP="00EB776A">
      <w:pPr>
        <w:tabs>
          <w:tab w:val="left" w:pos="0"/>
        </w:tabs>
        <w:spacing w:before="0"/>
        <w:ind w:right="91"/>
        <w:rPr>
          <w:u w:val="single"/>
        </w:rPr>
      </w:pPr>
      <w:r w:rsidRPr="00512677">
        <w:rPr>
          <w:u w:val="single"/>
        </w:rPr>
        <w:t>Item 8</w:t>
      </w:r>
      <w:r>
        <w:rPr>
          <w:u w:val="single"/>
        </w:rPr>
        <w:t xml:space="preserve"> - </w:t>
      </w:r>
      <w:r w:rsidR="00131C43">
        <w:rPr>
          <w:u w:val="single"/>
        </w:rPr>
        <w:t xml:space="preserve">After subitem </w:t>
      </w:r>
      <w:r w:rsidRPr="007F26D4">
        <w:rPr>
          <w:u w:val="single"/>
        </w:rPr>
        <w:t>1236(6) of Schedule 1</w:t>
      </w:r>
    </w:p>
    <w:p w:rsidR="00EB776A" w:rsidRDefault="00EB776A" w:rsidP="00EB776A">
      <w:pPr>
        <w:tabs>
          <w:tab w:val="left" w:pos="6521"/>
        </w:tabs>
        <w:spacing w:before="0"/>
        <w:ind w:right="91"/>
      </w:pPr>
    </w:p>
    <w:p w:rsidR="00EB776A" w:rsidRDefault="00EB776A" w:rsidP="00EB776A">
      <w:pPr>
        <w:tabs>
          <w:tab w:val="left" w:pos="6521"/>
        </w:tabs>
        <w:spacing w:before="0"/>
        <w:ind w:right="91"/>
      </w:pPr>
      <w:r>
        <w:t>This item specifies that an application for a Frequent Traveller visa must meet the follow validity criteria:</w:t>
      </w:r>
    </w:p>
    <w:p w:rsidR="00EB776A" w:rsidRDefault="00EB776A" w:rsidP="00EB776A">
      <w:pPr>
        <w:tabs>
          <w:tab w:val="left" w:pos="6521"/>
        </w:tabs>
        <w:spacing w:before="0"/>
        <w:ind w:right="91"/>
      </w:pPr>
    </w:p>
    <w:p w:rsidR="00EB776A" w:rsidRDefault="00EB776A" w:rsidP="0089397F">
      <w:pPr>
        <w:pStyle w:val="ListParagraph"/>
        <w:numPr>
          <w:ilvl w:val="0"/>
          <w:numId w:val="16"/>
        </w:numPr>
        <w:tabs>
          <w:tab w:val="left" w:pos="6521"/>
        </w:tabs>
        <w:spacing w:before="0"/>
        <w:ind w:right="91"/>
        <w:contextualSpacing/>
      </w:pPr>
      <w:r>
        <w:t>an application must be made at a place, and in the manner specified by the Minister</w:t>
      </w:r>
      <w:r w:rsidR="0091478C">
        <w:t xml:space="preserve"> in a legislative instr</w:t>
      </w:r>
      <w:r w:rsidR="006B5F8E">
        <w:t>u</w:t>
      </w:r>
      <w:r w:rsidR="0091478C">
        <w:t>ment</w:t>
      </w:r>
      <w:r>
        <w:t>; and</w:t>
      </w:r>
    </w:p>
    <w:p w:rsidR="00EB776A" w:rsidRDefault="00EB776A" w:rsidP="0089397F">
      <w:pPr>
        <w:pStyle w:val="ListParagraph"/>
        <w:numPr>
          <w:ilvl w:val="0"/>
          <w:numId w:val="16"/>
        </w:numPr>
        <w:tabs>
          <w:tab w:val="left" w:pos="6521"/>
        </w:tabs>
        <w:spacing w:before="0"/>
        <w:ind w:right="91"/>
        <w:contextualSpacing/>
      </w:pPr>
      <w:r>
        <w:t>the applicant must:</w:t>
      </w:r>
    </w:p>
    <w:p w:rsidR="00EB776A" w:rsidRDefault="00EB776A" w:rsidP="0089397F">
      <w:pPr>
        <w:pStyle w:val="ListParagraph"/>
        <w:numPr>
          <w:ilvl w:val="1"/>
          <w:numId w:val="16"/>
        </w:numPr>
        <w:tabs>
          <w:tab w:val="left" w:pos="6521"/>
        </w:tabs>
        <w:spacing w:before="0"/>
        <w:ind w:right="91"/>
        <w:contextualSpacing/>
      </w:pPr>
      <w:r>
        <w:t>be outside Australia;</w:t>
      </w:r>
    </w:p>
    <w:p w:rsidR="00EB776A" w:rsidRDefault="00EB776A" w:rsidP="0089397F">
      <w:pPr>
        <w:pStyle w:val="ListParagraph"/>
        <w:numPr>
          <w:ilvl w:val="1"/>
          <w:numId w:val="16"/>
        </w:numPr>
        <w:tabs>
          <w:tab w:val="left" w:pos="6521"/>
        </w:tabs>
        <w:spacing w:before="0"/>
        <w:ind w:right="91"/>
        <w:contextualSpacing/>
      </w:pPr>
      <w:r>
        <w:t>be in a place specified by the Minister by legislative instrument (if such a legislative instrument has been made); and</w:t>
      </w:r>
    </w:p>
    <w:p w:rsidR="00EB776A" w:rsidRDefault="00EB776A" w:rsidP="0089397F">
      <w:pPr>
        <w:pStyle w:val="ListParagraph"/>
        <w:numPr>
          <w:ilvl w:val="1"/>
          <w:numId w:val="16"/>
        </w:numPr>
        <w:tabs>
          <w:tab w:val="left" w:pos="6521"/>
        </w:tabs>
        <w:spacing w:before="0"/>
        <w:ind w:right="91"/>
        <w:contextualSpacing/>
      </w:pPr>
      <w:r>
        <w:t>hold a valid passport of a kind specified by the Minister in a legislative instrument.</w:t>
      </w:r>
    </w:p>
    <w:p w:rsidR="00EB776A" w:rsidRDefault="00EB776A" w:rsidP="00EB776A">
      <w:pPr>
        <w:tabs>
          <w:tab w:val="left" w:pos="6521"/>
        </w:tabs>
        <w:spacing w:before="0"/>
        <w:ind w:right="91"/>
      </w:pPr>
    </w:p>
    <w:p w:rsidR="00EB776A" w:rsidRPr="0091478C" w:rsidRDefault="00EB776A" w:rsidP="00EB776A">
      <w:pPr>
        <w:tabs>
          <w:tab w:val="left" w:pos="6521"/>
        </w:tabs>
        <w:spacing w:before="0"/>
        <w:ind w:right="91"/>
        <w:rPr>
          <w:szCs w:val="24"/>
        </w:rPr>
      </w:pPr>
      <w:r>
        <w:t xml:space="preserve">The matters to be specified by legislative instrument for the purpose of this item relate to an applicant’s location and the kind of passport they hold. It is appropriate for the Minister to have the </w:t>
      </w:r>
      <w:r w:rsidR="006B5F8E">
        <w:t>flexibility</w:t>
      </w:r>
      <w:r>
        <w:t xml:space="preserve"> to specify different locations and different kinds of passports for the purpose of this item, particularly as this is commencing as a trial, as this will provide the flexibility to </w:t>
      </w:r>
      <w:r>
        <w:rPr>
          <w:szCs w:val="24"/>
        </w:rPr>
        <w:t>respond quickly and efficiently to changes in the visa application caseload. This flexibility is also beneficial for applicants, as it supports an efficient and effective application process</w:t>
      </w:r>
      <w:r w:rsidR="006B5F8E">
        <w:rPr>
          <w:szCs w:val="24"/>
        </w:rPr>
        <w:t>.</w:t>
      </w:r>
    </w:p>
    <w:p w:rsidR="00EB776A" w:rsidRDefault="00EB776A" w:rsidP="00EB776A">
      <w:pPr>
        <w:tabs>
          <w:tab w:val="left" w:pos="6521"/>
        </w:tabs>
        <w:spacing w:before="0"/>
        <w:ind w:right="91"/>
        <w:rPr>
          <w:szCs w:val="24"/>
        </w:rPr>
      </w:pPr>
    </w:p>
    <w:p w:rsidR="00EB776A" w:rsidRDefault="00EB776A" w:rsidP="00EB776A">
      <w:pPr>
        <w:tabs>
          <w:tab w:val="left" w:pos="6521"/>
        </w:tabs>
        <w:spacing w:before="0"/>
        <w:ind w:right="91"/>
        <w:rPr>
          <w:szCs w:val="24"/>
        </w:rPr>
      </w:pPr>
      <w:r>
        <w:rPr>
          <w:szCs w:val="24"/>
        </w:rPr>
        <w:t>As a further consideration, while the Frequent Traveller visa is initially only intended to be available to applicants who are nationals of the People’s Republic of China, it may be desirable in future to progressively allow nationals of other countries to apply. Allowing the Minister to specify kinds of passport by legislative instrument would support a staged approach to such an expansion.</w:t>
      </w:r>
    </w:p>
    <w:p w:rsidR="007312AD" w:rsidRDefault="007312AD" w:rsidP="00EB776A">
      <w:pPr>
        <w:tabs>
          <w:tab w:val="left" w:pos="6521"/>
        </w:tabs>
        <w:spacing w:before="0"/>
        <w:ind w:right="91"/>
        <w:rPr>
          <w:szCs w:val="24"/>
        </w:rPr>
      </w:pPr>
    </w:p>
    <w:p w:rsidR="007312AD" w:rsidRPr="001D657E" w:rsidRDefault="007312AD" w:rsidP="00EB776A">
      <w:pPr>
        <w:tabs>
          <w:tab w:val="left" w:pos="6521"/>
        </w:tabs>
        <w:spacing w:before="0"/>
        <w:ind w:right="91"/>
      </w:pPr>
      <w:r>
        <w:rPr>
          <w:szCs w:val="24"/>
        </w:rPr>
        <w:t xml:space="preserve">Subsection 504(2) of the </w:t>
      </w:r>
      <w:r w:rsidRPr="00316FD1">
        <w:rPr>
          <w:i/>
          <w:szCs w:val="24"/>
        </w:rPr>
        <w:t>Migration Act 1958</w:t>
      </w:r>
      <w:r>
        <w:rPr>
          <w:szCs w:val="24"/>
        </w:rPr>
        <w:t xml:space="preserve"> authorises the specification of such matters in an instrument</w:t>
      </w:r>
      <w:r w:rsidR="007C6B7E">
        <w:rPr>
          <w:szCs w:val="24"/>
        </w:rPr>
        <w:t>, including after the taking effect of the regulations.</w:t>
      </w:r>
    </w:p>
    <w:p w:rsidR="00EB776A" w:rsidRDefault="00EB776A" w:rsidP="00EB776A">
      <w:pPr>
        <w:tabs>
          <w:tab w:val="left" w:pos="6521"/>
        </w:tabs>
        <w:spacing w:before="0"/>
        <w:ind w:right="91"/>
        <w:rPr>
          <w:u w:val="single"/>
        </w:rPr>
      </w:pPr>
    </w:p>
    <w:p w:rsidR="00EB776A" w:rsidRPr="00512677" w:rsidRDefault="00EB776A" w:rsidP="00EB776A">
      <w:pPr>
        <w:tabs>
          <w:tab w:val="left" w:pos="6521"/>
        </w:tabs>
        <w:spacing w:before="0"/>
        <w:ind w:right="91"/>
        <w:rPr>
          <w:u w:val="single"/>
        </w:rPr>
      </w:pPr>
      <w:r w:rsidRPr="00512677">
        <w:rPr>
          <w:u w:val="single"/>
        </w:rPr>
        <w:t>Item 9</w:t>
      </w:r>
      <w:r>
        <w:rPr>
          <w:u w:val="single"/>
        </w:rPr>
        <w:t xml:space="preserve"> </w:t>
      </w:r>
      <w:r w:rsidRPr="007F26D4">
        <w:rPr>
          <w:u w:val="single"/>
        </w:rPr>
        <w:t>- Division 600.2 of Schedule 2 (note)</w:t>
      </w:r>
    </w:p>
    <w:p w:rsidR="00EB776A" w:rsidRDefault="00EB776A" w:rsidP="00EB776A">
      <w:pPr>
        <w:tabs>
          <w:tab w:val="left" w:pos="6521"/>
        </w:tabs>
        <w:spacing w:before="0"/>
        <w:ind w:left="360" w:right="91"/>
      </w:pPr>
    </w:p>
    <w:p w:rsidR="00EB776A" w:rsidRDefault="00EB776A" w:rsidP="00EB776A">
      <w:pPr>
        <w:tabs>
          <w:tab w:val="left" w:pos="6521"/>
        </w:tabs>
        <w:spacing w:before="0"/>
        <w:ind w:right="91"/>
      </w:pPr>
      <w:r>
        <w:t>This item adds a note specifying the primary criteria which apply to applications for a Frequent Traveller visa.</w:t>
      </w:r>
    </w:p>
    <w:p w:rsidR="00EB776A" w:rsidRDefault="00EB776A" w:rsidP="00EB776A">
      <w:pPr>
        <w:tabs>
          <w:tab w:val="left" w:pos="6521"/>
        </w:tabs>
        <w:spacing w:before="0"/>
        <w:ind w:right="91"/>
      </w:pPr>
    </w:p>
    <w:p w:rsidR="00EB776A" w:rsidRPr="007F26D4" w:rsidRDefault="00EB776A" w:rsidP="00EB776A">
      <w:pPr>
        <w:tabs>
          <w:tab w:val="left" w:pos="6521"/>
        </w:tabs>
        <w:spacing w:before="0"/>
        <w:ind w:right="91"/>
        <w:rPr>
          <w:u w:val="single"/>
        </w:rPr>
      </w:pPr>
      <w:r w:rsidRPr="00512677">
        <w:rPr>
          <w:u w:val="single"/>
        </w:rPr>
        <w:t>Item 10</w:t>
      </w:r>
      <w:r>
        <w:rPr>
          <w:u w:val="single"/>
        </w:rPr>
        <w:t xml:space="preserve"> - </w:t>
      </w:r>
      <w:r w:rsidRPr="007F26D4">
        <w:rPr>
          <w:u w:val="single"/>
        </w:rPr>
        <w:t>At the end of Division 600.2 of Schedule 2</w:t>
      </w:r>
    </w:p>
    <w:p w:rsidR="00EB776A" w:rsidRDefault="00EB776A" w:rsidP="00EB776A">
      <w:pPr>
        <w:tabs>
          <w:tab w:val="left" w:pos="6521"/>
        </w:tabs>
        <w:spacing w:before="0"/>
        <w:ind w:right="91"/>
      </w:pPr>
    </w:p>
    <w:p w:rsidR="00EB776A" w:rsidRDefault="00EB776A" w:rsidP="00EB776A">
      <w:pPr>
        <w:tabs>
          <w:tab w:val="left" w:pos="6521"/>
        </w:tabs>
        <w:spacing w:before="0"/>
        <w:ind w:right="91"/>
      </w:pPr>
      <w:r>
        <w:t>The item adds primary criteria for Frequent Traveller visas, requiring that applicants:</w:t>
      </w:r>
    </w:p>
    <w:p w:rsidR="00EB776A" w:rsidRDefault="00EB776A" w:rsidP="0089397F">
      <w:pPr>
        <w:pStyle w:val="ListParagraph"/>
        <w:numPr>
          <w:ilvl w:val="0"/>
          <w:numId w:val="17"/>
        </w:numPr>
        <w:tabs>
          <w:tab w:val="left" w:pos="6521"/>
        </w:tabs>
        <w:spacing w:before="0"/>
        <w:ind w:right="91"/>
        <w:contextualSpacing/>
      </w:pPr>
      <w:r>
        <w:t>intend to visit Australia as a tourist or to engage in a business visitor activity; and</w:t>
      </w:r>
    </w:p>
    <w:p w:rsidR="00EB776A" w:rsidRDefault="00EB776A" w:rsidP="0089397F">
      <w:pPr>
        <w:pStyle w:val="ListParagraph"/>
        <w:numPr>
          <w:ilvl w:val="0"/>
          <w:numId w:val="17"/>
        </w:numPr>
        <w:tabs>
          <w:tab w:val="left" w:pos="6521"/>
        </w:tabs>
        <w:spacing w:before="0"/>
        <w:ind w:right="91"/>
        <w:contextualSpacing/>
      </w:pPr>
      <w:r>
        <w:t xml:space="preserve">do not intend to engage in activities that will have adverse consequences </w:t>
      </w:r>
      <w:r w:rsidRPr="00431668">
        <w:t>for employment or training opportunities, or conditions of employment, for Australian citizen</w:t>
      </w:r>
      <w:bookmarkStart w:id="3" w:name="BK_S3P3L28C35"/>
      <w:bookmarkEnd w:id="3"/>
      <w:r w:rsidRPr="00431668">
        <w:t>s or Australian permanent residents</w:t>
      </w:r>
      <w:r>
        <w:t>.</w:t>
      </w:r>
    </w:p>
    <w:p w:rsidR="00EB776A" w:rsidRDefault="00EB776A" w:rsidP="00EB776A">
      <w:pPr>
        <w:tabs>
          <w:tab w:val="left" w:pos="6521"/>
        </w:tabs>
        <w:spacing w:before="0"/>
        <w:ind w:right="91"/>
      </w:pPr>
    </w:p>
    <w:p w:rsidR="00EB776A" w:rsidRDefault="00EB776A" w:rsidP="00EB776A">
      <w:pPr>
        <w:tabs>
          <w:tab w:val="left" w:pos="6521"/>
        </w:tabs>
        <w:spacing w:before="0"/>
        <w:ind w:right="91"/>
      </w:pPr>
      <w:r>
        <w:t>The</w:t>
      </w:r>
      <w:r w:rsidRPr="00512677">
        <w:t xml:space="preserve"> item </w:t>
      </w:r>
      <w:r>
        <w:t xml:space="preserve">also </w:t>
      </w:r>
      <w:r w:rsidRPr="00512677">
        <w:t xml:space="preserve">adds a note </w:t>
      </w:r>
      <w:r>
        <w:t>to clarify that the above criteria only apply to applicants for Frequent Traveller visas.</w:t>
      </w:r>
    </w:p>
    <w:p w:rsidR="00EB776A" w:rsidRDefault="00EB776A" w:rsidP="00EB776A">
      <w:pPr>
        <w:tabs>
          <w:tab w:val="left" w:pos="6521"/>
        </w:tabs>
        <w:spacing w:before="0"/>
        <w:ind w:right="91"/>
      </w:pPr>
    </w:p>
    <w:p w:rsidR="00EB776A" w:rsidRDefault="00EB776A" w:rsidP="00EB776A">
      <w:pPr>
        <w:tabs>
          <w:tab w:val="left" w:pos="6521"/>
        </w:tabs>
        <w:spacing w:before="0"/>
        <w:ind w:right="91"/>
      </w:pPr>
      <w:r>
        <w:t>The requirements contained in this item are intended to support grants of Frequent Traveller visas to applicants who intend to travel to Australia for reasons which align with the intended purpose of the visa (that is, for tourism or business visitor activity purposes).</w:t>
      </w:r>
    </w:p>
    <w:p w:rsidR="00EB776A" w:rsidRDefault="00EB776A" w:rsidP="00EB776A">
      <w:pPr>
        <w:pStyle w:val="contentelement-indenttwo"/>
        <w:spacing w:line="240" w:lineRule="auto"/>
        <w:ind w:left="0"/>
        <w:rPr>
          <w:szCs w:val="20"/>
        </w:rPr>
      </w:pPr>
    </w:p>
    <w:p w:rsidR="00EB776A" w:rsidRPr="001D657E" w:rsidRDefault="00EB776A" w:rsidP="00EB776A">
      <w:pPr>
        <w:pStyle w:val="contentelement-indenttwo"/>
        <w:spacing w:line="240" w:lineRule="auto"/>
        <w:ind w:left="0"/>
        <w:rPr>
          <w:szCs w:val="20"/>
        </w:rPr>
      </w:pPr>
      <w:r>
        <w:rPr>
          <w:szCs w:val="20"/>
        </w:rPr>
        <w:t>The R</w:t>
      </w:r>
      <w:r w:rsidRPr="001D657E">
        <w:rPr>
          <w:szCs w:val="20"/>
        </w:rPr>
        <w:t>egulations define</w:t>
      </w:r>
      <w:r>
        <w:rPr>
          <w:szCs w:val="20"/>
        </w:rPr>
        <w:t xml:space="preserve"> ‘tourism’ to mean</w:t>
      </w:r>
      <w:r w:rsidRPr="001D657E">
        <w:rPr>
          <w:szCs w:val="20"/>
        </w:rPr>
        <w:t xml:space="preserve"> participation in activities of a recreational nature including amateur sporting activities, informal study courses, relaxation, sightseeing and travel. </w:t>
      </w:r>
      <w:r>
        <w:rPr>
          <w:szCs w:val="20"/>
        </w:rPr>
        <w:t>The R</w:t>
      </w:r>
      <w:r w:rsidRPr="001D657E">
        <w:rPr>
          <w:szCs w:val="20"/>
        </w:rPr>
        <w:t xml:space="preserve">egulations </w:t>
      </w:r>
      <w:r>
        <w:rPr>
          <w:szCs w:val="20"/>
        </w:rPr>
        <w:t xml:space="preserve">further </w:t>
      </w:r>
      <w:r w:rsidRPr="001D657E">
        <w:rPr>
          <w:szCs w:val="20"/>
        </w:rPr>
        <w:t>define</w:t>
      </w:r>
      <w:r>
        <w:rPr>
          <w:szCs w:val="20"/>
        </w:rPr>
        <w:t xml:space="preserve"> </w:t>
      </w:r>
      <w:r w:rsidRPr="001D657E">
        <w:rPr>
          <w:szCs w:val="20"/>
        </w:rPr>
        <w:t>‘business visitor activity’</w:t>
      </w:r>
      <w:r>
        <w:rPr>
          <w:szCs w:val="20"/>
        </w:rPr>
        <w:t xml:space="preserve"> as: </w:t>
      </w:r>
      <w:r w:rsidRPr="001D657E">
        <w:rPr>
          <w:szCs w:val="20"/>
        </w:rPr>
        <w:t>making a general business or employment enquiry;</w:t>
      </w:r>
      <w:r>
        <w:rPr>
          <w:szCs w:val="20"/>
        </w:rPr>
        <w:t xml:space="preserve"> </w:t>
      </w:r>
      <w:r w:rsidRPr="001D657E">
        <w:rPr>
          <w:szCs w:val="20"/>
        </w:rPr>
        <w:t>investigating, negotiating, entering into, or reviewing a business contract;</w:t>
      </w:r>
      <w:r>
        <w:rPr>
          <w:szCs w:val="20"/>
        </w:rPr>
        <w:t xml:space="preserve"> </w:t>
      </w:r>
      <w:r w:rsidRPr="001D657E">
        <w:rPr>
          <w:szCs w:val="20"/>
        </w:rPr>
        <w:t>an activity carried out as part of an official government to government visit</w:t>
      </w:r>
      <w:r>
        <w:rPr>
          <w:szCs w:val="20"/>
        </w:rPr>
        <w:t xml:space="preserve">; and </w:t>
      </w:r>
      <w:r w:rsidRPr="001D657E">
        <w:rPr>
          <w:szCs w:val="20"/>
        </w:rPr>
        <w:t xml:space="preserve">participation in a conference, trade fair or seminar in Australia unless the person is being paid by an </w:t>
      </w:r>
      <w:r>
        <w:rPr>
          <w:szCs w:val="20"/>
        </w:rPr>
        <w:t>organiser for participation. It does not include an activity that is, or includes, undertaking work for, or supplying services to, an organisation or other person based in Australia or an activity that is, or includes the sale of goods or services directly to the general public.</w:t>
      </w:r>
    </w:p>
    <w:p w:rsidR="00EB776A" w:rsidRPr="007F26D4" w:rsidRDefault="00EB776A" w:rsidP="00EB776A">
      <w:pPr>
        <w:tabs>
          <w:tab w:val="left" w:pos="6521"/>
        </w:tabs>
        <w:spacing w:before="0"/>
        <w:ind w:right="91"/>
        <w:rPr>
          <w:u w:val="single"/>
        </w:rPr>
      </w:pPr>
    </w:p>
    <w:p w:rsidR="00EB776A" w:rsidRPr="007F26D4" w:rsidRDefault="00EB776A" w:rsidP="00EB776A">
      <w:pPr>
        <w:tabs>
          <w:tab w:val="left" w:pos="6521"/>
        </w:tabs>
        <w:spacing w:before="0"/>
        <w:ind w:right="91"/>
        <w:rPr>
          <w:u w:val="single"/>
        </w:rPr>
      </w:pPr>
      <w:r w:rsidRPr="007F26D4">
        <w:rPr>
          <w:u w:val="single"/>
        </w:rPr>
        <w:t>Item 11 - Clause 600.512 of Schedule 2</w:t>
      </w:r>
    </w:p>
    <w:p w:rsidR="00EB776A" w:rsidRDefault="00EB776A" w:rsidP="00EB776A">
      <w:pPr>
        <w:tabs>
          <w:tab w:val="left" w:pos="6521"/>
        </w:tabs>
        <w:spacing w:before="0"/>
        <w:ind w:right="91"/>
        <w:rPr>
          <w:u w:val="single"/>
        </w:rPr>
      </w:pPr>
    </w:p>
    <w:p w:rsidR="00EB776A" w:rsidRDefault="00EB776A" w:rsidP="00EB776A">
      <w:pPr>
        <w:tabs>
          <w:tab w:val="left" w:pos="6521"/>
        </w:tabs>
        <w:spacing w:before="0"/>
        <w:ind w:right="91"/>
      </w:pPr>
      <w:r>
        <w:t xml:space="preserve">This item makes a </w:t>
      </w:r>
      <w:r w:rsidR="00B93F59">
        <w:t xml:space="preserve">technical </w:t>
      </w:r>
      <w:r>
        <w:t>amendment, which is consequential to the changes at item 12.</w:t>
      </w:r>
    </w:p>
    <w:p w:rsidR="00EB776A" w:rsidRDefault="00EB776A" w:rsidP="00EB776A">
      <w:pPr>
        <w:tabs>
          <w:tab w:val="left" w:pos="6521"/>
        </w:tabs>
        <w:spacing w:before="0"/>
        <w:ind w:right="91"/>
        <w:rPr>
          <w:u w:val="single"/>
        </w:rPr>
      </w:pPr>
    </w:p>
    <w:p w:rsidR="00EB776A" w:rsidRDefault="00EB776A" w:rsidP="00EB776A">
      <w:pPr>
        <w:tabs>
          <w:tab w:val="left" w:pos="6521"/>
        </w:tabs>
        <w:spacing w:before="0"/>
        <w:ind w:right="91"/>
        <w:rPr>
          <w:u w:val="single"/>
        </w:rPr>
      </w:pPr>
      <w:r w:rsidRPr="00512677">
        <w:rPr>
          <w:u w:val="single"/>
        </w:rPr>
        <w:t>Item 12</w:t>
      </w:r>
      <w:r>
        <w:rPr>
          <w:u w:val="single"/>
        </w:rPr>
        <w:t xml:space="preserve"> </w:t>
      </w:r>
      <w:r w:rsidRPr="007F26D4">
        <w:rPr>
          <w:u w:val="single"/>
        </w:rPr>
        <w:t>- At the end of clause 600.512 of Schedule 2</w:t>
      </w:r>
    </w:p>
    <w:p w:rsidR="00EB776A" w:rsidRPr="00512677" w:rsidRDefault="00EB776A" w:rsidP="00EB776A">
      <w:pPr>
        <w:tabs>
          <w:tab w:val="left" w:pos="6521"/>
        </w:tabs>
        <w:spacing w:before="0"/>
        <w:ind w:right="91"/>
      </w:pPr>
    </w:p>
    <w:p w:rsidR="00EB776A" w:rsidRPr="00431668" w:rsidRDefault="00EB776A" w:rsidP="00EB776A">
      <w:pPr>
        <w:tabs>
          <w:tab w:val="left" w:pos="6521"/>
        </w:tabs>
        <w:spacing w:before="0"/>
        <w:ind w:right="91"/>
      </w:pPr>
      <w:r>
        <w:t>This item specifies that a holder of a Frequent Traveller visa can</w:t>
      </w:r>
      <w:r w:rsidRPr="00431668">
        <w:t xml:space="preserve"> </w:t>
      </w:r>
      <w:r>
        <w:t xml:space="preserve">travel to and </w:t>
      </w:r>
      <w:r w:rsidRPr="00431668">
        <w:t>enter Australia on multiple occasions</w:t>
      </w:r>
      <w:r>
        <w:t xml:space="preserve">, and can </w:t>
      </w:r>
      <w:r w:rsidRPr="00431668">
        <w:t>remain in Australia</w:t>
      </w:r>
      <w:r w:rsidRPr="00512677">
        <w:t xml:space="preserve"> </w:t>
      </w:r>
      <w:r>
        <w:t>for three</w:t>
      </w:r>
      <w:r w:rsidRPr="00431668">
        <w:t xml:space="preserve"> months</w:t>
      </w:r>
      <w:r>
        <w:t xml:space="preserve"> after each entry</w:t>
      </w:r>
      <w:r w:rsidRPr="00431668">
        <w:t>.</w:t>
      </w:r>
      <w:r>
        <w:t xml:space="preserve"> Once granted, the Frequent Traveller visa will continue to allow the holder to enter Australia until a</w:t>
      </w:r>
      <w:r w:rsidRPr="00431668">
        <w:t xml:space="preserve"> date specified by the Minister </w:t>
      </w:r>
      <w:r>
        <w:t xml:space="preserve">(which must not be more than ten </w:t>
      </w:r>
      <w:r w:rsidRPr="00431668">
        <w:t>years after</w:t>
      </w:r>
      <w:r>
        <w:t xml:space="preserve"> the date of grant of the visa).</w:t>
      </w:r>
    </w:p>
    <w:p w:rsidR="00EB776A" w:rsidRDefault="00EB776A" w:rsidP="00EB776A">
      <w:pPr>
        <w:tabs>
          <w:tab w:val="left" w:pos="6521"/>
        </w:tabs>
        <w:spacing w:before="0"/>
        <w:ind w:right="91"/>
        <w:rPr>
          <w:u w:val="single"/>
        </w:rPr>
      </w:pPr>
    </w:p>
    <w:p w:rsidR="00EB776A" w:rsidRPr="00256626" w:rsidRDefault="00EB776A" w:rsidP="00EB776A">
      <w:pPr>
        <w:tabs>
          <w:tab w:val="left" w:pos="6521"/>
        </w:tabs>
        <w:spacing w:before="0"/>
        <w:ind w:right="91"/>
        <w:rPr>
          <w:u w:val="single"/>
        </w:rPr>
      </w:pPr>
      <w:r w:rsidRPr="00256626">
        <w:rPr>
          <w:u w:val="single"/>
        </w:rPr>
        <w:t>Item 13</w:t>
      </w:r>
      <w:r>
        <w:rPr>
          <w:u w:val="single"/>
        </w:rPr>
        <w:t xml:space="preserve"> </w:t>
      </w:r>
      <w:r w:rsidRPr="007F26D4">
        <w:rPr>
          <w:u w:val="single"/>
        </w:rPr>
        <w:t>- At the end of Division 600.6 of Schedule 2</w:t>
      </w:r>
    </w:p>
    <w:p w:rsidR="00EB776A" w:rsidRDefault="00EB776A" w:rsidP="00EB776A">
      <w:pPr>
        <w:tabs>
          <w:tab w:val="left" w:pos="6521"/>
        </w:tabs>
        <w:spacing w:before="0"/>
        <w:ind w:right="91"/>
        <w:rPr>
          <w:rFonts w:ascii="Tahoma" w:hAnsi="Tahoma" w:cs="Tahoma"/>
          <w:color w:val="000000"/>
          <w:sz w:val="20"/>
          <w:lang w:val="en"/>
        </w:rPr>
      </w:pPr>
      <w:r>
        <w:rPr>
          <w:rFonts w:ascii="Tahoma" w:hAnsi="Tahoma" w:cs="Tahoma"/>
          <w:color w:val="000000"/>
          <w:sz w:val="20"/>
          <w:lang w:val="en"/>
        </w:rPr>
        <w:t>​</w:t>
      </w:r>
    </w:p>
    <w:p w:rsidR="00EB776A" w:rsidRDefault="00EB776A" w:rsidP="00EB776A">
      <w:pPr>
        <w:tabs>
          <w:tab w:val="left" w:pos="6521"/>
        </w:tabs>
        <w:spacing w:before="0"/>
        <w:ind w:right="91"/>
      </w:pPr>
      <w:r w:rsidRPr="00256626">
        <w:t>This item specifies the conditions which must be imposed on a Fre</w:t>
      </w:r>
      <w:r>
        <w:t>quent Traveller visa. These conditions specify that the visa holder</w:t>
      </w:r>
      <w:r w:rsidRPr="00256626">
        <w:t>:</w:t>
      </w:r>
    </w:p>
    <w:p w:rsidR="00EB776A" w:rsidRDefault="00EB776A" w:rsidP="00EB776A">
      <w:pPr>
        <w:tabs>
          <w:tab w:val="left" w:pos="6521"/>
        </w:tabs>
        <w:spacing w:before="0"/>
        <w:ind w:right="91"/>
      </w:pPr>
    </w:p>
    <w:p w:rsidR="00EB776A" w:rsidRPr="0060133B" w:rsidRDefault="00EB776A" w:rsidP="0089397F">
      <w:pPr>
        <w:pStyle w:val="ListParagraph"/>
        <w:numPr>
          <w:ilvl w:val="0"/>
          <w:numId w:val="18"/>
        </w:numPr>
        <w:tabs>
          <w:tab w:val="left" w:pos="6521"/>
        </w:tabs>
        <w:spacing w:before="0"/>
        <w:ind w:right="91"/>
        <w:contextualSpacing/>
      </w:pPr>
      <w:r w:rsidRPr="00CE1BA9">
        <w:rPr>
          <w:color w:val="000000" w:themeColor="text1"/>
        </w:rPr>
        <w:t>must not work in Australia other than by engaging in a business visitor activity</w:t>
      </w:r>
      <w:r>
        <w:rPr>
          <w:color w:val="000000" w:themeColor="text1"/>
        </w:rPr>
        <w:t>;</w:t>
      </w:r>
    </w:p>
    <w:p w:rsidR="00EB776A" w:rsidRDefault="00EB776A" w:rsidP="0089397F">
      <w:pPr>
        <w:pStyle w:val="ListParagraph"/>
        <w:numPr>
          <w:ilvl w:val="0"/>
          <w:numId w:val="18"/>
        </w:numPr>
        <w:tabs>
          <w:tab w:val="left" w:pos="6521"/>
        </w:tabs>
        <w:spacing w:before="0"/>
        <w:ind w:right="91"/>
        <w:contextualSpacing/>
      </w:pPr>
      <w:r>
        <w:t>w</w:t>
      </w:r>
      <w:r w:rsidRPr="00CE1BA9">
        <w:t xml:space="preserve">hile in Australia, </w:t>
      </w:r>
      <w:r>
        <w:t>must not engage, for more than three</w:t>
      </w:r>
      <w:r w:rsidRPr="00CE1BA9">
        <w:t> months, in any studies or training</w:t>
      </w:r>
      <w:r>
        <w:t>;</w:t>
      </w:r>
    </w:p>
    <w:p w:rsidR="00EB776A" w:rsidRDefault="00EB776A" w:rsidP="0089397F">
      <w:pPr>
        <w:pStyle w:val="ListParagraph"/>
        <w:numPr>
          <w:ilvl w:val="0"/>
          <w:numId w:val="18"/>
        </w:numPr>
        <w:tabs>
          <w:tab w:val="left" w:pos="6521"/>
        </w:tabs>
        <w:spacing w:before="0"/>
        <w:ind w:right="91"/>
        <w:contextualSpacing/>
      </w:pPr>
      <w:r w:rsidRPr="008D2FFF">
        <w:t>will not, after entering Australia, be entitled to be granted a substantive visa, other than a protection visa, while the holder remains in Australia</w:t>
      </w:r>
      <w:r>
        <w:t>;</w:t>
      </w:r>
    </w:p>
    <w:p w:rsidR="00EB776A" w:rsidRDefault="00EB776A" w:rsidP="0089397F">
      <w:pPr>
        <w:pStyle w:val="ListParagraph"/>
        <w:numPr>
          <w:ilvl w:val="0"/>
          <w:numId w:val="18"/>
        </w:numPr>
        <w:tabs>
          <w:tab w:val="left" w:pos="6521"/>
        </w:tabs>
        <w:spacing w:before="0"/>
        <w:ind w:right="91"/>
        <w:contextualSpacing/>
      </w:pPr>
      <w:r w:rsidRPr="008D2FFF">
        <w:t>must continue to be a person who would satisfy the primary or secondary criteria, as the case requires, for the grant of the visa</w:t>
      </w:r>
      <w:r>
        <w:t>;</w:t>
      </w:r>
    </w:p>
    <w:p w:rsidR="00EB776A" w:rsidRDefault="00EB776A" w:rsidP="0089397F">
      <w:pPr>
        <w:pStyle w:val="ListParagraph"/>
        <w:numPr>
          <w:ilvl w:val="0"/>
          <w:numId w:val="18"/>
        </w:numPr>
        <w:tabs>
          <w:tab w:val="left" w:pos="6521"/>
        </w:tabs>
        <w:spacing w:before="0"/>
        <w:ind w:right="91"/>
        <w:contextualSpacing/>
      </w:pPr>
      <w:r w:rsidRPr="00CE1BA9">
        <w:t>must be free from tuberculosis at the time of travel to, and entry into, Australia</w:t>
      </w:r>
      <w:r>
        <w:t>;</w:t>
      </w:r>
    </w:p>
    <w:p w:rsidR="00EB776A" w:rsidRDefault="00EB776A" w:rsidP="0089397F">
      <w:pPr>
        <w:pStyle w:val="ListParagraph"/>
        <w:numPr>
          <w:ilvl w:val="0"/>
          <w:numId w:val="18"/>
        </w:numPr>
        <w:tabs>
          <w:tab w:val="left" w:pos="6521"/>
        </w:tabs>
        <w:spacing w:before="0"/>
        <w:ind w:right="91"/>
        <w:contextualSpacing/>
      </w:pPr>
      <w:r w:rsidRPr="00CE1BA9">
        <w:t>must not remain in Australia after the end of the period of stay permitted by the visa</w:t>
      </w:r>
      <w:r>
        <w:t>;</w:t>
      </w:r>
    </w:p>
    <w:p w:rsidR="00EB776A" w:rsidRDefault="00EB776A" w:rsidP="0089397F">
      <w:pPr>
        <w:pStyle w:val="ListParagraph"/>
        <w:numPr>
          <w:ilvl w:val="0"/>
          <w:numId w:val="18"/>
        </w:numPr>
        <w:tabs>
          <w:tab w:val="left" w:pos="6521"/>
        </w:tabs>
        <w:spacing w:before="0"/>
        <w:ind w:right="91"/>
        <w:contextualSpacing/>
      </w:pPr>
      <w:r w:rsidRPr="00CE1BA9">
        <w:t>must notify the Minister of any change in the holder’s personal details</w:t>
      </w:r>
      <w:r w:rsidRPr="00431668">
        <w:t xml:space="preserve"> </w:t>
      </w:r>
      <w:r>
        <w:t>not less than two</w:t>
      </w:r>
      <w:r w:rsidRPr="00CE1BA9">
        <w:t xml:space="preserve"> working days before the change is to occur</w:t>
      </w:r>
      <w:r>
        <w:t>;</w:t>
      </w:r>
    </w:p>
    <w:p w:rsidR="00EB776A" w:rsidRDefault="00EB776A" w:rsidP="0089397F">
      <w:pPr>
        <w:pStyle w:val="ListParagraph"/>
        <w:numPr>
          <w:ilvl w:val="0"/>
          <w:numId w:val="18"/>
        </w:numPr>
        <w:tabs>
          <w:tab w:val="left" w:pos="6521"/>
        </w:tabs>
        <w:spacing w:before="0"/>
        <w:ind w:right="91"/>
        <w:contextualSpacing/>
      </w:pPr>
      <w:r>
        <w:t xml:space="preserve">must undergo a medical assessment carried out by a </w:t>
      </w:r>
      <w:r w:rsidRPr="00431668">
        <w:t>Medical Officer of the Commonwealth</w:t>
      </w:r>
      <w:r>
        <w:t xml:space="preserve">, </w:t>
      </w:r>
      <w:r w:rsidRPr="00431668">
        <w:t>a medical practi</w:t>
      </w:r>
      <w:r>
        <w:t xml:space="preserve">tioner approved by the Minister, or </w:t>
      </w:r>
      <w:r w:rsidRPr="00431668">
        <w:t>a medical practitioner employed by an organisation approved by the Minister</w:t>
      </w:r>
      <w:r>
        <w:t xml:space="preserve"> if requested in writing by the Minister to do so; and</w:t>
      </w:r>
    </w:p>
    <w:p w:rsidR="00EB776A" w:rsidRDefault="00EB776A" w:rsidP="0089397F">
      <w:pPr>
        <w:pStyle w:val="ListParagraph"/>
        <w:numPr>
          <w:ilvl w:val="0"/>
          <w:numId w:val="18"/>
        </w:numPr>
        <w:tabs>
          <w:tab w:val="left" w:pos="6521"/>
        </w:tabs>
        <w:spacing w:before="0"/>
        <w:ind w:right="91"/>
        <w:contextualSpacing/>
      </w:pPr>
      <w:r w:rsidRPr="00431668">
        <w:lastRenderedPageBreak/>
        <w:t>must not stay in Australia for more than 12 months in any period of 24 months</w:t>
      </w:r>
      <w:r>
        <w:t xml:space="preserve"> (this condition operates so that the time spent in Australia is calculated cumulatively, even where the visa holder departs Australia and subsequently returns).</w:t>
      </w:r>
    </w:p>
    <w:p w:rsidR="00EB776A" w:rsidRDefault="00EB776A" w:rsidP="00EB776A">
      <w:pPr>
        <w:tabs>
          <w:tab w:val="left" w:pos="6521"/>
        </w:tabs>
        <w:spacing w:before="0"/>
        <w:ind w:right="91"/>
      </w:pPr>
    </w:p>
    <w:p w:rsidR="00EB776A" w:rsidRDefault="00EB776A" w:rsidP="00EB776A">
      <w:pPr>
        <w:tabs>
          <w:tab w:val="left" w:pos="6521"/>
        </w:tabs>
        <w:spacing w:before="0"/>
        <w:ind w:right="91"/>
        <w:rPr>
          <w:u w:val="single"/>
        </w:rPr>
      </w:pPr>
      <w:r w:rsidRPr="00256626">
        <w:rPr>
          <w:u w:val="single"/>
        </w:rPr>
        <w:t>Item 14</w:t>
      </w:r>
      <w:r>
        <w:rPr>
          <w:u w:val="single"/>
        </w:rPr>
        <w:t xml:space="preserve"> -</w:t>
      </w:r>
      <w:r w:rsidRPr="007F26D4">
        <w:rPr>
          <w:u w:val="single"/>
        </w:rPr>
        <w:t xml:space="preserve"> At the end of Schedule 8</w:t>
      </w:r>
    </w:p>
    <w:p w:rsidR="00EB776A" w:rsidRDefault="00EB776A" w:rsidP="00EB776A">
      <w:pPr>
        <w:tabs>
          <w:tab w:val="left" w:pos="6521"/>
        </w:tabs>
        <w:spacing w:before="0"/>
        <w:ind w:right="91"/>
      </w:pPr>
    </w:p>
    <w:p w:rsidR="00EB776A" w:rsidRDefault="00EB776A" w:rsidP="00EB776A">
      <w:pPr>
        <w:tabs>
          <w:tab w:val="left" w:pos="6521"/>
        </w:tabs>
        <w:spacing w:before="0"/>
        <w:ind w:right="91"/>
      </w:pPr>
      <w:r>
        <w:t>This item creates two new visa conditions:</w:t>
      </w:r>
    </w:p>
    <w:p w:rsidR="00EB776A" w:rsidRDefault="00EB776A" w:rsidP="00EB776A">
      <w:pPr>
        <w:tabs>
          <w:tab w:val="left" w:pos="6521"/>
        </w:tabs>
        <w:spacing w:before="0"/>
        <w:ind w:right="91"/>
      </w:pPr>
    </w:p>
    <w:p w:rsidR="00EB776A" w:rsidRDefault="00EB776A" w:rsidP="0089397F">
      <w:pPr>
        <w:pStyle w:val="ListParagraph"/>
        <w:numPr>
          <w:ilvl w:val="0"/>
          <w:numId w:val="19"/>
        </w:numPr>
        <w:tabs>
          <w:tab w:val="left" w:pos="6521"/>
        </w:tabs>
        <w:spacing w:before="0"/>
        <w:ind w:right="91"/>
        <w:contextualSpacing/>
      </w:pPr>
      <w:r>
        <w:t xml:space="preserve">the visa holder must undergo a medical assessment carried out by a </w:t>
      </w:r>
      <w:r w:rsidRPr="00431668">
        <w:t>Medical Officer of the Commonwealth</w:t>
      </w:r>
      <w:r>
        <w:t xml:space="preserve">, </w:t>
      </w:r>
      <w:r w:rsidRPr="00431668">
        <w:t>a medical practi</w:t>
      </w:r>
      <w:r>
        <w:t xml:space="preserve">tioner approved by the Minister, or </w:t>
      </w:r>
      <w:r w:rsidRPr="00431668">
        <w:t>a medical practitioner employed by an organisation approved by the Minister</w:t>
      </w:r>
      <w:r>
        <w:t xml:space="preserve"> if requested in writing by the Minister to do so; and </w:t>
      </w:r>
    </w:p>
    <w:p w:rsidR="00EB776A" w:rsidRDefault="00EB776A" w:rsidP="0089397F">
      <w:pPr>
        <w:pStyle w:val="ListParagraph"/>
        <w:numPr>
          <w:ilvl w:val="0"/>
          <w:numId w:val="19"/>
        </w:numPr>
        <w:tabs>
          <w:tab w:val="left" w:pos="6521"/>
        </w:tabs>
        <w:spacing w:before="0"/>
        <w:ind w:right="91"/>
        <w:contextualSpacing/>
      </w:pPr>
      <w:r w:rsidRPr="00431668">
        <w:t>must not stay in Australia for more than 12 months in any period of 24 months</w:t>
      </w:r>
      <w:r>
        <w:t xml:space="preserve"> (this condition operates so that the time spent in Australia is calculated cumulatively, even where the visa holder departs Australia and subsequently returns).</w:t>
      </w:r>
    </w:p>
    <w:p w:rsidR="00EB776A" w:rsidRDefault="00EB776A" w:rsidP="00EB776A">
      <w:pPr>
        <w:tabs>
          <w:tab w:val="left" w:pos="6521"/>
        </w:tabs>
        <w:spacing w:before="0"/>
        <w:ind w:right="91"/>
      </w:pPr>
    </w:p>
    <w:p w:rsidR="00EB776A" w:rsidRDefault="00EB776A" w:rsidP="00EB776A">
      <w:pPr>
        <w:tabs>
          <w:tab w:val="left" w:pos="6521"/>
        </w:tabs>
        <w:spacing w:before="0"/>
        <w:ind w:right="91"/>
      </w:pPr>
      <w:r>
        <w:t>These conditions must be imposed on Frequent Traveller visas (see item 13 above).</w:t>
      </w:r>
    </w:p>
    <w:p w:rsidR="006B5F8E" w:rsidRDefault="006B5F8E" w:rsidP="00EB776A">
      <w:pPr>
        <w:tabs>
          <w:tab w:val="left" w:pos="6521"/>
        </w:tabs>
        <w:spacing w:before="0"/>
        <w:ind w:right="91"/>
        <w:rPr>
          <w:b/>
          <w:szCs w:val="24"/>
          <w:u w:val="single"/>
        </w:rPr>
      </w:pPr>
    </w:p>
    <w:p w:rsidR="00155F4A" w:rsidRPr="00EB776A" w:rsidRDefault="00155F4A" w:rsidP="00EB776A">
      <w:pPr>
        <w:tabs>
          <w:tab w:val="left" w:pos="6521"/>
        </w:tabs>
        <w:spacing w:before="0"/>
        <w:ind w:right="91"/>
      </w:pPr>
      <w:r w:rsidRPr="005D7CFC">
        <w:rPr>
          <w:b/>
          <w:szCs w:val="24"/>
          <w:u w:val="single"/>
        </w:rPr>
        <w:t>Schedule </w:t>
      </w:r>
      <w:r>
        <w:rPr>
          <w:b/>
          <w:szCs w:val="24"/>
          <w:u w:val="single"/>
        </w:rPr>
        <w:t>2</w:t>
      </w:r>
      <w:r w:rsidRPr="005D7CFC">
        <w:rPr>
          <w:b/>
          <w:szCs w:val="24"/>
          <w:u w:val="single"/>
        </w:rPr>
        <w:t xml:space="preserve"> – </w:t>
      </w:r>
      <w:r w:rsidR="00EB776A">
        <w:rPr>
          <w:b/>
          <w:u w:val="single"/>
        </w:rPr>
        <w:t>Cessation of bridging visas</w:t>
      </w:r>
    </w:p>
    <w:p w:rsidR="00155F4A" w:rsidRDefault="00155F4A" w:rsidP="00155F4A">
      <w:pPr>
        <w:spacing w:before="0"/>
        <w:ind w:right="-57"/>
        <w:rPr>
          <w:szCs w:val="24"/>
          <w:u w:val="single"/>
        </w:rPr>
      </w:pPr>
    </w:p>
    <w:p w:rsidR="00EB776A" w:rsidRPr="00407E9C" w:rsidRDefault="00EB776A" w:rsidP="00EB776A">
      <w:pPr>
        <w:spacing w:before="0"/>
        <w:ind w:right="91"/>
        <w:rPr>
          <w:b/>
          <w:i/>
        </w:rPr>
      </w:pPr>
      <w:r w:rsidRPr="00407E9C">
        <w:rPr>
          <w:b/>
          <w:i/>
        </w:rPr>
        <w:t>Migration Regulations 1994</w:t>
      </w:r>
    </w:p>
    <w:p w:rsidR="00EB776A" w:rsidRDefault="00EB776A" w:rsidP="00EB776A">
      <w:pPr>
        <w:tabs>
          <w:tab w:val="left" w:pos="9026"/>
        </w:tabs>
        <w:spacing w:before="0"/>
        <w:ind w:right="95"/>
        <w:jc w:val="both"/>
      </w:pPr>
    </w:p>
    <w:p w:rsidR="00EB776A" w:rsidRDefault="00EB776A" w:rsidP="00EB776A">
      <w:pPr>
        <w:tabs>
          <w:tab w:val="left" w:pos="9026"/>
        </w:tabs>
        <w:spacing w:before="0"/>
        <w:ind w:right="95"/>
      </w:pPr>
      <w:r w:rsidRPr="004575FA">
        <w:t>Broadly, the purpose of bridging visas is to provide lawful status in Australia to certain non-citizens whil</w:t>
      </w:r>
      <w:r>
        <w:t>e</w:t>
      </w:r>
      <w:r w:rsidRPr="004575FA">
        <w:t xml:space="preserve"> they await the outcome of a migration or citizenship related decision</w:t>
      </w:r>
      <w:bookmarkStart w:id="4" w:name="OLE_LINK1"/>
      <w:r>
        <w:t>.</w:t>
      </w:r>
    </w:p>
    <w:bookmarkEnd w:id="4"/>
    <w:p w:rsidR="00EB776A" w:rsidRDefault="00EB776A" w:rsidP="00EB776A">
      <w:pPr>
        <w:spacing w:before="0"/>
        <w:ind w:right="95"/>
        <w:jc w:val="both"/>
      </w:pPr>
    </w:p>
    <w:p w:rsidR="00EB776A" w:rsidRDefault="00EB776A" w:rsidP="00EB776A">
      <w:pPr>
        <w:spacing w:before="0"/>
        <w:ind w:right="95"/>
      </w:pPr>
      <w:r>
        <w:t xml:space="preserve">The purpose of the Regulation is to amend the </w:t>
      </w:r>
      <w:r>
        <w:rPr>
          <w:i/>
        </w:rPr>
        <w:t xml:space="preserve">Migration </w:t>
      </w:r>
      <w:r w:rsidRPr="00830CBC">
        <w:rPr>
          <w:i/>
        </w:rPr>
        <w:t>Regulations</w:t>
      </w:r>
      <w:r w:rsidRPr="00662F47">
        <w:rPr>
          <w:i/>
        </w:rPr>
        <w:t xml:space="preserve"> 1994</w:t>
      </w:r>
      <w:r>
        <w:t xml:space="preserve"> (‘the Regulations’) to provide greater certainty about when certain bridging visas cease to be in effect. The amendments apply to the following bridging visa subclasses:</w:t>
      </w:r>
    </w:p>
    <w:p w:rsidR="00EB776A" w:rsidRDefault="00EB776A" w:rsidP="00EB776A">
      <w:pPr>
        <w:spacing w:before="0"/>
        <w:ind w:right="95"/>
        <w:jc w:val="both"/>
      </w:pPr>
    </w:p>
    <w:p w:rsidR="00EB776A" w:rsidRDefault="00EB776A" w:rsidP="0089397F">
      <w:pPr>
        <w:numPr>
          <w:ilvl w:val="0"/>
          <w:numId w:val="10"/>
        </w:numPr>
        <w:tabs>
          <w:tab w:val="left" w:pos="9026"/>
        </w:tabs>
        <w:spacing w:before="0"/>
        <w:ind w:right="95"/>
        <w:jc w:val="both"/>
      </w:pPr>
      <w:r>
        <w:t>Subclass 010 (Bridging A) visa (‘</w:t>
      </w:r>
      <w:smartTag w:uri="urn:schemas-microsoft-com:office:smarttags" w:element="stockticker">
        <w:r>
          <w:t>BVA</w:t>
        </w:r>
      </w:smartTag>
      <w:r>
        <w:t>’)</w:t>
      </w:r>
    </w:p>
    <w:p w:rsidR="00EB776A" w:rsidRDefault="00EB776A" w:rsidP="0089397F">
      <w:pPr>
        <w:numPr>
          <w:ilvl w:val="0"/>
          <w:numId w:val="10"/>
        </w:numPr>
        <w:tabs>
          <w:tab w:val="left" w:pos="9026"/>
        </w:tabs>
        <w:spacing w:before="0"/>
        <w:ind w:right="95"/>
        <w:jc w:val="both"/>
      </w:pPr>
      <w:r>
        <w:t>Subclass 020 (Bridging B) visa (‘</w:t>
      </w:r>
      <w:smartTag w:uri="urn:schemas-microsoft-com:office:smarttags" w:element="stockticker">
        <w:r>
          <w:t>BVB</w:t>
        </w:r>
      </w:smartTag>
      <w:r>
        <w:t>’)</w:t>
      </w:r>
    </w:p>
    <w:p w:rsidR="00EB776A" w:rsidRDefault="00EB776A" w:rsidP="0089397F">
      <w:pPr>
        <w:numPr>
          <w:ilvl w:val="0"/>
          <w:numId w:val="10"/>
        </w:numPr>
        <w:tabs>
          <w:tab w:val="left" w:pos="9026"/>
        </w:tabs>
        <w:spacing w:before="0"/>
        <w:ind w:right="95"/>
        <w:jc w:val="both"/>
      </w:pPr>
      <w:r>
        <w:t>Subclass 030 (Bridging C) visa (‘</w:t>
      </w:r>
      <w:smartTag w:uri="urn:schemas-microsoft-com:office:smarttags" w:element="stockticker">
        <w:r>
          <w:t>BVC</w:t>
        </w:r>
      </w:smartTag>
      <w:r>
        <w:t>’)</w:t>
      </w:r>
    </w:p>
    <w:p w:rsidR="00EB776A" w:rsidRDefault="00EB776A" w:rsidP="0089397F">
      <w:pPr>
        <w:numPr>
          <w:ilvl w:val="0"/>
          <w:numId w:val="10"/>
        </w:numPr>
        <w:tabs>
          <w:tab w:val="left" w:pos="9026"/>
        </w:tabs>
        <w:spacing w:before="0"/>
        <w:ind w:right="95"/>
        <w:jc w:val="both"/>
      </w:pPr>
      <w:r>
        <w:t>Subclass 050 (Bridging (General)) visa (‘BVE 050’)</w:t>
      </w:r>
    </w:p>
    <w:p w:rsidR="00EB776A" w:rsidRDefault="00EB776A" w:rsidP="0089397F">
      <w:pPr>
        <w:numPr>
          <w:ilvl w:val="0"/>
          <w:numId w:val="10"/>
        </w:numPr>
        <w:tabs>
          <w:tab w:val="left" w:pos="9026"/>
        </w:tabs>
        <w:spacing w:before="0"/>
        <w:ind w:right="95"/>
        <w:jc w:val="both"/>
      </w:pPr>
      <w:r>
        <w:t>Subclass 051 (Bridging (Protection Visa Applicant)) visa (‘BVE 051’).</w:t>
      </w:r>
    </w:p>
    <w:p w:rsidR="00481038" w:rsidRDefault="0089397F" w:rsidP="0089397F">
      <w:pPr>
        <w:spacing w:before="120" w:after="120"/>
      </w:pPr>
      <w:r w:rsidRPr="003019FE">
        <w:rPr>
          <w:szCs w:val="24"/>
        </w:rPr>
        <w:t>The</w:t>
      </w:r>
      <w:r w:rsidRPr="000E35DB">
        <w:rPr>
          <w:i/>
          <w:szCs w:val="24"/>
        </w:rPr>
        <w:t xml:space="preserve"> </w:t>
      </w:r>
      <w:r w:rsidRPr="000E35DB">
        <w:rPr>
          <w:szCs w:val="24"/>
        </w:rPr>
        <w:t xml:space="preserve">Regulations </w:t>
      </w:r>
      <w:r w:rsidR="00481038">
        <w:rPr>
          <w:szCs w:val="24"/>
        </w:rPr>
        <w:t>previously</w:t>
      </w:r>
      <w:r w:rsidRPr="000E35DB">
        <w:rPr>
          <w:szCs w:val="24"/>
        </w:rPr>
        <w:t xml:space="preserve"> prescribe</w:t>
      </w:r>
      <w:r w:rsidR="00AD5613">
        <w:rPr>
          <w:szCs w:val="24"/>
        </w:rPr>
        <w:t>d</w:t>
      </w:r>
      <w:r w:rsidRPr="000E35DB">
        <w:rPr>
          <w:szCs w:val="24"/>
        </w:rPr>
        <w:t xml:space="preserve"> an exhaustive list of trigger events which </w:t>
      </w:r>
      <w:r w:rsidR="00481038">
        <w:rPr>
          <w:szCs w:val="24"/>
        </w:rPr>
        <w:t>would</w:t>
      </w:r>
      <w:r w:rsidRPr="000E35DB">
        <w:rPr>
          <w:szCs w:val="24"/>
        </w:rPr>
        <w:t xml:space="preserve"> cause a bridging visa to cease. For bridging visas that </w:t>
      </w:r>
      <w:r w:rsidR="00481038">
        <w:rPr>
          <w:szCs w:val="24"/>
        </w:rPr>
        <w:t xml:space="preserve">were </w:t>
      </w:r>
      <w:r w:rsidRPr="000E35DB">
        <w:rPr>
          <w:szCs w:val="24"/>
        </w:rPr>
        <w:t xml:space="preserve">granted and held in association with </w:t>
      </w:r>
      <w:r>
        <w:rPr>
          <w:szCs w:val="24"/>
        </w:rPr>
        <w:t>certain matters, such as substantive visa application or in relation to a citizenship process,</w:t>
      </w:r>
      <w:r w:rsidRPr="000E35DB">
        <w:rPr>
          <w:szCs w:val="24"/>
        </w:rPr>
        <w:t xml:space="preserve"> these events include</w:t>
      </w:r>
      <w:r w:rsidR="00481038">
        <w:rPr>
          <w:szCs w:val="24"/>
        </w:rPr>
        <w:t>d</w:t>
      </w:r>
      <w:r w:rsidRPr="000E35DB">
        <w:rPr>
          <w:szCs w:val="24"/>
        </w:rPr>
        <w:t xml:space="preserve"> notification of the </w:t>
      </w:r>
      <w:r>
        <w:rPr>
          <w:szCs w:val="24"/>
        </w:rPr>
        <w:t>outcome or decision in relation to the application</w:t>
      </w:r>
      <w:r w:rsidRPr="000E35DB">
        <w:rPr>
          <w:szCs w:val="24"/>
        </w:rPr>
        <w:t>.</w:t>
      </w:r>
      <w:r>
        <w:rPr>
          <w:szCs w:val="24"/>
        </w:rPr>
        <w:t xml:space="preserve"> Therefore, any bridging visa held in association with these processes </w:t>
      </w:r>
      <w:r w:rsidR="00481038">
        <w:rPr>
          <w:szCs w:val="24"/>
        </w:rPr>
        <w:t>would</w:t>
      </w:r>
      <w:r>
        <w:rPr>
          <w:szCs w:val="24"/>
        </w:rPr>
        <w:t xml:space="preserve"> not cease until effective notification of a decision in relation to that process ha</w:t>
      </w:r>
      <w:r w:rsidR="00481038">
        <w:rPr>
          <w:szCs w:val="24"/>
        </w:rPr>
        <w:t>d</w:t>
      </w:r>
      <w:r>
        <w:rPr>
          <w:szCs w:val="24"/>
        </w:rPr>
        <w:t xml:space="preserve"> occurred.</w:t>
      </w:r>
      <w:r w:rsidRPr="003A290B">
        <w:t xml:space="preserve"> </w:t>
      </w:r>
    </w:p>
    <w:p w:rsidR="0089397F" w:rsidRDefault="0089397F" w:rsidP="0089397F">
      <w:pPr>
        <w:spacing w:before="120" w:after="120"/>
      </w:pPr>
      <w:r w:rsidRPr="003A290B">
        <w:rPr>
          <w:szCs w:val="24"/>
        </w:rPr>
        <w:t xml:space="preserve">Sections 494B and 494C of the Act provide for the methods by which the Minister can notify a person </w:t>
      </w:r>
      <w:r>
        <w:rPr>
          <w:szCs w:val="24"/>
        </w:rPr>
        <w:t xml:space="preserve">of the decision in relation to a particular application process (for example) </w:t>
      </w:r>
      <w:r w:rsidRPr="003A290B">
        <w:rPr>
          <w:szCs w:val="24"/>
        </w:rPr>
        <w:t xml:space="preserve">and when a person is </w:t>
      </w:r>
      <w:r w:rsidRPr="000F3798">
        <w:t>taken to have been notified of that decision, respectively.</w:t>
      </w:r>
    </w:p>
    <w:p w:rsidR="000F3798" w:rsidRPr="000F3798" w:rsidRDefault="000F3798" w:rsidP="000F3798">
      <w:pPr>
        <w:spacing w:before="0"/>
      </w:pPr>
    </w:p>
    <w:p w:rsidR="0089397F" w:rsidRDefault="0089397F" w:rsidP="000F3798">
      <w:pPr>
        <w:spacing w:before="0"/>
        <w:rPr>
          <w:szCs w:val="24"/>
        </w:rPr>
      </w:pPr>
      <w:r>
        <w:rPr>
          <w:szCs w:val="24"/>
        </w:rPr>
        <w:t>It follow</w:t>
      </w:r>
      <w:r w:rsidR="00481038">
        <w:rPr>
          <w:szCs w:val="24"/>
        </w:rPr>
        <w:t>ed</w:t>
      </w:r>
      <w:r>
        <w:rPr>
          <w:szCs w:val="24"/>
        </w:rPr>
        <w:t xml:space="preserve"> that under the </w:t>
      </w:r>
      <w:r w:rsidR="00481038">
        <w:rPr>
          <w:szCs w:val="24"/>
        </w:rPr>
        <w:t>previous</w:t>
      </w:r>
      <w:r>
        <w:rPr>
          <w:szCs w:val="24"/>
        </w:rPr>
        <w:t xml:space="preserve"> bridging visa cessation framework, it </w:t>
      </w:r>
      <w:r w:rsidR="00481038">
        <w:rPr>
          <w:szCs w:val="24"/>
        </w:rPr>
        <w:t>was</w:t>
      </w:r>
      <w:r>
        <w:rPr>
          <w:szCs w:val="24"/>
        </w:rPr>
        <w:t xml:space="preserve"> difficult for both Departmental officers and visa applicants alike to determine whether a bridging visa held in association with a certain process ha</w:t>
      </w:r>
      <w:r w:rsidR="00481038">
        <w:rPr>
          <w:szCs w:val="24"/>
        </w:rPr>
        <w:t>d</w:t>
      </w:r>
      <w:r>
        <w:rPr>
          <w:szCs w:val="24"/>
        </w:rPr>
        <w:t xml:space="preserve"> in fact ceased</w:t>
      </w:r>
      <w:r w:rsidR="00481038">
        <w:rPr>
          <w:szCs w:val="24"/>
        </w:rPr>
        <w:t xml:space="preserve"> where there was defective notification</w:t>
      </w:r>
      <w:r>
        <w:rPr>
          <w:szCs w:val="24"/>
        </w:rPr>
        <w:t>.</w:t>
      </w:r>
    </w:p>
    <w:p w:rsidR="0089397F" w:rsidRDefault="0089397F" w:rsidP="0089397F">
      <w:pPr>
        <w:spacing w:before="120" w:after="120"/>
        <w:rPr>
          <w:szCs w:val="24"/>
        </w:rPr>
      </w:pPr>
      <w:r>
        <w:rPr>
          <w:szCs w:val="24"/>
        </w:rPr>
        <w:lastRenderedPageBreak/>
        <w:t>The purpose of this amendment is to:-</w:t>
      </w:r>
    </w:p>
    <w:p w:rsidR="0089397F" w:rsidRDefault="0089397F" w:rsidP="0089397F">
      <w:pPr>
        <w:pStyle w:val="ListParagraph"/>
        <w:numPr>
          <w:ilvl w:val="0"/>
          <w:numId w:val="8"/>
        </w:numPr>
        <w:spacing w:before="120" w:after="120"/>
        <w:contextualSpacing/>
        <w:rPr>
          <w:szCs w:val="24"/>
        </w:rPr>
      </w:pPr>
      <w:r>
        <w:rPr>
          <w:szCs w:val="24"/>
        </w:rPr>
        <w:t xml:space="preserve">simplify the complex framework in relation to bridging visa cessation; </w:t>
      </w:r>
    </w:p>
    <w:p w:rsidR="0089397F" w:rsidRDefault="0089397F" w:rsidP="0089397F">
      <w:pPr>
        <w:pStyle w:val="ListParagraph"/>
        <w:numPr>
          <w:ilvl w:val="0"/>
          <w:numId w:val="8"/>
        </w:numPr>
        <w:spacing w:before="120" w:after="120"/>
        <w:contextualSpacing/>
        <w:rPr>
          <w:szCs w:val="24"/>
        </w:rPr>
      </w:pPr>
      <w:r>
        <w:rPr>
          <w:szCs w:val="24"/>
        </w:rPr>
        <w:t xml:space="preserve">shift bridging visa cessation from effective notification of the decision to the decision itself; </w:t>
      </w:r>
    </w:p>
    <w:p w:rsidR="0089397F" w:rsidRDefault="0089397F" w:rsidP="0089397F">
      <w:pPr>
        <w:pStyle w:val="ListParagraph"/>
        <w:numPr>
          <w:ilvl w:val="0"/>
          <w:numId w:val="8"/>
        </w:numPr>
        <w:spacing w:before="120" w:after="120"/>
        <w:contextualSpacing/>
        <w:rPr>
          <w:szCs w:val="24"/>
        </w:rPr>
      </w:pPr>
      <w:r>
        <w:rPr>
          <w:szCs w:val="24"/>
        </w:rPr>
        <w:t xml:space="preserve">provide greater consistency and certainty in relation to when a bridging visa ceases, and more generally, the immigration status of the person/s concerned once a decision has been made; </w:t>
      </w:r>
    </w:p>
    <w:p w:rsidR="0089397F" w:rsidRDefault="0089397F" w:rsidP="0089397F">
      <w:pPr>
        <w:pStyle w:val="ListParagraph"/>
        <w:numPr>
          <w:ilvl w:val="0"/>
          <w:numId w:val="8"/>
        </w:numPr>
        <w:spacing w:before="120" w:after="120"/>
        <w:contextualSpacing/>
        <w:rPr>
          <w:szCs w:val="24"/>
        </w:rPr>
      </w:pPr>
      <w:r>
        <w:rPr>
          <w:szCs w:val="24"/>
        </w:rPr>
        <w:t>produce greater efficiencies and streamline the processes and timeframes in relation to the immigration status resolution process; and</w:t>
      </w:r>
    </w:p>
    <w:p w:rsidR="0089397F" w:rsidRPr="00013A9C" w:rsidRDefault="0089397F" w:rsidP="0089397F">
      <w:pPr>
        <w:pStyle w:val="ListParagraph"/>
        <w:numPr>
          <w:ilvl w:val="0"/>
          <w:numId w:val="8"/>
        </w:numPr>
        <w:spacing w:before="120" w:after="120"/>
        <w:contextualSpacing/>
        <w:rPr>
          <w:szCs w:val="24"/>
        </w:rPr>
      </w:pPr>
      <w:r>
        <w:rPr>
          <w:szCs w:val="24"/>
        </w:rPr>
        <w:t>encourage visa applicants to more proactively engage with the Department of Immigration and Border Protection to facilitate the efficient management of their immigration status.</w:t>
      </w:r>
    </w:p>
    <w:p w:rsidR="000F3798" w:rsidRDefault="0089397F" w:rsidP="0089397F">
      <w:pPr>
        <w:spacing w:before="120"/>
        <w:rPr>
          <w:szCs w:val="24"/>
        </w:rPr>
      </w:pPr>
      <w:r>
        <w:rPr>
          <w:szCs w:val="24"/>
        </w:rPr>
        <w:t xml:space="preserve">The amendment does not affect whether or not a visa application is finally determined, or timeframes for applying for merits review. Visa applicants will still need to be properly notified of a decision in relation to their visa application for the application to be finally determined; and the legislative amendment does not deal with or affect merits review timeframes, which still require effective notification in order to trigger the timeframe for merits review.  </w:t>
      </w:r>
    </w:p>
    <w:p w:rsidR="000F3798" w:rsidRDefault="000F702D" w:rsidP="0089397F">
      <w:pPr>
        <w:spacing w:before="120"/>
      </w:pPr>
      <w:r>
        <w:t>C</w:t>
      </w:r>
      <w:r w:rsidR="000F3798">
        <w:t xml:space="preserve">onsistent with the previous framework, unless </w:t>
      </w:r>
      <w:r>
        <w:t>otherwise specified</w:t>
      </w:r>
      <w:r w:rsidR="000F3798">
        <w:t xml:space="preserve"> the ceasing events set out in the relevant parts of the Regulations are intended to operate so that whichever of those events occurs first triggers the cessation of the bridging visa.</w:t>
      </w:r>
    </w:p>
    <w:p w:rsidR="0089397F" w:rsidRDefault="0089397F" w:rsidP="0089397F">
      <w:pPr>
        <w:spacing w:before="120"/>
        <w:rPr>
          <w:szCs w:val="24"/>
        </w:rPr>
      </w:pPr>
      <w:r>
        <w:rPr>
          <w:szCs w:val="24"/>
        </w:rPr>
        <w:t>Further details in relation to the proposed amendments are outlined below.</w:t>
      </w:r>
    </w:p>
    <w:p w:rsidR="00EB776A" w:rsidRDefault="00EB776A" w:rsidP="00EB776A">
      <w:pPr>
        <w:rPr>
          <w:u w:val="single"/>
        </w:rPr>
      </w:pPr>
      <w:r w:rsidRPr="00BD7B86">
        <w:rPr>
          <w:u w:val="single"/>
        </w:rPr>
        <w:t>Items 2-5, 9-12, 16-19, 23-26 and 62-6</w:t>
      </w:r>
      <w:r>
        <w:rPr>
          <w:u w:val="single"/>
        </w:rPr>
        <w:t>6</w:t>
      </w:r>
      <w:r w:rsidRPr="00BD7B86">
        <w:rPr>
          <w:u w:val="single"/>
        </w:rPr>
        <w:t>– Subparagraphs 010.511(b)(i</w:t>
      </w:r>
      <w:r>
        <w:rPr>
          <w:u w:val="single"/>
        </w:rPr>
        <w:t>i),(iii),(v),(vii) and (viii), s</w:t>
      </w:r>
      <w:r w:rsidRPr="00BD7B86">
        <w:rPr>
          <w:u w:val="single"/>
        </w:rPr>
        <w:t>ubparagraphs 020.511(b)(ii),(iii</w:t>
      </w:r>
      <w:r>
        <w:rPr>
          <w:u w:val="single"/>
        </w:rPr>
        <w:t>),(iv),(vii) and (viii), s</w:t>
      </w:r>
      <w:r w:rsidRPr="00017A5C">
        <w:rPr>
          <w:u w:val="single"/>
        </w:rPr>
        <w:t>ubparagraphs 030.511(ii),(iii),(v),(vi) an</w:t>
      </w:r>
      <w:r>
        <w:rPr>
          <w:u w:val="single"/>
        </w:rPr>
        <w:t>d (vii), s</w:t>
      </w:r>
      <w:r w:rsidRPr="00017A5C">
        <w:rPr>
          <w:u w:val="single"/>
        </w:rPr>
        <w:t>ubparagraphs 050.511(b)(ii),(iii),(iiia),(iv),(vi) and (vii)</w:t>
      </w:r>
      <w:r>
        <w:rPr>
          <w:u w:val="single"/>
        </w:rPr>
        <w:t xml:space="preserve"> and subparagraphs 051.511(a)(ii),(b),(ba),(d) and (e) </w:t>
      </w:r>
      <w:r w:rsidRPr="00641937">
        <w:rPr>
          <w:u w:val="single"/>
        </w:rPr>
        <w:t>of Schedule 2</w:t>
      </w:r>
    </w:p>
    <w:p w:rsidR="00EB776A" w:rsidRPr="00BD7BB2" w:rsidRDefault="00EB776A" w:rsidP="00EB776A">
      <w:pPr>
        <w:rPr>
          <w:u w:val="single"/>
        </w:rPr>
      </w:pPr>
      <w:r>
        <w:t xml:space="preserve">A person may be granted a bridging visa because they have made an application for a substantive visa (that is, a visa other than a bridging visa, a criminal justice visa or an enforcement visa). The Regulations specify that these bridging visas stay in effect until one of a range of specified events (‘ceasing events’) occurs. </w:t>
      </w:r>
      <w:r w:rsidRPr="006E6F6B">
        <w:t>These items</w:t>
      </w:r>
      <w:r>
        <w:t xml:space="preserve"> make changes to the following ceasing events for </w:t>
      </w:r>
      <w:r w:rsidRPr="006E6F6B">
        <w:t xml:space="preserve">a </w:t>
      </w:r>
      <w:r>
        <w:t xml:space="preserve">BVA, BVB, BVC, BVE 050 or BVE 051 </w:t>
      </w:r>
      <w:r w:rsidRPr="006E6F6B">
        <w:t xml:space="preserve">granted to a </w:t>
      </w:r>
      <w:r>
        <w:t>person</w:t>
      </w:r>
      <w:r w:rsidRPr="006E6F6B">
        <w:t xml:space="preserve"> who has applied for a substantive visa.</w:t>
      </w:r>
    </w:p>
    <w:p w:rsidR="00EB776A" w:rsidRPr="006E6F6B" w:rsidRDefault="00EB776A" w:rsidP="0089397F">
      <w:pPr>
        <w:pStyle w:val="ListParagraph"/>
        <w:numPr>
          <w:ilvl w:val="0"/>
          <w:numId w:val="9"/>
        </w:numPr>
        <w:contextualSpacing/>
      </w:pPr>
      <w:r w:rsidRPr="006E6F6B">
        <w:t>Where the M</w:t>
      </w:r>
      <w:r>
        <w:t>inister refuses to grant the substantive</w:t>
      </w:r>
      <w:r w:rsidRPr="006E6F6B">
        <w:t xml:space="preserve"> visa, and the holder does not seek merits review of the refusal decision, the </w:t>
      </w:r>
      <w:r>
        <w:t>bridging visa no longer ceases 28 days after the holder i</w:t>
      </w:r>
      <w:r w:rsidRPr="006E6F6B">
        <w:t xml:space="preserve">s notified of the Minister’s refusal </w:t>
      </w:r>
      <w:r>
        <w:t xml:space="preserve">decision, but </w:t>
      </w:r>
      <w:r w:rsidRPr="006E6F6B">
        <w:t>35 days after the decision is made.</w:t>
      </w:r>
    </w:p>
    <w:p w:rsidR="00EB776A" w:rsidRDefault="00EB776A" w:rsidP="0089397F">
      <w:pPr>
        <w:pStyle w:val="ListParagraph"/>
        <w:numPr>
          <w:ilvl w:val="0"/>
          <w:numId w:val="9"/>
        </w:numPr>
        <w:contextualSpacing/>
      </w:pPr>
      <w:r w:rsidRPr="006E6F6B">
        <w:t>Where the Minister refuses</w:t>
      </w:r>
      <w:r>
        <w:t xml:space="preserve"> to grant the substantive visa</w:t>
      </w:r>
      <w:r w:rsidRPr="006E6F6B">
        <w:t xml:space="preserve">, and the holder applies </w:t>
      </w:r>
      <w:r>
        <w:t xml:space="preserve">within 35 days </w:t>
      </w:r>
      <w:r w:rsidRPr="006E6F6B">
        <w:t xml:space="preserve">to the Administrative Appeals Tribunal (the Tribunal) for merits review of </w:t>
      </w:r>
      <w:r>
        <w:t>the refusal</w:t>
      </w:r>
      <w:r w:rsidRPr="006E6F6B">
        <w:t xml:space="preserve"> decision, the </w:t>
      </w:r>
      <w:r>
        <w:t>bridging visa no longer ceases</w:t>
      </w:r>
      <w:r w:rsidRPr="006E6F6B">
        <w:t xml:space="preserve"> 28 days after the ho</w:t>
      </w:r>
      <w:r>
        <w:t>lder i</w:t>
      </w:r>
      <w:r w:rsidRPr="006E6F6B">
        <w:t>s notified by the Tribunal</w:t>
      </w:r>
      <w:r>
        <w:t xml:space="preserve"> of its decision:</w:t>
      </w:r>
    </w:p>
    <w:p w:rsidR="00EB776A" w:rsidRDefault="00EB776A" w:rsidP="0089397F">
      <w:pPr>
        <w:pStyle w:val="ListParagraph"/>
        <w:numPr>
          <w:ilvl w:val="1"/>
          <w:numId w:val="9"/>
        </w:numPr>
        <w:contextualSpacing/>
      </w:pPr>
      <w:r w:rsidRPr="006E6F6B">
        <w:t xml:space="preserve"> </w:t>
      </w:r>
      <w:r>
        <w:t xml:space="preserve">on the merits review; or </w:t>
      </w:r>
    </w:p>
    <w:p w:rsidR="00EB776A" w:rsidRDefault="00EB776A" w:rsidP="0089397F">
      <w:pPr>
        <w:pStyle w:val="ListParagraph"/>
        <w:numPr>
          <w:ilvl w:val="1"/>
          <w:numId w:val="9"/>
        </w:numPr>
        <w:contextualSpacing/>
      </w:pPr>
      <w:r>
        <w:t>that the application for merits review was not made in accordance with the law governing the making of applications to the Tribunal.</w:t>
      </w:r>
    </w:p>
    <w:p w:rsidR="00EB776A" w:rsidRPr="006E6F6B" w:rsidRDefault="00EB776A" w:rsidP="00EB776A">
      <w:pPr>
        <w:spacing w:before="0"/>
        <w:ind w:left="720"/>
      </w:pPr>
      <w:r>
        <w:t xml:space="preserve">Instead the bridging visa will cease </w:t>
      </w:r>
      <w:r w:rsidRPr="006E6F6B">
        <w:t>35 days after the</w:t>
      </w:r>
      <w:r>
        <w:t xml:space="preserve"> Tribunal’s</w:t>
      </w:r>
      <w:r w:rsidRPr="006E6F6B">
        <w:t xml:space="preserve"> decision is made.</w:t>
      </w:r>
    </w:p>
    <w:p w:rsidR="00EB776A" w:rsidRPr="006E6F6B" w:rsidRDefault="00EB776A" w:rsidP="0089397F">
      <w:pPr>
        <w:pStyle w:val="ListParagraph"/>
        <w:numPr>
          <w:ilvl w:val="0"/>
          <w:numId w:val="9"/>
        </w:numPr>
        <w:spacing w:before="0"/>
        <w:contextualSpacing/>
      </w:pPr>
      <w:r w:rsidRPr="006E6F6B">
        <w:lastRenderedPageBreak/>
        <w:t xml:space="preserve">Where the holder withdraws the substantive visa application or the merits review application, the </w:t>
      </w:r>
      <w:r>
        <w:t>bridging visa no longer ceases 28 days after that withdrawal, but instead ceases 35 days after the withdrawal</w:t>
      </w:r>
      <w:r w:rsidRPr="006E6F6B">
        <w:t>.</w:t>
      </w:r>
    </w:p>
    <w:p w:rsidR="00434A4B" w:rsidRDefault="00EB776A" w:rsidP="000F3798">
      <w:pPr>
        <w:pStyle w:val="ListParagraph"/>
        <w:numPr>
          <w:ilvl w:val="0"/>
          <w:numId w:val="9"/>
        </w:numPr>
        <w:contextualSpacing/>
      </w:pPr>
      <w:r w:rsidRPr="006E6F6B">
        <w:t xml:space="preserve">Where </w:t>
      </w:r>
      <w:r>
        <w:t>the Minister</w:t>
      </w:r>
      <w:r w:rsidRPr="006E6F6B">
        <w:t xml:space="preserve"> decides that the substantive visa </w:t>
      </w:r>
      <w:r w:rsidR="00BB5FD8">
        <w:t xml:space="preserve">application </w:t>
      </w:r>
      <w:r w:rsidRPr="006E6F6B">
        <w:t xml:space="preserve">is invalid, the </w:t>
      </w:r>
      <w:r>
        <w:t>bridging visa no longer ceases</w:t>
      </w:r>
      <w:r w:rsidRPr="006E6F6B">
        <w:t xml:space="preserve"> 28 days after the holder is notified of this by Immigration</w:t>
      </w:r>
      <w:r>
        <w:t>, but 35 </w:t>
      </w:r>
      <w:r w:rsidRPr="006E6F6B">
        <w:t>days after the decision is made.</w:t>
      </w:r>
    </w:p>
    <w:p w:rsidR="00EB776A" w:rsidRDefault="00EB776A" w:rsidP="00EB776A">
      <w:r w:rsidRPr="00641937">
        <w:t>I</w:t>
      </w:r>
      <w:r>
        <w:t>n addition to the above, i</w:t>
      </w:r>
      <w:r w:rsidRPr="00641937">
        <w:t>tems 5, 12, 19</w:t>
      </w:r>
      <w:r>
        <w:t xml:space="preserve"> and 66</w:t>
      </w:r>
      <w:r w:rsidRPr="00641937">
        <w:t xml:space="preserve"> make technical amendment</w:t>
      </w:r>
      <w:r>
        <w:t>s</w:t>
      </w:r>
      <w:r w:rsidRPr="00641937">
        <w:t xml:space="preserve"> to clarify that when the Tribunal</w:t>
      </w:r>
      <w:r w:rsidRPr="006E6F6B">
        <w:t xml:space="preserve"> remits the substantive visa application to the Minister for reconsideration </w:t>
      </w:r>
      <w:r w:rsidRPr="009A6238">
        <w:t>the bridgin</w:t>
      </w:r>
      <w:r>
        <w:t>g visa will continue to be in effect</w:t>
      </w:r>
      <w:r w:rsidRPr="009A6238">
        <w:t xml:space="preserve"> until one of the ceasing events </w:t>
      </w:r>
      <w:r>
        <w:t xml:space="preserve">relevant to the reconsideration </w:t>
      </w:r>
      <w:r w:rsidRPr="009A6238">
        <w:t>o</w:t>
      </w:r>
      <w:r>
        <w:t>ccurs</w:t>
      </w:r>
      <w:r w:rsidRPr="006E6F6B">
        <w:t>.</w:t>
      </w:r>
    </w:p>
    <w:p w:rsidR="00EB776A" w:rsidRDefault="00EB776A" w:rsidP="00EB776A">
      <w:pPr>
        <w:rPr>
          <w:u w:val="single"/>
        </w:rPr>
      </w:pPr>
      <w:r>
        <w:rPr>
          <w:u w:val="single"/>
        </w:rPr>
        <w:t>Items 29-32 – Paragraph 050.511C(b) and subparagraphs 050.511C(b)(i), (ii), (iii) and (iv) of Schedule 2</w:t>
      </w:r>
    </w:p>
    <w:p w:rsidR="00EB776A" w:rsidRDefault="00EB776A" w:rsidP="00EB776A">
      <w:r>
        <w:t xml:space="preserve">A person may be granted a BVE 050 because they have applied for judicial review of a decision under the </w:t>
      </w:r>
      <w:r w:rsidRPr="00155753">
        <w:rPr>
          <w:i/>
        </w:rPr>
        <w:t>Australia</w:t>
      </w:r>
      <w:r>
        <w:rPr>
          <w:i/>
        </w:rPr>
        <w:t>n</w:t>
      </w:r>
      <w:r w:rsidRPr="00155753">
        <w:rPr>
          <w:i/>
        </w:rPr>
        <w:t xml:space="preserve"> Citizenship Act 2007</w:t>
      </w:r>
      <w:r>
        <w:rPr>
          <w:i/>
        </w:rPr>
        <w:t>.</w:t>
      </w:r>
      <w:r w:rsidRPr="00155753">
        <w:t xml:space="preserve"> </w:t>
      </w:r>
      <w:r w:rsidRPr="006E6F6B">
        <w:t>These items</w:t>
      </w:r>
      <w:r>
        <w:t xml:space="preserve"> make changes so that if the relevant court remits the matter to the Minister or the Tribunal for reconsideration, the person’s BVE 050 no longer ceases 28 days after the holder is notified of the Minister or the Tribunal’s decision on the reconsideration, but 35 da</w:t>
      </w:r>
      <w:r w:rsidR="00434A4B">
        <w:t>ys after that decision is made.</w:t>
      </w:r>
    </w:p>
    <w:p w:rsidR="00EB776A" w:rsidRDefault="00EB776A" w:rsidP="00EB776A">
      <w:r>
        <w:t>These items do not make changes to the relevant ceasing events where the court makes a decision on the judicial review proceedings, other than a decision to remit the matter, and also does not make changes to the relevant ceasing event where the person withdraws his or her application for judicial review.</w:t>
      </w:r>
    </w:p>
    <w:p w:rsidR="00EB776A" w:rsidRPr="00BD7BB2" w:rsidRDefault="00EB776A" w:rsidP="00EB776A">
      <w:r>
        <w:rPr>
          <w:u w:val="single"/>
        </w:rPr>
        <w:t>Items 35-36 –paragraph 050.511D(b) and subparagraph 050.511D(b)(i) and (ii) of Schedule 2</w:t>
      </w:r>
    </w:p>
    <w:p w:rsidR="00EB776A" w:rsidRDefault="00EB776A" w:rsidP="00EB776A">
      <w:r>
        <w:t xml:space="preserve">A person may be granted a BVE 050 because they have applied for merits review of a decision under the </w:t>
      </w:r>
      <w:r w:rsidRPr="00155753">
        <w:rPr>
          <w:i/>
        </w:rPr>
        <w:t>Australia</w:t>
      </w:r>
      <w:r>
        <w:rPr>
          <w:i/>
        </w:rPr>
        <w:t>n</w:t>
      </w:r>
      <w:r w:rsidRPr="00155753">
        <w:rPr>
          <w:i/>
        </w:rPr>
        <w:t xml:space="preserve"> Citizenship Act 2007</w:t>
      </w:r>
      <w:r>
        <w:rPr>
          <w:i/>
        </w:rPr>
        <w:t>.</w:t>
      </w:r>
      <w:r w:rsidRPr="00155753">
        <w:t xml:space="preserve"> </w:t>
      </w:r>
      <w:r w:rsidRPr="006E6F6B">
        <w:t>These items</w:t>
      </w:r>
      <w:r>
        <w:t xml:space="preserve"> make changes to the following ceasing events for these bridging visas.</w:t>
      </w:r>
    </w:p>
    <w:p w:rsidR="00EB776A" w:rsidRDefault="00EB776A" w:rsidP="0089397F">
      <w:pPr>
        <w:pStyle w:val="ListParagraph"/>
        <w:numPr>
          <w:ilvl w:val="0"/>
          <w:numId w:val="12"/>
        </w:numPr>
        <w:contextualSpacing/>
      </w:pPr>
      <w:r>
        <w:t>Where the Tribunal makes a decision that the application for merits review was not made in accordance with the law governing the making of applications to the Tribunal, the BVE 050 no longer ceases 28 days after the person is notified of that decision, but 35 days after the Tribunal makes the decision.</w:t>
      </w:r>
    </w:p>
    <w:p w:rsidR="00EB776A" w:rsidRDefault="00EB776A" w:rsidP="0089397F">
      <w:pPr>
        <w:pStyle w:val="ListParagraph"/>
        <w:numPr>
          <w:ilvl w:val="0"/>
          <w:numId w:val="12"/>
        </w:numPr>
        <w:contextualSpacing/>
      </w:pPr>
      <w:r>
        <w:t>Where the Tribunal makes a decision on the merits review, the BVE 050 no longer ceases 28 days after the person is notified of the decision, but 35 days after the Tribunal makes the decision.</w:t>
      </w:r>
    </w:p>
    <w:p w:rsidR="00EB776A" w:rsidRPr="009E4B64" w:rsidRDefault="00EB776A" w:rsidP="0089397F">
      <w:pPr>
        <w:pStyle w:val="ListParagraph"/>
        <w:numPr>
          <w:ilvl w:val="0"/>
          <w:numId w:val="12"/>
        </w:numPr>
        <w:contextualSpacing/>
      </w:pPr>
      <w:r>
        <w:t>Where the person withdraws his or her application for merits review, the BVE 050 no longer ceases 28 days, but instead ceases 35 days after that withdrawal.</w:t>
      </w:r>
    </w:p>
    <w:p w:rsidR="00EB776A" w:rsidRDefault="00EB776A" w:rsidP="00EB776A">
      <w:pPr>
        <w:rPr>
          <w:u w:val="single"/>
        </w:rPr>
      </w:pPr>
      <w:r>
        <w:rPr>
          <w:u w:val="single"/>
        </w:rPr>
        <w:t>Items 40-41 and 51-52 – Paragraphs 050.513(a) and (c) and paragraphs 050.514(a) and (c) of Schedule 2</w:t>
      </w:r>
    </w:p>
    <w:p w:rsidR="00EB776A" w:rsidRDefault="00EB776A" w:rsidP="00EB776A">
      <w:r w:rsidRPr="009D4499">
        <w:t xml:space="preserve">A person may be granted a BVE </w:t>
      </w:r>
      <w:r>
        <w:t>050 on the basis that they have applied for merits review of a decision to cancel a visa.</w:t>
      </w:r>
      <w:r w:rsidRPr="009D4499">
        <w:t xml:space="preserve"> </w:t>
      </w:r>
      <w:r w:rsidRPr="006E6F6B">
        <w:t>These items</w:t>
      </w:r>
      <w:r>
        <w:t xml:space="preserve"> make changes to the following ceasing events for these bridging visas.</w:t>
      </w:r>
    </w:p>
    <w:p w:rsidR="00EB776A" w:rsidRDefault="00EB776A" w:rsidP="0089397F">
      <w:pPr>
        <w:pStyle w:val="ListParagraph"/>
        <w:numPr>
          <w:ilvl w:val="0"/>
          <w:numId w:val="13"/>
        </w:numPr>
        <w:contextualSpacing/>
      </w:pPr>
      <w:r>
        <w:t xml:space="preserve">Where the Tribunal makes a decision that the application for merits review was not made in accordance with the law governing the making of applications to the </w:t>
      </w:r>
      <w:r>
        <w:lastRenderedPageBreak/>
        <w:t>Tribunal, the BVE 050 no longer ceases 28 days after the person is notified of that decision, but 35 days after the Tribunal makes the decision.</w:t>
      </w:r>
    </w:p>
    <w:p w:rsidR="00EB776A" w:rsidRDefault="00EB776A" w:rsidP="0089397F">
      <w:pPr>
        <w:pStyle w:val="ListParagraph"/>
        <w:numPr>
          <w:ilvl w:val="0"/>
          <w:numId w:val="12"/>
        </w:numPr>
        <w:contextualSpacing/>
      </w:pPr>
      <w:r>
        <w:t>Where the Tribunal makes a decision on the merits review, the BVE 050 no longer ceases 28 days after the person is notified of the decision, but 35 days after the Tribunal makes the decision.</w:t>
      </w:r>
    </w:p>
    <w:p w:rsidR="00EB776A" w:rsidRPr="00861A16" w:rsidRDefault="00EB776A" w:rsidP="0089397F">
      <w:pPr>
        <w:pStyle w:val="ListParagraph"/>
        <w:numPr>
          <w:ilvl w:val="0"/>
          <w:numId w:val="12"/>
        </w:numPr>
        <w:contextualSpacing/>
      </w:pPr>
      <w:r>
        <w:t>Where the person withdraws his or her application for merits review, the BVE 050 no longer ceases 28 days</w:t>
      </w:r>
      <w:r w:rsidRPr="005D4833">
        <w:t xml:space="preserve"> </w:t>
      </w:r>
      <w:r>
        <w:t>after that withdrawal, but instead ceases 35 days after the withdrawal.</w:t>
      </w:r>
    </w:p>
    <w:p w:rsidR="00EB776A" w:rsidRDefault="00EB776A" w:rsidP="00EB776A">
      <w:r>
        <w:t xml:space="preserve">Where a person’s visa is consequentially cancelled because of the cancellation  of a visa held by another person described above </w:t>
      </w:r>
      <w:r w:rsidRPr="00861A16">
        <w:t>(</w:t>
      </w:r>
      <w:r w:rsidRPr="00BF7295">
        <w:t xml:space="preserve">for example, because they hold the visa as a result of being a member of the family unit of </w:t>
      </w:r>
      <w:r>
        <w:t xml:space="preserve">the other </w:t>
      </w:r>
      <w:r w:rsidRPr="00BF7295">
        <w:t>person or as a result of being a child born in Australia to that</w:t>
      </w:r>
      <w:r>
        <w:t xml:space="preserve"> other</w:t>
      </w:r>
      <w:r w:rsidRPr="00BF7295">
        <w:t xml:space="preserve"> person), they may be granted a BVE 050 because the </w:t>
      </w:r>
      <w:r>
        <w:t>other</w:t>
      </w:r>
      <w:r w:rsidRPr="00BF7295">
        <w:t xml:space="preserve"> person has applied for </w:t>
      </w:r>
      <w:r>
        <w:t>merits review</w:t>
      </w:r>
      <w:r w:rsidRPr="00BF7295">
        <w:t xml:space="preserve"> of the cancellation decision. These items therefore also make changes to the following ceasing events for these bridging visas.</w:t>
      </w:r>
    </w:p>
    <w:p w:rsidR="00EB776A" w:rsidRDefault="00EB776A" w:rsidP="0089397F">
      <w:pPr>
        <w:pStyle w:val="ListParagraph"/>
        <w:numPr>
          <w:ilvl w:val="0"/>
          <w:numId w:val="13"/>
        </w:numPr>
        <w:contextualSpacing/>
      </w:pPr>
      <w:r>
        <w:t>Where the Tribunal makes a decision that the other person’s application for merits review was not made in accordance with the law governing the making of applications to the Tribunal, the BVE 050 no longer ceases 28 days after the other person is notified of that decision, but 35 days after the Tribunal makes the decision.</w:t>
      </w:r>
    </w:p>
    <w:p w:rsidR="00EB776A" w:rsidRDefault="00EB776A" w:rsidP="0089397F">
      <w:pPr>
        <w:pStyle w:val="ListParagraph"/>
        <w:numPr>
          <w:ilvl w:val="0"/>
          <w:numId w:val="12"/>
        </w:numPr>
        <w:contextualSpacing/>
      </w:pPr>
      <w:r>
        <w:t>Where the Tribunal makes a decision on the merits review, the BVE 050 no longer ceases 28 days after the other person is notified of the decision, but 35 days after the Tribunal makes the decision.</w:t>
      </w:r>
    </w:p>
    <w:p w:rsidR="00EB776A" w:rsidRPr="009D4499" w:rsidRDefault="00EB776A" w:rsidP="0089397F">
      <w:pPr>
        <w:pStyle w:val="ListParagraph"/>
        <w:numPr>
          <w:ilvl w:val="0"/>
          <w:numId w:val="12"/>
        </w:numPr>
        <w:contextualSpacing/>
      </w:pPr>
      <w:r>
        <w:t>Where the other person withdraws his or her application for merits review, the BVE 050 no longer ceases 28 days</w:t>
      </w:r>
      <w:r w:rsidRPr="005D4833">
        <w:t xml:space="preserve"> </w:t>
      </w:r>
      <w:r>
        <w:t>after that withdrawal, but instead ceases 35 days after the withdrawal.</w:t>
      </w:r>
    </w:p>
    <w:p w:rsidR="00EB776A" w:rsidRDefault="00EB776A" w:rsidP="00EB776A">
      <w:pPr>
        <w:rPr>
          <w:u w:val="single"/>
        </w:rPr>
      </w:pPr>
      <w:r>
        <w:rPr>
          <w:u w:val="single"/>
        </w:rPr>
        <w:t xml:space="preserve">Items </w:t>
      </w:r>
      <w:r w:rsidRPr="00BD7BB2">
        <w:rPr>
          <w:u w:val="single"/>
        </w:rPr>
        <w:t>43-44 and 54-55 – Subparagraphs 050.513A(b)(i) and (iii) and subparagraphs 050.514AA(b)(i) and (ii)</w:t>
      </w:r>
    </w:p>
    <w:p w:rsidR="00EB776A" w:rsidRPr="00BF7295" w:rsidRDefault="00EB776A" w:rsidP="00EB776A">
      <w:r w:rsidRPr="009D4499">
        <w:t xml:space="preserve">A </w:t>
      </w:r>
      <w:r>
        <w:t>person may have their visa cancelled if they are sent a</w:t>
      </w:r>
      <w:r w:rsidRPr="0066154C">
        <w:t xml:space="preserve"> notice under section 20 of the </w:t>
      </w:r>
      <w:r w:rsidRPr="0066154C">
        <w:rPr>
          <w:i/>
        </w:rPr>
        <w:t>Education Services for Overseas Students Act 2000</w:t>
      </w:r>
      <w:r>
        <w:rPr>
          <w:i/>
        </w:rPr>
        <w:t xml:space="preserve"> </w:t>
      </w:r>
      <w:r>
        <w:t xml:space="preserve">and fail to comply with that notice. </w:t>
      </w:r>
      <w:r w:rsidRPr="00BF7295">
        <w:t>Where a person applies for revocation of such a cancellation decision, they may be granted a BVE 050. The Regulations specify that this BVE 050 will stay in effect until one of a range of ceasing events occurs. These items make changes to the following ceasing events for these bridging visas.</w:t>
      </w:r>
    </w:p>
    <w:p w:rsidR="00EB776A" w:rsidRPr="00BF7295" w:rsidRDefault="00EB776A" w:rsidP="0089397F">
      <w:pPr>
        <w:pStyle w:val="ListParagraph"/>
        <w:numPr>
          <w:ilvl w:val="0"/>
          <w:numId w:val="11"/>
        </w:numPr>
        <w:contextualSpacing/>
      </w:pPr>
      <w:r w:rsidRPr="00BF7295">
        <w:t>Where a decision is made on the revocation application, the BVE 050 no longer ceases 7 working days after the holder is notified of the decision, but 14 working days after the decision is made.</w:t>
      </w:r>
    </w:p>
    <w:p w:rsidR="00EB776A" w:rsidRPr="00BF7295" w:rsidRDefault="00EB776A" w:rsidP="0089397F">
      <w:pPr>
        <w:pStyle w:val="ListParagraph"/>
        <w:numPr>
          <w:ilvl w:val="0"/>
          <w:numId w:val="11"/>
        </w:numPr>
        <w:contextualSpacing/>
      </w:pPr>
      <w:r w:rsidRPr="00BF7295">
        <w:t xml:space="preserve">Where the holder withdraws the revocation application, the BVE 050 </w:t>
      </w:r>
      <w:r>
        <w:t>no longer ceases 7 working days</w:t>
      </w:r>
      <w:r w:rsidRPr="005D4833">
        <w:t xml:space="preserve"> </w:t>
      </w:r>
      <w:r>
        <w:t>after that withdrawal, but instead ceases 14 working days after the withdrawal</w:t>
      </w:r>
      <w:r w:rsidRPr="00BF7295">
        <w:t>.</w:t>
      </w:r>
    </w:p>
    <w:p w:rsidR="00EB776A" w:rsidRPr="00BF7295" w:rsidRDefault="00EB776A" w:rsidP="00EB776A">
      <w:r w:rsidRPr="00BF7295">
        <w:t xml:space="preserve">Where </w:t>
      </w:r>
      <w:r>
        <w:t>a</w:t>
      </w:r>
      <w:r w:rsidRPr="00BF7295">
        <w:t xml:space="preserve"> person</w:t>
      </w:r>
      <w:r>
        <w:t>’s</w:t>
      </w:r>
      <w:r w:rsidRPr="00BF7295">
        <w:t xml:space="preserve"> visa </w:t>
      </w:r>
      <w:r>
        <w:t xml:space="preserve">is consequentially </w:t>
      </w:r>
      <w:r w:rsidRPr="00BF7295">
        <w:t xml:space="preserve">cancelled because of the cancellation </w:t>
      </w:r>
      <w:r>
        <w:t xml:space="preserve">of a visa held by another person </w:t>
      </w:r>
      <w:r w:rsidRPr="00BF7295">
        <w:t xml:space="preserve">described above (for example, because they hold the visa as a result of being a member of the family unit of the </w:t>
      </w:r>
      <w:r>
        <w:t>other</w:t>
      </w:r>
      <w:r w:rsidRPr="00BF7295">
        <w:t xml:space="preserve"> person or as a result of being a child born in Australia to that </w:t>
      </w:r>
      <w:r>
        <w:t>other</w:t>
      </w:r>
      <w:r w:rsidRPr="00BF7295">
        <w:t xml:space="preserve"> person), they may be granted a BVE 050 because the </w:t>
      </w:r>
      <w:r>
        <w:t>other</w:t>
      </w:r>
      <w:r w:rsidRPr="00BF7295">
        <w:t xml:space="preserve"> person has applied for revocation of the cancellation decision. These items therefore also make changes to the following ceasing events for these bridging visas.</w:t>
      </w:r>
    </w:p>
    <w:p w:rsidR="00EB776A" w:rsidRPr="00BF7295" w:rsidRDefault="00EB776A" w:rsidP="0089397F">
      <w:pPr>
        <w:pStyle w:val="ListParagraph"/>
        <w:numPr>
          <w:ilvl w:val="0"/>
          <w:numId w:val="11"/>
        </w:numPr>
        <w:contextualSpacing/>
      </w:pPr>
      <w:r w:rsidRPr="00BF7295">
        <w:lastRenderedPageBreak/>
        <w:t xml:space="preserve">Where a decision is made on the revocation application, the BVE 050 no longer ceases 7 working days after the </w:t>
      </w:r>
      <w:r>
        <w:t>other</w:t>
      </w:r>
      <w:r w:rsidRPr="00BF7295">
        <w:t xml:space="preserve"> person is notified of the decision, but 14 working days after the decision is made.</w:t>
      </w:r>
    </w:p>
    <w:p w:rsidR="00EB776A" w:rsidRPr="00BF7295" w:rsidRDefault="00EB776A" w:rsidP="0089397F">
      <w:pPr>
        <w:pStyle w:val="ListParagraph"/>
        <w:numPr>
          <w:ilvl w:val="0"/>
          <w:numId w:val="11"/>
        </w:numPr>
        <w:contextualSpacing/>
      </w:pPr>
      <w:r w:rsidRPr="00BF7295">
        <w:t xml:space="preserve">Where the </w:t>
      </w:r>
      <w:r>
        <w:t>other</w:t>
      </w:r>
      <w:r w:rsidRPr="00BF7295">
        <w:t xml:space="preserve"> person withdraws the revocation application, the BVE 050 </w:t>
      </w:r>
      <w:r>
        <w:t>no longer ceases 7 working days</w:t>
      </w:r>
      <w:r w:rsidRPr="005D4833">
        <w:t xml:space="preserve"> </w:t>
      </w:r>
      <w:r>
        <w:t>after that withdrawal, but instead ceases 14 working days after the withdrawal</w:t>
      </w:r>
      <w:r w:rsidRPr="00BF7295">
        <w:t>.</w:t>
      </w:r>
    </w:p>
    <w:p w:rsidR="00EB776A" w:rsidRDefault="00EB776A" w:rsidP="00EB776A">
      <w:pPr>
        <w:rPr>
          <w:u w:val="single"/>
        </w:rPr>
      </w:pPr>
      <w:r>
        <w:rPr>
          <w:u w:val="single"/>
        </w:rPr>
        <w:t>Items 47-48 and 58-59 – Paragraphs 050.513B(a) and (c) and paragraphs 050.514AB(a) and (c)</w:t>
      </w:r>
    </w:p>
    <w:p w:rsidR="00EB776A" w:rsidRDefault="00EB776A" w:rsidP="00EB776A">
      <w:r w:rsidRPr="009D4499">
        <w:t xml:space="preserve">A </w:t>
      </w:r>
      <w:r>
        <w:t>person may have their visa cancelled if they are sent a</w:t>
      </w:r>
      <w:r w:rsidRPr="0066154C">
        <w:t xml:space="preserve"> notice under section 20 of the </w:t>
      </w:r>
      <w:r w:rsidRPr="0066154C">
        <w:rPr>
          <w:i/>
        </w:rPr>
        <w:t>Education Services for Overseas Students Act 2000</w:t>
      </w:r>
      <w:r>
        <w:rPr>
          <w:i/>
        </w:rPr>
        <w:t xml:space="preserve"> </w:t>
      </w:r>
      <w:r>
        <w:t>and fail to comply with that notice. In this event, it is open to the person to apply in writing to the Minister for revocation of the cancellation. Where a decision is made not to revoke the cancellation of the visa, and the person applies for merits review of that decision, they may be granted a BVE 050.</w:t>
      </w:r>
      <w:r w:rsidRPr="009D4499">
        <w:t xml:space="preserve"> </w:t>
      </w:r>
      <w:r w:rsidRPr="006E6F6B">
        <w:t>These items</w:t>
      </w:r>
      <w:r>
        <w:t xml:space="preserve"> make </w:t>
      </w:r>
      <w:r w:rsidRPr="00BF7295">
        <w:t>changes to the following ceasing events for these bridging visas.</w:t>
      </w:r>
    </w:p>
    <w:p w:rsidR="00EB776A" w:rsidRDefault="00EB776A" w:rsidP="0089397F">
      <w:pPr>
        <w:pStyle w:val="ListParagraph"/>
        <w:numPr>
          <w:ilvl w:val="0"/>
          <w:numId w:val="14"/>
        </w:numPr>
        <w:contextualSpacing/>
      </w:pPr>
      <w:r>
        <w:t>Where the Tribunal makes a decision that the application for merits review was not made in accordance with the law governing the making of applications to the Tribunal, the BVE 050 no longer ceases 28 days after the person is notified of that decision, but 35 days after the Tribunal makes the decision.</w:t>
      </w:r>
    </w:p>
    <w:p w:rsidR="00EB776A" w:rsidRDefault="00EB776A" w:rsidP="0089397F">
      <w:pPr>
        <w:pStyle w:val="ListParagraph"/>
        <w:numPr>
          <w:ilvl w:val="0"/>
          <w:numId w:val="12"/>
        </w:numPr>
        <w:contextualSpacing/>
      </w:pPr>
      <w:r>
        <w:t>Where the Tribunal makes a decision on the merits review, the BVE 050 no longer ceases 28 days after the person is notified of the decision, but 35 days after the Tribunal makes the decision.</w:t>
      </w:r>
    </w:p>
    <w:p w:rsidR="00EB776A" w:rsidRDefault="00EB776A" w:rsidP="0089397F">
      <w:pPr>
        <w:pStyle w:val="ListParagraph"/>
        <w:numPr>
          <w:ilvl w:val="0"/>
          <w:numId w:val="12"/>
        </w:numPr>
        <w:contextualSpacing/>
      </w:pPr>
      <w:r>
        <w:t>Where the person withdraws his or her application for merits review, the BVE 050 no longer ceases 28 days</w:t>
      </w:r>
      <w:r w:rsidRPr="005D4833">
        <w:t xml:space="preserve"> </w:t>
      </w:r>
      <w:r>
        <w:t>after that withdrawal, but instead ceases 35 days after the withdrawal.</w:t>
      </w:r>
    </w:p>
    <w:p w:rsidR="00EB776A" w:rsidRPr="00BF7295" w:rsidRDefault="00EB776A" w:rsidP="00EB776A">
      <w:r w:rsidRPr="00BF7295">
        <w:t xml:space="preserve">Where </w:t>
      </w:r>
      <w:r>
        <w:t>a</w:t>
      </w:r>
      <w:r w:rsidRPr="00BF7295">
        <w:t xml:space="preserve"> person</w:t>
      </w:r>
      <w:r>
        <w:t>’s</w:t>
      </w:r>
      <w:r w:rsidRPr="00BF7295">
        <w:t xml:space="preserve"> visa </w:t>
      </w:r>
      <w:r>
        <w:t xml:space="preserve">is consequentially </w:t>
      </w:r>
      <w:r w:rsidRPr="00BF7295">
        <w:t xml:space="preserve">cancelled because of the cancellation </w:t>
      </w:r>
      <w:r>
        <w:t xml:space="preserve">of a visa held by another person </w:t>
      </w:r>
      <w:r w:rsidRPr="00BF7295">
        <w:t xml:space="preserve">described above (for example, because they hold the visa as a result of being a member of the family unit of the </w:t>
      </w:r>
      <w:r>
        <w:t>other</w:t>
      </w:r>
      <w:r w:rsidRPr="00BF7295">
        <w:t xml:space="preserve"> person or as a result of being a child born in Australia to that </w:t>
      </w:r>
      <w:r>
        <w:t>other</w:t>
      </w:r>
      <w:r w:rsidRPr="00BF7295">
        <w:t xml:space="preserve"> person), they may be granted a BVE 050 because the </w:t>
      </w:r>
      <w:r>
        <w:t>other</w:t>
      </w:r>
      <w:r w:rsidRPr="00BF7295">
        <w:t xml:space="preserve"> person has applied for </w:t>
      </w:r>
      <w:r>
        <w:t>merits review of a refusal to revoke</w:t>
      </w:r>
      <w:r w:rsidRPr="00BF7295">
        <w:t xml:space="preserve"> the cancellation decision. These items therefore also make changes to the following ceasing events for these bridging visas.</w:t>
      </w:r>
    </w:p>
    <w:p w:rsidR="00EB776A" w:rsidRDefault="00EB776A" w:rsidP="0089397F">
      <w:pPr>
        <w:pStyle w:val="ListParagraph"/>
        <w:numPr>
          <w:ilvl w:val="0"/>
          <w:numId w:val="14"/>
        </w:numPr>
        <w:contextualSpacing/>
      </w:pPr>
      <w:r>
        <w:t>Where the Tribunal makes a decision that the other person’s application for merits review was not made in accordance with the law governing the making of applications to the Tribunal, the BVE 050 no longer ceases 28 days after the other person is notified of that decision, but 35 days after the Tribunal makes the decision.</w:t>
      </w:r>
    </w:p>
    <w:p w:rsidR="00EB776A" w:rsidRDefault="00EB776A" w:rsidP="0089397F">
      <w:pPr>
        <w:pStyle w:val="ListParagraph"/>
        <w:numPr>
          <w:ilvl w:val="0"/>
          <w:numId w:val="12"/>
        </w:numPr>
        <w:contextualSpacing/>
      </w:pPr>
      <w:r>
        <w:t>Where the Tribunal makes a decision on the merits review, the BVE 050 no longer ceases 28 days after the other person is notified of the decision, but 35 days after the Tribunal makes the decision.</w:t>
      </w:r>
    </w:p>
    <w:p w:rsidR="00EB776A" w:rsidRDefault="00EB776A" w:rsidP="0089397F">
      <w:pPr>
        <w:pStyle w:val="ListParagraph"/>
        <w:numPr>
          <w:ilvl w:val="0"/>
          <w:numId w:val="12"/>
        </w:numPr>
        <w:contextualSpacing/>
      </w:pPr>
      <w:r>
        <w:t>Where the other person withdraws his or her application for merits review, the BVE 050 no longer ceases 28 days</w:t>
      </w:r>
      <w:r w:rsidRPr="005D4833">
        <w:t xml:space="preserve"> </w:t>
      </w:r>
      <w:r>
        <w:t>after that withdrawal, but instead ceases 35 days after the withdrawal.</w:t>
      </w:r>
    </w:p>
    <w:p w:rsidR="00EB776A" w:rsidRPr="00931367" w:rsidRDefault="00EB776A" w:rsidP="00EB776A">
      <w:pPr>
        <w:rPr>
          <w:u w:val="single"/>
        </w:rPr>
      </w:pPr>
      <w:r>
        <w:rPr>
          <w:u w:val="single"/>
        </w:rPr>
        <w:t xml:space="preserve">Items 69-71 </w:t>
      </w:r>
      <w:r w:rsidRPr="00931367">
        <w:rPr>
          <w:u w:val="single"/>
        </w:rPr>
        <w:t>Subparagraph 051.513(1)(a)(ii)</w:t>
      </w:r>
      <w:r>
        <w:rPr>
          <w:u w:val="single"/>
        </w:rPr>
        <w:t>, (b), (ba)</w:t>
      </w:r>
      <w:r w:rsidRPr="00931367">
        <w:rPr>
          <w:u w:val="single"/>
        </w:rPr>
        <w:t xml:space="preserve"> </w:t>
      </w:r>
      <w:r>
        <w:rPr>
          <w:u w:val="single"/>
        </w:rPr>
        <w:t xml:space="preserve">and (d) </w:t>
      </w:r>
      <w:r w:rsidRPr="00931367">
        <w:rPr>
          <w:u w:val="single"/>
        </w:rPr>
        <w:t>of Schedule 2</w:t>
      </w:r>
    </w:p>
    <w:p w:rsidR="00EB776A" w:rsidRDefault="00EB776A" w:rsidP="00EB776A">
      <w:pPr>
        <w:pStyle w:val="contentelement-indentone"/>
        <w:spacing w:after="0" w:line="240" w:lineRule="auto"/>
        <w:ind w:left="0"/>
        <w:rPr>
          <w:szCs w:val="20"/>
        </w:rPr>
      </w:pPr>
      <w:bookmarkStart w:id="5" w:name="JD_legend_current_maPop00347"/>
      <w:bookmarkEnd w:id="5"/>
    </w:p>
    <w:p w:rsidR="00EB776A" w:rsidRDefault="00EB776A" w:rsidP="00EB776A">
      <w:pPr>
        <w:pStyle w:val="contentelement-indentone"/>
        <w:spacing w:line="240" w:lineRule="auto"/>
        <w:ind w:left="0"/>
        <w:rPr>
          <w:szCs w:val="20"/>
        </w:rPr>
      </w:pPr>
      <w:r>
        <w:rPr>
          <w:szCs w:val="20"/>
        </w:rPr>
        <w:t xml:space="preserve">A BVE 051 may be granted to a person under section 75 of the </w:t>
      </w:r>
      <w:r w:rsidRPr="00931367">
        <w:rPr>
          <w:i/>
          <w:szCs w:val="20"/>
        </w:rPr>
        <w:t>Migration Act 1958</w:t>
      </w:r>
      <w:r>
        <w:rPr>
          <w:szCs w:val="20"/>
        </w:rPr>
        <w:t xml:space="preserve"> (section 75 of the Migration Act sets out where a bridging visa is deemed to be granted to a non-</w:t>
      </w:r>
      <w:r>
        <w:rPr>
          <w:szCs w:val="20"/>
        </w:rPr>
        <w:lastRenderedPageBreak/>
        <w:t>citizen in immigration detention). These items make changes to when such a BVE 051 ceases in circumstances where the bridging visa is linked to a Protection visa application.</w:t>
      </w:r>
    </w:p>
    <w:p w:rsidR="00EB776A" w:rsidRDefault="00EB776A" w:rsidP="0089397F">
      <w:pPr>
        <w:pStyle w:val="contentelement-indentone"/>
        <w:numPr>
          <w:ilvl w:val="0"/>
          <w:numId w:val="15"/>
        </w:numPr>
        <w:spacing w:line="240" w:lineRule="auto"/>
        <w:rPr>
          <w:szCs w:val="20"/>
        </w:rPr>
      </w:pPr>
      <w:r>
        <w:rPr>
          <w:szCs w:val="20"/>
        </w:rPr>
        <w:t>If the Minister decides to refuse the person’s Protection visa application, the BVE 051 no longer ceases 28 days after the person is notified of the refusal decision, but 35 days after the decision is made.</w:t>
      </w:r>
    </w:p>
    <w:p w:rsidR="00EB776A" w:rsidRPr="00931367" w:rsidRDefault="00EB776A" w:rsidP="0089397F">
      <w:pPr>
        <w:pStyle w:val="contentelement-indentone"/>
        <w:numPr>
          <w:ilvl w:val="0"/>
          <w:numId w:val="15"/>
        </w:numPr>
        <w:spacing w:line="240" w:lineRule="auto"/>
        <w:rPr>
          <w:szCs w:val="20"/>
        </w:rPr>
      </w:pPr>
      <w:r>
        <w:rPr>
          <w:szCs w:val="20"/>
        </w:rPr>
        <w:t xml:space="preserve">If the person applies for merits review of a refusal decision and the Tribunal decides that the person’s application was not made in accordance with the law governing the making of applications to the Tribunal, the BVE 051 no longer ceases 28 days after the person is notified of the Tribunal’s decision, but 35 </w:t>
      </w:r>
      <w:r w:rsidRPr="00931367">
        <w:rPr>
          <w:szCs w:val="20"/>
        </w:rPr>
        <w:t>days after the decision is made.</w:t>
      </w:r>
    </w:p>
    <w:p w:rsidR="00EB776A" w:rsidRPr="00931367" w:rsidRDefault="00EB776A" w:rsidP="0089397F">
      <w:pPr>
        <w:pStyle w:val="contentelement-indentone"/>
        <w:numPr>
          <w:ilvl w:val="0"/>
          <w:numId w:val="15"/>
        </w:numPr>
        <w:spacing w:line="240" w:lineRule="auto"/>
        <w:rPr>
          <w:szCs w:val="20"/>
        </w:rPr>
      </w:pPr>
      <w:r>
        <w:rPr>
          <w:szCs w:val="20"/>
        </w:rPr>
        <w:t xml:space="preserve">If the person applies for merits review of a refusal decision and the Tribunal makes a decision on the person’s application (other than a decision to remit the application to the Minister for reconsideration), the BVE 051 no longer ceases 28 days after the person is notified of the Tribunal’s decision, but 35 </w:t>
      </w:r>
      <w:r w:rsidRPr="00931367">
        <w:rPr>
          <w:szCs w:val="20"/>
        </w:rPr>
        <w:t>days after the decision is made.</w:t>
      </w:r>
    </w:p>
    <w:p w:rsidR="00EB776A" w:rsidRPr="002409B6" w:rsidRDefault="00EB776A" w:rsidP="0089397F">
      <w:pPr>
        <w:pStyle w:val="contentelement-indentone"/>
        <w:numPr>
          <w:ilvl w:val="0"/>
          <w:numId w:val="15"/>
        </w:numPr>
        <w:spacing w:line="240" w:lineRule="auto"/>
      </w:pPr>
      <w:r>
        <w:rPr>
          <w:szCs w:val="20"/>
        </w:rPr>
        <w:t>If the</w:t>
      </w:r>
      <w:r w:rsidRPr="00931367">
        <w:rPr>
          <w:szCs w:val="20"/>
        </w:rPr>
        <w:t xml:space="preserve"> protection visa application is refused and the refusal decision is referred to the </w:t>
      </w:r>
      <w:hyperlink r:id="rId10" w:anchor="fasttrackapplicant%23ImmigrationAssessmentAuthority" w:history="1">
        <w:r w:rsidRPr="00931367">
          <w:t>Immigration Assessment Authority</w:t>
        </w:r>
      </w:hyperlink>
      <w:r w:rsidRPr="00931367">
        <w:rPr>
          <w:szCs w:val="20"/>
        </w:rPr>
        <w:t xml:space="preserve"> </w:t>
      </w:r>
      <w:r>
        <w:rPr>
          <w:szCs w:val="20"/>
        </w:rPr>
        <w:t xml:space="preserve">(the IAA) and the IAA makes a decision (other than a decision to remit the application to the Minister for reconsideration), the BVE 051 no longer ceases 28 days after the person is notified of the IAA’s decision, but 35 </w:t>
      </w:r>
      <w:r w:rsidRPr="00931367">
        <w:rPr>
          <w:szCs w:val="20"/>
        </w:rPr>
        <w:t>days after the decision is m</w:t>
      </w:r>
      <w:r w:rsidRPr="002409B6">
        <w:rPr>
          <w:szCs w:val="20"/>
        </w:rPr>
        <w:t>ade.</w:t>
      </w:r>
    </w:p>
    <w:p w:rsidR="00EB776A" w:rsidRPr="002409B6" w:rsidRDefault="00EB776A" w:rsidP="0089397F">
      <w:pPr>
        <w:pStyle w:val="contentelement-indentone"/>
        <w:numPr>
          <w:ilvl w:val="0"/>
          <w:numId w:val="15"/>
        </w:numPr>
        <w:spacing w:line="240" w:lineRule="auto"/>
      </w:pPr>
      <w:r w:rsidRPr="002409B6">
        <w:t>If the person withdraws their application for a Protection</w:t>
      </w:r>
      <w:r>
        <w:t xml:space="preserve"> visa or for review, the BVE 05</w:t>
      </w:r>
      <w:r w:rsidRPr="002409B6">
        <w:t xml:space="preserve">1 </w:t>
      </w:r>
      <w:r>
        <w:t>no longer ceases 28 days</w:t>
      </w:r>
      <w:r w:rsidRPr="005D4833">
        <w:t xml:space="preserve"> </w:t>
      </w:r>
      <w:r>
        <w:t>after that withdrawal, but instead ceases 35 days after the withdrawal</w:t>
      </w:r>
      <w:r w:rsidRPr="002409B6">
        <w:t>.</w:t>
      </w:r>
    </w:p>
    <w:p w:rsidR="00EB776A" w:rsidRPr="000C3983" w:rsidRDefault="00EB776A" w:rsidP="00EB776A">
      <w:r w:rsidRPr="000C3983">
        <w:rPr>
          <w:u w:val="single"/>
        </w:rPr>
        <w:t xml:space="preserve">Items 6, 13, 20, 27, 33, 37, 42, 49, 53, 60, 67 and 72 - </w:t>
      </w:r>
      <w:r>
        <w:rPr>
          <w:u w:val="single"/>
        </w:rPr>
        <w:t>A</w:t>
      </w:r>
      <w:r w:rsidRPr="000C3983">
        <w:rPr>
          <w:u w:val="single"/>
        </w:rPr>
        <w:t>t the ends of: clause</w:t>
      </w:r>
      <w:r>
        <w:rPr>
          <w:u w:val="single"/>
        </w:rPr>
        <w:t>s</w:t>
      </w:r>
      <w:r w:rsidRPr="000C3983">
        <w:rPr>
          <w:u w:val="single"/>
        </w:rPr>
        <w:t xml:space="preserve"> 010.511, 020.511</w:t>
      </w:r>
      <w:r>
        <w:rPr>
          <w:u w:val="single"/>
        </w:rPr>
        <w:t xml:space="preserve">, </w:t>
      </w:r>
      <w:r w:rsidRPr="000C3983">
        <w:rPr>
          <w:u w:val="single"/>
        </w:rPr>
        <w:t>030.511, 050.5</w:t>
      </w:r>
      <w:r>
        <w:rPr>
          <w:u w:val="single"/>
        </w:rPr>
        <w:t>1</w:t>
      </w:r>
      <w:r w:rsidRPr="000C3983">
        <w:rPr>
          <w:u w:val="single"/>
        </w:rPr>
        <w:t xml:space="preserve">1, 050.511C, </w:t>
      </w:r>
      <w:r>
        <w:rPr>
          <w:u w:val="single"/>
        </w:rPr>
        <w:t>050.511D,</w:t>
      </w:r>
      <w:r w:rsidRPr="000C3983">
        <w:rPr>
          <w:u w:val="single"/>
        </w:rPr>
        <w:t xml:space="preserve"> 050.513, 050.513B, 050.514, 050.514AB and 051.511, and after subclause 051.513(1) of Schedule 2</w:t>
      </w:r>
    </w:p>
    <w:p w:rsidR="00EB776A" w:rsidRDefault="00EB776A" w:rsidP="00EB776A">
      <w:pPr>
        <w:pStyle w:val="subsection"/>
        <w:tabs>
          <w:tab w:val="clear" w:pos="1021"/>
        </w:tabs>
        <w:ind w:left="0" w:firstLine="0"/>
        <w:rPr>
          <w:sz w:val="24"/>
        </w:rPr>
      </w:pPr>
      <w:r>
        <w:rPr>
          <w:sz w:val="24"/>
        </w:rPr>
        <w:t>As a result of these items, the bridging visas captured by the amendments</w:t>
      </w:r>
      <w:r w:rsidRPr="00B41582">
        <w:rPr>
          <w:sz w:val="24"/>
        </w:rPr>
        <w:t xml:space="preserve"> will cease</w:t>
      </w:r>
      <w:r>
        <w:rPr>
          <w:sz w:val="24"/>
        </w:rPr>
        <w:t xml:space="preserve"> a certain number of days after the date of the decision</w:t>
      </w:r>
      <w:r w:rsidRPr="00B41582">
        <w:rPr>
          <w:sz w:val="24"/>
        </w:rPr>
        <w:t>, regardless of t</w:t>
      </w:r>
      <w:r>
        <w:rPr>
          <w:sz w:val="24"/>
        </w:rPr>
        <w:t xml:space="preserve">he validity of the decision and </w:t>
      </w:r>
      <w:r w:rsidRPr="00B41582">
        <w:rPr>
          <w:sz w:val="24"/>
        </w:rPr>
        <w:t>despite any failure to comply with the requirements of the Migration Act</w:t>
      </w:r>
      <w:r>
        <w:rPr>
          <w:sz w:val="24"/>
        </w:rPr>
        <w:t xml:space="preserve"> or the</w:t>
      </w:r>
      <w:r w:rsidRPr="00B41582">
        <w:rPr>
          <w:sz w:val="24"/>
        </w:rPr>
        <w:t xml:space="preserve"> Regulations in relation to the decision.</w:t>
      </w:r>
      <w:r>
        <w:rPr>
          <w:sz w:val="24"/>
        </w:rPr>
        <w:t xml:space="preserve"> The purpose of these amendments is to ensure there is certainty about when a bridging visa ceases, which would not exist if a successful judicial challenge to the validity of the decision could mean that a bridging visa had never actually ceased. This scenario would cause uncertainty for both bridging visa holders and the Department.</w:t>
      </w:r>
    </w:p>
    <w:p w:rsidR="00EB776A" w:rsidRDefault="00EB776A" w:rsidP="00EB776A">
      <w:pPr>
        <w:pStyle w:val="subsection"/>
        <w:tabs>
          <w:tab w:val="clear" w:pos="1021"/>
        </w:tabs>
        <w:ind w:left="0" w:firstLine="0"/>
        <w:rPr>
          <w:sz w:val="24"/>
        </w:rPr>
      </w:pPr>
      <w:r w:rsidRPr="000C3983">
        <w:rPr>
          <w:sz w:val="24"/>
        </w:rPr>
        <w:t>The amendments do not</w:t>
      </w:r>
      <w:r>
        <w:rPr>
          <w:sz w:val="24"/>
        </w:rPr>
        <w:t xml:space="preserve"> remove the legislative requirement for notifications nor</w:t>
      </w:r>
      <w:r w:rsidRPr="000C3983">
        <w:rPr>
          <w:sz w:val="24"/>
        </w:rPr>
        <w:t xml:space="preserve"> make changes to </w:t>
      </w:r>
      <w:r>
        <w:rPr>
          <w:sz w:val="24"/>
        </w:rPr>
        <w:t xml:space="preserve">the review framework </w:t>
      </w:r>
      <w:r w:rsidRPr="000C3983">
        <w:rPr>
          <w:sz w:val="24"/>
        </w:rPr>
        <w:t>which currently exist</w:t>
      </w:r>
      <w:r>
        <w:rPr>
          <w:sz w:val="24"/>
        </w:rPr>
        <w:t>s</w:t>
      </w:r>
      <w:r w:rsidRPr="000C3983">
        <w:rPr>
          <w:sz w:val="24"/>
        </w:rPr>
        <w:t xml:space="preserve"> </w:t>
      </w:r>
      <w:r>
        <w:rPr>
          <w:sz w:val="24"/>
        </w:rPr>
        <w:t>in respect of decisions made by the Minister or the Tribunal</w:t>
      </w:r>
      <w:r w:rsidRPr="000C3983">
        <w:rPr>
          <w:sz w:val="24"/>
        </w:rPr>
        <w:t>. The amendments also do not make changes to bridging visa eligibility for a person pursuing such a review.</w:t>
      </w:r>
    </w:p>
    <w:p w:rsidR="00EB776A" w:rsidRPr="000C3983" w:rsidRDefault="00EB776A" w:rsidP="00EB776A">
      <w:pPr>
        <w:rPr>
          <w:u w:val="single"/>
        </w:rPr>
      </w:pPr>
      <w:r w:rsidRPr="000C3983">
        <w:rPr>
          <w:u w:val="single"/>
        </w:rPr>
        <w:t>Items 7-8, 14-15, 21-</w:t>
      </w:r>
      <w:r w:rsidRPr="001F3C02">
        <w:rPr>
          <w:u w:val="single"/>
        </w:rPr>
        <w:t>22, 28, 34</w:t>
      </w:r>
      <w:r w:rsidRPr="000C3983">
        <w:rPr>
          <w:u w:val="single"/>
        </w:rPr>
        <w:t xml:space="preserve">, 38-39, 45-46, 50, 56-57, 61 and 68 – paragraph 010.513(c), clause 020.511, paragraph 020.512(ba), clause 030.511, paragraph 030.512(c), clause 050.511, clause 050.511C, clause 050.511D, paragraph 050.512(c), </w:t>
      </w:r>
      <w:r>
        <w:rPr>
          <w:u w:val="single"/>
        </w:rPr>
        <w:t xml:space="preserve">clause 050.513, </w:t>
      </w:r>
      <w:r w:rsidRPr="000C3983">
        <w:rPr>
          <w:u w:val="single"/>
        </w:rPr>
        <w:t>paragraph 050.513A(c), clause 050.513B, clause 050.514, paragraph 050.514AA(c), clause 050.514AB, clause 051.511 and paragraph 051.512(d)</w:t>
      </w:r>
    </w:p>
    <w:p w:rsidR="00EB776A" w:rsidRDefault="00EB776A" w:rsidP="00EB776A">
      <w:r>
        <w:t>These</w:t>
      </w:r>
      <w:r w:rsidRPr="006E6F6B">
        <w:t xml:space="preserve"> item</w:t>
      </w:r>
      <w:r>
        <w:t>s make</w:t>
      </w:r>
      <w:r w:rsidRPr="006E6F6B">
        <w:t xml:space="preserve"> technical amendment</w:t>
      </w:r>
      <w:r>
        <w:t>s</w:t>
      </w:r>
      <w:r w:rsidRPr="006E6F6B">
        <w:t xml:space="preserve"> to sup</w:t>
      </w:r>
      <w:r>
        <w:t>port the operation of the Regulation</w:t>
      </w:r>
      <w:r w:rsidRPr="006E6F6B">
        <w:t>.</w:t>
      </w:r>
    </w:p>
    <w:p w:rsidR="00EB776A" w:rsidRDefault="00EB776A" w:rsidP="00B63281">
      <w:pPr>
        <w:spacing w:before="0"/>
        <w:ind w:right="-57"/>
      </w:pPr>
    </w:p>
    <w:p w:rsidR="006B5F8E" w:rsidRDefault="006B5F8E" w:rsidP="00B63281">
      <w:pPr>
        <w:spacing w:before="0"/>
        <w:ind w:right="-57"/>
        <w:rPr>
          <w:b/>
        </w:rPr>
      </w:pPr>
    </w:p>
    <w:p w:rsidR="00B63281" w:rsidRPr="00A054DE" w:rsidRDefault="00B63281" w:rsidP="00B63281">
      <w:pPr>
        <w:spacing w:before="0"/>
        <w:ind w:right="-57"/>
        <w:rPr>
          <w:b/>
          <w:szCs w:val="24"/>
          <w:u w:val="single"/>
        </w:rPr>
      </w:pPr>
      <w:r w:rsidRPr="00EB776A">
        <w:rPr>
          <w:b/>
          <w:szCs w:val="24"/>
          <w:u w:val="single"/>
        </w:rPr>
        <w:lastRenderedPageBreak/>
        <w:t>Schedule </w:t>
      </w:r>
      <w:r w:rsidR="00724C43" w:rsidRPr="00EB776A">
        <w:rPr>
          <w:b/>
          <w:szCs w:val="24"/>
          <w:u w:val="single"/>
        </w:rPr>
        <w:t>3</w:t>
      </w:r>
      <w:r w:rsidRPr="00EB776A">
        <w:rPr>
          <w:b/>
          <w:szCs w:val="24"/>
          <w:u w:val="single"/>
        </w:rPr>
        <w:t xml:space="preserve"> – </w:t>
      </w:r>
      <w:r w:rsidR="00A054DE" w:rsidRPr="00EB776A">
        <w:rPr>
          <w:b/>
          <w:szCs w:val="24"/>
          <w:u w:val="single"/>
        </w:rPr>
        <w:t>Application and transitional provisions</w:t>
      </w:r>
    </w:p>
    <w:p w:rsidR="00B63281" w:rsidRPr="00A054DE" w:rsidRDefault="00B63281" w:rsidP="00B63281">
      <w:pPr>
        <w:spacing w:before="0"/>
        <w:ind w:right="-57"/>
        <w:rPr>
          <w:szCs w:val="24"/>
          <w:u w:val="single"/>
        </w:rPr>
      </w:pPr>
    </w:p>
    <w:p w:rsidR="00B63281" w:rsidRPr="00D60D50" w:rsidRDefault="00B63281" w:rsidP="00B63281">
      <w:pPr>
        <w:spacing w:before="0"/>
        <w:ind w:right="-57"/>
        <w:rPr>
          <w:b/>
          <w:i/>
          <w:szCs w:val="24"/>
        </w:rPr>
      </w:pPr>
      <w:r w:rsidRPr="00A054DE">
        <w:rPr>
          <w:b/>
          <w:i/>
          <w:szCs w:val="24"/>
        </w:rPr>
        <w:t>Migration Regulations 1994</w:t>
      </w:r>
    </w:p>
    <w:p w:rsidR="00B63281" w:rsidRDefault="00B63281" w:rsidP="00B63281">
      <w:pPr>
        <w:spacing w:before="0"/>
        <w:rPr>
          <w:szCs w:val="24"/>
          <w:u w:val="single"/>
        </w:rPr>
      </w:pPr>
    </w:p>
    <w:p w:rsidR="00483871" w:rsidRPr="00EB776A" w:rsidRDefault="00483871" w:rsidP="00483871">
      <w:pPr>
        <w:tabs>
          <w:tab w:val="left" w:pos="345"/>
        </w:tabs>
        <w:spacing w:before="0"/>
        <w:ind w:right="662"/>
        <w:rPr>
          <w:szCs w:val="24"/>
          <w:u w:val="single"/>
        </w:rPr>
      </w:pPr>
      <w:r w:rsidRPr="00EB776A">
        <w:rPr>
          <w:szCs w:val="24"/>
          <w:u w:val="single"/>
        </w:rPr>
        <w:t>Item 1 – In the appropriate position in Schedule 13</w:t>
      </w:r>
    </w:p>
    <w:p w:rsidR="00483871" w:rsidRPr="00EB776A" w:rsidRDefault="00483871" w:rsidP="00483871">
      <w:pPr>
        <w:tabs>
          <w:tab w:val="left" w:pos="345"/>
        </w:tabs>
        <w:spacing w:before="0"/>
        <w:ind w:right="662"/>
        <w:rPr>
          <w:szCs w:val="24"/>
          <w:u w:val="single"/>
        </w:rPr>
      </w:pPr>
    </w:p>
    <w:p w:rsidR="000D16ED" w:rsidRPr="00EB776A" w:rsidRDefault="000D16ED" w:rsidP="000D16ED">
      <w:pPr>
        <w:tabs>
          <w:tab w:val="left" w:pos="345"/>
        </w:tabs>
        <w:spacing w:before="0"/>
        <w:ind w:right="662"/>
        <w:rPr>
          <w:szCs w:val="24"/>
        </w:rPr>
      </w:pPr>
      <w:r w:rsidRPr="00EB776A">
        <w:rPr>
          <w:szCs w:val="24"/>
        </w:rPr>
        <w:t>The purpose of this item is to clarify to whom the amendments in the Schedule apply.</w:t>
      </w:r>
    </w:p>
    <w:p w:rsidR="000D16ED" w:rsidRPr="00EB776A" w:rsidRDefault="000D16ED" w:rsidP="000D16ED">
      <w:pPr>
        <w:tabs>
          <w:tab w:val="left" w:pos="345"/>
        </w:tabs>
        <w:spacing w:before="0"/>
        <w:ind w:right="662"/>
        <w:rPr>
          <w:szCs w:val="24"/>
        </w:rPr>
      </w:pPr>
    </w:p>
    <w:p w:rsidR="000D16ED" w:rsidRDefault="00483871" w:rsidP="00483871">
      <w:pPr>
        <w:tabs>
          <w:tab w:val="left" w:pos="345"/>
        </w:tabs>
        <w:spacing w:before="0"/>
        <w:ind w:right="662"/>
        <w:rPr>
          <w:szCs w:val="24"/>
        </w:rPr>
      </w:pPr>
      <w:r w:rsidRPr="00EB776A">
        <w:rPr>
          <w:szCs w:val="24"/>
        </w:rPr>
        <w:t>This item amends Schedule 13 to the Migration Regulations to inser</w:t>
      </w:r>
      <w:r w:rsidR="00EB776A" w:rsidRPr="00EB776A">
        <w:rPr>
          <w:szCs w:val="24"/>
        </w:rPr>
        <w:t>t Part 58</w:t>
      </w:r>
      <w:r w:rsidR="000D16ED" w:rsidRPr="00EB776A">
        <w:rPr>
          <w:szCs w:val="24"/>
        </w:rPr>
        <w:t>,</w:t>
      </w:r>
      <w:r w:rsidRPr="00EB776A">
        <w:rPr>
          <w:szCs w:val="24"/>
        </w:rPr>
        <w:t xml:space="preserve"> titled ‘Amendments made by Migration Legislatio</w:t>
      </w:r>
      <w:r w:rsidR="00724C43" w:rsidRPr="00EB776A">
        <w:rPr>
          <w:szCs w:val="24"/>
        </w:rPr>
        <w:t>n Amendment (2016 Measures No. 5</w:t>
      </w:r>
      <w:r w:rsidRPr="00EB776A">
        <w:rPr>
          <w:szCs w:val="24"/>
        </w:rPr>
        <w:t>) Regulation 2016</w:t>
      </w:r>
      <w:r w:rsidRPr="00EB776A">
        <w:rPr>
          <w:i/>
          <w:szCs w:val="24"/>
        </w:rPr>
        <w:t>’</w:t>
      </w:r>
      <w:r w:rsidR="000D16ED" w:rsidRPr="00EB776A">
        <w:rPr>
          <w:szCs w:val="24"/>
        </w:rPr>
        <w:t>.</w:t>
      </w:r>
      <w:r w:rsidR="00417391" w:rsidRPr="00EB776A">
        <w:rPr>
          <w:szCs w:val="24"/>
        </w:rPr>
        <w:t xml:space="preserve"> </w:t>
      </w:r>
      <w:r w:rsidR="00EB776A" w:rsidRPr="00EB776A">
        <w:rPr>
          <w:szCs w:val="24"/>
        </w:rPr>
        <w:t>Part 58</w:t>
      </w:r>
      <w:r w:rsidR="00417391" w:rsidRPr="00EB776A">
        <w:rPr>
          <w:szCs w:val="24"/>
        </w:rPr>
        <w:t xml:space="preserve"> sets out the transitional and applications provisions for the amendments made to the Migration Regulations by the Regulation.</w:t>
      </w:r>
    </w:p>
    <w:p w:rsidR="000D16ED" w:rsidRDefault="000D16ED" w:rsidP="00483871">
      <w:pPr>
        <w:tabs>
          <w:tab w:val="left" w:pos="345"/>
        </w:tabs>
        <w:spacing w:before="0"/>
        <w:ind w:right="662"/>
        <w:rPr>
          <w:szCs w:val="24"/>
        </w:rPr>
      </w:pPr>
    </w:p>
    <w:p w:rsidR="00EB776A" w:rsidRPr="00EB776A" w:rsidRDefault="00FC1617" w:rsidP="00EB776A">
      <w:pPr>
        <w:spacing w:before="0"/>
        <w:ind w:right="43"/>
        <w:rPr>
          <w:szCs w:val="24"/>
        </w:rPr>
      </w:pPr>
      <w:r>
        <w:rPr>
          <w:szCs w:val="24"/>
        </w:rPr>
        <w:t xml:space="preserve">Clause </w:t>
      </w:r>
      <w:r w:rsidR="00EB776A">
        <w:rPr>
          <w:szCs w:val="24"/>
        </w:rPr>
        <w:t>5801</w:t>
      </w:r>
      <w:r>
        <w:rPr>
          <w:szCs w:val="24"/>
        </w:rPr>
        <w:t xml:space="preserve">, titled ‘Operation of Schedule 1’, </w:t>
      </w:r>
      <w:r w:rsidR="00724C43" w:rsidRPr="00EB776A">
        <w:rPr>
          <w:szCs w:val="24"/>
        </w:rPr>
        <w:t>provides</w:t>
      </w:r>
      <w:r w:rsidR="00EB776A" w:rsidRPr="00EB776A">
        <w:rPr>
          <w:szCs w:val="24"/>
        </w:rPr>
        <w:t xml:space="preserve"> that the amendments at Schedule 1 apply in relation to an application for a Frequent Traveller visa made on or after 19 November 2016.</w:t>
      </w:r>
    </w:p>
    <w:p w:rsidR="001C003A" w:rsidRDefault="00131C43" w:rsidP="00EB776A">
      <w:pPr>
        <w:pStyle w:val="subsection"/>
        <w:ind w:left="0" w:firstLine="0"/>
        <w:rPr>
          <w:sz w:val="24"/>
          <w:szCs w:val="24"/>
        </w:rPr>
      </w:pPr>
      <w:r>
        <w:rPr>
          <w:sz w:val="24"/>
          <w:szCs w:val="24"/>
        </w:rPr>
        <w:t xml:space="preserve">The clause </w:t>
      </w:r>
      <w:r w:rsidR="00EB776A" w:rsidRPr="00EB776A">
        <w:rPr>
          <w:sz w:val="24"/>
          <w:szCs w:val="24"/>
        </w:rPr>
        <w:t xml:space="preserve">also provides that any legislative instrument made under subregulation 2.07(5) which was in effect before 19 November 2016 continues to be in effect, regardless of the changes made by the Regulation. </w:t>
      </w:r>
      <w:r>
        <w:rPr>
          <w:sz w:val="24"/>
          <w:szCs w:val="24"/>
        </w:rPr>
        <w:t>The purpose of this clause</w:t>
      </w:r>
      <w:r w:rsidR="00EB776A" w:rsidRPr="00EB776A">
        <w:rPr>
          <w:sz w:val="24"/>
          <w:szCs w:val="24"/>
        </w:rPr>
        <w:t xml:space="preserve"> is to clarify that the Regulation is not intended to affect the operation of current legislative instruments.</w:t>
      </w:r>
    </w:p>
    <w:p w:rsidR="001C003A" w:rsidRDefault="001C003A" w:rsidP="006B5F8E">
      <w:pPr>
        <w:ind w:right="662"/>
      </w:pPr>
      <w:r>
        <w:t>Clause 5802, titled ‘Operation of Schedule 2’ provides that these amendments apply in relation to bridging visas granted on or after 19 November 2016. As the amendments relate to the cessatio</w:t>
      </w:r>
      <w:r w:rsidR="006B5F8E">
        <w:t>n of a bridging visa, in effect</w:t>
      </w:r>
      <w:r>
        <w:t xml:space="preserve"> this means that for bridging visas granted as a result of applications that are not finally determined (in accordance with the meaning in section 5 of the Migration Act) on 19 November 2016, these visas will cease in accordance with the cessation events made by these amendments. </w:t>
      </w:r>
    </w:p>
    <w:p w:rsidR="00F83C70" w:rsidRDefault="001C003A" w:rsidP="006B5F8E">
      <w:r>
        <w:t xml:space="preserve">Section 504 of the Migration Act authorises the making of regulations that are necessary or convenient to carry out or give effect to the objectives of the Migration Act, which include regulating the entry and stay of non-citizens in Australia in the national interest.  Accordingly, the amendments apply to all relevant applications decided on or after the commencement of the Regulation. </w:t>
      </w:r>
    </w:p>
    <w:p w:rsidR="00F83C70" w:rsidRDefault="00F83C70" w:rsidP="00F83C70">
      <w:pPr>
        <w:spacing w:before="0"/>
      </w:pPr>
    </w:p>
    <w:p w:rsidR="00F83C70" w:rsidRPr="00F83C70" w:rsidRDefault="00F83C70" w:rsidP="00F83C70">
      <w:pPr>
        <w:spacing w:before="0"/>
      </w:pPr>
      <w:bookmarkStart w:id="6" w:name="_GoBack"/>
      <w:r w:rsidRPr="00F83C70">
        <w:t>It is appropriate that these amendments apply to visa applications already made before the commencement of the Regulation as it is necessary for effective administration. That is, the distinction between bridging visas granted before 19 N</w:t>
      </w:r>
      <w:r>
        <w:t>ovember 2016 and on or after 19 </w:t>
      </w:r>
      <w:r w:rsidRPr="00F83C70">
        <w:t>November 2016 provides bridging visa holders with a clear and unambiguous point in time from which to determine the relevant cessation framework applicable to the associated bridging visa. This is consistent with, and supports the purpose of the amendment, being to provide greater consistency and certainty in relation to when a bridging visa ceases, and more generally, the immigration status of the person/s concerned.</w:t>
      </w:r>
    </w:p>
    <w:bookmarkEnd w:id="6"/>
    <w:p w:rsidR="00724C43" w:rsidRPr="00F83C70" w:rsidRDefault="00724C43" w:rsidP="00AB0C2E">
      <w:pPr>
        <w:spacing w:before="0"/>
        <w:ind w:right="43"/>
      </w:pPr>
    </w:p>
    <w:p w:rsidR="00CF403D" w:rsidRDefault="00CF403D" w:rsidP="00483871">
      <w:pPr>
        <w:tabs>
          <w:tab w:val="left" w:pos="345"/>
        </w:tabs>
        <w:spacing w:before="0"/>
        <w:ind w:right="662"/>
        <w:rPr>
          <w:szCs w:val="24"/>
        </w:rPr>
      </w:pPr>
    </w:p>
    <w:p w:rsidR="00483871" w:rsidRDefault="00483871" w:rsidP="00483871">
      <w:pPr>
        <w:tabs>
          <w:tab w:val="left" w:pos="345"/>
        </w:tabs>
        <w:spacing w:before="0"/>
        <w:ind w:right="662"/>
        <w:rPr>
          <w:szCs w:val="24"/>
        </w:rPr>
      </w:pPr>
    </w:p>
    <w:p w:rsidR="00B63281" w:rsidRPr="00990E14" w:rsidRDefault="00B63281" w:rsidP="00B63281">
      <w:pPr>
        <w:spacing w:before="0"/>
        <w:ind w:right="91"/>
        <w:rPr>
          <w:szCs w:val="24"/>
        </w:rPr>
      </w:pPr>
    </w:p>
    <w:sectPr w:rsidR="00B63281" w:rsidRPr="00990E14" w:rsidSect="00467ABE">
      <w:headerReference w:type="default" r:id="rId11"/>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6F3" w:rsidRDefault="00B626F3" w:rsidP="007A1709">
      <w:pPr>
        <w:spacing w:before="0"/>
      </w:pPr>
      <w:r>
        <w:separator/>
      </w:r>
    </w:p>
  </w:endnote>
  <w:endnote w:type="continuationSeparator" w:id="0">
    <w:p w:rsidR="00B626F3" w:rsidRDefault="00B626F3" w:rsidP="007A170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Arial Rounded MT Bold"/>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6F3" w:rsidRDefault="00B626F3" w:rsidP="007A1709">
      <w:pPr>
        <w:spacing w:before="0"/>
      </w:pPr>
      <w:r>
        <w:separator/>
      </w:r>
    </w:p>
  </w:footnote>
  <w:footnote w:type="continuationSeparator" w:id="0">
    <w:p w:rsidR="00B626F3" w:rsidRDefault="00B626F3" w:rsidP="007A1709">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0706341"/>
      <w:docPartObj>
        <w:docPartGallery w:val="Page Numbers (Top of Page)"/>
        <w:docPartUnique/>
      </w:docPartObj>
    </w:sdtPr>
    <w:sdtEndPr>
      <w:rPr>
        <w:noProof/>
      </w:rPr>
    </w:sdtEndPr>
    <w:sdtContent>
      <w:p w:rsidR="00384E6C" w:rsidRDefault="00384E6C">
        <w:pPr>
          <w:pStyle w:val="Header"/>
          <w:jc w:val="center"/>
        </w:pPr>
        <w:r>
          <w:fldChar w:fldCharType="begin"/>
        </w:r>
        <w:r>
          <w:instrText xml:space="preserve"> PAGE   \* MERGEFORMAT </w:instrText>
        </w:r>
        <w:r>
          <w:fldChar w:fldCharType="separate"/>
        </w:r>
        <w:r w:rsidR="00F83C70">
          <w:rPr>
            <w:noProof/>
          </w:rPr>
          <w:t>18</w:t>
        </w:r>
        <w:r>
          <w:rPr>
            <w:noProof/>
          </w:rPr>
          <w:fldChar w:fldCharType="end"/>
        </w:r>
      </w:p>
    </w:sdtContent>
  </w:sdt>
  <w:p w:rsidR="00384E6C" w:rsidRDefault="00384E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9197039"/>
      <w:docPartObj>
        <w:docPartGallery w:val="Page Numbers (Top of Page)"/>
        <w:docPartUnique/>
      </w:docPartObj>
    </w:sdtPr>
    <w:sdtEndPr>
      <w:rPr>
        <w:noProof/>
      </w:rPr>
    </w:sdtEndPr>
    <w:sdtContent>
      <w:p w:rsidR="00384E6C" w:rsidRDefault="00384E6C">
        <w:pPr>
          <w:pStyle w:val="Header"/>
          <w:jc w:val="center"/>
        </w:pPr>
        <w:r>
          <w:fldChar w:fldCharType="begin"/>
        </w:r>
        <w:r>
          <w:instrText xml:space="preserve"> PAGE   \* MERGEFORMAT </w:instrText>
        </w:r>
        <w:r>
          <w:fldChar w:fldCharType="separate"/>
        </w:r>
        <w:r w:rsidR="00F83C70">
          <w:rPr>
            <w:noProof/>
          </w:rPr>
          <w:t>1</w:t>
        </w:r>
        <w:r>
          <w:rPr>
            <w:noProof/>
          </w:rPr>
          <w:fldChar w:fldCharType="end"/>
        </w:r>
      </w:p>
    </w:sdtContent>
  </w:sdt>
  <w:p w:rsidR="00384E6C" w:rsidRDefault="00384E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4FE7"/>
    <w:multiLevelType w:val="hybridMultilevel"/>
    <w:tmpl w:val="3B1AA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5EB3131"/>
    <w:multiLevelType w:val="hybridMultilevel"/>
    <w:tmpl w:val="A5867F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6AE79EC"/>
    <w:multiLevelType w:val="hybridMultilevel"/>
    <w:tmpl w:val="85104634"/>
    <w:lvl w:ilvl="0" w:tplc="0C090001">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AAB77B0"/>
    <w:multiLevelType w:val="hybridMultilevel"/>
    <w:tmpl w:val="DE4245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02F1A15"/>
    <w:multiLevelType w:val="hybridMultilevel"/>
    <w:tmpl w:val="90A23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5B44FDE"/>
    <w:multiLevelType w:val="singleLevel"/>
    <w:tmpl w:val="88CA48B0"/>
    <w:lvl w:ilvl="0">
      <w:start w:val="1"/>
      <w:numFmt w:val="decimal"/>
      <w:pStyle w:val="DINumberedParagraph"/>
      <w:lvlText w:val="%1."/>
      <w:lvlJc w:val="left"/>
      <w:pPr>
        <w:tabs>
          <w:tab w:val="num" w:pos="360"/>
        </w:tabs>
        <w:ind w:left="0" w:firstLine="0"/>
      </w:pPr>
      <w:rPr>
        <w:rFonts w:hint="default"/>
        <w:i w:val="0"/>
      </w:rPr>
    </w:lvl>
  </w:abstractNum>
  <w:abstractNum w:abstractNumId="6">
    <w:nsid w:val="294C73A9"/>
    <w:multiLevelType w:val="hybridMultilevel"/>
    <w:tmpl w:val="CEE0EE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B577336"/>
    <w:multiLevelType w:val="multilevel"/>
    <w:tmpl w:val="5C6E56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3066631A"/>
    <w:multiLevelType w:val="hybridMultilevel"/>
    <w:tmpl w:val="73420A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3947AE0"/>
    <w:multiLevelType w:val="hybridMultilevel"/>
    <w:tmpl w:val="903AA2A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nsid w:val="3BB257C3"/>
    <w:multiLevelType w:val="hybridMultilevel"/>
    <w:tmpl w:val="3DEE45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C6B1CB4"/>
    <w:multiLevelType w:val="hybridMultilevel"/>
    <w:tmpl w:val="C0E806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C872A5B"/>
    <w:multiLevelType w:val="hybridMultilevel"/>
    <w:tmpl w:val="5F2801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FA52448"/>
    <w:multiLevelType w:val="hybridMultilevel"/>
    <w:tmpl w:val="600E8D20"/>
    <w:lvl w:ilvl="0" w:tplc="A74C9F36">
      <w:start w:val="1"/>
      <w:numFmt w:val="bullet"/>
      <w:pStyle w:val="ReportBulletPoin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172431B"/>
    <w:multiLevelType w:val="hybridMultilevel"/>
    <w:tmpl w:val="D55CABD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55601182"/>
    <w:multiLevelType w:val="hybridMultilevel"/>
    <w:tmpl w:val="57E2DE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CE747FD"/>
    <w:multiLevelType w:val="hybridMultilevel"/>
    <w:tmpl w:val="E7E6FD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F202B38"/>
    <w:multiLevelType w:val="hybridMultilevel"/>
    <w:tmpl w:val="D2386368"/>
    <w:lvl w:ilvl="0" w:tplc="0C09000F">
      <w:start w:val="1"/>
      <w:numFmt w:val="bullet"/>
      <w:pStyle w:val="EMBullet"/>
      <w:lvlText w:val=""/>
      <w:lvlJc w:val="left"/>
      <w:pPr>
        <w:tabs>
          <w:tab w:val="num" w:pos="363"/>
        </w:tabs>
        <w:ind w:left="363" w:hanging="357"/>
      </w:pPr>
      <w:rPr>
        <w:rFonts w:ascii="Symbol" w:hAnsi="Symbol" w:cs="Symbol" w:hint="default"/>
      </w:rPr>
    </w:lvl>
    <w:lvl w:ilvl="1" w:tplc="080E8086">
      <w:start w:val="1"/>
      <w:numFmt w:val="bullet"/>
      <w:lvlText w:val="o"/>
      <w:lvlJc w:val="left"/>
      <w:pPr>
        <w:tabs>
          <w:tab w:val="num" w:pos="1446"/>
        </w:tabs>
        <w:ind w:left="1446" w:hanging="360"/>
      </w:pPr>
      <w:rPr>
        <w:rFonts w:ascii="Courier New" w:hAnsi="Courier New" w:cs="Courier New" w:hint="default"/>
      </w:rPr>
    </w:lvl>
    <w:lvl w:ilvl="2" w:tplc="0C09000F">
      <w:start w:val="580"/>
      <w:numFmt w:val="bullet"/>
      <w:lvlText w:val="-"/>
      <w:lvlJc w:val="left"/>
      <w:pPr>
        <w:tabs>
          <w:tab w:val="num" w:pos="2166"/>
        </w:tabs>
        <w:ind w:left="2166" w:hanging="360"/>
      </w:pPr>
      <w:rPr>
        <w:rFonts w:ascii="Times New Roman" w:eastAsia="Times New Roman" w:hAnsi="Times New Roman" w:hint="default"/>
      </w:rPr>
    </w:lvl>
    <w:lvl w:ilvl="3" w:tplc="0C090001">
      <w:start w:val="1"/>
      <w:numFmt w:val="bullet"/>
      <w:lvlText w:val=""/>
      <w:lvlJc w:val="left"/>
      <w:pPr>
        <w:tabs>
          <w:tab w:val="num" w:pos="2886"/>
        </w:tabs>
        <w:ind w:left="2886" w:hanging="360"/>
      </w:pPr>
      <w:rPr>
        <w:rFonts w:ascii="Symbol" w:hAnsi="Symbol" w:cs="Symbol" w:hint="default"/>
      </w:rPr>
    </w:lvl>
    <w:lvl w:ilvl="4" w:tplc="0C090003">
      <w:start w:val="1"/>
      <w:numFmt w:val="bullet"/>
      <w:lvlText w:val="o"/>
      <w:lvlJc w:val="left"/>
      <w:pPr>
        <w:tabs>
          <w:tab w:val="num" w:pos="3606"/>
        </w:tabs>
        <w:ind w:left="3606" w:hanging="360"/>
      </w:pPr>
      <w:rPr>
        <w:rFonts w:ascii="Courier New" w:hAnsi="Courier New" w:cs="Courier New" w:hint="default"/>
      </w:rPr>
    </w:lvl>
    <w:lvl w:ilvl="5" w:tplc="0C090005">
      <w:start w:val="1"/>
      <w:numFmt w:val="bullet"/>
      <w:lvlText w:val=""/>
      <w:lvlJc w:val="left"/>
      <w:pPr>
        <w:tabs>
          <w:tab w:val="num" w:pos="4326"/>
        </w:tabs>
        <w:ind w:left="4326" w:hanging="360"/>
      </w:pPr>
      <w:rPr>
        <w:rFonts w:ascii="Wingdings" w:hAnsi="Wingdings" w:cs="Wingdings" w:hint="default"/>
      </w:rPr>
    </w:lvl>
    <w:lvl w:ilvl="6" w:tplc="0C090001">
      <w:start w:val="1"/>
      <w:numFmt w:val="bullet"/>
      <w:lvlText w:val=""/>
      <w:lvlJc w:val="left"/>
      <w:pPr>
        <w:tabs>
          <w:tab w:val="num" w:pos="5046"/>
        </w:tabs>
        <w:ind w:left="5046" w:hanging="360"/>
      </w:pPr>
      <w:rPr>
        <w:rFonts w:ascii="Symbol" w:hAnsi="Symbol" w:cs="Symbol" w:hint="default"/>
      </w:rPr>
    </w:lvl>
    <w:lvl w:ilvl="7" w:tplc="0C090003">
      <w:start w:val="1"/>
      <w:numFmt w:val="bullet"/>
      <w:lvlText w:val="o"/>
      <w:lvlJc w:val="left"/>
      <w:pPr>
        <w:tabs>
          <w:tab w:val="num" w:pos="5766"/>
        </w:tabs>
        <w:ind w:left="5766" w:hanging="360"/>
      </w:pPr>
      <w:rPr>
        <w:rFonts w:ascii="Courier New" w:hAnsi="Courier New" w:cs="Courier New" w:hint="default"/>
      </w:rPr>
    </w:lvl>
    <w:lvl w:ilvl="8" w:tplc="0C090005">
      <w:start w:val="1"/>
      <w:numFmt w:val="bullet"/>
      <w:lvlText w:val=""/>
      <w:lvlJc w:val="left"/>
      <w:pPr>
        <w:tabs>
          <w:tab w:val="num" w:pos="6486"/>
        </w:tabs>
        <w:ind w:left="6486" w:hanging="360"/>
      </w:pPr>
      <w:rPr>
        <w:rFonts w:ascii="Wingdings" w:hAnsi="Wingdings" w:cs="Wingdings" w:hint="default"/>
      </w:rPr>
    </w:lvl>
  </w:abstractNum>
  <w:abstractNum w:abstractNumId="18">
    <w:nsid w:val="63D76E3B"/>
    <w:multiLevelType w:val="hybridMultilevel"/>
    <w:tmpl w:val="51220B14"/>
    <w:lvl w:ilvl="0" w:tplc="95F6AAC8">
      <w:start w:val="1"/>
      <w:numFmt w:val="bullet"/>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nsid w:val="74E2597D"/>
    <w:multiLevelType w:val="hybridMultilevel"/>
    <w:tmpl w:val="5B263E12"/>
    <w:lvl w:ilvl="0" w:tplc="57DC12E6">
      <w:start w:val="9"/>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F2D2C4F"/>
    <w:multiLevelType w:val="hybridMultilevel"/>
    <w:tmpl w:val="114AA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2"/>
  </w:num>
  <w:num w:numId="4">
    <w:abstractNumId w:val="15"/>
  </w:num>
  <w:num w:numId="5">
    <w:abstractNumId w:val="13"/>
  </w:num>
  <w:num w:numId="6">
    <w:abstractNumId w:val="14"/>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6"/>
  </w:num>
  <w:num w:numId="10">
    <w:abstractNumId w:val="18"/>
  </w:num>
  <w:num w:numId="11">
    <w:abstractNumId w:val="3"/>
  </w:num>
  <w:num w:numId="12">
    <w:abstractNumId w:val="4"/>
  </w:num>
  <w:num w:numId="13">
    <w:abstractNumId w:val="12"/>
  </w:num>
  <w:num w:numId="14">
    <w:abstractNumId w:val="10"/>
  </w:num>
  <w:num w:numId="15">
    <w:abstractNumId w:val="20"/>
  </w:num>
  <w:num w:numId="16">
    <w:abstractNumId w:val="6"/>
  </w:num>
  <w:num w:numId="17">
    <w:abstractNumId w:val="1"/>
  </w:num>
  <w:num w:numId="18">
    <w:abstractNumId w:val="0"/>
  </w:num>
  <w:num w:numId="19">
    <w:abstractNumId w:val="11"/>
  </w:num>
  <w:num w:numId="20">
    <w:abstractNumId w:val="9"/>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A49F24F-E9B6-4F26-A594-806185319ADB}"/>
    <w:docVar w:name="dgnword-eventsink" w:val="147535280"/>
  </w:docVars>
  <w:rsids>
    <w:rsidRoot w:val="007367DA"/>
    <w:rsid w:val="00000B2E"/>
    <w:rsid w:val="00000D90"/>
    <w:rsid w:val="00001111"/>
    <w:rsid w:val="000013C6"/>
    <w:rsid w:val="00001A06"/>
    <w:rsid w:val="00002B14"/>
    <w:rsid w:val="000032CF"/>
    <w:rsid w:val="00004096"/>
    <w:rsid w:val="000059FE"/>
    <w:rsid w:val="00005C05"/>
    <w:rsid w:val="00005D70"/>
    <w:rsid w:val="00005F03"/>
    <w:rsid w:val="000061E8"/>
    <w:rsid w:val="00007292"/>
    <w:rsid w:val="00007F58"/>
    <w:rsid w:val="00010A0C"/>
    <w:rsid w:val="00010BCA"/>
    <w:rsid w:val="000126D1"/>
    <w:rsid w:val="00013747"/>
    <w:rsid w:val="00014B53"/>
    <w:rsid w:val="0001541D"/>
    <w:rsid w:val="00015D74"/>
    <w:rsid w:val="000165B0"/>
    <w:rsid w:val="00017166"/>
    <w:rsid w:val="00017F5D"/>
    <w:rsid w:val="000209FD"/>
    <w:rsid w:val="000218DB"/>
    <w:rsid w:val="00021BA3"/>
    <w:rsid w:val="00022797"/>
    <w:rsid w:val="00022A71"/>
    <w:rsid w:val="00022D1F"/>
    <w:rsid w:val="000239BD"/>
    <w:rsid w:val="00024214"/>
    <w:rsid w:val="000250C5"/>
    <w:rsid w:val="00025CCA"/>
    <w:rsid w:val="00025E01"/>
    <w:rsid w:val="0002642E"/>
    <w:rsid w:val="00026FDA"/>
    <w:rsid w:val="00030A1A"/>
    <w:rsid w:val="00030CB6"/>
    <w:rsid w:val="00031F51"/>
    <w:rsid w:val="00031F85"/>
    <w:rsid w:val="00032D97"/>
    <w:rsid w:val="00033184"/>
    <w:rsid w:val="000334DC"/>
    <w:rsid w:val="0003489F"/>
    <w:rsid w:val="00034C64"/>
    <w:rsid w:val="00034E8E"/>
    <w:rsid w:val="00035506"/>
    <w:rsid w:val="00035664"/>
    <w:rsid w:val="00035E1F"/>
    <w:rsid w:val="000364C8"/>
    <w:rsid w:val="00036DFE"/>
    <w:rsid w:val="00041BD2"/>
    <w:rsid w:val="00042284"/>
    <w:rsid w:val="000424E3"/>
    <w:rsid w:val="00042E1C"/>
    <w:rsid w:val="000437BD"/>
    <w:rsid w:val="00043D3A"/>
    <w:rsid w:val="0004465B"/>
    <w:rsid w:val="000450B0"/>
    <w:rsid w:val="00046088"/>
    <w:rsid w:val="00047475"/>
    <w:rsid w:val="00047CD0"/>
    <w:rsid w:val="00050FF7"/>
    <w:rsid w:val="00051447"/>
    <w:rsid w:val="00051EDF"/>
    <w:rsid w:val="0005237B"/>
    <w:rsid w:val="00054102"/>
    <w:rsid w:val="00054368"/>
    <w:rsid w:val="00054755"/>
    <w:rsid w:val="0005561A"/>
    <w:rsid w:val="00056455"/>
    <w:rsid w:val="000565AC"/>
    <w:rsid w:val="00056677"/>
    <w:rsid w:val="000605E9"/>
    <w:rsid w:val="000607DD"/>
    <w:rsid w:val="00061401"/>
    <w:rsid w:val="00062100"/>
    <w:rsid w:val="00062428"/>
    <w:rsid w:val="0006306A"/>
    <w:rsid w:val="00063F40"/>
    <w:rsid w:val="000643D1"/>
    <w:rsid w:val="0006466D"/>
    <w:rsid w:val="00065CA1"/>
    <w:rsid w:val="00066199"/>
    <w:rsid w:val="0007148C"/>
    <w:rsid w:val="00071DAD"/>
    <w:rsid w:val="00071E50"/>
    <w:rsid w:val="00072047"/>
    <w:rsid w:val="00072F16"/>
    <w:rsid w:val="00072FB2"/>
    <w:rsid w:val="000730AB"/>
    <w:rsid w:val="00073F56"/>
    <w:rsid w:val="00075975"/>
    <w:rsid w:val="00075DFB"/>
    <w:rsid w:val="00075FAD"/>
    <w:rsid w:val="000775C3"/>
    <w:rsid w:val="00077EE3"/>
    <w:rsid w:val="00081734"/>
    <w:rsid w:val="00081DA2"/>
    <w:rsid w:val="00082A8A"/>
    <w:rsid w:val="00084F9B"/>
    <w:rsid w:val="00087615"/>
    <w:rsid w:val="000907AB"/>
    <w:rsid w:val="00091C5D"/>
    <w:rsid w:val="00091F4D"/>
    <w:rsid w:val="000927F8"/>
    <w:rsid w:val="00096FC1"/>
    <w:rsid w:val="00097B61"/>
    <w:rsid w:val="000A374F"/>
    <w:rsid w:val="000A7DB8"/>
    <w:rsid w:val="000B0366"/>
    <w:rsid w:val="000B2DDB"/>
    <w:rsid w:val="000B5749"/>
    <w:rsid w:val="000B5D14"/>
    <w:rsid w:val="000B772E"/>
    <w:rsid w:val="000B7A39"/>
    <w:rsid w:val="000C0C7E"/>
    <w:rsid w:val="000C0DC5"/>
    <w:rsid w:val="000C1218"/>
    <w:rsid w:val="000C1A89"/>
    <w:rsid w:val="000C2096"/>
    <w:rsid w:val="000C2CB5"/>
    <w:rsid w:val="000C32EE"/>
    <w:rsid w:val="000C4088"/>
    <w:rsid w:val="000C4C63"/>
    <w:rsid w:val="000C561D"/>
    <w:rsid w:val="000C5930"/>
    <w:rsid w:val="000C59AA"/>
    <w:rsid w:val="000C71EB"/>
    <w:rsid w:val="000D16ED"/>
    <w:rsid w:val="000D1A8F"/>
    <w:rsid w:val="000D1D28"/>
    <w:rsid w:val="000D2FEE"/>
    <w:rsid w:val="000D4CA8"/>
    <w:rsid w:val="000D5F18"/>
    <w:rsid w:val="000D77ED"/>
    <w:rsid w:val="000E0BA9"/>
    <w:rsid w:val="000E0D1C"/>
    <w:rsid w:val="000E0F33"/>
    <w:rsid w:val="000E16BD"/>
    <w:rsid w:val="000E2470"/>
    <w:rsid w:val="000E2C24"/>
    <w:rsid w:val="000E2D6F"/>
    <w:rsid w:val="000E5716"/>
    <w:rsid w:val="000E655B"/>
    <w:rsid w:val="000E6FE5"/>
    <w:rsid w:val="000E7B8B"/>
    <w:rsid w:val="000E7C5C"/>
    <w:rsid w:val="000E7D9B"/>
    <w:rsid w:val="000F1A0D"/>
    <w:rsid w:val="000F1D03"/>
    <w:rsid w:val="000F3798"/>
    <w:rsid w:val="000F3E98"/>
    <w:rsid w:val="000F42D3"/>
    <w:rsid w:val="000F4EBB"/>
    <w:rsid w:val="000F4F00"/>
    <w:rsid w:val="000F5345"/>
    <w:rsid w:val="000F5859"/>
    <w:rsid w:val="000F5BC4"/>
    <w:rsid w:val="000F63AC"/>
    <w:rsid w:val="000F6D9B"/>
    <w:rsid w:val="000F702D"/>
    <w:rsid w:val="000F71A5"/>
    <w:rsid w:val="00100239"/>
    <w:rsid w:val="00100677"/>
    <w:rsid w:val="001043EC"/>
    <w:rsid w:val="00104501"/>
    <w:rsid w:val="00105DA4"/>
    <w:rsid w:val="00105FAA"/>
    <w:rsid w:val="001064DC"/>
    <w:rsid w:val="00106752"/>
    <w:rsid w:val="0011142A"/>
    <w:rsid w:val="00111481"/>
    <w:rsid w:val="0011175C"/>
    <w:rsid w:val="0011251A"/>
    <w:rsid w:val="00113467"/>
    <w:rsid w:val="001135FD"/>
    <w:rsid w:val="00113F67"/>
    <w:rsid w:val="001140C8"/>
    <w:rsid w:val="00114B08"/>
    <w:rsid w:val="001151DB"/>
    <w:rsid w:val="00115659"/>
    <w:rsid w:val="001166B6"/>
    <w:rsid w:val="00120E82"/>
    <w:rsid w:val="0012322B"/>
    <w:rsid w:val="00123975"/>
    <w:rsid w:val="00124EB7"/>
    <w:rsid w:val="001260F2"/>
    <w:rsid w:val="001260F3"/>
    <w:rsid w:val="00126CC6"/>
    <w:rsid w:val="00126CDC"/>
    <w:rsid w:val="001273CA"/>
    <w:rsid w:val="001277AA"/>
    <w:rsid w:val="00130CCB"/>
    <w:rsid w:val="001311D6"/>
    <w:rsid w:val="00131C43"/>
    <w:rsid w:val="00132729"/>
    <w:rsid w:val="00132B4D"/>
    <w:rsid w:val="00133FAC"/>
    <w:rsid w:val="0013424B"/>
    <w:rsid w:val="001347DF"/>
    <w:rsid w:val="00135411"/>
    <w:rsid w:val="0013568C"/>
    <w:rsid w:val="00135D4B"/>
    <w:rsid w:val="00135D8B"/>
    <w:rsid w:val="00136637"/>
    <w:rsid w:val="00136FC0"/>
    <w:rsid w:val="00137D7A"/>
    <w:rsid w:val="00140D59"/>
    <w:rsid w:val="00140D8D"/>
    <w:rsid w:val="0014204E"/>
    <w:rsid w:val="001420D9"/>
    <w:rsid w:val="001428DE"/>
    <w:rsid w:val="00143061"/>
    <w:rsid w:val="00143629"/>
    <w:rsid w:val="00144BDC"/>
    <w:rsid w:val="00145436"/>
    <w:rsid w:val="00146F7F"/>
    <w:rsid w:val="001470AC"/>
    <w:rsid w:val="001472BC"/>
    <w:rsid w:val="00147F67"/>
    <w:rsid w:val="001505BB"/>
    <w:rsid w:val="00150DEE"/>
    <w:rsid w:val="00150DF3"/>
    <w:rsid w:val="00151D5B"/>
    <w:rsid w:val="00151D90"/>
    <w:rsid w:val="001521E4"/>
    <w:rsid w:val="001525FC"/>
    <w:rsid w:val="001529E6"/>
    <w:rsid w:val="00152E9A"/>
    <w:rsid w:val="00155F4A"/>
    <w:rsid w:val="001600F8"/>
    <w:rsid w:val="001602A9"/>
    <w:rsid w:val="00160C99"/>
    <w:rsid w:val="00160FEF"/>
    <w:rsid w:val="00161103"/>
    <w:rsid w:val="00161722"/>
    <w:rsid w:val="00161F05"/>
    <w:rsid w:val="001630A9"/>
    <w:rsid w:val="001635DC"/>
    <w:rsid w:val="0016393D"/>
    <w:rsid w:val="00163E31"/>
    <w:rsid w:val="001646A4"/>
    <w:rsid w:val="00164EB9"/>
    <w:rsid w:val="001652B0"/>
    <w:rsid w:val="001677EC"/>
    <w:rsid w:val="00171492"/>
    <w:rsid w:val="001730EA"/>
    <w:rsid w:val="0017385C"/>
    <w:rsid w:val="00174683"/>
    <w:rsid w:val="00174ABB"/>
    <w:rsid w:val="00174AF9"/>
    <w:rsid w:val="00176DAB"/>
    <w:rsid w:val="001801B4"/>
    <w:rsid w:val="0018032A"/>
    <w:rsid w:val="00180E2E"/>
    <w:rsid w:val="00180E49"/>
    <w:rsid w:val="0018245C"/>
    <w:rsid w:val="00182FB2"/>
    <w:rsid w:val="001830CA"/>
    <w:rsid w:val="001848C1"/>
    <w:rsid w:val="00185579"/>
    <w:rsid w:val="00185835"/>
    <w:rsid w:val="00186230"/>
    <w:rsid w:val="0018672A"/>
    <w:rsid w:val="001905F6"/>
    <w:rsid w:val="001937A4"/>
    <w:rsid w:val="001943D7"/>
    <w:rsid w:val="00194D53"/>
    <w:rsid w:val="0019545C"/>
    <w:rsid w:val="00196A01"/>
    <w:rsid w:val="001A00B8"/>
    <w:rsid w:val="001A0B9D"/>
    <w:rsid w:val="001A161B"/>
    <w:rsid w:val="001A2578"/>
    <w:rsid w:val="001A2D0D"/>
    <w:rsid w:val="001A36F5"/>
    <w:rsid w:val="001A3A1D"/>
    <w:rsid w:val="001A447C"/>
    <w:rsid w:val="001A5DC3"/>
    <w:rsid w:val="001A6B3C"/>
    <w:rsid w:val="001A70AE"/>
    <w:rsid w:val="001A76AC"/>
    <w:rsid w:val="001B1CDC"/>
    <w:rsid w:val="001B3463"/>
    <w:rsid w:val="001B3F32"/>
    <w:rsid w:val="001B452E"/>
    <w:rsid w:val="001B4B93"/>
    <w:rsid w:val="001B4BCC"/>
    <w:rsid w:val="001B4C3E"/>
    <w:rsid w:val="001B54C9"/>
    <w:rsid w:val="001B585B"/>
    <w:rsid w:val="001B6584"/>
    <w:rsid w:val="001B7C83"/>
    <w:rsid w:val="001C003A"/>
    <w:rsid w:val="001C0724"/>
    <w:rsid w:val="001C1A21"/>
    <w:rsid w:val="001C3155"/>
    <w:rsid w:val="001C3286"/>
    <w:rsid w:val="001C4093"/>
    <w:rsid w:val="001C4186"/>
    <w:rsid w:val="001C4857"/>
    <w:rsid w:val="001C51AE"/>
    <w:rsid w:val="001C719A"/>
    <w:rsid w:val="001C798B"/>
    <w:rsid w:val="001D0EE6"/>
    <w:rsid w:val="001D101B"/>
    <w:rsid w:val="001D180C"/>
    <w:rsid w:val="001D3316"/>
    <w:rsid w:val="001D3867"/>
    <w:rsid w:val="001D47EC"/>
    <w:rsid w:val="001D4899"/>
    <w:rsid w:val="001D65D5"/>
    <w:rsid w:val="001E0162"/>
    <w:rsid w:val="001E0393"/>
    <w:rsid w:val="001E1661"/>
    <w:rsid w:val="001E20FE"/>
    <w:rsid w:val="001E23B6"/>
    <w:rsid w:val="001E3F99"/>
    <w:rsid w:val="001E47A1"/>
    <w:rsid w:val="001E4B47"/>
    <w:rsid w:val="001E5739"/>
    <w:rsid w:val="001E61D6"/>
    <w:rsid w:val="001E623E"/>
    <w:rsid w:val="001E6AC4"/>
    <w:rsid w:val="001E72E3"/>
    <w:rsid w:val="001F29F3"/>
    <w:rsid w:val="001F3BDE"/>
    <w:rsid w:val="001F45FD"/>
    <w:rsid w:val="001F4A0B"/>
    <w:rsid w:val="001F68F9"/>
    <w:rsid w:val="001F6F0A"/>
    <w:rsid w:val="001F6F97"/>
    <w:rsid w:val="00200247"/>
    <w:rsid w:val="00200D38"/>
    <w:rsid w:val="00203836"/>
    <w:rsid w:val="00204A92"/>
    <w:rsid w:val="00205C69"/>
    <w:rsid w:val="00206359"/>
    <w:rsid w:val="00206524"/>
    <w:rsid w:val="00207004"/>
    <w:rsid w:val="002074A5"/>
    <w:rsid w:val="0020756A"/>
    <w:rsid w:val="0021053A"/>
    <w:rsid w:val="00210677"/>
    <w:rsid w:val="00211AFF"/>
    <w:rsid w:val="00213451"/>
    <w:rsid w:val="00213B5A"/>
    <w:rsid w:val="002145FA"/>
    <w:rsid w:val="0021497E"/>
    <w:rsid w:val="00214E15"/>
    <w:rsid w:val="00214FD7"/>
    <w:rsid w:val="0021572F"/>
    <w:rsid w:val="00215ED6"/>
    <w:rsid w:val="00217F36"/>
    <w:rsid w:val="0022014F"/>
    <w:rsid w:val="002211FD"/>
    <w:rsid w:val="00221257"/>
    <w:rsid w:val="0022339F"/>
    <w:rsid w:val="00224774"/>
    <w:rsid w:val="00226E49"/>
    <w:rsid w:val="002270BD"/>
    <w:rsid w:val="00227338"/>
    <w:rsid w:val="00227C19"/>
    <w:rsid w:val="00227D05"/>
    <w:rsid w:val="00230E0D"/>
    <w:rsid w:val="002329E1"/>
    <w:rsid w:val="00233A0B"/>
    <w:rsid w:val="00234C25"/>
    <w:rsid w:val="002350B3"/>
    <w:rsid w:val="00236941"/>
    <w:rsid w:val="00236AA0"/>
    <w:rsid w:val="0024014E"/>
    <w:rsid w:val="00241AD4"/>
    <w:rsid w:val="00243735"/>
    <w:rsid w:val="00244FCF"/>
    <w:rsid w:val="002461C7"/>
    <w:rsid w:val="00246437"/>
    <w:rsid w:val="0025033C"/>
    <w:rsid w:val="00250BB8"/>
    <w:rsid w:val="0025138F"/>
    <w:rsid w:val="00252F64"/>
    <w:rsid w:val="00257C3A"/>
    <w:rsid w:val="00260DE3"/>
    <w:rsid w:val="0026378B"/>
    <w:rsid w:val="00265749"/>
    <w:rsid w:val="002664EF"/>
    <w:rsid w:val="00266A00"/>
    <w:rsid w:val="00267618"/>
    <w:rsid w:val="0027091E"/>
    <w:rsid w:val="00271FF1"/>
    <w:rsid w:val="00272362"/>
    <w:rsid w:val="002731E6"/>
    <w:rsid w:val="00273254"/>
    <w:rsid w:val="002737A1"/>
    <w:rsid w:val="00275236"/>
    <w:rsid w:val="002756A1"/>
    <w:rsid w:val="00275D80"/>
    <w:rsid w:val="00280A82"/>
    <w:rsid w:val="00281E95"/>
    <w:rsid w:val="002840D8"/>
    <w:rsid w:val="00291AAC"/>
    <w:rsid w:val="00291E10"/>
    <w:rsid w:val="00292FE8"/>
    <w:rsid w:val="00293053"/>
    <w:rsid w:val="00295A05"/>
    <w:rsid w:val="002969B4"/>
    <w:rsid w:val="002A111E"/>
    <w:rsid w:val="002A12FE"/>
    <w:rsid w:val="002A1454"/>
    <w:rsid w:val="002A1B42"/>
    <w:rsid w:val="002A2388"/>
    <w:rsid w:val="002A2B04"/>
    <w:rsid w:val="002A2E96"/>
    <w:rsid w:val="002A3E82"/>
    <w:rsid w:val="002A4105"/>
    <w:rsid w:val="002A4AB0"/>
    <w:rsid w:val="002A6E52"/>
    <w:rsid w:val="002B07BF"/>
    <w:rsid w:val="002B09EE"/>
    <w:rsid w:val="002B0C61"/>
    <w:rsid w:val="002B3E2F"/>
    <w:rsid w:val="002B40CA"/>
    <w:rsid w:val="002B49BD"/>
    <w:rsid w:val="002B50BA"/>
    <w:rsid w:val="002C037B"/>
    <w:rsid w:val="002C1A84"/>
    <w:rsid w:val="002C380D"/>
    <w:rsid w:val="002C475D"/>
    <w:rsid w:val="002C4956"/>
    <w:rsid w:val="002C583C"/>
    <w:rsid w:val="002D15C2"/>
    <w:rsid w:val="002D1EEC"/>
    <w:rsid w:val="002D288C"/>
    <w:rsid w:val="002D4625"/>
    <w:rsid w:val="002D4BB9"/>
    <w:rsid w:val="002D4BF2"/>
    <w:rsid w:val="002D5321"/>
    <w:rsid w:val="002D56C5"/>
    <w:rsid w:val="002D6BA8"/>
    <w:rsid w:val="002D733E"/>
    <w:rsid w:val="002D7CBD"/>
    <w:rsid w:val="002E0069"/>
    <w:rsid w:val="002E1113"/>
    <w:rsid w:val="002E29C9"/>
    <w:rsid w:val="002E3254"/>
    <w:rsid w:val="002E3AA6"/>
    <w:rsid w:val="002E3B5C"/>
    <w:rsid w:val="002E3D89"/>
    <w:rsid w:val="002E3DB9"/>
    <w:rsid w:val="002E5E28"/>
    <w:rsid w:val="002E5F1D"/>
    <w:rsid w:val="002E6D9A"/>
    <w:rsid w:val="002F1120"/>
    <w:rsid w:val="002F1BA2"/>
    <w:rsid w:val="002F22B8"/>
    <w:rsid w:val="002F27B8"/>
    <w:rsid w:val="002F2D3E"/>
    <w:rsid w:val="002F3ACC"/>
    <w:rsid w:val="002F3C7F"/>
    <w:rsid w:val="002F3CF1"/>
    <w:rsid w:val="002F4660"/>
    <w:rsid w:val="002F5480"/>
    <w:rsid w:val="002F5600"/>
    <w:rsid w:val="002F5D53"/>
    <w:rsid w:val="002F5EB3"/>
    <w:rsid w:val="002F62EC"/>
    <w:rsid w:val="002F7EBE"/>
    <w:rsid w:val="00300515"/>
    <w:rsid w:val="00300B7E"/>
    <w:rsid w:val="00301AD3"/>
    <w:rsid w:val="00301F0B"/>
    <w:rsid w:val="00303314"/>
    <w:rsid w:val="00304091"/>
    <w:rsid w:val="003043A6"/>
    <w:rsid w:val="003047B3"/>
    <w:rsid w:val="00305FBE"/>
    <w:rsid w:val="00306151"/>
    <w:rsid w:val="0030646C"/>
    <w:rsid w:val="00306E04"/>
    <w:rsid w:val="003074E4"/>
    <w:rsid w:val="00313B3A"/>
    <w:rsid w:val="00314031"/>
    <w:rsid w:val="00314DEC"/>
    <w:rsid w:val="00314E9A"/>
    <w:rsid w:val="003151B7"/>
    <w:rsid w:val="00315AD5"/>
    <w:rsid w:val="00315E0C"/>
    <w:rsid w:val="003166B4"/>
    <w:rsid w:val="00316956"/>
    <w:rsid w:val="003175D4"/>
    <w:rsid w:val="00317BB3"/>
    <w:rsid w:val="00321684"/>
    <w:rsid w:val="003220C9"/>
    <w:rsid w:val="00322173"/>
    <w:rsid w:val="003239D3"/>
    <w:rsid w:val="0032560A"/>
    <w:rsid w:val="00326080"/>
    <w:rsid w:val="00326266"/>
    <w:rsid w:val="00326AF7"/>
    <w:rsid w:val="0033126F"/>
    <w:rsid w:val="00331DDE"/>
    <w:rsid w:val="003331CB"/>
    <w:rsid w:val="00334EF4"/>
    <w:rsid w:val="00336240"/>
    <w:rsid w:val="00336BA0"/>
    <w:rsid w:val="003407C1"/>
    <w:rsid w:val="00342DC7"/>
    <w:rsid w:val="00344361"/>
    <w:rsid w:val="00344C8F"/>
    <w:rsid w:val="00344FFE"/>
    <w:rsid w:val="00353E70"/>
    <w:rsid w:val="00357D34"/>
    <w:rsid w:val="00362F79"/>
    <w:rsid w:val="003636B5"/>
    <w:rsid w:val="00363DB6"/>
    <w:rsid w:val="0036403D"/>
    <w:rsid w:val="00364FFB"/>
    <w:rsid w:val="003655FF"/>
    <w:rsid w:val="00365DCF"/>
    <w:rsid w:val="00366933"/>
    <w:rsid w:val="00366A30"/>
    <w:rsid w:val="00366BB9"/>
    <w:rsid w:val="00366E9D"/>
    <w:rsid w:val="00370513"/>
    <w:rsid w:val="003715B9"/>
    <w:rsid w:val="00371CB1"/>
    <w:rsid w:val="003812CB"/>
    <w:rsid w:val="003814EC"/>
    <w:rsid w:val="00382EB5"/>
    <w:rsid w:val="00383EFF"/>
    <w:rsid w:val="00384E6C"/>
    <w:rsid w:val="003856E5"/>
    <w:rsid w:val="00390855"/>
    <w:rsid w:val="00391313"/>
    <w:rsid w:val="00391475"/>
    <w:rsid w:val="003917BF"/>
    <w:rsid w:val="00391D73"/>
    <w:rsid w:val="00392D35"/>
    <w:rsid w:val="00392E53"/>
    <w:rsid w:val="00392F8E"/>
    <w:rsid w:val="0039376A"/>
    <w:rsid w:val="0039414B"/>
    <w:rsid w:val="003942B8"/>
    <w:rsid w:val="00395AD9"/>
    <w:rsid w:val="003977C2"/>
    <w:rsid w:val="00397823"/>
    <w:rsid w:val="003A2430"/>
    <w:rsid w:val="003A31E4"/>
    <w:rsid w:val="003A340C"/>
    <w:rsid w:val="003A3872"/>
    <w:rsid w:val="003A554F"/>
    <w:rsid w:val="003A6E3A"/>
    <w:rsid w:val="003A73D2"/>
    <w:rsid w:val="003A74A6"/>
    <w:rsid w:val="003A7EAA"/>
    <w:rsid w:val="003B03F2"/>
    <w:rsid w:val="003B07AC"/>
    <w:rsid w:val="003B1C80"/>
    <w:rsid w:val="003B1C9C"/>
    <w:rsid w:val="003B21E1"/>
    <w:rsid w:val="003B29E8"/>
    <w:rsid w:val="003B39F5"/>
    <w:rsid w:val="003B48CF"/>
    <w:rsid w:val="003B4B28"/>
    <w:rsid w:val="003B584E"/>
    <w:rsid w:val="003B68C8"/>
    <w:rsid w:val="003B7BCF"/>
    <w:rsid w:val="003C040A"/>
    <w:rsid w:val="003C1191"/>
    <w:rsid w:val="003C1753"/>
    <w:rsid w:val="003C17C3"/>
    <w:rsid w:val="003C2F7C"/>
    <w:rsid w:val="003C344B"/>
    <w:rsid w:val="003C3AAE"/>
    <w:rsid w:val="003C4565"/>
    <w:rsid w:val="003C4B1E"/>
    <w:rsid w:val="003C624D"/>
    <w:rsid w:val="003C6341"/>
    <w:rsid w:val="003C6BB9"/>
    <w:rsid w:val="003C7B06"/>
    <w:rsid w:val="003C7F2F"/>
    <w:rsid w:val="003D0B77"/>
    <w:rsid w:val="003D19CC"/>
    <w:rsid w:val="003D3239"/>
    <w:rsid w:val="003D4F09"/>
    <w:rsid w:val="003D55DB"/>
    <w:rsid w:val="003E079B"/>
    <w:rsid w:val="003E34D8"/>
    <w:rsid w:val="003E6A8D"/>
    <w:rsid w:val="003F028D"/>
    <w:rsid w:val="003F072E"/>
    <w:rsid w:val="003F0C5C"/>
    <w:rsid w:val="003F1BB1"/>
    <w:rsid w:val="003F23EA"/>
    <w:rsid w:val="003F5573"/>
    <w:rsid w:val="003F6450"/>
    <w:rsid w:val="003F697A"/>
    <w:rsid w:val="003F6EB5"/>
    <w:rsid w:val="003F7D6C"/>
    <w:rsid w:val="004015D1"/>
    <w:rsid w:val="004018B4"/>
    <w:rsid w:val="0040287D"/>
    <w:rsid w:val="00402F92"/>
    <w:rsid w:val="004036C2"/>
    <w:rsid w:val="0040500E"/>
    <w:rsid w:val="004070DB"/>
    <w:rsid w:val="00407FA6"/>
    <w:rsid w:val="004101A7"/>
    <w:rsid w:val="0041093A"/>
    <w:rsid w:val="00411026"/>
    <w:rsid w:val="00411089"/>
    <w:rsid w:val="0041136C"/>
    <w:rsid w:val="0041147B"/>
    <w:rsid w:val="00411686"/>
    <w:rsid w:val="00411BD7"/>
    <w:rsid w:val="00412974"/>
    <w:rsid w:val="00413463"/>
    <w:rsid w:val="00413BFD"/>
    <w:rsid w:val="00414C9B"/>
    <w:rsid w:val="004159F5"/>
    <w:rsid w:val="00415AE5"/>
    <w:rsid w:val="004163F4"/>
    <w:rsid w:val="00417391"/>
    <w:rsid w:val="00417D65"/>
    <w:rsid w:val="00420456"/>
    <w:rsid w:val="004204F7"/>
    <w:rsid w:val="004208CA"/>
    <w:rsid w:val="00420F33"/>
    <w:rsid w:val="00421118"/>
    <w:rsid w:val="004212D7"/>
    <w:rsid w:val="00421E86"/>
    <w:rsid w:val="00423EC4"/>
    <w:rsid w:val="00423F71"/>
    <w:rsid w:val="004262D1"/>
    <w:rsid w:val="00427504"/>
    <w:rsid w:val="0042761F"/>
    <w:rsid w:val="004302A6"/>
    <w:rsid w:val="004316C4"/>
    <w:rsid w:val="00432C42"/>
    <w:rsid w:val="00432E04"/>
    <w:rsid w:val="00432F29"/>
    <w:rsid w:val="004333D0"/>
    <w:rsid w:val="00433596"/>
    <w:rsid w:val="00433F44"/>
    <w:rsid w:val="00434A4B"/>
    <w:rsid w:val="00434B1C"/>
    <w:rsid w:val="00434D9A"/>
    <w:rsid w:val="0043632A"/>
    <w:rsid w:val="00440A2F"/>
    <w:rsid w:val="00440C24"/>
    <w:rsid w:val="0044189B"/>
    <w:rsid w:val="00441AA3"/>
    <w:rsid w:val="00441CB0"/>
    <w:rsid w:val="00442743"/>
    <w:rsid w:val="00442DDD"/>
    <w:rsid w:val="00444596"/>
    <w:rsid w:val="004445B8"/>
    <w:rsid w:val="0044620E"/>
    <w:rsid w:val="00446701"/>
    <w:rsid w:val="00447BC2"/>
    <w:rsid w:val="00450EE6"/>
    <w:rsid w:val="00451155"/>
    <w:rsid w:val="004512E2"/>
    <w:rsid w:val="00451301"/>
    <w:rsid w:val="00452F1F"/>
    <w:rsid w:val="00453B57"/>
    <w:rsid w:val="00454D31"/>
    <w:rsid w:val="0045697A"/>
    <w:rsid w:val="00457887"/>
    <w:rsid w:val="0046070F"/>
    <w:rsid w:val="0046240D"/>
    <w:rsid w:val="004628D7"/>
    <w:rsid w:val="0046379B"/>
    <w:rsid w:val="00465B88"/>
    <w:rsid w:val="004667DC"/>
    <w:rsid w:val="0046689E"/>
    <w:rsid w:val="00467ABE"/>
    <w:rsid w:val="00470C93"/>
    <w:rsid w:val="00470EC9"/>
    <w:rsid w:val="004738A8"/>
    <w:rsid w:val="00474C47"/>
    <w:rsid w:val="00475BC2"/>
    <w:rsid w:val="00477E53"/>
    <w:rsid w:val="00477FE3"/>
    <w:rsid w:val="00481038"/>
    <w:rsid w:val="00483426"/>
    <w:rsid w:val="00483871"/>
    <w:rsid w:val="00483D5F"/>
    <w:rsid w:val="00486379"/>
    <w:rsid w:val="00487290"/>
    <w:rsid w:val="00487BE5"/>
    <w:rsid w:val="00487FA8"/>
    <w:rsid w:val="00490012"/>
    <w:rsid w:val="00492579"/>
    <w:rsid w:val="0049425A"/>
    <w:rsid w:val="0049512B"/>
    <w:rsid w:val="004A07BD"/>
    <w:rsid w:val="004A124A"/>
    <w:rsid w:val="004A2658"/>
    <w:rsid w:val="004A3285"/>
    <w:rsid w:val="004A37D2"/>
    <w:rsid w:val="004A3B7E"/>
    <w:rsid w:val="004A4C77"/>
    <w:rsid w:val="004A622E"/>
    <w:rsid w:val="004A7A47"/>
    <w:rsid w:val="004B1717"/>
    <w:rsid w:val="004B2118"/>
    <w:rsid w:val="004B2150"/>
    <w:rsid w:val="004B3953"/>
    <w:rsid w:val="004B3C58"/>
    <w:rsid w:val="004B42AF"/>
    <w:rsid w:val="004B49F5"/>
    <w:rsid w:val="004B50AE"/>
    <w:rsid w:val="004B6B5A"/>
    <w:rsid w:val="004C00AC"/>
    <w:rsid w:val="004C2083"/>
    <w:rsid w:val="004C28FC"/>
    <w:rsid w:val="004C38A2"/>
    <w:rsid w:val="004C5FE2"/>
    <w:rsid w:val="004C7EAA"/>
    <w:rsid w:val="004C7F45"/>
    <w:rsid w:val="004D0AD5"/>
    <w:rsid w:val="004D129F"/>
    <w:rsid w:val="004D2060"/>
    <w:rsid w:val="004D24DE"/>
    <w:rsid w:val="004D2A58"/>
    <w:rsid w:val="004D5779"/>
    <w:rsid w:val="004D5A4B"/>
    <w:rsid w:val="004D6063"/>
    <w:rsid w:val="004D77C6"/>
    <w:rsid w:val="004E01DE"/>
    <w:rsid w:val="004E049E"/>
    <w:rsid w:val="004E136E"/>
    <w:rsid w:val="004E3EF1"/>
    <w:rsid w:val="004E48BF"/>
    <w:rsid w:val="004E6CE8"/>
    <w:rsid w:val="004E7643"/>
    <w:rsid w:val="004E7B61"/>
    <w:rsid w:val="004E7D09"/>
    <w:rsid w:val="004E7D1C"/>
    <w:rsid w:val="004F104E"/>
    <w:rsid w:val="004F16F6"/>
    <w:rsid w:val="004F1AC8"/>
    <w:rsid w:val="004F2FAA"/>
    <w:rsid w:val="004F367F"/>
    <w:rsid w:val="004F475E"/>
    <w:rsid w:val="004F5A94"/>
    <w:rsid w:val="004F651C"/>
    <w:rsid w:val="004F74E0"/>
    <w:rsid w:val="00500265"/>
    <w:rsid w:val="00500919"/>
    <w:rsid w:val="0050170A"/>
    <w:rsid w:val="00502523"/>
    <w:rsid w:val="0050269A"/>
    <w:rsid w:val="00503420"/>
    <w:rsid w:val="00503515"/>
    <w:rsid w:val="00503785"/>
    <w:rsid w:val="0050379E"/>
    <w:rsid w:val="00503A23"/>
    <w:rsid w:val="005046A5"/>
    <w:rsid w:val="0051068A"/>
    <w:rsid w:val="005112C0"/>
    <w:rsid w:val="005115C6"/>
    <w:rsid w:val="005115F4"/>
    <w:rsid w:val="00512442"/>
    <w:rsid w:val="005137E9"/>
    <w:rsid w:val="00514638"/>
    <w:rsid w:val="00517412"/>
    <w:rsid w:val="00523375"/>
    <w:rsid w:val="005250BF"/>
    <w:rsid w:val="00525E9B"/>
    <w:rsid w:val="00526C9A"/>
    <w:rsid w:val="00526DAB"/>
    <w:rsid w:val="00527E07"/>
    <w:rsid w:val="00527FA9"/>
    <w:rsid w:val="00530E70"/>
    <w:rsid w:val="005310FC"/>
    <w:rsid w:val="005320A8"/>
    <w:rsid w:val="00532AC9"/>
    <w:rsid w:val="005335BB"/>
    <w:rsid w:val="0053369E"/>
    <w:rsid w:val="005364B1"/>
    <w:rsid w:val="00540C5F"/>
    <w:rsid w:val="0054253D"/>
    <w:rsid w:val="00543BD9"/>
    <w:rsid w:val="0054485F"/>
    <w:rsid w:val="00544F88"/>
    <w:rsid w:val="005468EE"/>
    <w:rsid w:val="00546D3A"/>
    <w:rsid w:val="00551ABB"/>
    <w:rsid w:val="00551FEA"/>
    <w:rsid w:val="00553D5B"/>
    <w:rsid w:val="00554EBF"/>
    <w:rsid w:val="00555125"/>
    <w:rsid w:val="005570E0"/>
    <w:rsid w:val="00557A4C"/>
    <w:rsid w:val="00557B12"/>
    <w:rsid w:val="005612B1"/>
    <w:rsid w:val="005615FC"/>
    <w:rsid w:val="00561896"/>
    <w:rsid w:val="00563A97"/>
    <w:rsid w:val="005650E9"/>
    <w:rsid w:val="00565592"/>
    <w:rsid w:val="00567781"/>
    <w:rsid w:val="0057164F"/>
    <w:rsid w:val="00571D3C"/>
    <w:rsid w:val="00571DFB"/>
    <w:rsid w:val="00572C08"/>
    <w:rsid w:val="00572E1C"/>
    <w:rsid w:val="005746BC"/>
    <w:rsid w:val="00574958"/>
    <w:rsid w:val="00574EB7"/>
    <w:rsid w:val="005751AE"/>
    <w:rsid w:val="00575D36"/>
    <w:rsid w:val="005761E3"/>
    <w:rsid w:val="00577141"/>
    <w:rsid w:val="00580913"/>
    <w:rsid w:val="0058135C"/>
    <w:rsid w:val="005829D3"/>
    <w:rsid w:val="00583335"/>
    <w:rsid w:val="00584393"/>
    <w:rsid w:val="005861FF"/>
    <w:rsid w:val="0058767D"/>
    <w:rsid w:val="005906AA"/>
    <w:rsid w:val="005908FA"/>
    <w:rsid w:val="00592500"/>
    <w:rsid w:val="00592CB7"/>
    <w:rsid w:val="0059410E"/>
    <w:rsid w:val="0059608F"/>
    <w:rsid w:val="00597A9F"/>
    <w:rsid w:val="00597DF9"/>
    <w:rsid w:val="00597E27"/>
    <w:rsid w:val="005A000B"/>
    <w:rsid w:val="005A148B"/>
    <w:rsid w:val="005A2CEE"/>
    <w:rsid w:val="005A3582"/>
    <w:rsid w:val="005A3A5E"/>
    <w:rsid w:val="005A5FD7"/>
    <w:rsid w:val="005A6139"/>
    <w:rsid w:val="005B0816"/>
    <w:rsid w:val="005B0EAE"/>
    <w:rsid w:val="005B21FD"/>
    <w:rsid w:val="005B278C"/>
    <w:rsid w:val="005B50ED"/>
    <w:rsid w:val="005B7100"/>
    <w:rsid w:val="005B7415"/>
    <w:rsid w:val="005C0AA9"/>
    <w:rsid w:val="005C0E53"/>
    <w:rsid w:val="005C1A80"/>
    <w:rsid w:val="005C25FC"/>
    <w:rsid w:val="005C2EA7"/>
    <w:rsid w:val="005C511A"/>
    <w:rsid w:val="005C566A"/>
    <w:rsid w:val="005C74CD"/>
    <w:rsid w:val="005C7A96"/>
    <w:rsid w:val="005D1623"/>
    <w:rsid w:val="005D1D0A"/>
    <w:rsid w:val="005D21CD"/>
    <w:rsid w:val="005D2F8A"/>
    <w:rsid w:val="005D3773"/>
    <w:rsid w:val="005D3AC5"/>
    <w:rsid w:val="005D4825"/>
    <w:rsid w:val="005D6FF5"/>
    <w:rsid w:val="005D759B"/>
    <w:rsid w:val="005D7CFC"/>
    <w:rsid w:val="005D7FBE"/>
    <w:rsid w:val="005E0101"/>
    <w:rsid w:val="005E0240"/>
    <w:rsid w:val="005E0C6E"/>
    <w:rsid w:val="005E128D"/>
    <w:rsid w:val="005E2696"/>
    <w:rsid w:val="005E30E1"/>
    <w:rsid w:val="005E3318"/>
    <w:rsid w:val="005E47FB"/>
    <w:rsid w:val="005E5192"/>
    <w:rsid w:val="005E5A66"/>
    <w:rsid w:val="005E6A98"/>
    <w:rsid w:val="005E74B4"/>
    <w:rsid w:val="005E7A95"/>
    <w:rsid w:val="005F0CA7"/>
    <w:rsid w:val="005F1CA6"/>
    <w:rsid w:val="005F1ED5"/>
    <w:rsid w:val="005F230C"/>
    <w:rsid w:val="005F3E49"/>
    <w:rsid w:val="005F4AB6"/>
    <w:rsid w:val="005F5A20"/>
    <w:rsid w:val="005F5EC8"/>
    <w:rsid w:val="005F65A8"/>
    <w:rsid w:val="005F7167"/>
    <w:rsid w:val="005F71A8"/>
    <w:rsid w:val="0060194C"/>
    <w:rsid w:val="00603800"/>
    <w:rsid w:val="00603A8D"/>
    <w:rsid w:val="00603BC3"/>
    <w:rsid w:val="00603CDD"/>
    <w:rsid w:val="006045B9"/>
    <w:rsid w:val="0060602C"/>
    <w:rsid w:val="00606A53"/>
    <w:rsid w:val="00606DEA"/>
    <w:rsid w:val="00610825"/>
    <w:rsid w:val="006109FA"/>
    <w:rsid w:val="006111C1"/>
    <w:rsid w:val="0061143C"/>
    <w:rsid w:val="0061366D"/>
    <w:rsid w:val="006165DE"/>
    <w:rsid w:val="006166F0"/>
    <w:rsid w:val="00617D35"/>
    <w:rsid w:val="00617DBD"/>
    <w:rsid w:val="00617FD8"/>
    <w:rsid w:val="00621D4F"/>
    <w:rsid w:val="006227E3"/>
    <w:rsid w:val="006246E0"/>
    <w:rsid w:val="00624B28"/>
    <w:rsid w:val="00625604"/>
    <w:rsid w:val="0062584B"/>
    <w:rsid w:val="00626059"/>
    <w:rsid w:val="00627610"/>
    <w:rsid w:val="00627B6E"/>
    <w:rsid w:val="00630BA5"/>
    <w:rsid w:val="00632B32"/>
    <w:rsid w:val="00632D38"/>
    <w:rsid w:val="00633474"/>
    <w:rsid w:val="00633AE1"/>
    <w:rsid w:val="00634319"/>
    <w:rsid w:val="006345BC"/>
    <w:rsid w:val="0063576A"/>
    <w:rsid w:val="006357D1"/>
    <w:rsid w:val="0063632A"/>
    <w:rsid w:val="006365DA"/>
    <w:rsid w:val="00637843"/>
    <w:rsid w:val="00637D3E"/>
    <w:rsid w:val="00641BE8"/>
    <w:rsid w:val="0064299A"/>
    <w:rsid w:val="0064318B"/>
    <w:rsid w:val="006434C0"/>
    <w:rsid w:val="006435E6"/>
    <w:rsid w:val="00643927"/>
    <w:rsid w:val="006459C3"/>
    <w:rsid w:val="00651094"/>
    <w:rsid w:val="006519E3"/>
    <w:rsid w:val="0065557D"/>
    <w:rsid w:val="00655BE1"/>
    <w:rsid w:val="00657CBA"/>
    <w:rsid w:val="00657EF3"/>
    <w:rsid w:val="006605B5"/>
    <w:rsid w:val="00660D0C"/>
    <w:rsid w:val="006623C1"/>
    <w:rsid w:val="00662DE7"/>
    <w:rsid w:val="00664A55"/>
    <w:rsid w:val="00665EB7"/>
    <w:rsid w:val="0066681E"/>
    <w:rsid w:val="00666D5C"/>
    <w:rsid w:val="0067076D"/>
    <w:rsid w:val="00670BE7"/>
    <w:rsid w:val="00670FB6"/>
    <w:rsid w:val="00672061"/>
    <w:rsid w:val="0067221B"/>
    <w:rsid w:val="0067311C"/>
    <w:rsid w:val="0067453E"/>
    <w:rsid w:val="00674653"/>
    <w:rsid w:val="0067467D"/>
    <w:rsid w:val="00675376"/>
    <w:rsid w:val="00680E22"/>
    <w:rsid w:val="00681793"/>
    <w:rsid w:val="00681E9A"/>
    <w:rsid w:val="0068400C"/>
    <w:rsid w:val="00684BF2"/>
    <w:rsid w:val="00687286"/>
    <w:rsid w:val="006901A0"/>
    <w:rsid w:val="0069051F"/>
    <w:rsid w:val="00690F3D"/>
    <w:rsid w:val="006957EF"/>
    <w:rsid w:val="00695CF0"/>
    <w:rsid w:val="006960E5"/>
    <w:rsid w:val="00696270"/>
    <w:rsid w:val="0069670D"/>
    <w:rsid w:val="006967B0"/>
    <w:rsid w:val="006A21A1"/>
    <w:rsid w:val="006A2F2C"/>
    <w:rsid w:val="006A3BD4"/>
    <w:rsid w:val="006A4AA4"/>
    <w:rsid w:val="006A5575"/>
    <w:rsid w:val="006A5A0B"/>
    <w:rsid w:val="006A750C"/>
    <w:rsid w:val="006A7A9E"/>
    <w:rsid w:val="006B022B"/>
    <w:rsid w:val="006B1197"/>
    <w:rsid w:val="006B1C54"/>
    <w:rsid w:val="006B2B09"/>
    <w:rsid w:val="006B38E1"/>
    <w:rsid w:val="006B4009"/>
    <w:rsid w:val="006B4EE8"/>
    <w:rsid w:val="006B4F92"/>
    <w:rsid w:val="006B501D"/>
    <w:rsid w:val="006B512D"/>
    <w:rsid w:val="006B5A63"/>
    <w:rsid w:val="006B5D63"/>
    <w:rsid w:val="006B5F8E"/>
    <w:rsid w:val="006B7906"/>
    <w:rsid w:val="006C1020"/>
    <w:rsid w:val="006C14CA"/>
    <w:rsid w:val="006C1B9B"/>
    <w:rsid w:val="006C2C2F"/>
    <w:rsid w:val="006C37B8"/>
    <w:rsid w:val="006C4D7B"/>
    <w:rsid w:val="006C5012"/>
    <w:rsid w:val="006C5A78"/>
    <w:rsid w:val="006C5E41"/>
    <w:rsid w:val="006C68E2"/>
    <w:rsid w:val="006C6AB1"/>
    <w:rsid w:val="006C7787"/>
    <w:rsid w:val="006C7E3F"/>
    <w:rsid w:val="006D0D24"/>
    <w:rsid w:val="006D1E80"/>
    <w:rsid w:val="006D1F1B"/>
    <w:rsid w:val="006D3D38"/>
    <w:rsid w:val="006D458B"/>
    <w:rsid w:val="006D5C08"/>
    <w:rsid w:val="006D62D4"/>
    <w:rsid w:val="006D7582"/>
    <w:rsid w:val="006D7658"/>
    <w:rsid w:val="006D7931"/>
    <w:rsid w:val="006E0601"/>
    <w:rsid w:val="006E0E1C"/>
    <w:rsid w:val="006E0E8C"/>
    <w:rsid w:val="006E1799"/>
    <w:rsid w:val="006E224C"/>
    <w:rsid w:val="006E4DFA"/>
    <w:rsid w:val="006E560C"/>
    <w:rsid w:val="006E5782"/>
    <w:rsid w:val="006E727C"/>
    <w:rsid w:val="006E72A4"/>
    <w:rsid w:val="006F0A50"/>
    <w:rsid w:val="006F145F"/>
    <w:rsid w:val="006F22B5"/>
    <w:rsid w:val="006F2472"/>
    <w:rsid w:val="006F2722"/>
    <w:rsid w:val="006F3DE2"/>
    <w:rsid w:val="006F43DC"/>
    <w:rsid w:val="006F49BD"/>
    <w:rsid w:val="006F5299"/>
    <w:rsid w:val="006F54B7"/>
    <w:rsid w:val="006F5AA6"/>
    <w:rsid w:val="006F66BB"/>
    <w:rsid w:val="006F6E24"/>
    <w:rsid w:val="006F70C2"/>
    <w:rsid w:val="006F7A43"/>
    <w:rsid w:val="00700C0A"/>
    <w:rsid w:val="007014AD"/>
    <w:rsid w:val="00701895"/>
    <w:rsid w:val="00704663"/>
    <w:rsid w:val="00707322"/>
    <w:rsid w:val="007073D3"/>
    <w:rsid w:val="007106A3"/>
    <w:rsid w:val="007113F4"/>
    <w:rsid w:val="00711BAA"/>
    <w:rsid w:val="00712399"/>
    <w:rsid w:val="00712A47"/>
    <w:rsid w:val="007130CD"/>
    <w:rsid w:val="00713739"/>
    <w:rsid w:val="007138A1"/>
    <w:rsid w:val="00713E4F"/>
    <w:rsid w:val="0071466C"/>
    <w:rsid w:val="007148FB"/>
    <w:rsid w:val="00714E1D"/>
    <w:rsid w:val="0071776B"/>
    <w:rsid w:val="00717F5B"/>
    <w:rsid w:val="007206B6"/>
    <w:rsid w:val="00722A37"/>
    <w:rsid w:val="00722ADA"/>
    <w:rsid w:val="00722DEC"/>
    <w:rsid w:val="007238E7"/>
    <w:rsid w:val="00723EF9"/>
    <w:rsid w:val="00724C43"/>
    <w:rsid w:val="00724D98"/>
    <w:rsid w:val="00725657"/>
    <w:rsid w:val="00725A4E"/>
    <w:rsid w:val="0072757F"/>
    <w:rsid w:val="00727702"/>
    <w:rsid w:val="0072780D"/>
    <w:rsid w:val="00730657"/>
    <w:rsid w:val="007312AD"/>
    <w:rsid w:val="00732624"/>
    <w:rsid w:val="0073283D"/>
    <w:rsid w:val="0073305C"/>
    <w:rsid w:val="00733EA4"/>
    <w:rsid w:val="00734D18"/>
    <w:rsid w:val="00734E20"/>
    <w:rsid w:val="007359BB"/>
    <w:rsid w:val="007367DA"/>
    <w:rsid w:val="00736CDA"/>
    <w:rsid w:val="00737CD3"/>
    <w:rsid w:val="00742CFE"/>
    <w:rsid w:val="00742D1C"/>
    <w:rsid w:val="00743097"/>
    <w:rsid w:val="0074366F"/>
    <w:rsid w:val="007437B6"/>
    <w:rsid w:val="00744C33"/>
    <w:rsid w:val="00745B8E"/>
    <w:rsid w:val="007478B7"/>
    <w:rsid w:val="0074790E"/>
    <w:rsid w:val="00747FA8"/>
    <w:rsid w:val="0075169F"/>
    <w:rsid w:val="00754DD3"/>
    <w:rsid w:val="00755611"/>
    <w:rsid w:val="007556AA"/>
    <w:rsid w:val="00764A4F"/>
    <w:rsid w:val="00765396"/>
    <w:rsid w:val="00766C86"/>
    <w:rsid w:val="0076747B"/>
    <w:rsid w:val="0076769A"/>
    <w:rsid w:val="0076782B"/>
    <w:rsid w:val="00770B1C"/>
    <w:rsid w:val="00772974"/>
    <w:rsid w:val="00773296"/>
    <w:rsid w:val="00773E70"/>
    <w:rsid w:val="00774B00"/>
    <w:rsid w:val="00774E21"/>
    <w:rsid w:val="00775D9B"/>
    <w:rsid w:val="00776171"/>
    <w:rsid w:val="0077755C"/>
    <w:rsid w:val="007801E3"/>
    <w:rsid w:val="007802E2"/>
    <w:rsid w:val="007808E4"/>
    <w:rsid w:val="00781534"/>
    <w:rsid w:val="00781B14"/>
    <w:rsid w:val="00781B98"/>
    <w:rsid w:val="00783094"/>
    <w:rsid w:val="00784652"/>
    <w:rsid w:val="00784C4F"/>
    <w:rsid w:val="00784DF7"/>
    <w:rsid w:val="00785BD0"/>
    <w:rsid w:val="0078669C"/>
    <w:rsid w:val="0078681C"/>
    <w:rsid w:val="007872C2"/>
    <w:rsid w:val="00790679"/>
    <w:rsid w:val="00790B78"/>
    <w:rsid w:val="007923B2"/>
    <w:rsid w:val="007925B9"/>
    <w:rsid w:val="00792C86"/>
    <w:rsid w:val="00793460"/>
    <w:rsid w:val="0079383D"/>
    <w:rsid w:val="007949F7"/>
    <w:rsid w:val="00794F60"/>
    <w:rsid w:val="00797353"/>
    <w:rsid w:val="0079746D"/>
    <w:rsid w:val="00797AB7"/>
    <w:rsid w:val="007A07DC"/>
    <w:rsid w:val="007A0805"/>
    <w:rsid w:val="007A1709"/>
    <w:rsid w:val="007A1816"/>
    <w:rsid w:val="007A1AAC"/>
    <w:rsid w:val="007A3698"/>
    <w:rsid w:val="007A4D5D"/>
    <w:rsid w:val="007A4FE2"/>
    <w:rsid w:val="007A55A5"/>
    <w:rsid w:val="007A60CB"/>
    <w:rsid w:val="007A673A"/>
    <w:rsid w:val="007A686C"/>
    <w:rsid w:val="007A6D7D"/>
    <w:rsid w:val="007A7058"/>
    <w:rsid w:val="007A7EA3"/>
    <w:rsid w:val="007B04BB"/>
    <w:rsid w:val="007B1122"/>
    <w:rsid w:val="007B1ECA"/>
    <w:rsid w:val="007B2158"/>
    <w:rsid w:val="007B2328"/>
    <w:rsid w:val="007B29FF"/>
    <w:rsid w:val="007B2BB8"/>
    <w:rsid w:val="007B3189"/>
    <w:rsid w:val="007B417B"/>
    <w:rsid w:val="007B735D"/>
    <w:rsid w:val="007C00A6"/>
    <w:rsid w:val="007C0A4B"/>
    <w:rsid w:val="007C2010"/>
    <w:rsid w:val="007C24B4"/>
    <w:rsid w:val="007C3649"/>
    <w:rsid w:val="007C3A4B"/>
    <w:rsid w:val="007C4251"/>
    <w:rsid w:val="007C4CC5"/>
    <w:rsid w:val="007C55FD"/>
    <w:rsid w:val="007C620B"/>
    <w:rsid w:val="007C68BB"/>
    <w:rsid w:val="007C6B7E"/>
    <w:rsid w:val="007D20EF"/>
    <w:rsid w:val="007D35AE"/>
    <w:rsid w:val="007D4A58"/>
    <w:rsid w:val="007D6081"/>
    <w:rsid w:val="007D78CF"/>
    <w:rsid w:val="007D790B"/>
    <w:rsid w:val="007D7B40"/>
    <w:rsid w:val="007E0619"/>
    <w:rsid w:val="007E0E9D"/>
    <w:rsid w:val="007E1991"/>
    <w:rsid w:val="007E29E4"/>
    <w:rsid w:val="007E39B5"/>
    <w:rsid w:val="007E4F27"/>
    <w:rsid w:val="007E5AE6"/>
    <w:rsid w:val="007E5BA2"/>
    <w:rsid w:val="007E7115"/>
    <w:rsid w:val="007E75CD"/>
    <w:rsid w:val="007F00DA"/>
    <w:rsid w:val="007F042C"/>
    <w:rsid w:val="007F0A15"/>
    <w:rsid w:val="007F0A49"/>
    <w:rsid w:val="007F2BD4"/>
    <w:rsid w:val="007F2FD1"/>
    <w:rsid w:val="007F534F"/>
    <w:rsid w:val="007F55CC"/>
    <w:rsid w:val="007F6F23"/>
    <w:rsid w:val="007F6FE3"/>
    <w:rsid w:val="007F745D"/>
    <w:rsid w:val="007F779F"/>
    <w:rsid w:val="00802039"/>
    <w:rsid w:val="00803C63"/>
    <w:rsid w:val="00804B7A"/>
    <w:rsid w:val="00804BAF"/>
    <w:rsid w:val="00805E9D"/>
    <w:rsid w:val="00806256"/>
    <w:rsid w:val="008070FE"/>
    <w:rsid w:val="0081133A"/>
    <w:rsid w:val="00811BC8"/>
    <w:rsid w:val="008125B7"/>
    <w:rsid w:val="00812698"/>
    <w:rsid w:val="00813282"/>
    <w:rsid w:val="0081350B"/>
    <w:rsid w:val="00813D0F"/>
    <w:rsid w:val="00815348"/>
    <w:rsid w:val="00815B2F"/>
    <w:rsid w:val="008160AA"/>
    <w:rsid w:val="00816414"/>
    <w:rsid w:val="00816F05"/>
    <w:rsid w:val="0081707A"/>
    <w:rsid w:val="008177B1"/>
    <w:rsid w:val="00820A1C"/>
    <w:rsid w:val="00821643"/>
    <w:rsid w:val="00822983"/>
    <w:rsid w:val="00822D5C"/>
    <w:rsid w:val="008235B7"/>
    <w:rsid w:val="00824405"/>
    <w:rsid w:val="0082527A"/>
    <w:rsid w:val="008253A3"/>
    <w:rsid w:val="008255D9"/>
    <w:rsid w:val="00825EE8"/>
    <w:rsid w:val="0082662D"/>
    <w:rsid w:val="0082748B"/>
    <w:rsid w:val="0083089A"/>
    <w:rsid w:val="0083149D"/>
    <w:rsid w:val="00831858"/>
    <w:rsid w:val="0083277E"/>
    <w:rsid w:val="00832831"/>
    <w:rsid w:val="00833657"/>
    <w:rsid w:val="00836238"/>
    <w:rsid w:val="00837039"/>
    <w:rsid w:val="00840332"/>
    <w:rsid w:val="008405CD"/>
    <w:rsid w:val="00842465"/>
    <w:rsid w:val="0084339C"/>
    <w:rsid w:val="00843538"/>
    <w:rsid w:val="00843D18"/>
    <w:rsid w:val="00844B8B"/>
    <w:rsid w:val="00844E0D"/>
    <w:rsid w:val="008466D2"/>
    <w:rsid w:val="00847966"/>
    <w:rsid w:val="00850E9C"/>
    <w:rsid w:val="008515D6"/>
    <w:rsid w:val="00851881"/>
    <w:rsid w:val="00851DCD"/>
    <w:rsid w:val="0085276B"/>
    <w:rsid w:val="00853D1A"/>
    <w:rsid w:val="0085440C"/>
    <w:rsid w:val="0085473F"/>
    <w:rsid w:val="0085506C"/>
    <w:rsid w:val="00855846"/>
    <w:rsid w:val="00855852"/>
    <w:rsid w:val="00860A2C"/>
    <w:rsid w:val="008637C0"/>
    <w:rsid w:val="00863880"/>
    <w:rsid w:val="00864719"/>
    <w:rsid w:val="0086478E"/>
    <w:rsid w:val="00864B2C"/>
    <w:rsid w:val="00866A2E"/>
    <w:rsid w:val="008675FE"/>
    <w:rsid w:val="008678C8"/>
    <w:rsid w:val="008701B7"/>
    <w:rsid w:val="00871198"/>
    <w:rsid w:val="008713D0"/>
    <w:rsid w:val="008714D0"/>
    <w:rsid w:val="008744CA"/>
    <w:rsid w:val="00874D26"/>
    <w:rsid w:val="0087592A"/>
    <w:rsid w:val="00875A34"/>
    <w:rsid w:val="00875D3F"/>
    <w:rsid w:val="00876C42"/>
    <w:rsid w:val="008779F6"/>
    <w:rsid w:val="008808F5"/>
    <w:rsid w:val="00881008"/>
    <w:rsid w:val="00881406"/>
    <w:rsid w:val="008832FB"/>
    <w:rsid w:val="00883B9F"/>
    <w:rsid w:val="008845CB"/>
    <w:rsid w:val="00884CDD"/>
    <w:rsid w:val="00885CB7"/>
    <w:rsid w:val="00885D30"/>
    <w:rsid w:val="00885E30"/>
    <w:rsid w:val="008863B0"/>
    <w:rsid w:val="0088719E"/>
    <w:rsid w:val="00887A00"/>
    <w:rsid w:val="0089111C"/>
    <w:rsid w:val="00891314"/>
    <w:rsid w:val="00891DE8"/>
    <w:rsid w:val="00892595"/>
    <w:rsid w:val="0089342B"/>
    <w:rsid w:val="0089397F"/>
    <w:rsid w:val="008939B7"/>
    <w:rsid w:val="00893CE6"/>
    <w:rsid w:val="0089402E"/>
    <w:rsid w:val="00895B66"/>
    <w:rsid w:val="0089679F"/>
    <w:rsid w:val="00897B46"/>
    <w:rsid w:val="008A08F2"/>
    <w:rsid w:val="008A1F19"/>
    <w:rsid w:val="008A2588"/>
    <w:rsid w:val="008A2C82"/>
    <w:rsid w:val="008A2FC9"/>
    <w:rsid w:val="008A36D0"/>
    <w:rsid w:val="008A4CCD"/>
    <w:rsid w:val="008A4DE2"/>
    <w:rsid w:val="008A5B6F"/>
    <w:rsid w:val="008A6165"/>
    <w:rsid w:val="008A622D"/>
    <w:rsid w:val="008A7C25"/>
    <w:rsid w:val="008A7D12"/>
    <w:rsid w:val="008B034C"/>
    <w:rsid w:val="008B0700"/>
    <w:rsid w:val="008B1A07"/>
    <w:rsid w:val="008B1B6F"/>
    <w:rsid w:val="008B2FEB"/>
    <w:rsid w:val="008B7C4A"/>
    <w:rsid w:val="008C08A4"/>
    <w:rsid w:val="008C116B"/>
    <w:rsid w:val="008C20DB"/>
    <w:rsid w:val="008C25DD"/>
    <w:rsid w:val="008C31BE"/>
    <w:rsid w:val="008C3A07"/>
    <w:rsid w:val="008C3A84"/>
    <w:rsid w:val="008C454A"/>
    <w:rsid w:val="008C4D2B"/>
    <w:rsid w:val="008C5A04"/>
    <w:rsid w:val="008C5B03"/>
    <w:rsid w:val="008C651B"/>
    <w:rsid w:val="008C65B2"/>
    <w:rsid w:val="008C67DC"/>
    <w:rsid w:val="008C7E25"/>
    <w:rsid w:val="008D058E"/>
    <w:rsid w:val="008D24A5"/>
    <w:rsid w:val="008D2E88"/>
    <w:rsid w:val="008D2F72"/>
    <w:rsid w:val="008D3964"/>
    <w:rsid w:val="008D455F"/>
    <w:rsid w:val="008D5448"/>
    <w:rsid w:val="008D6469"/>
    <w:rsid w:val="008D6ECD"/>
    <w:rsid w:val="008D73EF"/>
    <w:rsid w:val="008D785E"/>
    <w:rsid w:val="008E0160"/>
    <w:rsid w:val="008E1E71"/>
    <w:rsid w:val="008E379F"/>
    <w:rsid w:val="008E3BEF"/>
    <w:rsid w:val="008E3D95"/>
    <w:rsid w:val="008E3E23"/>
    <w:rsid w:val="008E4336"/>
    <w:rsid w:val="008E45CB"/>
    <w:rsid w:val="008E75E8"/>
    <w:rsid w:val="008E7D9E"/>
    <w:rsid w:val="008F06F7"/>
    <w:rsid w:val="008F0A2F"/>
    <w:rsid w:val="008F297B"/>
    <w:rsid w:val="008F4910"/>
    <w:rsid w:val="008F4F7A"/>
    <w:rsid w:val="008F51B1"/>
    <w:rsid w:val="008F5AC5"/>
    <w:rsid w:val="00900090"/>
    <w:rsid w:val="00901504"/>
    <w:rsid w:val="009017C1"/>
    <w:rsid w:val="00901930"/>
    <w:rsid w:val="00905074"/>
    <w:rsid w:val="00906407"/>
    <w:rsid w:val="00911558"/>
    <w:rsid w:val="00911E10"/>
    <w:rsid w:val="00911E73"/>
    <w:rsid w:val="009134C6"/>
    <w:rsid w:val="0091387E"/>
    <w:rsid w:val="00913EB1"/>
    <w:rsid w:val="00913EE3"/>
    <w:rsid w:val="0091478C"/>
    <w:rsid w:val="009164F8"/>
    <w:rsid w:val="00916657"/>
    <w:rsid w:val="009172C0"/>
    <w:rsid w:val="00917702"/>
    <w:rsid w:val="00922BFD"/>
    <w:rsid w:val="00922D69"/>
    <w:rsid w:val="00924084"/>
    <w:rsid w:val="0092513D"/>
    <w:rsid w:val="00925162"/>
    <w:rsid w:val="009258CA"/>
    <w:rsid w:val="00927ACF"/>
    <w:rsid w:val="009321A2"/>
    <w:rsid w:val="00932702"/>
    <w:rsid w:val="009329FE"/>
    <w:rsid w:val="00932A61"/>
    <w:rsid w:val="00933256"/>
    <w:rsid w:val="009332BC"/>
    <w:rsid w:val="009336D1"/>
    <w:rsid w:val="00934CE8"/>
    <w:rsid w:val="009353A8"/>
    <w:rsid w:val="009373F2"/>
    <w:rsid w:val="0093758E"/>
    <w:rsid w:val="00937D45"/>
    <w:rsid w:val="009415BF"/>
    <w:rsid w:val="0094251E"/>
    <w:rsid w:val="00943866"/>
    <w:rsid w:val="00946ACF"/>
    <w:rsid w:val="00946C99"/>
    <w:rsid w:val="00951635"/>
    <w:rsid w:val="00951FCE"/>
    <w:rsid w:val="00953346"/>
    <w:rsid w:val="009549B7"/>
    <w:rsid w:val="00954A3B"/>
    <w:rsid w:val="00954FA5"/>
    <w:rsid w:val="0095523B"/>
    <w:rsid w:val="00956093"/>
    <w:rsid w:val="00956749"/>
    <w:rsid w:val="00957FBA"/>
    <w:rsid w:val="00964971"/>
    <w:rsid w:val="00964A46"/>
    <w:rsid w:val="00964BDF"/>
    <w:rsid w:val="00965488"/>
    <w:rsid w:val="009666B4"/>
    <w:rsid w:val="00967B61"/>
    <w:rsid w:val="00970119"/>
    <w:rsid w:val="009704E1"/>
    <w:rsid w:val="00970FC2"/>
    <w:rsid w:val="009710C2"/>
    <w:rsid w:val="00972047"/>
    <w:rsid w:val="009733B1"/>
    <w:rsid w:val="009745CD"/>
    <w:rsid w:val="009750B5"/>
    <w:rsid w:val="009752B8"/>
    <w:rsid w:val="00975C99"/>
    <w:rsid w:val="00977BA9"/>
    <w:rsid w:val="00980C6E"/>
    <w:rsid w:val="00981193"/>
    <w:rsid w:val="0098172F"/>
    <w:rsid w:val="00981F62"/>
    <w:rsid w:val="00983BFF"/>
    <w:rsid w:val="009846F4"/>
    <w:rsid w:val="009860BD"/>
    <w:rsid w:val="009875C0"/>
    <w:rsid w:val="0098781C"/>
    <w:rsid w:val="0099064A"/>
    <w:rsid w:val="009910F1"/>
    <w:rsid w:val="00991127"/>
    <w:rsid w:val="00991D72"/>
    <w:rsid w:val="0099351D"/>
    <w:rsid w:val="00994E27"/>
    <w:rsid w:val="0099574B"/>
    <w:rsid w:val="009959DE"/>
    <w:rsid w:val="00995B2B"/>
    <w:rsid w:val="009966FE"/>
    <w:rsid w:val="00996CF5"/>
    <w:rsid w:val="00996D20"/>
    <w:rsid w:val="0099765B"/>
    <w:rsid w:val="009A0314"/>
    <w:rsid w:val="009A063E"/>
    <w:rsid w:val="009A316E"/>
    <w:rsid w:val="009A5D22"/>
    <w:rsid w:val="009A6617"/>
    <w:rsid w:val="009A6D8F"/>
    <w:rsid w:val="009A7C4D"/>
    <w:rsid w:val="009B03CD"/>
    <w:rsid w:val="009B1587"/>
    <w:rsid w:val="009B215A"/>
    <w:rsid w:val="009B4841"/>
    <w:rsid w:val="009B4DCD"/>
    <w:rsid w:val="009B4FC1"/>
    <w:rsid w:val="009B6462"/>
    <w:rsid w:val="009B6A22"/>
    <w:rsid w:val="009B76E1"/>
    <w:rsid w:val="009B786D"/>
    <w:rsid w:val="009B792A"/>
    <w:rsid w:val="009B7F7C"/>
    <w:rsid w:val="009C010F"/>
    <w:rsid w:val="009C02C8"/>
    <w:rsid w:val="009C0594"/>
    <w:rsid w:val="009C1C08"/>
    <w:rsid w:val="009C2299"/>
    <w:rsid w:val="009C29E3"/>
    <w:rsid w:val="009C48A3"/>
    <w:rsid w:val="009C549F"/>
    <w:rsid w:val="009C5DFE"/>
    <w:rsid w:val="009D0415"/>
    <w:rsid w:val="009D079C"/>
    <w:rsid w:val="009D242E"/>
    <w:rsid w:val="009D349B"/>
    <w:rsid w:val="009D3C6D"/>
    <w:rsid w:val="009D3FE6"/>
    <w:rsid w:val="009D45B7"/>
    <w:rsid w:val="009E086A"/>
    <w:rsid w:val="009E1DD0"/>
    <w:rsid w:val="009E2B13"/>
    <w:rsid w:val="009E3C1D"/>
    <w:rsid w:val="009E3FED"/>
    <w:rsid w:val="009E40AA"/>
    <w:rsid w:val="009E474A"/>
    <w:rsid w:val="009E4AA2"/>
    <w:rsid w:val="009E5020"/>
    <w:rsid w:val="009E5903"/>
    <w:rsid w:val="009E5956"/>
    <w:rsid w:val="009E7158"/>
    <w:rsid w:val="009F241B"/>
    <w:rsid w:val="009F3D44"/>
    <w:rsid w:val="009F48FC"/>
    <w:rsid w:val="009F495C"/>
    <w:rsid w:val="009F54A3"/>
    <w:rsid w:val="009F55DA"/>
    <w:rsid w:val="009F659F"/>
    <w:rsid w:val="009F6FB6"/>
    <w:rsid w:val="00A0032F"/>
    <w:rsid w:val="00A026C7"/>
    <w:rsid w:val="00A029D1"/>
    <w:rsid w:val="00A02B7D"/>
    <w:rsid w:val="00A02D38"/>
    <w:rsid w:val="00A05228"/>
    <w:rsid w:val="00A05335"/>
    <w:rsid w:val="00A054DE"/>
    <w:rsid w:val="00A05B5A"/>
    <w:rsid w:val="00A07B39"/>
    <w:rsid w:val="00A107A1"/>
    <w:rsid w:val="00A10D83"/>
    <w:rsid w:val="00A1137F"/>
    <w:rsid w:val="00A13705"/>
    <w:rsid w:val="00A15738"/>
    <w:rsid w:val="00A179EB"/>
    <w:rsid w:val="00A17F34"/>
    <w:rsid w:val="00A20AB6"/>
    <w:rsid w:val="00A20F47"/>
    <w:rsid w:val="00A22009"/>
    <w:rsid w:val="00A23D3C"/>
    <w:rsid w:val="00A2658E"/>
    <w:rsid w:val="00A30B11"/>
    <w:rsid w:val="00A31BCE"/>
    <w:rsid w:val="00A340B8"/>
    <w:rsid w:val="00A342E1"/>
    <w:rsid w:val="00A35CE2"/>
    <w:rsid w:val="00A36389"/>
    <w:rsid w:val="00A364D6"/>
    <w:rsid w:val="00A377EF"/>
    <w:rsid w:val="00A4017C"/>
    <w:rsid w:val="00A40A7A"/>
    <w:rsid w:val="00A41EE0"/>
    <w:rsid w:val="00A42381"/>
    <w:rsid w:val="00A424B2"/>
    <w:rsid w:val="00A44315"/>
    <w:rsid w:val="00A44610"/>
    <w:rsid w:val="00A4509D"/>
    <w:rsid w:val="00A457B5"/>
    <w:rsid w:val="00A46B19"/>
    <w:rsid w:val="00A500BE"/>
    <w:rsid w:val="00A508B0"/>
    <w:rsid w:val="00A512A2"/>
    <w:rsid w:val="00A5333B"/>
    <w:rsid w:val="00A5460D"/>
    <w:rsid w:val="00A546F8"/>
    <w:rsid w:val="00A55402"/>
    <w:rsid w:val="00A56DEC"/>
    <w:rsid w:val="00A603C1"/>
    <w:rsid w:val="00A6077A"/>
    <w:rsid w:val="00A6119E"/>
    <w:rsid w:val="00A61889"/>
    <w:rsid w:val="00A61BDB"/>
    <w:rsid w:val="00A61EC6"/>
    <w:rsid w:val="00A6394A"/>
    <w:rsid w:val="00A64C44"/>
    <w:rsid w:val="00A64F3B"/>
    <w:rsid w:val="00A65299"/>
    <w:rsid w:val="00A65E3E"/>
    <w:rsid w:val="00A660BE"/>
    <w:rsid w:val="00A66BC8"/>
    <w:rsid w:val="00A67048"/>
    <w:rsid w:val="00A67C4F"/>
    <w:rsid w:val="00A705E2"/>
    <w:rsid w:val="00A70B88"/>
    <w:rsid w:val="00A70DA2"/>
    <w:rsid w:val="00A7144B"/>
    <w:rsid w:val="00A7162E"/>
    <w:rsid w:val="00A7192D"/>
    <w:rsid w:val="00A71BF4"/>
    <w:rsid w:val="00A7266A"/>
    <w:rsid w:val="00A72C2B"/>
    <w:rsid w:val="00A75A33"/>
    <w:rsid w:val="00A75DF5"/>
    <w:rsid w:val="00A76252"/>
    <w:rsid w:val="00A76BD5"/>
    <w:rsid w:val="00A76F6F"/>
    <w:rsid w:val="00A80A5C"/>
    <w:rsid w:val="00A82577"/>
    <w:rsid w:val="00A83608"/>
    <w:rsid w:val="00A84739"/>
    <w:rsid w:val="00A85C91"/>
    <w:rsid w:val="00A866E6"/>
    <w:rsid w:val="00A86BD4"/>
    <w:rsid w:val="00A87558"/>
    <w:rsid w:val="00A902E2"/>
    <w:rsid w:val="00A92ACC"/>
    <w:rsid w:val="00A93B00"/>
    <w:rsid w:val="00A93B9F"/>
    <w:rsid w:val="00A9540E"/>
    <w:rsid w:val="00A9558D"/>
    <w:rsid w:val="00A97853"/>
    <w:rsid w:val="00AA06F1"/>
    <w:rsid w:val="00AA211F"/>
    <w:rsid w:val="00AA256A"/>
    <w:rsid w:val="00AA4B48"/>
    <w:rsid w:val="00AA613B"/>
    <w:rsid w:val="00AA6828"/>
    <w:rsid w:val="00AB015A"/>
    <w:rsid w:val="00AB0C2E"/>
    <w:rsid w:val="00AB282F"/>
    <w:rsid w:val="00AB2BCA"/>
    <w:rsid w:val="00AB4F39"/>
    <w:rsid w:val="00AB592E"/>
    <w:rsid w:val="00AB6316"/>
    <w:rsid w:val="00AB65E1"/>
    <w:rsid w:val="00AB68B5"/>
    <w:rsid w:val="00AB6E71"/>
    <w:rsid w:val="00AB6F2B"/>
    <w:rsid w:val="00AC11E2"/>
    <w:rsid w:val="00AC2586"/>
    <w:rsid w:val="00AC2DCD"/>
    <w:rsid w:val="00AC35B0"/>
    <w:rsid w:val="00AC3639"/>
    <w:rsid w:val="00AC46FA"/>
    <w:rsid w:val="00AD13B8"/>
    <w:rsid w:val="00AD16B3"/>
    <w:rsid w:val="00AD23D1"/>
    <w:rsid w:val="00AD3173"/>
    <w:rsid w:val="00AD3210"/>
    <w:rsid w:val="00AD3FF4"/>
    <w:rsid w:val="00AD4797"/>
    <w:rsid w:val="00AD48DA"/>
    <w:rsid w:val="00AD4A99"/>
    <w:rsid w:val="00AD4B55"/>
    <w:rsid w:val="00AD5613"/>
    <w:rsid w:val="00AD7386"/>
    <w:rsid w:val="00AE2037"/>
    <w:rsid w:val="00AE2653"/>
    <w:rsid w:val="00AE3FF6"/>
    <w:rsid w:val="00AE4BB0"/>
    <w:rsid w:val="00AE4DB4"/>
    <w:rsid w:val="00AE545C"/>
    <w:rsid w:val="00AE591A"/>
    <w:rsid w:val="00AE7285"/>
    <w:rsid w:val="00AE7866"/>
    <w:rsid w:val="00AF0E46"/>
    <w:rsid w:val="00AF1638"/>
    <w:rsid w:val="00AF340E"/>
    <w:rsid w:val="00AF4A2F"/>
    <w:rsid w:val="00AF6C18"/>
    <w:rsid w:val="00AF7806"/>
    <w:rsid w:val="00B00123"/>
    <w:rsid w:val="00B010A6"/>
    <w:rsid w:val="00B01A7A"/>
    <w:rsid w:val="00B02D35"/>
    <w:rsid w:val="00B02F95"/>
    <w:rsid w:val="00B02FFB"/>
    <w:rsid w:val="00B03AE3"/>
    <w:rsid w:val="00B03C0B"/>
    <w:rsid w:val="00B069C6"/>
    <w:rsid w:val="00B07F49"/>
    <w:rsid w:val="00B10DE7"/>
    <w:rsid w:val="00B13565"/>
    <w:rsid w:val="00B14123"/>
    <w:rsid w:val="00B14AD6"/>
    <w:rsid w:val="00B15D03"/>
    <w:rsid w:val="00B16069"/>
    <w:rsid w:val="00B16A36"/>
    <w:rsid w:val="00B16A51"/>
    <w:rsid w:val="00B21D7D"/>
    <w:rsid w:val="00B22AC5"/>
    <w:rsid w:val="00B239EF"/>
    <w:rsid w:val="00B23F92"/>
    <w:rsid w:val="00B26D9A"/>
    <w:rsid w:val="00B27712"/>
    <w:rsid w:val="00B27CBE"/>
    <w:rsid w:val="00B27F9A"/>
    <w:rsid w:val="00B30205"/>
    <w:rsid w:val="00B30B2E"/>
    <w:rsid w:val="00B30B51"/>
    <w:rsid w:val="00B312FB"/>
    <w:rsid w:val="00B3332C"/>
    <w:rsid w:val="00B339CD"/>
    <w:rsid w:val="00B33C14"/>
    <w:rsid w:val="00B34CC7"/>
    <w:rsid w:val="00B34F45"/>
    <w:rsid w:val="00B35167"/>
    <w:rsid w:val="00B353F9"/>
    <w:rsid w:val="00B36393"/>
    <w:rsid w:val="00B36611"/>
    <w:rsid w:val="00B3667D"/>
    <w:rsid w:val="00B3778C"/>
    <w:rsid w:val="00B37887"/>
    <w:rsid w:val="00B37BDF"/>
    <w:rsid w:val="00B401AA"/>
    <w:rsid w:val="00B40BA2"/>
    <w:rsid w:val="00B420FA"/>
    <w:rsid w:val="00B4349A"/>
    <w:rsid w:val="00B43B2B"/>
    <w:rsid w:val="00B43D41"/>
    <w:rsid w:val="00B4582F"/>
    <w:rsid w:val="00B45A6A"/>
    <w:rsid w:val="00B45BA1"/>
    <w:rsid w:val="00B4623D"/>
    <w:rsid w:val="00B46D70"/>
    <w:rsid w:val="00B47593"/>
    <w:rsid w:val="00B4763C"/>
    <w:rsid w:val="00B47BEF"/>
    <w:rsid w:val="00B47C05"/>
    <w:rsid w:val="00B5018D"/>
    <w:rsid w:val="00B504F0"/>
    <w:rsid w:val="00B53781"/>
    <w:rsid w:val="00B54164"/>
    <w:rsid w:val="00B55ADA"/>
    <w:rsid w:val="00B56CA3"/>
    <w:rsid w:val="00B56DEE"/>
    <w:rsid w:val="00B60E09"/>
    <w:rsid w:val="00B620C9"/>
    <w:rsid w:val="00B626F3"/>
    <w:rsid w:val="00B627EA"/>
    <w:rsid w:val="00B63281"/>
    <w:rsid w:val="00B65415"/>
    <w:rsid w:val="00B66100"/>
    <w:rsid w:val="00B66145"/>
    <w:rsid w:val="00B66849"/>
    <w:rsid w:val="00B66CFF"/>
    <w:rsid w:val="00B677B3"/>
    <w:rsid w:val="00B72084"/>
    <w:rsid w:val="00B7277C"/>
    <w:rsid w:val="00B72848"/>
    <w:rsid w:val="00B7525E"/>
    <w:rsid w:val="00B821B2"/>
    <w:rsid w:val="00B8346D"/>
    <w:rsid w:val="00B83D69"/>
    <w:rsid w:val="00B842FB"/>
    <w:rsid w:val="00B84A44"/>
    <w:rsid w:val="00B84C21"/>
    <w:rsid w:val="00B855AC"/>
    <w:rsid w:val="00B8560F"/>
    <w:rsid w:val="00B87238"/>
    <w:rsid w:val="00B875CA"/>
    <w:rsid w:val="00B9070A"/>
    <w:rsid w:val="00B907C5"/>
    <w:rsid w:val="00B90E53"/>
    <w:rsid w:val="00B912D2"/>
    <w:rsid w:val="00B9151C"/>
    <w:rsid w:val="00B9219A"/>
    <w:rsid w:val="00B92C83"/>
    <w:rsid w:val="00B93F59"/>
    <w:rsid w:val="00B94081"/>
    <w:rsid w:val="00B9459C"/>
    <w:rsid w:val="00B95858"/>
    <w:rsid w:val="00B9781E"/>
    <w:rsid w:val="00B97D92"/>
    <w:rsid w:val="00BA04E6"/>
    <w:rsid w:val="00BA0BE6"/>
    <w:rsid w:val="00BA0F63"/>
    <w:rsid w:val="00BA1887"/>
    <w:rsid w:val="00BA1AD6"/>
    <w:rsid w:val="00BA1BC1"/>
    <w:rsid w:val="00BA2376"/>
    <w:rsid w:val="00BA25E3"/>
    <w:rsid w:val="00BA2F61"/>
    <w:rsid w:val="00BA40C4"/>
    <w:rsid w:val="00BA456D"/>
    <w:rsid w:val="00BA4A58"/>
    <w:rsid w:val="00BA573F"/>
    <w:rsid w:val="00BA5D83"/>
    <w:rsid w:val="00BA6E23"/>
    <w:rsid w:val="00BB0696"/>
    <w:rsid w:val="00BB0A15"/>
    <w:rsid w:val="00BB0ECA"/>
    <w:rsid w:val="00BB1692"/>
    <w:rsid w:val="00BB274A"/>
    <w:rsid w:val="00BB2A19"/>
    <w:rsid w:val="00BB339E"/>
    <w:rsid w:val="00BB4D1F"/>
    <w:rsid w:val="00BB5408"/>
    <w:rsid w:val="00BB558D"/>
    <w:rsid w:val="00BB5FD8"/>
    <w:rsid w:val="00BB61E2"/>
    <w:rsid w:val="00BB6C47"/>
    <w:rsid w:val="00BB754F"/>
    <w:rsid w:val="00BB7DA9"/>
    <w:rsid w:val="00BC0DF5"/>
    <w:rsid w:val="00BC1217"/>
    <w:rsid w:val="00BC2511"/>
    <w:rsid w:val="00BC2C9B"/>
    <w:rsid w:val="00BC33E1"/>
    <w:rsid w:val="00BC4FBB"/>
    <w:rsid w:val="00BC5FA4"/>
    <w:rsid w:val="00BC6539"/>
    <w:rsid w:val="00BD1254"/>
    <w:rsid w:val="00BD3BEA"/>
    <w:rsid w:val="00BD43F5"/>
    <w:rsid w:val="00BD6620"/>
    <w:rsid w:val="00BD6C7D"/>
    <w:rsid w:val="00BD6D7C"/>
    <w:rsid w:val="00BD72D5"/>
    <w:rsid w:val="00BD7391"/>
    <w:rsid w:val="00BD7525"/>
    <w:rsid w:val="00BE07E3"/>
    <w:rsid w:val="00BE0D0D"/>
    <w:rsid w:val="00BE1D9D"/>
    <w:rsid w:val="00BE34DA"/>
    <w:rsid w:val="00BE3CAC"/>
    <w:rsid w:val="00BE3CB3"/>
    <w:rsid w:val="00BE4093"/>
    <w:rsid w:val="00BE4B70"/>
    <w:rsid w:val="00BE509F"/>
    <w:rsid w:val="00BE518F"/>
    <w:rsid w:val="00BE5239"/>
    <w:rsid w:val="00BE637F"/>
    <w:rsid w:val="00BE731C"/>
    <w:rsid w:val="00BE7EC1"/>
    <w:rsid w:val="00BF072A"/>
    <w:rsid w:val="00BF1520"/>
    <w:rsid w:val="00BF5938"/>
    <w:rsid w:val="00BF5E14"/>
    <w:rsid w:val="00BF6037"/>
    <w:rsid w:val="00BF6ECA"/>
    <w:rsid w:val="00C01111"/>
    <w:rsid w:val="00C0164F"/>
    <w:rsid w:val="00C0296B"/>
    <w:rsid w:val="00C03590"/>
    <w:rsid w:val="00C03AE2"/>
    <w:rsid w:val="00C03DDC"/>
    <w:rsid w:val="00C04F06"/>
    <w:rsid w:val="00C04F97"/>
    <w:rsid w:val="00C0564C"/>
    <w:rsid w:val="00C06353"/>
    <w:rsid w:val="00C06F16"/>
    <w:rsid w:val="00C0739A"/>
    <w:rsid w:val="00C07965"/>
    <w:rsid w:val="00C10E65"/>
    <w:rsid w:val="00C11A0C"/>
    <w:rsid w:val="00C130C7"/>
    <w:rsid w:val="00C1385C"/>
    <w:rsid w:val="00C1416D"/>
    <w:rsid w:val="00C149EF"/>
    <w:rsid w:val="00C159D4"/>
    <w:rsid w:val="00C16836"/>
    <w:rsid w:val="00C171FA"/>
    <w:rsid w:val="00C205BC"/>
    <w:rsid w:val="00C2135A"/>
    <w:rsid w:val="00C213C6"/>
    <w:rsid w:val="00C22008"/>
    <w:rsid w:val="00C2356A"/>
    <w:rsid w:val="00C23A5F"/>
    <w:rsid w:val="00C243CF"/>
    <w:rsid w:val="00C2589E"/>
    <w:rsid w:val="00C25AD3"/>
    <w:rsid w:val="00C25BA9"/>
    <w:rsid w:val="00C2753D"/>
    <w:rsid w:val="00C304FC"/>
    <w:rsid w:val="00C32959"/>
    <w:rsid w:val="00C34286"/>
    <w:rsid w:val="00C34910"/>
    <w:rsid w:val="00C35505"/>
    <w:rsid w:val="00C36011"/>
    <w:rsid w:val="00C36728"/>
    <w:rsid w:val="00C37556"/>
    <w:rsid w:val="00C4021C"/>
    <w:rsid w:val="00C41E3C"/>
    <w:rsid w:val="00C42479"/>
    <w:rsid w:val="00C42FEA"/>
    <w:rsid w:val="00C43B39"/>
    <w:rsid w:val="00C50610"/>
    <w:rsid w:val="00C50966"/>
    <w:rsid w:val="00C50CC4"/>
    <w:rsid w:val="00C52ECA"/>
    <w:rsid w:val="00C53314"/>
    <w:rsid w:val="00C54159"/>
    <w:rsid w:val="00C54A56"/>
    <w:rsid w:val="00C54AFD"/>
    <w:rsid w:val="00C55F5B"/>
    <w:rsid w:val="00C577BB"/>
    <w:rsid w:val="00C57F23"/>
    <w:rsid w:val="00C628E6"/>
    <w:rsid w:val="00C63378"/>
    <w:rsid w:val="00C64482"/>
    <w:rsid w:val="00C65F97"/>
    <w:rsid w:val="00C67317"/>
    <w:rsid w:val="00C70041"/>
    <w:rsid w:val="00C7041D"/>
    <w:rsid w:val="00C710C4"/>
    <w:rsid w:val="00C71922"/>
    <w:rsid w:val="00C7217E"/>
    <w:rsid w:val="00C72370"/>
    <w:rsid w:val="00C72B2F"/>
    <w:rsid w:val="00C75529"/>
    <w:rsid w:val="00C7567C"/>
    <w:rsid w:val="00C75747"/>
    <w:rsid w:val="00C75A44"/>
    <w:rsid w:val="00C76785"/>
    <w:rsid w:val="00C76BD2"/>
    <w:rsid w:val="00C77026"/>
    <w:rsid w:val="00C779E2"/>
    <w:rsid w:val="00C77E87"/>
    <w:rsid w:val="00C818BA"/>
    <w:rsid w:val="00C8268E"/>
    <w:rsid w:val="00C82B6C"/>
    <w:rsid w:val="00C834AE"/>
    <w:rsid w:val="00C838FF"/>
    <w:rsid w:val="00C83A18"/>
    <w:rsid w:val="00C8454C"/>
    <w:rsid w:val="00C84C9C"/>
    <w:rsid w:val="00C860F9"/>
    <w:rsid w:val="00C86FBD"/>
    <w:rsid w:val="00C877AC"/>
    <w:rsid w:val="00C9168C"/>
    <w:rsid w:val="00C920BE"/>
    <w:rsid w:val="00C94DF3"/>
    <w:rsid w:val="00C94EB3"/>
    <w:rsid w:val="00C95C60"/>
    <w:rsid w:val="00C96789"/>
    <w:rsid w:val="00C969D6"/>
    <w:rsid w:val="00C97594"/>
    <w:rsid w:val="00CA0673"/>
    <w:rsid w:val="00CA09CC"/>
    <w:rsid w:val="00CA1719"/>
    <w:rsid w:val="00CA218F"/>
    <w:rsid w:val="00CA4D2B"/>
    <w:rsid w:val="00CA512C"/>
    <w:rsid w:val="00CA6263"/>
    <w:rsid w:val="00CA6924"/>
    <w:rsid w:val="00CA78EB"/>
    <w:rsid w:val="00CB0F0B"/>
    <w:rsid w:val="00CB1FB4"/>
    <w:rsid w:val="00CB475D"/>
    <w:rsid w:val="00CB540A"/>
    <w:rsid w:val="00CB7698"/>
    <w:rsid w:val="00CC0017"/>
    <w:rsid w:val="00CC0721"/>
    <w:rsid w:val="00CC0B3D"/>
    <w:rsid w:val="00CC1A1F"/>
    <w:rsid w:val="00CC2BEC"/>
    <w:rsid w:val="00CC2ED6"/>
    <w:rsid w:val="00CC386F"/>
    <w:rsid w:val="00CC3990"/>
    <w:rsid w:val="00CC3AE6"/>
    <w:rsid w:val="00CC6277"/>
    <w:rsid w:val="00CC769C"/>
    <w:rsid w:val="00CC76A4"/>
    <w:rsid w:val="00CC76F4"/>
    <w:rsid w:val="00CD1FF5"/>
    <w:rsid w:val="00CD2BA6"/>
    <w:rsid w:val="00CD3087"/>
    <w:rsid w:val="00CD3167"/>
    <w:rsid w:val="00CD464E"/>
    <w:rsid w:val="00CD672C"/>
    <w:rsid w:val="00CD71C6"/>
    <w:rsid w:val="00CE0C5A"/>
    <w:rsid w:val="00CE26C7"/>
    <w:rsid w:val="00CE2E96"/>
    <w:rsid w:val="00CE33B5"/>
    <w:rsid w:val="00CE541D"/>
    <w:rsid w:val="00CE5812"/>
    <w:rsid w:val="00CE6F76"/>
    <w:rsid w:val="00CE77D2"/>
    <w:rsid w:val="00CF0A42"/>
    <w:rsid w:val="00CF0E36"/>
    <w:rsid w:val="00CF2265"/>
    <w:rsid w:val="00CF2E06"/>
    <w:rsid w:val="00CF329A"/>
    <w:rsid w:val="00CF32D8"/>
    <w:rsid w:val="00CF403D"/>
    <w:rsid w:val="00CF6CA0"/>
    <w:rsid w:val="00CF71C9"/>
    <w:rsid w:val="00CF79BC"/>
    <w:rsid w:val="00D00093"/>
    <w:rsid w:val="00D005F0"/>
    <w:rsid w:val="00D037F7"/>
    <w:rsid w:val="00D051E6"/>
    <w:rsid w:val="00D0581C"/>
    <w:rsid w:val="00D1030D"/>
    <w:rsid w:val="00D1131A"/>
    <w:rsid w:val="00D11917"/>
    <w:rsid w:val="00D11FEF"/>
    <w:rsid w:val="00D13F4E"/>
    <w:rsid w:val="00D17D98"/>
    <w:rsid w:val="00D20238"/>
    <w:rsid w:val="00D22155"/>
    <w:rsid w:val="00D225DA"/>
    <w:rsid w:val="00D2600E"/>
    <w:rsid w:val="00D304D9"/>
    <w:rsid w:val="00D3076D"/>
    <w:rsid w:val="00D314EE"/>
    <w:rsid w:val="00D31532"/>
    <w:rsid w:val="00D31D8A"/>
    <w:rsid w:val="00D31E1E"/>
    <w:rsid w:val="00D32412"/>
    <w:rsid w:val="00D340C9"/>
    <w:rsid w:val="00D3468C"/>
    <w:rsid w:val="00D34AA3"/>
    <w:rsid w:val="00D36E63"/>
    <w:rsid w:val="00D37E8D"/>
    <w:rsid w:val="00D403D0"/>
    <w:rsid w:val="00D40D48"/>
    <w:rsid w:val="00D41FD1"/>
    <w:rsid w:val="00D4244B"/>
    <w:rsid w:val="00D4390A"/>
    <w:rsid w:val="00D44BDD"/>
    <w:rsid w:val="00D4539B"/>
    <w:rsid w:val="00D45561"/>
    <w:rsid w:val="00D458BB"/>
    <w:rsid w:val="00D47EC6"/>
    <w:rsid w:val="00D52F46"/>
    <w:rsid w:val="00D547DF"/>
    <w:rsid w:val="00D54F3E"/>
    <w:rsid w:val="00D56628"/>
    <w:rsid w:val="00D56812"/>
    <w:rsid w:val="00D5699E"/>
    <w:rsid w:val="00D57437"/>
    <w:rsid w:val="00D57E07"/>
    <w:rsid w:val="00D60A5E"/>
    <w:rsid w:val="00D60C06"/>
    <w:rsid w:val="00D60D1F"/>
    <w:rsid w:val="00D60D50"/>
    <w:rsid w:val="00D61218"/>
    <w:rsid w:val="00D61928"/>
    <w:rsid w:val="00D64E0B"/>
    <w:rsid w:val="00D64EBE"/>
    <w:rsid w:val="00D64FF9"/>
    <w:rsid w:val="00D65522"/>
    <w:rsid w:val="00D677CF"/>
    <w:rsid w:val="00D678D8"/>
    <w:rsid w:val="00D67E43"/>
    <w:rsid w:val="00D71F36"/>
    <w:rsid w:val="00D72916"/>
    <w:rsid w:val="00D72B0E"/>
    <w:rsid w:val="00D7333E"/>
    <w:rsid w:val="00D73340"/>
    <w:rsid w:val="00D7358D"/>
    <w:rsid w:val="00D73CA6"/>
    <w:rsid w:val="00D740EA"/>
    <w:rsid w:val="00D74120"/>
    <w:rsid w:val="00D7458E"/>
    <w:rsid w:val="00D75686"/>
    <w:rsid w:val="00D763B1"/>
    <w:rsid w:val="00D76DD8"/>
    <w:rsid w:val="00D77E4B"/>
    <w:rsid w:val="00D81A6C"/>
    <w:rsid w:val="00D821EC"/>
    <w:rsid w:val="00D82846"/>
    <w:rsid w:val="00D833F6"/>
    <w:rsid w:val="00D846DF"/>
    <w:rsid w:val="00D86549"/>
    <w:rsid w:val="00D865ED"/>
    <w:rsid w:val="00D870CE"/>
    <w:rsid w:val="00D87749"/>
    <w:rsid w:val="00D87880"/>
    <w:rsid w:val="00D905AF"/>
    <w:rsid w:val="00D939A0"/>
    <w:rsid w:val="00D93EA0"/>
    <w:rsid w:val="00D94033"/>
    <w:rsid w:val="00D945D9"/>
    <w:rsid w:val="00D95808"/>
    <w:rsid w:val="00D968B4"/>
    <w:rsid w:val="00D968F8"/>
    <w:rsid w:val="00D97AA1"/>
    <w:rsid w:val="00DA02CE"/>
    <w:rsid w:val="00DA1E33"/>
    <w:rsid w:val="00DA2195"/>
    <w:rsid w:val="00DA232B"/>
    <w:rsid w:val="00DA2BAA"/>
    <w:rsid w:val="00DA2C0E"/>
    <w:rsid w:val="00DA2EFA"/>
    <w:rsid w:val="00DA420B"/>
    <w:rsid w:val="00DA49A5"/>
    <w:rsid w:val="00DA4DAD"/>
    <w:rsid w:val="00DA5C45"/>
    <w:rsid w:val="00DA6974"/>
    <w:rsid w:val="00DA7051"/>
    <w:rsid w:val="00DA7AED"/>
    <w:rsid w:val="00DB00A7"/>
    <w:rsid w:val="00DB095D"/>
    <w:rsid w:val="00DB0D86"/>
    <w:rsid w:val="00DB18E9"/>
    <w:rsid w:val="00DB1BA5"/>
    <w:rsid w:val="00DB2752"/>
    <w:rsid w:val="00DB2825"/>
    <w:rsid w:val="00DB6243"/>
    <w:rsid w:val="00DC1518"/>
    <w:rsid w:val="00DC1C74"/>
    <w:rsid w:val="00DC49DE"/>
    <w:rsid w:val="00DC6158"/>
    <w:rsid w:val="00DD2082"/>
    <w:rsid w:val="00DD2A5D"/>
    <w:rsid w:val="00DD33D9"/>
    <w:rsid w:val="00DD45A3"/>
    <w:rsid w:val="00DD5D79"/>
    <w:rsid w:val="00DD64D0"/>
    <w:rsid w:val="00DD6AE6"/>
    <w:rsid w:val="00DD6E5C"/>
    <w:rsid w:val="00DD765B"/>
    <w:rsid w:val="00DE0610"/>
    <w:rsid w:val="00DE0D9E"/>
    <w:rsid w:val="00DE1D78"/>
    <w:rsid w:val="00DE45BB"/>
    <w:rsid w:val="00DE48A5"/>
    <w:rsid w:val="00DE58CD"/>
    <w:rsid w:val="00DE5D1C"/>
    <w:rsid w:val="00DE7F53"/>
    <w:rsid w:val="00DF004A"/>
    <w:rsid w:val="00DF0A1C"/>
    <w:rsid w:val="00DF0E90"/>
    <w:rsid w:val="00DF1CCC"/>
    <w:rsid w:val="00DF25E8"/>
    <w:rsid w:val="00DF2BFA"/>
    <w:rsid w:val="00DF3566"/>
    <w:rsid w:val="00DF424C"/>
    <w:rsid w:val="00DF661C"/>
    <w:rsid w:val="00DF701E"/>
    <w:rsid w:val="00DF7692"/>
    <w:rsid w:val="00E00590"/>
    <w:rsid w:val="00E0081D"/>
    <w:rsid w:val="00E00E63"/>
    <w:rsid w:val="00E0163E"/>
    <w:rsid w:val="00E026A6"/>
    <w:rsid w:val="00E02A4F"/>
    <w:rsid w:val="00E03A9B"/>
    <w:rsid w:val="00E0460C"/>
    <w:rsid w:val="00E0482B"/>
    <w:rsid w:val="00E05E72"/>
    <w:rsid w:val="00E06F10"/>
    <w:rsid w:val="00E076AE"/>
    <w:rsid w:val="00E10002"/>
    <w:rsid w:val="00E10853"/>
    <w:rsid w:val="00E108FD"/>
    <w:rsid w:val="00E11290"/>
    <w:rsid w:val="00E12D3A"/>
    <w:rsid w:val="00E1513F"/>
    <w:rsid w:val="00E1646E"/>
    <w:rsid w:val="00E16CD5"/>
    <w:rsid w:val="00E2011F"/>
    <w:rsid w:val="00E202FD"/>
    <w:rsid w:val="00E225B5"/>
    <w:rsid w:val="00E22FE0"/>
    <w:rsid w:val="00E2389D"/>
    <w:rsid w:val="00E240B6"/>
    <w:rsid w:val="00E24864"/>
    <w:rsid w:val="00E2519A"/>
    <w:rsid w:val="00E26DD9"/>
    <w:rsid w:val="00E277EF"/>
    <w:rsid w:val="00E30DB0"/>
    <w:rsid w:val="00E30FE2"/>
    <w:rsid w:val="00E3132D"/>
    <w:rsid w:val="00E326FF"/>
    <w:rsid w:val="00E3314A"/>
    <w:rsid w:val="00E333CE"/>
    <w:rsid w:val="00E3345C"/>
    <w:rsid w:val="00E339C6"/>
    <w:rsid w:val="00E34A35"/>
    <w:rsid w:val="00E35304"/>
    <w:rsid w:val="00E369D3"/>
    <w:rsid w:val="00E36C1A"/>
    <w:rsid w:val="00E37A0D"/>
    <w:rsid w:val="00E40219"/>
    <w:rsid w:val="00E40E0D"/>
    <w:rsid w:val="00E41691"/>
    <w:rsid w:val="00E420A2"/>
    <w:rsid w:val="00E423D1"/>
    <w:rsid w:val="00E42C32"/>
    <w:rsid w:val="00E43967"/>
    <w:rsid w:val="00E4475D"/>
    <w:rsid w:val="00E44EE2"/>
    <w:rsid w:val="00E45024"/>
    <w:rsid w:val="00E457AB"/>
    <w:rsid w:val="00E46011"/>
    <w:rsid w:val="00E46F3E"/>
    <w:rsid w:val="00E47BC8"/>
    <w:rsid w:val="00E50593"/>
    <w:rsid w:val="00E54642"/>
    <w:rsid w:val="00E5487E"/>
    <w:rsid w:val="00E566F3"/>
    <w:rsid w:val="00E6085E"/>
    <w:rsid w:val="00E60927"/>
    <w:rsid w:val="00E60B3B"/>
    <w:rsid w:val="00E61ED0"/>
    <w:rsid w:val="00E62081"/>
    <w:rsid w:val="00E624AB"/>
    <w:rsid w:val="00E641BD"/>
    <w:rsid w:val="00E66089"/>
    <w:rsid w:val="00E66696"/>
    <w:rsid w:val="00E701F1"/>
    <w:rsid w:val="00E7140A"/>
    <w:rsid w:val="00E71600"/>
    <w:rsid w:val="00E71CB4"/>
    <w:rsid w:val="00E724BC"/>
    <w:rsid w:val="00E728FA"/>
    <w:rsid w:val="00E73461"/>
    <w:rsid w:val="00E740E4"/>
    <w:rsid w:val="00E744D7"/>
    <w:rsid w:val="00E74F4D"/>
    <w:rsid w:val="00E76944"/>
    <w:rsid w:val="00E76B21"/>
    <w:rsid w:val="00E773BE"/>
    <w:rsid w:val="00E81274"/>
    <w:rsid w:val="00E813B8"/>
    <w:rsid w:val="00E81808"/>
    <w:rsid w:val="00E81B95"/>
    <w:rsid w:val="00E82E87"/>
    <w:rsid w:val="00E84CE1"/>
    <w:rsid w:val="00E85C60"/>
    <w:rsid w:val="00E90230"/>
    <w:rsid w:val="00E9119E"/>
    <w:rsid w:val="00E91436"/>
    <w:rsid w:val="00E92183"/>
    <w:rsid w:val="00E93303"/>
    <w:rsid w:val="00E94E17"/>
    <w:rsid w:val="00E95D8F"/>
    <w:rsid w:val="00E975BE"/>
    <w:rsid w:val="00E97B25"/>
    <w:rsid w:val="00E97F5D"/>
    <w:rsid w:val="00EA1A16"/>
    <w:rsid w:val="00EA1DC5"/>
    <w:rsid w:val="00EA2117"/>
    <w:rsid w:val="00EA24A4"/>
    <w:rsid w:val="00EA28A9"/>
    <w:rsid w:val="00EA2ADA"/>
    <w:rsid w:val="00EA59AE"/>
    <w:rsid w:val="00EA5CA8"/>
    <w:rsid w:val="00EA74FB"/>
    <w:rsid w:val="00EA7E5E"/>
    <w:rsid w:val="00EB15D9"/>
    <w:rsid w:val="00EB191C"/>
    <w:rsid w:val="00EB1983"/>
    <w:rsid w:val="00EB1A95"/>
    <w:rsid w:val="00EB5113"/>
    <w:rsid w:val="00EB5BF6"/>
    <w:rsid w:val="00EB76AC"/>
    <w:rsid w:val="00EB776A"/>
    <w:rsid w:val="00EB7A4B"/>
    <w:rsid w:val="00EC1625"/>
    <w:rsid w:val="00EC252E"/>
    <w:rsid w:val="00EC2A9A"/>
    <w:rsid w:val="00EC5002"/>
    <w:rsid w:val="00EC7276"/>
    <w:rsid w:val="00ED02D8"/>
    <w:rsid w:val="00ED0A97"/>
    <w:rsid w:val="00ED0AFF"/>
    <w:rsid w:val="00ED125A"/>
    <w:rsid w:val="00ED1E72"/>
    <w:rsid w:val="00ED23AD"/>
    <w:rsid w:val="00ED2500"/>
    <w:rsid w:val="00ED2FA1"/>
    <w:rsid w:val="00ED3465"/>
    <w:rsid w:val="00ED3D3D"/>
    <w:rsid w:val="00ED3FF3"/>
    <w:rsid w:val="00ED416D"/>
    <w:rsid w:val="00ED4807"/>
    <w:rsid w:val="00ED4F4A"/>
    <w:rsid w:val="00ED6750"/>
    <w:rsid w:val="00ED6D0D"/>
    <w:rsid w:val="00EE0420"/>
    <w:rsid w:val="00EE06BD"/>
    <w:rsid w:val="00EE19B3"/>
    <w:rsid w:val="00EE1E7E"/>
    <w:rsid w:val="00EE3000"/>
    <w:rsid w:val="00EE3701"/>
    <w:rsid w:val="00EE3FFD"/>
    <w:rsid w:val="00EE45A0"/>
    <w:rsid w:val="00EE4B72"/>
    <w:rsid w:val="00EE571A"/>
    <w:rsid w:val="00EE6E7D"/>
    <w:rsid w:val="00EF140B"/>
    <w:rsid w:val="00EF2740"/>
    <w:rsid w:val="00EF2C64"/>
    <w:rsid w:val="00EF45A5"/>
    <w:rsid w:val="00F00692"/>
    <w:rsid w:val="00F0219D"/>
    <w:rsid w:val="00F026E3"/>
    <w:rsid w:val="00F0540D"/>
    <w:rsid w:val="00F05C09"/>
    <w:rsid w:val="00F0621D"/>
    <w:rsid w:val="00F10108"/>
    <w:rsid w:val="00F108A7"/>
    <w:rsid w:val="00F11ACD"/>
    <w:rsid w:val="00F11CAB"/>
    <w:rsid w:val="00F1486D"/>
    <w:rsid w:val="00F174EC"/>
    <w:rsid w:val="00F2282D"/>
    <w:rsid w:val="00F22B29"/>
    <w:rsid w:val="00F23938"/>
    <w:rsid w:val="00F245B6"/>
    <w:rsid w:val="00F25E46"/>
    <w:rsid w:val="00F2616D"/>
    <w:rsid w:val="00F274F5"/>
    <w:rsid w:val="00F279F5"/>
    <w:rsid w:val="00F27F34"/>
    <w:rsid w:val="00F3055F"/>
    <w:rsid w:val="00F31A28"/>
    <w:rsid w:val="00F31AF3"/>
    <w:rsid w:val="00F32006"/>
    <w:rsid w:val="00F32612"/>
    <w:rsid w:val="00F354E9"/>
    <w:rsid w:val="00F358DC"/>
    <w:rsid w:val="00F3618E"/>
    <w:rsid w:val="00F3727E"/>
    <w:rsid w:val="00F417CB"/>
    <w:rsid w:val="00F41B75"/>
    <w:rsid w:val="00F42887"/>
    <w:rsid w:val="00F434CF"/>
    <w:rsid w:val="00F44268"/>
    <w:rsid w:val="00F477E1"/>
    <w:rsid w:val="00F47A8C"/>
    <w:rsid w:val="00F47E2F"/>
    <w:rsid w:val="00F50F88"/>
    <w:rsid w:val="00F51472"/>
    <w:rsid w:val="00F51681"/>
    <w:rsid w:val="00F5245C"/>
    <w:rsid w:val="00F52C91"/>
    <w:rsid w:val="00F536DE"/>
    <w:rsid w:val="00F54C23"/>
    <w:rsid w:val="00F5692E"/>
    <w:rsid w:val="00F56940"/>
    <w:rsid w:val="00F610B0"/>
    <w:rsid w:val="00F6136C"/>
    <w:rsid w:val="00F614CE"/>
    <w:rsid w:val="00F61E72"/>
    <w:rsid w:val="00F62DA2"/>
    <w:rsid w:val="00F639A4"/>
    <w:rsid w:val="00F63FF2"/>
    <w:rsid w:val="00F645A1"/>
    <w:rsid w:val="00F649F5"/>
    <w:rsid w:val="00F64E67"/>
    <w:rsid w:val="00F6535C"/>
    <w:rsid w:val="00F65553"/>
    <w:rsid w:val="00F6569C"/>
    <w:rsid w:val="00F65C43"/>
    <w:rsid w:val="00F65DC1"/>
    <w:rsid w:val="00F67561"/>
    <w:rsid w:val="00F709BC"/>
    <w:rsid w:val="00F715FA"/>
    <w:rsid w:val="00F7251C"/>
    <w:rsid w:val="00F72786"/>
    <w:rsid w:val="00F72F05"/>
    <w:rsid w:val="00F74A35"/>
    <w:rsid w:val="00F74E96"/>
    <w:rsid w:val="00F7555C"/>
    <w:rsid w:val="00F765AE"/>
    <w:rsid w:val="00F77302"/>
    <w:rsid w:val="00F808A9"/>
    <w:rsid w:val="00F80DB7"/>
    <w:rsid w:val="00F81770"/>
    <w:rsid w:val="00F81E7D"/>
    <w:rsid w:val="00F83C70"/>
    <w:rsid w:val="00F85272"/>
    <w:rsid w:val="00F8568A"/>
    <w:rsid w:val="00F864AB"/>
    <w:rsid w:val="00F86631"/>
    <w:rsid w:val="00F86AEB"/>
    <w:rsid w:val="00F86AF6"/>
    <w:rsid w:val="00F87494"/>
    <w:rsid w:val="00F87506"/>
    <w:rsid w:val="00F90E9A"/>
    <w:rsid w:val="00F92146"/>
    <w:rsid w:val="00F9252A"/>
    <w:rsid w:val="00F92982"/>
    <w:rsid w:val="00F93839"/>
    <w:rsid w:val="00F93F75"/>
    <w:rsid w:val="00F9522B"/>
    <w:rsid w:val="00F95B65"/>
    <w:rsid w:val="00F969A5"/>
    <w:rsid w:val="00F969B6"/>
    <w:rsid w:val="00FA0ED7"/>
    <w:rsid w:val="00FA16E4"/>
    <w:rsid w:val="00FA26E7"/>
    <w:rsid w:val="00FA28A0"/>
    <w:rsid w:val="00FA2B82"/>
    <w:rsid w:val="00FA37D7"/>
    <w:rsid w:val="00FA39C0"/>
    <w:rsid w:val="00FA3B20"/>
    <w:rsid w:val="00FA4748"/>
    <w:rsid w:val="00FA54A5"/>
    <w:rsid w:val="00FA5566"/>
    <w:rsid w:val="00FA5D02"/>
    <w:rsid w:val="00FA72DC"/>
    <w:rsid w:val="00FA758E"/>
    <w:rsid w:val="00FB0580"/>
    <w:rsid w:val="00FB1059"/>
    <w:rsid w:val="00FB14F5"/>
    <w:rsid w:val="00FB16A4"/>
    <w:rsid w:val="00FB3543"/>
    <w:rsid w:val="00FB49F6"/>
    <w:rsid w:val="00FB4FDC"/>
    <w:rsid w:val="00FB6139"/>
    <w:rsid w:val="00FB648C"/>
    <w:rsid w:val="00FB73E6"/>
    <w:rsid w:val="00FB75CA"/>
    <w:rsid w:val="00FB764A"/>
    <w:rsid w:val="00FB7A1B"/>
    <w:rsid w:val="00FB7D56"/>
    <w:rsid w:val="00FC0894"/>
    <w:rsid w:val="00FC08E6"/>
    <w:rsid w:val="00FC1617"/>
    <w:rsid w:val="00FC2729"/>
    <w:rsid w:val="00FC2BAB"/>
    <w:rsid w:val="00FC3903"/>
    <w:rsid w:val="00FC4482"/>
    <w:rsid w:val="00FC45EA"/>
    <w:rsid w:val="00FC5422"/>
    <w:rsid w:val="00FC54E9"/>
    <w:rsid w:val="00FC5689"/>
    <w:rsid w:val="00FC6921"/>
    <w:rsid w:val="00FC6DD1"/>
    <w:rsid w:val="00FC7086"/>
    <w:rsid w:val="00FC7C56"/>
    <w:rsid w:val="00FC7F80"/>
    <w:rsid w:val="00FD02F5"/>
    <w:rsid w:val="00FD0CA3"/>
    <w:rsid w:val="00FD11A9"/>
    <w:rsid w:val="00FD2A0C"/>
    <w:rsid w:val="00FD2B07"/>
    <w:rsid w:val="00FD350F"/>
    <w:rsid w:val="00FD3D5A"/>
    <w:rsid w:val="00FD51C3"/>
    <w:rsid w:val="00FD795F"/>
    <w:rsid w:val="00FE008A"/>
    <w:rsid w:val="00FE1E77"/>
    <w:rsid w:val="00FE1F2D"/>
    <w:rsid w:val="00FE291F"/>
    <w:rsid w:val="00FE29FE"/>
    <w:rsid w:val="00FE2A17"/>
    <w:rsid w:val="00FE385F"/>
    <w:rsid w:val="00FE47D1"/>
    <w:rsid w:val="00FE7CF5"/>
    <w:rsid w:val="00FF17B7"/>
    <w:rsid w:val="00FF2377"/>
    <w:rsid w:val="00FF2B8A"/>
    <w:rsid w:val="00FF3E70"/>
    <w:rsid w:val="00FF4D91"/>
    <w:rsid w:val="00FF5115"/>
    <w:rsid w:val="00FF5335"/>
    <w:rsid w:val="00FF61CE"/>
    <w:rsid w:val="00FF701B"/>
    <w:rsid w:val="00FF72D5"/>
    <w:rsid w:val="00FF75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162"/>
    <w:pPr>
      <w:spacing w:before="240"/>
    </w:pPr>
    <w:rPr>
      <w:sz w:val="24"/>
    </w:rPr>
  </w:style>
  <w:style w:type="paragraph" w:styleId="Heading1">
    <w:name w:val="heading 1"/>
    <w:basedOn w:val="Normal"/>
    <w:next w:val="Normal"/>
    <w:link w:val="Heading1Char"/>
    <w:uiPriority w:val="9"/>
    <w:qFormat/>
    <w:rsid w:val="003B1C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4445B8"/>
    <w:pPr>
      <w:keepNext/>
      <w:spacing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875A3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E0393"/>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Heading5">
    <w:name w:val="heading 5"/>
    <w:basedOn w:val="Normal"/>
    <w:next w:val="Normal"/>
    <w:link w:val="Heading5Char"/>
    <w:uiPriority w:val="9"/>
    <w:unhideWhenUsed/>
    <w:qFormat/>
    <w:rsid w:val="00CD672C"/>
    <w:pPr>
      <w:keepNext/>
      <w:keepLines/>
      <w:spacing w:before="200" w:line="276" w:lineRule="auto"/>
      <w:outlineLvl w:val="4"/>
    </w:pPr>
    <w:rPr>
      <w:rFonts w:asciiTheme="majorHAnsi" w:eastAsiaTheme="majorEastAsia" w:hAnsiTheme="majorHAnsi" w:cstheme="majorBidi"/>
      <w:color w:val="243F60" w:themeColor="accent1" w:themeShade="7F"/>
      <w:sz w:val="22"/>
      <w:szCs w:val="22"/>
      <w:lang w:eastAsia="en-US"/>
    </w:rPr>
  </w:style>
  <w:style w:type="paragraph" w:styleId="Heading6">
    <w:name w:val="heading 6"/>
    <w:basedOn w:val="Normal"/>
    <w:next w:val="Normal"/>
    <w:qFormat/>
    <w:rsid w:val="00925162"/>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1C8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D672C"/>
    <w:rPr>
      <w:rFonts w:ascii="Arial" w:hAnsi="Arial" w:cs="Arial"/>
      <w:b/>
      <w:bCs/>
      <w:i/>
      <w:iCs/>
      <w:sz w:val="28"/>
      <w:szCs w:val="28"/>
    </w:rPr>
  </w:style>
  <w:style w:type="character" w:customStyle="1" w:styleId="Heading3Char">
    <w:name w:val="Heading 3 Char"/>
    <w:basedOn w:val="DefaultParagraphFont"/>
    <w:link w:val="Heading3"/>
    <w:uiPriority w:val="9"/>
    <w:rsid w:val="00875A34"/>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rsid w:val="001E0393"/>
    <w:rPr>
      <w:rFonts w:asciiTheme="majorHAnsi" w:eastAsiaTheme="majorEastAsia" w:hAnsiTheme="majorHAnsi" w:cstheme="majorBidi"/>
      <w:b/>
      <w:bCs/>
      <w:i/>
      <w:iCs/>
      <w:color w:val="4F81BD" w:themeColor="accent1"/>
      <w:sz w:val="22"/>
      <w:szCs w:val="22"/>
      <w:lang w:eastAsia="en-US"/>
    </w:rPr>
  </w:style>
  <w:style w:type="character" w:customStyle="1" w:styleId="Heading5Char">
    <w:name w:val="Heading 5 Char"/>
    <w:basedOn w:val="DefaultParagraphFont"/>
    <w:link w:val="Heading5"/>
    <w:uiPriority w:val="9"/>
    <w:rsid w:val="00CD672C"/>
    <w:rPr>
      <w:rFonts w:asciiTheme="majorHAnsi" w:eastAsiaTheme="majorEastAsia" w:hAnsiTheme="majorHAnsi" w:cstheme="majorBidi"/>
      <w:color w:val="243F60" w:themeColor="accent1" w:themeShade="7F"/>
      <w:sz w:val="22"/>
      <w:szCs w:val="22"/>
      <w:lang w:eastAsia="en-US"/>
    </w:rPr>
  </w:style>
  <w:style w:type="paragraph" w:customStyle="1" w:styleId="CharChar1">
    <w:name w:val="Char Char1"/>
    <w:basedOn w:val="Normal"/>
    <w:rsid w:val="00925162"/>
    <w:pPr>
      <w:spacing w:before="120" w:after="120"/>
    </w:pPr>
    <w:rPr>
      <w:rFonts w:ascii="Arial" w:hAnsi="Arial"/>
      <w:sz w:val="22"/>
      <w:lang w:eastAsia="en-US"/>
    </w:rPr>
  </w:style>
  <w:style w:type="paragraph" w:customStyle="1" w:styleId="EMparagraph">
    <w:name w:val="EM paragraph"/>
    <w:basedOn w:val="Normal"/>
    <w:rsid w:val="004445B8"/>
    <w:pPr>
      <w:widowControl w:val="0"/>
      <w:adjustRightInd w:val="0"/>
      <w:spacing w:before="0" w:after="240"/>
      <w:ind w:right="85"/>
      <w:textAlignment w:val="baseline"/>
    </w:pPr>
  </w:style>
  <w:style w:type="paragraph" w:customStyle="1" w:styleId="EMHeading">
    <w:name w:val="EM Heading"/>
    <w:basedOn w:val="Heading2"/>
    <w:link w:val="EMHeadingChar"/>
    <w:rsid w:val="004445B8"/>
    <w:pPr>
      <w:spacing w:before="0" w:after="240"/>
    </w:pPr>
    <w:rPr>
      <w:rFonts w:ascii="Times New Roman" w:hAnsi="Times New Roman" w:cs="Times New Roman"/>
      <w:b w:val="0"/>
      <w:bCs w:val="0"/>
      <w:i w:val="0"/>
      <w:iCs w:val="0"/>
      <w:sz w:val="24"/>
      <w:szCs w:val="20"/>
      <w:u w:val="single"/>
    </w:rPr>
  </w:style>
  <w:style w:type="character" w:customStyle="1" w:styleId="EMHeadingChar">
    <w:name w:val="EM Heading Char"/>
    <w:basedOn w:val="DefaultParagraphFont"/>
    <w:link w:val="EMHeading"/>
    <w:rsid w:val="004445B8"/>
    <w:rPr>
      <w:sz w:val="24"/>
      <w:u w:val="single"/>
      <w:lang w:val="en-AU" w:eastAsia="en-AU" w:bidi="ar-SA"/>
    </w:rPr>
  </w:style>
  <w:style w:type="character" w:styleId="CommentReference">
    <w:name w:val="annotation reference"/>
    <w:basedOn w:val="DefaultParagraphFont"/>
    <w:uiPriority w:val="99"/>
    <w:semiHidden/>
    <w:unhideWhenUsed/>
    <w:rsid w:val="008832FB"/>
    <w:rPr>
      <w:sz w:val="16"/>
      <w:szCs w:val="16"/>
    </w:rPr>
  </w:style>
  <w:style w:type="paragraph" w:styleId="CommentText">
    <w:name w:val="annotation text"/>
    <w:basedOn w:val="Normal"/>
    <w:link w:val="CommentTextChar"/>
    <w:uiPriority w:val="99"/>
    <w:unhideWhenUsed/>
    <w:rsid w:val="008832FB"/>
    <w:rPr>
      <w:sz w:val="20"/>
    </w:rPr>
  </w:style>
  <w:style w:type="character" w:customStyle="1" w:styleId="CommentTextChar">
    <w:name w:val="Comment Text Char"/>
    <w:basedOn w:val="DefaultParagraphFont"/>
    <w:link w:val="CommentText"/>
    <w:uiPriority w:val="99"/>
    <w:rsid w:val="008832FB"/>
  </w:style>
  <w:style w:type="paragraph" w:styleId="CommentSubject">
    <w:name w:val="annotation subject"/>
    <w:basedOn w:val="CommentText"/>
    <w:next w:val="CommentText"/>
    <w:link w:val="CommentSubjectChar"/>
    <w:uiPriority w:val="99"/>
    <w:semiHidden/>
    <w:unhideWhenUsed/>
    <w:rsid w:val="008832FB"/>
    <w:rPr>
      <w:b/>
      <w:bCs/>
    </w:rPr>
  </w:style>
  <w:style w:type="character" w:customStyle="1" w:styleId="CommentSubjectChar">
    <w:name w:val="Comment Subject Char"/>
    <w:basedOn w:val="CommentTextChar"/>
    <w:link w:val="CommentSubject"/>
    <w:uiPriority w:val="99"/>
    <w:semiHidden/>
    <w:rsid w:val="008832FB"/>
    <w:rPr>
      <w:b/>
      <w:bCs/>
    </w:rPr>
  </w:style>
  <w:style w:type="paragraph" w:styleId="BalloonText">
    <w:name w:val="Balloon Text"/>
    <w:basedOn w:val="Normal"/>
    <w:link w:val="BalloonTextChar"/>
    <w:uiPriority w:val="99"/>
    <w:semiHidden/>
    <w:unhideWhenUsed/>
    <w:rsid w:val="008832FB"/>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2FB"/>
    <w:rPr>
      <w:rFonts w:ascii="Tahoma" w:hAnsi="Tahoma" w:cs="Tahoma"/>
      <w:sz w:val="16"/>
      <w:szCs w:val="16"/>
    </w:rPr>
  </w:style>
  <w:style w:type="paragraph" w:styleId="ListParagraph">
    <w:name w:val="List Paragraph"/>
    <w:aliases w:val="List Paragraph1,Recommendation,List Paragraph11,List Paragraph111,L,F5 List Paragraph,Dot pt,CV text,Table text,Medium Grid 1 - Accent 21,Numbered Paragraph,List Paragraph2,Bullets,Main numbered paragraph,Numbered List Paragraph"/>
    <w:basedOn w:val="Normal"/>
    <w:link w:val="ListParagraphChar"/>
    <w:uiPriority w:val="34"/>
    <w:qFormat/>
    <w:rsid w:val="00FA2B82"/>
    <w:pPr>
      <w:ind w:left="720"/>
    </w:pPr>
  </w:style>
  <w:style w:type="character" w:customStyle="1" w:styleId="ListParagraphChar">
    <w:name w:val="List Paragraph Char"/>
    <w:aliases w:val="List Paragraph1 Char,Recommendation Char,List Paragraph11 Char,List Paragraph111 Char,L Char,F5 List Paragraph Char,Dot pt Char,CV text Char,Table text Char,Medium Grid 1 - Accent 21 Char,Numbered Paragraph Char,List Paragraph2 Char"/>
    <w:basedOn w:val="DefaultParagraphFont"/>
    <w:link w:val="ListParagraph"/>
    <w:uiPriority w:val="34"/>
    <w:rsid w:val="003B1C80"/>
    <w:rPr>
      <w:sz w:val="24"/>
    </w:rPr>
  </w:style>
  <w:style w:type="paragraph" w:styleId="Header">
    <w:name w:val="header"/>
    <w:basedOn w:val="Normal"/>
    <w:link w:val="HeaderChar"/>
    <w:uiPriority w:val="99"/>
    <w:unhideWhenUsed/>
    <w:rsid w:val="007A1709"/>
    <w:pPr>
      <w:tabs>
        <w:tab w:val="center" w:pos="4513"/>
        <w:tab w:val="right" w:pos="9026"/>
      </w:tabs>
      <w:spacing w:before="0"/>
    </w:pPr>
  </w:style>
  <w:style w:type="character" w:customStyle="1" w:styleId="HeaderChar">
    <w:name w:val="Header Char"/>
    <w:basedOn w:val="DefaultParagraphFont"/>
    <w:link w:val="Header"/>
    <w:uiPriority w:val="99"/>
    <w:rsid w:val="007A1709"/>
    <w:rPr>
      <w:sz w:val="24"/>
    </w:rPr>
  </w:style>
  <w:style w:type="paragraph" w:styleId="Footer">
    <w:name w:val="footer"/>
    <w:basedOn w:val="Normal"/>
    <w:link w:val="FooterChar"/>
    <w:uiPriority w:val="99"/>
    <w:unhideWhenUsed/>
    <w:rsid w:val="007A1709"/>
    <w:pPr>
      <w:tabs>
        <w:tab w:val="center" w:pos="4513"/>
        <w:tab w:val="right" w:pos="9026"/>
      </w:tabs>
      <w:spacing w:before="0"/>
    </w:pPr>
  </w:style>
  <w:style w:type="character" w:customStyle="1" w:styleId="FooterChar">
    <w:name w:val="Footer Char"/>
    <w:basedOn w:val="DefaultParagraphFont"/>
    <w:link w:val="Footer"/>
    <w:uiPriority w:val="99"/>
    <w:rsid w:val="007A1709"/>
    <w:rPr>
      <w:sz w:val="24"/>
    </w:rPr>
  </w:style>
  <w:style w:type="paragraph" w:styleId="Revision">
    <w:name w:val="Revision"/>
    <w:hidden/>
    <w:uiPriority w:val="99"/>
    <w:semiHidden/>
    <w:rsid w:val="00584393"/>
    <w:rPr>
      <w:sz w:val="24"/>
    </w:rPr>
  </w:style>
  <w:style w:type="table" w:styleId="TableGrid">
    <w:name w:val="Table Grid"/>
    <w:basedOn w:val="TableNormal"/>
    <w:uiPriority w:val="59"/>
    <w:rsid w:val="00CC1A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NumberedParagraph">
    <w:name w:val="DI Numbered Paragraph"/>
    <w:basedOn w:val="Normal"/>
    <w:link w:val="DINumberedParagraphChar"/>
    <w:rsid w:val="00D968F8"/>
    <w:pPr>
      <w:numPr>
        <w:numId w:val="1"/>
      </w:numPr>
      <w:tabs>
        <w:tab w:val="left" w:pos="567"/>
      </w:tabs>
      <w:spacing w:before="0" w:after="240"/>
    </w:pPr>
  </w:style>
  <w:style w:type="character" w:customStyle="1" w:styleId="DINumberedParagraphChar">
    <w:name w:val="DI Numbered Paragraph Char"/>
    <w:link w:val="DINumberedParagraph"/>
    <w:locked/>
    <w:rsid w:val="00755611"/>
    <w:rPr>
      <w:sz w:val="24"/>
    </w:rPr>
  </w:style>
  <w:style w:type="paragraph" w:styleId="Title">
    <w:name w:val="Title"/>
    <w:basedOn w:val="Normal"/>
    <w:next w:val="Normal"/>
    <w:link w:val="TitleChar"/>
    <w:uiPriority w:val="10"/>
    <w:qFormat/>
    <w:rsid w:val="003B1C80"/>
    <w:pPr>
      <w:spacing w:before="1440" w:after="240"/>
      <w:contextualSpacing/>
      <w:jc w:val="right"/>
    </w:pPr>
    <w:rPr>
      <w:rFonts w:ascii="Arial" w:eastAsiaTheme="minorHAnsi" w:hAnsi="Arial" w:cs="Arial"/>
      <w:b/>
      <w:color w:val="003768"/>
      <w:sz w:val="52"/>
      <w:szCs w:val="52"/>
      <w:lang w:val="en-GB" w:eastAsia="en-US"/>
    </w:rPr>
  </w:style>
  <w:style w:type="character" w:customStyle="1" w:styleId="TitleChar">
    <w:name w:val="Title Char"/>
    <w:basedOn w:val="DefaultParagraphFont"/>
    <w:link w:val="Title"/>
    <w:uiPriority w:val="10"/>
    <w:rsid w:val="003B1C80"/>
    <w:rPr>
      <w:rFonts w:ascii="Arial" w:eastAsiaTheme="minorHAnsi" w:hAnsi="Arial" w:cs="Arial"/>
      <w:b/>
      <w:color w:val="003768"/>
      <w:sz w:val="52"/>
      <w:szCs w:val="52"/>
      <w:lang w:val="en-GB" w:eastAsia="en-US"/>
    </w:rPr>
  </w:style>
  <w:style w:type="paragraph" w:styleId="Subtitle">
    <w:name w:val="Subtitle"/>
    <w:basedOn w:val="Normal"/>
    <w:next w:val="Normal"/>
    <w:link w:val="SubtitleChar"/>
    <w:uiPriority w:val="11"/>
    <w:qFormat/>
    <w:rsid w:val="003B1C80"/>
    <w:pPr>
      <w:numPr>
        <w:ilvl w:val="1"/>
      </w:numPr>
      <w:spacing w:before="120" w:beforeAutospacing="1" w:after="120" w:afterAutospacing="1" w:line="280" w:lineRule="exact"/>
      <w:jc w:val="right"/>
    </w:pPr>
    <w:rPr>
      <w:rFonts w:ascii="Arial" w:eastAsiaTheme="minorHAnsi" w:hAnsi="Arial" w:cs="Arial"/>
      <w:b/>
      <w:color w:val="6A737B"/>
      <w:sz w:val="36"/>
      <w:szCs w:val="28"/>
      <w:lang w:val="en-GB" w:eastAsia="en-US"/>
    </w:rPr>
  </w:style>
  <w:style w:type="character" w:customStyle="1" w:styleId="SubtitleChar">
    <w:name w:val="Subtitle Char"/>
    <w:basedOn w:val="DefaultParagraphFont"/>
    <w:link w:val="Subtitle"/>
    <w:uiPriority w:val="11"/>
    <w:rsid w:val="003B1C80"/>
    <w:rPr>
      <w:rFonts w:ascii="Arial" w:eastAsiaTheme="minorHAnsi" w:hAnsi="Arial" w:cs="Arial"/>
      <w:b/>
      <w:color w:val="6A737B"/>
      <w:sz w:val="36"/>
      <w:szCs w:val="28"/>
      <w:lang w:val="en-GB" w:eastAsia="en-US"/>
    </w:rPr>
  </w:style>
  <w:style w:type="paragraph" w:styleId="TOCHeading">
    <w:name w:val="TOC Heading"/>
    <w:basedOn w:val="Heading1"/>
    <w:next w:val="Normal"/>
    <w:uiPriority w:val="39"/>
    <w:unhideWhenUsed/>
    <w:qFormat/>
    <w:rsid w:val="003B1C80"/>
    <w:pPr>
      <w:spacing w:beforeAutospacing="1" w:afterAutospacing="1" w:line="288" w:lineRule="auto"/>
      <w:outlineLvl w:val="9"/>
    </w:pPr>
    <w:rPr>
      <w:rFonts w:ascii="Arial" w:hAnsi="Arial" w:cs="Arial"/>
      <w:b w:val="0"/>
      <w:color w:val="003768"/>
      <w:lang w:val="en-US" w:eastAsia="ja-JP"/>
    </w:rPr>
  </w:style>
  <w:style w:type="paragraph" w:styleId="TOC1">
    <w:name w:val="toc 1"/>
    <w:basedOn w:val="Normal"/>
    <w:next w:val="Normal"/>
    <w:autoRedefine/>
    <w:uiPriority w:val="39"/>
    <w:unhideWhenUsed/>
    <w:rsid w:val="003B1C80"/>
    <w:pPr>
      <w:spacing w:before="100" w:beforeAutospacing="1" w:after="100" w:afterAutospacing="1" w:line="280" w:lineRule="exact"/>
    </w:pPr>
    <w:rPr>
      <w:rFonts w:ascii="Arial" w:eastAsiaTheme="minorHAnsi" w:hAnsi="Arial" w:cs="Arial"/>
      <w:sz w:val="20"/>
      <w:lang w:val="en-GB" w:eastAsia="en-US"/>
    </w:rPr>
  </w:style>
  <w:style w:type="paragraph" w:styleId="TOC2">
    <w:name w:val="toc 2"/>
    <w:basedOn w:val="Normal"/>
    <w:next w:val="Normal"/>
    <w:autoRedefine/>
    <w:uiPriority w:val="39"/>
    <w:unhideWhenUsed/>
    <w:rsid w:val="003B1C80"/>
    <w:pPr>
      <w:spacing w:before="100" w:beforeAutospacing="1" w:after="100" w:afterAutospacing="1" w:line="280" w:lineRule="exact"/>
      <w:ind w:left="200"/>
    </w:pPr>
    <w:rPr>
      <w:rFonts w:ascii="Arial" w:eastAsiaTheme="minorHAnsi" w:hAnsi="Arial" w:cs="Arial"/>
      <w:sz w:val="20"/>
      <w:lang w:val="en-GB" w:eastAsia="en-US"/>
    </w:rPr>
  </w:style>
  <w:style w:type="character" w:styleId="Hyperlink">
    <w:name w:val="Hyperlink"/>
    <w:basedOn w:val="DefaultParagraphFont"/>
    <w:uiPriority w:val="99"/>
    <w:unhideWhenUsed/>
    <w:rsid w:val="003B1C80"/>
    <w:rPr>
      <w:color w:val="0000FF" w:themeColor="hyperlink"/>
      <w:u w:val="single"/>
    </w:rPr>
  </w:style>
  <w:style w:type="paragraph" w:styleId="Caption">
    <w:name w:val="caption"/>
    <w:basedOn w:val="Normal"/>
    <w:next w:val="Normal"/>
    <w:uiPriority w:val="35"/>
    <w:unhideWhenUsed/>
    <w:qFormat/>
    <w:rsid w:val="003B1C80"/>
    <w:pPr>
      <w:keepNext/>
      <w:spacing w:before="100" w:beforeAutospacing="1" w:after="100" w:afterAutospacing="1" w:line="280" w:lineRule="exact"/>
    </w:pPr>
    <w:rPr>
      <w:rFonts w:ascii="Arial" w:eastAsiaTheme="minorHAnsi" w:hAnsi="Arial" w:cstheme="majorBidi"/>
      <w:b/>
      <w:color w:val="003768"/>
      <w:sz w:val="20"/>
      <w:lang w:val="en-GB" w:eastAsia="en-US"/>
    </w:rPr>
  </w:style>
  <w:style w:type="character" w:customStyle="1" w:styleId="CharPartText">
    <w:name w:val="CharPartText"/>
    <w:basedOn w:val="DefaultParagraphFont"/>
    <w:uiPriority w:val="1"/>
    <w:qFormat/>
    <w:rsid w:val="001B6584"/>
  </w:style>
  <w:style w:type="paragraph" w:customStyle="1" w:styleId="DIHeading1">
    <w:name w:val="DI Heading 1"/>
    <w:basedOn w:val="Normal"/>
    <w:rsid w:val="00047475"/>
    <w:pPr>
      <w:spacing w:before="0" w:after="240"/>
    </w:pPr>
    <w:rPr>
      <w:b/>
      <w:caps/>
      <w:szCs w:val="24"/>
    </w:rPr>
  </w:style>
  <w:style w:type="paragraph" w:customStyle="1" w:styleId="paragraph">
    <w:name w:val="paragraph"/>
    <w:aliases w:val="a"/>
    <w:basedOn w:val="Normal"/>
    <w:link w:val="paragraphChar"/>
    <w:rsid w:val="006C1B9B"/>
    <w:pPr>
      <w:tabs>
        <w:tab w:val="right" w:pos="1531"/>
      </w:tabs>
      <w:spacing w:before="40"/>
      <w:ind w:left="1644" w:hanging="1644"/>
    </w:pPr>
    <w:rPr>
      <w:sz w:val="22"/>
    </w:rPr>
  </w:style>
  <w:style w:type="character" w:customStyle="1" w:styleId="paragraphChar">
    <w:name w:val="paragraph Char"/>
    <w:aliases w:val="a Char"/>
    <w:link w:val="paragraph"/>
    <w:rsid w:val="00F87506"/>
    <w:rPr>
      <w:sz w:val="22"/>
    </w:rPr>
  </w:style>
  <w:style w:type="paragraph" w:customStyle="1" w:styleId="contentelement-indentone">
    <w:name w:val="contentelement-indentone"/>
    <w:basedOn w:val="Normal"/>
    <w:rsid w:val="00DD5D79"/>
    <w:pPr>
      <w:spacing w:before="0" w:after="120" w:line="360" w:lineRule="auto"/>
      <w:ind w:left="468"/>
    </w:pPr>
    <w:rPr>
      <w:szCs w:val="24"/>
    </w:rPr>
  </w:style>
  <w:style w:type="paragraph" w:customStyle="1" w:styleId="contentelement-indenttwo">
    <w:name w:val="contentelement-indenttwo"/>
    <w:basedOn w:val="Normal"/>
    <w:rsid w:val="00DD5D79"/>
    <w:pPr>
      <w:spacing w:before="0" w:after="120" w:line="360" w:lineRule="auto"/>
      <w:ind w:left="936"/>
    </w:pPr>
    <w:rPr>
      <w:szCs w:val="24"/>
    </w:rPr>
  </w:style>
  <w:style w:type="paragraph" w:styleId="FootnoteText">
    <w:name w:val="footnote text"/>
    <w:basedOn w:val="Normal"/>
    <w:link w:val="FootnoteTextChar"/>
    <w:uiPriority w:val="99"/>
    <w:unhideWhenUsed/>
    <w:rsid w:val="00F90E9A"/>
    <w:pPr>
      <w:spacing w:before="0"/>
    </w:pPr>
    <w:rPr>
      <w:rFonts w:asciiTheme="minorHAnsi" w:eastAsiaTheme="minorHAnsi" w:hAnsiTheme="minorHAnsi" w:cstheme="minorBidi"/>
      <w:sz w:val="20"/>
      <w:lang w:eastAsia="en-US"/>
    </w:rPr>
  </w:style>
  <w:style w:type="character" w:customStyle="1" w:styleId="FootnoteTextChar">
    <w:name w:val="Footnote Text Char"/>
    <w:basedOn w:val="DefaultParagraphFont"/>
    <w:link w:val="FootnoteText"/>
    <w:uiPriority w:val="99"/>
    <w:rsid w:val="00F90E9A"/>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F90E9A"/>
    <w:rPr>
      <w:vertAlign w:val="superscript"/>
    </w:rPr>
  </w:style>
  <w:style w:type="paragraph" w:customStyle="1" w:styleId="BodyText1">
    <w:name w:val="Body Text1"/>
    <w:basedOn w:val="Normal"/>
    <w:qFormat/>
    <w:rsid w:val="00BB5408"/>
    <w:rPr>
      <w:rFonts w:ascii="Arial" w:hAnsi="Arial" w:cs="Arial"/>
      <w:szCs w:val="24"/>
    </w:rPr>
  </w:style>
  <w:style w:type="paragraph" w:customStyle="1" w:styleId="Default">
    <w:name w:val="Default"/>
    <w:rsid w:val="005137E9"/>
    <w:pPr>
      <w:autoSpaceDE w:val="0"/>
      <w:autoSpaceDN w:val="0"/>
      <w:adjustRightInd w:val="0"/>
    </w:pPr>
    <w:rPr>
      <w:color w:val="000000"/>
      <w:sz w:val="24"/>
      <w:szCs w:val="24"/>
    </w:rPr>
  </w:style>
  <w:style w:type="paragraph" w:styleId="NoSpacing">
    <w:name w:val="No Spacing"/>
    <w:uiPriority w:val="1"/>
    <w:qFormat/>
    <w:rsid w:val="005137E9"/>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6F66BB"/>
    <w:pPr>
      <w:spacing w:before="0" w:after="408" w:line="360" w:lineRule="auto"/>
    </w:pPr>
    <w:rPr>
      <w:szCs w:val="24"/>
    </w:rPr>
  </w:style>
  <w:style w:type="paragraph" w:customStyle="1" w:styleId="ActHead2">
    <w:name w:val="ActHead 2"/>
    <w:aliases w:val="p"/>
    <w:basedOn w:val="Normal"/>
    <w:next w:val="Normal"/>
    <w:qFormat/>
    <w:rsid w:val="00755611"/>
    <w:pPr>
      <w:keepNext/>
      <w:keepLines/>
      <w:spacing w:before="280"/>
      <w:ind w:left="1134" w:hanging="1134"/>
      <w:outlineLvl w:val="1"/>
    </w:pPr>
    <w:rPr>
      <w:b/>
      <w:kern w:val="28"/>
      <w:sz w:val="32"/>
    </w:rPr>
  </w:style>
  <w:style w:type="character" w:customStyle="1" w:styleId="CharPartNo">
    <w:name w:val="CharPartNo"/>
    <w:basedOn w:val="DefaultParagraphFont"/>
    <w:uiPriority w:val="1"/>
    <w:qFormat/>
    <w:rsid w:val="00755611"/>
  </w:style>
  <w:style w:type="paragraph" w:customStyle="1" w:styleId="default0">
    <w:name w:val="default"/>
    <w:basedOn w:val="Normal"/>
    <w:rsid w:val="009A063E"/>
    <w:pPr>
      <w:spacing w:before="100" w:beforeAutospacing="1" w:after="100" w:afterAutospacing="1"/>
    </w:pPr>
    <w:rPr>
      <w:szCs w:val="24"/>
    </w:rPr>
  </w:style>
  <w:style w:type="paragraph" w:customStyle="1" w:styleId="EMBullet">
    <w:name w:val="EM Bullet"/>
    <w:basedOn w:val="Normal"/>
    <w:uiPriority w:val="99"/>
    <w:rsid w:val="00F86AF6"/>
    <w:pPr>
      <w:numPr>
        <w:numId w:val="2"/>
      </w:numPr>
      <w:spacing w:before="0" w:after="240"/>
    </w:pPr>
    <w:rPr>
      <w:rFonts w:eastAsiaTheme="minorEastAsia"/>
      <w:szCs w:val="24"/>
    </w:rPr>
  </w:style>
  <w:style w:type="paragraph" w:customStyle="1" w:styleId="TableTextform">
    <w:name w:val="TableText form"/>
    <w:basedOn w:val="Normal"/>
    <w:qFormat/>
    <w:rsid w:val="00CD672C"/>
    <w:pPr>
      <w:spacing w:before="40" w:after="240"/>
    </w:pPr>
    <w:rPr>
      <w:rFonts w:ascii="Arial" w:eastAsiaTheme="majorEastAsia" w:hAnsi="Arial" w:cs="Arial"/>
      <w:bCs/>
      <w:sz w:val="20"/>
      <w:lang w:eastAsia="en-US"/>
    </w:rPr>
  </w:style>
  <w:style w:type="character" w:customStyle="1" w:styleId="italic">
    <w:name w:val="italic"/>
    <w:uiPriority w:val="99"/>
    <w:rsid w:val="00CD672C"/>
    <w:rPr>
      <w:i/>
      <w:iCs/>
    </w:rPr>
  </w:style>
  <w:style w:type="paragraph" w:styleId="BodyText">
    <w:name w:val="Body Text"/>
    <w:basedOn w:val="Normal"/>
    <w:link w:val="BodyTextChar"/>
    <w:uiPriority w:val="1"/>
    <w:qFormat/>
    <w:rsid w:val="00CD672C"/>
    <w:pPr>
      <w:widowControl w:val="0"/>
      <w:spacing w:before="0"/>
      <w:ind w:left="1540" w:hanging="360"/>
    </w:pPr>
    <w:rPr>
      <w:rFonts w:ascii="Cambria" w:eastAsia="Cambria" w:hAnsi="Cambria" w:cstheme="minorBidi"/>
      <w:sz w:val="22"/>
      <w:szCs w:val="22"/>
      <w:lang w:val="en-US" w:eastAsia="en-US"/>
    </w:rPr>
  </w:style>
  <w:style w:type="character" w:customStyle="1" w:styleId="BodyTextChar">
    <w:name w:val="Body Text Char"/>
    <w:basedOn w:val="DefaultParagraphFont"/>
    <w:link w:val="BodyText"/>
    <w:uiPriority w:val="1"/>
    <w:rsid w:val="00CD672C"/>
    <w:rPr>
      <w:rFonts w:ascii="Cambria" w:eastAsia="Cambria" w:hAnsi="Cambria" w:cstheme="minorBidi"/>
      <w:sz w:val="22"/>
      <w:szCs w:val="22"/>
      <w:lang w:val="en-US" w:eastAsia="en-US"/>
    </w:rPr>
  </w:style>
  <w:style w:type="paragraph" w:customStyle="1" w:styleId="TableParagraph">
    <w:name w:val="Table Paragraph"/>
    <w:basedOn w:val="Normal"/>
    <w:uiPriority w:val="1"/>
    <w:qFormat/>
    <w:rsid w:val="00CD672C"/>
    <w:pPr>
      <w:widowControl w:val="0"/>
      <w:spacing w:before="0"/>
    </w:pPr>
    <w:rPr>
      <w:rFonts w:asciiTheme="minorHAnsi" w:eastAsiaTheme="minorHAnsi" w:hAnsiTheme="minorHAnsi" w:cstheme="minorBidi"/>
      <w:sz w:val="22"/>
      <w:szCs w:val="22"/>
      <w:lang w:val="en-US" w:eastAsia="en-US"/>
    </w:rPr>
  </w:style>
  <w:style w:type="character" w:customStyle="1" w:styleId="EndnoteTextChar">
    <w:name w:val="Endnote Text Char"/>
    <w:basedOn w:val="DefaultParagraphFont"/>
    <w:link w:val="EndnoteText"/>
    <w:uiPriority w:val="99"/>
    <w:semiHidden/>
    <w:rsid w:val="00CD672C"/>
    <w:rPr>
      <w:rFonts w:asciiTheme="minorHAnsi" w:eastAsiaTheme="minorHAnsi" w:hAnsiTheme="minorHAnsi" w:cstheme="minorBidi"/>
      <w:lang w:eastAsia="en-US"/>
    </w:rPr>
  </w:style>
  <w:style w:type="paragraph" w:styleId="EndnoteText">
    <w:name w:val="endnote text"/>
    <w:basedOn w:val="Normal"/>
    <w:link w:val="EndnoteTextChar"/>
    <w:uiPriority w:val="99"/>
    <w:semiHidden/>
    <w:unhideWhenUsed/>
    <w:rsid w:val="00CD672C"/>
    <w:pPr>
      <w:spacing w:before="0"/>
    </w:pPr>
    <w:rPr>
      <w:rFonts w:asciiTheme="minorHAnsi" w:eastAsiaTheme="minorHAnsi" w:hAnsiTheme="minorHAnsi" w:cstheme="minorBidi"/>
      <w:sz w:val="20"/>
      <w:lang w:eastAsia="en-US"/>
    </w:rPr>
  </w:style>
  <w:style w:type="paragraph" w:customStyle="1" w:styleId="CABHeading1">
    <w:name w:val="CAB Heading 1"/>
    <w:basedOn w:val="Normal"/>
    <w:qFormat/>
    <w:rsid w:val="00CD672C"/>
    <w:pPr>
      <w:spacing w:before="120" w:after="120"/>
    </w:pPr>
    <w:rPr>
      <w:rFonts w:eastAsia="Verdana"/>
      <w:b/>
      <w:szCs w:val="24"/>
      <w:lang w:eastAsia="en-US"/>
    </w:rPr>
  </w:style>
  <w:style w:type="character" w:styleId="PageNumber">
    <w:name w:val="page number"/>
    <w:basedOn w:val="DefaultParagraphFont"/>
    <w:rsid w:val="00CD672C"/>
  </w:style>
  <w:style w:type="character" w:customStyle="1" w:styleId="st1">
    <w:name w:val="st1"/>
    <w:basedOn w:val="DefaultParagraphFont"/>
    <w:rsid w:val="00FC5689"/>
  </w:style>
  <w:style w:type="paragraph" w:customStyle="1" w:styleId="acthead5">
    <w:name w:val="acthead5"/>
    <w:basedOn w:val="Normal"/>
    <w:rsid w:val="00FC5689"/>
    <w:pPr>
      <w:spacing w:before="100" w:beforeAutospacing="1" w:after="100" w:afterAutospacing="1"/>
    </w:pPr>
    <w:rPr>
      <w:szCs w:val="24"/>
    </w:rPr>
  </w:style>
  <w:style w:type="paragraph" w:customStyle="1" w:styleId="notetext">
    <w:name w:val="note(text)"/>
    <w:aliases w:val="n"/>
    <w:basedOn w:val="Normal"/>
    <w:link w:val="notetextChar"/>
    <w:rsid w:val="00DA49A5"/>
    <w:pPr>
      <w:spacing w:before="122"/>
      <w:ind w:left="1985" w:hanging="851"/>
    </w:pPr>
    <w:rPr>
      <w:sz w:val="18"/>
    </w:rPr>
  </w:style>
  <w:style w:type="character" w:customStyle="1" w:styleId="notetextChar">
    <w:name w:val="note(text) Char"/>
    <w:aliases w:val="n Char"/>
    <w:link w:val="notetext"/>
    <w:rsid w:val="00DA49A5"/>
    <w:rPr>
      <w:sz w:val="18"/>
    </w:rPr>
  </w:style>
  <w:style w:type="paragraph" w:customStyle="1" w:styleId="subsection">
    <w:name w:val="subsection"/>
    <w:aliases w:val="ss"/>
    <w:basedOn w:val="Normal"/>
    <w:link w:val="subsectionChar"/>
    <w:rsid w:val="00DA49A5"/>
    <w:pPr>
      <w:tabs>
        <w:tab w:val="right" w:pos="1021"/>
      </w:tabs>
      <w:spacing w:before="180"/>
      <w:ind w:left="1134" w:hanging="1134"/>
    </w:pPr>
    <w:rPr>
      <w:sz w:val="22"/>
    </w:rPr>
  </w:style>
  <w:style w:type="character" w:customStyle="1" w:styleId="subsectionChar">
    <w:name w:val="subsection Char"/>
    <w:aliases w:val="ss Char"/>
    <w:link w:val="subsection"/>
    <w:locked/>
    <w:rsid w:val="00DA49A5"/>
    <w:rPr>
      <w:sz w:val="22"/>
    </w:rPr>
  </w:style>
  <w:style w:type="paragraph" w:customStyle="1" w:styleId="ReportBulletPoint">
    <w:name w:val="Report Bullet Point"/>
    <w:basedOn w:val="Normal"/>
    <w:next w:val="Normal"/>
    <w:link w:val="ReportBulletPointChar"/>
    <w:qFormat/>
    <w:rsid w:val="00D65522"/>
    <w:pPr>
      <w:numPr>
        <w:numId w:val="5"/>
      </w:numPr>
      <w:spacing w:before="80" w:after="80"/>
    </w:pPr>
    <w:rPr>
      <w:rFonts w:ascii="Calibri" w:hAnsi="Calibri"/>
      <w:sz w:val="20"/>
      <w:lang w:eastAsia="en-US"/>
    </w:rPr>
  </w:style>
  <w:style w:type="character" w:customStyle="1" w:styleId="ReportBulletPointChar">
    <w:name w:val="Report Bullet Point Char"/>
    <w:basedOn w:val="DefaultParagraphFont"/>
    <w:link w:val="ReportBulletPoint"/>
    <w:rsid w:val="00D65522"/>
    <w:rPr>
      <w:rFonts w:ascii="Calibri" w:hAnsi="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162"/>
    <w:pPr>
      <w:spacing w:before="240"/>
    </w:pPr>
    <w:rPr>
      <w:sz w:val="24"/>
    </w:rPr>
  </w:style>
  <w:style w:type="paragraph" w:styleId="Heading1">
    <w:name w:val="heading 1"/>
    <w:basedOn w:val="Normal"/>
    <w:next w:val="Normal"/>
    <w:link w:val="Heading1Char"/>
    <w:uiPriority w:val="9"/>
    <w:qFormat/>
    <w:rsid w:val="003B1C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4445B8"/>
    <w:pPr>
      <w:keepNext/>
      <w:spacing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875A3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E0393"/>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Heading5">
    <w:name w:val="heading 5"/>
    <w:basedOn w:val="Normal"/>
    <w:next w:val="Normal"/>
    <w:link w:val="Heading5Char"/>
    <w:uiPriority w:val="9"/>
    <w:unhideWhenUsed/>
    <w:qFormat/>
    <w:rsid w:val="00CD672C"/>
    <w:pPr>
      <w:keepNext/>
      <w:keepLines/>
      <w:spacing w:before="200" w:line="276" w:lineRule="auto"/>
      <w:outlineLvl w:val="4"/>
    </w:pPr>
    <w:rPr>
      <w:rFonts w:asciiTheme="majorHAnsi" w:eastAsiaTheme="majorEastAsia" w:hAnsiTheme="majorHAnsi" w:cstheme="majorBidi"/>
      <w:color w:val="243F60" w:themeColor="accent1" w:themeShade="7F"/>
      <w:sz w:val="22"/>
      <w:szCs w:val="22"/>
      <w:lang w:eastAsia="en-US"/>
    </w:rPr>
  </w:style>
  <w:style w:type="paragraph" w:styleId="Heading6">
    <w:name w:val="heading 6"/>
    <w:basedOn w:val="Normal"/>
    <w:next w:val="Normal"/>
    <w:qFormat/>
    <w:rsid w:val="00925162"/>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1C8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D672C"/>
    <w:rPr>
      <w:rFonts w:ascii="Arial" w:hAnsi="Arial" w:cs="Arial"/>
      <w:b/>
      <w:bCs/>
      <w:i/>
      <w:iCs/>
      <w:sz w:val="28"/>
      <w:szCs w:val="28"/>
    </w:rPr>
  </w:style>
  <w:style w:type="character" w:customStyle="1" w:styleId="Heading3Char">
    <w:name w:val="Heading 3 Char"/>
    <w:basedOn w:val="DefaultParagraphFont"/>
    <w:link w:val="Heading3"/>
    <w:uiPriority w:val="9"/>
    <w:rsid w:val="00875A34"/>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rsid w:val="001E0393"/>
    <w:rPr>
      <w:rFonts w:asciiTheme="majorHAnsi" w:eastAsiaTheme="majorEastAsia" w:hAnsiTheme="majorHAnsi" w:cstheme="majorBidi"/>
      <w:b/>
      <w:bCs/>
      <w:i/>
      <w:iCs/>
      <w:color w:val="4F81BD" w:themeColor="accent1"/>
      <w:sz w:val="22"/>
      <w:szCs w:val="22"/>
      <w:lang w:eastAsia="en-US"/>
    </w:rPr>
  </w:style>
  <w:style w:type="character" w:customStyle="1" w:styleId="Heading5Char">
    <w:name w:val="Heading 5 Char"/>
    <w:basedOn w:val="DefaultParagraphFont"/>
    <w:link w:val="Heading5"/>
    <w:uiPriority w:val="9"/>
    <w:rsid w:val="00CD672C"/>
    <w:rPr>
      <w:rFonts w:asciiTheme="majorHAnsi" w:eastAsiaTheme="majorEastAsia" w:hAnsiTheme="majorHAnsi" w:cstheme="majorBidi"/>
      <w:color w:val="243F60" w:themeColor="accent1" w:themeShade="7F"/>
      <w:sz w:val="22"/>
      <w:szCs w:val="22"/>
      <w:lang w:eastAsia="en-US"/>
    </w:rPr>
  </w:style>
  <w:style w:type="paragraph" w:customStyle="1" w:styleId="CharChar1">
    <w:name w:val="Char Char1"/>
    <w:basedOn w:val="Normal"/>
    <w:rsid w:val="00925162"/>
    <w:pPr>
      <w:spacing w:before="120" w:after="120"/>
    </w:pPr>
    <w:rPr>
      <w:rFonts w:ascii="Arial" w:hAnsi="Arial"/>
      <w:sz w:val="22"/>
      <w:lang w:eastAsia="en-US"/>
    </w:rPr>
  </w:style>
  <w:style w:type="paragraph" w:customStyle="1" w:styleId="EMparagraph">
    <w:name w:val="EM paragraph"/>
    <w:basedOn w:val="Normal"/>
    <w:rsid w:val="004445B8"/>
    <w:pPr>
      <w:widowControl w:val="0"/>
      <w:adjustRightInd w:val="0"/>
      <w:spacing w:before="0" w:after="240"/>
      <w:ind w:right="85"/>
      <w:textAlignment w:val="baseline"/>
    </w:pPr>
  </w:style>
  <w:style w:type="paragraph" w:customStyle="1" w:styleId="EMHeading">
    <w:name w:val="EM Heading"/>
    <w:basedOn w:val="Heading2"/>
    <w:link w:val="EMHeadingChar"/>
    <w:rsid w:val="004445B8"/>
    <w:pPr>
      <w:spacing w:before="0" w:after="240"/>
    </w:pPr>
    <w:rPr>
      <w:rFonts w:ascii="Times New Roman" w:hAnsi="Times New Roman" w:cs="Times New Roman"/>
      <w:b w:val="0"/>
      <w:bCs w:val="0"/>
      <w:i w:val="0"/>
      <w:iCs w:val="0"/>
      <w:sz w:val="24"/>
      <w:szCs w:val="20"/>
      <w:u w:val="single"/>
    </w:rPr>
  </w:style>
  <w:style w:type="character" w:customStyle="1" w:styleId="EMHeadingChar">
    <w:name w:val="EM Heading Char"/>
    <w:basedOn w:val="DefaultParagraphFont"/>
    <w:link w:val="EMHeading"/>
    <w:rsid w:val="004445B8"/>
    <w:rPr>
      <w:sz w:val="24"/>
      <w:u w:val="single"/>
      <w:lang w:val="en-AU" w:eastAsia="en-AU" w:bidi="ar-SA"/>
    </w:rPr>
  </w:style>
  <w:style w:type="character" w:styleId="CommentReference">
    <w:name w:val="annotation reference"/>
    <w:basedOn w:val="DefaultParagraphFont"/>
    <w:uiPriority w:val="99"/>
    <w:semiHidden/>
    <w:unhideWhenUsed/>
    <w:rsid w:val="008832FB"/>
    <w:rPr>
      <w:sz w:val="16"/>
      <w:szCs w:val="16"/>
    </w:rPr>
  </w:style>
  <w:style w:type="paragraph" w:styleId="CommentText">
    <w:name w:val="annotation text"/>
    <w:basedOn w:val="Normal"/>
    <w:link w:val="CommentTextChar"/>
    <w:uiPriority w:val="99"/>
    <w:unhideWhenUsed/>
    <w:rsid w:val="008832FB"/>
    <w:rPr>
      <w:sz w:val="20"/>
    </w:rPr>
  </w:style>
  <w:style w:type="character" w:customStyle="1" w:styleId="CommentTextChar">
    <w:name w:val="Comment Text Char"/>
    <w:basedOn w:val="DefaultParagraphFont"/>
    <w:link w:val="CommentText"/>
    <w:uiPriority w:val="99"/>
    <w:rsid w:val="008832FB"/>
  </w:style>
  <w:style w:type="paragraph" w:styleId="CommentSubject">
    <w:name w:val="annotation subject"/>
    <w:basedOn w:val="CommentText"/>
    <w:next w:val="CommentText"/>
    <w:link w:val="CommentSubjectChar"/>
    <w:uiPriority w:val="99"/>
    <w:semiHidden/>
    <w:unhideWhenUsed/>
    <w:rsid w:val="008832FB"/>
    <w:rPr>
      <w:b/>
      <w:bCs/>
    </w:rPr>
  </w:style>
  <w:style w:type="character" w:customStyle="1" w:styleId="CommentSubjectChar">
    <w:name w:val="Comment Subject Char"/>
    <w:basedOn w:val="CommentTextChar"/>
    <w:link w:val="CommentSubject"/>
    <w:uiPriority w:val="99"/>
    <w:semiHidden/>
    <w:rsid w:val="008832FB"/>
    <w:rPr>
      <w:b/>
      <w:bCs/>
    </w:rPr>
  </w:style>
  <w:style w:type="paragraph" w:styleId="BalloonText">
    <w:name w:val="Balloon Text"/>
    <w:basedOn w:val="Normal"/>
    <w:link w:val="BalloonTextChar"/>
    <w:uiPriority w:val="99"/>
    <w:semiHidden/>
    <w:unhideWhenUsed/>
    <w:rsid w:val="008832FB"/>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2FB"/>
    <w:rPr>
      <w:rFonts w:ascii="Tahoma" w:hAnsi="Tahoma" w:cs="Tahoma"/>
      <w:sz w:val="16"/>
      <w:szCs w:val="16"/>
    </w:rPr>
  </w:style>
  <w:style w:type="paragraph" w:styleId="ListParagraph">
    <w:name w:val="List Paragraph"/>
    <w:aliases w:val="List Paragraph1,Recommendation,List Paragraph11,List Paragraph111,L,F5 List Paragraph,Dot pt,CV text,Table text,Medium Grid 1 - Accent 21,Numbered Paragraph,List Paragraph2,Bullets,Main numbered paragraph,Numbered List Paragraph"/>
    <w:basedOn w:val="Normal"/>
    <w:link w:val="ListParagraphChar"/>
    <w:uiPriority w:val="34"/>
    <w:qFormat/>
    <w:rsid w:val="00FA2B82"/>
    <w:pPr>
      <w:ind w:left="720"/>
    </w:pPr>
  </w:style>
  <w:style w:type="character" w:customStyle="1" w:styleId="ListParagraphChar">
    <w:name w:val="List Paragraph Char"/>
    <w:aliases w:val="List Paragraph1 Char,Recommendation Char,List Paragraph11 Char,List Paragraph111 Char,L Char,F5 List Paragraph Char,Dot pt Char,CV text Char,Table text Char,Medium Grid 1 - Accent 21 Char,Numbered Paragraph Char,List Paragraph2 Char"/>
    <w:basedOn w:val="DefaultParagraphFont"/>
    <w:link w:val="ListParagraph"/>
    <w:uiPriority w:val="34"/>
    <w:rsid w:val="003B1C80"/>
    <w:rPr>
      <w:sz w:val="24"/>
    </w:rPr>
  </w:style>
  <w:style w:type="paragraph" w:styleId="Header">
    <w:name w:val="header"/>
    <w:basedOn w:val="Normal"/>
    <w:link w:val="HeaderChar"/>
    <w:uiPriority w:val="99"/>
    <w:unhideWhenUsed/>
    <w:rsid w:val="007A1709"/>
    <w:pPr>
      <w:tabs>
        <w:tab w:val="center" w:pos="4513"/>
        <w:tab w:val="right" w:pos="9026"/>
      </w:tabs>
      <w:spacing w:before="0"/>
    </w:pPr>
  </w:style>
  <w:style w:type="character" w:customStyle="1" w:styleId="HeaderChar">
    <w:name w:val="Header Char"/>
    <w:basedOn w:val="DefaultParagraphFont"/>
    <w:link w:val="Header"/>
    <w:uiPriority w:val="99"/>
    <w:rsid w:val="007A1709"/>
    <w:rPr>
      <w:sz w:val="24"/>
    </w:rPr>
  </w:style>
  <w:style w:type="paragraph" w:styleId="Footer">
    <w:name w:val="footer"/>
    <w:basedOn w:val="Normal"/>
    <w:link w:val="FooterChar"/>
    <w:uiPriority w:val="99"/>
    <w:unhideWhenUsed/>
    <w:rsid w:val="007A1709"/>
    <w:pPr>
      <w:tabs>
        <w:tab w:val="center" w:pos="4513"/>
        <w:tab w:val="right" w:pos="9026"/>
      </w:tabs>
      <w:spacing w:before="0"/>
    </w:pPr>
  </w:style>
  <w:style w:type="character" w:customStyle="1" w:styleId="FooterChar">
    <w:name w:val="Footer Char"/>
    <w:basedOn w:val="DefaultParagraphFont"/>
    <w:link w:val="Footer"/>
    <w:uiPriority w:val="99"/>
    <w:rsid w:val="007A1709"/>
    <w:rPr>
      <w:sz w:val="24"/>
    </w:rPr>
  </w:style>
  <w:style w:type="paragraph" w:styleId="Revision">
    <w:name w:val="Revision"/>
    <w:hidden/>
    <w:uiPriority w:val="99"/>
    <w:semiHidden/>
    <w:rsid w:val="00584393"/>
    <w:rPr>
      <w:sz w:val="24"/>
    </w:rPr>
  </w:style>
  <w:style w:type="table" w:styleId="TableGrid">
    <w:name w:val="Table Grid"/>
    <w:basedOn w:val="TableNormal"/>
    <w:uiPriority w:val="59"/>
    <w:rsid w:val="00CC1A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NumberedParagraph">
    <w:name w:val="DI Numbered Paragraph"/>
    <w:basedOn w:val="Normal"/>
    <w:link w:val="DINumberedParagraphChar"/>
    <w:rsid w:val="00D968F8"/>
    <w:pPr>
      <w:numPr>
        <w:numId w:val="1"/>
      </w:numPr>
      <w:tabs>
        <w:tab w:val="left" w:pos="567"/>
      </w:tabs>
      <w:spacing w:before="0" w:after="240"/>
    </w:pPr>
  </w:style>
  <w:style w:type="character" w:customStyle="1" w:styleId="DINumberedParagraphChar">
    <w:name w:val="DI Numbered Paragraph Char"/>
    <w:link w:val="DINumberedParagraph"/>
    <w:locked/>
    <w:rsid w:val="00755611"/>
    <w:rPr>
      <w:sz w:val="24"/>
    </w:rPr>
  </w:style>
  <w:style w:type="paragraph" w:styleId="Title">
    <w:name w:val="Title"/>
    <w:basedOn w:val="Normal"/>
    <w:next w:val="Normal"/>
    <w:link w:val="TitleChar"/>
    <w:uiPriority w:val="10"/>
    <w:qFormat/>
    <w:rsid w:val="003B1C80"/>
    <w:pPr>
      <w:spacing w:before="1440" w:after="240"/>
      <w:contextualSpacing/>
      <w:jc w:val="right"/>
    </w:pPr>
    <w:rPr>
      <w:rFonts w:ascii="Arial" w:eastAsiaTheme="minorHAnsi" w:hAnsi="Arial" w:cs="Arial"/>
      <w:b/>
      <w:color w:val="003768"/>
      <w:sz w:val="52"/>
      <w:szCs w:val="52"/>
      <w:lang w:val="en-GB" w:eastAsia="en-US"/>
    </w:rPr>
  </w:style>
  <w:style w:type="character" w:customStyle="1" w:styleId="TitleChar">
    <w:name w:val="Title Char"/>
    <w:basedOn w:val="DefaultParagraphFont"/>
    <w:link w:val="Title"/>
    <w:uiPriority w:val="10"/>
    <w:rsid w:val="003B1C80"/>
    <w:rPr>
      <w:rFonts w:ascii="Arial" w:eastAsiaTheme="minorHAnsi" w:hAnsi="Arial" w:cs="Arial"/>
      <w:b/>
      <w:color w:val="003768"/>
      <w:sz w:val="52"/>
      <w:szCs w:val="52"/>
      <w:lang w:val="en-GB" w:eastAsia="en-US"/>
    </w:rPr>
  </w:style>
  <w:style w:type="paragraph" w:styleId="Subtitle">
    <w:name w:val="Subtitle"/>
    <w:basedOn w:val="Normal"/>
    <w:next w:val="Normal"/>
    <w:link w:val="SubtitleChar"/>
    <w:uiPriority w:val="11"/>
    <w:qFormat/>
    <w:rsid w:val="003B1C80"/>
    <w:pPr>
      <w:numPr>
        <w:ilvl w:val="1"/>
      </w:numPr>
      <w:spacing w:before="120" w:beforeAutospacing="1" w:after="120" w:afterAutospacing="1" w:line="280" w:lineRule="exact"/>
      <w:jc w:val="right"/>
    </w:pPr>
    <w:rPr>
      <w:rFonts w:ascii="Arial" w:eastAsiaTheme="minorHAnsi" w:hAnsi="Arial" w:cs="Arial"/>
      <w:b/>
      <w:color w:val="6A737B"/>
      <w:sz w:val="36"/>
      <w:szCs w:val="28"/>
      <w:lang w:val="en-GB" w:eastAsia="en-US"/>
    </w:rPr>
  </w:style>
  <w:style w:type="character" w:customStyle="1" w:styleId="SubtitleChar">
    <w:name w:val="Subtitle Char"/>
    <w:basedOn w:val="DefaultParagraphFont"/>
    <w:link w:val="Subtitle"/>
    <w:uiPriority w:val="11"/>
    <w:rsid w:val="003B1C80"/>
    <w:rPr>
      <w:rFonts w:ascii="Arial" w:eastAsiaTheme="minorHAnsi" w:hAnsi="Arial" w:cs="Arial"/>
      <w:b/>
      <w:color w:val="6A737B"/>
      <w:sz w:val="36"/>
      <w:szCs w:val="28"/>
      <w:lang w:val="en-GB" w:eastAsia="en-US"/>
    </w:rPr>
  </w:style>
  <w:style w:type="paragraph" w:styleId="TOCHeading">
    <w:name w:val="TOC Heading"/>
    <w:basedOn w:val="Heading1"/>
    <w:next w:val="Normal"/>
    <w:uiPriority w:val="39"/>
    <w:unhideWhenUsed/>
    <w:qFormat/>
    <w:rsid w:val="003B1C80"/>
    <w:pPr>
      <w:spacing w:beforeAutospacing="1" w:afterAutospacing="1" w:line="288" w:lineRule="auto"/>
      <w:outlineLvl w:val="9"/>
    </w:pPr>
    <w:rPr>
      <w:rFonts w:ascii="Arial" w:hAnsi="Arial" w:cs="Arial"/>
      <w:b w:val="0"/>
      <w:color w:val="003768"/>
      <w:lang w:val="en-US" w:eastAsia="ja-JP"/>
    </w:rPr>
  </w:style>
  <w:style w:type="paragraph" w:styleId="TOC1">
    <w:name w:val="toc 1"/>
    <w:basedOn w:val="Normal"/>
    <w:next w:val="Normal"/>
    <w:autoRedefine/>
    <w:uiPriority w:val="39"/>
    <w:unhideWhenUsed/>
    <w:rsid w:val="003B1C80"/>
    <w:pPr>
      <w:spacing w:before="100" w:beforeAutospacing="1" w:after="100" w:afterAutospacing="1" w:line="280" w:lineRule="exact"/>
    </w:pPr>
    <w:rPr>
      <w:rFonts w:ascii="Arial" w:eastAsiaTheme="minorHAnsi" w:hAnsi="Arial" w:cs="Arial"/>
      <w:sz w:val="20"/>
      <w:lang w:val="en-GB" w:eastAsia="en-US"/>
    </w:rPr>
  </w:style>
  <w:style w:type="paragraph" w:styleId="TOC2">
    <w:name w:val="toc 2"/>
    <w:basedOn w:val="Normal"/>
    <w:next w:val="Normal"/>
    <w:autoRedefine/>
    <w:uiPriority w:val="39"/>
    <w:unhideWhenUsed/>
    <w:rsid w:val="003B1C80"/>
    <w:pPr>
      <w:spacing w:before="100" w:beforeAutospacing="1" w:after="100" w:afterAutospacing="1" w:line="280" w:lineRule="exact"/>
      <w:ind w:left="200"/>
    </w:pPr>
    <w:rPr>
      <w:rFonts w:ascii="Arial" w:eastAsiaTheme="minorHAnsi" w:hAnsi="Arial" w:cs="Arial"/>
      <w:sz w:val="20"/>
      <w:lang w:val="en-GB" w:eastAsia="en-US"/>
    </w:rPr>
  </w:style>
  <w:style w:type="character" w:styleId="Hyperlink">
    <w:name w:val="Hyperlink"/>
    <w:basedOn w:val="DefaultParagraphFont"/>
    <w:uiPriority w:val="99"/>
    <w:unhideWhenUsed/>
    <w:rsid w:val="003B1C80"/>
    <w:rPr>
      <w:color w:val="0000FF" w:themeColor="hyperlink"/>
      <w:u w:val="single"/>
    </w:rPr>
  </w:style>
  <w:style w:type="paragraph" w:styleId="Caption">
    <w:name w:val="caption"/>
    <w:basedOn w:val="Normal"/>
    <w:next w:val="Normal"/>
    <w:uiPriority w:val="35"/>
    <w:unhideWhenUsed/>
    <w:qFormat/>
    <w:rsid w:val="003B1C80"/>
    <w:pPr>
      <w:keepNext/>
      <w:spacing w:before="100" w:beforeAutospacing="1" w:after="100" w:afterAutospacing="1" w:line="280" w:lineRule="exact"/>
    </w:pPr>
    <w:rPr>
      <w:rFonts w:ascii="Arial" w:eastAsiaTheme="minorHAnsi" w:hAnsi="Arial" w:cstheme="majorBidi"/>
      <w:b/>
      <w:color w:val="003768"/>
      <w:sz w:val="20"/>
      <w:lang w:val="en-GB" w:eastAsia="en-US"/>
    </w:rPr>
  </w:style>
  <w:style w:type="character" w:customStyle="1" w:styleId="CharPartText">
    <w:name w:val="CharPartText"/>
    <w:basedOn w:val="DefaultParagraphFont"/>
    <w:uiPriority w:val="1"/>
    <w:qFormat/>
    <w:rsid w:val="001B6584"/>
  </w:style>
  <w:style w:type="paragraph" w:customStyle="1" w:styleId="DIHeading1">
    <w:name w:val="DI Heading 1"/>
    <w:basedOn w:val="Normal"/>
    <w:rsid w:val="00047475"/>
    <w:pPr>
      <w:spacing w:before="0" w:after="240"/>
    </w:pPr>
    <w:rPr>
      <w:b/>
      <w:caps/>
      <w:szCs w:val="24"/>
    </w:rPr>
  </w:style>
  <w:style w:type="paragraph" w:customStyle="1" w:styleId="paragraph">
    <w:name w:val="paragraph"/>
    <w:aliases w:val="a"/>
    <w:basedOn w:val="Normal"/>
    <w:link w:val="paragraphChar"/>
    <w:rsid w:val="006C1B9B"/>
    <w:pPr>
      <w:tabs>
        <w:tab w:val="right" w:pos="1531"/>
      </w:tabs>
      <w:spacing w:before="40"/>
      <w:ind w:left="1644" w:hanging="1644"/>
    </w:pPr>
    <w:rPr>
      <w:sz w:val="22"/>
    </w:rPr>
  </w:style>
  <w:style w:type="character" w:customStyle="1" w:styleId="paragraphChar">
    <w:name w:val="paragraph Char"/>
    <w:aliases w:val="a Char"/>
    <w:link w:val="paragraph"/>
    <w:rsid w:val="00F87506"/>
    <w:rPr>
      <w:sz w:val="22"/>
    </w:rPr>
  </w:style>
  <w:style w:type="paragraph" w:customStyle="1" w:styleId="contentelement-indentone">
    <w:name w:val="contentelement-indentone"/>
    <w:basedOn w:val="Normal"/>
    <w:rsid w:val="00DD5D79"/>
    <w:pPr>
      <w:spacing w:before="0" w:after="120" w:line="360" w:lineRule="auto"/>
      <w:ind w:left="468"/>
    </w:pPr>
    <w:rPr>
      <w:szCs w:val="24"/>
    </w:rPr>
  </w:style>
  <w:style w:type="paragraph" w:customStyle="1" w:styleId="contentelement-indenttwo">
    <w:name w:val="contentelement-indenttwo"/>
    <w:basedOn w:val="Normal"/>
    <w:rsid w:val="00DD5D79"/>
    <w:pPr>
      <w:spacing w:before="0" w:after="120" w:line="360" w:lineRule="auto"/>
      <w:ind w:left="936"/>
    </w:pPr>
    <w:rPr>
      <w:szCs w:val="24"/>
    </w:rPr>
  </w:style>
  <w:style w:type="paragraph" w:styleId="FootnoteText">
    <w:name w:val="footnote text"/>
    <w:basedOn w:val="Normal"/>
    <w:link w:val="FootnoteTextChar"/>
    <w:uiPriority w:val="99"/>
    <w:unhideWhenUsed/>
    <w:rsid w:val="00F90E9A"/>
    <w:pPr>
      <w:spacing w:before="0"/>
    </w:pPr>
    <w:rPr>
      <w:rFonts w:asciiTheme="minorHAnsi" w:eastAsiaTheme="minorHAnsi" w:hAnsiTheme="minorHAnsi" w:cstheme="minorBidi"/>
      <w:sz w:val="20"/>
      <w:lang w:eastAsia="en-US"/>
    </w:rPr>
  </w:style>
  <w:style w:type="character" w:customStyle="1" w:styleId="FootnoteTextChar">
    <w:name w:val="Footnote Text Char"/>
    <w:basedOn w:val="DefaultParagraphFont"/>
    <w:link w:val="FootnoteText"/>
    <w:uiPriority w:val="99"/>
    <w:rsid w:val="00F90E9A"/>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F90E9A"/>
    <w:rPr>
      <w:vertAlign w:val="superscript"/>
    </w:rPr>
  </w:style>
  <w:style w:type="paragraph" w:customStyle="1" w:styleId="BodyText1">
    <w:name w:val="Body Text1"/>
    <w:basedOn w:val="Normal"/>
    <w:qFormat/>
    <w:rsid w:val="00BB5408"/>
    <w:rPr>
      <w:rFonts w:ascii="Arial" w:hAnsi="Arial" w:cs="Arial"/>
      <w:szCs w:val="24"/>
    </w:rPr>
  </w:style>
  <w:style w:type="paragraph" w:customStyle="1" w:styleId="Default">
    <w:name w:val="Default"/>
    <w:rsid w:val="005137E9"/>
    <w:pPr>
      <w:autoSpaceDE w:val="0"/>
      <w:autoSpaceDN w:val="0"/>
      <w:adjustRightInd w:val="0"/>
    </w:pPr>
    <w:rPr>
      <w:color w:val="000000"/>
      <w:sz w:val="24"/>
      <w:szCs w:val="24"/>
    </w:rPr>
  </w:style>
  <w:style w:type="paragraph" w:styleId="NoSpacing">
    <w:name w:val="No Spacing"/>
    <w:uiPriority w:val="1"/>
    <w:qFormat/>
    <w:rsid w:val="005137E9"/>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6F66BB"/>
    <w:pPr>
      <w:spacing w:before="0" w:after="408" w:line="360" w:lineRule="auto"/>
    </w:pPr>
    <w:rPr>
      <w:szCs w:val="24"/>
    </w:rPr>
  </w:style>
  <w:style w:type="paragraph" w:customStyle="1" w:styleId="ActHead2">
    <w:name w:val="ActHead 2"/>
    <w:aliases w:val="p"/>
    <w:basedOn w:val="Normal"/>
    <w:next w:val="Normal"/>
    <w:qFormat/>
    <w:rsid w:val="00755611"/>
    <w:pPr>
      <w:keepNext/>
      <w:keepLines/>
      <w:spacing w:before="280"/>
      <w:ind w:left="1134" w:hanging="1134"/>
      <w:outlineLvl w:val="1"/>
    </w:pPr>
    <w:rPr>
      <w:b/>
      <w:kern w:val="28"/>
      <w:sz w:val="32"/>
    </w:rPr>
  </w:style>
  <w:style w:type="character" w:customStyle="1" w:styleId="CharPartNo">
    <w:name w:val="CharPartNo"/>
    <w:basedOn w:val="DefaultParagraphFont"/>
    <w:uiPriority w:val="1"/>
    <w:qFormat/>
    <w:rsid w:val="00755611"/>
  </w:style>
  <w:style w:type="paragraph" w:customStyle="1" w:styleId="default0">
    <w:name w:val="default"/>
    <w:basedOn w:val="Normal"/>
    <w:rsid w:val="009A063E"/>
    <w:pPr>
      <w:spacing w:before="100" w:beforeAutospacing="1" w:after="100" w:afterAutospacing="1"/>
    </w:pPr>
    <w:rPr>
      <w:szCs w:val="24"/>
    </w:rPr>
  </w:style>
  <w:style w:type="paragraph" w:customStyle="1" w:styleId="EMBullet">
    <w:name w:val="EM Bullet"/>
    <w:basedOn w:val="Normal"/>
    <w:uiPriority w:val="99"/>
    <w:rsid w:val="00F86AF6"/>
    <w:pPr>
      <w:numPr>
        <w:numId w:val="2"/>
      </w:numPr>
      <w:spacing w:before="0" w:after="240"/>
    </w:pPr>
    <w:rPr>
      <w:rFonts w:eastAsiaTheme="minorEastAsia"/>
      <w:szCs w:val="24"/>
    </w:rPr>
  </w:style>
  <w:style w:type="paragraph" w:customStyle="1" w:styleId="TableTextform">
    <w:name w:val="TableText form"/>
    <w:basedOn w:val="Normal"/>
    <w:qFormat/>
    <w:rsid w:val="00CD672C"/>
    <w:pPr>
      <w:spacing w:before="40" w:after="240"/>
    </w:pPr>
    <w:rPr>
      <w:rFonts w:ascii="Arial" w:eastAsiaTheme="majorEastAsia" w:hAnsi="Arial" w:cs="Arial"/>
      <w:bCs/>
      <w:sz w:val="20"/>
      <w:lang w:eastAsia="en-US"/>
    </w:rPr>
  </w:style>
  <w:style w:type="character" w:customStyle="1" w:styleId="italic">
    <w:name w:val="italic"/>
    <w:uiPriority w:val="99"/>
    <w:rsid w:val="00CD672C"/>
    <w:rPr>
      <w:i/>
      <w:iCs/>
    </w:rPr>
  </w:style>
  <w:style w:type="paragraph" w:styleId="BodyText">
    <w:name w:val="Body Text"/>
    <w:basedOn w:val="Normal"/>
    <w:link w:val="BodyTextChar"/>
    <w:uiPriority w:val="1"/>
    <w:qFormat/>
    <w:rsid w:val="00CD672C"/>
    <w:pPr>
      <w:widowControl w:val="0"/>
      <w:spacing w:before="0"/>
      <w:ind w:left="1540" w:hanging="360"/>
    </w:pPr>
    <w:rPr>
      <w:rFonts w:ascii="Cambria" w:eastAsia="Cambria" w:hAnsi="Cambria" w:cstheme="minorBidi"/>
      <w:sz w:val="22"/>
      <w:szCs w:val="22"/>
      <w:lang w:val="en-US" w:eastAsia="en-US"/>
    </w:rPr>
  </w:style>
  <w:style w:type="character" w:customStyle="1" w:styleId="BodyTextChar">
    <w:name w:val="Body Text Char"/>
    <w:basedOn w:val="DefaultParagraphFont"/>
    <w:link w:val="BodyText"/>
    <w:uiPriority w:val="1"/>
    <w:rsid w:val="00CD672C"/>
    <w:rPr>
      <w:rFonts w:ascii="Cambria" w:eastAsia="Cambria" w:hAnsi="Cambria" w:cstheme="minorBidi"/>
      <w:sz w:val="22"/>
      <w:szCs w:val="22"/>
      <w:lang w:val="en-US" w:eastAsia="en-US"/>
    </w:rPr>
  </w:style>
  <w:style w:type="paragraph" w:customStyle="1" w:styleId="TableParagraph">
    <w:name w:val="Table Paragraph"/>
    <w:basedOn w:val="Normal"/>
    <w:uiPriority w:val="1"/>
    <w:qFormat/>
    <w:rsid w:val="00CD672C"/>
    <w:pPr>
      <w:widowControl w:val="0"/>
      <w:spacing w:before="0"/>
    </w:pPr>
    <w:rPr>
      <w:rFonts w:asciiTheme="minorHAnsi" w:eastAsiaTheme="minorHAnsi" w:hAnsiTheme="minorHAnsi" w:cstheme="minorBidi"/>
      <w:sz w:val="22"/>
      <w:szCs w:val="22"/>
      <w:lang w:val="en-US" w:eastAsia="en-US"/>
    </w:rPr>
  </w:style>
  <w:style w:type="character" w:customStyle="1" w:styleId="EndnoteTextChar">
    <w:name w:val="Endnote Text Char"/>
    <w:basedOn w:val="DefaultParagraphFont"/>
    <w:link w:val="EndnoteText"/>
    <w:uiPriority w:val="99"/>
    <w:semiHidden/>
    <w:rsid w:val="00CD672C"/>
    <w:rPr>
      <w:rFonts w:asciiTheme="minorHAnsi" w:eastAsiaTheme="minorHAnsi" w:hAnsiTheme="minorHAnsi" w:cstheme="minorBidi"/>
      <w:lang w:eastAsia="en-US"/>
    </w:rPr>
  </w:style>
  <w:style w:type="paragraph" w:styleId="EndnoteText">
    <w:name w:val="endnote text"/>
    <w:basedOn w:val="Normal"/>
    <w:link w:val="EndnoteTextChar"/>
    <w:uiPriority w:val="99"/>
    <w:semiHidden/>
    <w:unhideWhenUsed/>
    <w:rsid w:val="00CD672C"/>
    <w:pPr>
      <w:spacing w:before="0"/>
    </w:pPr>
    <w:rPr>
      <w:rFonts w:asciiTheme="minorHAnsi" w:eastAsiaTheme="minorHAnsi" w:hAnsiTheme="minorHAnsi" w:cstheme="minorBidi"/>
      <w:sz w:val="20"/>
      <w:lang w:eastAsia="en-US"/>
    </w:rPr>
  </w:style>
  <w:style w:type="paragraph" w:customStyle="1" w:styleId="CABHeading1">
    <w:name w:val="CAB Heading 1"/>
    <w:basedOn w:val="Normal"/>
    <w:qFormat/>
    <w:rsid w:val="00CD672C"/>
    <w:pPr>
      <w:spacing w:before="120" w:after="120"/>
    </w:pPr>
    <w:rPr>
      <w:rFonts w:eastAsia="Verdana"/>
      <w:b/>
      <w:szCs w:val="24"/>
      <w:lang w:eastAsia="en-US"/>
    </w:rPr>
  </w:style>
  <w:style w:type="character" w:styleId="PageNumber">
    <w:name w:val="page number"/>
    <w:basedOn w:val="DefaultParagraphFont"/>
    <w:rsid w:val="00CD672C"/>
  </w:style>
  <w:style w:type="character" w:customStyle="1" w:styleId="st1">
    <w:name w:val="st1"/>
    <w:basedOn w:val="DefaultParagraphFont"/>
    <w:rsid w:val="00FC5689"/>
  </w:style>
  <w:style w:type="paragraph" w:customStyle="1" w:styleId="acthead5">
    <w:name w:val="acthead5"/>
    <w:basedOn w:val="Normal"/>
    <w:rsid w:val="00FC5689"/>
    <w:pPr>
      <w:spacing w:before="100" w:beforeAutospacing="1" w:after="100" w:afterAutospacing="1"/>
    </w:pPr>
    <w:rPr>
      <w:szCs w:val="24"/>
    </w:rPr>
  </w:style>
  <w:style w:type="paragraph" w:customStyle="1" w:styleId="notetext">
    <w:name w:val="note(text)"/>
    <w:aliases w:val="n"/>
    <w:basedOn w:val="Normal"/>
    <w:link w:val="notetextChar"/>
    <w:rsid w:val="00DA49A5"/>
    <w:pPr>
      <w:spacing w:before="122"/>
      <w:ind w:left="1985" w:hanging="851"/>
    </w:pPr>
    <w:rPr>
      <w:sz w:val="18"/>
    </w:rPr>
  </w:style>
  <w:style w:type="character" w:customStyle="1" w:styleId="notetextChar">
    <w:name w:val="note(text) Char"/>
    <w:aliases w:val="n Char"/>
    <w:link w:val="notetext"/>
    <w:rsid w:val="00DA49A5"/>
    <w:rPr>
      <w:sz w:val="18"/>
    </w:rPr>
  </w:style>
  <w:style w:type="paragraph" w:customStyle="1" w:styleId="subsection">
    <w:name w:val="subsection"/>
    <w:aliases w:val="ss"/>
    <w:basedOn w:val="Normal"/>
    <w:link w:val="subsectionChar"/>
    <w:rsid w:val="00DA49A5"/>
    <w:pPr>
      <w:tabs>
        <w:tab w:val="right" w:pos="1021"/>
      </w:tabs>
      <w:spacing w:before="180"/>
      <w:ind w:left="1134" w:hanging="1134"/>
    </w:pPr>
    <w:rPr>
      <w:sz w:val="22"/>
    </w:rPr>
  </w:style>
  <w:style w:type="character" w:customStyle="1" w:styleId="subsectionChar">
    <w:name w:val="subsection Char"/>
    <w:aliases w:val="ss Char"/>
    <w:link w:val="subsection"/>
    <w:locked/>
    <w:rsid w:val="00DA49A5"/>
    <w:rPr>
      <w:sz w:val="22"/>
    </w:rPr>
  </w:style>
  <w:style w:type="paragraph" w:customStyle="1" w:styleId="ReportBulletPoint">
    <w:name w:val="Report Bullet Point"/>
    <w:basedOn w:val="Normal"/>
    <w:next w:val="Normal"/>
    <w:link w:val="ReportBulletPointChar"/>
    <w:qFormat/>
    <w:rsid w:val="00D65522"/>
    <w:pPr>
      <w:numPr>
        <w:numId w:val="5"/>
      </w:numPr>
      <w:spacing w:before="80" w:after="80"/>
    </w:pPr>
    <w:rPr>
      <w:rFonts w:ascii="Calibri" w:hAnsi="Calibri"/>
      <w:sz w:val="20"/>
      <w:lang w:eastAsia="en-US"/>
    </w:rPr>
  </w:style>
  <w:style w:type="character" w:customStyle="1" w:styleId="ReportBulletPointChar">
    <w:name w:val="Report Bullet Point Char"/>
    <w:basedOn w:val="DefaultParagraphFont"/>
    <w:link w:val="ReportBulletPoint"/>
    <w:rsid w:val="00D65522"/>
    <w:rPr>
      <w:rFonts w:ascii="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20189">
      <w:bodyDiv w:val="1"/>
      <w:marLeft w:val="0"/>
      <w:marRight w:val="0"/>
      <w:marTop w:val="0"/>
      <w:marBottom w:val="0"/>
      <w:divBdr>
        <w:top w:val="none" w:sz="0" w:space="0" w:color="auto"/>
        <w:left w:val="none" w:sz="0" w:space="0" w:color="auto"/>
        <w:bottom w:val="none" w:sz="0" w:space="0" w:color="auto"/>
        <w:right w:val="none" w:sz="0" w:space="0" w:color="auto"/>
      </w:divBdr>
    </w:div>
    <w:div w:id="218632352">
      <w:bodyDiv w:val="1"/>
      <w:marLeft w:val="0"/>
      <w:marRight w:val="0"/>
      <w:marTop w:val="0"/>
      <w:marBottom w:val="0"/>
      <w:divBdr>
        <w:top w:val="none" w:sz="0" w:space="0" w:color="auto"/>
        <w:left w:val="none" w:sz="0" w:space="0" w:color="auto"/>
        <w:bottom w:val="none" w:sz="0" w:space="0" w:color="auto"/>
        <w:right w:val="none" w:sz="0" w:space="0" w:color="auto"/>
      </w:divBdr>
    </w:div>
    <w:div w:id="263616340">
      <w:bodyDiv w:val="1"/>
      <w:marLeft w:val="0"/>
      <w:marRight w:val="0"/>
      <w:marTop w:val="0"/>
      <w:marBottom w:val="0"/>
      <w:divBdr>
        <w:top w:val="none" w:sz="0" w:space="0" w:color="auto"/>
        <w:left w:val="none" w:sz="0" w:space="0" w:color="auto"/>
        <w:bottom w:val="none" w:sz="0" w:space="0" w:color="auto"/>
        <w:right w:val="none" w:sz="0" w:space="0" w:color="auto"/>
      </w:divBdr>
    </w:div>
    <w:div w:id="390621730">
      <w:bodyDiv w:val="1"/>
      <w:marLeft w:val="0"/>
      <w:marRight w:val="0"/>
      <w:marTop w:val="0"/>
      <w:marBottom w:val="0"/>
      <w:divBdr>
        <w:top w:val="none" w:sz="0" w:space="0" w:color="auto"/>
        <w:left w:val="none" w:sz="0" w:space="0" w:color="auto"/>
        <w:bottom w:val="none" w:sz="0" w:space="0" w:color="auto"/>
        <w:right w:val="none" w:sz="0" w:space="0" w:color="auto"/>
      </w:divBdr>
    </w:div>
    <w:div w:id="463163060">
      <w:bodyDiv w:val="1"/>
      <w:marLeft w:val="0"/>
      <w:marRight w:val="0"/>
      <w:marTop w:val="0"/>
      <w:marBottom w:val="0"/>
      <w:divBdr>
        <w:top w:val="none" w:sz="0" w:space="0" w:color="auto"/>
        <w:left w:val="none" w:sz="0" w:space="0" w:color="auto"/>
        <w:bottom w:val="none" w:sz="0" w:space="0" w:color="auto"/>
        <w:right w:val="none" w:sz="0" w:space="0" w:color="auto"/>
      </w:divBdr>
    </w:div>
    <w:div w:id="552623520">
      <w:bodyDiv w:val="1"/>
      <w:marLeft w:val="0"/>
      <w:marRight w:val="0"/>
      <w:marTop w:val="0"/>
      <w:marBottom w:val="0"/>
      <w:divBdr>
        <w:top w:val="none" w:sz="0" w:space="0" w:color="auto"/>
        <w:left w:val="none" w:sz="0" w:space="0" w:color="auto"/>
        <w:bottom w:val="none" w:sz="0" w:space="0" w:color="auto"/>
        <w:right w:val="none" w:sz="0" w:space="0" w:color="auto"/>
      </w:divBdr>
    </w:div>
    <w:div w:id="553546542">
      <w:bodyDiv w:val="1"/>
      <w:marLeft w:val="0"/>
      <w:marRight w:val="0"/>
      <w:marTop w:val="0"/>
      <w:marBottom w:val="0"/>
      <w:divBdr>
        <w:top w:val="none" w:sz="0" w:space="0" w:color="auto"/>
        <w:left w:val="none" w:sz="0" w:space="0" w:color="auto"/>
        <w:bottom w:val="none" w:sz="0" w:space="0" w:color="auto"/>
        <w:right w:val="none" w:sz="0" w:space="0" w:color="auto"/>
      </w:divBdr>
    </w:div>
    <w:div w:id="559634245">
      <w:bodyDiv w:val="1"/>
      <w:marLeft w:val="0"/>
      <w:marRight w:val="0"/>
      <w:marTop w:val="0"/>
      <w:marBottom w:val="0"/>
      <w:divBdr>
        <w:top w:val="none" w:sz="0" w:space="0" w:color="auto"/>
        <w:left w:val="none" w:sz="0" w:space="0" w:color="auto"/>
        <w:bottom w:val="none" w:sz="0" w:space="0" w:color="auto"/>
        <w:right w:val="none" w:sz="0" w:space="0" w:color="auto"/>
      </w:divBdr>
    </w:div>
    <w:div w:id="679697851">
      <w:bodyDiv w:val="1"/>
      <w:marLeft w:val="0"/>
      <w:marRight w:val="0"/>
      <w:marTop w:val="0"/>
      <w:marBottom w:val="0"/>
      <w:divBdr>
        <w:top w:val="none" w:sz="0" w:space="0" w:color="auto"/>
        <w:left w:val="none" w:sz="0" w:space="0" w:color="auto"/>
        <w:bottom w:val="none" w:sz="0" w:space="0" w:color="auto"/>
        <w:right w:val="none" w:sz="0" w:space="0" w:color="auto"/>
      </w:divBdr>
    </w:div>
    <w:div w:id="680814595">
      <w:bodyDiv w:val="1"/>
      <w:marLeft w:val="0"/>
      <w:marRight w:val="0"/>
      <w:marTop w:val="0"/>
      <w:marBottom w:val="0"/>
      <w:divBdr>
        <w:top w:val="none" w:sz="0" w:space="0" w:color="auto"/>
        <w:left w:val="none" w:sz="0" w:space="0" w:color="auto"/>
        <w:bottom w:val="none" w:sz="0" w:space="0" w:color="auto"/>
        <w:right w:val="none" w:sz="0" w:space="0" w:color="auto"/>
      </w:divBdr>
    </w:div>
    <w:div w:id="702680172">
      <w:bodyDiv w:val="1"/>
      <w:marLeft w:val="0"/>
      <w:marRight w:val="0"/>
      <w:marTop w:val="0"/>
      <w:marBottom w:val="0"/>
      <w:divBdr>
        <w:top w:val="none" w:sz="0" w:space="0" w:color="auto"/>
        <w:left w:val="none" w:sz="0" w:space="0" w:color="auto"/>
        <w:bottom w:val="none" w:sz="0" w:space="0" w:color="auto"/>
        <w:right w:val="none" w:sz="0" w:space="0" w:color="auto"/>
      </w:divBdr>
    </w:div>
    <w:div w:id="723875416">
      <w:bodyDiv w:val="1"/>
      <w:marLeft w:val="0"/>
      <w:marRight w:val="0"/>
      <w:marTop w:val="0"/>
      <w:marBottom w:val="0"/>
      <w:divBdr>
        <w:top w:val="none" w:sz="0" w:space="0" w:color="auto"/>
        <w:left w:val="none" w:sz="0" w:space="0" w:color="auto"/>
        <w:bottom w:val="none" w:sz="0" w:space="0" w:color="auto"/>
        <w:right w:val="none" w:sz="0" w:space="0" w:color="auto"/>
      </w:divBdr>
      <w:divsChild>
        <w:div w:id="923880715">
          <w:marLeft w:val="0"/>
          <w:marRight w:val="0"/>
          <w:marTop w:val="0"/>
          <w:marBottom w:val="0"/>
          <w:divBdr>
            <w:top w:val="none" w:sz="0" w:space="0" w:color="auto"/>
            <w:left w:val="none" w:sz="0" w:space="0" w:color="auto"/>
            <w:bottom w:val="none" w:sz="0" w:space="0" w:color="auto"/>
            <w:right w:val="none" w:sz="0" w:space="0" w:color="auto"/>
          </w:divBdr>
          <w:divsChild>
            <w:div w:id="1400250228">
              <w:marLeft w:val="0"/>
              <w:marRight w:val="0"/>
              <w:marTop w:val="0"/>
              <w:marBottom w:val="0"/>
              <w:divBdr>
                <w:top w:val="none" w:sz="0" w:space="0" w:color="auto"/>
                <w:left w:val="none" w:sz="0" w:space="0" w:color="auto"/>
                <w:bottom w:val="none" w:sz="0" w:space="0" w:color="auto"/>
                <w:right w:val="none" w:sz="0" w:space="0" w:color="auto"/>
              </w:divBdr>
              <w:divsChild>
                <w:div w:id="1390878184">
                  <w:marLeft w:val="0"/>
                  <w:marRight w:val="0"/>
                  <w:marTop w:val="0"/>
                  <w:marBottom w:val="0"/>
                  <w:divBdr>
                    <w:top w:val="none" w:sz="0" w:space="0" w:color="auto"/>
                    <w:left w:val="none" w:sz="0" w:space="0" w:color="auto"/>
                    <w:bottom w:val="none" w:sz="0" w:space="0" w:color="auto"/>
                    <w:right w:val="none" w:sz="0" w:space="0" w:color="auto"/>
                  </w:divBdr>
                  <w:divsChild>
                    <w:div w:id="1112478787">
                      <w:marLeft w:val="0"/>
                      <w:marRight w:val="0"/>
                      <w:marTop w:val="0"/>
                      <w:marBottom w:val="0"/>
                      <w:divBdr>
                        <w:top w:val="none" w:sz="0" w:space="0" w:color="auto"/>
                        <w:left w:val="none" w:sz="0" w:space="0" w:color="auto"/>
                        <w:bottom w:val="none" w:sz="0" w:space="0" w:color="auto"/>
                        <w:right w:val="none" w:sz="0" w:space="0" w:color="auto"/>
                      </w:divBdr>
                      <w:divsChild>
                        <w:div w:id="476260930">
                          <w:marLeft w:val="0"/>
                          <w:marRight w:val="0"/>
                          <w:marTop w:val="0"/>
                          <w:marBottom w:val="0"/>
                          <w:divBdr>
                            <w:top w:val="single" w:sz="6" w:space="0" w:color="828282"/>
                            <w:left w:val="single" w:sz="6" w:space="0" w:color="828282"/>
                            <w:bottom w:val="single" w:sz="6" w:space="0" w:color="828282"/>
                            <w:right w:val="single" w:sz="6" w:space="0" w:color="828282"/>
                          </w:divBdr>
                          <w:divsChild>
                            <w:div w:id="1330718153">
                              <w:marLeft w:val="0"/>
                              <w:marRight w:val="0"/>
                              <w:marTop w:val="0"/>
                              <w:marBottom w:val="0"/>
                              <w:divBdr>
                                <w:top w:val="none" w:sz="0" w:space="0" w:color="auto"/>
                                <w:left w:val="none" w:sz="0" w:space="0" w:color="auto"/>
                                <w:bottom w:val="none" w:sz="0" w:space="0" w:color="auto"/>
                                <w:right w:val="none" w:sz="0" w:space="0" w:color="auto"/>
                              </w:divBdr>
                              <w:divsChild>
                                <w:div w:id="1828740001">
                                  <w:marLeft w:val="0"/>
                                  <w:marRight w:val="0"/>
                                  <w:marTop w:val="0"/>
                                  <w:marBottom w:val="0"/>
                                  <w:divBdr>
                                    <w:top w:val="none" w:sz="0" w:space="0" w:color="auto"/>
                                    <w:left w:val="none" w:sz="0" w:space="0" w:color="auto"/>
                                    <w:bottom w:val="none" w:sz="0" w:space="0" w:color="auto"/>
                                    <w:right w:val="none" w:sz="0" w:space="0" w:color="auto"/>
                                  </w:divBdr>
                                  <w:divsChild>
                                    <w:div w:id="1395078626">
                                      <w:marLeft w:val="0"/>
                                      <w:marRight w:val="0"/>
                                      <w:marTop w:val="0"/>
                                      <w:marBottom w:val="0"/>
                                      <w:divBdr>
                                        <w:top w:val="none" w:sz="0" w:space="0" w:color="auto"/>
                                        <w:left w:val="none" w:sz="0" w:space="0" w:color="auto"/>
                                        <w:bottom w:val="none" w:sz="0" w:space="0" w:color="auto"/>
                                        <w:right w:val="none" w:sz="0" w:space="0" w:color="auto"/>
                                      </w:divBdr>
                                      <w:divsChild>
                                        <w:div w:id="2029989883">
                                          <w:marLeft w:val="0"/>
                                          <w:marRight w:val="0"/>
                                          <w:marTop w:val="0"/>
                                          <w:marBottom w:val="0"/>
                                          <w:divBdr>
                                            <w:top w:val="none" w:sz="0" w:space="0" w:color="auto"/>
                                            <w:left w:val="none" w:sz="0" w:space="0" w:color="auto"/>
                                            <w:bottom w:val="none" w:sz="0" w:space="0" w:color="auto"/>
                                            <w:right w:val="none" w:sz="0" w:space="0" w:color="auto"/>
                                          </w:divBdr>
                                          <w:divsChild>
                                            <w:div w:id="1288928611">
                                              <w:marLeft w:val="0"/>
                                              <w:marRight w:val="0"/>
                                              <w:marTop w:val="0"/>
                                              <w:marBottom w:val="0"/>
                                              <w:divBdr>
                                                <w:top w:val="none" w:sz="0" w:space="0" w:color="auto"/>
                                                <w:left w:val="none" w:sz="0" w:space="0" w:color="auto"/>
                                                <w:bottom w:val="none" w:sz="0" w:space="0" w:color="auto"/>
                                                <w:right w:val="none" w:sz="0" w:space="0" w:color="auto"/>
                                              </w:divBdr>
                                              <w:divsChild>
                                                <w:div w:id="3382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1802085">
      <w:bodyDiv w:val="1"/>
      <w:marLeft w:val="0"/>
      <w:marRight w:val="0"/>
      <w:marTop w:val="0"/>
      <w:marBottom w:val="0"/>
      <w:divBdr>
        <w:top w:val="none" w:sz="0" w:space="0" w:color="auto"/>
        <w:left w:val="none" w:sz="0" w:space="0" w:color="auto"/>
        <w:bottom w:val="none" w:sz="0" w:space="0" w:color="auto"/>
        <w:right w:val="none" w:sz="0" w:space="0" w:color="auto"/>
      </w:divBdr>
    </w:div>
    <w:div w:id="856967168">
      <w:bodyDiv w:val="1"/>
      <w:marLeft w:val="0"/>
      <w:marRight w:val="0"/>
      <w:marTop w:val="0"/>
      <w:marBottom w:val="0"/>
      <w:divBdr>
        <w:top w:val="none" w:sz="0" w:space="0" w:color="auto"/>
        <w:left w:val="none" w:sz="0" w:space="0" w:color="auto"/>
        <w:bottom w:val="none" w:sz="0" w:space="0" w:color="auto"/>
        <w:right w:val="none" w:sz="0" w:space="0" w:color="auto"/>
      </w:divBdr>
    </w:div>
    <w:div w:id="913010023">
      <w:bodyDiv w:val="1"/>
      <w:marLeft w:val="0"/>
      <w:marRight w:val="0"/>
      <w:marTop w:val="0"/>
      <w:marBottom w:val="0"/>
      <w:divBdr>
        <w:top w:val="none" w:sz="0" w:space="0" w:color="auto"/>
        <w:left w:val="none" w:sz="0" w:space="0" w:color="auto"/>
        <w:bottom w:val="none" w:sz="0" w:space="0" w:color="auto"/>
        <w:right w:val="none" w:sz="0" w:space="0" w:color="auto"/>
      </w:divBdr>
    </w:div>
    <w:div w:id="1000622854">
      <w:bodyDiv w:val="1"/>
      <w:marLeft w:val="0"/>
      <w:marRight w:val="0"/>
      <w:marTop w:val="0"/>
      <w:marBottom w:val="0"/>
      <w:divBdr>
        <w:top w:val="none" w:sz="0" w:space="0" w:color="auto"/>
        <w:left w:val="none" w:sz="0" w:space="0" w:color="auto"/>
        <w:bottom w:val="none" w:sz="0" w:space="0" w:color="auto"/>
        <w:right w:val="none" w:sz="0" w:space="0" w:color="auto"/>
      </w:divBdr>
    </w:div>
    <w:div w:id="1283464667">
      <w:bodyDiv w:val="1"/>
      <w:marLeft w:val="0"/>
      <w:marRight w:val="0"/>
      <w:marTop w:val="0"/>
      <w:marBottom w:val="0"/>
      <w:divBdr>
        <w:top w:val="none" w:sz="0" w:space="0" w:color="auto"/>
        <w:left w:val="none" w:sz="0" w:space="0" w:color="auto"/>
        <w:bottom w:val="none" w:sz="0" w:space="0" w:color="auto"/>
        <w:right w:val="none" w:sz="0" w:space="0" w:color="auto"/>
      </w:divBdr>
    </w:div>
    <w:div w:id="1572345042">
      <w:bodyDiv w:val="1"/>
      <w:marLeft w:val="0"/>
      <w:marRight w:val="0"/>
      <w:marTop w:val="0"/>
      <w:marBottom w:val="0"/>
      <w:divBdr>
        <w:top w:val="none" w:sz="0" w:space="0" w:color="auto"/>
        <w:left w:val="none" w:sz="0" w:space="0" w:color="auto"/>
        <w:bottom w:val="none" w:sz="0" w:space="0" w:color="auto"/>
        <w:right w:val="none" w:sz="0" w:space="0" w:color="auto"/>
      </w:divBdr>
      <w:divsChild>
        <w:div w:id="2010478596">
          <w:marLeft w:val="0"/>
          <w:marRight w:val="0"/>
          <w:marTop w:val="0"/>
          <w:marBottom w:val="0"/>
          <w:divBdr>
            <w:top w:val="none" w:sz="0" w:space="0" w:color="auto"/>
            <w:left w:val="none" w:sz="0" w:space="0" w:color="auto"/>
            <w:bottom w:val="none" w:sz="0" w:space="0" w:color="auto"/>
            <w:right w:val="none" w:sz="0" w:space="0" w:color="auto"/>
          </w:divBdr>
          <w:divsChild>
            <w:div w:id="1259634637">
              <w:marLeft w:val="0"/>
              <w:marRight w:val="0"/>
              <w:marTop w:val="0"/>
              <w:marBottom w:val="0"/>
              <w:divBdr>
                <w:top w:val="none" w:sz="0" w:space="0" w:color="auto"/>
                <w:left w:val="none" w:sz="0" w:space="0" w:color="auto"/>
                <w:bottom w:val="none" w:sz="0" w:space="0" w:color="auto"/>
                <w:right w:val="none" w:sz="0" w:space="0" w:color="auto"/>
              </w:divBdr>
              <w:divsChild>
                <w:div w:id="981345414">
                  <w:marLeft w:val="0"/>
                  <w:marRight w:val="0"/>
                  <w:marTop w:val="0"/>
                  <w:marBottom w:val="0"/>
                  <w:divBdr>
                    <w:top w:val="none" w:sz="0" w:space="0" w:color="auto"/>
                    <w:left w:val="none" w:sz="0" w:space="0" w:color="auto"/>
                    <w:bottom w:val="none" w:sz="0" w:space="0" w:color="auto"/>
                    <w:right w:val="none" w:sz="0" w:space="0" w:color="auto"/>
                  </w:divBdr>
                  <w:divsChild>
                    <w:div w:id="1443375368">
                      <w:marLeft w:val="0"/>
                      <w:marRight w:val="0"/>
                      <w:marTop w:val="0"/>
                      <w:marBottom w:val="0"/>
                      <w:divBdr>
                        <w:top w:val="none" w:sz="0" w:space="0" w:color="auto"/>
                        <w:left w:val="none" w:sz="0" w:space="0" w:color="auto"/>
                        <w:bottom w:val="none" w:sz="0" w:space="0" w:color="auto"/>
                        <w:right w:val="none" w:sz="0" w:space="0" w:color="auto"/>
                      </w:divBdr>
                      <w:divsChild>
                        <w:div w:id="2056588241">
                          <w:marLeft w:val="0"/>
                          <w:marRight w:val="0"/>
                          <w:marTop w:val="0"/>
                          <w:marBottom w:val="0"/>
                          <w:divBdr>
                            <w:top w:val="none" w:sz="0" w:space="0" w:color="auto"/>
                            <w:left w:val="none" w:sz="0" w:space="0" w:color="auto"/>
                            <w:bottom w:val="none" w:sz="0" w:space="0" w:color="auto"/>
                            <w:right w:val="none" w:sz="0" w:space="0" w:color="auto"/>
                          </w:divBdr>
                          <w:divsChild>
                            <w:div w:id="1346051791">
                              <w:marLeft w:val="0"/>
                              <w:marRight w:val="0"/>
                              <w:marTop w:val="0"/>
                              <w:marBottom w:val="0"/>
                              <w:divBdr>
                                <w:top w:val="none" w:sz="0" w:space="0" w:color="auto"/>
                                <w:left w:val="none" w:sz="0" w:space="0" w:color="auto"/>
                                <w:bottom w:val="none" w:sz="0" w:space="0" w:color="auto"/>
                                <w:right w:val="none" w:sz="0" w:space="0" w:color="auto"/>
                              </w:divBdr>
                              <w:divsChild>
                                <w:div w:id="2095085375">
                                  <w:marLeft w:val="0"/>
                                  <w:marRight w:val="0"/>
                                  <w:marTop w:val="0"/>
                                  <w:marBottom w:val="0"/>
                                  <w:divBdr>
                                    <w:top w:val="none" w:sz="0" w:space="0" w:color="auto"/>
                                    <w:left w:val="none" w:sz="0" w:space="0" w:color="auto"/>
                                    <w:bottom w:val="none" w:sz="0" w:space="0" w:color="auto"/>
                                    <w:right w:val="none" w:sz="0" w:space="0" w:color="auto"/>
                                  </w:divBdr>
                                  <w:divsChild>
                                    <w:div w:id="1489445894">
                                      <w:marLeft w:val="0"/>
                                      <w:marRight w:val="0"/>
                                      <w:marTop w:val="0"/>
                                      <w:marBottom w:val="0"/>
                                      <w:divBdr>
                                        <w:top w:val="none" w:sz="0" w:space="0" w:color="auto"/>
                                        <w:left w:val="none" w:sz="0" w:space="0" w:color="auto"/>
                                        <w:bottom w:val="none" w:sz="0" w:space="0" w:color="auto"/>
                                        <w:right w:val="none" w:sz="0" w:space="0" w:color="auto"/>
                                      </w:divBdr>
                                      <w:divsChild>
                                        <w:div w:id="1757553452">
                                          <w:marLeft w:val="0"/>
                                          <w:marRight w:val="0"/>
                                          <w:marTop w:val="0"/>
                                          <w:marBottom w:val="0"/>
                                          <w:divBdr>
                                            <w:top w:val="none" w:sz="0" w:space="0" w:color="auto"/>
                                            <w:left w:val="none" w:sz="0" w:space="0" w:color="auto"/>
                                            <w:bottom w:val="none" w:sz="0" w:space="0" w:color="auto"/>
                                            <w:right w:val="none" w:sz="0" w:space="0" w:color="auto"/>
                                          </w:divBdr>
                                          <w:divsChild>
                                            <w:div w:id="1353991906">
                                              <w:marLeft w:val="0"/>
                                              <w:marRight w:val="135"/>
                                              <w:marTop w:val="180"/>
                                              <w:marBottom w:val="0"/>
                                              <w:divBdr>
                                                <w:top w:val="single" w:sz="6" w:space="0" w:color="9E9E9E"/>
                                                <w:left w:val="single" w:sz="6" w:space="0" w:color="9E9E9E"/>
                                                <w:bottom w:val="single" w:sz="6" w:space="0" w:color="9E9E9E"/>
                                                <w:right w:val="single" w:sz="6" w:space="0" w:color="9E9E9E"/>
                                              </w:divBdr>
                                              <w:divsChild>
                                                <w:div w:id="1086417963">
                                                  <w:marLeft w:val="0"/>
                                                  <w:marRight w:val="0"/>
                                                  <w:marTop w:val="0"/>
                                                  <w:marBottom w:val="0"/>
                                                  <w:divBdr>
                                                    <w:top w:val="single" w:sz="6" w:space="0" w:color="9E9E9E"/>
                                                    <w:left w:val="single" w:sz="6" w:space="0" w:color="9E9E9E"/>
                                                    <w:bottom w:val="single" w:sz="6" w:space="0" w:color="9E9E9E"/>
                                                    <w:right w:val="single" w:sz="6" w:space="0" w:color="9E9E9E"/>
                                                  </w:divBdr>
                                                  <w:divsChild>
                                                    <w:div w:id="114269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0598313">
      <w:bodyDiv w:val="1"/>
      <w:marLeft w:val="0"/>
      <w:marRight w:val="0"/>
      <w:marTop w:val="0"/>
      <w:marBottom w:val="0"/>
      <w:divBdr>
        <w:top w:val="none" w:sz="0" w:space="0" w:color="auto"/>
        <w:left w:val="none" w:sz="0" w:space="0" w:color="auto"/>
        <w:bottom w:val="none" w:sz="0" w:space="0" w:color="auto"/>
        <w:right w:val="none" w:sz="0" w:space="0" w:color="auto"/>
      </w:divBdr>
    </w:div>
    <w:div w:id="1616518034">
      <w:bodyDiv w:val="1"/>
      <w:marLeft w:val="0"/>
      <w:marRight w:val="0"/>
      <w:marTop w:val="0"/>
      <w:marBottom w:val="0"/>
      <w:divBdr>
        <w:top w:val="none" w:sz="0" w:space="0" w:color="auto"/>
        <w:left w:val="none" w:sz="0" w:space="0" w:color="auto"/>
        <w:bottom w:val="none" w:sz="0" w:space="0" w:color="auto"/>
        <w:right w:val="none" w:sz="0" w:space="0" w:color="auto"/>
      </w:divBdr>
    </w:div>
    <w:div w:id="1645624472">
      <w:bodyDiv w:val="1"/>
      <w:marLeft w:val="0"/>
      <w:marRight w:val="0"/>
      <w:marTop w:val="0"/>
      <w:marBottom w:val="0"/>
      <w:divBdr>
        <w:top w:val="none" w:sz="0" w:space="0" w:color="auto"/>
        <w:left w:val="none" w:sz="0" w:space="0" w:color="auto"/>
        <w:bottom w:val="none" w:sz="0" w:space="0" w:color="auto"/>
        <w:right w:val="none" w:sz="0" w:space="0" w:color="auto"/>
      </w:divBdr>
      <w:divsChild>
        <w:div w:id="1404721881">
          <w:marLeft w:val="0"/>
          <w:marRight w:val="0"/>
          <w:marTop w:val="0"/>
          <w:marBottom w:val="0"/>
          <w:divBdr>
            <w:top w:val="none" w:sz="0" w:space="0" w:color="auto"/>
            <w:left w:val="none" w:sz="0" w:space="0" w:color="auto"/>
            <w:bottom w:val="none" w:sz="0" w:space="0" w:color="auto"/>
            <w:right w:val="none" w:sz="0" w:space="0" w:color="auto"/>
          </w:divBdr>
          <w:divsChild>
            <w:div w:id="1530798788">
              <w:marLeft w:val="0"/>
              <w:marRight w:val="0"/>
              <w:marTop w:val="0"/>
              <w:marBottom w:val="0"/>
              <w:divBdr>
                <w:top w:val="none" w:sz="0" w:space="0" w:color="auto"/>
                <w:left w:val="none" w:sz="0" w:space="0" w:color="auto"/>
                <w:bottom w:val="none" w:sz="0" w:space="0" w:color="auto"/>
                <w:right w:val="none" w:sz="0" w:space="0" w:color="auto"/>
              </w:divBdr>
              <w:divsChild>
                <w:div w:id="51740313">
                  <w:marLeft w:val="0"/>
                  <w:marRight w:val="0"/>
                  <w:marTop w:val="0"/>
                  <w:marBottom w:val="0"/>
                  <w:divBdr>
                    <w:top w:val="none" w:sz="0" w:space="0" w:color="auto"/>
                    <w:left w:val="none" w:sz="0" w:space="0" w:color="auto"/>
                    <w:bottom w:val="none" w:sz="0" w:space="0" w:color="auto"/>
                    <w:right w:val="none" w:sz="0" w:space="0" w:color="auto"/>
                  </w:divBdr>
                  <w:divsChild>
                    <w:div w:id="2093382528">
                      <w:marLeft w:val="0"/>
                      <w:marRight w:val="0"/>
                      <w:marTop w:val="0"/>
                      <w:marBottom w:val="0"/>
                      <w:divBdr>
                        <w:top w:val="none" w:sz="0" w:space="0" w:color="auto"/>
                        <w:left w:val="none" w:sz="0" w:space="0" w:color="auto"/>
                        <w:bottom w:val="none" w:sz="0" w:space="0" w:color="auto"/>
                        <w:right w:val="none" w:sz="0" w:space="0" w:color="auto"/>
                      </w:divBdr>
                      <w:divsChild>
                        <w:div w:id="2019189874">
                          <w:marLeft w:val="0"/>
                          <w:marRight w:val="0"/>
                          <w:marTop w:val="0"/>
                          <w:marBottom w:val="0"/>
                          <w:divBdr>
                            <w:top w:val="none" w:sz="0" w:space="0" w:color="auto"/>
                            <w:left w:val="none" w:sz="0" w:space="0" w:color="auto"/>
                            <w:bottom w:val="none" w:sz="0" w:space="0" w:color="auto"/>
                            <w:right w:val="none" w:sz="0" w:space="0" w:color="auto"/>
                          </w:divBdr>
                          <w:divsChild>
                            <w:div w:id="998339675">
                              <w:marLeft w:val="0"/>
                              <w:marRight w:val="0"/>
                              <w:marTop w:val="0"/>
                              <w:marBottom w:val="0"/>
                              <w:divBdr>
                                <w:top w:val="none" w:sz="0" w:space="0" w:color="auto"/>
                                <w:left w:val="none" w:sz="0" w:space="0" w:color="auto"/>
                                <w:bottom w:val="none" w:sz="0" w:space="0" w:color="auto"/>
                                <w:right w:val="none" w:sz="0" w:space="0" w:color="auto"/>
                              </w:divBdr>
                              <w:divsChild>
                                <w:div w:id="909584055">
                                  <w:marLeft w:val="0"/>
                                  <w:marRight w:val="0"/>
                                  <w:marTop w:val="0"/>
                                  <w:marBottom w:val="0"/>
                                  <w:divBdr>
                                    <w:top w:val="none" w:sz="0" w:space="0" w:color="auto"/>
                                    <w:left w:val="none" w:sz="0" w:space="0" w:color="auto"/>
                                    <w:bottom w:val="none" w:sz="0" w:space="0" w:color="auto"/>
                                    <w:right w:val="none" w:sz="0" w:space="0" w:color="auto"/>
                                  </w:divBdr>
                                  <w:divsChild>
                                    <w:div w:id="1307473780">
                                      <w:marLeft w:val="0"/>
                                      <w:marRight w:val="0"/>
                                      <w:marTop w:val="0"/>
                                      <w:marBottom w:val="0"/>
                                      <w:divBdr>
                                        <w:top w:val="none" w:sz="0" w:space="0" w:color="auto"/>
                                        <w:left w:val="none" w:sz="0" w:space="0" w:color="auto"/>
                                        <w:bottom w:val="none" w:sz="0" w:space="0" w:color="auto"/>
                                        <w:right w:val="none" w:sz="0" w:space="0" w:color="auto"/>
                                      </w:divBdr>
                                      <w:divsChild>
                                        <w:div w:id="1852255864">
                                          <w:marLeft w:val="0"/>
                                          <w:marRight w:val="0"/>
                                          <w:marTop w:val="0"/>
                                          <w:marBottom w:val="0"/>
                                          <w:divBdr>
                                            <w:top w:val="none" w:sz="0" w:space="0" w:color="auto"/>
                                            <w:left w:val="none" w:sz="0" w:space="0" w:color="auto"/>
                                            <w:bottom w:val="none" w:sz="0" w:space="0" w:color="auto"/>
                                            <w:right w:val="none" w:sz="0" w:space="0" w:color="auto"/>
                                          </w:divBdr>
                                          <w:divsChild>
                                            <w:div w:id="334773412">
                                              <w:marLeft w:val="0"/>
                                              <w:marRight w:val="135"/>
                                              <w:marTop w:val="180"/>
                                              <w:marBottom w:val="0"/>
                                              <w:divBdr>
                                                <w:top w:val="single" w:sz="6" w:space="0" w:color="9E9E9E"/>
                                                <w:left w:val="single" w:sz="6" w:space="0" w:color="9E9E9E"/>
                                                <w:bottom w:val="single" w:sz="6" w:space="0" w:color="9E9E9E"/>
                                                <w:right w:val="single" w:sz="6" w:space="0" w:color="9E9E9E"/>
                                              </w:divBdr>
                                              <w:divsChild>
                                                <w:div w:id="95954206">
                                                  <w:marLeft w:val="0"/>
                                                  <w:marRight w:val="0"/>
                                                  <w:marTop w:val="0"/>
                                                  <w:marBottom w:val="0"/>
                                                  <w:divBdr>
                                                    <w:top w:val="single" w:sz="6" w:space="0" w:color="9E9E9E"/>
                                                    <w:left w:val="single" w:sz="6" w:space="0" w:color="9E9E9E"/>
                                                    <w:bottom w:val="single" w:sz="6" w:space="0" w:color="9E9E9E"/>
                                                    <w:right w:val="single" w:sz="6" w:space="0" w:color="9E9E9E"/>
                                                  </w:divBdr>
                                                  <w:divsChild>
                                                    <w:div w:id="699817844">
                                                      <w:marLeft w:val="0"/>
                                                      <w:marRight w:val="0"/>
                                                      <w:marTop w:val="0"/>
                                                      <w:marBottom w:val="0"/>
                                                      <w:divBdr>
                                                        <w:top w:val="none" w:sz="0" w:space="0" w:color="auto"/>
                                                        <w:left w:val="none" w:sz="0" w:space="0" w:color="auto"/>
                                                        <w:bottom w:val="none" w:sz="0" w:space="0" w:color="auto"/>
                                                        <w:right w:val="none" w:sz="0" w:space="0" w:color="auto"/>
                                                      </w:divBdr>
                                                      <w:divsChild>
                                                        <w:div w:id="71122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2580616">
      <w:bodyDiv w:val="1"/>
      <w:marLeft w:val="0"/>
      <w:marRight w:val="0"/>
      <w:marTop w:val="0"/>
      <w:marBottom w:val="0"/>
      <w:divBdr>
        <w:top w:val="none" w:sz="0" w:space="0" w:color="auto"/>
        <w:left w:val="none" w:sz="0" w:space="0" w:color="auto"/>
        <w:bottom w:val="none" w:sz="0" w:space="0" w:color="auto"/>
        <w:right w:val="none" w:sz="0" w:space="0" w:color="auto"/>
      </w:divBdr>
    </w:div>
    <w:div w:id="1799447904">
      <w:bodyDiv w:val="1"/>
      <w:marLeft w:val="0"/>
      <w:marRight w:val="0"/>
      <w:marTop w:val="0"/>
      <w:marBottom w:val="0"/>
      <w:divBdr>
        <w:top w:val="none" w:sz="0" w:space="0" w:color="auto"/>
        <w:left w:val="none" w:sz="0" w:space="0" w:color="auto"/>
        <w:bottom w:val="none" w:sz="0" w:space="0" w:color="auto"/>
        <w:right w:val="none" w:sz="0" w:space="0" w:color="auto"/>
      </w:divBdr>
    </w:div>
    <w:div w:id="1816340391">
      <w:bodyDiv w:val="1"/>
      <w:marLeft w:val="0"/>
      <w:marRight w:val="0"/>
      <w:marTop w:val="0"/>
      <w:marBottom w:val="0"/>
      <w:divBdr>
        <w:top w:val="none" w:sz="0" w:space="0" w:color="auto"/>
        <w:left w:val="none" w:sz="0" w:space="0" w:color="auto"/>
        <w:bottom w:val="none" w:sz="0" w:space="0" w:color="auto"/>
        <w:right w:val="none" w:sz="0" w:space="0" w:color="auto"/>
      </w:divBdr>
    </w:div>
    <w:div w:id="1949852105">
      <w:bodyDiv w:val="1"/>
      <w:marLeft w:val="0"/>
      <w:marRight w:val="0"/>
      <w:marTop w:val="0"/>
      <w:marBottom w:val="0"/>
      <w:divBdr>
        <w:top w:val="none" w:sz="0" w:space="0" w:color="auto"/>
        <w:left w:val="none" w:sz="0" w:space="0" w:color="auto"/>
        <w:bottom w:val="none" w:sz="0" w:space="0" w:color="auto"/>
        <w:right w:val="none" w:sz="0" w:space="0" w:color="auto"/>
      </w:divBdr>
      <w:divsChild>
        <w:div w:id="21984164">
          <w:marLeft w:val="0"/>
          <w:marRight w:val="0"/>
          <w:marTop w:val="0"/>
          <w:marBottom w:val="0"/>
          <w:divBdr>
            <w:top w:val="none" w:sz="0" w:space="0" w:color="auto"/>
            <w:left w:val="none" w:sz="0" w:space="0" w:color="auto"/>
            <w:bottom w:val="none" w:sz="0" w:space="0" w:color="auto"/>
            <w:right w:val="none" w:sz="0" w:space="0" w:color="auto"/>
          </w:divBdr>
          <w:divsChild>
            <w:div w:id="903176989">
              <w:marLeft w:val="0"/>
              <w:marRight w:val="0"/>
              <w:marTop w:val="0"/>
              <w:marBottom w:val="0"/>
              <w:divBdr>
                <w:top w:val="none" w:sz="0" w:space="0" w:color="auto"/>
                <w:left w:val="none" w:sz="0" w:space="0" w:color="auto"/>
                <w:bottom w:val="none" w:sz="0" w:space="0" w:color="auto"/>
                <w:right w:val="none" w:sz="0" w:space="0" w:color="auto"/>
              </w:divBdr>
              <w:divsChild>
                <w:div w:id="343360368">
                  <w:marLeft w:val="0"/>
                  <w:marRight w:val="0"/>
                  <w:marTop w:val="0"/>
                  <w:marBottom w:val="0"/>
                  <w:divBdr>
                    <w:top w:val="none" w:sz="0" w:space="0" w:color="auto"/>
                    <w:left w:val="none" w:sz="0" w:space="0" w:color="auto"/>
                    <w:bottom w:val="none" w:sz="0" w:space="0" w:color="auto"/>
                    <w:right w:val="none" w:sz="0" w:space="0" w:color="auto"/>
                  </w:divBdr>
                  <w:divsChild>
                    <w:div w:id="724569443">
                      <w:marLeft w:val="0"/>
                      <w:marRight w:val="0"/>
                      <w:marTop w:val="0"/>
                      <w:marBottom w:val="0"/>
                      <w:divBdr>
                        <w:top w:val="none" w:sz="0" w:space="0" w:color="auto"/>
                        <w:left w:val="none" w:sz="0" w:space="0" w:color="auto"/>
                        <w:bottom w:val="none" w:sz="0" w:space="0" w:color="auto"/>
                        <w:right w:val="none" w:sz="0" w:space="0" w:color="auto"/>
                      </w:divBdr>
                      <w:divsChild>
                        <w:div w:id="1519391643">
                          <w:marLeft w:val="0"/>
                          <w:marRight w:val="0"/>
                          <w:marTop w:val="0"/>
                          <w:marBottom w:val="0"/>
                          <w:divBdr>
                            <w:top w:val="single" w:sz="6" w:space="0" w:color="828282"/>
                            <w:left w:val="single" w:sz="6" w:space="0" w:color="828282"/>
                            <w:bottom w:val="single" w:sz="6" w:space="0" w:color="828282"/>
                            <w:right w:val="single" w:sz="6" w:space="0" w:color="828282"/>
                          </w:divBdr>
                          <w:divsChild>
                            <w:div w:id="1429305501">
                              <w:marLeft w:val="0"/>
                              <w:marRight w:val="0"/>
                              <w:marTop w:val="0"/>
                              <w:marBottom w:val="0"/>
                              <w:divBdr>
                                <w:top w:val="none" w:sz="0" w:space="0" w:color="auto"/>
                                <w:left w:val="none" w:sz="0" w:space="0" w:color="auto"/>
                                <w:bottom w:val="none" w:sz="0" w:space="0" w:color="auto"/>
                                <w:right w:val="none" w:sz="0" w:space="0" w:color="auto"/>
                              </w:divBdr>
                              <w:divsChild>
                                <w:div w:id="1411736845">
                                  <w:marLeft w:val="0"/>
                                  <w:marRight w:val="0"/>
                                  <w:marTop w:val="0"/>
                                  <w:marBottom w:val="0"/>
                                  <w:divBdr>
                                    <w:top w:val="none" w:sz="0" w:space="0" w:color="auto"/>
                                    <w:left w:val="none" w:sz="0" w:space="0" w:color="auto"/>
                                    <w:bottom w:val="none" w:sz="0" w:space="0" w:color="auto"/>
                                    <w:right w:val="none" w:sz="0" w:space="0" w:color="auto"/>
                                  </w:divBdr>
                                  <w:divsChild>
                                    <w:div w:id="269361826">
                                      <w:marLeft w:val="0"/>
                                      <w:marRight w:val="0"/>
                                      <w:marTop w:val="0"/>
                                      <w:marBottom w:val="0"/>
                                      <w:divBdr>
                                        <w:top w:val="none" w:sz="0" w:space="0" w:color="auto"/>
                                        <w:left w:val="none" w:sz="0" w:space="0" w:color="auto"/>
                                        <w:bottom w:val="none" w:sz="0" w:space="0" w:color="auto"/>
                                        <w:right w:val="none" w:sz="0" w:space="0" w:color="auto"/>
                                      </w:divBdr>
                                      <w:divsChild>
                                        <w:div w:id="1002314407">
                                          <w:marLeft w:val="0"/>
                                          <w:marRight w:val="0"/>
                                          <w:marTop w:val="0"/>
                                          <w:marBottom w:val="0"/>
                                          <w:divBdr>
                                            <w:top w:val="none" w:sz="0" w:space="0" w:color="auto"/>
                                            <w:left w:val="none" w:sz="0" w:space="0" w:color="auto"/>
                                            <w:bottom w:val="none" w:sz="0" w:space="0" w:color="auto"/>
                                            <w:right w:val="none" w:sz="0" w:space="0" w:color="auto"/>
                                          </w:divBdr>
                                          <w:divsChild>
                                            <w:div w:id="853810843">
                                              <w:marLeft w:val="0"/>
                                              <w:marRight w:val="0"/>
                                              <w:marTop w:val="0"/>
                                              <w:marBottom w:val="0"/>
                                              <w:divBdr>
                                                <w:top w:val="none" w:sz="0" w:space="0" w:color="auto"/>
                                                <w:left w:val="none" w:sz="0" w:space="0" w:color="auto"/>
                                                <w:bottom w:val="none" w:sz="0" w:space="0" w:color="auto"/>
                                                <w:right w:val="none" w:sz="0" w:space="0" w:color="auto"/>
                                              </w:divBdr>
                                              <w:divsChild>
                                                <w:div w:id="13151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322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legendinternal.immi.gov.au/Migration/2016/14-10-2016/legend_current_ma/Pages/_document00000/level%20100002.aspx" TargetMode="External"/><Relationship Id="rId4" Type="http://schemas.microsoft.com/office/2007/relationships/stylesWithEffects" Target="stylesWithEffects.xml"/><Relationship Id="rId9" Type="http://schemas.openxmlformats.org/officeDocument/2006/relationships/hyperlink" Target="https://www.legislation.gov.au/Details/C2016C0015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399E2-C3F0-46E9-B6B5-0E9B986A5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7741</Words>
  <Characters>40712</Characters>
  <Application>Microsoft Office Word</Application>
  <DocSecurity>0</DocSecurity>
  <Lines>339</Lines>
  <Paragraphs>96</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DIAC</Company>
  <LinksUpToDate>false</LinksUpToDate>
  <CharactersWithSpaces>48357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Bambie NGUYEN-TRAN</dc:creator>
  <cp:lastModifiedBy>Louise STAKER</cp:lastModifiedBy>
  <cp:revision>2</cp:revision>
  <cp:lastPrinted>2016-10-18T23:15:00Z</cp:lastPrinted>
  <dcterms:created xsi:type="dcterms:W3CDTF">2016-10-21T02:10:00Z</dcterms:created>
  <dcterms:modified xsi:type="dcterms:W3CDTF">2016-10-21T02:10:00Z</dcterms:modified>
</cp:coreProperties>
</file>