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D79F0" w:rsidRDefault="00193461" w:rsidP="00C63713">
      <w:pPr>
        <w:rPr>
          <w:sz w:val="28"/>
        </w:rPr>
      </w:pPr>
      <w:r w:rsidRPr="00BD79F0">
        <w:rPr>
          <w:noProof/>
          <w:lang w:eastAsia="en-AU"/>
        </w:rPr>
        <w:drawing>
          <wp:inline distT="0" distB="0" distL="0" distR="0" wp14:anchorId="7987C65B" wp14:editId="68D1998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D79F0" w:rsidRDefault="0048364F" w:rsidP="0048364F">
      <w:pPr>
        <w:rPr>
          <w:sz w:val="19"/>
        </w:rPr>
      </w:pPr>
    </w:p>
    <w:p w:rsidR="0048364F" w:rsidRPr="00BD79F0" w:rsidRDefault="00B107A2" w:rsidP="0048364F">
      <w:pPr>
        <w:pStyle w:val="ShortT"/>
      </w:pPr>
      <w:r w:rsidRPr="00BD79F0">
        <w:t>Financial Framework (Supplementary Powers) Amendment (Health Measures No.</w:t>
      </w:r>
      <w:r w:rsidR="00BD79F0" w:rsidRPr="00BD79F0">
        <w:t> </w:t>
      </w:r>
      <w:r w:rsidRPr="00BD79F0">
        <w:t>4) Regulation</w:t>
      </w:r>
      <w:r w:rsidR="00BD79F0" w:rsidRPr="00BD79F0">
        <w:t> </w:t>
      </w:r>
      <w:r w:rsidRPr="00BD79F0">
        <w:t>2016</w:t>
      </w:r>
    </w:p>
    <w:p w:rsidR="00B107A2" w:rsidRPr="00BD79F0" w:rsidRDefault="00B107A2" w:rsidP="007C4532">
      <w:pPr>
        <w:pStyle w:val="SignCoverPageStart"/>
        <w:spacing w:before="240"/>
        <w:rPr>
          <w:szCs w:val="22"/>
        </w:rPr>
      </w:pPr>
      <w:r w:rsidRPr="00BD79F0">
        <w:rPr>
          <w:szCs w:val="22"/>
        </w:rPr>
        <w:t xml:space="preserve">I, General the Honourable Sir Peter Cosgrove AK MC (Ret’d), </w:t>
      </w:r>
      <w:r w:rsidR="00BD79F0" w:rsidRPr="00BD79F0">
        <w:rPr>
          <w:szCs w:val="22"/>
        </w:rPr>
        <w:t>Governor</w:t>
      </w:r>
      <w:r w:rsidR="00BD79F0">
        <w:rPr>
          <w:szCs w:val="22"/>
        </w:rPr>
        <w:noBreakHyphen/>
      </w:r>
      <w:r w:rsidR="00BD79F0" w:rsidRPr="00BD79F0">
        <w:rPr>
          <w:szCs w:val="22"/>
        </w:rPr>
        <w:t>General</w:t>
      </w:r>
      <w:r w:rsidRPr="00BD79F0">
        <w:rPr>
          <w:szCs w:val="22"/>
        </w:rPr>
        <w:t xml:space="preserve"> of the Commonwealth of Australia, acting with the advice of the Federal Executive Council, make the following regulation.</w:t>
      </w:r>
    </w:p>
    <w:p w:rsidR="00B107A2" w:rsidRPr="00BD79F0" w:rsidRDefault="00B107A2" w:rsidP="007C4532">
      <w:pPr>
        <w:keepNext/>
        <w:spacing w:before="720" w:line="240" w:lineRule="atLeast"/>
        <w:ind w:right="397"/>
        <w:jc w:val="both"/>
        <w:rPr>
          <w:szCs w:val="22"/>
        </w:rPr>
      </w:pPr>
      <w:r w:rsidRPr="00BD79F0">
        <w:rPr>
          <w:szCs w:val="22"/>
        </w:rPr>
        <w:t xml:space="preserve">Dated </w:t>
      </w:r>
      <w:bookmarkStart w:id="0" w:name="BKCheck15B_1"/>
      <w:bookmarkEnd w:id="0"/>
      <w:r w:rsidRPr="00BD79F0">
        <w:rPr>
          <w:szCs w:val="22"/>
        </w:rPr>
        <w:fldChar w:fldCharType="begin"/>
      </w:r>
      <w:r w:rsidRPr="00BD79F0">
        <w:rPr>
          <w:szCs w:val="22"/>
        </w:rPr>
        <w:instrText xml:space="preserve"> DOCPROPERTY  DateMade </w:instrText>
      </w:r>
      <w:r w:rsidRPr="00BD79F0">
        <w:rPr>
          <w:szCs w:val="22"/>
        </w:rPr>
        <w:fldChar w:fldCharType="separate"/>
      </w:r>
      <w:r w:rsidR="007A6269">
        <w:rPr>
          <w:szCs w:val="22"/>
        </w:rPr>
        <w:t>10 November 2016</w:t>
      </w:r>
      <w:r w:rsidRPr="00BD79F0">
        <w:rPr>
          <w:szCs w:val="22"/>
        </w:rPr>
        <w:fldChar w:fldCharType="end"/>
      </w:r>
    </w:p>
    <w:p w:rsidR="00B107A2" w:rsidRPr="00BD79F0" w:rsidRDefault="00B107A2" w:rsidP="007C4532">
      <w:pPr>
        <w:keepNext/>
        <w:tabs>
          <w:tab w:val="left" w:pos="3402"/>
        </w:tabs>
        <w:spacing w:before="1080" w:line="300" w:lineRule="atLeast"/>
        <w:ind w:left="397" w:right="397"/>
        <w:jc w:val="right"/>
        <w:rPr>
          <w:szCs w:val="22"/>
        </w:rPr>
      </w:pPr>
      <w:r w:rsidRPr="00BD79F0">
        <w:rPr>
          <w:szCs w:val="22"/>
        </w:rPr>
        <w:t>Peter Cosgrove</w:t>
      </w:r>
    </w:p>
    <w:p w:rsidR="00B107A2" w:rsidRPr="00BD79F0" w:rsidRDefault="00BD79F0" w:rsidP="007C4532">
      <w:pPr>
        <w:keepNext/>
        <w:tabs>
          <w:tab w:val="left" w:pos="3402"/>
        </w:tabs>
        <w:spacing w:line="300" w:lineRule="atLeast"/>
        <w:ind w:left="397" w:right="397"/>
        <w:jc w:val="right"/>
        <w:rPr>
          <w:szCs w:val="22"/>
        </w:rPr>
      </w:pPr>
      <w:r w:rsidRPr="00BD79F0">
        <w:rPr>
          <w:szCs w:val="22"/>
        </w:rPr>
        <w:t>Governor</w:t>
      </w:r>
      <w:r>
        <w:rPr>
          <w:szCs w:val="22"/>
        </w:rPr>
        <w:noBreakHyphen/>
      </w:r>
      <w:r w:rsidRPr="00BD79F0">
        <w:rPr>
          <w:szCs w:val="22"/>
        </w:rPr>
        <w:t>General</w:t>
      </w:r>
    </w:p>
    <w:p w:rsidR="00B107A2" w:rsidRPr="00BD79F0" w:rsidRDefault="00B107A2" w:rsidP="007C4532">
      <w:pPr>
        <w:keepNext/>
        <w:tabs>
          <w:tab w:val="left" w:pos="3402"/>
        </w:tabs>
        <w:spacing w:before="840" w:after="1080" w:line="300" w:lineRule="atLeast"/>
        <w:ind w:right="397"/>
        <w:rPr>
          <w:szCs w:val="22"/>
        </w:rPr>
      </w:pPr>
      <w:r w:rsidRPr="00BD79F0">
        <w:rPr>
          <w:szCs w:val="22"/>
        </w:rPr>
        <w:t>By His Excellency’s Command</w:t>
      </w:r>
    </w:p>
    <w:p w:rsidR="00B107A2" w:rsidRPr="00BD79F0" w:rsidRDefault="00B107A2" w:rsidP="007C4532">
      <w:pPr>
        <w:keepNext/>
        <w:tabs>
          <w:tab w:val="left" w:pos="3402"/>
        </w:tabs>
        <w:spacing w:before="480" w:line="300" w:lineRule="atLeast"/>
        <w:ind w:right="397"/>
        <w:rPr>
          <w:szCs w:val="22"/>
        </w:rPr>
      </w:pPr>
      <w:r w:rsidRPr="00BD79F0">
        <w:rPr>
          <w:szCs w:val="22"/>
        </w:rPr>
        <w:t>Mathias Cormann</w:t>
      </w:r>
    </w:p>
    <w:p w:rsidR="00B107A2" w:rsidRPr="00BD79F0" w:rsidRDefault="00B107A2" w:rsidP="007C4532">
      <w:pPr>
        <w:pStyle w:val="SignCoverPageEnd"/>
        <w:rPr>
          <w:szCs w:val="22"/>
        </w:rPr>
      </w:pPr>
      <w:r w:rsidRPr="00BD79F0">
        <w:rPr>
          <w:szCs w:val="22"/>
        </w:rPr>
        <w:t>Minister for Finance</w:t>
      </w:r>
    </w:p>
    <w:p w:rsidR="00B107A2" w:rsidRPr="00BD79F0" w:rsidRDefault="00B107A2" w:rsidP="007C4532"/>
    <w:p w:rsidR="0048364F" w:rsidRPr="00BD79F0" w:rsidRDefault="0048364F" w:rsidP="0048364F">
      <w:pPr>
        <w:pStyle w:val="Header"/>
        <w:tabs>
          <w:tab w:val="clear" w:pos="4150"/>
          <w:tab w:val="clear" w:pos="8307"/>
        </w:tabs>
      </w:pPr>
      <w:r w:rsidRPr="00BD79F0">
        <w:rPr>
          <w:rStyle w:val="CharAmSchNo"/>
        </w:rPr>
        <w:t xml:space="preserve"> </w:t>
      </w:r>
      <w:r w:rsidRPr="00BD79F0">
        <w:rPr>
          <w:rStyle w:val="CharAmSchText"/>
        </w:rPr>
        <w:t xml:space="preserve"> </w:t>
      </w:r>
    </w:p>
    <w:p w:rsidR="0048364F" w:rsidRPr="00BD79F0" w:rsidRDefault="0048364F" w:rsidP="0048364F">
      <w:pPr>
        <w:pStyle w:val="Header"/>
        <w:tabs>
          <w:tab w:val="clear" w:pos="4150"/>
          <w:tab w:val="clear" w:pos="8307"/>
        </w:tabs>
      </w:pPr>
      <w:r w:rsidRPr="00BD79F0">
        <w:rPr>
          <w:rStyle w:val="CharAmPartNo"/>
        </w:rPr>
        <w:t xml:space="preserve"> </w:t>
      </w:r>
      <w:r w:rsidRPr="00BD79F0">
        <w:rPr>
          <w:rStyle w:val="CharAmPartText"/>
        </w:rPr>
        <w:t xml:space="preserve"> </w:t>
      </w:r>
    </w:p>
    <w:p w:rsidR="0048364F" w:rsidRPr="00BD79F0" w:rsidRDefault="0048364F" w:rsidP="0048364F">
      <w:pPr>
        <w:sectPr w:rsidR="0048364F" w:rsidRPr="00BD79F0" w:rsidSect="00A456E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BD79F0" w:rsidRDefault="0048364F" w:rsidP="000D4432">
      <w:pPr>
        <w:rPr>
          <w:sz w:val="36"/>
        </w:rPr>
      </w:pPr>
      <w:r w:rsidRPr="00BD79F0">
        <w:rPr>
          <w:sz w:val="36"/>
        </w:rPr>
        <w:lastRenderedPageBreak/>
        <w:t>Contents</w:t>
      </w:r>
    </w:p>
    <w:bookmarkStart w:id="1" w:name="BKCheck15B_2"/>
    <w:bookmarkEnd w:id="1"/>
    <w:p w:rsidR="00630DCE" w:rsidRPr="00BD79F0" w:rsidRDefault="00630DCE">
      <w:pPr>
        <w:pStyle w:val="TOC5"/>
        <w:rPr>
          <w:rFonts w:asciiTheme="minorHAnsi" w:eastAsiaTheme="minorEastAsia" w:hAnsiTheme="minorHAnsi" w:cstheme="minorBidi"/>
          <w:noProof/>
          <w:kern w:val="0"/>
          <w:sz w:val="22"/>
          <w:szCs w:val="22"/>
        </w:rPr>
      </w:pPr>
      <w:r w:rsidRPr="00BD79F0">
        <w:fldChar w:fldCharType="begin"/>
      </w:r>
      <w:r w:rsidRPr="00BD79F0">
        <w:instrText xml:space="preserve"> TOC \o "1-9" </w:instrText>
      </w:r>
      <w:r w:rsidRPr="00BD79F0">
        <w:fldChar w:fldCharType="separate"/>
      </w:r>
      <w:r w:rsidRPr="00BD79F0">
        <w:rPr>
          <w:noProof/>
        </w:rPr>
        <w:t>1</w:t>
      </w:r>
      <w:r w:rsidRPr="00BD79F0">
        <w:rPr>
          <w:noProof/>
        </w:rPr>
        <w:tab/>
        <w:t>Name</w:t>
      </w:r>
      <w:r w:rsidRPr="00BD79F0">
        <w:rPr>
          <w:noProof/>
        </w:rPr>
        <w:tab/>
      </w:r>
      <w:r w:rsidRPr="00BD79F0">
        <w:rPr>
          <w:noProof/>
        </w:rPr>
        <w:fldChar w:fldCharType="begin"/>
      </w:r>
      <w:r w:rsidRPr="00BD79F0">
        <w:rPr>
          <w:noProof/>
        </w:rPr>
        <w:instrText xml:space="preserve"> PAGEREF _Toc465319392 \h </w:instrText>
      </w:r>
      <w:r w:rsidRPr="00BD79F0">
        <w:rPr>
          <w:noProof/>
        </w:rPr>
      </w:r>
      <w:r w:rsidRPr="00BD79F0">
        <w:rPr>
          <w:noProof/>
        </w:rPr>
        <w:fldChar w:fldCharType="separate"/>
      </w:r>
      <w:r w:rsidR="007A6269">
        <w:rPr>
          <w:noProof/>
        </w:rPr>
        <w:t>1</w:t>
      </w:r>
      <w:r w:rsidRPr="00BD79F0">
        <w:rPr>
          <w:noProof/>
        </w:rPr>
        <w:fldChar w:fldCharType="end"/>
      </w:r>
    </w:p>
    <w:p w:rsidR="00630DCE" w:rsidRPr="00BD79F0" w:rsidRDefault="00630DCE">
      <w:pPr>
        <w:pStyle w:val="TOC5"/>
        <w:rPr>
          <w:rFonts w:asciiTheme="minorHAnsi" w:eastAsiaTheme="minorEastAsia" w:hAnsiTheme="minorHAnsi" w:cstheme="minorBidi"/>
          <w:noProof/>
          <w:kern w:val="0"/>
          <w:sz w:val="22"/>
          <w:szCs w:val="22"/>
        </w:rPr>
      </w:pPr>
      <w:r w:rsidRPr="00BD79F0">
        <w:rPr>
          <w:noProof/>
        </w:rPr>
        <w:t>2</w:t>
      </w:r>
      <w:r w:rsidRPr="00BD79F0">
        <w:rPr>
          <w:noProof/>
        </w:rPr>
        <w:tab/>
        <w:t>Commencement</w:t>
      </w:r>
      <w:r w:rsidRPr="00BD79F0">
        <w:rPr>
          <w:noProof/>
        </w:rPr>
        <w:tab/>
      </w:r>
      <w:r w:rsidRPr="00BD79F0">
        <w:rPr>
          <w:noProof/>
        </w:rPr>
        <w:fldChar w:fldCharType="begin"/>
      </w:r>
      <w:r w:rsidRPr="00BD79F0">
        <w:rPr>
          <w:noProof/>
        </w:rPr>
        <w:instrText xml:space="preserve"> PAGEREF _Toc465319393 \h </w:instrText>
      </w:r>
      <w:r w:rsidRPr="00BD79F0">
        <w:rPr>
          <w:noProof/>
        </w:rPr>
      </w:r>
      <w:r w:rsidRPr="00BD79F0">
        <w:rPr>
          <w:noProof/>
        </w:rPr>
        <w:fldChar w:fldCharType="separate"/>
      </w:r>
      <w:r w:rsidR="007A6269">
        <w:rPr>
          <w:noProof/>
        </w:rPr>
        <w:t>1</w:t>
      </w:r>
      <w:r w:rsidRPr="00BD79F0">
        <w:rPr>
          <w:noProof/>
        </w:rPr>
        <w:fldChar w:fldCharType="end"/>
      </w:r>
    </w:p>
    <w:p w:rsidR="00630DCE" w:rsidRPr="00BD79F0" w:rsidRDefault="00630DCE">
      <w:pPr>
        <w:pStyle w:val="TOC5"/>
        <w:rPr>
          <w:rFonts w:asciiTheme="minorHAnsi" w:eastAsiaTheme="minorEastAsia" w:hAnsiTheme="minorHAnsi" w:cstheme="minorBidi"/>
          <w:noProof/>
          <w:kern w:val="0"/>
          <w:sz w:val="22"/>
          <w:szCs w:val="22"/>
        </w:rPr>
      </w:pPr>
      <w:r w:rsidRPr="00BD79F0">
        <w:rPr>
          <w:noProof/>
        </w:rPr>
        <w:t>3</w:t>
      </w:r>
      <w:r w:rsidRPr="00BD79F0">
        <w:rPr>
          <w:noProof/>
        </w:rPr>
        <w:tab/>
        <w:t>Authority</w:t>
      </w:r>
      <w:r w:rsidRPr="00BD79F0">
        <w:rPr>
          <w:noProof/>
        </w:rPr>
        <w:tab/>
      </w:r>
      <w:r w:rsidRPr="00BD79F0">
        <w:rPr>
          <w:noProof/>
        </w:rPr>
        <w:fldChar w:fldCharType="begin"/>
      </w:r>
      <w:r w:rsidRPr="00BD79F0">
        <w:rPr>
          <w:noProof/>
        </w:rPr>
        <w:instrText xml:space="preserve"> PAGEREF _Toc465319394 \h </w:instrText>
      </w:r>
      <w:r w:rsidRPr="00BD79F0">
        <w:rPr>
          <w:noProof/>
        </w:rPr>
      </w:r>
      <w:r w:rsidRPr="00BD79F0">
        <w:rPr>
          <w:noProof/>
        </w:rPr>
        <w:fldChar w:fldCharType="separate"/>
      </w:r>
      <w:r w:rsidR="007A6269">
        <w:rPr>
          <w:noProof/>
        </w:rPr>
        <w:t>1</w:t>
      </w:r>
      <w:r w:rsidRPr="00BD79F0">
        <w:rPr>
          <w:noProof/>
        </w:rPr>
        <w:fldChar w:fldCharType="end"/>
      </w:r>
    </w:p>
    <w:p w:rsidR="00630DCE" w:rsidRPr="00BD79F0" w:rsidRDefault="00630DCE">
      <w:pPr>
        <w:pStyle w:val="TOC5"/>
        <w:rPr>
          <w:rFonts w:asciiTheme="minorHAnsi" w:eastAsiaTheme="minorEastAsia" w:hAnsiTheme="minorHAnsi" w:cstheme="minorBidi"/>
          <w:noProof/>
          <w:kern w:val="0"/>
          <w:sz w:val="22"/>
          <w:szCs w:val="22"/>
        </w:rPr>
      </w:pPr>
      <w:r w:rsidRPr="00BD79F0">
        <w:rPr>
          <w:noProof/>
        </w:rPr>
        <w:t>4</w:t>
      </w:r>
      <w:r w:rsidRPr="00BD79F0">
        <w:rPr>
          <w:noProof/>
        </w:rPr>
        <w:tab/>
        <w:t>Schedules</w:t>
      </w:r>
      <w:r w:rsidRPr="00BD79F0">
        <w:rPr>
          <w:noProof/>
        </w:rPr>
        <w:tab/>
      </w:r>
      <w:r w:rsidRPr="00BD79F0">
        <w:rPr>
          <w:noProof/>
        </w:rPr>
        <w:fldChar w:fldCharType="begin"/>
      </w:r>
      <w:r w:rsidRPr="00BD79F0">
        <w:rPr>
          <w:noProof/>
        </w:rPr>
        <w:instrText xml:space="preserve"> PAGEREF _Toc465319395 \h </w:instrText>
      </w:r>
      <w:r w:rsidRPr="00BD79F0">
        <w:rPr>
          <w:noProof/>
        </w:rPr>
      </w:r>
      <w:r w:rsidRPr="00BD79F0">
        <w:rPr>
          <w:noProof/>
        </w:rPr>
        <w:fldChar w:fldCharType="separate"/>
      </w:r>
      <w:r w:rsidR="007A6269">
        <w:rPr>
          <w:noProof/>
        </w:rPr>
        <w:t>1</w:t>
      </w:r>
      <w:r w:rsidRPr="00BD79F0">
        <w:rPr>
          <w:noProof/>
        </w:rPr>
        <w:fldChar w:fldCharType="end"/>
      </w:r>
    </w:p>
    <w:p w:rsidR="00630DCE" w:rsidRPr="00BD79F0" w:rsidRDefault="00630DCE">
      <w:pPr>
        <w:pStyle w:val="TOC6"/>
        <w:rPr>
          <w:rFonts w:asciiTheme="minorHAnsi" w:eastAsiaTheme="minorEastAsia" w:hAnsiTheme="minorHAnsi" w:cstheme="minorBidi"/>
          <w:b w:val="0"/>
          <w:noProof/>
          <w:kern w:val="0"/>
          <w:sz w:val="22"/>
          <w:szCs w:val="22"/>
        </w:rPr>
      </w:pPr>
      <w:r w:rsidRPr="00BD79F0">
        <w:rPr>
          <w:noProof/>
        </w:rPr>
        <w:t>Schedule</w:t>
      </w:r>
      <w:r w:rsidR="00BD79F0" w:rsidRPr="00BD79F0">
        <w:rPr>
          <w:noProof/>
        </w:rPr>
        <w:t> </w:t>
      </w:r>
      <w:r w:rsidRPr="00BD79F0">
        <w:rPr>
          <w:noProof/>
        </w:rPr>
        <w:t>1—Amendments</w:t>
      </w:r>
      <w:r w:rsidRPr="00BD79F0">
        <w:rPr>
          <w:b w:val="0"/>
          <w:noProof/>
          <w:sz w:val="18"/>
        </w:rPr>
        <w:tab/>
      </w:r>
      <w:r w:rsidRPr="00BD79F0">
        <w:rPr>
          <w:b w:val="0"/>
          <w:noProof/>
          <w:sz w:val="18"/>
        </w:rPr>
        <w:fldChar w:fldCharType="begin"/>
      </w:r>
      <w:r w:rsidRPr="00BD79F0">
        <w:rPr>
          <w:b w:val="0"/>
          <w:noProof/>
          <w:sz w:val="18"/>
        </w:rPr>
        <w:instrText xml:space="preserve"> PAGEREF _Toc465319396 \h </w:instrText>
      </w:r>
      <w:r w:rsidRPr="00BD79F0">
        <w:rPr>
          <w:b w:val="0"/>
          <w:noProof/>
          <w:sz w:val="18"/>
        </w:rPr>
      </w:r>
      <w:r w:rsidRPr="00BD79F0">
        <w:rPr>
          <w:b w:val="0"/>
          <w:noProof/>
          <w:sz w:val="18"/>
        </w:rPr>
        <w:fldChar w:fldCharType="separate"/>
      </w:r>
      <w:r w:rsidR="007A6269">
        <w:rPr>
          <w:b w:val="0"/>
          <w:noProof/>
          <w:sz w:val="18"/>
        </w:rPr>
        <w:t>2</w:t>
      </w:r>
      <w:r w:rsidRPr="00BD79F0">
        <w:rPr>
          <w:b w:val="0"/>
          <w:noProof/>
          <w:sz w:val="18"/>
        </w:rPr>
        <w:fldChar w:fldCharType="end"/>
      </w:r>
    </w:p>
    <w:p w:rsidR="00630DCE" w:rsidRPr="00BD79F0" w:rsidRDefault="00630DCE">
      <w:pPr>
        <w:pStyle w:val="TOC9"/>
        <w:rPr>
          <w:rFonts w:asciiTheme="minorHAnsi" w:eastAsiaTheme="minorEastAsia" w:hAnsiTheme="minorHAnsi" w:cstheme="minorBidi"/>
          <w:i w:val="0"/>
          <w:noProof/>
          <w:kern w:val="0"/>
          <w:sz w:val="22"/>
          <w:szCs w:val="22"/>
        </w:rPr>
      </w:pPr>
      <w:r w:rsidRPr="00BD79F0">
        <w:rPr>
          <w:noProof/>
        </w:rPr>
        <w:t>Financial Framework (Supplementary Powers) Regulations</w:t>
      </w:r>
      <w:r w:rsidR="00BD79F0" w:rsidRPr="00BD79F0">
        <w:rPr>
          <w:noProof/>
        </w:rPr>
        <w:t> </w:t>
      </w:r>
      <w:r w:rsidRPr="00BD79F0">
        <w:rPr>
          <w:noProof/>
        </w:rPr>
        <w:t>1997</w:t>
      </w:r>
      <w:r w:rsidRPr="00BD79F0">
        <w:rPr>
          <w:i w:val="0"/>
          <w:noProof/>
          <w:sz w:val="18"/>
        </w:rPr>
        <w:tab/>
      </w:r>
      <w:r w:rsidRPr="00BD79F0">
        <w:rPr>
          <w:i w:val="0"/>
          <w:noProof/>
          <w:sz w:val="18"/>
        </w:rPr>
        <w:fldChar w:fldCharType="begin"/>
      </w:r>
      <w:r w:rsidRPr="00BD79F0">
        <w:rPr>
          <w:i w:val="0"/>
          <w:noProof/>
          <w:sz w:val="18"/>
        </w:rPr>
        <w:instrText xml:space="preserve"> PAGEREF _Toc465319397 \h </w:instrText>
      </w:r>
      <w:r w:rsidRPr="00BD79F0">
        <w:rPr>
          <w:i w:val="0"/>
          <w:noProof/>
          <w:sz w:val="18"/>
        </w:rPr>
      </w:r>
      <w:r w:rsidRPr="00BD79F0">
        <w:rPr>
          <w:i w:val="0"/>
          <w:noProof/>
          <w:sz w:val="18"/>
        </w:rPr>
        <w:fldChar w:fldCharType="separate"/>
      </w:r>
      <w:r w:rsidR="007A6269">
        <w:rPr>
          <w:i w:val="0"/>
          <w:noProof/>
          <w:sz w:val="18"/>
        </w:rPr>
        <w:t>2</w:t>
      </w:r>
      <w:r w:rsidRPr="00BD79F0">
        <w:rPr>
          <w:i w:val="0"/>
          <w:noProof/>
          <w:sz w:val="18"/>
        </w:rPr>
        <w:fldChar w:fldCharType="end"/>
      </w:r>
    </w:p>
    <w:p w:rsidR="00833416" w:rsidRPr="00BD79F0" w:rsidRDefault="00630DCE" w:rsidP="0048364F">
      <w:r w:rsidRPr="00BD79F0">
        <w:fldChar w:fldCharType="end"/>
      </w:r>
    </w:p>
    <w:p w:rsidR="00722023" w:rsidRPr="00BD79F0" w:rsidRDefault="00722023" w:rsidP="0048364F">
      <w:pPr>
        <w:sectPr w:rsidR="00722023" w:rsidRPr="00BD79F0" w:rsidSect="00A456E8">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BD79F0" w:rsidRDefault="0048364F" w:rsidP="0048364F">
      <w:pPr>
        <w:pStyle w:val="ActHead5"/>
      </w:pPr>
      <w:bookmarkStart w:id="2" w:name="_Toc465319392"/>
      <w:r w:rsidRPr="00BD79F0">
        <w:rPr>
          <w:rStyle w:val="CharSectno"/>
        </w:rPr>
        <w:lastRenderedPageBreak/>
        <w:t>1</w:t>
      </w:r>
      <w:r w:rsidRPr="00BD79F0">
        <w:t xml:space="preserve">  </w:t>
      </w:r>
      <w:r w:rsidR="004F676E" w:rsidRPr="00BD79F0">
        <w:t>Name</w:t>
      </w:r>
      <w:bookmarkEnd w:id="2"/>
    </w:p>
    <w:p w:rsidR="0048364F" w:rsidRPr="00BD79F0" w:rsidRDefault="0048364F" w:rsidP="0048364F">
      <w:pPr>
        <w:pStyle w:val="subsection"/>
      </w:pPr>
      <w:r w:rsidRPr="00BD79F0">
        <w:tab/>
      </w:r>
      <w:r w:rsidRPr="00BD79F0">
        <w:tab/>
        <w:t>Th</w:t>
      </w:r>
      <w:r w:rsidR="00F24C35" w:rsidRPr="00BD79F0">
        <w:t>is</w:t>
      </w:r>
      <w:r w:rsidRPr="00BD79F0">
        <w:t xml:space="preserve"> </w:t>
      </w:r>
      <w:r w:rsidR="00F24C35" w:rsidRPr="00BD79F0">
        <w:t>is</w:t>
      </w:r>
      <w:r w:rsidR="003801D0" w:rsidRPr="00BD79F0">
        <w:t xml:space="preserve"> the</w:t>
      </w:r>
      <w:r w:rsidRPr="00BD79F0">
        <w:t xml:space="preserve"> </w:t>
      </w:r>
      <w:bookmarkStart w:id="3" w:name="BKCheck15B_3"/>
      <w:bookmarkEnd w:id="3"/>
      <w:r w:rsidR="00CB0180" w:rsidRPr="00BD79F0">
        <w:rPr>
          <w:i/>
        </w:rPr>
        <w:fldChar w:fldCharType="begin"/>
      </w:r>
      <w:r w:rsidR="00CB0180" w:rsidRPr="00BD79F0">
        <w:rPr>
          <w:i/>
        </w:rPr>
        <w:instrText xml:space="preserve"> STYLEREF  ShortT </w:instrText>
      </w:r>
      <w:r w:rsidR="00CB0180" w:rsidRPr="00BD79F0">
        <w:rPr>
          <w:i/>
        </w:rPr>
        <w:fldChar w:fldCharType="separate"/>
      </w:r>
      <w:r w:rsidR="007A6269">
        <w:rPr>
          <w:i/>
          <w:noProof/>
        </w:rPr>
        <w:t>Financial Framework (Supplementary Powers) Amendment (Health Measures No. 4) Regulation 2016</w:t>
      </w:r>
      <w:r w:rsidR="00CB0180" w:rsidRPr="00BD79F0">
        <w:rPr>
          <w:i/>
        </w:rPr>
        <w:fldChar w:fldCharType="end"/>
      </w:r>
      <w:r w:rsidRPr="00BD79F0">
        <w:t>.</w:t>
      </w:r>
    </w:p>
    <w:p w:rsidR="0048364F" w:rsidRPr="00BD79F0" w:rsidRDefault="0048364F" w:rsidP="0048364F">
      <w:pPr>
        <w:pStyle w:val="ActHead5"/>
      </w:pPr>
      <w:bookmarkStart w:id="4" w:name="_Toc465319393"/>
      <w:r w:rsidRPr="00BD79F0">
        <w:rPr>
          <w:rStyle w:val="CharSectno"/>
        </w:rPr>
        <w:t>2</w:t>
      </w:r>
      <w:r w:rsidRPr="00BD79F0">
        <w:t xml:space="preserve">  Commencement</w:t>
      </w:r>
      <w:bookmarkEnd w:id="4"/>
    </w:p>
    <w:p w:rsidR="00B107A2" w:rsidRPr="00BD79F0" w:rsidRDefault="00B107A2" w:rsidP="007C4532">
      <w:pPr>
        <w:pStyle w:val="subsection"/>
      </w:pPr>
      <w:r w:rsidRPr="00BD79F0">
        <w:tab/>
        <w:t>(1)</w:t>
      </w:r>
      <w:r w:rsidRPr="00BD79F0">
        <w:tab/>
        <w:t>Each provision of this instrument specified in column 1 of the table commences, or is taken to have commenced, in accordance with column 2 of the table. Any other statement in column 2 has effect according to its terms.</w:t>
      </w:r>
    </w:p>
    <w:p w:rsidR="00B107A2" w:rsidRPr="00BD79F0" w:rsidRDefault="00B107A2" w:rsidP="007C453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B107A2" w:rsidRPr="00BD79F0" w:rsidTr="00B107A2">
        <w:trPr>
          <w:tblHeader/>
        </w:trPr>
        <w:tc>
          <w:tcPr>
            <w:tcW w:w="5000" w:type="pct"/>
            <w:gridSpan w:val="3"/>
            <w:tcBorders>
              <w:top w:val="single" w:sz="12" w:space="0" w:color="auto"/>
              <w:bottom w:val="single" w:sz="2" w:space="0" w:color="auto"/>
            </w:tcBorders>
            <w:shd w:val="clear" w:color="auto" w:fill="auto"/>
            <w:hideMark/>
          </w:tcPr>
          <w:p w:rsidR="00B107A2" w:rsidRPr="00BD79F0" w:rsidRDefault="00B107A2" w:rsidP="007C4532">
            <w:pPr>
              <w:pStyle w:val="TableHeading"/>
            </w:pPr>
            <w:r w:rsidRPr="00BD79F0">
              <w:t>Commencement information</w:t>
            </w:r>
          </w:p>
        </w:tc>
      </w:tr>
      <w:tr w:rsidR="00B107A2" w:rsidRPr="00BD79F0" w:rsidTr="00B107A2">
        <w:trPr>
          <w:tblHeader/>
        </w:trPr>
        <w:tc>
          <w:tcPr>
            <w:tcW w:w="1196" w:type="pct"/>
            <w:tcBorders>
              <w:top w:val="single" w:sz="2" w:space="0" w:color="auto"/>
              <w:bottom w:val="single" w:sz="2" w:space="0" w:color="auto"/>
            </w:tcBorders>
            <w:shd w:val="clear" w:color="auto" w:fill="auto"/>
            <w:hideMark/>
          </w:tcPr>
          <w:p w:rsidR="00B107A2" w:rsidRPr="00BD79F0" w:rsidRDefault="00B107A2" w:rsidP="007C4532">
            <w:pPr>
              <w:pStyle w:val="TableHeading"/>
            </w:pPr>
            <w:r w:rsidRPr="00BD79F0">
              <w:t>Column 1</w:t>
            </w:r>
          </w:p>
        </w:tc>
        <w:tc>
          <w:tcPr>
            <w:tcW w:w="2692" w:type="pct"/>
            <w:tcBorders>
              <w:top w:val="single" w:sz="2" w:space="0" w:color="auto"/>
              <w:bottom w:val="single" w:sz="2" w:space="0" w:color="auto"/>
            </w:tcBorders>
            <w:shd w:val="clear" w:color="auto" w:fill="auto"/>
            <w:hideMark/>
          </w:tcPr>
          <w:p w:rsidR="00B107A2" w:rsidRPr="00BD79F0" w:rsidRDefault="00B107A2" w:rsidP="007C4532">
            <w:pPr>
              <w:pStyle w:val="TableHeading"/>
            </w:pPr>
            <w:r w:rsidRPr="00BD79F0">
              <w:t>Column 2</w:t>
            </w:r>
          </w:p>
        </w:tc>
        <w:tc>
          <w:tcPr>
            <w:tcW w:w="1112" w:type="pct"/>
            <w:tcBorders>
              <w:top w:val="single" w:sz="2" w:space="0" w:color="auto"/>
              <w:bottom w:val="single" w:sz="2" w:space="0" w:color="auto"/>
            </w:tcBorders>
            <w:shd w:val="clear" w:color="auto" w:fill="auto"/>
            <w:hideMark/>
          </w:tcPr>
          <w:p w:rsidR="00B107A2" w:rsidRPr="00BD79F0" w:rsidRDefault="00B107A2" w:rsidP="007C4532">
            <w:pPr>
              <w:pStyle w:val="TableHeading"/>
            </w:pPr>
            <w:r w:rsidRPr="00BD79F0">
              <w:t>Column 3</w:t>
            </w:r>
          </w:p>
        </w:tc>
      </w:tr>
      <w:tr w:rsidR="00B107A2" w:rsidRPr="00BD79F0" w:rsidTr="00B107A2">
        <w:trPr>
          <w:tblHeader/>
        </w:trPr>
        <w:tc>
          <w:tcPr>
            <w:tcW w:w="1196" w:type="pct"/>
            <w:tcBorders>
              <w:top w:val="single" w:sz="2" w:space="0" w:color="auto"/>
              <w:bottom w:val="single" w:sz="12" w:space="0" w:color="auto"/>
            </w:tcBorders>
            <w:shd w:val="clear" w:color="auto" w:fill="auto"/>
            <w:hideMark/>
          </w:tcPr>
          <w:p w:rsidR="00B107A2" w:rsidRPr="00BD79F0" w:rsidRDefault="00B107A2" w:rsidP="007C4532">
            <w:pPr>
              <w:pStyle w:val="TableHeading"/>
            </w:pPr>
            <w:r w:rsidRPr="00BD79F0">
              <w:t>Provisions</w:t>
            </w:r>
          </w:p>
        </w:tc>
        <w:tc>
          <w:tcPr>
            <w:tcW w:w="2692" w:type="pct"/>
            <w:tcBorders>
              <w:top w:val="single" w:sz="2" w:space="0" w:color="auto"/>
              <w:bottom w:val="single" w:sz="12" w:space="0" w:color="auto"/>
            </w:tcBorders>
            <w:shd w:val="clear" w:color="auto" w:fill="auto"/>
            <w:hideMark/>
          </w:tcPr>
          <w:p w:rsidR="00B107A2" w:rsidRPr="00BD79F0" w:rsidRDefault="00B107A2" w:rsidP="007C4532">
            <w:pPr>
              <w:pStyle w:val="TableHeading"/>
            </w:pPr>
            <w:r w:rsidRPr="00BD79F0">
              <w:t>Commencement</w:t>
            </w:r>
          </w:p>
        </w:tc>
        <w:tc>
          <w:tcPr>
            <w:tcW w:w="1112" w:type="pct"/>
            <w:tcBorders>
              <w:top w:val="single" w:sz="2" w:space="0" w:color="auto"/>
              <w:bottom w:val="single" w:sz="12" w:space="0" w:color="auto"/>
            </w:tcBorders>
            <w:shd w:val="clear" w:color="auto" w:fill="auto"/>
            <w:hideMark/>
          </w:tcPr>
          <w:p w:rsidR="00B107A2" w:rsidRPr="00BD79F0" w:rsidRDefault="00B107A2" w:rsidP="007C4532">
            <w:pPr>
              <w:pStyle w:val="TableHeading"/>
            </w:pPr>
            <w:r w:rsidRPr="00BD79F0">
              <w:t>Date/Details</w:t>
            </w:r>
          </w:p>
        </w:tc>
      </w:tr>
      <w:tr w:rsidR="00B107A2" w:rsidRPr="00BD79F0" w:rsidTr="00B107A2">
        <w:tc>
          <w:tcPr>
            <w:tcW w:w="1196" w:type="pct"/>
            <w:tcBorders>
              <w:top w:val="single" w:sz="12" w:space="0" w:color="auto"/>
              <w:bottom w:val="single" w:sz="12" w:space="0" w:color="auto"/>
            </w:tcBorders>
            <w:shd w:val="clear" w:color="auto" w:fill="auto"/>
            <w:hideMark/>
          </w:tcPr>
          <w:p w:rsidR="00B107A2" w:rsidRPr="00BD79F0" w:rsidRDefault="00B107A2" w:rsidP="007C4532">
            <w:pPr>
              <w:pStyle w:val="Tabletext"/>
            </w:pPr>
            <w:r w:rsidRPr="00BD79F0">
              <w:t>1.  The whole of this instrument</w:t>
            </w:r>
          </w:p>
        </w:tc>
        <w:tc>
          <w:tcPr>
            <w:tcW w:w="2692" w:type="pct"/>
            <w:tcBorders>
              <w:top w:val="single" w:sz="12" w:space="0" w:color="auto"/>
              <w:bottom w:val="single" w:sz="12" w:space="0" w:color="auto"/>
            </w:tcBorders>
            <w:shd w:val="clear" w:color="auto" w:fill="auto"/>
          </w:tcPr>
          <w:p w:rsidR="00B107A2" w:rsidRPr="00BD79F0" w:rsidRDefault="00B107A2" w:rsidP="007C4532">
            <w:pPr>
              <w:pStyle w:val="Tabletext"/>
            </w:pPr>
            <w:r w:rsidRPr="00BD79F0">
              <w:t>The day after this instrument is registered.</w:t>
            </w:r>
          </w:p>
        </w:tc>
        <w:tc>
          <w:tcPr>
            <w:tcW w:w="1112" w:type="pct"/>
            <w:tcBorders>
              <w:top w:val="single" w:sz="12" w:space="0" w:color="auto"/>
              <w:bottom w:val="single" w:sz="12" w:space="0" w:color="auto"/>
            </w:tcBorders>
            <w:shd w:val="clear" w:color="auto" w:fill="auto"/>
          </w:tcPr>
          <w:p w:rsidR="00B107A2" w:rsidRPr="00BD79F0" w:rsidRDefault="005F7160" w:rsidP="007C4532">
            <w:pPr>
              <w:pStyle w:val="Tabletext"/>
            </w:pPr>
            <w:r>
              <w:t>15 November 2016</w:t>
            </w:r>
            <w:bookmarkStart w:id="5" w:name="_GoBack"/>
            <w:bookmarkEnd w:id="5"/>
          </w:p>
        </w:tc>
      </w:tr>
    </w:tbl>
    <w:p w:rsidR="00B107A2" w:rsidRPr="00BD79F0" w:rsidRDefault="00B107A2" w:rsidP="007C4532">
      <w:pPr>
        <w:pStyle w:val="notetext"/>
      </w:pPr>
      <w:r w:rsidRPr="00BD79F0">
        <w:rPr>
          <w:snapToGrid w:val="0"/>
          <w:lang w:eastAsia="en-US"/>
        </w:rPr>
        <w:t>Note:</w:t>
      </w:r>
      <w:r w:rsidRPr="00BD79F0">
        <w:rPr>
          <w:snapToGrid w:val="0"/>
          <w:lang w:eastAsia="en-US"/>
        </w:rPr>
        <w:tab/>
        <w:t xml:space="preserve">This table relates only to the provisions of this </w:t>
      </w:r>
      <w:r w:rsidRPr="00BD79F0">
        <w:t xml:space="preserve">instrument </w:t>
      </w:r>
      <w:r w:rsidRPr="00BD79F0">
        <w:rPr>
          <w:snapToGrid w:val="0"/>
          <w:lang w:eastAsia="en-US"/>
        </w:rPr>
        <w:t xml:space="preserve">as originally made. It will not be amended to deal with any later amendments of this </w:t>
      </w:r>
      <w:r w:rsidRPr="00BD79F0">
        <w:t>instrument</w:t>
      </w:r>
      <w:r w:rsidRPr="00BD79F0">
        <w:rPr>
          <w:snapToGrid w:val="0"/>
          <w:lang w:eastAsia="en-US"/>
        </w:rPr>
        <w:t>.</w:t>
      </w:r>
    </w:p>
    <w:p w:rsidR="00B107A2" w:rsidRPr="00BD79F0" w:rsidRDefault="00B107A2" w:rsidP="007C4532">
      <w:pPr>
        <w:pStyle w:val="subsection"/>
      </w:pPr>
      <w:r w:rsidRPr="00BD79F0">
        <w:tab/>
        <w:t>(2)</w:t>
      </w:r>
      <w:r w:rsidRPr="00BD79F0">
        <w:tab/>
        <w:t>Any information in column 3 of the table is not part of this instrument. Information may be inserted in this column, or information in it may be edited, in any published version of this instrument.</w:t>
      </w:r>
    </w:p>
    <w:p w:rsidR="007769D4" w:rsidRPr="00BD79F0" w:rsidRDefault="007769D4" w:rsidP="007769D4">
      <w:pPr>
        <w:pStyle w:val="ActHead5"/>
      </w:pPr>
      <w:bookmarkStart w:id="6" w:name="_Toc465319394"/>
      <w:r w:rsidRPr="00BD79F0">
        <w:rPr>
          <w:rStyle w:val="CharSectno"/>
        </w:rPr>
        <w:t>3</w:t>
      </w:r>
      <w:r w:rsidRPr="00BD79F0">
        <w:t xml:space="preserve">  Authority</w:t>
      </w:r>
      <w:bookmarkEnd w:id="6"/>
    </w:p>
    <w:p w:rsidR="007769D4" w:rsidRPr="00BD79F0" w:rsidRDefault="007769D4" w:rsidP="007769D4">
      <w:pPr>
        <w:pStyle w:val="subsection"/>
      </w:pPr>
      <w:r w:rsidRPr="00BD79F0">
        <w:tab/>
      </w:r>
      <w:r w:rsidRPr="00BD79F0">
        <w:tab/>
      </w:r>
      <w:r w:rsidR="00AF0336" w:rsidRPr="00BD79F0">
        <w:t xml:space="preserve">This </w:t>
      </w:r>
      <w:r w:rsidR="00B107A2" w:rsidRPr="00BD79F0">
        <w:t>instrument</w:t>
      </w:r>
      <w:r w:rsidR="00AF0336" w:rsidRPr="00BD79F0">
        <w:t xml:space="preserve"> is made under the </w:t>
      </w:r>
      <w:r w:rsidR="00B107A2" w:rsidRPr="00BD79F0">
        <w:rPr>
          <w:i/>
        </w:rPr>
        <w:t>Financial Framework (Supplementary Powers) Act 1997</w:t>
      </w:r>
      <w:r w:rsidR="00D83D21" w:rsidRPr="00BD79F0">
        <w:rPr>
          <w:i/>
        </w:rPr>
        <w:t>.</w:t>
      </w:r>
    </w:p>
    <w:p w:rsidR="00557C7A" w:rsidRPr="00BD79F0" w:rsidRDefault="007769D4" w:rsidP="00557C7A">
      <w:pPr>
        <w:pStyle w:val="ActHead5"/>
      </w:pPr>
      <w:bookmarkStart w:id="7" w:name="_Toc465319395"/>
      <w:r w:rsidRPr="00BD79F0">
        <w:rPr>
          <w:rStyle w:val="CharSectno"/>
        </w:rPr>
        <w:t>4</w:t>
      </w:r>
      <w:r w:rsidR="00557C7A" w:rsidRPr="00BD79F0">
        <w:t xml:space="preserve">  </w:t>
      </w:r>
      <w:r w:rsidR="00B332B8" w:rsidRPr="00BD79F0">
        <w:t>Schedules</w:t>
      </w:r>
      <w:bookmarkEnd w:id="7"/>
    </w:p>
    <w:p w:rsidR="000F6B02" w:rsidRPr="00BD79F0" w:rsidRDefault="00557C7A" w:rsidP="000F6B02">
      <w:pPr>
        <w:pStyle w:val="subsection"/>
      </w:pPr>
      <w:r w:rsidRPr="00BD79F0">
        <w:tab/>
      </w:r>
      <w:r w:rsidRPr="00BD79F0">
        <w:tab/>
      </w:r>
      <w:r w:rsidR="000F6B02" w:rsidRPr="00BD79F0">
        <w:t xml:space="preserve">Each instrument that is specified in a Schedule to </w:t>
      </w:r>
      <w:r w:rsidR="00B107A2" w:rsidRPr="00BD79F0">
        <w:t>this instrument</w:t>
      </w:r>
      <w:r w:rsidR="000F6B02" w:rsidRPr="00BD79F0">
        <w:t xml:space="preserve"> is amended or repealed as set out in the applicable items in the Schedule concerned, and any other item in a Schedule to </w:t>
      </w:r>
      <w:r w:rsidR="00B107A2" w:rsidRPr="00BD79F0">
        <w:t>this instrument</w:t>
      </w:r>
      <w:r w:rsidR="000F6B02" w:rsidRPr="00BD79F0">
        <w:t xml:space="preserve"> has effect according to its terms.</w:t>
      </w:r>
    </w:p>
    <w:p w:rsidR="0048364F" w:rsidRPr="00BD79F0" w:rsidRDefault="0048364F" w:rsidP="00FF3089">
      <w:pPr>
        <w:pStyle w:val="ActHead6"/>
        <w:pageBreakBefore/>
      </w:pPr>
      <w:bookmarkStart w:id="8" w:name="_Toc465319396"/>
      <w:bookmarkStart w:id="9" w:name="opcAmSched"/>
      <w:bookmarkStart w:id="10" w:name="opcCurrentFind"/>
      <w:r w:rsidRPr="00BD79F0">
        <w:rPr>
          <w:rStyle w:val="CharAmSchNo"/>
        </w:rPr>
        <w:t>Schedule</w:t>
      </w:r>
      <w:r w:rsidR="00BD79F0" w:rsidRPr="00BD79F0">
        <w:rPr>
          <w:rStyle w:val="CharAmSchNo"/>
        </w:rPr>
        <w:t> </w:t>
      </w:r>
      <w:r w:rsidRPr="00BD79F0">
        <w:rPr>
          <w:rStyle w:val="CharAmSchNo"/>
        </w:rPr>
        <w:t>1</w:t>
      </w:r>
      <w:r w:rsidRPr="00BD79F0">
        <w:t>—</w:t>
      </w:r>
      <w:r w:rsidR="00460499" w:rsidRPr="00BD79F0">
        <w:rPr>
          <w:rStyle w:val="CharAmSchText"/>
        </w:rPr>
        <w:t>Amendments</w:t>
      </w:r>
      <w:bookmarkEnd w:id="8"/>
    </w:p>
    <w:bookmarkEnd w:id="9"/>
    <w:bookmarkEnd w:id="10"/>
    <w:p w:rsidR="0004044E" w:rsidRPr="00BD79F0" w:rsidRDefault="0004044E" w:rsidP="0004044E">
      <w:pPr>
        <w:pStyle w:val="Header"/>
      </w:pPr>
      <w:r w:rsidRPr="00BD79F0">
        <w:rPr>
          <w:rStyle w:val="CharAmPartNo"/>
        </w:rPr>
        <w:t xml:space="preserve"> </w:t>
      </w:r>
      <w:r w:rsidRPr="00BD79F0">
        <w:rPr>
          <w:rStyle w:val="CharAmPartText"/>
        </w:rPr>
        <w:t xml:space="preserve"> </w:t>
      </w:r>
    </w:p>
    <w:p w:rsidR="00137579" w:rsidRPr="00BD79F0" w:rsidRDefault="00137579" w:rsidP="00137579">
      <w:pPr>
        <w:pStyle w:val="ActHead9"/>
      </w:pPr>
      <w:bookmarkStart w:id="11" w:name="_Toc465319397"/>
      <w:r w:rsidRPr="00BD79F0">
        <w:t>Financial Framework (Supplementary Powers) Regulations</w:t>
      </w:r>
      <w:r w:rsidR="00BD79F0" w:rsidRPr="00BD79F0">
        <w:t> </w:t>
      </w:r>
      <w:r w:rsidRPr="00BD79F0">
        <w:t>1997</w:t>
      </w:r>
      <w:bookmarkEnd w:id="11"/>
    </w:p>
    <w:p w:rsidR="00604A85" w:rsidRPr="00BD79F0" w:rsidRDefault="00BB6E79" w:rsidP="00604A85">
      <w:pPr>
        <w:pStyle w:val="ItemHead"/>
        <w:tabs>
          <w:tab w:val="left" w:pos="6663"/>
        </w:tabs>
      </w:pPr>
      <w:r w:rsidRPr="00BD79F0">
        <w:t xml:space="preserve">1  </w:t>
      </w:r>
      <w:r w:rsidR="00604A85" w:rsidRPr="00BD79F0">
        <w:t>In the appropriate position in Part</w:t>
      </w:r>
      <w:r w:rsidR="00BD79F0" w:rsidRPr="00BD79F0">
        <w:t> </w:t>
      </w:r>
      <w:r w:rsidR="00604A85" w:rsidRPr="00BD79F0">
        <w:t>4 of Schedule</w:t>
      </w:r>
      <w:r w:rsidR="00BD79F0" w:rsidRPr="00BD79F0">
        <w:t> </w:t>
      </w:r>
      <w:r w:rsidR="00604A85" w:rsidRPr="00BD79F0">
        <w:t>1AB (table)</w:t>
      </w:r>
    </w:p>
    <w:p w:rsidR="00604A85" w:rsidRPr="00BD79F0" w:rsidRDefault="00604A85" w:rsidP="00604A85">
      <w:pPr>
        <w:pStyle w:val="Item"/>
      </w:pPr>
      <w:r w:rsidRPr="00BD79F0">
        <w:t>Insert:</w:t>
      </w:r>
    </w:p>
    <w:p w:rsidR="00604A85" w:rsidRPr="00BD79F0" w:rsidRDefault="00604A85" w:rsidP="00604A85">
      <w:pPr>
        <w:pStyle w:val="Tabletext"/>
      </w:pPr>
    </w:p>
    <w:tbl>
      <w:tblPr>
        <w:tblW w:w="8506" w:type="dxa"/>
        <w:tblInd w:w="-34" w:type="dxa"/>
        <w:tblBorders>
          <w:insideH w:val="single" w:sz="4" w:space="0" w:color="auto"/>
        </w:tblBorders>
        <w:tblLayout w:type="fixed"/>
        <w:tblLook w:val="0000" w:firstRow="0" w:lastRow="0" w:firstColumn="0" w:lastColumn="0" w:noHBand="0" w:noVBand="0"/>
      </w:tblPr>
      <w:tblGrid>
        <w:gridCol w:w="851"/>
        <w:gridCol w:w="2552"/>
        <w:gridCol w:w="5103"/>
      </w:tblGrid>
      <w:tr w:rsidR="00604A85" w:rsidRPr="00BD79F0" w:rsidTr="00BB10CE">
        <w:tc>
          <w:tcPr>
            <w:tcW w:w="851" w:type="dxa"/>
            <w:shd w:val="clear" w:color="auto" w:fill="auto"/>
          </w:tcPr>
          <w:p w:rsidR="00604A85" w:rsidRPr="00BD79F0" w:rsidRDefault="00604A85" w:rsidP="00CB6C9F">
            <w:pPr>
              <w:pStyle w:val="Tabletext"/>
            </w:pPr>
            <w:r w:rsidRPr="00BD79F0">
              <w:t>17</w:t>
            </w:r>
            <w:r w:rsidR="00CB6C9F" w:rsidRPr="00BD79F0">
              <w:t>6</w:t>
            </w:r>
          </w:p>
        </w:tc>
        <w:tc>
          <w:tcPr>
            <w:tcW w:w="2552" w:type="dxa"/>
            <w:shd w:val="clear" w:color="auto" w:fill="auto"/>
          </w:tcPr>
          <w:p w:rsidR="00604A85" w:rsidRPr="00BD79F0" w:rsidRDefault="00604A85" w:rsidP="007C4532">
            <w:pPr>
              <w:pStyle w:val="Tabletext"/>
            </w:pPr>
            <w:r w:rsidRPr="00BD79F0">
              <w:t>Rural General Practice Grants Program</w:t>
            </w:r>
          </w:p>
        </w:tc>
        <w:tc>
          <w:tcPr>
            <w:tcW w:w="5103" w:type="dxa"/>
            <w:shd w:val="clear" w:color="auto" w:fill="auto"/>
          </w:tcPr>
          <w:p w:rsidR="00BC47B2" w:rsidRPr="00BD79F0" w:rsidRDefault="003C2290" w:rsidP="003C2290">
            <w:pPr>
              <w:pStyle w:val="Tabletext"/>
            </w:pPr>
            <w:r w:rsidRPr="00BD79F0">
              <w:t>To provide funding to existing general practices in rural and regional Australia to build or purchase additional infrastructure or equipment to support the delivery of health services and to support the practice</w:t>
            </w:r>
            <w:r w:rsidR="00A328DC" w:rsidRPr="00BD79F0">
              <w:t>s</w:t>
            </w:r>
            <w:r w:rsidRPr="00BD79F0">
              <w:t xml:space="preserve"> in providing clinical placements to students training to become he</w:t>
            </w:r>
            <w:r w:rsidR="00BC47B2" w:rsidRPr="00BD79F0">
              <w:t>alth practitioners.</w:t>
            </w:r>
          </w:p>
          <w:p w:rsidR="00D309A4" w:rsidRPr="00BD79F0" w:rsidRDefault="00D309A4" w:rsidP="00D309A4">
            <w:pPr>
              <w:pStyle w:val="Tabletext"/>
            </w:pPr>
            <w:r w:rsidRPr="00BD79F0">
              <w:t>This objective also has the effect it would have if it were limited to measures:</w:t>
            </w:r>
          </w:p>
          <w:p w:rsidR="003C2290" w:rsidRPr="00BD79F0" w:rsidRDefault="003C2290" w:rsidP="003C2290">
            <w:pPr>
              <w:pStyle w:val="Tablea"/>
            </w:pPr>
            <w:r w:rsidRPr="00BD79F0">
              <w:t xml:space="preserve">(a) </w:t>
            </w:r>
            <w:r w:rsidR="00316BD1" w:rsidRPr="00BD79F0">
              <w:t>providing</w:t>
            </w:r>
            <w:r w:rsidR="00D309A4" w:rsidRPr="00BD79F0">
              <w:t>, or</w:t>
            </w:r>
            <w:r w:rsidRPr="00BD79F0">
              <w:t xml:space="preserve"> </w:t>
            </w:r>
            <w:r w:rsidR="00316BD1" w:rsidRPr="00BD79F0">
              <w:t>incidental to</w:t>
            </w:r>
            <w:r w:rsidR="00470103" w:rsidRPr="00BD79F0">
              <w:t xml:space="preserve"> the provision of</w:t>
            </w:r>
            <w:r w:rsidR="00316BD1" w:rsidRPr="00BD79F0">
              <w:t>,</w:t>
            </w:r>
            <w:r w:rsidR="00470103" w:rsidRPr="00BD79F0">
              <w:t xml:space="preserve"> </w:t>
            </w:r>
            <w:r w:rsidRPr="00BD79F0">
              <w:t>sickness benefits, hospital benefits or medical services; or</w:t>
            </w:r>
          </w:p>
          <w:p w:rsidR="003C2290" w:rsidRPr="00BD79F0" w:rsidRDefault="003C2290" w:rsidP="00D309A4">
            <w:pPr>
              <w:pStyle w:val="Tablea"/>
            </w:pPr>
            <w:r w:rsidRPr="00BD79F0">
              <w:t xml:space="preserve">(b) </w:t>
            </w:r>
            <w:r w:rsidR="00D309A4" w:rsidRPr="00BD79F0">
              <w:t>giving</w:t>
            </w:r>
            <w:r w:rsidRPr="00BD79F0">
              <w:t xml:space="preserve"> effect to Australia’s obligations under the International Covenant on Economic, Social and Cultural Rights, particularly Articles 2 and 12.</w:t>
            </w:r>
          </w:p>
        </w:tc>
      </w:tr>
      <w:tr w:rsidR="00604A85" w:rsidRPr="00BD79F0" w:rsidTr="00BB10CE">
        <w:tc>
          <w:tcPr>
            <w:tcW w:w="851" w:type="dxa"/>
            <w:shd w:val="clear" w:color="auto" w:fill="auto"/>
          </w:tcPr>
          <w:p w:rsidR="00604A85" w:rsidRPr="00BD79F0" w:rsidRDefault="00604A85" w:rsidP="00CB6C9F">
            <w:pPr>
              <w:pStyle w:val="Tabletext"/>
            </w:pPr>
            <w:r w:rsidRPr="00BD79F0">
              <w:t>17</w:t>
            </w:r>
            <w:r w:rsidR="00CB6C9F" w:rsidRPr="00BD79F0">
              <w:t>7</w:t>
            </w:r>
          </w:p>
        </w:tc>
        <w:tc>
          <w:tcPr>
            <w:tcW w:w="2552" w:type="dxa"/>
            <w:shd w:val="clear" w:color="auto" w:fill="auto"/>
          </w:tcPr>
          <w:p w:rsidR="00604A85" w:rsidRPr="00BD79F0" w:rsidRDefault="00604A85" w:rsidP="00CB2CF3">
            <w:pPr>
              <w:pStyle w:val="Tabletext"/>
            </w:pPr>
            <w:r w:rsidRPr="00BD79F0">
              <w:t xml:space="preserve">Perinatal </w:t>
            </w:r>
            <w:r w:rsidR="00CB2CF3" w:rsidRPr="00BD79F0">
              <w:t>d</w:t>
            </w:r>
            <w:r w:rsidRPr="00BD79F0">
              <w:t xml:space="preserve">epression </w:t>
            </w:r>
            <w:r w:rsidR="00CB2CF3" w:rsidRPr="00BD79F0">
              <w:t>o</w:t>
            </w:r>
            <w:r w:rsidRPr="00BD79F0">
              <w:t xml:space="preserve">nline </w:t>
            </w:r>
            <w:r w:rsidR="00CB2CF3" w:rsidRPr="00BD79F0">
              <w:t>s</w:t>
            </w:r>
            <w:r w:rsidRPr="00BD79F0">
              <w:t xml:space="preserve">upport </w:t>
            </w:r>
            <w:r w:rsidR="00CB2CF3" w:rsidRPr="00BD79F0">
              <w:t>t</w:t>
            </w:r>
            <w:r w:rsidRPr="00BD79F0">
              <w:t>ool</w:t>
            </w:r>
          </w:p>
        </w:tc>
        <w:tc>
          <w:tcPr>
            <w:tcW w:w="5103" w:type="dxa"/>
            <w:shd w:val="clear" w:color="auto" w:fill="auto"/>
          </w:tcPr>
          <w:p w:rsidR="00CB2CF3" w:rsidRPr="00BD79F0" w:rsidRDefault="00CB2CF3" w:rsidP="00CB2CF3">
            <w:pPr>
              <w:pStyle w:val="Tabletext"/>
            </w:pPr>
            <w:r w:rsidRPr="00BD79F0">
              <w:t>To support pregnant women and new mothers experiencing</w:t>
            </w:r>
            <w:r w:rsidR="00E72217" w:rsidRPr="00BD79F0">
              <w:t>,</w:t>
            </w:r>
            <w:r w:rsidRPr="00BD79F0">
              <w:t xml:space="preserve"> or at risk of developing</w:t>
            </w:r>
            <w:r w:rsidR="00E72217" w:rsidRPr="00BD79F0">
              <w:t>,</w:t>
            </w:r>
            <w:r w:rsidRPr="00BD79F0">
              <w:t xml:space="preserve"> perinatal depression by:</w:t>
            </w:r>
          </w:p>
          <w:p w:rsidR="00CB2CF3" w:rsidRPr="00BD79F0" w:rsidRDefault="00CB2CF3" w:rsidP="00CB2CF3">
            <w:pPr>
              <w:pStyle w:val="Tablea"/>
            </w:pPr>
            <w:r w:rsidRPr="00BD79F0">
              <w:t>(a) developing resources and support tools relating to perinatal depression for delivery online;</w:t>
            </w:r>
            <w:r w:rsidR="00F805E1" w:rsidRPr="00BD79F0">
              <w:t xml:space="preserve"> and</w:t>
            </w:r>
          </w:p>
          <w:p w:rsidR="00CB2CF3" w:rsidRPr="00BD79F0" w:rsidRDefault="00CB2CF3" w:rsidP="00CB2CF3">
            <w:pPr>
              <w:pStyle w:val="Tablea"/>
            </w:pPr>
            <w:r w:rsidRPr="00BD79F0">
              <w:t>(b) developing mobile applications for the delivery of resources and support tools relating to perinatal depression online;</w:t>
            </w:r>
            <w:r w:rsidR="00F805E1" w:rsidRPr="00BD79F0">
              <w:t xml:space="preserve"> and</w:t>
            </w:r>
          </w:p>
          <w:p w:rsidR="00CB2CF3" w:rsidRPr="00BD79F0" w:rsidRDefault="00CB2CF3" w:rsidP="00CB2CF3">
            <w:pPr>
              <w:pStyle w:val="Tablea"/>
            </w:pPr>
            <w:r w:rsidRPr="00BD79F0">
              <w:t>(c) the delivery of resources and support tools relating to perinatal depression online via a website and mobile applica</w:t>
            </w:r>
            <w:r w:rsidR="00F805E1" w:rsidRPr="00BD79F0">
              <w:t>tion.</w:t>
            </w:r>
          </w:p>
          <w:p w:rsidR="00CB2CF3" w:rsidRPr="00BD79F0" w:rsidRDefault="00F805E1" w:rsidP="00CB2CF3">
            <w:pPr>
              <w:pStyle w:val="Tabletext"/>
            </w:pPr>
            <w:r w:rsidRPr="00BD79F0">
              <w:t>This objective also has the effect it would have if it were limited to measures:</w:t>
            </w:r>
          </w:p>
          <w:p w:rsidR="00CB2CF3" w:rsidRPr="00BD79F0" w:rsidRDefault="00CB2CF3" w:rsidP="00CB2CF3">
            <w:pPr>
              <w:pStyle w:val="Tablea"/>
            </w:pPr>
            <w:r w:rsidRPr="00BD79F0">
              <w:t>(</w:t>
            </w:r>
            <w:r w:rsidR="005668AD" w:rsidRPr="00BD79F0">
              <w:t>a</w:t>
            </w:r>
            <w:r w:rsidRPr="00BD79F0">
              <w:t xml:space="preserve">) </w:t>
            </w:r>
            <w:r w:rsidR="005668AD" w:rsidRPr="00BD79F0">
              <w:t>in</w:t>
            </w:r>
            <w:r w:rsidRPr="00BD79F0">
              <w:t xml:space="preserve"> connection with online communications; or</w:t>
            </w:r>
          </w:p>
          <w:p w:rsidR="00604A85" w:rsidRPr="00BD79F0" w:rsidRDefault="00CB2CF3" w:rsidP="005668AD">
            <w:pPr>
              <w:pStyle w:val="Tablea"/>
            </w:pPr>
            <w:r w:rsidRPr="00BD79F0">
              <w:t>(</w:t>
            </w:r>
            <w:r w:rsidR="005668AD" w:rsidRPr="00BD79F0">
              <w:t>b</w:t>
            </w:r>
            <w:r w:rsidRPr="00BD79F0">
              <w:t xml:space="preserve">) </w:t>
            </w:r>
            <w:r w:rsidR="005668AD" w:rsidRPr="00BD79F0">
              <w:t>giving</w:t>
            </w:r>
            <w:r w:rsidRPr="00BD79F0">
              <w:t xml:space="preserve"> effect to Australia’s obligations under the International Covenant on Economic, Social and Cultural Rights, particularly Articles</w:t>
            </w:r>
            <w:r w:rsidR="000D4432" w:rsidRPr="00BD79F0">
              <w:t xml:space="preserve"> </w:t>
            </w:r>
            <w:r w:rsidRPr="00BD79F0">
              <w:t>2 and 12.</w:t>
            </w:r>
          </w:p>
        </w:tc>
      </w:tr>
      <w:tr w:rsidR="00604A85" w:rsidRPr="00BD79F0" w:rsidTr="00BB10CE">
        <w:tc>
          <w:tcPr>
            <w:tcW w:w="851" w:type="dxa"/>
            <w:shd w:val="clear" w:color="auto" w:fill="auto"/>
          </w:tcPr>
          <w:p w:rsidR="00604A85" w:rsidRPr="00BD79F0" w:rsidRDefault="00604A85" w:rsidP="00CB6C9F">
            <w:pPr>
              <w:pStyle w:val="Tabletext"/>
            </w:pPr>
            <w:r w:rsidRPr="00BD79F0">
              <w:t>17</w:t>
            </w:r>
            <w:r w:rsidR="00CB6C9F" w:rsidRPr="00BD79F0">
              <w:t>8</w:t>
            </w:r>
          </w:p>
        </w:tc>
        <w:tc>
          <w:tcPr>
            <w:tcW w:w="2552" w:type="dxa"/>
            <w:shd w:val="clear" w:color="auto" w:fill="auto"/>
          </w:tcPr>
          <w:p w:rsidR="00604A85" w:rsidRPr="00BD79F0" w:rsidRDefault="00604A85" w:rsidP="007C4532">
            <w:pPr>
              <w:pStyle w:val="Tabletext"/>
            </w:pPr>
            <w:r w:rsidRPr="00BD79F0">
              <w:t>Protecting Australians from Antimicrobial Resistance</w:t>
            </w:r>
          </w:p>
        </w:tc>
        <w:tc>
          <w:tcPr>
            <w:tcW w:w="5103" w:type="dxa"/>
            <w:shd w:val="clear" w:color="auto" w:fill="auto"/>
          </w:tcPr>
          <w:p w:rsidR="00DB0090" w:rsidRPr="00BD79F0" w:rsidRDefault="00DB0090" w:rsidP="00DB0090">
            <w:pPr>
              <w:pStyle w:val="Tabletext"/>
            </w:pPr>
            <w:r w:rsidRPr="00BD79F0">
              <w:t>To improve Australia’s capacity to detect, prevent and respond to antimicrobial resistance in support of the National Antimicrobial Resistance Strategy 2015</w:t>
            </w:r>
            <w:r w:rsidR="00BD79F0">
              <w:noBreakHyphen/>
            </w:r>
            <w:r w:rsidRPr="00BD79F0">
              <w:t>19 by:</w:t>
            </w:r>
          </w:p>
          <w:p w:rsidR="00DB0090" w:rsidRPr="00BD79F0" w:rsidRDefault="00DB0090" w:rsidP="00DB0090">
            <w:pPr>
              <w:pStyle w:val="Tablea"/>
            </w:pPr>
            <w:r w:rsidRPr="00BD79F0">
              <w:t>(a) continuing and enhancing existing surveillance activities relating to antimicrobial resistance;</w:t>
            </w:r>
            <w:r w:rsidR="0080519D" w:rsidRPr="00BD79F0">
              <w:t xml:space="preserve"> and</w:t>
            </w:r>
          </w:p>
          <w:p w:rsidR="00DB0090" w:rsidRPr="00BD79F0" w:rsidRDefault="00DB0090" w:rsidP="00DB0090">
            <w:pPr>
              <w:pStyle w:val="Tablea"/>
            </w:pPr>
            <w:r w:rsidRPr="00BD79F0">
              <w:t xml:space="preserve">(b) collecting and reporting data relating to antimicrobial resistance in Australia, including </w:t>
            </w:r>
            <w:r w:rsidR="00174E25" w:rsidRPr="00BD79F0">
              <w:t>reporting data</w:t>
            </w:r>
            <w:r w:rsidR="00CC52E2" w:rsidRPr="00BD79F0">
              <w:t xml:space="preserve"> </w:t>
            </w:r>
            <w:r w:rsidRPr="00BD79F0">
              <w:t>to the World Health Organization;</w:t>
            </w:r>
            <w:r w:rsidR="0080519D" w:rsidRPr="00BD79F0">
              <w:t xml:space="preserve"> and</w:t>
            </w:r>
          </w:p>
          <w:p w:rsidR="00DB0090" w:rsidRPr="00BD79F0" w:rsidRDefault="00DB0090" w:rsidP="00DB0090">
            <w:pPr>
              <w:pStyle w:val="Tablea"/>
            </w:pPr>
            <w:r w:rsidRPr="00BD79F0">
              <w:t>(c) identifying risks and trends relating to antimicrobial resistance;</w:t>
            </w:r>
            <w:r w:rsidR="0080519D" w:rsidRPr="00BD79F0">
              <w:t xml:space="preserve"> and</w:t>
            </w:r>
          </w:p>
          <w:p w:rsidR="00DB0090" w:rsidRPr="00BD79F0" w:rsidRDefault="00DB0090" w:rsidP="00DB0090">
            <w:pPr>
              <w:pStyle w:val="Tablea"/>
            </w:pPr>
            <w:r w:rsidRPr="00BD79F0">
              <w:t>(d) developing a plan</w:t>
            </w:r>
            <w:r w:rsidR="00CC52E2" w:rsidRPr="00BD79F0">
              <w:t xml:space="preserve"> </w:t>
            </w:r>
            <w:r w:rsidRPr="00BD79F0">
              <w:t>and resources for general practitioners to support improved antimicrobial stewardship in general practice;</w:t>
            </w:r>
            <w:r w:rsidR="0080519D" w:rsidRPr="00BD79F0">
              <w:t xml:space="preserve"> and</w:t>
            </w:r>
          </w:p>
          <w:p w:rsidR="00604A85" w:rsidRPr="00BD79F0" w:rsidRDefault="00DB0090" w:rsidP="00DB0090">
            <w:pPr>
              <w:pStyle w:val="Tablea"/>
            </w:pPr>
            <w:r w:rsidRPr="00BD79F0">
              <w:t>(e) developing</w:t>
            </w:r>
            <w:r w:rsidR="0080519D" w:rsidRPr="00BD79F0">
              <w:t xml:space="preserve"> </w:t>
            </w:r>
            <w:r w:rsidRPr="00BD79F0">
              <w:t>and maintaining a website</w:t>
            </w:r>
            <w:r w:rsidR="0080519D" w:rsidRPr="00BD79F0">
              <w:t xml:space="preserve"> (including developing content for the website)</w:t>
            </w:r>
            <w:r w:rsidRPr="00BD79F0">
              <w:t xml:space="preserve"> to improve public knowledge about antimicrobial resistance, includi</w:t>
            </w:r>
            <w:r w:rsidR="0080519D" w:rsidRPr="00BD79F0">
              <w:t>ng about its causes and effects.</w:t>
            </w:r>
          </w:p>
          <w:p w:rsidR="00DB0090" w:rsidRPr="00BD79F0" w:rsidRDefault="00171A3C" w:rsidP="00E5738C">
            <w:pPr>
              <w:pStyle w:val="Tabletext"/>
            </w:pPr>
            <w:r w:rsidRPr="00BD79F0">
              <w:t>This objective also has the effect it would have if it were limited to measures:</w:t>
            </w:r>
          </w:p>
          <w:p w:rsidR="00DB0090" w:rsidRPr="00BD79F0" w:rsidRDefault="00DB0090" w:rsidP="00DB0090">
            <w:pPr>
              <w:pStyle w:val="Tablea"/>
            </w:pPr>
            <w:r w:rsidRPr="00BD79F0">
              <w:t>(</w:t>
            </w:r>
            <w:r w:rsidR="00E5738C" w:rsidRPr="00BD79F0">
              <w:t>a</w:t>
            </w:r>
            <w:r w:rsidRPr="00BD79F0">
              <w:t>) in connection with electronic communications; or</w:t>
            </w:r>
          </w:p>
          <w:p w:rsidR="00E5738C" w:rsidRPr="00BD79F0" w:rsidRDefault="00E5738C" w:rsidP="00DB0090">
            <w:pPr>
              <w:pStyle w:val="Tablea"/>
            </w:pPr>
            <w:r w:rsidRPr="00BD79F0">
              <w:t>(b) involving the collection, compilation, analysis or dissemination of statistics; or</w:t>
            </w:r>
          </w:p>
          <w:p w:rsidR="00DB0090" w:rsidRPr="00BD79F0" w:rsidRDefault="00DB0090" w:rsidP="00DB0090">
            <w:pPr>
              <w:pStyle w:val="Tablea"/>
            </w:pPr>
            <w:r w:rsidRPr="00BD79F0">
              <w:t>(</w:t>
            </w:r>
            <w:r w:rsidR="00E5738C" w:rsidRPr="00BD79F0">
              <w:t>c</w:t>
            </w:r>
            <w:r w:rsidRPr="00BD79F0">
              <w:t xml:space="preserve">) </w:t>
            </w:r>
            <w:r w:rsidR="00171A3C" w:rsidRPr="00BD79F0">
              <w:t>providing</w:t>
            </w:r>
            <w:r w:rsidRPr="00BD79F0">
              <w:t>, or incidental to the provision of, medical services, sickness benefits, hospital benefits or pharmaceutical benefits; or</w:t>
            </w:r>
          </w:p>
          <w:p w:rsidR="00DB0090" w:rsidRPr="00BD79F0" w:rsidRDefault="00DB0090" w:rsidP="00DB0090">
            <w:pPr>
              <w:pStyle w:val="Tablea"/>
            </w:pPr>
            <w:r w:rsidRPr="00BD79F0">
              <w:t>(</w:t>
            </w:r>
            <w:r w:rsidR="00E5738C" w:rsidRPr="00BD79F0">
              <w:t>d</w:t>
            </w:r>
            <w:r w:rsidRPr="00BD79F0">
              <w:t xml:space="preserve">) </w:t>
            </w:r>
            <w:r w:rsidR="00171A3C" w:rsidRPr="00BD79F0">
              <w:t>giving</w:t>
            </w:r>
            <w:r w:rsidRPr="00BD79F0">
              <w:t xml:space="preserve"> effect to Australia’s obligations under the following:</w:t>
            </w:r>
          </w:p>
          <w:p w:rsidR="00DB0090" w:rsidRPr="00BD79F0" w:rsidRDefault="00DB0090" w:rsidP="00DB0090">
            <w:pPr>
              <w:pStyle w:val="Tablei"/>
            </w:pPr>
            <w:r w:rsidRPr="00BD79F0">
              <w:t>(i) the International Covenant on Economic, Social and Cultural Rights, pa</w:t>
            </w:r>
            <w:r w:rsidR="00A87CE4" w:rsidRPr="00BD79F0">
              <w:t>rticularly Articles 2 and 12;</w:t>
            </w:r>
          </w:p>
          <w:p w:rsidR="00DB0090" w:rsidRPr="00BD79F0" w:rsidRDefault="00DB0090" w:rsidP="00DB0090">
            <w:pPr>
              <w:pStyle w:val="Tablei"/>
            </w:pPr>
            <w:r w:rsidRPr="00BD79F0">
              <w:t>(ii) the International Health Regulations, particularly Articles 5</w:t>
            </w:r>
            <w:r w:rsidR="00BD79F0">
              <w:noBreakHyphen/>
            </w:r>
            <w:r w:rsidRPr="00BD79F0">
              <w:t>10 and</w:t>
            </w:r>
            <w:r w:rsidR="000D4432" w:rsidRPr="00BD79F0">
              <w:t xml:space="preserve"> </w:t>
            </w:r>
            <w:r w:rsidR="00E5738C" w:rsidRPr="00BD79F0">
              <w:t>44; or</w:t>
            </w:r>
          </w:p>
          <w:p w:rsidR="00E5738C" w:rsidRPr="00BD79F0" w:rsidRDefault="00E5738C" w:rsidP="00E5738C">
            <w:pPr>
              <w:pStyle w:val="Tablea"/>
            </w:pPr>
            <w:r w:rsidRPr="00BD79F0">
              <w:t>(e) taken in the exercise of the executive power of the Commonwealth.</w:t>
            </w:r>
          </w:p>
        </w:tc>
      </w:tr>
      <w:tr w:rsidR="00604A85" w:rsidRPr="00BD79F0" w:rsidTr="00BB10CE">
        <w:tc>
          <w:tcPr>
            <w:tcW w:w="851" w:type="dxa"/>
            <w:shd w:val="clear" w:color="auto" w:fill="auto"/>
          </w:tcPr>
          <w:p w:rsidR="00604A85" w:rsidRPr="00BD79F0" w:rsidRDefault="00287AB4" w:rsidP="00CB6C9F">
            <w:pPr>
              <w:pStyle w:val="Tabletext"/>
            </w:pPr>
            <w:r w:rsidRPr="00BD79F0">
              <w:t>1</w:t>
            </w:r>
            <w:r w:rsidR="00CB6C9F" w:rsidRPr="00BD79F0">
              <w:t>79</w:t>
            </w:r>
          </w:p>
        </w:tc>
        <w:tc>
          <w:tcPr>
            <w:tcW w:w="2552" w:type="dxa"/>
            <w:shd w:val="clear" w:color="auto" w:fill="auto"/>
          </w:tcPr>
          <w:p w:rsidR="00604A85" w:rsidRPr="00BD79F0" w:rsidRDefault="00287AB4" w:rsidP="007C4532">
            <w:pPr>
              <w:pStyle w:val="Tabletext"/>
            </w:pPr>
            <w:r w:rsidRPr="00BD79F0">
              <w:t>Drug and Alcohol Program</w:t>
            </w:r>
          </w:p>
        </w:tc>
        <w:tc>
          <w:tcPr>
            <w:tcW w:w="5103" w:type="dxa"/>
            <w:shd w:val="clear" w:color="auto" w:fill="auto"/>
          </w:tcPr>
          <w:p w:rsidR="003C2290" w:rsidRPr="00BD79F0" w:rsidRDefault="003C2290" w:rsidP="003C2290">
            <w:pPr>
              <w:pStyle w:val="Tabletext"/>
            </w:pPr>
            <w:r w:rsidRPr="00BD79F0">
              <w:t>To reduce the impact of substance misuse on individuals, families, carers and communities, by:</w:t>
            </w:r>
          </w:p>
          <w:p w:rsidR="003C2290" w:rsidRPr="00BD79F0" w:rsidRDefault="003C2290" w:rsidP="003C2290">
            <w:pPr>
              <w:pStyle w:val="Tablea"/>
            </w:pPr>
            <w:r w:rsidRPr="00BD79F0">
              <w:t>(a) the provision of drug and alcohol treatment</w:t>
            </w:r>
            <w:r w:rsidR="00316BD1" w:rsidRPr="00BD79F0">
              <w:t xml:space="preserve"> </w:t>
            </w:r>
            <w:r w:rsidR="00174E25" w:rsidRPr="00BD79F0">
              <w:t>services</w:t>
            </w:r>
            <w:r w:rsidRPr="00BD79F0">
              <w:t xml:space="preserve">, including </w:t>
            </w:r>
            <w:r w:rsidR="00174E25" w:rsidRPr="00BD79F0">
              <w:t>through</w:t>
            </w:r>
            <w:r w:rsidR="00316BD1" w:rsidRPr="00BD79F0">
              <w:t xml:space="preserve"> </w:t>
            </w:r>
            <w:r w:rsidRPr="00BD79F0">
              <w:t>prevention, diagnosis and early intervention activities;</w:t>
            </w:r>
            <w:r w:rsidR="00156A8D" w:rsidRPr="00BD79F0">
              <w:t xml:space="preserve"> and</w:t>
            </w:r>
          </w:p>
          <w:p w:rsidR="003C2290" w:rsidRPr="00BD79F0" w:rsidRDefault="003C2290" w:rsidP="003C2290">
            <w:pPr>
              <w:pStyle w:val="Tablea"/>
            </w:pPr>
            <w:r w:rsidRPr="00BD79F0">
              <w:t>(b) treating health conditions arising from drug or alcohol misuse (including conditions in children arising from alcohol or drug use during pregnancy);</w:t>
            </w:r>
            <w:r w:rsidR="00156A8D" w:rsidRPr="00BD79F0">
              <w:t xml:space="preserve"> and</w:t>
            </w:r>
          </w:p>
          <w:p w:rsidR="003C2290" w:rsidRPr="00BD79F0" w:rsidRDefault="003C2290" w:rsidP="003C2290">
            <w:pPr>
              <w:pStyle w:val="Tablea"/>
            </w:pPr>
            <w:r w:rsidRPr="00BD79F0">
              <w:t>(c) supporting individuals, families, carers and communities affected by drug or alcohol misuse or the effects of such misuse;</w:t>
            </w:r>
            <w:r w:rsidR="00156A8D" w:rsidRPr="00BD79F0">
              <w:t xml:space="preserve"> and</w:t>
            </w:r>
          </w:p>
          <w:p w:rsidR="003C2290" w:rsidRPr="00BD79F0" w:rsidRDefault="003C2290" w:rsidP="003C2290">
            <w:pPr>
              <w:pStyle w:val="Tablea"/>
            </w:pPr>
            <w:r w:rsidRPr="00BD79F0">
              <w:t>(d) the development of data to support evidence</w:t>
            </w:r>
            <w:r w:rsidR="00BD79F0">
              <w:noBreakHyphen/>
            </w:r>
            <w:r w:rsidRPr="00BD79F0">
              <w:t>based treatment, national policy</w:t>
            </w:r>
            <w:r w:rsidR="005A26F2" w:rsidRPr="00BD79F0">
              <w:t xml:space="preserve"> </w:t>
            </w:r>
            <w:r w:rsidR="00174E25" w:rsidRPr="00BD79F0">
              <w:t>development</w:t>
            </w:r>
            <w:r w:rsidRPr="00BD79F0">
              <w:t xml:space="preserve"> and service delivery;</w:t>
            </w:r>
            <w:r w:rsidR="00156A8D" w:rsidRPr="00BD79F0">
              <w:t xml:space="preserve"> and</w:t>
            </w:r>
          </w:p>
          <w:p w:rsidR="003C2290" w:rsidRPr="00BD79F0" w:rsidRDefault="003C2290" w:rsidP="003C2290">
            <w:pPr>
              <w:pStyle w:val="Tablea"/>
            </w:pPr>
            <w:r w:rsidRPr="00BD79F0">
              <w:t xml:space="preserve">(e) supporting drug and alcohol treatment services, including to better </w:t>
            </w:r>
            <w:r w:rsidR="00174E25" w:rsidRPr="00BD79F0">
              <w:t>integrate</w:t>
            </w:r>
            <w:r w:rsidRPr="00BD79F0">
              <w:t xml:space="preserve"> </w:t>
            </w:r>
            <w:r w:rsidR="00174E25" w:rsidRPr="00BD79F0">
              <w:t>those services</w:t>
            </w:r>
            <w:r w:rsidR="005A26F2" w:rsidRPr="00BD79F0">
              <w:t xml:space="preserve"> </w:t>
            </w:r>
            <w:r w:rsidRPr="00BD79F0">
              <w:t>with broader health services;</w:t>
            </w:r>
            <w:r w:rsidR="00156A8D" w:rsidRPr="00BD79F0">
              <w:t xml:space="preserve"> and</w:t>
            </w:r>
          </w:p>
          <w:p w:rsidR="00604A85" w:rsidRPr="00BD79F0" w:rsidRDefault="003C2290" w:rsidP="003C2290">
            <w:pPr>
              <w:pStyle w:val="Tablea"/>
            </w:pPr>
            <w:r w:rsidRPr="00BD79F0">
              <w:t xml:space="preserve">(f) training and educating health professionals and other health service providers, including by fostering the development of clinical and technical networks and supporting professional </w:t>
            </w:r>
            <w:r w:rsidR="005A26F2" w:rsidRPr="00BD79F0">
              <w:t xml:space="preserve">development and information </w:t>
            </w:r>
            <w:r w:rsidRPr="00BD79F0">
              <w:t>sharing;</w:t>
            </w:r>
            <w:r w:rsidR="00156A8D" w:rsidRPr="00BD79F0">
              <w:t xml:space="preserve"> and</w:t>
            </w:r>
          </w:p>
          <w:p w:rsidR="003C2290" w:rsidRPr="00BD79F0" w:rsidRDefault="003C2290" w:rsidP="003C2290">
            <w:pPr>
              <w:pStyle w:val="Tablea"/>
            </w:pPr>
            <w:r w:rsidRPr="00BD79F0">
              <w:t>(g) supporting organisations representing the interests of, and providing services to</w:t>
            </w:r>
            <w:r w:rsidR="005A26F2" w:rsidRPr="00BD79F0">
              <w:t>,</w:t>
            </w:r>
            <w:r w:rsidRPr="00BD79F0">
              <w:t xml:space="preserve"> individuals, communities and families affected by drug or alcohol misuse or the effects of such misuse;</w:t>
            </w:r>
            <w:r w:rsidR="00156A8D" w:rsidRPr="00BD79F0">
              <w:t xml:space="preserve"> and</w:t>
            </w:r>
          </w:p>
          <w:p w:rsidR="003C2290" w:rsidRPr="00BD79F0" w:rsidRDefault="003C2290" w:rsidP="003C2290">
            <w:pPr>
              <w:pStyle w:val="Tablea"/>
            </w:pPr>
            <w:r w:rsidRPr="00BD79F0">
              <w:t>(h) raising awareness of, providing education and advice on, and developing and disseminating information about drug and alcohol misuse (including prevention, treatment, management, control and the health effects of misuse);</w:t>
            </w:r>
            <w:r w:rsidR="00156A8D" w:rsidRPr="00BD79F0">
              <w:t xml:space="preserve"> and</w:t>
            </w:r>
          </w:p>
          <w:p w:rsidR="003C2290" w:rsidRPr="00BD79F0" w:rsidRDefault="003C2290" w:rsidP="003C2290">
            <w:pPr>
              <w:pStyle w:val="Tablea"/>
            </w:pPr>
            <w:r w:rsidRPr="00BD79F0">
              <w:t>(i) supporting research relati</w:t>
            </w:r>
            <w:r w:rsidR="008754E0" w:rsidRPr="00BD79F0">
              <w:t>ng to drug and alcohol misuse.</w:t>
            </w:r>
          </w:p>
          <w:p w:rsidR="003C2290" w:rsidRPr="00BD79F0" w:rsidRDefault="008754E0" w:rsidP="003C2290">
            <w:pPr>
              <w:pStyle w:val="Tabletext"/>
            </w:pPr>
            <w:r w:rsidRPr="00BD79F0">
              <w:t>This objective also has the effect it would have if it were limited to:</w:t>
            </w:r>
          </w:p>
          <w:p w:rsidR="008E05E0" w:rsidRPr="00BD79F0" w:rsidRDefault="008E05E0" w:rsidP="003C2290">
            <w:pPr>
              <w:pStyle w:val="Tablea"/>
            </w:pPr>
            <w:r w:rsidRPr="00BD79F0">
              <w:t>(a) in connection with electronic communications; or</w:t>
            </w:r>
          </w:p>
          <w:p w:rsidR="003C2290" w:rsidRPr="00BD79F0" w:rsidRDefault="003C2290" w:rsidP="003C2290">
            <w:pPr>
              <w:pStyle w:val="Tablea"/>
            </w:pPr>
            <w:r w:rsidRPr="00BD79F0">
              <w:t xml:space="preserve">(b) </w:t>
            </w:r>
            <w:r w:rsidR="005A26F2" w:rsidRPr="00BD79F0">
              <w:t>providing</w:t>
            </w:r>
            <w:r w:rsidRPr="00BD79F0">
              <w:t>, or incidental to the provision of, sickness benefits, pharmaceutical benefits, hospital benefits or medical services; or</w:t>
            </w:r>
          </w:p>
          <w:p w:rsidR="008E05E0" w:rsidRPr="00BD79F0" w:rsidRDefault="008E05E0" w:rsidP="003C2290">
            <w:pPr>
              <w:pStyle w:val="Tablea"/>
            </w:pPr>
            <w:r w:rsidRPr="00BD79F0">
              <w:t>(c) providing assistance to Aboriginal persons or Torres Strait Islanders; or</w:t>
            </w:r>
          </w:p>
          <w:p w:rsidR="003C2290" w:rsidRPr="00BD79F0" w:rsidRDefault="003C2290" w:rsidP="003C2290">
            <w:pPr>
              <w:pStyle w:val="Tablea"/>
            </w:pPr>
            <w:r w:rsidRPr="00BD79F0">
              <w:t>(</w:t>
            </w:r>
            <w:r w:rsidR="008E05E0" w:rsidRPr="00BD79F0">
              <w:t>d</w:t>
            </w:r>
            <w:r w:rsidRPr="00BD79F0">
              <w:t xml:space="preserve">) </w:t>
            </w:r>
            <w:r w:rsidR="005A26F2" w:rsidRPr="00BD79F0">
              <w:t>giving</w:t>
            </w:r>
            <w:r w:rsidRPr="00BD79F0">
              <w:t xml:space="preserve"> effect to Australia’s obligations under the following:</w:t>
            </w:r>
          </w:p>
          <w:p w:rsidR="003C2290" w:rsidRPr="00BD79F0" w:rsidRDefault="003C2290" w:rsidP="003C2290">
            <w:pPr>
              <w:pStyle w:val="Tablei"/>
            </w:pPr>
            <w:r w:rsidRPr="00BD79F0">
              <w:t>(i) the International Covenant on Economic, Social and Cultural Rights, particularly Articles 2 and 12;</w:t>
            </w:r>
          </w:p>
          <w:p w:rsidR="003C2290" w:rsidRPr="00BD79F0" w:rsidRDefault="003C2290" w:rsidP="003C2290">
            <w:pPr>
              <w:pStyle w:val="Tablei"/>
            </w:pPr>
            <w:r w:rsidRPr="00BD79F0">
              <w:t>(ii) the Single Convention on Narcotic Drugs (as amended), particularly Article 38;</w:t>
            </w:r>
          </w:p>
          <w:p w:rsidR="003C2290" w:rsidRPr="00BD79F0" w:rsidRDefault="003C2290" w:rsidP="003C2290">
            <w:pPr>
              <w:pStyle w:val="Tablei"/>
            </w:pPr>
            <w:r w:rsidRPr="00BD79F0">
              <w:t>(iii) the Convention on Psychotropic Substances, particularly Article 20;</w:t>
            </w:r>
          </w:p>
          <w:p w:rsidR="003C2290" w:rsidRPr="00BD79F0" w:rsidRDefault="003C2290" w:rsidP="003C2290">
            <w:pPr>
              <w:pStyle w:val="Tablei"/>
            </w:pPr>
            <w:r w:rsidRPr="00BD79F0">
              <w:t>(iv) the United Nations Convention against Illicit Traffic in Narcotic Drugs and Psychotropic Substances, particularly Article 14;</w:t>
            </w:r>
          </w:p>
          <w:p w:rsidR="003C2290" w:rsidRPr="00BD79F0" w:rsidRDefault="003C2290" w:rsidP="003C2290">
            <w:pPr>
              <w:pStyle w:val="Tablei"/>
            </w:pPr>
            <w:r w:rsidRPr="00BD79F0">
              <w:t>(v) the Convention on the Rights of Persons with Disabilities, particularly Articles 4, 8, 25 and 26;</w:t>
            </w:r>
          </w:p>
          <w:p w:rsidR="003C2290" w:rsidRPr="00BD79F0" w:rsidRDefault="003C2290" w:rsidP="003C2290">
            <w:pPr>
              <w:pStyle w:val="Tablei"/>
            </w:pPr>
            <w:r w:rsidRPr="00BD79F0">
              <w:t>(vi) the Convention on the Rights of the Child, part</w:t>
            </w:r>
            <w:r w:rsidRPr="00BD79F0">
              <w:rPr>
                <w:lang w:eastAsia="en-US"/>
              </w:rPr>
              <w:t>icularly Articles 4, 23 and 24</w:t>
            </w:r>
            <w:r w:rsidRPr="00BD79F0">
              <w:t>; or</w:t>
            </w:r>
          </w:p>
          <w:p w:rsidR="008E05E0" w:rsidRPr="00BD79F0" w:rsidRDefault="008E05E0" w:rsidP="008E05E0">
            <w:pPr>
              <w:pStyle w:val="Tablea"/>
            </w:pPr>
            <w:r w:rsidRPr="00BD79F0">
              <w:t>(e) measures undertaken in the exercise of the executive power of the Commonwealth; or</w:t>
            </w:r>
          </w:p>
          <w:p w:rsidR="003C2290" w:rsidRPr="00BD79F0" w:rsidRDefault="003C2290" w:rsidP="008E05E0">
            <w:pPr>
              <w:pStyle w:val="Tablea"/>
            </w:pPr>
            <w:r w:rsidRPr="00BD79F0">
              <w:t>(</w:t>
            </w:r>
            <w:r w:rsidR="008E05E0" w:rsidRPr="00BD79F0">
              <w:t>f</w:t>
            </w:r>
            <w:r w:rsidRPr="00BD79F0">
              <w:t xml:space="preserve">) </w:t>
            </w:r>
            <w:r w:rsidR="005A26F2" w:rsidRPr="00BD79F0">
              <w:t>involving</w:t>
            </w:r>
            <w:r w:rsidRPr="00BD79F0">
              <w:t xml:space="preserve"> the granting of financial assist</w:t>
            </w:r>
            <w:r w:rsidR="008E05E0" w:rsidRPr="00BD79F0">
              <w:t>ance to a State or Territory.</w:t>
            </w:r>
          </w:p>
        </w:tc>
      </w:tr>
      <w:tr w:rsidR="0063612B" w:rsidRPr="00BD79F0" w:rsidTr="00BB10CE">
        <w:tc>
          <w:tcPr>
            <w:tcW w:w="851" w:type="dxa"/>
            <w:shd w:val="clear" w:color="auto" w:fill="auto"/>
          </w:tcPr>
          <w:p w:rsidR="0063612B" w:rsidRPr="00BD79F0" w:rsidRDefault="0063612B" w:rsidP="00CB6C9F">
            <w:pPr>
              <w:pStyle w:val="Tabletext"/>
            </w:pPr>
            <w:r w:rsidRPr="00BD79F0">
              <w:t>18</w:t>
            </w:r>
            <w:r w:rsidR="00CB6C9F" w:rsidRPr="00BD79F0">
              <w:t>0</w:t>
            </w:r>
          </w:p>
        </w:tc>
        <w:tc>
          <w:tcPr>
            <w:tcW w:w="2552" w:type="dxa"/>
            <w:shd w:val="clear" w:color="auto" w:fill="auto"/>
          </w:tcPr>
          <w:p w:rsidR="0063612B" w:rsidRPr="00BD79F0" w:rsidRDefault="0063612B" w:rsidP="007C4532">
            <w:pPr>
              <w:pStyle w:val="Tabletext"/>
            </w:pPr>
            <w:r w:rsidRPr="00BD79F0">
              <w:t>Primary Health Care Development Program</w:t>
            </w:r>
          </w:p>
        </w:tc>
        <w:tc>
          <w:tcPr>
            <w:tcW w:w="5103" w:type="dxa"/>
            <w:shd w:val="clear" w:color="auto" w:fill="auto"/>
          </w:tcPr>
          <w:p w:rsidR="007E13E2" w:rsidRPr="00BD79F0" w:rsidRDefault="007E13E2" w:rsidP="007E13E2">
            <w:pPr>
              <w:pStyle w:val="Tabletext"/>
            </w:pPr>
            <w:r w:rsidRPr="00BD79F0">
              <w:t>To strengthen health care outcomes through facilitating access to, and improving the quality, efficiency and availability of, health and me</w:t>
            </w:r>
            <w:r w:rsidR="00316BD1" w:rsidRPr="00BD79F0">
              <w:t>dical services in the community</w:t>
            </w:r>
            <w:r w:rsidRPr="00BD79F0">
              <w:t xml:space="preserve"> by:</w:t>
            </w:r>
          </w:p>
          <w:p w:rsidR="007E13E2" w:rsidRPr="00BD79F0" w:rsidRDefault="007E13E2" w:rsidP="007E13E2">
            <w:pPr>
              <w:pStyle w:val="Tablea"/>
            </w:pPr>
            <w:r w:rsidRPr="00BD79F0">
              <w:rPr>
                <w:lang w:eastAsia="en-US"/>
              </w:rPr>
              <w:t xml:space="preserve">(a) providing and commissioning health care </w:t>
            </w:r>
            <w:r w:rsidRPr="00BD79F0">
              <w:t>services, including developing and implementing new or revised models of care delivery or payment approaches;</w:t>
            </w:r>
            <w:r w:rsidR="007C4532" w:rsidRPr="00BD79F0">
              <w:t xml:space="preserve"> and</w:t>
            </w:r>
          </w:p>
          <w:p w:rsidR="0063612B" w:rsidRPr="00BD79F0" w:rsidRDefault="007E13E2" w:rsidP="007E13E2">
            <w:pPr>
              <w:pStyle w:val="Tablea"/>
            </w:pPr>
            <w:r w:rsidRPr="00BD79F0">
              <w:t>(b) providing health care advice, information and support through a range of communication channels;</w:t>
            </w:r>
            <w:r w:rsidR="007C4532" w:rsidRPr="00BD79F0">
              <w:t xml:space="preserve"> and</w:t>
            </w:r>
          </w:p>
          <w:p w:rsidR="007E13E2" w:rsidRPr="00BD79F0" w:rsidRDefault="007E13E2" w:rsidP="007E13E2">
            <w:pPr>
              <w:pStyle w:val="Tablea"/>
            </w:pPr>
            <w:r w:rsidRPr="00BD79F0">
              <w:t>(c) facilitating the coordination and integration of health care services offered</w:t>
            </w:r>
            <w:r w:rsidR="00860CF3" w:rsidRPr="00BD79F0">
              <w:t xml:space="preserve"> for selected patient cohorts</w:t>
            </w:r>
            <w:r w:rsidRPr="00BD79F0">
              <w:t xml:space="preserve"> in the community and across other sectors such as acute</w:t>
            </w:r>
            <w:r w:rsidR="007C4532" w:rsidRPr="00BD79F0">
              <w:t xml:space="preserve"> </w:t>
            </w:r>
            <w:r w:rsidR="0013318F" w:rsidRPr="00BD79F0">
              <w:t>care</w:t>
            </w:r>
            <w:r w:rsidRPr="00BD79F0">
              <w:t>, ambulatory care, specialist</w:t>
            </w:r>
            <w:r w:rsidR="007C4532" w:rsidRPr="00BD79F0">
              <w:t xml:space="preserve"> </w:t>
            </w:r>
            <w:r w:rsidR="0013318F" w:rsidRPr="00BD79F0">
              <w:t>care</w:t>
            </w:r>
            <w:r w:rsidRPr="00BD79F0">
              <w:rPr>
                <w:i/>
              </w:rPr>
              <w:t xml:space="preserve"> </w:t>
            </w:r>
            <w:r w:rsidRPr="00BD79F0">
              <w:t>and residential aged care services;</w:t>
            </w:r>
            <w:r w:rsidR="007C4532" w:rsidRPr="00BD79F0">
              <w:t xml:space="preserve"> and</w:t>
            </w:r>
          </w:p>
          <w:p w:rsidR="007E13E2" w:rsidRPr="00BD79F0" w:rsidRDefault="007E13E2" w:rsidP="007E13E2">
            <w:pPr>
              <w:pStyle w:val="Tablea"/>
            </w:pPr>
            <w:r w:rsidRPr="00BD79F0">
              <w:t>(d) supporting the development and implementation of accreditation processes and standards for health professionals and other health service providers;</w:t>
            </w:r>
            <w:r w:rsidR="007C4532" w:rsidRPr="00BD79F0">
              <w:t xml:space="preserve"> and</w:t>
            </w:r>
          </w:p>
          <w:p w:rsidR="007E13E2" w:rsidRPr="00BD79F0" w:rsidRDefault="007E13E2" w:rsidP="007E13E2">
            <w:pPr>
              <w:pStyle w:val="Tablea"/>
            </w:pPr>
            <w:r w:rsidRPr="00BD79F0">
              <w:t>(e) establishing and facilitating data collection, data sharing and associated quality improvement processes in general practices and Aboriginal medical services;</w:t>
            </w:r>
            <w:r w:rsidR="007C4532" w:rsidRPr="00BD79F0">
              <w:t xml:space="preserve"> and</w:t>
            </w:r>
          </w:p>
          <w:p w:rsidR="007C4532" w:rsidRPr="00BD79F0" w:rsidRDefault="007E13E2" w:rsidP="007E13E2">
            <w:pPr>
              <w:pStyle w:val="Tablea"/>
            </w:pPr>
            <w:r w:rsidRPr="00BD79F0">
              <w:t>(f) providing support to general practice, health professionals and other health service providers</w:t>
            </w:r>
            <w:r w:rsidR="007C4532" w:rsidRPr="00BD79F0">
              <w:t>:</w:t>
            </w:r>
          </w:p>
          <w:p w:rsidR="007E13E2" w:rsidRPr="00BD79F0" w:rsidRDefault="007C4532" w:rsidP="007C4532">
            <w:pPr>
              <w:pStyle w:val="Tablei"/>
            </w:pPr>
            <w:r w:rsidRPr="00BD79F0">
              <w:t>(i)</w:t>
            </w:r>
            <w:r w:rsidR="000D4432" w:rsidRPr="00BD79F0">
              <w:t xml:space="preserve"> </w:t>
            </w:r>
            <w:r w:rsidR="007E13E2" w:rsidRPr="00BD79F0">
              <w:t>to improve patient health outcomes;</w:t>
            </w:r>
            <w:r w:rsidRPr="00BD79F0">
              <w:t xml:space="preserve"> and</w:t>
            </w:r>
          </w:p>
          <w:p w:rsidR="00C861D1" w:rsidRPr="00BD79F0" w:rsidRDefault="00C861D1" w:rsidP="007C4532">
            <w:pPr>
              <w:pStyle w:val="Tablei"/>
            </w:pPr>
            <w:r w:rsidRPr="00BD79F0">
              <w:t>(ii)</w:t>
            </w:r>
            <w:r w:rsidR="000D4432" w:rsidRPr="00BD79F0">
              <w:t xml:space="preserve"> </w:t>
            </w:r>
            <w:r w:rsidR="009652EB" w:rsidRPr="00BD79F0">
              <w:t>to enhance the practice</w:t>
            </w:r>
            <w:r w:rsidRPr="00BD79F0">
              <w:t xml:space="preserve"> and organisation of care; and</w:t>
            </w:r>
          </w:p>
          <w:p w:rsidR="007E13E2" w:rsidRPr="00BD79F0" w:rsidRDefault="007E13E2" w:rsidP="007E13E2">
            <w:pPr>
              <w:pStyle w:val="Tablea"/>
            </w:pPr>
            <w:r w:rsidRPr="00BD79F0">
              <w:t>(g) training and educating health profes</w:t>
            </w:r>
            <w:r w:rsidR="00C861D1" w:rsidRPr="00BD79F0">
              <w:t>sionals, general practice staff</w:t>
            </w:r>
            <w:r w:rsidRPr="00BD79F0">
              <w:t xml:space="preserve"> and other health service providers;</w:t>
            </w:r>
            <w:r w:rsidR="007C4532" w:rsidRPr="00BD79F0">
              <w:t xml:space="preserve"> and</w:t>
            </w:r>
          </w:p>
          <w:p w:rsidR="007E13E2" w:rsidRPr="00BD79F0" w:rsidRDefault="007E13E2" w:rsidP="007E13E2">
            <w:pPr>
              <w:pStyle w:val="Tablea"/>
            </w:pPr>
            <w:r w:rsidRPr="00BD79F0">
              <w:t>(h) providing support to general practice, health professionals and other health service providers in enhancing the practice and organisation of care;</w:t>
            </w:r>
            <w:r w:rsidR="007C4532" w:rsidRPr="00BD79F0">
              <w:t xml:space="preserve"> and</w:t>
            </w:r>
          </w:p>
          <w:p w:rsidR="007E13E2" w:rsidRPr="00BD79F0" w:rsidRDefault="007E13E2" w:rsidP="007E13E2">
            <w:pPr>
              <w:pStyle w:val="Tablea"/>
            </w:pPr>
            <w:r w:rsidRPr="00BD79F0">
              <w:t>(i) informing the public about health services and programs; and</w:t>
            </w:r>
          </w:p>
          <w:p w:rsidR="007E13E2" w:rsidRPr="00BD79F0" w:rsidRDefault="007E13E2" w:rsidP="007E13E2">
            <w:pPr>
              <w:pStyle w:val="Tablea"/>
            </w:pPr>
            <w:r w:rsidRPr="00BD79F0">
              <w:t xml:space="preserve">(j) undertaking evaluation activities to inform decisions relating to existing or potential new Commonwealth health programs </w:t>
            </w:r>
            <w:r w:rsidR="00C861D1" w:rsidRPr="00BD79F0">
              <w:t>and</w:t>
            </w:r>
            <w:r w:rsidRPr="00BD79F0">
              <w:t xml:space="preserve"> measures.</w:t>
            </w:r>
          </w:p>
          <w:p w:rsidR="00C861D1" w:rsidRPr="00BD79F0" w:rsidRDefault="00C861D1" w:rsidP="00C861D1">
            <w:pPr>
              <w:pStyle w:val="Tabletext"/>
            </w:pPr>
            <w:r w:rsidRPr="00BD79F0">
              <w:t>This objective also has the effect it would have if it were limited to measures:</w:t>
            </w:r>
          </w:p>
          <w:p w:rsidR="00FA15A2" w:rsidRPr="00BD79F0" w:rsidRDefault="00FA15A2" w:rsidP="00FA15A2">
            <w:pPr>
              <w:pStyle w:val="Tablea"/>
            </w:pPr>
            <w:r w:rsidRPr="00BD79F0">
              <w:t>(a) in connection with electronic communications; or</w:t>
            </w:r>
          </w:p>
          <w:p w:rsidR="00FA15A2" w:rsidRPr="00BD79F0" w:rsidRDefault="00FA15A2" w:rsidP="007E13E2">
            <w:pPr>
              <w:pStyle w:val="Tablea"/>
            </w:pPr>
            <w:r w:rsidRPr="00BD79F0">
              <w:t>(b) involving the collection, compilation, analysis or dissemination of statistics; or</w:t>
            </w:r>
          </w:p>
          <w:p w:rsidR="007E13E2" w:rsidRPr="00BD79F0" w:rsidRDefault="007E13E2" w:rsidP="007E13E2">
            <w:pPr>
              <w:pStyle w:val="Tablea"/>
            </w:pPr>
            <w:r w:rsidRPr="00BD79F0">
              <w:t>(</w:t>
            </w:r>
            <w:r w:rsidR="00FA15A2" w:rsidRPr="00BD79F0">
              <w:t>c</w:t>
            </w:r>
            <w:r w:rsidRPr="00BD79F0">
              <w:t xml:space="preserve">) </w:t>
            </w:r>
            <w:r w:rsidR="00C861D1" w:rsidRPr="00BD79F0">
              <w:t>providing</w:t>
            </w:r>
            <w:r w:rsidRPr="00BD79F0">
              <w:t xml:space="preserve">, or incidental to the provision of, benefits to students, pharmaceutical benefits, sickness benefits, hospital benefits </w:t>
            </w:r>
            <w:r w:rsidR="00C861D1" w:rsidRPr="00BD79F0">
              <w:t>or</w:t>
            </w:r>
            <w:r w:rsidRPr="00BD79F0">
              <w:t xml:space="preserve"> medical services; or</w:t>
            </w:r>
          </w:p>
          <w:p w:rsidR="00FA15A2" w:rsidRPr="00BD79F0" w:rsidRDefault="00FA15A2" w:rsidP="00FA15A2">
            <w:pPr>
              <w:pStyle w:val="Tablea"/>
            </w:pPr>
            <w:r w:rsidRPr="00BD79F0">
              <w:t>(d) providing assistance to Aboriginal persons or Torres Strait Islanders; or</w:t>
            </w:r>
          </w:p>
          <w:p w:rsidR="00FA15A2" w:rsidRPr="00BD79F0" w:rsidRDefault="00FA15A2" w:rsidP="00FA15A2">
            <w:pPr>
              <w:pStyle w:val="Tablea"/>
            </w:pPr>
            <w:r w:rsidRPr="00BD79F0">
              <w:t>(e) giving effect to Australia’s obligations under the following:</w:t>
            </w:r>
          </w:p>
          <w:p w:rsidR="00FA15A2" w:rsidRPr="00BD79F0" w:rsidRDefault="00FA15A2" w:rsidP="00FA15A2">
            <w:pPr>
              <w:pStyle w:val="Tablei"/>
            </w:pPr>
            <w:r w:rsidRPr="00BD79F0">
              <w:t>(i) the International Covenant on Economic, Social and Cultural Rights, particularly Articles 2 and 12;</w:t>
            </w:r>
          </w:p>
          <w:p w:rsidR="00FA15A2" w:rsidRPr="00BD79F0" w:rsidRDefault="00FA15A2" w:rsidP="00FA15A2">
            <w:pPr>
              <w:pStyle w:val="Tablei"/>
            </w:pPr>
            <w:r w:rsidRPr="00BD79F0">
              <w:t>(ii) the Convention on the Rights of the Child, particularly Articles 4, 23 and 24:</w:t>
            </w:r>
          </w:p>
          <w:p w:rsidR="00FA15A2" w:rsidRPr="00BD79F0" w:rsidRDefault="00FA15A2" w:rsidP="00FA15A2">
            <w:pPr>
              <w:pStyle w:val="Tablei"/>
            </w:pPr>
            <w:r w:rsidRPr="00BD79F0">
              <w:t>(iii) the Convention on the Rights of Persons with Disabilities, particularly Articles 4, 8, 25 and 26;</w:t>
            </w:r>
          </w:p>
          <w:p w:rsidR="00FA15A2" w:rsidRPr="00BD79F0" w:rsidRDefault="00FA15A2" w:rsidP="00FA15A2">
            <w:pPr>
              <w:pStyle w:val="Tablei"/>
            </w:pPr>
            <w:r w:rsidRPr="00BD79F0">
              <w:t>(iv) the Single Convention on Narcotic Drugs (as amended), particularly Article 38;</w:t>
            </w:r>
          </w:p>
          <w:p w:rsidR="00FA15A2" w:rsidRPr="00BD79F0" w:rsidRDefault="00FA15A2" w:rsidP="00FA15A2">
            <w:pPr>
              <w:pStyle w:val="Tablei"/>
            </w:pPr>
            <w:r w:rsidRPr="00BD79F0">
              <w:t>(v) the Convention on Psychotropic Substances, particularly Article 20;</w:t>
            </w:r>
          </w:p>
          <w:p w:rsidR="00FA15A2" w:rsidRPr="00BD79F0" w:rsidRDefault="00FA15A2" w:rsidP="00FA15A2">
            <w:pPr>
              <w:pStyle w:val="Tablei"/>
            </w:pPr>
            <w:r w:rsidRPr="00BD79F0">
              <w:t>(vi) the United Nations Convention against Illicit Traffic in Narcotic Drugs and Psychotropic Substances, particularly Article 14; or</w:t>
            </w:r>
          </w:p>
          <w:p w:rsidR="007E13E2" w:rsidRPr="00BD79F0" w:rsidRDefault="007E13E2" w:rsidP="007E13E2">
            <w:pPr>
              <w:pStyle w:val="Tablea"/>
            </w:pPr>
            <w:r w:rsidRPr="00BD79F0">
              <w:t>(</w:t>
            </w:r>
            <w:r w:rsidR="00FA15A2" w:rsidRPr="00BD79F0">
              <w:t>f</w:t>
            </w:r>
            <w:r w:rsidRPr="00BD79F0">
              <w:t>) taken in the exercise of the executive power of the Commonwealth; or</w:t>
            </w:r>
          </w:p>
          <w:p w:rsidR="007E13E2" w:rsidRPr="00BD79F0" w:rsidRDefault="007E13E2" w:rsidP="007E13E2">
            <w:pPr>
              <w:pStyle w:val="Tablea"/>
            </w:pPr>
            <w:r w:rsidRPr="00BD79F0">
              <w:t>(</w:t>
            </w:r>
            <w:r w:rsidR="00FA15A2" w:rsidRPr="00BD79F0">
              <w:t>g</w:t>
            </w:r>
            <w:r w:rsidRPr="00BD79F0">
              <w:t xml:space="preserve">) </w:t>
            </w:r>
            <w:r w:rsidR="00C861D1" w:rsidRPr="00BD79F0">
              <w:t>involving</w:t>
            </w:r>
            <w:r w:rsidRPr="00BD79F0">
              <w:t xml:space="preserve"> the granting of financial assistance to a State or Territory; or</w:t>
            </w:r>
          </w:p>
          <w:p w:rsidR="007E13E2" w:rsidRPr="00BD79F0" w:rsidRDefault="007E13E2" w:rsidP="00C861D1">
            <w:pPr>
              <w:pStyle w:val="Tablea"/>
            </w:pPr>
            <w:r w:rsidRPr="00BD79F0">
              <w:t>(h) carried out in a Territory.</w:t>
            </w:r>
          </w:p>
        </w:tc>
      </w:tr>
      <w:tr w:rsidR="0063612B" w:rsidRPr="00BD79F0" w:rsidTr="00BB10CE">
        <w:tc>
          <w:tcPr>
            <w:tcW w:w="851" w:type="dxa"/>
            <w:shd w:val="clear" w:color="auto" w:fill="auto"/>
          </w:tcPr>
          <w:p w:rsidR="0063612B" w:rsidRPr="00BD79F0" w:rsidRDefault="0063612B" w:rsidP="00CB6C9F">
            <w:pPr>
              <w:pStyle w:val="Tabletext"/>
            </w:pPr>
            <w:r w:rsidRPr="00BD79F0">
              <w:t>18</w:t>
            </w:r>
            <w:r w:rsidR="00CB6C9F" w:rsidRPr="00BD79F0">
              <w:t>1</w:t>
            </w:r>
          </w:p>
        </w:tc>
        <w:tc>
          <w:tcPr>
            <w:tcW w:w="2552" w:type="dxa"/>
            <w:shd w:val="clear" w:color="auto" w:fill="auto"/>
          </w:tcPr>
          <w:p w:rsidR="0063612B" w:rsidRPr="00BD79F0" w:rsidRDefault="0063612B" w:rsidP="007C4532">
            <w:pPr>
              <w:pStyle w:val="Tabletext"/>
            </w:pPr>
            <w:r w:rsidRPr="00BD79F0">
              <w:t>Health Policy Research and Data Program</w:t>
            </w:r>
          </w:p>
        </w:tc>
        <w:tc>
          <w:tcPr>
            <w:tcW w:w="5103" w:type="dxa"/>
            <w:shd w:val="clear" w:color="auto" w:fill="auto"/>
          </w:tcPr>
          <w:p w:rsidR="000D0295" w:rsidRPr="00BD79F0" w:rsidRDefault="000D0295" w:rsidP="000D0295">
            <w:pPr>
              <w:pStyle w:val="Tabletext"/>
            </w:pPr>
            <w:r w:rsidRPr="00BD79F0">
              <w:t>To build a strong evidence base to inform the development, implementation, monitoring and evaluation of health policy and improved practice in Australia, including by funding universities and other organisations and persons to conduct:</w:t>
            </w:r>
          </w:p>
          <w:p w:rsidR="000D0295" w:rsidRPr="00BD79F0" w:rsidRDefault="000D0295" w:rsidP="000D0295">
            <w:pPr>
              <w:pStyle w:val="Tablea"/>
            </w:pPr>
            <w:r w:rsidRPr="00BD79F0">
              <w:t xml:space="preserve">(a) </w:t>
            </w:r>
            <w:r w:rsidR="00372002" w:rsidRPr="00BD79F0">
              <w:t xml:space="preserve">research on a range of subject </w:t>
            </w:r>
            <w:r w:rsidRPr="00BD79F0">
              <w:t>matters relevant to health policy (including activities supporting the dissemination of research and knowledge exchange);</w:t>
            </w:r>
            <w:r w:rsidR="001B5559" w:rsidRPr="00BD79F0">
              <w:t xml:space="preserve"> and</w:t>
            </w:r>
          </w:p>
          <w:p w:rsidR="000D0295" w:rsidRPr="00BD79F0" w:rsidRDefault="000D0295" w:rsidP="000D0295">
            <w:pPr>
              <w:pStyle w:val="Tablea"/>
            </w:pPr>
            <w:r w:rsidRPr="00BD79F0">
              <w:t xml:space="preserve">(b) evaluation activities to inform decisions relating to existing or potential new Commonwealth health programs or measures; </w:t>
            </w:r>
            <w:r w:rsidR="001B5559" w:rsidRPr="00BD79F0">
              <w:t>and</w:t>
            </w:r>
          </w:p>
          <w:p w:rsidR="00372002" w:rsidRPr="00BD79F0" w:rsidRDefault="000D0295" w:rsidP="000D0295">
            <w:pPr>
              <w:pStyle w:val="Tablea"/>
            </w:pPr>
            <w:r w:rsidRPr="00BD79F0">
              <w:t>(c) data activities, including</w:t>
            </w:r>
            <w:r w:rsidR="00372002" w:rsidRPr="00BD79F0">
              <w:t xml:space="preserve"> the following:</w:t>
            </w:r>
          </w:p>
          <w:p w:rsidR="00372002" w:rsidRPr="00BD79F0" w:rsidRDefault="00372002" w:rsidP="00372002">
            <w:pPr>
              <w:pStyle w:val="Tablei"/>
            </w:pPr>
            <w:r w:rsidRPr="00BD79F0">
              <w:t>(i)</w:t>
            </w:r>
            <w:r w:rsidR="000D0295" w:rsidRPr="00BD79F0">
              <w:t xml:space="preserve"> developing and</w:t>
            </w:r>
            <w:r w:rsidRPr="00BD79F0">
              <w:t xml:space="preserve"> operating data infrastructure;</w:t>
            </w:r>
          </w:p>
          <w:p w:rsidR="00372002" w:rsidRPr="00BD79F0" w:rsidRDefault="00372002" w:rsidP="00372002">
            <w:pPr>
              <w:pStyle w:val="Tablei"/>
            </w:pPr>
            <w:r w:rsidRPr="00BD79F0">
              <w:t>(ii) developing data definitions;</w:t>
            </w:r>
          </w:p>
          <w:p w:rsidR="00372002" w:rsidRPr="00BD79F0" w:rsidRDefault="00372002" w:rsidP="00372002">
            <w:pPr>
              <w:pStyle w:val="Tablei"/>
            </w:pPr>
            <w:r w:rsidRPr="00BD79F0">
              <w:t>(iii)</w:t>
            </w:r>
            <w:r w:rsidR="000D0295" w:rsidRPr="00BD79F0">
              <w:t xml:space="preserve"> </w:t>
            </w:r>
            <w:r w:rsidRPr="00BD79F0">
              <w:t>the collection, development and management of data;</w:t>
            </w:r>
          </w:p>
          <w:p w:rsidR="00372002" w:rsidRPr="00BD79F0" w:rsidRDefault="00372002" w:rsidP="00372002">
            <w:pPr>
              <w:pStyle w:val="Tablei"/>
            </w:pPr>
            <w:r w:rsidRPr="00BD79F0">
              <w:t>(iv)</w:t>
            </w:r>
            <w:r w:rsidR="000D0295" w:rsidRPr="00BD79F0">
              <w:t xml:space="preserve"> d</w:t>
            </w:r>
            <w:r w:rsidRPr="00BD79F0">
              <w:t>ata analysis and interpretation;</w:t>
            </w:r>
          </w:p>
          <w:p w:rsidR="0063612B" w:rsidRPr="00BD79F0" w:rsidRDefault="00372002" w:rsidP="00372002">
            <w:pPr>
              <w:pStyle w:val="Tablei"/>
            </w:pPr>
            <w:r w:rsidRPr="00BD79F0">
              <w:t xml:space="preserve">(v) </w:t>
            </w:r>
            <w:r w:rsidR="000D0295" w:rsidRPr="00BD79F0">
              <w:t>data d</w:t>
            </w:r>
            <w:r w:rsidR="001B5559" w:rsidRPr="00BD79F0">
              <w:t>issemination, reporting and use.</w:t>
            </w:r>
          </w:p>
          <w:p w:rsidR="001B5559" w:rsidRPr="00BD79F0" w:rsidRDefault="001B5559" w:rsidP="001B5559">
            <w:pPr>
              <w:pStyle w:val="Tabletext"/>
            </w:pPr>
            <w:r w:rsidRPr="00BD79F0">
              <w:t>This objective also has the effect it would have if it were limited to measures:</w:t>
            </w:r>
          </w:p>
          <w:p w:rsidR="00D71E4C" w:rsidRPr="00BD79F0" w:rsidRDefault="00D71E4C" w:rsidP="000D0295">
            <w:pPr>
              <w:pStyle w:val="Tablea"/>
            </w:pPr>
            <w:r w:rsidRPr="00BD79F0">
              <w:t>(a) in connection with electronic communications; or</w:t>
            </w:r>
          </w:p>
          <w:p w:rsidR="00D71E4C" w:rsidRPr="00BD79F0" w:rsidRDefault="00D71E4C" w:rsidP="00D71E4C">
            <w:pPr>
              <w:pStyle w:val="Tablea"/>
            </w:pPr>
            <w:r w:rsidRPr="00BD79F0">
              <w:t>(b) involving the collection, compilation, analysis or dissemination of statistics; or</w:t>
            </w:r>
          </w:p>
          <w:p w:rsidR="00D71E4C" w:rsidRPr="00BD79F0" w:rsidRDefault="00D71E4C" w:rsidP="00D71E4C">
            <w:pPr>
              <w:pStyle w:val="Tablea"/>
            </w:pPr>
            <w:r w:rsidRPr="00BD79F0">
              <w:t>(c) relating to the health of, or provision of health services to, immigrants or aliens; or</w:t>
            </w:r>
          </w:p>
          <w:p w:rsidR="00D71E4C" w:rsidRPr="00BD79F0" w:rsidRDefault="00D71E4C" w:rsidP="00D71E4C">
            <w:pPr>
              <w:pStyle w:val="Tablea"/>
            </w:pPr>
            <w:r w:rsidRPr="00BD79F0">
              <w:t>(d) incidental to the provision of medical services, sickness benefits, hospital benefits or pharmaceutical benefits; or</w:t>
            </w:r>
          </w:p>
          <w:p w:rsidR="00D71E4C" w:rsidRPr="00BD79F0" w:rsidRDefault="00D71E4C" w:rsidP="000D0295">
            <w:pPr>
              <w:pStyle w:val="Tablea"/>
            </w:pPr>
            <w:r w:rsidRPr="00BD79F0">
              <w:t>(e) relating to the health of, or provision of, health services to Aboriginal persons and Torres Strait Islanders; or</w:t>
            </w:r>
          </w:p>
          <w:p w:rsidR="00D71E4C" w:rsidRPr="00BD79F0" w:rsidRDefault="00D71E4C" w:rsidP="000D0295">
            <w:pPr>
              <w:pStyle w:val="Tablea"/>
            </w:pPr>
            <w:r w:rsidRPr="00BD79F0">
              <w:t>(f) giving effect to Australia’s obligations under the International Covenant on Economic, Social and Cultural Rights, particularly Articles 2 and 12; or</w:t>
            </w:r>
          </w:p>
          <w:p w:rsidR="000D0295" w:rsidRPr="00BD79F0" w:rsidRDefault="000D0295" w:rsidP="000D0295">
            <w:pPr>
              <w:pStyle w:val="Tablea"/>
            </w:pPr>
            <w:r w:rsidRPr="00BD79F0">
              <w:t>(</w:t>
            </w:r>
            <w:r w:rsidR="00D71E4C" w:rsidRPr="00BD79F0">
              <w:t>g</w:t>
            </w:r>
            <w:r w:rsidRPr="00BD79F0">
              <w:t xml:space="preserve">) taken in the exercise of the executive power of the Commonwealth; </w:t>
            </w:r>
            <w:r w:rsidR="00372002" w:rsidRPr="00BD79F0">
              <w:t>or</w:t>
            </w:r>
          </w:p>
          <w:p w:rsidR="00D71E4C" w:rsidRPr="00BD79F0" w:rsidRDefault="00D71E4C" w:rsidP="00D71E4C">
            <w:pPr>
              <w:pStyle w:val="Tablea"/>
            </w:pPr>
            <w:r w:rsidRPr="00BD79F0">
              <w:t>(h) peculiarly adapted to the government of a nation and cannot otherwise be carried on for the benefit of the nation; or</w:t>
            </w:r>
          </w:p>
          <w:p w:rsidR="000D0295" w:rsidRPr="00BD79F0" w:rsidRDefault="00D71E4C" w:rsidP="000D0295">
            <w:pPr>
              <w:pStyle w:val="Tablea"/>
            </w:pPr>
            <w:r w:rsidRPr="00BD79F0">
              <w:t>(i) involving the granting of financial assistance to a State or Territory; or</w:t>
            </w:r>
          </w:p>
          <w:p w:rsidR="000D0295" w:rsidRPr="00BD79F0" w:rsidRDefault="000D0295" w:rsidP="00D71E4C">
            <w:pPr>
              <w:pStyle w:val="Tablea"/>
            </w:pPr>
            <w:r w:rsidRPr="00BD79F0">
              <w:t>(</w:t>
            </w:r>
            <w:r w:rsidR="00D71E4C" w:rsidRPr="00BD79F0">
              <w:t>j) carried out in a Territory.</w:t>
            </w:r>
          </w:p>
        </w:tc>
      </w:tr>
      <w:tr w:rsidR="0063612B" w:rsidRPr="00BD79F0" w:rsidTr="00BB10CE">
        <w:tc>
          <w:tcPr>
            <w:tcW w:w="851" w:type="dxa"/>
            <w:shd w:val="clear" w:color="auto" w:fill="auto"/>
          </w:tcPr>
          <w:p w:rsidR="0063612B" w:rsidRPr="00BD79F0" w:rsidRDefault="0063612B" w:rsidP="00CB6C9F">
            <w:pPr>
              <w:pStyle w:val="Tabletext"/>
            </w:pPr>
            <w:r w:rsidRPr="00BD79F0">
              <w:t>18</w:t>
            </w:r>
            <w:r w:rsidR="00CB6C9F" w:rsidRPr="00BD79F0">
              <w:t>2</w:t>
            </w:r>
          </w:p>
        </w:tc>
        <w:tc>
          <w:tcPr>
            <w:tcW w:w="2552" w:type="dxa"/>
            <w:shd w:val="clear" w:color="auto" w:fill="auto"/>
          </w:tcPr>
          <w:p w:rsidR="0063612B" w:rsidRPr="00BD79F0" w:rsidRDefault="0063612B" w:rsidP="007C4532">
            <w:pPr>
              <w:pStyle w:val="Tabletext"/>
            </w:pPr>
            <w:r w:rsidRPr="00BD79F0">
              <w:t>Health Protection Program</w:t>
            </w:r>
          </w:p>
        </w:tc>
        <w:tc>
          <w:tcPr>
            <w:tcW w:w="5103" w:type="dxa"/>
            <w:shd w:val="clear" w:color="auto" w:fill="auto"/>
          </w:tcPr>
          <w:p w:rsidR="003E63BE" w:rsidRPr="00BD79F0" w:rsidRDefault="003E63BE" w:rsidP="003E63BE">
            <w:pPr>
              <w:pStyle w:val="Tabletext"/>
              <w:rPr>
                <w:rFonts w:eastAsiaTheme="minorHAnsi"/>
              </w:rPr>
            </w:pPr>
            <w:r w:rsidRPr="00BD79F0">
              <w:rPr>
                <w:rFonts w:eastAsiaTheme="minorHAnsi"/>
              </w:rPr>
              <w:t>To support activities that strengthen the nation’s capacity and capability to detect, prepare for and respond to health emergencies and communicable diseases, including by:</w:t>
            </w:r>
          </w:p>
          <w:p w:rsidR="003E63BE" w:rsidRPr="00BD79F0" w:rsidRDefault="003E63BE" w:rsidP="003E63BE">
            <w:pPr>
              <w:pStyle w:val="Tablea"/>
              <w:rPr>
                <w:rFonts w:eastAsiaTheme="minorHAnsi"/>
              </w:rPr>
            </w:pPr>
            <w:r w:rsidRPr="00BD79F0">
              <w:rPr>
                <w:rFonts w:eastAsiaTheme="minorHAnsi"/>
              </w:rPr>
              <w:t xml:space="preserve">(a) maintaining laboratory capacity and capability for, and providing laboratory services in the event of, a </w:t>
            </w:r>
            <w:r w:rsidR="00AC61BF" w:rsidRPr="00BD79F0">
              <w:rPr>
                <w:rFonts w:eastAsiaTheme="minorHAnsi"/>
              </w:rPr>
              <w:t>health emergency; and</w:t>
            </w:r>
          </w:p>
          <w:p w:rsidR="003E63BE" w:rsidRPr="00BD79F0" w:rsidRDefault="003E63BE" w:rsidP="00E72217">
            <w:pPr>
              <w:pStyle w:val="Tablea"/>
              <w:rPr>
                <w:rFonts w:eastAsiaTheme="minorHAnsi"/>
              </w:rPr>
            </w:pPr>
            <w:r w:rsidRPr="00BD79F0">
              <w:rPr>
                <w:rFonts w:eastAsiaTheme="minorHAnsi"/>
              </w:rPr>
              <w:t>(b) maintaining a register of biological agents of security concern;</w:t>
            </w:r>
            <w:r w:rsidR="00AC61BF" w:rsidRPr="00BD79F0">
              <w:rPr>
                <w:rFonts w:eastAsiaTheme="minorHAnsi"/>
              </w:rPr>
              <w:t xml:space="preserve"> and</w:t>
            </w:r>
          </w:p>
          <w:p w:rsidR="003E63BE" w:rsidRPr="00BD79F0" w:rsidRDefault="003E63BE" w:rsidP="003E63BE">
            <w:pPr>
              <w:pStyle w:val="Tablea"/>
              <w:rPr>
                <w:rFonts w:eastAsiaTheme="minorHAnsi"/>
              </w:rPr>
            </w:pPr>
            <w:r w:rsidRPr="00BD79F0">
              <w:rPr>
                <w:rFonts w:eastAsiaTheme="minorHAnsi"/>
              </w:rPr>
              <w:t>(c) developing and implementing measures to support health emergency response activities;</w:t>
            </w:r>
            <w:r w:rsidR="00AC61BF" w:rsidRPr="00BD79F0">
              <w:rPr>
                <w:rFonts w:eastAsiaTheme="minorHAnsi"/>
              </w:rPr>
              <w:t xml:space="preserve"> and</w:t>
            </w:r>
          </w:p>
          <w:p w:rsidR="003E63BE" w:rsidRPr="00BD79F0" w:rsidRDefault="003E63BE" w:rsidP="003E63BE">
            <w:pPr>
              <w:pStyle w:val="Tablea"/>
              <w:rPr>
                <w:rFonts w:eastAsiaTheme="minorHAnsi"/>
              </w:rPr>
            </w:pPr>
            <w:r w:rsidRPr="00BD79F0">
              <w:rPr>
                <w:rFonts w:eastAsiaTheme="minorHAnsi"/>
              </w:rPr>
              <w:t>(d) providing emergency response training and support to health personnel;</w:t>
            </w:r>
            <w:r w:rsidR="00AC61BF" w:rsidRPr="00BD79F0">
              <w:rPr>
                <w:rFonts w:eastAsiaTheme="minorHAnsi"/>
              </w:rPr>
              <w:t xml:space="preserve"> and</w:t>
            </w:r>
          </w:p>
          <w:p w:rsidR="003E63BE" w:rsidRPr="00BD79F0" w:rsidRDefault="003E63BE" w:rsidP="003E63BE">
            <w:pPr>
              <w:pStyle w:val="Tablea"/>
              <w:rPr>
                <w:rFonts w:eastAsiaTheme="minorHAnsi"/>
              </w:rPr>
            </w:pPr>
            <w:r w:rsidRPr="00BD79F0">
              <w:rPr>
                <w:rFonts w:eastAsiaTheme="minorHAnsi"/>
              </w:rPr>
              <w:t>(e) developing, and implementing as necessary, a communications campaign for responding to health emergencies;</w:t>
            </w:r>
            <w:r w:rsidR="00AC61BF" w:rsidRPr="00BD79F0">
              <w:rPr>
                <w:rFonts w:eastAsiaTheme="minorHAnsi"/>
              </w:rPr>
              <w:t xml:space="preserve"> and</w:t>
            </w:r>
          </w:p>
          <w:p w:rsidR="003E63BE" w:rsidRPr="00BD79F0" w:rsidRDefault="003E63BE" w:rsidP="003E63BE">
            <w:pPr>
              <w:pStyle w:val="Tablea"/>
              <w:rPr>
                <w:rFonts w:eastAsiaTheme="minorHAnsi"/>
              </w:rPr>
            </w:pPr>
            <w:r w:rsidRPr="00BD79F0">
              <w:rPr>
                <w:rFonts w:eastAsiaTheme="minorHAnsi"/>
              </w:rPr>
              <w:t>(f) maintaining a stockpile of pharmaceuticals, vaccines and other health resources for distribution in health emergencies;</w:t>
            </w:r>
            <w:r w:rsidR="00AC61BF" w:rsidRPr="00BD79F0">
              <w:rPr>
                <w:rFonts w:eastAsiaTheme="minorHAnsi"/>
              </w:rPr>
              <w:t xml:space="preserve"> and</w:t>
            </w:r>
          </w:p>
          <w:p w:rsidR="003E63BE" w:rsidRPr="00BD79F0" w:rsidRDefault="003E63BE" w:rsidP="003E63BE">
            <w:pPr>
              <w:pStyle w:val="Tablea"/>
              <w:rPr>
                <w:rFonts w:eastAsiaTheme="minorHAnsi"/>
              </w:rPr>
            </w:pPr>
            <w:r w:rsidRPr="00BD79F0">
              <w:rPr>
                <w:rFonts w:eastAsiaTheme="minorHAnsi"/>
              </w:rPr>
              <w:t>(g) commissioning research relating to potential or emerging public health threats;</w:t>
            </w:r>
            <w:r w:rsidR="00AC61BF" w:rsidRPr="00BD79F0">
              <w:rPr>
                <w:rFonts w:eastAsiaTheme="minorHAnsi"/>
              </w:rPr>
              <w:t xml:space="preserve"> and</w:t>
            </w:r>
          </w:p>
          <w:p w:rsidR="003E63BE" w:rsidRPr="00BD79F0" w:rsidRDefault="003E63BE" w:rsidP="003E63BE">
            <w:pPr>
              <w:pStyle w:val="Tablea"/>
              <w:rPr>
                <w:rFonts w:eastAsiaTheme="minorHAnsi"/>
              </w:rPr>
            </w:pPr>
            <w:r w:rsidRPr="00BD79F0">
              <w:rPr>
                <w:rFonts w:eastAsiaTheme="minorHAnsi"/>
              </w:rPr>
              <w:t>(h) developing and implementing quarantine and biosecurity measures;</w:t>
            </w:r>
            <w:r w:rsidR="00AC61BF" w:rsidRPr="00BD79F0">
              <w:rPr>
                <w:rFonts w:eastAsiaTheme="minorHAnsi"/>
              </w:rPr>
              <w:t xml:space="preserve"> and</w:t>
            </w:r>
          </w:p>
          <w:p w:rsidR="003E63BE" w:rsidRPr="00BD79F0" w:rsidRDefault="003E63BE" w:rsidP="003E63BE">
            <w:pPr>
              <w:pStyle w:val="Tablea"/>
              <w:rPr>
                <w:rFonts w:eastAsiaTheme="minorHAnsi"/>
              </w:rPr>
            </w:pPr>
            <w:r w:rsidRPr="00BD79F0">
              <w:rPr>
                <w:rFonts w:eastAsiaTheme="minorHAnsi"/>
              </w:rPr>
              <w:t>(i) developing and implementing communicable disease related surveillance, controls, data collection, research, analysis and reporting, including in countries from which diseases could spread to Australia;</w:t>
            </w:r>
            <w:r w:rsidR="00AC61BF" w:rsidRPr="00BD79F0">
              <w:rPr>
                <w:rFonts w:eastAsiaTheme="minorHAnsi"/>
              </w:rPr>
              <w:t xml:space="preserve"> and</w:t>
            </w:r>
          </w:p>
          <w:p w:rsidR="003E63BE" w:rsidRPr="00BD79F0" w:rsidRDefault="003E63BE" w:rsidP="003E63BE">
            <w:pPr>
              <w:pStyle w:val="Tablea"/>
              <w:rPr>
                <w:rFonts w:eastAsiaTheme="minorHAnsi"/>
                <w:lang w:eastAsia="en-US"/>
              </w:rPr>
            </w:pPr>
            <w:r w:rsidRPr="00BD79F0">
              <w:rPr>
                <w:rFonts w:eastAsiaTheme="minorHAnsi"/>
              </w:rPr>
              <w:t>(j) supporting activities aimed at reducing the incidence of communicable diseases, including blood</w:t>
            </w:r>
            <w:r w:rsidR="00BD79F0">
              <w:rPr>
                <w:rFonts w:eastAsiaTheme="minorHAnsi"/>
              </w:rPr>
              <w:noBreakHyphen/>
            </w:r>
            <w:r w:rsidRPr="00BD79F0">
              <w:rPr>
                <w:rFonts w:eastAsiaTheme="minorHAnsi"/>
              </w:rPr>
              <w:t xml:space="preserve">borne viruses and </w:t>
            </w:r>
            <w:r w:rsidRPr="00BD79F0">
              <w:rPr>
                <w:rFonts w:eastAsiaTheme="minorHAnsi"/>
                <w:lang w:eastAsia="en-US"/>
              </w:rPr>
              <w:t xml:space="preserve">sexually transmissible infections; </w:t>
            </w:r>
            <w:r w:rsidR="00AC61BF" w:rsidRPr="00BD79F0">
              <w:rPr>
                <w:rFonts w:eastAsiaTheme="minorHAnsi"/>
                <w:lang w:eastAsia="en-US"/>
              </w:rPr>
              <w:t>and</w:t>
            </w:r>
          </w:p>
          <w:p w:rsidR="003E63BE" w:rsidRPr="00BD79F0" w:rsidRDefault="003E63BE" w:rsidP="003E63BE">
            <w:pPr>
              <w:pStyle w:val="Tablea"/>
              <w:rPr>
                <w:rFonts w:eastAsiaTheme="minorHAnsi"/>
              </w:rPr>
            </w:pPr>
            <w:r w:rsidRPr="00BD79F0">
              <w:rPr>
                <w:rFonts w:eastAsiaTheme="minorHAnsi"/>
                <w:lang w:eastAsia="en-US"/>
              </w:rPr>
              <w:t xml:space="preserve">(k) informing the public, affected persons and health practitioners about communicable </w:t>
            </w:r>
            <w:r w:rsidRPr="00BD79F0">
              <w:rPr>
                <w:rFonts w:eastAsiaTheme="minorHAnsi"/>
              </w:rPr>
              <w:t>diseases and their prevention and treatment;</w:t>
            </w:r>
            <w:r w:rsidR="00AC61BF" w:rsidRPr="00BD79F0">
              <w:rPr>
                <w:rFonts w:eastAsiaTheme="minorHAnsi"/>
              </w:rPr>
              <w:t xml:space="preserve"> and</w:t>
            </w:r>
          </w:p>
          <w:p w:rsidR="0063612B" w:rsidRPr="00BD79F0" w:rsidRDefault="003E63BE" w:rsidP="003E63BE">
            <w:pPr>
              <w:pStyle w:val="Tablea"/>
              <w:rPr>
                <w:rFonts w:eastAsiaTheme="minorHAnsi"/>
                <w:lang w:eastAsia="en-US"/>
              </w:rPr>
            </w:pPr>
            <w:r w:rsidRPr="00BD79F0">
              <w:rPr>
                <w:rFonts w:eastAsiaTheme="minorHAnsi"/>
              </w:rPr>
              <w:t>(l) commissioning research about health issues a</w:t>
            </w:r>
            <w:r w:rsidRPr="00BD79F0">
              <w:rPr>
                <w:rFonts w:eastAsiaTheme="minorHAnsi"/>
                <w:lang w:eastAsia="en-US"/>
              </w:rPr>
              <w:t>ri</w:t>
            </w:r>
            <w:r w:rsidR="001B5559" w:rsidRPr="00BD79F0">
              <w:rPr>
                <w:rFonts w:eastAsiaTheme="minorHAnsi"/>
                <w:lang w:eastAsia="en-US"/>
              </w:rPr>
              <w:t>sing from environmental factors.</w:t>
            </w:r>
          </w:p>
          <w:p w:rsidR="001B5559" w:rsidRPr="00BD79F0" w:rsidRDefault="001B5559" w:rsidP="001B5559">
            <w:pPr>
              <w:pStyle w:val="Tabletext"/>
            </w:pPr>
            <w:r w:rsidRPr="00BD79F0">
              <w:t>This objective also has the effect it would have if it were limited to measures:</w:t>
            </w:r>
          </w:p>
          <w:p w:rsidR="000A2C0E" w:rsidRPr="00BD79F0" w:rsidRDefault="000A2C0E" w:rsidP="00E72217">
            <w:pPr>
              <w:pStyle w:val="Tablea"/>
              <w:rPr>
                <w:rFonts w:eastAsiaTheme="minorHAnsi"/>
              </w:rPr>
            </w:pPr>
            <w:r w:rsidRPr="00BD79F0">
              <w:rPr>
                <w:rFonts w:eastAsiaTheme="minorHAnsi"/>
              </w:rPr>
              <w:t>(a) in connection with electronic communications; or</w:t>
            </w:r>
          </w:p>
          <w:p w:rsidR="000A2C0E" w:rsidRPr="00BD79F0" w:rsidRDefault="000A2C0E" w:rsidP="001B5559">
            <w:pPr>
              <w:pStyle w:val="Tabletext"/>
              <w:rPr>
                <w:rFonts w:eastAsiaTheme="minorHAnsi"/>
              </w:rPr>
            </w:pPr>
            <w:r w:rsidRPr="00BD79F0">
              <w:rPr>
                <w:rFonts w:eastAsiaTheme="minorHAnsi"/>
              </w:rPr>
              <w:t>(b) relating to the defence of the Commonwealth; or</w:t>
            </w:r>
          </w:p>
          <w:p w:rsidR="000A2C0E" w:rsidRPr="00BD79F0" w:rsidRDefault="000A2C0E" w:rsidP="000A2C0E">
            <w:pPr>
              <w:pStyle w:val="Tablea"/>
              <w:rPr>
                <w:rFonts w:eastAsiaTheme="minorHAnsi"/>
              </w:rPr>
            </w:pPr>
            <w:r w:rsidRPr="00BD79F0">
              <w:rPr>
                <w:rFonts w:eastAsiaTheme="minorHAnsi"/>
              </w:rPr>
              <w:t>(c) relating to quarantine; or</w:t>
            </w:r>
          </w:p>
          <w:p w:rsidR="000A2C0E" w:rsidRPr="00BD79F0" w:rsidRDefault="000A2C0E" w:rsidP="000A2C0E">
            <w:pPr>
              <w:pStyle w:val="Tablea"/>
              <w:rPr>
                <w:rFonts w:eastAsiaTheme="minorHAnsi"/>
              </w:rPr>
            </w:pPr>
            <w:r w:rsidRPr="00BD79F0">
              <w:rPr>
                <w:rFonts w:eastAsiaTheme="minorHAnsi"/>
              </w:rPr>
              <w:t>(d) involving the collection, compilation, analysis or dissemination of statistics; or</w:t>
            </w:r>
          </w:p>
          <w:p w:rsidR="000A2C0E" w:rsidRPr="00BD79F0" w:rsidRDefault="000A2C0E" w:rsidP="000A2C0E">
            <w:pPr>
              <w:pStyle w:val="Tablea"/>
              <w:rPr>
                <w:rFonts w:eastAsiaTheme="minorHAnsi"/>
              </w:rPr>
            </w:pPr>
            <w:r w:rsidRPr="00BD79F0">
              <w:rPr>
                <w:rFonts w:eastAsiaTheme="minorHAnsi"/>
              </w:rPr>
              <w:t>(e) relating to the health of, or provision of health services to, immigrants or aliens; or</w:t>
            </w:r>
          </w:p>
          <w:p w:rsidR="000A2C0E" w:rsidRPr="00BD79F0" w:rsidRDefault="000A2C0E" w:rsidP="000A2C0E">
            <w:pPr>
              <w:pStyle w:val="Tablea"/>
              <w:rPr>
                <w:rFonts w:eastAsiaTheme="minorHAnsi"/>
              </w:rPr>
            </w:pPr>
            <w:r w:rsidRPr="00BD79F0">
              <w:rPr>
                <w:rFonts w:eastAsiaTheme="minorHAnsi"/>
              </w:rPr>
              <w:t>(f) providing, or incidental to the provision of, pharmaceutical benefits, sickness benefits, hospital benefits or medical services; or</w:t>
            </w:r>
          </w:p>
          <w:p w:rsidR="003E63BE" w:rsidRPr="00BD79F0" w:rsidRDefault="003E63BE" w:rsidP="003E63BE">
            <w:pPr>
              <w:pStyle w:val="Tablea"/>
              <w:rPr>
                <w:rFonts w:eastAsiaTheme="minorHAnsi"/>
              </w:rPr>
            </w:pPr>
            <w:r w:rsidRPr="00BD79F0">
              <w:rPr>
                <w:rFonts w:eastAsiaTheme="minorHAnsi"/>
              </w:rPr>
              <w:t>(</w:t>
            </w:r>
            <w:r w:rsidR="004B6493" w:rsidRPr="00BD79F0">
              <w:rPr>
                <w:rFonts w:eastAsiaTheme="minorHAnsi"/>
              </w:rPr>
              <w:t>g</w:t>
            </w:r>
            <w:r w:rsidRPr="00BD79F0">
              <w:rPr>
                <w:rFonts w:eastAsiaTheme="minorHAnsi"/>
              </w:rPr>
              <w:t xml:space="preserve">) </w:t>
            </w:r>
            <w:r w:rsidR="00AC61BF" w:rsidRPr="00BD79F0">
              <w:rPr>
                <w:rFonts w:eastAsiaTheme="minorHAnsi"/>
              </w:rPr>
              <w:t>providing</w:t>
            </w:r>
            <w:r w:rsidRPr="00BD79F0">
              <w:rPr>
                <w:rFonts w:eastAsiaTheme="minorHAnsi"/>
              </w:rPr>
              <w:t xml:space="preserve"> assistance to Aboriginal persons or Torres Strait Islanders; or</w:t>
            </w:r>
          </w:p>
          <w:p w:rsidR="000A2C0E" w:rsidRPr="00BD79F0" w:rsidRDefault="000A2C0E" w:rsidP="000A2C0E">
            <w:pPr>
              <w:pStyle w:val="Tablea"/>
              <w:rPr>
                <w:rFonts w:eastAsiaTheme="minorHAnsi"/>
                <w:lang w:eastAsia="en-US"/>
              </w:rPr>
            </w:pPr>
            <w:r w:rsidRPr="00BD79F0">
              <w:rPr>
                <w:rFonts w:eastAsiaTheme="minorHAnsi"/>
              </w:rPr>
              <w:t xml:space="preserve">(h) giving effect </w:t>
            </w:r>
            <w:r w:rsidRPr="00BD79F0">
              <w:rPr>
                <w:rFonts w:eastAsiaTheme="minorHAnsi"/>
                <w:lang w:eastAsia="en-US"/>
              </w:rPr>
              <w:t>to Australia’s obligations, including those under the following:</w:t>
            </w:r>
          </w:p>
          <w:p w:rsidR="000A2C0E" w:rsidRPr="00BD79F0" w:rsidRDefault="000A2C0E" w:rsidP="000A2C0E">
            <w:pPr>
              <w:pStyle w:val="Tablei"/>
              <w:rPr>
                <w:rFonts w:eastAsiaTheme="minorHAnsi"/>
              </w:rPr>
            </w:pPr>
            <w:r w:rsidRPr="00BD79F0">
              <w:rPr>
                <w:rFonts w:eastAsiaTheme="minorHAnsi"/>
                <w:lang w:eastAsia="en-US"/>
              </w:rPr>
              <w:t xml:space="preserve">(i) the International Covenant on Economic, </w:t>
            </w:r>
            <w:r w:rsidRPr="00BD79F0">
              <w:rPr>
                <w:rFonts w:eastAsiaTheme="minorHAnsi"/>
              </w:rPr>
              <w:t>Social and Cultural Rights, particularly Articles 2 and 12;</w:t>
            </w:r>
          </w:p>
          <w:p w:rsidR="003E63BE" w:rsidRPr="00BD79F0" w:rsidRDefault="000A2C0E" w:rsidP="000A2C0E">
            <w:pPr>
              <w:pStyle w:val="Tablei"/>
              <w:rPr>
                <w:rFonts w:eastAsiaTheme="minorHAnsi"/>
                <w:lang w:eastAsia="en-US"/>
              </w:rPr>
            </w:pPr>
            <w:r w:rsidRPr="00BD79F0">
              <w:rPr>
                <w:rFonts w:eastAsiaTheme="minorHAnsi"/>
              </w:rPr>
              <w:t>(ii) the International Health Regulations, partic</w:t>
            </w:r>
            <w:r w:rsidRPr="00BD79F0">
              <w:rPr>
                <w:rFonts w:eastAsiaTheme="minorHAnsi"/>
                <w:lang w:eastAsia="en-US"/>
              </w:rPr>
              <w:t>ularly Articles 5</w:t>
            </w:r>
            <w:r w:rsidR="00BD79F0">
              <w:rPr>
                <w:rFonts w:eastAsiaTheme="minorHAnsi"/>
                <w:lang w:eastAsia="en-US"/>
              </w:rPr>
              <w:noBreakHyphen/>
            </w:r>
            <w:r w:rsidRPr="00BD79F0">
              <w:rPr>
                <w:rFonts w:eastAsiaTheme="minorHAnsi"/>
                <w:lang w:eastAsia="en-US"/>
              </w:rPr>
              <w:t>10 and 44; or</w:t>
            </w:r>
          </w:p>
          <w:p w:rsidR="000A2C0E" w:rsidRPr="00BD79F0" w:rsidRDefault="000A2C0E" w:rsidP="000A2C0E">
            <w:pPr>
              <w:pStyle w:val="Tablea"/>
              <w:rPr>
                <w:rFonts w:eastAsiaTheme="minorHAnsi"/>
              </w:rPr>
            </w:pPr>
            <w:r w:rsidRPr="00BD79F0">
              <w:rPr>
                <w:rFonts w:eastAsiaTheme="minorHAnsi"/>
              </w:rPr>
              <w:t>(i) relating to matters affecting Australia’s relations with foreign countries and international organisations; or</w:t>
            </w:r>
          </w:p>
          <w:p w:rsidR="003E63BE" w:rsidRPr="00BD79F0" w:rsidRDefault="003E63BE" w:rsidP="003E63BE">
            <w:pPr>
              <w:pStyle w:val="Tablea"/>
              <w:rPr>
                <w:rFonts w:eastAsiaTheme="minorHAnsi"/>
              </w:rPr>
            </w:pPr>
            <w:r w:rsidRPr="00BD79F0">
              <w:rPr>
                <w:rFonts w:eastAsiaTheme="minorHAnsi"/>
              </w:rPr>
              <w:t>(</w:t>
            </w:r>
            <w:r w:rsidR="004B6493" w:rsidRPr="00BD79F0">
              <w:rPr>
                <w:rFonts w:eastAsiaTheme="minorHAnsi"/>
              </w:rPr>
              <w:t>j</w:t>
            </w:r>
            <w:r w:rsidRPr="00BD79F0">
              <w:rPr>
                <w:rFonts w:eastAsiaTheme="minorHAnsi"/>
              </w:rPr>
              <w:t>) taken in the exercise of the executive power of the Commonwealth; or</w:t>
            </w:r>
          </w:p>
          <w:p w:rsidR="003E63BE" w:rsidRPr="00BD79F0" w:rsidRDefault="000A2C0E" w:rsidP="000A2C0E">
            <w:pPr>
              <w:pStyle w:val="Tablea"/>
              <w:rPr>
                <w:rFonts w:eastAsiaTheme="minorHAnsi"/>
              </w:rPr>
            </w:pPr>
            <w:r w:rsidRPr="00BD79F0">
              <w:rPr>
                <w:rFonts w:eastAsiaTheme="minorHAnsi"/>
              </w:rPr>
              <w:t>(k) peculiarly adapted to the government of a nation and that cannot otherwise be carried on for the benefit of the nation; or</w:t>
            </w:r>
          </w:p>
          <w:p w:rsidR="003E63BE" w:rsidRPr="00BD79F0" w:rsidRDefault="003E63BE" w:rsidP="004B6493">
            <w:pPr>
              <w:pStyle w:val="Tablea"/>
              <w:rPr>
                <w:rFonts w:eastAsiaTheme="minorHAnsi"/>
              </w:rPr>
            </w:pPr>
            <w:r w:rsidRPr="00BD79F0">
              <w:rPr>
                <w:rFonts w:eastAsiaTheme="minorHAnsi"/>
              </w:rPr>
              <w:t>(</w:t>
            </w:r>
            <w:r w:rsidR="004B6493" w:rsidRPr="00BD79F0">
              <w:rPr>
                <w:rFonts w:eastAsiaTheme="minorHAnsi"/>
              </w:rPr>
              <w:t>l</w:t>
            </w:r>
            <w:r w:rsidRPr="00BD79F0">
              <w:rPr>
                <w:rFonts w:eastAsiaTheme="minorHAnsi"/>
              </w:rPr>
              <w:t xml:space="preserve">) </w:t>
            </w:r>
            <w:r w:rsidR="00AC61BF" w:rsidRPr="00BD79F0">
              <w:rPr>
                <w:rFonts w:eastAsiaTheme="minorHAnsi"/>
              </w:rPr>
              <w:t>involving</w:t>
            </w:r>
            <w:r w:rsidRPr="00BD79F0">
              <w:rPr>
                <w:rFonts w:eastAsiaTheme="minorHAnsi"/>
              </w:rPr>
              <w:t xml:space="preserve"> the granting of financial assist</w:t>
            </w:r>
            <w:r w:rsidR="000A2C0E" w:rsidRPr="00BD79F0">
              <w:rPr>
                <w:rFonts w:eastAsiaTheme="minorHAnsi"/>
              </w:rPr>
              <w:t>ance to a State or Territory.</w:t>
            </w:r>
          </w:p>
        </w:tc>
      </w:tr>
      <w:tr w:rsidR="0063612B" w:rsidRPr="00BD79F0" w:rsidTr="00BB10CE">
        <w:tc>
          <w:tcPr>
            <w:tcW w:w="851" w:type="dxa"/>
            <w:shd w:val="clear" w:color="auto" w:fill="auto"/>
          </w:tcPr>
          <w:p w:rsidR="0063612B" w:rsidRPr="00BD79F0" w:rsidRDefault="0063612B" w:rsidP="00CB6C9F">
            <w:pPr>
              <w:pStyle w:val="Tabletext"/>
            </w:pPr>
            <w:r w:rsidRPr="00BD79F0">
              <w:t>18</w:t>
            </w:r>
            <w:r w:rsidR="00CB6C9F" w:rsidRPr="00BD79F0">
              <w:t>3</w:t>
            </w:r>
          </w:p>
        </w:tc>
        <w:tc>
          <w:tcPr>
            <w:tcW w:w="2552" w:type="dxa"/>
            <w:shd w:val="clear" w:color="auto" w:fill="auto"/>
          </w:tcPr>
          <w:p w:rsidR="0063612B" w:rsidRPr="00BD79F0" w:rsidRDefault="0063612B" w:rsidP="007C4532">
            <w:pPr>
              <w:pStyle w:val="Tabletext"/>
            </w:pPr>
            <w:r w:rsidRPr="00BD79F0">
              <w:t>Public Health and Chronic Disease Program</w:t>
            </w:r>
          </w:p>
        </w:tc>
        <w:tc>
          <w:tcPr>
            <w:tcW w:w="5103" w:type="dxa"/>
            <w:shd w:val="clear" w:color="auto" w:fill="auto"/>
          </w:tcPr>
          <w:p w:rsidR="00941B9E" w:rsidRPr="00BD79F0" w:rsidRDefault="00941B9E" w:rsidP="00941B9E">
            <w:pPr>
              <w:pStyle w:val="Tabletext"/>
              <w:rPr>
                <w:rFonts w:eastAsiaTheme="minorHAnsi"/>
              </w:rPr>
            </w:pPr>
            <w:r w:rsidRPr="00BD79F0">
              <w:rPr>
                <w:rFonts w:eastAsiaTheme="minorHAnsi"/>
              </w:rPr>
              <w:t>To address the rising burden of chronic disease and improve public health by:</w:t>
            </w:r>
          </w:p>
          <w:p w:rsidR="00941B9E" w:rsidRPr="00BD79F0" w:rsidRDefault="00941B9E" w:rsidP="00941B9E">
            <w:pPr>
              <w:pStyle w:val="Tablea"/>
              <w:rPr>
                <w:rFonts w:eastAsiaTheme="minorHAnsi"/>
              </w:rPr>
            </w:pPr>
            <w:r w:rsidRPr="00BD79F0">
              <w:rPr>
                <w:rFonts w:eastAsiaTheme="minorHAnsi"/>
              </w:rPr>
              <w:t>(a) improving the quality of existing health services;</w:t>
            </w:r>
            <w:r w:rsidR="001B5559" w:rsidRPr="00BD79F0">
              <w:rPr>
                <w:rFonts w:eastAsiaTheme="minorHAnsi"/>
              </w:rPr>
              <w:t xml:space="preserve"> and</w:t>
            </w:r>
          </w:p>
          <w:p w:rsidR="00941B9E" w:rsidRPr="00BD79F0" w:rsidRDefault="00941B9E" w:rsidP="00941B9E">
            <w:pPr>
              <w:pStyle w:val="Tablea"/>
              <w:rPr>
                <w:rFonts w:eastAsiaTheme="minorHAnsi"/>
              </w:rPr>
            </w:pPr>
            <w:r w:rsidRPr="00BD79F0">
              <w:rPr>
                <w:rFonts w:eastAsiaTheme="minorHAnsi"/>
              </w:rPr>
              <w:t>(b) supporting the development of new health services, controls and practices;</w:t>
            </w:r>
            <w:r w:rsidR="001B5559" w:rsidRPr="00BD79F0">
              <w:rPr>
                <w:rFonts w:eastAsiaTheme="minorHAnsi"/>
              </w:rPr>
              <w:t xml:space="preserve"> and</w:t>
            </w:r>
          </w:p>
          <w:p w:rsidR="00941B9E" w:rsidRPr="00BD79F0" w:rsidRDefault="00941B9E" w:rsidP="00941B9E">
            <w:pPr>
              <w:pStyle w:val="Tablea"/>
              <w:rPr>
                <w:rFonts w:eastAsiaTheme="minorHAnsi"/>
              </w:rPr>
            </w:pPr>
            <w:r w:rsidRPr="00BD79F0">
              <w:rPr>
                <w:rFonts w:eastAsiaTheme="minorHAnsi"/>
              </w:rPr>
              <w:t>(c) raising awareness of, providing education and advice on, and developing and disseminating information about health conditions (including their prevention, treatment, managemen</w:t>
            </w:r>
            <w:r w:rsidR="00316BD1" w:rsidRPr="00BD79F0">
              <w:rPr>
                <w:rFonts w:eastAsiaTheme="minorHAnsi"/>
              </w:rPr>
              <w:t>t and control), health services</w:t>
            </w:r>
            <w:r w:rsidRPr="00BD79F0">
              <w:rPr>
                <w:rFonts w:eastAsiaTheme="minorHAnsi"/>
              </w:rPr>
              <w:t xml:space="preserve"> and family planning;</w:t>
            </w:r>
            <w:r w:rsidR="001B5559" w:rsidRPr="00BD79F0">
              <w:rPr>
                <w:rFonts w:eastAsiaTheme="minorHAnsi"/>
              </w:rPr>
              <w:t xml:space="preserve"> and</w:t>
            </w:r>
          </w:p>
          <w:p w:rsidR="00941B9E" w:rsidRPr="00BD79F0" w:rsidRDefault="00941B9E" w:rsidP="00941B9E">
            <w:pPr>
              <w:pStyle w:val="Tablea"/>
              <w:rPr>
                <w:rFonts w:eastAsiaTheme="minorHAnsi"/>
              </w:rPr>
            </w:pPr>
            <w:r w:rsidRPr="00BD79F0">
              <w:rPr>
                <w:rFonts w:eastAsiaTheme="minorHAnsi"/>
              </w:rPr>
              <w:t>(d) training and educating health professionals and other health service providers;</w:t>
            </w:r>
            <w:r w:rsidR="001B5559" w:rsidRPr="00BD79F0">
              <w:rPr>
                <w:rFonts w:eastAsiaTheme="minorHAnsi"/>
              </w:rPr>
              <w:t xml:space="preserve"> and</w:t>
            </w:r>
          </w:p>
          <w:p w:rsidR="00941B9E" w:rsidRPr="00BD79F0" w:rsidRDefault="00941B9E" w:rsidP="00941B9E">
            <w:pPr>
              <w:pStyle w:val="Tablea"/>
              <w:rPr>
                <w:rFonts w:eastAsiaTheme="minorHAnsi"/>
              </w:rPr>
            </w:pPr>
            <w:r w:rsidRPr="00BD79F0">
              <w:rPr>
                <w:rFonts w:eastAsiaTheme="minorHAnsi"/>
              </w:rPr>
              <w:t>(e) informing the public about health policy, programs, research and best practice;</w:t>
            </w:r>
            <w:r w:rsidR="001B5559" w:rsidRPr="00BD79F0">
              <w:rPr>
                <w:rFonts w:eastAsiaTheme="minorHAnsi"/>
              </w:rPr>
              <w:t xml:space="preserve"> and</w:t>
            </w:r>
          </w:p>
          <w:p w:rsidR="00941B9E" w:rsidRPr="00BD79F0" w:rsidRDefault="00941B9E" w:rsidP="00941B9E">
            <w:pPr>
              <w:pStyle w:val="Tablea"/>
              <w:rPr>
                <w:rFonts w:eastAsiaTheme="minorHAnsi"/>
              </w:rPr>
            </w:pPr>
            <w:r w:rsidRPr="00BD79F0">
              <w:rPr>
                <w:rFonts w:eastAsiaTheme="minorHAnsi"/>
              </w:rPr>
              <w:t>(f) providing support services to persons with health conditions and their families;</w:t>
            </w:r>
            <w:r w:rsidR="001B5559" w:rsidRPr="00BD79F0">
              <w:rPr>
                <w:rFonts w:eastAsiaTheme="minorHAnsi"/>
              </w:rPr>
              <w:t xml:space="preserve"> and</w:t>
            </w:r>
          </w:p>
          <w:p w:rsidR="00941B9E" w:rsidRPr="00BD79F0" w:rsidRDefault="00941B9E" w:rsidP="00941B9E">
            <w:pPr>
              <w:pStyle w:val="Tablea"/>
              <w:rPr>
                <w:rFonts w:eastAsiaTheme="minorHAnsi"/>
              </w:rPr>
            </w:pPr>
            <w:r w:rsidRPr="00BD79F0">
              <w:rPr>
                <w:rFonts w:eastAsiaTheme="minorHAnsi"/>
              </w:rPr>
              <w:t>(g) conducting health checks for particular groups;</w:t>
            </w:r>
            <w:r w:rsidR="001B5559" w:rsidRPr="00BD79F0">
              <w:rPr>
                <w:rFonts w:eastAsiaTheme="minorHAnsi"/>
              </w:rPr>
              <w:t xml:space="preserve"> and</w:t>
            </w:r>
          </w:p>
          <w:p w:rsidR="00941B9E" w:rsidRPr="00BD79F0" w:rsidRDefault="00941B9E" w:rsidP="00941B9E">
            <w:pPr>
              <w:pStyle w:val="Tablea"/>
              <w:rPr>
                <w:rFonts w:eastAsiaTheme="minorHAnsi"/>
              </w:rPr>
            </w:pPr>
            <w:r w:rsidRPr="00BD79F0">
              <w:rPr>
                <w:rFonts w:eastAsiaTheme="minorHAnsi"/>
              </w:rPr>
              <w:t>(h) implementing, developing a</w:t>
            </w:r>
            <w:r w:rsidR="006157F0" w:rsidRPr="00BD79F0">
              <w:rPr>
                <w:rFonts w:eastAsiaTheme="minorHAnsi"/>
              </w:rPr>
              <w:t>nd promoting</w:t>
            </w:r>
            <w:r w:rsidRPr="00BD79F0">
              <w:rPr>
                <w:rFonts w:eastAsiaTheme="minorHAnsi"/>
              </w:rPr>
              <w:t xml:space="preserve"> food and nutrition policy, including a health star rating system for food labelling;</w:t>
            </w:r>
            <w:r w:rsidR="001B5559" w:rsidRPr="00BD79F0">
              <w:rPr>
                <w:rFonts w:eastAsiaTheme="minorHAnsi"/>
              </w:rPr>
              <w:t xml:space="preserve"> and</w:t>
            </w:r>
          </w:p>
          <w:p w:rsidR="00941B9E" w:rsidRPr="00BD79F0" w:rsidRDefault="00941B9E" w:rsidP="00941B9E">
            <w:pPr>
              <w:pStyle w:val="Tablea"/>
              <w:rPr>
                <w:rFonts w:eastAsiaTheme="minorHAnsi"/>
                <w:lang w:eastAsia="en-US"/>
              </w:rPr>
            </w:pPr>
            <w:r w:rsidRPr="00BD79F0">
              <w:rPr>
                <w:rFonts w:eastAsiaTheme="minorHAnsi"/>
              </w:rPr>
              <w:t xml:space="preserve">(i) enhancing </w:t>
            </w:r>
            <w:r w:rsidR="006157F0" w:rsidRPr="00BD79F0">
              <w:rPr>
                <w:rFonts w:eastAsiaTheme="minorHAnsi"/>
              </w:rPr>
              <w:t xml:space="preserve">the </w:t>
            </w:r>
            <w:r w:rsidRPr="00BD79F0">
              <w:rPr>
                <w:rFonts w:eastAsiaTheme="minorHAnsi"/>
              </w:rPr>
              <w:t>quality of, improving access to, and supporting, palliative care, end of life care and advance care planning ser</w:t>
            </w:r>
            <w:r w:rsidR="001B5559" w:rsidRPr="00BD79F0">
              <w:rPr>
                <w:rFonts w:eastAsiaTheme="minorHAnsi"/>
                <w:lang w:eastAsia="en-US"/>
              </w:rPr>
              <w:t>vices.</w:t>
            </w:r>
          </w:p>
          <w:p w:rsidR="001B5559" w:rsidRPr="00BD79F0" w:rsidRDefault="001B5559" w:rsidP="001B5559">
            <w:pPr>
              <w:pStyle w:val="Tabletext"/>
            </w:pPr>
            <w:r w:rsidRPr="00BD79F0">
              <w:t>This objective also has the effect it would have if it were limited to measures:</w:t>
            </w:r>
          </w:p>
          <w:p w:rsidR="00EE1D8A" w:rsidRPr="00BD79F0" w:rsidRDefault="00EE1D8A" w:rsidP="00E72217">
            <w:pPr>
              <w:pStyle w:val="Tablea"/>
              <w:rPr>
                <w:rFonts w:eastAsiaTheme="minorHAnsi"/>
              </w:rPr>
            </w:pPr>
            <w:r w:rsidRPr="00BD79F0">
              <w:rPr>
                <w:rFonts w:eastAsiaTheme="minorHAnsi"/>
              </w:rPr>
              <w:t>(a) in connection with electronic communications; or</w:t>
            </w:r>
          </w:p>
          <w:p w:rsidR="00EE1D8A" w:rsidRPr="00BD79F0" w:rsidRDefault="00EE1D8A" w:rsidP="00EE1D8A">
            <w:pPr>
              <w:pStyle w:val="Tablea"/>
              <w:rPr>
                <w:rFonts w:eastAsiaTheme="minorHAnsi"/>
              </w:rPr>
            </w:pPr>
            <w:r w:rsidRPr="00BD79F0">
              <w:rPr>
                <w:rFonts w:eastAsiaTheme="minorHAnsi"/>
              </w:rPr>
              <w:t>(b) involving the collection, compilation, analysis or dissemination of statistics; or</w:t>
            </w:r>
          </w:p>
          <w:p w:rsidR="00EE1D8A" w:rsidRPr="00BD79F0" w:rsidRDefault="00EE1D8A" w:rsidP="00EE1D8A">
            <w:pPr>
              <w:pStyle w:val="Tablea"/>
              <w:rPr>
                <w:rFonts w:eastAsiaTheme="minorHAnsi"/>
              </w:rPr>
            </w:pPr>
            <w:r w:rsidRPr="00BD79F0">
              <w:rPr>
                <w:rFonts w:eastAsiaTheme="minorHAnsi"/>
              </w:rPr>
              <w:t>(c) providing, or incidental to the provision of, benefits to students, sickness benefits, pharmaceutical benefits, hospital benefits or medical services; or</w:t>
            </w:r>
          </w:p>
          <w:p w:rsidR="00941B9E" w:rsidRPr="00BD79F0" w:rsidRDefault="00727468" w:rsidP="001B5559">
            <w:pPr>
              <w:pStyle w:val="Tablea"/>
              <w:rPr>
                <w:rFonts w:eastAsiaTheme="minorHAnsi"/>
              </w:rPr>
            </w:pPr>
            <w:r w:rsidRPr="00BD79F0">
              <w:rPr>
                <w:rFonts w:eastAsiaTheme="minorHAnsi"/>
              </w:rPr>
              <w:t>(</w:t>
            </w:r>
            <w:r w:rsidR="00EE1D8A" w:rsidRPr="00BD79F0">
              <w:rPr>
                <w:rFonts w:eastAsiaTheme="minorHAnsi"/>
              </w:rPr>
              <w:t>d</w:t>
            </w:r>
            <w:r w:rsidRPr="00BD79F0">
              <w:rPr>
                <w:rFonts w:eastAsiaTheme="minorHAnsi"/>
              </w:rPr>
              <w:t xml:space="preserve">) </w:t>
            </w:r>
            <w:r w:rsidR="006157F0" w:rsidRPr="00BD79F0">
              <w:rPr>
                <w:rFonts w:eastAsiaTheme="minorHAnsi"/>
              </w:rPr>
              <w:t>providing</w:t>
            </w:r>
            <w:r w:rsidR="00941B9E" w:rsidRPr="00BD79F0">
              <w:rPr>
                <w:rFonts w:eastAsiaTheme="minorHAnsi"/>
              </w:rPr>
              <w:t xml:space="preserve"> assistance to Aboriginal persons or Torres Strait Islanders; or</w:t>
            </w:r>
          </w:p>
          <w:p w:rsidR="00EE1D8A" w:rsidRPr="00BD79F0" w:rsidRDefault="00EE1D8A" w:rsidP="001B5559">
            <w:pPr>
              <w:pStyle w:val="Tablea"/>
              <w:rPr>
                <w:rFonts w:eastAsiaTheme="minorHAnsi"/>
              </w:rPr>
            </w:pPr>
            <w:r w:rsidRPr="00BD79F0">
              <w:rPr>
                <w:rFonts w:eastAsiaTheme="minorHAnsi"/>
              </w:rPr>
              <w:t>(e) giving effect to Australia’s obligations under the International Covenant on Economic, Social and Cultural Rights, particularly Articles 2 and 12; or</w:t>
            </w:r>
          </w:p>
          <w:p w:rsidR="0063612B" w:rsidRPr="00BD79F0" w:rsidRDefault="00727468" w:rsidP="00EE1D8A">
            <w:pPr>
              <w:pStyle w:val="Tablea"/>
              <w:rPr>
                <w:rFonts w:eastAsiaTheme="minorHAnsi"/>
              </w:rPr>
            </w:pPr>
            <w:r w:rsidRPr="00BD79F0">
              <w:rPr>
                <w:rFonts w:eastAsiaTheme="minorHAnsi"/>
              </w:rPr>
              <w:t>(</w:t>
            </w:r>
            <w:r w:rsidR="00EE1D8A" w:rsidRPr="00BD79F0">
              <w:rPr>
                <w:rFonts w:eastAsiaTheme="minorHAnsi"/>
              </w:rPr>
              <w:t>f</w:t>
            </w:r>
            <w:r w:rsidRPr="00BD79F0">
              <w:rPr>
                <w:rFonts w:eastAsiaTheme="minorHAnsi"/>
              </w:rPr>
              <w:t xml:space="preserve">) </w:t>
            </w:r>
            <w:r w:rsidR="00941B9E" w:rsidRPr="00BD79F0">
              <w:rPr>
                <w:rFonts w:eastAsiaTheme="minorHAnsi"/>
              </w:rPr>
              <w:t>taken in the exercise of the executi</w:t>
            </w:r>
            <w:r w:rsidR="00EE1D8A" w:rsidRPr="00BD79F0">
              <w:rPr>
                <w:rFonts w:eastAsiaTheme="minorHAnsi"/>
              </w:rPr>
              <w:t>ve power of the Commonwealth.</w:t>
            </w:r>
          </w:p>
        </w:tc>
      </w:tr>
    </w:tbl>
    <w:p w:rsidR="00604A85" w:rsidRPr="00BD79F0" w:rsidRDefault="00604A85" w:rsidP="00604A85">
      <w:pPr>
        <w:pStyle w:val="Tabletext"/>
      </w:pPr>
    </w:p>
    <w:sectPr w:rsidR="00604A85" w:rsidRPr="00BD79F0" w:rsidSect="00A456E8">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19E" w:rsidRDefault="009B419E" w:rsidP="0048364F">
      <w:pPr>
        <w:spacing w:line="240" w:lineRule="auto"/>
      </w:pPr>
      <w:r>
        <w:separator/>
      </w:r>
    </w:p>
  </w:endnote>
  <w:endnote w:type="continuationSeparator" w:id="0">
    <w:p w:rsidR="009B419E" w:rsidRDefault="009B419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A456E8" w:rsidRDefault="009B419E" w:rsidP="00A456E8">
    <w:pPr>
      <w:pStyle w:val="Footer"/>
      <w:tabs>
        <w:tab w:val="clear" w:pos="4153"/>
        <w:tab w:val="clear" w:pos="8306"/>
        <w:tab w:val="center" w:pos="4150"/>
        <w:tab w:val="right" w:pos="8307"/>
      </w:tabs>
      <w:spacing w:before="120"/>
      <w:rPr>
        <w:i/>
        <w:sz w:val="18"/>
      </w:rPr>
    </w:pPr>
    <w:r w:rsidRPr="00A456E8">
      <w:rPr>
        <w:i/>
        <w:sz w:val="18"/>
      </w:rPr>
      <w:t xml:space="preserve"> </w:t>
    </w:r>
    <w:r w:rsidR="00A456E8" w:rsidRPr="00A456E8">
      <w:rPr>
        <w:i/>
        <w:sz w:val="18"/>
      </w:rPr>
      <w:t>OPC62284 -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E8" w:rsidRDefault="00A456E8" w:rsidP="00A456E8">
    <w:pPr>
      <w:pStyle w:val="Footer"/>
    </w:pPr>
    <w:r w:rsidRPr="00A456E8">
      <w:rPr>
        <w:i/>
        <w:sz w:val="18"/>
      </w:rPr>
      <w:t>OPC62284 -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A456E8" w:rsidRDefault="009B419E" w:rsidP="00486382">
    <w:pPr>
      <w:pStyle w:val="Footer"/>
      <w:rPr>
        <w:sz w:val="18"/>
      </w:rPr>
    </w:pPr>
  </w:p>
  <w:p w:rsidR="009B419E" w:rsidRPr="00A456E8" w:rsidRDefault="00A456E8" w:rsidP="00A456E8">
    <w:pPr>
      <w:pStyle w:val="Footer"/>
      <w:rPr>
        <w:sz w:val="18"/>
      </w:rPr>
    </w:pPr>
    <w:r w:rsidRPr="00A456E8">
      <w:rPr>
        <w:i/>
        <w:sz w:val="18"/>
      </w:rPr>
      <w:t>OPC62284 -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A456E8" w:rsidRDefault="009B419E"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9B419E" w:rsidRPr="00A456E8" w:rsidTr="00B107A2">
      <w:tc>
        <w:tcPr>
          <w:tcW w:w="365" w:type="pct"/>
          <w:tcBorders>
            <w:top w:val="nil"/>
            <w:left w:val="nil"/>
            <w:bottom w:val="nil"/>
            <w:right w:val="nil"/>
          </w:tcBorders>
        </w:tcPr>
        <w:p w:rsidR="009B419E" w:rsidRPr="00A456E8" w:rsidRDefault="009B419E" w:rsidP="00E33C1C">
          <w:pPr>
            <w:spacing w:line="0" w:lineRule="atLeast"/>
            <w:rPr>
              <w:rFonts w:cs="Times New Roman"/>
              <w:i/>
              <w:sz w:val="18"/>
            </w:rPr>
          </w:pPr>
          <w:r w:rsidRPr="00A456E8">
            <w:rPr>
              <w:rFonts w:cs="Times New Roman"/>
              <w:i/>
              <w:sz w:val="18"/>
            </w:rPr>
            <w:fldChar w:fldCharType="begin"/>
          </w:r>
          <w:r w:rsidRPr="00A456E8">
            <w:rPr>
              <w:rFonts w:cs="Times New Roman"/>
              <w:i/>
              <w:sz w:val="18"/>
            </w:rPr>
            <w:instrText xml:space="preserve"> PAGE </w:instrText>
          </w:r>
          <w:r w:rsidRPr="00A456E8">
            <w:rPr>
              <w:rFonts w:cs="Times New Roman"/>
              <w:i/>
              <w:sz w:val="18"/>
            </w:rPr>
            <w:fldChar w:fldCharType="separate"/>
          </w:r>
          <w:r w:rsidR="0030166D">
            <w:rPr>
              <w:rFonts w:cs="Times New Roman"/>
              <w:i/>
              <w:noProof/>
              <w:sz w:val="18"/>
            </w:rPr>
            <w:t>ii</w:t>
          </w:r>
          <w:r w:rsidRPr="00A456E8">
            <w:rPr>
              <w:rFonts w:cs="Times New Roman"/>
              <w:i/>
              <w:sz w:val="18"/>
            </w:rPr>
            <w:fldChar w:fldCharType="end"/>
          </w:r>
        </w:p>
      </w:tc>
      <w:tc>
        <w:tcPr>
          <w:tcW w:w="3688" w:type="pct"/>
          <w:tcBorders>
            <w:top w:val="nil"/>
            <w:left w:val="nil"/>
            <w:bottom w:val="nil"/>
            <w:right w:val="nil"/>
          </w:tcBorders>
        </w:tcPr>
        <w:p w:rsidR="009B419E" w:rsidRPr="00A456E8" w:rsidRDefault="009B419E" w:rsidP="00E33C1C">
          <w:pPr>
            <w:spacing w:line="0" w:lineRule="atLeast"/>
            <w:jc w:val="center"/>
            <w:rPr>
              <w:rFonts w:cs="Times New Roman"/>
              <w:i/>
              <w:sz w:val="18"/>
            </w:rPr>
          </w:pPr>
          <w:r w:rsidRPr="00A456E8">
            <w:rPr>
              <w:rFonts w:cs="Times New Roman"/>
              <w:i/>
              <w:sz w:val="18"/>
            </w:rPr>
            <w:fldChar w:fldCharType="begin"/>
          </w:r>
          <w:r w:rsidRPr="00A456E8">
            <w:rPr>
              <w:rFonts w:cs="Times New Roman"/>
              <w:i/>
              <w:sz w:val="18"/>
            </w:rPr>
            <w:instrText xml:space="preserve"> DOCPROPERTY ShortT </w:instrText>
          </w:r>
          <w:r w:rsidRPr="00A456E8">
            <w:rPr>
              <w:rFonts w:cs="Times New Roman"/>
              <w:i/>
              <w:sz w:val="18"/>
            </w:rPr>
            <w:fldChar w:fldCharType="separate"/>
          </w:r>
          <w:r w:rsidR="007A6269">
            <w:rPr>
              <w:rFonts w:cs="Times New Roman"/>
              <w:i/>
              <w:sz w:val="18"/>
            </w:rPr>
            <w:t>Financial Framework (Supplementary Powers) Amendment (Health Measures No. 4) Regulation 2016</w:t>
          </w:r>
          <w:r w:rsidRPr="00A456E8">
            <w:rPr>
              <w:rFonts w:cs="Times New Roman"/>
              <w:i/>
              <w:sz w:val="18"/>
            </w:rPr>
            <w:fldChar w:fldCharType="end"/>
          </w:r>
        </w:p>
      </w:tc>
      <w:tc>
        <w:tcPr>
          <w:tcW w:w="947" w:type="pct"/>
          <w:tcBorders>
            <w:top w:val="nil"/>
            <w:left w:val="nil"/>
            <w:bottom w:val="nil"/>
            <w:right w:val="nil"/>
          </w:tcBorders>
        </w:tcPr>
        <w:p w:rsidR="009B419E" w:rsidRPr="00A456E8" w:rsidRDefault="009B419E" w:rsidP="00E33C1C">
          <w:pPr>
            <w:spacing w:line="0" w:lineRule="atLeast"/>
            <w:jc w:val="right"/>
            <w:rPr>
              <w:rFonts w:cs="Times New Roman"/>
              <w:i/>
              <w:sz w:val="18"/>
            </w:rPr>
          </w:pPr>
        </w:p>
      </w:tc>
    </w:tr>
  </w:tbl>
  <w:p w:rsidR="009B419E" w:rsidRPr="00A456E8" w:rsidRDefault="00A456E8" w:rsidP="00A456E8">
    <w:pPr>
      <w:rPr>
        <w:rFonts w:cs="Times New Roman"/>
        <w:i/>
        <w:sz w:val="18"/>
      </w:rPr>
    </w:pPr>
    <w:r w:rsidRPr="00A456E8">
      <w:rPr>
        <w:rFonts w:cs="Times New Roman"/>
        <w:i/>
        <w:sz w:val="18"/>
      </w:rPr>
      <w:t>OPC62284 -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E33C1C" w:rsidRDefault="009B419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9B419E" w:rsidTr="00B107A2">
      <w:tc>
        <w:tcPr>
          <w:tcW w:w="947" w:type="pct"/>
          <w:tcBorders>
            <w:top w:val="nil"/>
            <w:left w:val="nil"/>
            <w:bottom w:val="nil"/>
            <w:right w:val="nil"/>
          </w:tcBorders>
        </w:tcPr>
        <w:p w:rsidR="009B419E" w:rsidRDefault="009B419E" w:rsidP="00E33C1C">
          <w:pPr>
            <w:spacing w:line="0" w:lineRule="atLeast"/>
            <w:rPr>
              <w:sz w:val="18"/>
            </w:rPr>
          </w:pPr>
        </w:p>
      </w:tc>
      <w:tc>
        <w:tcPr>
          <w:tcW w:w="3688" w:type="pct"/>
          <w:tcBorders>
            <w:top w:val="nil"/>
            <w:left w:val="nil"/>
            <w:bottom w:val="nil"/>
            <w:right w:val="nil"/>
          </w:tcBorders>
        </w:tcPr>
        <w:p w:rsidR="009B419E" w:rsidRDefault="009B419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6269">
            <w:rPr>
              <w:i/>
              <w:sz w:val="18"/>
            </w:rPr>
            <w:t>Financial Framework (Supplementary Powers) Amendment (Health Measures No. 4) Regulation 2016</w:t>
          </w:r>
          <w:r w:rsidRPr="007A1328">
            <w:rPr>
              <w:i/>
              <w:sz w:val="18"/>
            </w:rPr>
            <w:fldChar w:fldCharType="end"/>
          </w:r>
        </w:p>
      </w:tc>
      <w:tc>
        <w:tcPr>
          <w:tcW w:w="365" w:type="pct"/>
          <w:tcBorders>
            <w:top w:val="nil"/>
            <w:left w:val="nil"/>
            <w:bottom w:val="nil"/>
            <w:right w:val="nil"/>
          </w:tcBorders>
        </w:tcPr>
        <w:p w:rsidR="009B419E" w:rsidRDefault="009B419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7160">
            <w:rPr>
              <w:i/>
              <w:noProof/>
              <w:sz w:val="18"/>
            </w:rPr>
            <w:t>i</w:t>
          </w:r>
          <w:r w:rsidRPr="00ED79B6">
            <w:rPr>
              <w:i/>
              <w:sz w:val="18"/>
            </w:rPr>
            <w:fldChar w:fldCharType="end"/>
          </w:r>
        </w:p>
      </w:tc>
    </w:tr>
  </w:tbl>
  <w:p w:rsidR="009B419E" w:rsidRPr="00ED79B6" w:rsidRDefault="00A456E8" w:rsidP="00A456E8">
    <w:pPr>
      <w:rPr>
        <w:i/>
        <w:sz w:val="18"/>
      </w:rPr>
    </w:pPr>
    <w:r w:rsidRPr="00A456E8">
      <w:rPr>
        <w:rFonts w:cs="Times New Roman"/>
        <w:i/>
        <w:sz w:val="18"/>
      </w:rPr>
      <w:t>OPC62284 -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A456E8" w:rsidRDefault="009B419E"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9B419E" w:rsidRPr="00A456E8" w:rsidTr="00B107A2">
      <w:tc>
        <w:tcPr>
          <w:tcW w:w="365" w:type="pct"/>
          <w:tcBorders>
            <w:top w:val="nil"/>
            <w:left w:val="nil"/>
            <w:bottom w:val="nil"/>
            <w:right w:val="nil"/>
          </w:tcBorders>
        </w:tcPr>
        <w:p w:rsidR="009B419E" w:rsidRPr="00A456E8" w:rsidRDefault="009B419E" w:rsidP="00E33C1C">
          <w:pPr>
            <w:spacing w:line="0" w:lineRule="atLeast"/>
            <w:rPr>
              <w:rFonts w:cs="Times New Roman"/>
              <w:i/>
              <w:sz w:val="18"/>
            </w:rPr>
          </w:pPr>
          <w:r w:rsidRPr="00A456E8">
            <w:rPr>
              <w:rFonts w:cs="Times New Roman"/>
              <w:i/>
              <w:sz w:val="18"/>
            </w:rPr>
            <w:fldChar w:fldCharType="begin"/>
          </w:r>
          <w:r w:rsidRPr="00A456E8">
            <w:rPr>
              <w:rFonts w:cs="Times New Roman"/>
              <w:i/>
              <w:sz w:val="18"/>
            </w:rPr>
            <w:instrText xml:space="preserve"> PAGE </w:instrText>
          </w:r>
          <w:r w:rsidRPr="00A456E8">
            <w:rPr>
              <w:rFonts w:cs="Times New Roman"/>
              <w:i/>
              <w:sz w:val="18"/>
            </w:rPr>
            <w:fldChar w:fldCharType="separate"/>
          </w:r>
          <w:r w:rsidR="005F7160">
            <w:rPr>
              <w:rFonts w:cs="Times New Roman"/>
              <w:i/>
              <w:noProof/>
              <w:sz w:val="18"/>
            </w:rPr>
            <w:t>8</w:t>
          </w:r>
          <w:r w:rsidRPr="00A456E8">
            <w:rPr>
              <w:rFonts w:cs="Times New Roman"/>
              <w:i/>
              <w:sz w:val="18"/>
            </w:rPr>
            <w:fldChar w:fldCharType="end"/>
          </w:r>
        </w:p>
      </w:tc>
      <w:tc>
        <w:tcPr>
          <w:tcW w:w="3688" w:type="pct"/>
          <w:tcBorders>
            <w:top w:val="nil"/>
            <w:left w:val="nil"/>
            <w:bottom w:val="nil"/>
            <w:right w:val="nil"/>
          </w:tcBorders>
        </w:tcPr>
        <w:p w:rsidR="009B419E" w:rsidRPr="00A456E8" w:rsidRDefault="009B419E" w:rsidP="00E33C1C">
          <w:pPr>
            <w:spacing w:line="0" w:lineRule="atLeast"/>
            <w:jc w:val="center"/>
            <w:rPr>
              <w:rFonts w:cs="Times New Roman"/>
              <w:i/>
              <w:sz w:val="18"/>
            </w:rPr>
          </w:pPr>
          <w:r w:rsidRPr="00A456E8">
            <w:rPr>
              <w:rFonts w:cs="Times New Roman"/>
              <w:i/>
              <w:sz w:val="18"/>
            </w:rPr>
            <w:fldChar w:fldCharType="begin"/>
          </w:r>
          <w:r w:rsidRPr="00A456E8">
            <w:rPr>
              <w:rFonts w:cs="Times New Roman"/>
              <w:i/>
              <w:sz w:val="18"/>
            </w:rPr>
            <w:instrText xml:space="preserve"> DOCPROPERTY ShortT </w:instrText>
          </w:r>
          <w:r w:rsidRPr="00A456E8">
            <w:rPr>
              <w:rFonts w:cs="Times New Roman"/>
              <w:i/>
              <w:sz w:val="18"/>
            </w:rPr>
            <w:fldChar w:fldCharType="separate"/>
          </w:r>
          <w:r w:rsidR="007A6269">
            <w:rPr>
              <w:rFonts w:cs="Times New Roman"/>
              <w:i/>
              <w:sz w:val="18"/>
            </w:rPr>
            <w:t>Financial Framework (Supplementary Powers) Amendment (Health Measures No. 4) Regulation 2016</w:t>
          </w:r>
          <w:r w:rsidRPr="00A456E8">
            <w:rPr>
              <w:rFonts w:cs="Times New Roman"/>
              <w:i/>
              <w:sz w:val="18"/>
            </w:rPr>
            <w:fldChar w:fldCharType="end"/>
          </w:r>
        </w:p>
      </w:tc>
      <w:tc>
        <w:tcPr>
          <w:tcW w:w="947" w:type="pct"/>
          <w:tcBorders>
            <w:top w:val="nil"/>
            <w:left w:val="nil"/>
            <w:bottom w:val="nil"/>
            <w:right w:val="nil"/>
          </w:tcBorders>
        </w:tcPr>
        <w:p w:rsidR="009B419E" w:rsidRPr="00A456E8" w:rsidRDefault="009B419E" w:rsidP="00E33C1C">
          <w:pPr>
            <w:spacing w:line="0" w:lineRule="atLeast"/>
            <w:jc w:val="right"/>
            <w:rPr>
              <w:rFonts w:cs="Times New Roman"/>
              <w:i/>
              <w:sz w:val="18"/>
            </w:rPr>
          </w:pPr>
        </w:p>
      </w:tc>
    </w:tr>
  </w:tbl>
  <w:p w:rsidR="009B419E" w:rsidRPr="00A456E8" w:rsidRDefault="00A456E8" w:rsidP="00A456E8">
    <w:pPr>
      <w:rPr>
        <w:rFonts w:cs="Times New Roman"/>
        <w:i/>
        <w:sz w:val="18"/>
      </w:rPr>
    </w:pPr>
    <w:r w:rsidRPr="00A456E8">
      <w:rPr>
        <w:rFonts w:cs="Times New Roman"/>
        <w:i/>
        <w:sz w:val="18"/>
      </w:rPr>
      <w:t>OPC62284 -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E33C1C" w:rsidRDefault="009B419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9B419E" w:rsidTr="00B107A2">
      <w:tc>
        <w:tcPr>
          <w:tcW w:w="947" w:type="pct"/>
          <w:tcBorders>
            <w:top w:val="nil"/>
            <w:left w:val="nil"/>
            <w:bottom w:val="nil"/>
            <w:right w:val="nil"/>
          </w:tcBorders>
        </w:tcPr>
        <w:p w:rsidR="009B419E" w:rsidRDefault="009B419E" w:rsidP="00E33C1C">
          <w:pPr>
            <w:spacing w:line="0" w:lineRule="atLeast"/>
            <w:rPr>
              <w:sz w:val="18"/>
            </w:rPr>
          </w:pPr>
        </w:p>
      </w:tc>
      <w:tc>
        <w:tcPr>
          <w:tcW w:w="3688" w:type="pct"/>
          <w:tcBorders>
            <w:top w:val="nil"/>
            <w:left w:val="nil"/>
            <w:bottom w:val="nil"/>
            <w:right w:val="nil"/>
          </w:tcBorders>
        </w:tcPr>
        <w:p w:rsidR="009B419E" w:rsidRDefault="009B419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6269">
            <w:rPr>
              <w:i/>
              <w:sz w:val="18"/>
            </w:rPr>
            <w:t>Financial Framework (Supplementary Powers) Amendment (Health Measures No. 4) Regulation 2016</w:t>
          </w:r>
          <w:r w:rsidRPr="007A1328">
            <w:rPr>
              <w:i/>
              <w:sz w:val="18"/>
            </w:rPr>
            <w:fldChar w:fldCharType="end"/>
          </w:r>
        </w:p>
      </w:tc>
      <w:tc>
        <w:tcPr>
          <w:tcW w:w="365" w:type="pct"/>
          <w:tcBorders>
            <w:top w:val="nil"/>
            <w:left w:val="nil"/>
            <w:bottom w:val="nil"/>
            <w:right w:val="nil"/>
          </w:tcBorders>
        </w:tcPr>
        <w:p w:rsidR="009B419E" w:rsidRDefault="009B419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7160">
            <w:rPr>
              <w:i/>
              <w:noProof/>
              <w:sz w:val="18"/>
            </w:rPr>
            <w:t>1</w:t>
          </w:r>
          <w:r w:rsidRPr="00ED79B6">
            <w:rPr>
              <w:i/>
              <w:sz w:val="18"/>
            </w:rPr>
            <w:fldChar w:fldCharType="end"/>
          </w:r>
        </w:p>
      </w:tc>
    </w:tr>
  </w:tbl>
  <w:p w:rsidR="009B419E" w:rsidRPr="00ED79B6" w:rsidRDefault="00A456E8" w:rsidP="00A456E8">
    <w:pPr>
      <w:rPr>
        <w:i/>
        <w:sz w:val="18"/>
      </w:rPr>
    </w:pPr>
    <w:r w:rsidRPr="00A456E8">
      <w:rPr>
        <w:rFonts w:cs="Times New Roman"/>
        <w:i/>
        <w:sz w:val="18"/>
      </w:rPr>
      <w:t>OPC62284 -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E33C1C" w:rsidRDefault="009B419E"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9B419E" w:rsidTr="00B107A2">
      <w:tc>
        <w:tcPr>
          <w:tcW w:w="947" w:type="pct"/>
          <w:tcBorders>
            <w:top w:val="nil"/>
            <w:left w:val="nil"/>
            <w:bottom w:val="nil"/>
            <w:right w:val="nil"/>
          </w:tcBorders>
        </w:tcPr>
        <w:p w:rsidR="009B419E" w:rsidRDefault="009B419E" w:rsidP="007C4532">
          <w:pPr>
            <w:spacing w:line="0" w:lineRule="atLeast"/>
            <w:rPr>
              <w:sz w:val="18"/>
            </w:rPr>
          </w:pPr>
        </w:p>
      </w:tc>
      <w:tc>
        <w:tcPr>
          <w:tcW w:w="3688" w:type="pct"/>
          <w:tcBorders>
            <w:top w:val="nil"/>
            <w:left w:val="nil"/>
            <w:bottom w:val="nil"/>
            <w:right w:val="nil"/>
          </w:tcBorders>
        </w:tcPr>
        <w:p w:rsidR="009B419E" w:rsidRDefault="009B419E" w:rsidP="007C453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6269">
            <w:rPr>
              <w:i/>
              <w:sz w:val="18"/>
            </w:rPr>
            <w:t>Financial Framework (Supplementary Powers) Amendment (Health Measures No. 4) Regulation 2016</w:t>
          </w:r>
          <w:r w:rsidRPr="007A1328">
            <w:rPr>
              <w:i/>
              <w:sz w:val="18"/>
            </w:rPr>
            <w:fldChar w:fldCharType="end"/>
          </w:r>
        </w:p>
      </w:tc>
      <w:tc>
        <w:tcPr>
          <w:tcW w:w="365" w:type="pct"/>
          <w:tcBorders>
            <w:top w:val="nil"/>
            <w:left w:val="nil"/>
            <w:bottom w:val="nil"/>
            <w:right w:val="nil"/>
          </w:tcBorders>
        </w:tcPr>
        <w:p w:rsidR="009B419E" w:rsidRDefault="009B419E" w:rsidP="007C45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166D">
            <w:rPr>
              <w:i/>
              <w:noProof/>
              <w:sz w:val="18"/>
            </w:rPr>
            <w:t>2</w:t>
          </w:r>
          <w:r w:rsidRPr="00ED79B6">
            <w:rPr>
              <w:i/>
              <w:sz w:val="18"/>
            </w:rPr>
            <w:fldChar w:fldCharType="end"/>
          </w:r>
        </w:p>
      </w:tc>
    </w:tr>
  </w:tbl>
  <w:p w:rsidR="009B419E" w:rsidRPr="00ED79B6" w:rsidRDefault="009B419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19E" w:rsidRDefault="009B419E" w:rsidP="0048364F">
      <w:pPr>
        <w:spacing w:line="240" w:lineRule="auto"/>
      </w:pPr>
      <w:r>
        <w:separator/>
      </w:r>
    </w:p>
  </w:footnote>
  <w:footnote w:type="continuationSeparator" w:id="0">
    <w:p w:rsidR="009B419E" w:rsidRDefault="009B419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5F1388" w:rsidRDefault="009B419E"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5F1388" w:rsidRDefault="009B419E"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5F1388" w:rsidRDefault="009B419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ED79B6" w:rsidRDefault="009B419E"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ED79B6" w:rsidRDefault="009B419E"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ED79B6" w:rsidRDefault="009B419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A961C4" w:rsidRDefault="009B419E" w:rsidP="00B63BDE">
    <w:pPr>
      <w:rPr>
        <w:b/>
        <w:sz w:val="20"/>
      </w:rPr>
    </w:pPr>
    <w:r>
      <w:rPr>
        <w:b/>
        <w:sz w:val="20"/>
      </w:rPr>
      <w:fldChar w:fldCharType="begin"/>
    </w:r>
    <w:r>
      <w:rPr>
        <w:b/>
        <w:sz w:val="20"/>
      </w:rPr>
      <w:instrText xml:space="preserve"> STYLEREF CharAmSchNo </w:instrText>
    </w:r>
    <w:r>
      <w:rPr>
        <w:b/>
        <w:sz w:val="20"/>
      </w:rPr>
      <w:fldChar w:fldCharType="separate"/>
    </w:r>
    <w:r w:rsidR="005F716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F7160">
      <w:rPr>
        <w:noProof/>
        <w:sz w:val="20"/>
      </w:rPr>
      <w:t>Amendments</w:t>
    </w:r>
    <w:r>
      <w:rPr>
        <w:sz w:val="20"/>
      </w:rPr>
      <w:fldChar w:fldCharType="end"/>
    </w:r>
  </w:p>
  <w:p w:rsidR="009B419E" w:rsidRPr="00A961C4" w:rsidRDefault="009B419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B419E" w:rsidRPr="00A961C4" w:rsidRDefault="009B419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A961C4" w:rsidRDefault="009B419E"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B419E" w:rsidRPr="00A961C4" w:rsidRDefault="009B419E"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B419E" w:rsidRPr="00A961C4" w:rsidRDefault="009B419E"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9E" w:rsidRPr="00A961C4" w:rsidRDefault="009B419E"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AD3036"/>
    <w:multiLevelType w:val="multilevel"/>
    <w:tmpl w:val="0B32C1E2"/>
    <w:lvl w:ilvl="0">
      <w:start w:val="1"/>
      <w:numFmt w:val="lowerLetter"/>
      <w:lvlText w:val="(%1)"/>
      <w:lvlJc w:val="left"/>
      <w:pPr>
        <w:ind w:left="1985" w:hanging="545"/>
      </w:pPr>
      <w:rPr>
        <w:rFonts w:hint="default"/>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12">
    <w:nsid w:val="1CAE7A1A"/>
    <w:multiLevelType w:val="multilevel"/>
    <w:tmpl w:val="DD3E495A"/>
    <w:lvl w:ilvl="0">
      <w:start w:val="1"/>
      <w:numFmt w:val="lowerLetter"/>
      <w:lvlText w:val="(%1)"/>
      <w:lvlJc w:val="left"/>
      <w:pPr>
        <w:ind w:left="1985" w:hanging="545"/>
      </w:pPr>
      <w:rPr>
        <w:rFonts w:hint="default"/>
      </w:rPr>
    </w:lvl>
    <w:lvl w:ilvl="1">
      <w:start w:val="1"/>
      <w:numFmt w:val="lowerLetter"/>
      <w:lvlText w:val="%2."/>
      <w:lvlJc w:val="left"/>
      <w:pPr>
        <w:ind w:left="3065" w:hanging="360"/>
      </w:pPr>
      <w:rPr>
        <w:rFonts w:hint="default"/>
      </w:rPr>
    </w:lvl>
    <w:lvl w:ilvl="2">
      <w:start w:val="1"/>
      <w:numFmt w:val="lowerRoman"/>
      <w:lvlText w:val="%3."/>
      <w:lvlJc w:val="right"/>
      <w:pPr>
        <w:ind w:left="3785" w:hanging="180"/>
      </w:pPr>
      <w:rPr>
        <w:rFonts w:hint="default"/>
      </w:rPr>
    </w:lvl>
    <w:lvl w:ilvl="3">
      <w:start w:val="1"/>
      <w:numFmt w:val="decimal"/>
      <w:lvlText w:val="%4."/>
      <w:lvlJc w:val="left"/>
      <w:pPr>
        <w:ind w:left="4505" w:hanging="360"/>
      </w:pPr>
      <w:rPr>
        <w:rFonts w:hint="default"/>
      </w:rPr>
    </w:lvl>
    <w:lvl w:ilvl="4">
      <w:start w:val="1"/>
      <w:numFmt w:val="lowerLetter"/>
      <w:lvlText w:val="%5."/>
      <w:lvlJc w:val="left"/>
      <w:pPr>
        <w:ind w:left="5225" w:hanging="360"/>
      </w:pPr>
      <w:rPr>
        <w:rFonts w:hint="default"/>
      </w:rPr>
    </w:lvl>
    <w:lvl w:ilvl="5">
      <w:start w:val="1"/>
      <w:numFmt w:val="lowerRoman"/>
      <w:lvlText w:val="%6."/>
      <w:lvlJc w:val="right"/>
      <w:pPr>
        <w:ind w:left="5945" w:hanging="180"/>
      </w:pPr>
      <w:rPr>
        <w:rFonts w:hint="default"/>
      </w:rPr>
    </w:lvl>
    <w:lvl w:ilvl="6">
      <w:start w:val="1"/>
      <w:numFmt w:val="decimal"/>
      <w:lvlText w:val="%7."/>
      <w:lvlJc w:val="left"/>
      <w:pPr>
        <w:ind w:left="6665" w:hanging="360"/>
      </w:pPr>
      <w:rPr>
        <w:rFonts w:hint="default"/>
      </w:rPr>
    </w:lvl>
    <w:lvl w:ilvl="7">
      <w:start w:val="1"/>
      <w:numFmt w:val="lowerLetter"/>
      <w:lvlText w:val="%8."/>
      <w:lvlJc w:val="left"/>
      <w:pPr>
        <w:ind w:left="7385" w:hanging="360"/>
      </w:pPr>
      <w:rPr>
        <w:rFonts w:hint="default"/>
      </w:rPr>
    </w:lvl>
    <w:lvl w:ilvl="8">
      <w:start w:val="1"/>
      <w:numFmt w:val="lowerRoman"/>
      <w:lvlText w:val="%9."/>
      <w:lvlJc w:val="right"/>
      <w:pPr>
        <w:ind w:left="8105" w:hanging="180"/>
      </w:pPr>
      <w:rPr>
        <w:rFonts w:hint="default"/>
      </w:rPr>
    </w:lvl>
  </w:abstractNum>
  <w:abstractNum w:abstractNumId="13">
    <w:nsid w:val="1EB427E1"/>
    <w:multiLevelType w:val="multilevel"/>
    <w:tmpl w:val="68E805AE"/>
    <w:lvl w:ilvl="0">
      <w:start w:val="1"/>
      <w:numFmt w:val="lowerLetter"/>
      <w:lvlText w:val="(%1)"/>
      <w:lvlJc w:val="left"/>
      <w:pPr>
        <w:ind w:left="1985" w:hanging="545"/>
      </w:pPr>
      <w:rPr>
        <w:rFonts w:hint="default"/>
      </w:rPr>
    </w:lvl>
    <w:lvl w:ilvl="1">
      <w:start w:val="1"/>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4">
    <w:nsid w:val="24F6346C"/>
    <w:multiLevelType w:val="multilevel"/>
    <w:tmpl w:val="0B32C1E2"/>
    <w:lvl w:ilvl="0">
      <w:start w:val="1"/>
      <w:numFmt w:val="lowerLetter"/>
      <w:lvlText w:val="(%1)"/>
      <w:lvlJc w:val="left"/>
      <w:pPr>
        <w:ind w:left="1985" w:hanging="545"/>
      </w:pPr>
      <w:rPr>
        <w:rFonts w:hint="default"/>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15">
    <w:nsid w:val="255B55B3"/>
    <w:multiLevelType w:val="multilevel"/>
    <w:tmpl w:val="C03A1E7C"/>
    <w:lvl w:ilvl="0">
      <w:start w:val="1"/>
      <w:numFmt w:val="lowerLetter"/>
      <w:lvlText w:val="(%1)"/>
      <w:lvlJc w:val="left"/>
      <w:pPr>
        <w:ind w:left="1985" w:hanging="545"/>
      </w:pPr>
      <w:rPr>
        <w:rFonts w:hint="default"/>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16">
    <w:nsid w:val="263A4238"/>
    <w:multiLevelType w:val="multilevel"/>
    <w:tmpl w:val="E1F8A3E2"/>
    <w:lvl w:ilvl="0">
      <w:start w:val="1"/>
      <w:numFmt w:val="lowerRoman"/>
      <w:lvlText w:val="(%1)"/>
      <w:lvlJc w:val="left"/>
      <w:pPr>
        <w:ind w:left="3555" w:hanging="720"/>
      </w:pPr>
      <w:rPr>
        <w:rFonts w:hint="default"/>
      </w:rPr>
    </w:lvl>
    <w:lvl w:ilvl="1">
      <w:start w:val="1"/>
      <w:numFmt w:val="lowerRoman"/>
      <w:lvlText w:val="%2)"/>
      <w:lvlJc w:val="left"/>
      <w:pPr>
        <w:ind w:left="2552" w:hanging="567"/>
      </w:pPr>
      <w:rPr>
        <w:rFonts w:hint="default"/>
      </w:rPr>
    </w:lvl>
    <w:lvl w:ilvl="2">
      <w:start w:val="1"/>
      <w:numFmt w:val="lowerRoman"/>
      <w:lvlText w:val="%3."/>
      <w:lvlJc w:val="right"/>
      <w:pPr>
        <w:ind w:left="4635" w:hanging="180"/>
      </w:pPr>
      <w:rPr>
        <w:rFonts w:hint="default"/>
      </w:rPr>
    </w:lvl>
    <w:lvl w:ilvl="3">
      <w:start w:val="1"/>
      <w:numFmt w:val="decimal"/>
      <w:lvlText w:val="%4."/>
      <w:lvlJc w:val="left"/>
      <w:pPr>
        <w:ind w:left="5355" w:hanging="360"/>
      </w:pPr>
      <w:rPr>
        <w:rFonts w:hint="default"/>
      </w:rPr>
    </w:lvl>
    <w:lvl w:ilvl="4">
      <w:start w:val="1"/>
      <w:numFmt w:val="lowerLetter"/>
      <w:lvlText w:val="%5."/>
      <w:lvlJc w:val="left"/>
      <w:pPr>
        <w:ind w:left="6075" w:hanging="360"/>
      </w:pPr>
      <w:rPr>
        <w:rFonts w:hint="default"/>
      </w:rPr>
    </w:lvl>
    <w:lvl w:ilvl="5">
      <w:start w:val="1"/>
      <w:numFmt w:val="lowerRoman"/>
      <w:lvlText w:val="%6."/>
      <w:lvlJc w:val="right"/>
      <w:pPr>
        <w:ind w:left="6795" w:hanging="180"/>
      </w:pPr>
      <w:rPr>
        <w:rFonts w:hint="default"/>
      </w:rPr>
    </w:lvl>
    <w:lvl w:ilvl="6">
      <w:start w:val="1"/>
      <w:numFmt w:val="decimal"/>
      <w:lvlText w:val="%7."/>
      <w:lvlJc w:val="left"/>
      <w:pPr>
        <w:ind w:left="7515" w:hanging="360"/>
      </w:pPr>
      <w:rPr>
        <w:rFonts w:hint="default"/>
      </w:rPr>
    </w:lvl>
    <w:lvl w:ilvl="7">
      <w:start w:val="1"/>
      <w:numFmt w:val="lowerLetter"/>
      <w:lvlText w:val="%8."/>
      <w:lvlJc w:val="left"/>
      <w:pPr>
        <w:ind w:left="8235" w:hanging="360"/>
      </w:pPr>
      <w:rPr>
        <w:rFonts w:hint="default"/>
      </w:rPr>
    </w:lvl>
    <w:lvl w:ilvl="8">
      <w:start w:val="1"/>
      <w:numFmt w:val="lowerRoman"/>
      <w:lvlText w:val="%9."/>
      <w:lvlJc w:val="right"/>
      <w:pPr>
        <w:ind w:left="8955" w:hanging="180"/>
      </w:pPr>
      <w:rPr>
        <w:rFonts w:hint="default"/>
      </w:rPr>
    </w:lvl>
  </w:abstractNum>
  <w:abstractNum w:abstractNumId="17">
    <w:nsid w:val="2D3A4702"/>
    <w:multiLevelType w:val="multilevel"/>
    <w:tmpl w:val="20CCAA1A"/>
    <w:lvl w:ilvl="0">
      <w:start w:val="1"/>
      <w:numFmt w:val="lowerLetter"/>
      <w:lvlText w:val="(%1)"/>
      <w:lvlJc w:val="left"/>
      <w:pPr>
        <w:ind w:left="1985" w:hanging="545"/>
      </w:pPr>
      <w:rPr>
        <w:rFonts w:hint="default"/>
      </w:rPr>
    </w:lvl>
    <w:lvl w:ilvl="1">
      <w:start w:val="1"/>
      <w:numFmt w:val="lowerRoman"/>
      <w:lvlText w:val="(%2)"/>
      <w:lvlJc w:val="left"/>
      <w:pPr>
        <w:ind w:left="2552" w:hanging="567"/>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18">
    <w:nsid w:val="31682F69"/>
    <w:multiLevelType w:val="multilevel"/>
    <w:tmpl w:val="0B32C1E2"/>
    <w:lvl w:ilvl="0">
      <w:start w:val="1"/>
      <w:numFmt w:val="lowerLetter"/>
      <w:lvlText w:val="(%1)"/>
      <w:lvlJc w:val="left"/>
      <w:pPr>
        <w:ind w:left="1985" w:hanging="545"/>
      </w:pPr>
      <w:rPr>
        <w:rFonts w:hint="default"/>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F821A50"/>
    <w:multiLevelType w:val="multilevel"/>
    <w:tmpl w:val="2F5EA76E"/>
    <w:lvl w:ilvl="0">
      <w:start w:val="1"/>
      <w:numFmt w:val="lowerLetter"/>
      <w:lvlText w:val="(%1)"/>
      <w:lvlJc w:val="left"/>
      <w:pPr>
        <w:ind w:left="1985" w:hanging="545"/>
      </w:pPr>
      <w:rPr>
        <w:rFonts w:hint="default"/>
      </w:rPr>
    </w:lvl>
    <w:lvl w:ilvl="1">
      <w:start w:val="1"/>
      <w:numFmt w:val="lowerRoman"/>
      <w:lvlText w:val="(%2)"/>
      <w:lvlJc w:val="left"/>
      <w:pPr>
        <w:ind w:left="2552" w:hanging="567"/>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1">
    <w:nsid w:val="494D6390"/>
    <w:multiLevelType w:val="multilevel"/>
    <w:tmpl w:val="8A241A4A"/>
    <w:lvl w:ilvl="0">
      <w:start w:val="1"/>
      <w:numFmt w:val="lowerLetter"/>
      <w:lvlText w:val="(%1)"/>
      <w:lvlJc w:val="left"/>
      <w:pPr>
        <w:ind w:left="1985" w:hanging="545"/>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2873"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2">
    <w:nsid w:val="4B721B47"/>
    <w:multiLevelType w:val="multilevel"/>
    <w:tmpl w:val="2F5EA76E"/>
    <w:lvl w:ilvl="0">
      <w:start w:val="1"/>
      <w:numFmt w:val="lowerLetter"/>
      <w:lvlText w:val="(%1)"/>
      <w:lvlJc w:val="left"/>
      <w:pPr>
        <w:ind w:left="1985" w:hanging="545"/>
      </w:pPr>
      <w:rPr>
        <w:rFonts w:hint="default"/>
      </w:rPr>
    </w:lvl>
    <w:lvl w:ilvl="1">
      <w:start w:val="1"/>
      <w:numFmt w:val="lowerRoman"/>
      <w:lvlText w:val="(%2)"/>
      <w:lvlJc w:val="left"/>
      <w:pPr>
        <w:ind w:left="2552" w:hanging="567"/>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3">
    <w:nsid w:val="50DB2378"/>
    <w:multiLevelType w:val="multilevel"/>
    <w:tmpl w:val="8A241A4A"/>
    <w:lvl w:ilvl="0">
      <w:start w:val="1"/>
      <w:numFmt w:val="lowerLetter"/>
      <w:lvlText w:val="(%1)"/>
      <w:lvlJc w:val="left"/>
      <w:pPr>
        <w:ind w:left="1985" w:hanging="545"/>
      </w:pPr>
      <w:rPr>
        <w:rFonts w:hint="default"/>
      </w:rPr>
    </w:lvl>
    <w:lvl w:ilvl="1">
      <w:start w:val="1"/>
      <w:numFmt w:val="lowerRoman"/>
      <w:lvlText w:val="(%2)"/>
      <w:lvlJc w:val="left"/>
      <w:pPr>
        <w:ind w:left="2552" w:hanging="567"/>
      </w:pPr>
      <w:rPr>
        <w:rFonts w:hint="default"/>
      </w:rPr>
    </w:lvl>
    <w:lvl w:ilvl="2">
      <w:start w:val="1"/>
      <w:numFmt w:val="lowerRoman"/>
      <w:lvlText w:val="%3."/>
      <w:lvlJc w:val="right"/>
      <w:pPr>
        <w:ind w:left="2873"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4">
    <w:nsid w:val="5BEA6BC1"/>
    <w:multiLevelType w:val="multilevel"/>
    <w:tmpl w:val="48C89AD0"/>
    <w:lvl w:ilvl="0">
      <w:start w:val="5"/>
      <w:numFmt w:val="lowerLetter"/>
      <w:lvlText w:val="(%1)"/>
      <w:lvlJc w:val="left"/>
      <w:pPr>
        <w:ind w:left="1985" w:hanging="545"/>
      </w:pPr>
      <w:rPr>
        <w:rFonts w:hint="default"/>
      </w:rPr>
    </w:lvl>
    <w:lvl w:ilvl="1">
      <w:start w:val="1"/>
      <w:numFmt w:val="lowerRoman"/>
      <w:lvlText w:val="(%2)"/>
      <w:lvlJc w:val="left"/>
      <w:pPr>
        <w:ind w:left="2552" w:hanging="567"/>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5">
    <w:nsid w:val="5D73611D"/>
    <w:multiLevelType w:val="multilevel"/>
    <w:tmpl w:val="0B32C1E2"/>
    <w:lvl w:ilvl="0">
      <w:start w:val="1"/>
      <w:numFmt w:val="lowerLetter"/>
      <w:lvlText w:val="(%1)"/>
      <w:lvlJc w:val="left"/>
      <w:pPr>
        <w:ind w:left="1985" w:hanging="545"/>
      </w:pPr>
      <w:rPr>
        <w:rFonts w:hint="default"/>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6">
    <w:nsid w:val="67A330DB"/>
    <w:multiLevelType w:val="multilevel"/>
    <w:tmpl w:val="72B05396"/>
    <w:lvl w:ilvl="0">
      <w:start w:val="1"/>
      <w:numFmt w:val="lowerLetter"/>
      <w:lvlText w:val="(%1)"/>
      <w:lvlJc w:val="left"/>
      <w:pPr>
        <w:ind w:left="1985" w:hanging="545"/>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7">
    <w:nsid w:val="7EEB50EB"/>
    <w:multiLevelType w:val="multilevel"/>
    <w:tmpl w:val="2F5EA76E"/>
    <w:lvl w:ilvl="0">
      <w:start w:val="1"/>
      <w:numFmt w:val="lowerLetter"/>
      <w:lvlText w:val="(%1)"/>
      <w:lvlJc w:val="left"/>
      <w:pPr>
        <w:ind w:left="1985" w:hanging="545"/>
      </w:pPr>
      <w:rPr>
        <w:rFonts w:hint="default"/>
      </w:rPr>
    </w:lvl>
    <w:lvl w:ilvl="1">
      <w:start w:val="1"/>
      <w:numFmt w:val="lowerRoman"/>
      <w:lvlText w:val="%2)"/>
      <w:lvlJc w:val="left"/>
      <w:pPr>
        <w:ind w:left="2552" w:hanging="567"/>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8">
    <w:nsid w:val="7F287EC8"/>
    <w:multiLevelType w:val="multilevel"/>
    <w:tmpl w:val="2F5EA76E"/>
    <w:lvl w:ilvl="0">
      <w:start w:val="1"/>
      <w:numFmt w:val="lowerLetter"/>
      <w:lvlText w:val="(%1)"/>
      <w:lvlJc w:val="left"/>
      <w:pPr>
        <w:ind w:left="1985" w:hanging="545"/>
      </w:pPr>
      <w:rPr>
        <w:rFonts w:hint="default"/>
      </w:rPr>
    </w:lvl>
    <w:lvl w:ilvl="1">
      <w:start w:val="1"/>
      <w:numFmt w:val="lowerRoman"/>
      <w:lvlText w:val="%2)"/>
      <w:lvlJc w:val="left"/>
      <w:pPr>
        <w:ind w:left="2552" w:hanging="567"/>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14"/>
  </w:num>
  <w:num w:numId="14">
    <w:abstractNumId w:val="15"/>
  </w:num>
  <w:num w:numId="15">
    <w:abstractNumId w:val="12"/>
  </w:num>
  <w:num w:numId="16">
    <w:abstractNumId w:val="16"/>
  </w:num>
  <w:num w:numId="17">
    <w:abstractNumId w:val="18"/>
  </w:num>
  <w:num w:numId="18">
    <w:abstractNumId w:val="27"/>
  </w:num>
  <w:num w:numId="19">
    <w:abstractNumId w:val="27"/>
    <w:lvlOverride w:ilvl="0">
      <w:lvl w:ilvl="0">
        <w:start w:val="1"/>
        <w:numFmt w:val="lowerLetter"/>
        <w:lvlText w:val="(%1)"/>
        <w:lvlJc w:val="left"/>
        <w:pPr>
          <w:ind w:left="1985" w:hanging="545"/>
        </w:pPr>
        <w:rPr>
          <w:rFonts w:hint="default"/>
        </w:rPr>
      </w:lvl>
    </w:lvlOverride>
    <w:lvlOverride w:ilvl="1">
      <w:lvl w:ilvl="1">
        <w:start w:val="1"/>
        <w:numFmt w:val="lowerRoman"/>
        <w:lvlText w:val="(%2)"/>
        <w:lvlJc w:val="left"/>
        <w:pPr>
          <w:ind w:left="2552" w:hanging="567"/>
        </w:pPr>
        <w:rPr>
          <w:rFonts w:hint="default"/>
        </w:rPr>
      </w:lvl>
    </w:lvlOverride>
    <w:lvlOverride w:ilvl="2">
      <w:lvl w:ilvl="2">
        <w:start w:val="1"/>
        <w:numFmt w:val="lowerRoman"/>
        <w:lvlText w:val="%3."/>
        <w:lvlJc w:val="right"/>
        <w:pPr>
          <w:ind w:left="3643" w:hanging="180"/>
        </w:pPr>
        <w:rPr>
          <w:rFonts w:hint="default"/>
        </w:rPr>
      </w:lvl>
    </w:lvlOverride>
    <w:lvlOverride w:ilvl="3">
      <w:lvl w:ilvl="3">
        <w:start w:val="1"/>
        <w:numFmt w:val="decimal"/>
        <w:lvlText w:val="%4."/>
        <w:lvlJc w:val="left"/>
        <w:pPr>
          <w:ind w:left="4363" w:hanging="360"/>
        </w:pPr>
        <w:rPr>
          <w:rFonts w:hint="default"/>
        </w:rPr>
      </w:lvl>
    </w:lvlOverride>
    <w:lvlOverride w:ilvl="4">
      <w:lvl w:ilvl="4">
        <w:start w:val="1"/>
        <w:numFmt w:val="lowerLetter"/>
        <w:lvlText w:val="%5."/>
        <w:lvlJc w:val="left"/>
        <w:pPr>
          <w:ind w:left="5083" w:hanging="360"/>
        </w:pPr>
        <w:rPr>
          <w:rFonts w:hint="default"/>
        </w:rPr>
      </w:lvl>
    </w:lvlOverride>
    <w:lvlOverride w:ilvl="5">
      <w:lvl w:ilvl="5">
        <w:start w:val="1"/>
        <w:numFmt w:val="lowerRoman"/>
        <w:lvlText w:val="%6."/>
        <w:lvlJc w:val="right"/>
        <w:pPr>
          <w:ind w:left="5803" w:hanging="180"/>
        </w:pPr>
        <w:rPr>
          <w:rFonts w:hint="default"/>
        </w:rPr>
      </w:lvl>
    </w:lvlOverride>
    <w:lvlOverride w:ilvl="6">
      <w:lvl w:ilvl="6">
        <w:start w:val="1"/>
        <w:numFmt w:val="decimal"/>
        <w:lvlText w:val="%7."/>
        <w:lvlJc w:val="left"/>
        <w:pPr>
          <w:ind w:left="6523" w:hanging="360"/>
        </w:pPr>
        <w:rPr>
          <w:rFonts w:hint="default"/>
        </w:rPr>
      </w:lvl>
    </w:lvlOverride>
    <w:lvlOverride w:ilvl="7">
      <w:lvl w:ilvl="7">
        <w:start w:val="1"/>
        <w:numFmt w:val="lowerLetter"/>
        <w:lvlText w:val="%8."/>
        <w:lvlJc w:val="left"/>
        <w:pPr>
          <w:ind w:left="7243" w:hanging="360"/>
        </w:pPr>
        <w:rPr>
          <w:rFonts w:hint="default"/>
        </w:rPr>
      </w:lvl>
    </w:lvlOverride>
    <w:lvlOverride w:ilvl="8">
      <w:lvl w:ilvl="8">
        <w:start w:val="1"/>
        <w:numFmt w:val="lowerRoman"/>
        <w:lvlText w:val="%9."/>
        <w:lvlJc w:val="right"/>
        <w:pPr>
          <w:ind w:left="7963" w:hanging="180"/>
        </w:pPr>
        <w:rPr>
          <w:rFonts w:hint="default"/>
        </w:rPr>
      </w:lvl>
    </w:lvlOverride>
  </w:num>
  <w:num w:numId="20">
    <w:abstractNumId w:val="22"/>
  </w:num>
  <w:num w:numId="21">
    <w:abstractNumId w:val="13"/>
  </w:num>
  <w:num w:numId="22">
    <w:abstractNumId w:val="21"/>
  </w:num>
  <w:num w:numId="23">
    <w:abstractNumId w:val="26"/>
  </w:num>
  <w:num w:numId="24">
    <w:abstractNumId w:val="21"/>
    <w:lvlOverride w:ilvl="0">
      <w:lvl w:ilvl="0">
        <w:start w:val="1"/>
        <w:numFmt w:val="lowerLetter"/>
        <w:lvlText w:val="(%1)"/>
        <w:lvlJc w:val="left"/>
        <w:pPr>
          <w:ind w:left="1985" w:hanging="545"/>
        </w:pPr>
        <w:rPr>
          <w:rFonts w:hint="default"/>
        </w:rPr>
      </w:lvl>
    </w:lvlOverride>
    <w:lvlOverride w:ilvl="1">
      <w:lvl w:ilvl="1">
        <w:start w:val="1"/>
        <w:numFmt w:val="lowerRoman"/>
        <w:lvlText w:val="(%2)"/>
        <w:lvlJc w:val="left"/>
        <w:pPr>
          <w:ind w:left="2552" w:hanging="567"/>
        </w:pPr>
        <w:rPr>
          <w:rFonts w:hint="default"/>
        </w:rPr>
      </w:lvl>
    </w:lvlOverride>
    <w:lvlOverride w:ilvl="2">
      <w:lvl w:ilvl="2">
        <w:start w:val="1"/>
        <w:numFmt w:val="lowerRoman"/>
        <w:lvlText w:val="%3."/>
        <w:lvlJc w:val="right"/>
        <w:pPr>
          <w:ind w:left="2873"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5">
    <w:abstractNumId w:val="28"/>
  </w:num>
  <w:num w:numId="26">
    <w:abstractNumId w:val="23"/>
  </w:num>
  <w:num w:numId="27">
    <w:abstractNumId w:val="11"/>
  </w:num>
  <w:num w:numId="28">
    <w:abstractNumId w:val="25"/>
  </w:num>
  <w:num w:numId="29">
    <w:abstractNumId w:val="20"/>
  </w:num>
  <w:num w:numId="30">
    <w:abstractNumId w:val="1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A2"/>
    <w:rsid w:val="000041C6"/>
    <w:rsid w:val="000063E4"/>
    <w:rsid w:val="00011222"/>
    <w:rsid w:val="000113BC"/>
    <w:rsid w:val="000136AF"/>
    <w:rsid w:val="00014069"/>
    <w:rsid w:val="00025060"/>
    <w:rsid w:val="0004044E"/>
    <w:rsid w:val="0005413D"/>
    <w:rsid w:val="000614BF"/>
    <w:rsid w:val="00083D91"/>
    <w:rsid w:val="000A2C0E"/>
    <w:rsid w:val="000C4E79"/>
    <w:rsid w:val="000D0295"/>
    <w:rsid w:val="000D05EF"/>
    <w:rsid w:val="000D4432"/>
    <w:rsid w:val="000F21C1"/>
    <w:rsid w:val="000F6B02"/>
    <w:rsid w:val="000F7427"/>
    <w:rsid w:val="0010745C"/>
    <w:rsid w:val="00116975"/>
    <w:rsid w:val="001220A2"/>
    <w:rsid w:val="00126F1A"/>
    <w:rsid w:val="0013318F"/>
    <w:rsid w:val="00137579"/>
    <w:rsid w:val="00154EAC"/>
    <w:rsid w:val="00156A8D"/>
    <w:rsid w:val="001643C9"/>
    <w:rsid w:val="00165568"/>
    <w:rsid w:val="00166C2F"/>
    <w:rsid w:val="001716C9"/>
    <w:rsid w:val="00171A3C"/>
    <w:rsid w:val="00171EAE"/>
    <w:rsid w:val="00174E25"/>
    <w:rsid w:val="00187A5A"/>
    <w:rsid w:val="00191859"/>
    <w:rsid w:val="00193461"/>
    <w:rsid w:val="001939E1"/>
    <w:rsid w:val="00195382"/>
    <w:rsid w:val="001B3097"/>
    <w:rsid w:val="001B5559"/>
    <w:rsid w:val="001B7A5D"/>
    <w:rsid w:val="001C69C4"/>
    <w:rsid w:val="001D4229"/>
    <w:rsid w:val="001D7F83"/>
    <w:rsid w:val="001E04A3"/>
    <w:rsid w:val="001E16D0"/>
    <w:rsid w:val="001E3590"/>
    <w:rsid w:val="001E562E"/>
    <w:rsid w:val="001E7407"/>
    <w:rsid w:val="001F6924"/>
    <w:rsid w:val="00201D27"/>
    <w:rsid w:val="00230C3A"/>
    <w:rsid w:val="00231427"/>
    <w:rsid w:val="00240749"/>
    <w:rsid w:val="00240F31"/>
    <w:rsid w:val="002605D3"/>
    <w:rsid w:val="00265FBC"/>
    <w:rsid w:val="00266D05"/>
    <w:rsid w:val="00287AB4"/>
    <w:rsid w:val="002932B1"/>
    <w:rsid w:val="00295408"/>
    <w:rsid w:val="00297ECB"/>
    <w:rsid w:val="002A0FFD"/>
    <w:rsid w:val="002B2731"/>
    <w:rsid w:val="002B5B89"/>
    <w:rsid w:val="002B7D96"/>
    <w:rsid w:val="002D043A"/>
    <w:rsid w:val="002D746E"/>
    <w:rsid w:val="002E3B6D"/>
    <w:rsid w:val="0030166D"/>
    <w:rsid w:val="00304E75"/>
    <w:rsid w:val="003072FA"/>
    <w:rsid w:val="003155B1"/>
    <w:rsid w:val="00316BD1"/>
    <w:rsid w:val="0031713F"/>
    <w:rsid w:val="003415D3"/>
    <w:rsid w:val="00352B0F"/>
    <w:rsid w:val="00361BD9"/>
    <w:rsid w:val="00363549"/>
    <w:rsid w:val="00372002"/>
    <w:rsid w:val="003801D0"/>
    <w:rsid w:val="0039228E"/>
    <w:rsid w:val="003926B5"/>
    <w:rsid w:val="003B04EC"/>
    <w:rsid w:val="003C2290"/>
    <w:rsid w:val="003C5F2B"/>
    <w:rsid w:val="003D0BFE"/>
    <w:rsid w:val="003D5700"/>
    <w:rsid w:val="003E5FF5"/>
    <w:rsid w:val="003E63BE"/>
    <w:rsid w:val="003F4CA9"/>
    <w:rsid w:val="003F567B"/>
    <w:rsid w:val="003F60C1"/>
    <w:rsid w:val="004010E7"/>
    <w:rsid w:val="00401403"/>
    <w:rsid w:val="004116CD"/>
    <w:rsid w:val="00412B83"/>
    <w:rsid w:val="00424CA9"/>
    <w:rsid w:val="004261DB"/>
    <w:rsid w:val="00433910"/>
    <w:rsid w:val="0044291A"/>
    <w:rsid w:val="00447060"/>
    <w:rsid w:val="004504D8"/>
    <w:rsid w:val="004541B9"/>
    <w:rsid w:val="00460499"/>
    <w:rsid w:val="00470103"/>
    <w:rsid w:val="00480FB9"/>
    <w:rsid w:val="0048364F"/>
    <w:rsid w:val="00486382"/>
    <w:rsid w:val="00496F97"/>
    <w:rsid w:val="004A2484"/>
    <w:rsid w:val="004B6493"/>
    <w:rsid w:val="004C0255"/>
    <w:rsid w:val="004C5B5A"/>
    <w:rsid w:val="004C6444"/>
    <w:rsid w:val="004C6DE1"/>
    <w:rsid w:val="004E760B"/>
    <w:rsid w:val="004F1FAC"/>
    <w:rsid w:val="004F3A90"/>
    <w:rsid w:val="004F676E"/>
    <w:rsid w:val="00516B8D"/>
    <w:rsid w:val="00520A1E"/>
    <w:rsid w:val="00537FBC"/>
    <w:rsid w:val="00543469"/>
    <w:rsid w:val="00557C7A"/>
    <w:rsid w:val="005668AD"/>
    <w:rsid w:val="00584811"/>
    <w:rsid w:val="005851A5"/>
    <w:rsid w:val="0058646E"/>
    <w:rsid w:val="00591E07"/>
    <w:rsid w:val="00593AA6"/>
    <w:rsid w:val="00594161"/>
    <w:rsid w:val="00594749"/>
    <w:rsid w:val="005A26F2"/>
    <w:rsid w:val="005B4067"/>
    <w:rsid w:val="005C12DE"/>
    <w:rsid w:val="005C3F41"/>
    <w:rsid w:val="005C7345"/>
    <w:rsid w:val="005E552A"/>
    <w:rsid w:val="005E7D55"/>
    <w:rsid w:val="005F7160"/>
    <w:rsid w:val="00600219"/>
    <w:rsid w:val="00604A85"/>
    <w:rsid w:val="006157F0"/>
    <w:rsid w:val="006249E6"/>
    <w:rsid w:val="00630733"/>
    <w:rsid w:val="00630DCE"/>
    <w:rsid w:val="0063612B"/>
    <w:rsid w:val="006368CE"/>
    <w:rsid w:val="0064468A"/>
    <w:rsid w:val="00654CCA"/>
    <w:rsid w:val="00656DE9"/>
    <w:rsid w:val="00663BDD"/>
    <w:rsid w:val="00671C96"/>
    <w:rsid w:val="00672B2D"/>
    <w:rsid w:val="00677CC2"/>
    <w:rsid w:val="00680F17"/>
    <w:rsid w:val="00685F42"/>
    <w:rsid w:val="0069207B"/>
    <w:rsid w:val="006937E2"/>
    <w:rsid w:val="0069392E"/>
    <w:rsid w:val="006977FB"/>
    <w:rsid w:val="006B262A"/>
    <w:rsid w:val="006C2C12"/>
    <w:rsid w:val="006C3FFF"/>
    <w:rsid w:val="006C7F8C"/>
    <w:rsid w:val="006D3667"/>
    <w:rsid w:val="006D4E91"/>
    <w:rsid w:val="006E004B"/>
    <w:rsid w:val="006E7147"/>
    <w:rsid w:val="00700B2C"/>
    <w:rsid w:val="00701E6A"/>
    <w:rsid w:val="00713084"/>
    <w:rsid w:val="00722023"/>
    <w:rsid w:val="00727468"/>
    <w:rsid w:val="00731E00"/>
    <w:rsid w:val="007440B7"/>
    <w:rsid w:val="007634AD"/>
    <w:rsid w:val="007715C9"/>
    <w:rsid w:val="00774EDD"/>
    <w:rsid w:val="007757EC"/>
    <w:rsid w:val="007769D4"/>
    <w:rsid w:val="00785AFA"/>
    <w:rsid w:val="007903AC"/>
    <w:rsid w:val="007A6269"/>
    <w:rsid w:val="007A7F9F"/>
    <w:rsid w:val="007C4532"/>
    <w:rsid w:val="007E07D1"/>
    <w:rsid w:val="007E13E2"/>
    <w:rsid w:val="007E7D4A"/>
    <w:rsid w:val="0080519D"/>
    <w:rsid w:val="00826DA5"/>
    <w:rsid w:val="00833416"/>
    <w:rsid w:val="00852E10"/>
    <w:rsid w:val="00856A31"/>
    <w:rsid w:val="00860990"/>
    <w:rsid w:val="00860CF3"/>
    <w:rsid w:val="00874B69"/>
    <w:rsid w:val="008754D0"/>
    <w:rsid w:val="008754E0"/>
    <w:rsid w:val="00877D48"/>
    <w:rsid w:val="00880795"/>
    <w:rsid w:val="0089783B"/>
    <w:rsid w:val="008B0D86"/>
    <w:rsid w:val="008D0EE0"/>
    <w:rsid w:val="008E05E0"/>
    <w:rsid w:val="008F07E3"/>
    <w:rsid w:val="008F4F1C"/>
    <w:rsid w:val="00907271"/>
    <w:rsid w:val="00911D33"/>
    <w:rsid w:val="00924AF2"/>
    <w:rsid w:val="009253F5"/>
    <w:rsid w:val="00932377"/>
    <w:rsid w:val="00932A33"/>
    <w:rsid w:val="009362A6"/>
    <w:rsid w:val="00941B9E"/>
    <w:rsid w:val="009652EB"/>
    <w:rsid w:val="009848EC"/>
    <w:rsid w:val="009B3629"/>
    <w:rsid w:val="009B419E"/>
    <w:rsid w:val="009C49D8"/>
    <w:rsid w:val="009E3601"/>
    <w:rsid w:val="009F422E"/>
    <w:rsid w:val="009F727E"/>
    <w:rsid w:val="00A1027A"/>
    <w:rsid w:val="00A2057D"/>
    <w:rsid w:val="00A231E2"/>
    <w:rsid w:val="00A2550D"/>
    <w:rsid w:val="00A26DBE"/>
    <w:rsid w:val="00A326A4"/>
    <w:rsid w:val="00A328DC"/>
    <w:rsid w:val="00A4169B"/>
    <w:rsid w:val="00A4361F"/>
    <w:rsid w:val="00A456E8"/>
    <w:rsid w:val="00A5197F"/>
    <w:rsid w:val="00A64912"/>
    <w:rsid w:val="00A65ADB"/>
    <w:rsid w:val="00A70A74"/>
    <w:rsid w:val="00A71C4E"/>
    <w:rsid w:val="00A87AB9"/>
    <w:rsid w:val="00A87CE4"/>
    <w:rsid w:val="00AB3315"/>
    <w:rsid w:val="00AB7B41"/>
    <w:rsid w:val="00AC06B3"/>
    <w:rsid w:val="00AC61BF"/>
    <w:rsid w:val="00AD5641"/>
    <w:rsid w:val="00AE056A"/>
    <w:rsid w:val="00AE4AAD"/>
    <w:rsid w:val="00AE50A2"/>
    <w:rsid w:val="00AF0336"/>
    <w:rsid w:val="00AF6613"/>
    <w:rsid w:val="00B00902"/>
    <w:rsid w:val="00B03137"/>
    <w:rsid w:val="00B032D8"/>
    <w:rsid w:val="00B107A2"/>
    <w:rsid w:val="00B332B8"/>
    <w:rsid w:val="00B33B3C"/>
    <w:rsid w:val="00B44657"/>
    <w:rsid w:val="00B44D1E"/>
    <w:rsid w:val="00B61D2C"/>
    <w:rsid w:val="00B62150"/>
    <w:rsid w:val="00B63BDE"/>
    <w:rsid w:val="00B655DE"/>
    <w:rsid w:val="00BA4EC9"/>
    <w:rsid w:val="00BA5026"/>
    <w:rsid w:val="00BB10CE"/>
    <w:rsid w:val="00BB6E79"/>
    <w:rsid w:val="00BC47B2"/>
    <w:rsid w:val="00BC4F91"/>
    <w:rsid w:val="00BD60E6"/>
    <w:rsid w:val="00BD753F"/>
    <w:rsid w:val="00BD79F0"/>
    <w:rsid w:val="00BE253A"/>
    <w:rsid w:val="00BE719A"/>
    <w:rsid w:val="00BE720A"/>
    <w:rsid w:val="00BF4533"/>
    <w:rsid w:val="00C067E5"/>
    <w:rsid w:val="00C15528"/>
    <w:rsid w:val="00C164CA"/>
    <w:rsid w:val="00C21B63"/>
    <w:rsid w:val="00C42BF8"/>
    <w:rsid w:val="00C460AE"/>
    <w:rsid w:val="00C50043"/>
    <w:rsid w:val="00C63713"/>
    <w:rsid w:val="00C660A6"/>
    <w:rsid w:val="00C7573B"/>
    <w:rsid w:val="00C76CF3"/>
    <w:rsid w:val="00C77E30"/>
    <w:rsid w:val="00C814F5"/>
    <w:rsid w:val="00C861D1"/>
    <w:rsid w:val="00CB0180"/>
    <w:rsid w:val="00CB2CF3"/>
    <w:rsid w:val="00CB3470"/>
    <w:rsid w:val="00CB6C9F"/>
    <w:rsid w:val="00CC52E2"/>
    <w:rsid w:val="00CC7A45"/>
    <w:rsid w:val="00CD606E"/>
    <w:rsid w:val="00CD7ECB"/>
    <w:rsid w:val="00CE55B7"/>
    <w:rsid w:val="00CF0BB2"/>
    <w:rsid w:val="00D0104A"/>
    <w:rsid w:val="00D01952"/>
    <w:rsid w:val="00D06675"/>
    <w:rsid w:val="00D13441"/>
    <w:rsid w:val="00D16E53"/>
    <w:rsid w:val="00D17B17"/>
    <w:rsid w:val="00D243A3"/>
    <w:rsid w:val="00D309A4"/>
    <w:rsid w:val="00D32D09"/>
    <w:rsid w:val="00D333D9"/>
    <w:rsid w:val="00D33440"/>
    <w:rsid w:val="00D40403"/>
    <w:rsid w:val="00D4596D"/>
    <w:rsid w:val="00D52EFE"/>
    <w:rsid w:val="00D63EF6"/>
    <w:rsid w:val="00D70DFB"/>
    <w:rsid w:val="00D71E4C"/>
    <w:rsid w:val="00D766DF"/>
    <w:rsid w:val="00D83D21"/>
    <w:rsid w:val="00D84B58"/>
    <w:rsid w:val="00D925D1"/>
    <w:rsid w:val="00DB0090"/>
    <w:rsid w:val="00E05704"/>
    <w:rsid w:val="00E05C46"/>
    <w:rsid w:val="00E065F2"/>
    <w:rsid w:val="00E30206"/>
    <w:rsid w:val="00E33C1C"/>
    <w:rsid w:val="00E443FC"/>
    <w:rsid w:val="00E45FE7"/>
    <w:rsid w:val="00E476B8"/>
    <w:rsid w:val="00E54292"/>
    <w:rsid w:val="00E55BCD"/>
    <w:rsid w:val="00E5738C"/>
    <w:rsid w:val="00E617F3"/>
    <w:rsid w:val="00E72217"/>
    <w:rsid w:val="00E73EC4"/>
    <w:rsid w:val="00E74DC7"/>
    <w:rsid w:val="00E764EA"/>
    <w:rsid w:val="00E76FAB"/>
    <w:rsid w:val="00E83E2E"/>
    <w:rsid w:val="00E84B32"/>
    <w:rsid w:val="00E86B1E"/>
    <w:rsid w:val="00E87699"/>
    <w:rsid w:val="00ED3A7D"/>
    <w:rsid w:val="00EE1D8A"/>
    <w:rsid w:val="00EF2E3A"/>
    <w:rsid w:val="00EF4607"/>
    <w:rsid w:val="00F03265"/>
    <w:rsid w:val="00F047E2"/>
    <w:rsid w:val="00F078DC"/>
    <w:rsid w:val="00F13E86"/>
    <w:rsid w:val="00F24C35"/>
    <w:rsid w:val="00F41B85"/>
    <w:rsid w:val="00F47031"/>
    <w:rsid w:val="00F56759"/>
    <w:rsid w:val="00F677A9"/>
    <w:rsid w:val="00F805E1"/>
    <w:rsid w:val="00F84CF5"/>
    <w:rsid w:val="00FA15A2"/>
    <w:rsid w:val="00FA420B"/>
    <w:rsid w:val="00FB03B3"/>
    <w:rsid w:val="00FB192C"/>
    <w:rsid w:val="00FD7CFE"/>
    <w:rsid w:val="00FE7700"/>
    <w:rsid w:val="00FF3089"/>
    <w:rsid w:val="00FF3B04"/>
    <w:rsid w:val="00FF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79F0"/>
    <w:pPr>
      <w:spacing w:line="260" w:lineRule="atLeast"/>
    </w:pPr>
    <w:rPr>
      <w:sz w:val="22"/>
    </w:rPr>
  </w:style>
  <w:style w:type="paragraph" w:styleId="Heading1">
    <w:name w:val="heading 1"/>
    <w:basedOn w:val="Normal"/>
    <w:next w:val="Normal"/>
    <w:link w:val="Heading1Char"/>
    <w:uiPriority w:val="9"/>
    <w:qFormat/>
    <w:rsid w:val="00B107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107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07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07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07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07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0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07A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107A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79F0"/>
  </w:style>
  <w:style w:type="paragraph" w:customStyle="1" w:styleId="OPCParaBase">
    <w:name w:val="OPCParaBase"/>
    <w:qFormat/>
    <w:rsid w:val="00BD79F0"/>
    <w:pPr>
      <w:spacing w:line="260" w:lineRule="atLeast"/>
    </w:pPr>
    <w:rPr>
      <w:rFonts w:eastAsia="Times New Roman" w:cs="Times New Roman"/>
      <w:sz w:val="22"/>
      <w:lang w:eastAsia="en-AU"/>
    </w:rPr>
  </w:style>
  <w:style w:type="paragraph" w:customStyle="1" w:styleId="ShortT">
    <w:name w:val="ShortT"/>
    <w:basedOn w:val="OPCParaBase"/>
    <w:next w:val="Normal"/>
    <w:qFormat/>
    <w:rsid w:val="00BD79F0"/>
    <w:pPr>
      <w:spacing w:line="240" w:lineRule="auto"/>
    </w:pPr>
    <w:rPr>
      <w:b/>
      <w:sz w:val="40"/>
    </w:rPr>
  </w:style>
  <w:style w:type="paragraph" w:customStyle="1" w:styleId="ActHead1">
    <w:name w:val="ActHead 1"/>
    <w:aliases w:val="c"/>
    <w:basedOn w:val="OPCParaBase"/>
    <w:next w:val="Normal"/>
    <w:qFormat/>
    <w:rsid w:val="00BD79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79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79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79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D79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79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79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79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79F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D79F0"/>
  </w:style>
  <w:style w:type="paragraph" w:customStyle="1" w:styleId="Blocks">
    <w:name w:val="Blocks"/>
    <w:aliases w:val="bb"/>
    <w:basedOn w:val="OPCParaBase"/>
    <w:qFormat/>
    <w:rsid w:val="00BD79F0"/>
    <w:pPr>
      <w:spacing w:line="240" w:lineRule="auto"/>
    </w:pPr>
    <w:rPr>
      <w:sz w:val="24"/>
    </w:rPr>
  </w:style>
  <w:style w:type="paragraph" w:customStyle="1" w:styleId="BoxText">
    <w:name w:val="BoxText"/>
    <w:aliases w:val="bt"/>
    <w:basedOn w:val="OPCParaBase"/>
    <w:qFormat/>
    <w:rsid w:val="00BD79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79F0"/>
    <w:rPr>
      <w:b/>
    </w:rPr>
  </w:style>
  <w:style w:type="paragraph" w:customStyle="1" w:styleId="BoxHeadItalic">
    <w:name w:val="BoxHeadItalic"/>
    <w:aliases w:val="bhi"/>
    <w:basedOn w:val="BoxText"/>
    <w:next w:val="BoxStep"/>
    <w:qFormat/>
    <w:rsid w:val="00BD79F0"/>
    <w:rPr>
      <w:i/>
    </w:rPr>
  </w:style>
  <w:style w:type="paragraph" w:customStyle="1" w:styleId="BoxList">
    <w:name w:val="BoxList"/>
    <w:aliases w:val="bl"/>
    <w:basedOn w:val="BoxText"/>
    <w:qFormat/>
    <w:rsid w:val="00BD79F0"/>
    <w:pPr>
      <w:ind w:left="1559" w:hanging="425"/>
    </w:pPr>
  </w:style>
  <w:style w:type="paragraph" w:customStyle="1" w:styleId="BoxNote">
    <w:name w:val="BoxNote"/>
    <w:aliases w:val="bn"/>
    <w:basedOn w:val="BoxText"/>
    <w:qFormat/>
    <w:rsid w:val="00BD79F0"/>
    <w:pPr>
      <w:tabs>
        <w:tab w:val="left" w:pos="1985"/>
      </w:tabs>
      <w:spacing w:before="122" w:line="198" w:lineRule="exact"/>
      <w:ind w:left="2948" w:hanging="1814"/>
    </w:pPr>
    <w:rPr>
      <w:sz w:val="18"/>
    </w:rPr>
  </w:style>
  <w:style w:type="paragraph" w:customStyle="1" w:styleId="BoxPara">
    <w:name w:val="BoxPara"/>
    <w:aliases w:val="bp"/>
    <w:basedOn w:val="BoxText"/>
    <w:qFormat/>
    <w:rsid w:val="00BD79F0"/>
    <w:pPr>
      <w:tabs>
        <w:tab w:val="right" w:pos="2268"/>
      </w:tabs>
      <w:ind w:left="2552" w:hanging="1418"/>
    </w:pPr>
  </w:style>
  <w:style w:type="paragraph" w:customStyle="1" w:styleId="BoxStep">
    <w:name w:val="BoxStep"/>
    <w:aliases w:val="bs"/>
    <w:basedOn w:val="BoxText"/>
    <w:qFormat/>
    <w:rsid w:val="00BD79F0"/>
    <w:pPr>
      <w:ind w:left="1985" w:hanging="851"/>
    </w:pPr>
  </w:style>
  <w:style w:type="character" w:customStyle="1" w:styleId="CharAmPartNo">
    <w:name w:val="CharAmPartNo"/>
    <w:basedOn w:val="OPCCharBase"/>
    <w:qFormat/>
    <w:rsid w:val="00BD79F0"/>
  </w:style>
  <w:style w:type="character" w:customStyle="1" w:styleId="CharAmPartText">
    <w:name w:val="CharAmPartText"/>
    <w:basedOn w:val="OPCCharBase"/>
    <w:qFormat/>
    <w:rsid w:val="00BD79F0"/>
  </w:style>
  <w:style w:type="character" w:customStyle="1" w:styleId="CharAmSchNo">
    <w:name w:val="CharAmSchNo"/>
    <w:basedOn w:val="OPCCharBase"/>
    <w:qFormat/>
    <w:rsid w:val="00BD79F0"/>
  </w:style>
  <w:style w:type="character" w:customStyle="1" w:styleId="CharAmSchText">
    <w:name w:val="CharAmSchText"/>
    <w:basedOn w:val="OPCCharBase"/>
    <w:qFormat/>
    <w:rsid w:val="00BD79F0"/>
  </w:style>
  <w:style w:type="character" w:customStyle="1" w:styleId="CharBoldItalic">
    <w:name w:val="CharBoldItalic"/>
    <w:basedOn w:val="OPCCharBase"/>
    <w:uiPriority w:val="1"/>
    <w:qFormat/>
    <w:rsid w:val="00BD79F0"/>
    <w:rPr>
      <w:b/>
      <w:i/>
    </w:rPr>
  </w:style>
  <w:style w:type="character" w:customStyle="1" w:styleId="CharChapNo">
    <w:name w:val="CharChapNo"/>
    <w:basedOn w:val="OPCCharBase"/>
    <w:uiPriority w:val="1"/>
    <w:qFormat/>
    <w:rsid w:val="00BD79F0"/>
  </w:style>
  <w:style w:type="character" w:customStyle="1" w:styleId="CharChapText">
    <w:name w:val="CharChapText"/>
    <w:basedOn w:val="OPCCharBase"/>
    <w:uiPriority w:val="1"/>
    <w:qFormat/>
    <w:rsid w:val="00BD79F0"/>
  </w:style>
  <w:style w:type="character" w:customStyle="1" w:styleId="CharDivNo">
    <w:name w:val="CharDivNo"/>
    <w:basedOn w:val="OPCCharBase"/>
    <w:uiPriority w:val="1"/>
    <w:qFormat/>
    <w:rsid w:val="00BD79F0"/>
  </w:style>
  <w:style w:type="character" w:customStyle="1" w:styleId="CharDivText">
    <w:name w:val="CharDivText"/>
    <w:basedOn w:val="OPCCharBase"/>
    <w:uiPriority w:val="1"/>
    <w:qFormat/>
    <w:rsid w:val="00BD79F0"/>
  </w:style>
  <w:style w:type="character" w:customStyle="1" w:styleId="CharItalic">
    <w:name w:val="CharItalic"/>
    <w:basedOn w:val="OPCCharBase"/>
    <w:uiPriority w:val="1"/>
    <w:qFormat/>
    <w:rsid w:val="00BD79F0"/>
    <w:rPr>
      <w:i/>
    </w:rPr>
  </w:style>
  <w:style w:type="character" w:customStyle="1" w:styleId="CharPartNo">
    <w:name w:val="CharPartNo"/>
    <w:basedOn w:val="OPCCharBase"/>
    <w:uiPriority w:val="1"/>
    <w:qFormat/>
    <w:rsid w:val="00BD79F0"/>
  </w:style>
  <w:style w:type="character" w:customStyle="1" w:styleId="CharPartText">
    <w:name w:val="CharPartText"/>
    <w:basedOn w:val="OPCCharBase"/>
    <w:uiPriority w:val="1"/>
    <w:qFormat/>
    <w:rsid w:val="00BD79F0"/>
  </w:style>
  <w:style w:type="character" w:customStyle="1" w:styleId="CharSectno">
    <w:name w:val="CharSectno"/>
    <w:basedOn w:val="OPCCharBase"/>
    <w:qFormat/>
    <w:rsid w:val="00BD79F0"/>
  </w:style>
  <w:style w:type="character" w:customStyle="1" w:styleId="CharSubdNo">
    <w:name w:val="CharSubdNo"/>
    <w:basedOn w:val="OPCCharBase"/>
    <w:uiPriority w:val="1"/>
    <w:qFormat/>
    <w:rsid w:val="00BD79F0"/>
  </w:style>
  <w:style w:type="character" w:customStyle="1" w:styleId="CharSubdText">
    <w:name w:val="CharSubdText"/>
    <w:basedOn w:val="OPCCharBase"/>
    <w:uiPriority w:val="1"/>
    <w:qFormat/>
    <w:rsid w:val="00BD79F0"/>
  </w:style>
  <w:style w:type="paragraph" w:customStyle="1" w:styleId="CTA--">
    <w:name w:val="CTA --"/>
    <w:basedOn w:val="OPCParaBase"/>
    <w:next w:val="Normal"/>
    <w:rsid w:val="00BD79F0"/>
    <w:pPr>
      <w:spacing w:before="60" w:line="240" w:lineRule="atLeast"/>
      <w:ind w:left="142" w:hanging="142"/>
    </w:pPr>
    <w:rPr>
      <w:sz w:val="20"/>
    </w:rPr>
  </w:style>
  <w:style w:type="paragraph" w:customStyle="1" w:styleId="CTA-">
    <w:name w:val="CTA -"/>
    <w:basedOn w:val="OPCParaBase"/>
    <w:rsid w:val="00BD79F0"/>
    <w:pPr>
      <w:spacing w:before="60" w:line="240" w:lineRule="atLeast"/>
      <w:ind w:left="85" w:hanging="85"/>
    </w:pPr>
    <w:rPr>
      <w:sz w:val="20"/>
    </w:rPr>
  </w:style>
  <w:style w:type="paragraph" w:customStyle="1" w:styleId="CTA---">
    <w:name w:val="CTA ---"/>
    <w:basedOn w:val="OPCParaBase"/>
    <w:next w:val="Normal"/>
    <w:rsid w:val="00BD79F0"/>
    <w:pPr>
      <w:spacing w:before="60" w:line="240" w:lineRule="atLeast"/>
      <w:ind w:left="198" w:hanging="198"/>
    </w:pPr>
    <w:rPr>
      <w:sz w:val="20"/>
    </w:rPr>
  </w:style>
  <w:style w:type="paragraph" w:customStyle="1" w:styleId="CTA----">
    <w:name w:val="CTA ----"/>
    <w:basedOn w:val="OPCParaBase"/>
    <w:next w:val="Normal"/>
    <w:rsid w:val="00BD79F0"/>
    <w:pPr>
      <w:spacing w:before="60" w:line="240" w:lineRule="atLeast"/>
      <w:ind w:left="255" w:hanging="255"/>
    </w:pPr>
    <w:rPr>
      <w:sz w:val="20"/>
    </w:rPr>
  </w:style>
  <w:style w:type="paragraph" w:customStyle="1" w:styleId="CTA1a">
    <w:name w:val="CTA 1(a)"/>
    <w:basedOn w:val="OPCParaBase"/>
    <w:rsid w:val="00BD79F0"/>
    <w:pPr>
      <w:tabs>
        <w:tab w:val="right" w:pos="414"/>
      </w:tabs>
      <w:spacing w:before="40" w:line="240" w:lineRule="atLeast"/>
      <w:ind w:left="675" w:hanging="675"/>
    </w:pPr>
    <w:rPr>
      <w:sz w:val="20"/>
    </w:rPr>
  </w:style>
  <w:style w:type="paragraph" w:customStyle="1" w:styleId="CTA1ai">
    <w:name w:val="CTA 1(a)(i)"/>
    <w:basedOn w:val="OPCParaBase"/>
    <w:rsid w:val="00BD79F0"/>
    <w:pPr>
      <w:tabs>
        <w:tab w:val="right" w:pos="1004"/>
      </w:tabs>
      <w:spacing w:before="40" w:line="240" w:lineRule="atLeast"/>
      <w:ind w:left="1253" w:hanging="1253"/>
    </w:pPr>
    <w:rPr>
      <w:sz w:val="20"/>
    </w:rPr>
  </w:style>
  <w:style w:type="paragraph" w:customStyle="1" w:styleId="CTA2a">
    <w:name w:val="CTA 2(a)"/>
    <w:basedOn w:val="OPCParaBase"/>
    <w:rsid w:val="00BD79F0"/>
    <w:pPr>
      <w:tabs>
        <w:tab w:val="right" w:pos="482"/>
      </w:tabs>
      <w:spacing w:before="40" w:line="240" w:lineRule="atLeast"/>
      <w:ind w:left="748" w:hanging="748"/>
    </w:pPr>
    <w:rPr>
      <w:sz w:val="20"/>
    </w:rPr>
  </w:style>
  <w:style w:type="paragraph" w:customStyle="1" w:styleId="CTA2ai">
    <w:name w:val="CTA 2(a)(i)"/>
    <w:basedOn w:val="OPCParaBase"/>
    <w:rsid w:val="00BD79F0"/>
    <w:pPr>
      <w:tabs>
        <w:tab w:val="right" w:pos="1089"/>
      </w:tabs>
      <w:spacing w:before="40" w:line="240" w:lineRule="atLeast"/>
      <w:ind w:left="1327" w:hanging="1327"/>
    </w:pPr>
    <w:rPr>
      <w:sz w:val="20"/>
    </w:rPr>
  </w:style>
  <w:style w:type="paragraph" w:customStyle="1" w:styleId="CTA3a">
    <w:name w:val="CTA 3(a)"/>
    <w:basedOn w:val="OPCParaBase"/>
    <w:rsid w:val="00BD79F0"/>
    <w:pPr>
      <w:tabs>
        <w:tab w:val="right" w:pos="556"/>
      </w:tabs>
      <w:spacing w:before="40" w:line="240" w:lineRule="atLeast"/>
      <w:ind w:left="805" w:hanging="805"/>
    </w:pPr>
    <w:rPr>
      <w:sz w:val="20"/>
    </w:rPr>
  </w:style>
  <w:style w:type="paragraph" w:customStyle="1" w:styleId="CTA3ai">
    <w:name w:val="CTA 3(a)(i)"/>
    <w:basedOn w:val="OPCParaBase"/>
    <w:rsid w:val="00BD79F0"/>
    <w:pPr>
      <w:tabs>
        <w:tab w:val="right" w:pos="1140"/>
      </w:tabs>
      <w:spacing w:before="40" w:line="240" w:lineRule="atLeast"/>
      <w:ind w:left="1361" w:hanging="1361"/>
    </w:pPr>
    <w:rPr>
      <w:sz w:val="20"/>
    </w:rPr>
  </w:style>
  <w:style w:type="paragraph" w:customStyle="1" w:styleId="CTA4a">
    <w:name w:val="CTA 4(a)"/>
    <w:basedOn w:val="OPCParaBase"/>
    <w:rsid w:val="00BD79F0"/>
    <w:pPr>
      <w:tabs>
        <w:tab w:val="right" w:pos="624"/>
      </w:tabs>
      <w:spacing w:before="40" w:line="240" w:lineRule="atLeast"/>
      <w:ind w:left="873" w:hanging="873"/>
    </w:pPr>
    <w:rPr>
      <w:sz w:val="20"/>
    </w:rPr>
  </w:style>
  <w:style w:type="paragraph" w:customStyle="1" w:styleId="CTA4ai">
    <w:name w:val="CTA 4(a)(i)"/>
    <w:basedOn w:val="OPCParaBase"/>
    <w:rsid w:val="00BD79F0"/>
    <w:pPr>
      <w:tabs>
        <w:tab w:val="right" w:pos="1213"/>
      </w:tabs>
      <w:spacing w:before="40" w:line="240" w:lineRule="atLeast"/>
      <w:ind w:left="1452" w:hanging="1452"/>
    </w:pPr>
    <w:rPr>
      <w:sz w:val="20"/>
    </w:rPr>
  </w:style>
  <w:style w:type="paragraph" w:customStyle="1" w:styleId="CTACAPS">
    <w:name w:val="CTA CAPS"/>
    <w:basedOn w:val="OPCParaBase"/>
    <w:rsid w:val="00BD79F0"/>
    <w:pPr>
      <w:spacing w:before="60" w:line="240" w:lineRule="atLeast"/>
    </w:pPr>
    <w:rPr>
      <w:sz w:val="20"/>
    </w:rPr>
  </w:style>
  <w:style w:type="paragraph" w:customStyle="1" w:styleId="CTAright">
    <w:name w:val="CTA right"/>
    <w:basedOn w:val="OPCParaBase"/>
    <w:rsid w:val="00BD79F0"/>
    <w:pPr>
      <w:spacing w:before="60" w:line="240" w:lineRule="auto"/>
      <w:jc w:val="right"/>
    </w:pPr>
    <w:rPr>
      <w:sz w:val="20"/>
    </w:rPr>
  </w:style>
  <w:style w:type="paragraph" w:customStyle="1" w:styleId="subsection">
    <w:name w:val="subsection"/>
    <w:aliases w:val="ss"/>
    <w:basedOn w:val="OPCParaBase"/>
    <w:link w:val="subsectionChar"/>
    <w:rsid w:val="00BD79F0"/>
    <w:pPr>
      <w:tabs>
        <w:tab w:val="right" w:pos="1021"/>
      </w:tabs>
      <w:spacing w:before="180" w:line="240" w:lineRule="auto"/>
      <w:ind w:left="1134" w:hanging="1134"/>
    </w:pPr>
  </w:style>
  <w:style w:type="paragraph" w:customStyle="1" w:styleId="Definition">
    <w:name w:val="Definition"/>
    <w:aliases w:val="dd"/>
    <w:basedOn w:val="OPCParaBase"/>
    <w:rsid w:val="00BD79F0"/>
    <w:pPr>
      <w:spacing w:before="180" w:line="240" w:lineRule="auto"/>
      <w:ind w:left="1134"/>
    </w:pPr>
  </w:style>
  <w:style w:type="paragraph" w:customStyle="1" w:styleId="ETAsubitem">
    <w:name w:val="ETA(subitem)"/>
    <w:basedOn w:val="OPCParaBase"/>
    <w:rsid w:val="00BD79F0"/>
    <w:pPr>
      <w:tabs>
        <w:tab w:val="right" w:pos="340"/>
      </w:tabs>
      <w:spacing w:before="60" w:line="240" w:lineRule="auto"/>
      <w:ind w:left="454" w:hanging="454"/>
    </w:pPr>
    <w:rPr>
      <w:sz w:val="20"/>
    </w:rPr>
  </w:style>
  <w:style w:type="paragraph" w:customStyle="1" w:styleId="ETApara">
    <w:name w:val="ETA(para)"/>
    <w:basedOn w:val="OPCParaBase"/>
    <w:rsid w:val="00BD79F0"/>
    <w:pPr>
      <w:tabs>
        <w:tab w:val="right" w:pos="754"/>
      </w:tabs>
      <w:spacing w:before="60" w:line="240" w:lineRule="auto"/>
      <w:ind w:left="828" w:hanging="828"/>
    </w:pPr>
    <w:rPr>
      <w:sz w:val="20"/>
    </w:rPr>
  </w:style>
  <w:style w:type="paragraph" w:customStyle="1" w:styleId="ETAsubpara">
    <w:name w:val="ETA(subpara)"/>
    <w:basedOn w:val="OPCParaBase"/>
    <w:rsid w:val="00BD79F0"/>
    <w:pPr>
      <w:tabs>
        <w:tab w:val="right" w:pos="1083"/>
      </w:tabs>
      <w:spacing w:before="60" w:line="240" w:lineRule="auto"/>
      <w:ind w:left="1191" w:hanging="1191"/>
    </w:pPr>
    <w:rPr>
      <w:sz w:val="20"/>
    </w:rPr>
  </w:style>
  <w:style w:type="paragraph" w:customStyle="1" w:styleId="ETAsub-subpara">
    <w:name w:val="ETA(sub-subpara)"/>
    <w:basedOn w:val="OPCParaBase"/>
    <w:rsid w:val="00BD79F0"/>
    <w:pPr>
      <w:tabs>
        <w:tab w:val="right" w:pos="1412"/>
      </w:tabs>
      <w:spacing w:before="60" w:line="240" w:lineRule="auto"/>
      <w:ind w:left="1525" w:hanging="1525"/>
    </w:pPr>
    <w:rPr>
      <w:sz w:val="20"/>
    </w:rPr>
  </w:style>
  <w:style w:type="paragraph" w:customStyle="1" w:styleId="Formula">
    <w:name w:val="Formula"/>
    <w:basedOn w:val="OPCParaBase"/>
    <w:rsid w:val="00BD79F0"/>
    <w:pPr>
      <w:spacing w:line="240" w:lineRule="auto"/>
      <w:ind w:left="1134"/>
    </w:pPr>
    <w:rPr>
      <w:sz w:val="20"/>
    </w:rPr>
  </w:style>
  <w:style w:type="paragraph" w:styleId="Header">
    <w:name w:val="header"/>
    <w:basedOn w:val="OPCParaBase"/>
    <w:link w:val="HeaderChar"/>
    <w:unhideWhenUsed/>
    <w:rsid w:val="00BD79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79F0"/>
    <w:rPr>
      <w:rFonts w:eastAsia="Times New Roman" w:cs="Times New Roman"/>
      <w:sz w:val="16"/>
      <w:lang w:eastAsia="en-AU"/>
    </w:rPr>
  </w:style>
  <w:style w:type="paragraph" w:customStyle="1" w:styleId="House">
    <w:name w:val="House"/>
    <w:basedOn w:val="OPCParaBase"/>
    <w:rsid w:val="00BD79F0"/>
    <w:pPr>
      <w:spacing w:line="240" w:lineRule="auto"/>
    </w:pPr>
    <w:rPr>
      <w:sz w:val="28"/>
    </w:rPr>
  </w:style>
  <w:style w:type="paragraph" w:customStyle="1" w:styleId="Item">
    <w:name w:val="Item"/>
    <w:aliases w:val="i"/>
    <w:basedOn w:val="OPCParaBase"/>
    <w:next w:val="ItemHead"/>
    <w:rsid w:val="00BD79F0"/>
    <w:pPr>
      <w:keepLines/>
      <w:spacing w:before="80" w:line="240" w:lineRule="auto"/>
      <w:ind w:left="709"/>
    </w:pPr>
  </w:style>
  <w:style w:type="paragraph" w:customStyle="1" w:styleId="ItemHead">
    <w:name w:val="ItemHead"/>
    <w:aliases w:val="ih"/>
    <w:basedOn w:val="OPCParaBase"/>
    <w:next w:val="Item"/>
    <w:rsid w:val="00BD79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79F0"/>
    <w:pPr>
      <w:spacing w:line="240" w:lineRule="auto"/>
    </w:pPr>
    <w:rPr>
      <w:b/>
      <w:sz w:val="32"/>
    </w:rPr>
  </w:style>
  <w:style w:type="paragraph" w:customStyle="1" w:styleId="notedraft">
    <w:name w:val="note(draft)"/>
    <w:aliases w:val="nd"/>
    <w:basedOn w:val="OPCParaBase"/>
    <w:rsid w:val="00BD79F0"/>
    <w:pPr>
      <w:spacing w:before="240" w:line="240" w:lineRule="auto"/>
      <w:ind w:left="284" w:hanging="284"/>
    </w:pPr>
    <w:rPr>
      <w:i/>
      <w:sz w:val="24"/>
    </w:rPr>
  </w:style>
  <w:style w:type="paragraph" w:customStyle="1" w:styleId="notemargin">
    <w:name w:val="note(margin)"/>
    <w:aliases w:val="nm"/>
    <w:basedOn w:val="OPCParaBase"/>
    <w:rsid w:val="00BD79F0"/>
    <w:pPr>
      <w:tabs>
        <w:tab w:val="left" w:pos="709"/>
      </w:tabs>
      <w:spacing w:before="122" w:line="198" w:lineRule="exact"/>
      <w:ind w:left="709" w:hanging="709"/>
    </w:pPr>
    <w:rPr>
      <w:sz w:val="18"/>
    </w:rPr>
  </w:style>
  <w:style w:type="paragraph" w:customStyle="1" w:styleId="noteToPara">
    <w:name w:val="noteToPara"/>
    <w:aliases w:val="ntp"/>
    <w:basedOn w:val="OPCParaBase"/>
    <w:rsid w:val="00BD79F0"/>
    <w:pPr>
      <w:spacing w:before="122" w:line="198" w:lineRule="exact"/>
      <w:ind w:left="2353" w:hanging="709"/>
    </w:pPr>
    <w:rPr>
      <w:sz w:val="18"/>
    </w:rPr>
  </w:style>
  <w:style w:type="paragraph" w:customStyle="1" w:styleId="noteParlAmend">
    <w:name w:val="note(ParlAmend)"/>
    <w:aliases w:val="npp"/>
    <w:basedOn w:val="OPCParaBase"/>
    <w:next w:val="ParlAmend"/>
    <w:rsid w:val="00BD79F0"/>
    <w:pPr>
      <w:spacing w:line="240" w:lineRule="auto"/>
      <w:jc w:val="right"/>
    </w:pPr>
    <w:rPr>
      <w:rFonts w:ascii="Arial" w:hAnsi="Arial"/>
      <w:b/>
      <w:i/>
    </w:rPr>
  </w:style>
  <w:style w:type="paragraph" w:customStyle="1" w:styleId="Page1">
    <w:name w:val="Page1"/>
    <w:basedOn w:val="OPCParaBase"/>
    <w:rsid w:val="00BD79F0"/>
    <w:pPr>
      <w:spacing w:before="5600" w:line="240" w:lineRule="auto"/>
    </w:pPr>
    <w:rPr>
      <w:b/>
      <w:sz w:val="32"/>
    </w:rPr>
  </w:style>
  <w:style w:type="paragraph" w:customStyle="1" w:styleId="PageBreak">
    <w:name w:val="PageBreak"/>
    <w:aliases w:val="pb"/>
    <w:basedOn w:val="OPCParaBase"/>
    <w:rsid w:val="00BD79F0"/>
    <w:pPr>
      <w:spacing w:line="240" w:lineRule="auto"/>
    </w:pPr>
    <w:rPr>
      <w:sz w:val="20"/>
    </w:rPr>
  </w:style>
  <w:style w:type="paragraph" w:customStyle="1" w:styleId="paragraphsub">
    <w:name w:val="paragraph(sub)"/>
    <w:aliases w:val="aa"/>
    <w:basedOn w:val="OPCParaBase"/>
    <w:rsid w:val="00BD79F0"/>
    <w:pPr>
      <w:tabs>
        <w:tab w:val="right" w:pos="1985"/>
      </w:tabs>
      <w:spacing w:before="40" w:line="240" w:lineRule="auto"/>
      <w:ind w:left="2098" w:hanging="2098"/>
    </w:pPr>
  </w:style>
  <w:style w:type="paragraph" w:customStyle="1" w:styleId="paragraphsub-sub">
    <w:name w:val="paragraph(sub-sub)"/>
    <w:aliases w:val="aaa"/>
    <w:basedOn w:val="OPCParaBase"/>
    <w:rsid w:val="00BD79F0"/>
    <w:pPr>
      <w:tabs>
        <w:tab w:val="right" w:pos="2722"/>
      </w:tabs>
      <w:spacing w:before="40" w:line="240" w:lineRule="auto"/>
      <w:ind w:left="2835" w:hanging="2835"/>
    </w:pPr>
  </w:style>
  <w:style w:type="paragraph" w:customStyle="1" w:styleId="paragraph">
    <w:name w:val="paragraph"/>
    <w:aliases w:val="a"/>
    <w:basedOn w:val="OPCParaBase"/>
    <w:rsid w:val="00BD79F0"/>
    <w:pPr>
      <w:tabs>
        <w:tab w:val="right" w:pos="1531"/>
      </w:tabs>
      <w:spacing w:before="40" w:line="240" w:lineRule="auto"/>
      <w:ind w:left="1644" w:hanging="1644"/>
    </w:pPr>
  </w:style>
  <w:style w:type="paragraph" w:customStyle="1" w:styleId="ParlAmend">
    <w:name w:val="ParlAmend"/>
    <w:aliases w:val="pp"/>
    <w:basedOn w:val="OPCParaBase"/>
    <w:rsid w:val="00BD79F0"/>
    <w:pPr>
      <w:spacing w:before="240" w:line="240" w:lineRule="atLeast"/>
      <w:ind w:hanging="567"/>
    </w:pPr>
    <w:rPr>
      <w:sz w:val="24"/>
    </w:rPr>
  </w:style>
  <w:style w:type="paragraph" w:customStyle="1" w:styleId="Penalty">
    <w:name w:val="Penalty"/>
    <w:basedOn w:val="OPCParaBase"/>
    <w:rsid w:val="00BD79F0"/>
    <w:pPr>
      <w:tabs>
        <w:tab w:val="left" w:pos="2977"/>
      </w:tabs>
      <w:spacing w:before="180" w:line="240" w:lineRule="auto"/>
      <w:ind w:left="1985" w:hanging="851"/>
    </w:pPr>
  </w:style>
  <w:style w:type="paragraph" w:customStyle="1" w:styleId="Portfolio">
    <w:name w:val="Portfolio"/>
    <w:basedOn w:val="OPCParaBase"/>
    <w:rsid w:val="00BD79F0"/>
    <w:pPr>
      <w:spacing w:line="240" w:lineRule="auto"/>
    </w:pPr>
    <w:rPr>
      <w:i/>
      <w:sz w:val="20"/>
    </w:rPr>
  </w:style>
  <w:style w:type="paragraph" w:customStyle="1" w:styleId="Preamble">
    <w:name w:val="Preamble"/>
    <w:basedOn w:val="OPCParaBase"/>
    <w:next w:val="Normal"/>
    <w:rsid w:val="00BD79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79F0"/>
    <w:pPr>
      <w:spacing w:line="240" w:lineRule="auto"/>
    </w:pPr>
    <w:rPr>
      <w:i/>
      <w:sz w:val="20"/>
    </w:rPr>
  </w:style>
  <w:style w:type="paragraph" w:customStyle="1" w:styleId="Session">
    <w:name w:val="Session"/>
    <w:basedOn w:val="OPCParaBase"/>
    <w:rsid w:val="00BD79F0"/>
    <w:pPr>
      <w:spacing w:line="240" w:lineRule="auto"/>
    </w:pPr>
    <w:rPr>
      <w:sz w:val="28"/>
    </w:rPr>
  </w:style>
  <w:style w:type="paragraph" w:customStyle="1" w:styleId="Sponsor">
    <w:name w:val="Sponsor"/>
    <w:basedOn w:val="OPCParaBase"/>
    <w:rsid w:val="00BD79F0"/>
    <w:pPr>
      <w:spacing w:line="240" w:lineRule="auto"/>
    </w:pPr>
    <w:rPr>
      <w:i/>
    </w:rPr>
  </w:style>
  <w:style w:type="paragraph" w:customStyle="1" w:styleId="Subitem">
    <w:name w:val="Subitem"/>
    <w:aliases w:val="iss"/>
    <w:basedOn w:val="OPCParaBase"/>
    <w:rsid w:val="00BD79F0"/>
    <w:pPr>
      <w:spacing w:before="180" w:line="240" w:lineRule="auto"/>
      <w:ind w:left="709" w:hanging="709"/>
    </w:pPr>
  </w:style>
  <w:style w:type="paragraph" w:customStyle="1" w:styleId="SubitemHead">
    <w:name w:val="SubitemHead"/>
    <w:aliases w:val="issh"/>
    <w:basedOn w:val="OPCParaBase"/>
    <w:rsid w:val="00BD79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79F0"/>
    <w:pPr>
      <w:spacing w:before="40" w:line="240" w:lineRule="auto"/>
      <w:ind w:left="1134"/>
    </w:pPr>
  </w:style>
  <w:style w:type="paragraph" w:customStyle="1" w:styleId="SubsectionHead">
    <w:name w:val="SubsectionHead"/>
    <w:aliases w:val="ssh"/>
    <w:basedOn w:val="OPCParaBase"/>
    <w:next w:val="subsection"/>
    <w:rsid w:val="00BD79F0"/>
    <w:pPr>
      <w:keepNext/>
      <w:keepLines/>
      <w:spacing w:before="240" w:line="240" w:lineRule="auto"/>
      <w:ind w:left="1134"/>
    </w:pPr>
    <w:rPr>
      <w:i/>
    </w:rPr>
  </w:style>
  <w:style w:type="paragraph" w:customStyle="1" w:styleId="Tablea">
    <w:name w:val="Table(a)"/>
    <w:aliases w:val="ta"/>
    <w:basedOn w:val="OPCParaBase"/>
    <w:rsid w:val="00BD79F0"/>
    <w:pPr>
      <w:spacing w:before="60" w:line="240" w:lineRule="auto"/>
      <w:ind w:left="284" w:hanging="284"/>
    </w:pPr>
    <w:rPr>
      <w:sz w:val="20"/>
    </w:rPr>
  </w:style>
  <w:style w:type="paragraph" w:customStyle="1" w:styleId="TableAA">
    <w:name w:val="Table(AA)"/>
    <w:aliases w:val="taaa"/>
    <w:basedOn w:val="OPCParaBase"/>
    <w:rsid w:val="00BD79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79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79F0"/>
    <w:pPr>
      <w:spacing w:before="60" w:line="240" w:lineRule="atLeast"/>
    </w:pPr>
    <w:rPr>
      <w:sz w:val="20"/>
    </w:rPr>
  </w:style>
  <w:style w:type="paragraph" w:customStyle="1" w:styleId="TLPBoxTextnote">
    <w:name w:val="TLPBoxText(note"/>
    <w:aliases w:val="right)"/>
    <w:basedOn w:val="OPCParaBase"/>
    <w:rsid w:val="00BD79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79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79F0"/>
    <w:pPr>
      <w:spacing w:before="122" w:line="198" w:lineRule="exact"/>
      <w:ind w:left="1985" w:hanging="851"/>
      <w:jc w:val="right"/>
    </w:pPr>
    <w:rPr>
      <w:sz w:val="18"/>
    </w:rPr>
  </w:style>
  <w:style w:type="paragraph" w:customStyle="1" w:styleId="TLPTableBullet">
    <w:name w:val="TLPTableBullet"/>
    <w:aliases w:val="ttb"/>
    <w:basedOn w:val="OPCParaBase"/>
    <w:rsid w:val="00BD79F0"/>
    <w:pPr>
      <w:spacing w:line="240" w:lineRule="exact"/>
      <w:ind w:left="284" w:hanging="284"/>
    </w:pPr>
    <w:rPr>
      <w:sz w:val="20"/>
    </w:rPr>
  </w:style>
  <w:style w:type="paragraph" w:styleId="TOC1">
    <w:name w:val="toc 1"/>
    <w:basedOn w:val="OPCParaBase"/>
    <w:next w:val="Normal"/>
    <w:uiPriority w:val="39"/>
    <w:semiHidden/>
    <w:unhideWhenUsed/>
    <w:rsid w:val="00BD79F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D79F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D79F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D79F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D79F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D79F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D79F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D79F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D79F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79F0"/>
    <w:pPr>
      <w:keepLines/>
      <w:spacing w:before="240" w:after="120" w:line="240" w:lineRule="auto"/>
      <w:ind w:left="794"/>
    </w:pPr>
    <w:rPr>
      <w:b/>
      <w:kern w:val="28"/>
      <w:sz w:val="20"/>
    </w:rPr>
  </w:style>
  <w:style w:type="paragraph" w:customStyle="1" w:styleId="TofSectsHeading">
    <w:name w:val="TofSects(Heading)"/>
    <w:basedOn w:val="OPCParaBase"/>
    <w:rsid w:val="00BD79F0"/>
    <w:pPr>
      <w:spacing w:before="240" w:after="120" w:line="240" w:lineRule="auto"/>
    </w:pPr>
    <w:rPr>
      <w:b/>
      <w:sz w:val="24"/>
    </w:rPr>
  </w:style>
  <w:style w:type="paragraph" w:customStyle="1" w:styleId="TofSectsSection">
    <w:name w:val="TofSects(Section)"/>
    <w:basedOn w:val="OPCParaBase"/>
    <w:rsid w:val="00BD79F0"/>
    <w:pPr>
      <w:keepLines/>
      <w:spacing w:before="40" w:line="240" w:lineRule="auto"/>
      <w:ind w:left="1588" w:hanging="794"/>
    </w:pPr>
    <w:rPr>
      <w:kern w:val="28"/>
      <w:sz w:val="18"/>
    </w:rPr>
  </w:style>
  <w:style w:type="paragraph" w:customStyle="1" w:styleId="TofSectsSubdiv">
    <w:name w:val="TofSects(Subdiv)"/>
    <w:basedOn w:val="OPCParaBase"/>
    <w:rsid w:val="00BD79F0"/>
    <w:pPr>
      <w:keepLines/>
      <w:spacing w:before="80" w:line="240" w:lineRule="auto"/>
      <w:ind w:left="1588" w:hanging="794"/>
    </w:pPr>
    <w:rPr>
      <w:kern w:val="28"/>
    </w:rPr>
  </w:style>
  <w:style w:type="paragraph" w:customStyle="1" w:styleId="WRStyle">
    <w:name w:val="WR Style"/>
    <w:aliases w:val="WR"/>
    <w:basedOn w:val="OPCParaBase"/>
    <w:rsid w:val="00BD79F0"/>
    <w:pPr>
      <w:spacing w:before="240" w:line="240" w:lineRule="auto"/>
      <w:ind w:left="284" w:hanging="284"/>
    </w:pPr>
    <w:rPr>
      <w:b/>
      <w:i/>
      <w:kern w:val="28"/>
      <w:sz w:val="24"/>
    </w:rPr>
  </w:style>
  <w:style w:type="paragraph" w:customStyle="1" w:styleId="notepara">
    <w:name w:val="note(para)"/>
    <w:aliases w:val="na"/>
    <w:basedOn w:val="OPCParaBase"/>
    <w:rsid w:val="00BD79F0"/>
    <w:pPr>
      <w:spacing w:before="40" w:line="198" w:lineRule="exact"/>
      <w:ind w:left="2354" w:hanging="369"/>
    </w:pPr>
    <w:rPr>
      <w:sz w:val="18"/>
    </w:rPr>
  </w:style>
  <w:style w:type="paragraph" w:styleId="Footer">
    <w:name w:val="footer"/>
    <w:link w:val="FooterChar"/>
    <w:rsid w:val="00BD79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79F0"/>
    <w:rPr>
      <w:rFonts w:eastAsia="Times New Roman" w:cs="Times New Roman"/>
      <w:sz w:val="22"/>
      <w:szCs w:val="24"/>
      <w:lang w:eastAsia="en-AU"/>
    </w:rPr>
  </w:style>
  <w:style w:type="character" w:styleId="LineNumber">
    <w:name w:val="line number"/>
    <w:basedOn w:val="OPCCharBase"/>
    <w:uiPriority w:val="99"/>
    <w:semiHidden/>
    <w:unhideWhenUsed/>
    <w:rsid w:val="00BD79F0"/>
    <w:rPr>
      <w:sz w:val="16"/>
    </w:rPr>
  </w:style>
  <w:style w:type="table" w:customStyle="1" w:styleId="CFlag">
    <w:name w:val="CFlag"/>
    <w:basedOn w:val="TableNormal"/>
    <w:uiPriority w:val="99"/>
    <w:rsid w:val="00BD79F0"/>
    <w:rPr>
      <w:rFonts w:eastAsia="Times New Roman" w:cs="Times New Roman"/>
      <w:lang w:eastAsia="en-AU"/>
    </w:rPr>
    <w:tblPr/>
  </w:style>
  <w:style w:type="paragraph" w:styleId="BalloonText">
    <w:name w:val="Balloon Text"/>
    <w:basedOn w:val="Normal"/>
    <w:link w:val="BalloonTextChar"/>
    <w:uiPriority w:val="99"/>
    <w:semiHidden/>
    <w:unhideWhenUsed/>
    <w:rsid w:val="00BD79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9F0"/>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BD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D79F0"/>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BD79F0"/>
    <w:rPr>
      <w:i/>
      <w:sz w:val="32"/>
      <w:szCs w:val="32"/>
    </w:rPr>
  </w:style>
  <w:style w:type="paragraph" w:customStyle="1" w:styleId="SignCoverPageEnd">
    <w:name w:val="SignCoverPageEnd"/>
    <w:basedOn w:val="OPCParaBase"/>
    <w:next w:val="Normal"/>
    <w:rsid w:val="00BD79F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D79F0"/>
    <w:pPr>
      <w:pBdr>
        <w:top w:val="single" w:sz="4" w:space="1" w:color="auto"/>
      </w:pBdr>
      <w:spacing w:before="360"/>
      <w:ind w:right="397"/>
      <w:jc w:val="both"/>
    </w:pPr>
  </w:style>
  <w:style w:type="paragraph" w:customStyle="1" w:styleId="NotesHeading1">
    <w:name w:val="NotesHeading 1"/>
    <w:basedOn w:val="OPCParaBase"/>
    <w:next w:val="Normal"/>
    <w:rsid w:val="00BD79F0"/>
    <w:rPr>
      <w:b/>
      <w:sz w:val="28"/>
      <w:szCs w:val="28"/>
    </w:rPr>
  </w:style>
  <w:style w:type="paragraph" w:customStyle="1" w:styleId="NotesHeading2">
    <w:name w:val="NotesHeading 2"/>
    <w:basedOn w:val="OPCParaBase"/>
    <w:next w:val="Normal"/>
    <w:rsid w:val="00BD79F0"/>
    <w:rPr>
      <w:b/>
      <w:sz w:val="28"/>
      <w:szCs w:val="28"/>
    </w:rPr>
  </w:style>
  <w:style w:type="paragraph" w:customStyle="1" w:styleId="CompiledActNo">
    <w:name w:val="CompiledActNo"/>
    <w:basedOn w:val="OPCParaBase"/>
    <w:next w:val="Normal"/>
    <w:rsid w:val="00BD79F0"/>
    <w:rPr>
      <w:b/>
      <w:sz w:val="24"/>
      <w:szCs w:val="24"/>
    </w:rPr>
  </w:style>
  <w:style w:type="paragraph" w:customStyle="1" w:styleId="CompiledMadeUnder">
    <w:name w:val="CompiledMadeUnder"/>
    <w:basedOn w:val="OPCParaBase"/>
    <w:next w:val="Normal"/>
    <w:rsid w:val="00BD79F0"/>
    <w:rPr>
      <w:i/>
      <w:sz w:val="24"/>
      <w:szCs w:val="24"/>
    </w:rPr>
  </w:style>
  <w:style w:type="paragraph" w:customStyle="1" w:styleId="Paragraphsub-sub-sub">
    <w:name w:val="Paragraph(sub-sub-sub)"/>
    <w:aliases w:val="aaaa"/>
    <w:basedOn w:val="OPCParaBase"/>
    <w:rsid w:val="00BD79F0"/>
    <w:pPr>
      <w:tabs>
        <w:tab w:val="right" w:pos="3402"/>
      </w:tabs>
      <w:spacing w:before="40" w:line="240" w:lineRule="auto"/>
      <w:ind w:left="3402" w:hanging="3402"/>
    </w:pPr>
  </w:style>
  <w:style w:type="paragraph" w:customStyle="1" w:styleId="NoteToSubpara">
    <w:name w:val="NoteToSubpara"/>
    <w:aliases w:val="nts"/>
    <w:basedOn w:val="OPCParaBase"/>
    <w:rsid w:val="00BD79F0"/>
    <w:pPr>
      <w:spacing w:before="40" w:line="198" w:lineRule="exact"/>
      <w:ind w:left="2835" w:hanging="709"/>
    </w:pPr>
    <w:rPr>
      <w:sz w:val="18"/>
    </w:rPr>
  </w:style>
  <w:style w:type="paragraph" w:customStyle="1" w:styleId="EndNotespara">
    <w:name w:val="EndNotes(para)"/>
    <w:aliases w:val="eta"/>
    <w:basedOn w:val="OPCParaBase"/>
    <w:next w:val="EndNotessubpara"/>
    <w:rsid w:val="00BD79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79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79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79F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D79F0"/>
    <w:pPr>
      <w:keepNext/>
      <w:spacing w:before="60" w:line="240" w:lineRule="atLeast"/>
    </w:pPr>
    <w:rPr>
      <w:rFonts w:ascii="Arial" w:hAnsi="Arial"/>
      <w:b/>
      <w:sz w:val="16"/>
    </w:rPr>
  </w:style>
  <w:style w:type="paragraph" w:customStyle="1" w:styleId="ENoteTTi">
    <w:name w:val="ENoteTTi"/>
    <w:aliases w:val="entti"/>
    <w:basedOn w:val="OPCParaBase"/>
    <w:rsid w:val="00BD79F0"/>
    <w:pPr>
      <w:keepNext/>
      <w:spacing w:before="60" w:line="240" w:lineRule="atLeast"/>
      <w:ind w:left="170"/>
    </w:pPr>
    <w:rPr>
      <w:sz w:val="16"/>
    </w:rPr>
  </w:style>
  <w:style w:type="paragraph" w:customStyle="1" w:styleId="ENotesHeading1">
    <w:name w:val="ENotesHeading 1"/>
    <w:aliases w:val="Enh1"/>
    <w:basedOn w:val="OPCParaBase"/>
    <w:next w:val="Normal"/>
    <w:rsid w:val="00BD79F0"/>
    <w:pPr>
      <w:spacing w:before="120"/>
      <w:outlineLvl w:val="1"/>
    </w:pPr>
    <w:rPr>
      <w:b/>
      <w:sz w:val="28"/>
      <w:szCs w:val="28"/>
    </w:rPr>
  </w:style>
  <w:style w:type="paragraph" w:customStyle="1" w:styleId="ENotesHeading2">
    <w:name w:val="ENotesHeading 2"/>
    <w:aliases w:val="Enh2"/>
    <w:basedOn w:val="OPCParaBase"/>
    <w:next w:val="Normal"/>
    <w:rsid w:val="00BD79F0"/>
    <w:pPr>
      <w:spacing w:before="120" w:after="120"/>
      <w:outlineLvl w:val="2"/>
    </w:pPr>
    <w:rPr>
      <w:b/>
      <w:sz w:val="24"/>
      <w:szCs w:val="28"/>
    </w:rPr>
  </w:style>
  <w:style w:type="paragraph" w:customStyle="1" w:styleId="ENoteTTIndentHeading">
    <w:name w:val="ENoteTTIndentHeading"/>
    <w:aliases w:val="enTTHi"/>
    <w:basedOn w:val="OPCParaBase"/>
    <w:rsid w:val="00BD79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79F0"/>
    <w:pPr>
      <w:spacing w:before="60" w:line="240" w:lineRule="atLeast"/>
    </w:pPr>
    <w:rPr>
      <w:sz w:val="16"/>
    </w:rPr>
  </w:style>
  <w:style w:type="paragraph" w:customStyle="1" w:styleId="MadeunderText">
    <w:name w:val="MadeunderText"/>
    <w:basedOn w:val="OPCParaBase"/>
    <w:next w:val="CompiledMadeUnder"/>
    <w:rsid w:val="00BD79F0"/>
    <w:pPr>
      <w:spacing w:before="240"/>
    </w:pPr>
    <w:rPr>
      <w:sz w:val="24"/>
      <w:szCs w:val="24"/>
    </w:rPr>
  </w:style>
  <w:style w:type="paragraph" w:customStyle="1" w:styleId="ENotesHeading3">
    <w:name w:val="ENotesHeading 3"/>
    <w:aliases w:val="Enh3"/>
    <w:basedOn w:val="OPCParaBase"/>
    <w:next w:val="Normal"/>
    <w:rsid w:val="00BD79F0"/>
    <w:pPr>
      <w:keepNext/>
      <w:spacing w:before="120" w:line="240" w:lineRule="auto"/>
      <w:outlineLvl w:val="4"/>
    </w:pPr>
    <w:rPr>
      <w:b/>
      <w:szCs w:val="24"/>
    </w:rPr>
  </w:style>
  <w:style w:type="character" w:customStyle="1" w:styleId="CharSubPartTextCASA">
    <w:name w:val="CharSubPartText(CASA)"/>
    <w:basedOn w:val="OPCCharBase"/>
    <w:uiPriority w:val="1"/>
    <w:rsid w:val="00BD79F0"/>
  </w:style>
  <w:style w:type="character" w:customStyle="1" w:styleId="CharSubPartNoCASA">
    <w:name w:val="CharSubPartNo(CASA)"/>
    <w:basedOn w:val="OPCCharBase"/>
    <w:uiPriority w:val="1"/>
    <w:rsid w:val="00BD79F0"/>
  </w:style>
  <w:style w:type="paragraph" w:customStyle="1" w:styleId="ENoteTTIndentHeadingSub">
    <w:name w:val="ENoteTTIndentHeadingSub"/>
    <w:aliases w:val="enTTHis"/>
    <w:basedOn w:val="OPCParaBase"/>
    <w:rsid w:val="00BD79F0"/>
    <w:pPr>
      <w:keepNext/>
      <w:spacing w:before="60" w:line="240" w:lineRule="atLeast"/>
      <w:ind w:left="340"/>
    </w:pPr>
    <w:rPr>
      <w:b/>
      <w:sz w:val="16"/>
    </w:rPr>
  </w:style>
  <w:style w:type="paragraph" w:customStyle="1" w:styleId="ENoteTTiSub">
    <w:name w:val="ENoteTTiSub"/>
    <w:aliases w:val="enttis"/>
    <w:basedOn w:val="OPCParaBase"/>
    <w:rsid w:val="00BD79F0"/>
    <w:pPr>
      <w:keepNext/>
      <w:spacing w:before="60" w:line="240" w:lineRule="atLeast"/>
      <w:ind w:left="340"/>
    </w:pPr>
    <w:rPr>
      <w:sz w:val="16"/>
    </w:rPr>
  </w:style>
  <w:style w:type="paragraph" w:customStyle="1" w:styleId="SubDivisionMigration">
    <w:name w:val="SubDivisionMigration"/>
    <w:aliases w:val="sdm"/>
    <w:basedOn w:val="OPCParaBase"/>
    <w:rsid w:val="00BD79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79F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D79F0"/>
    <w:pPr>
      <w:spacing w:before="122" w:line="240" w:lineRule="auto"/>
      <w:ind w:left="1985" w:hanging="851"/>
    </w:pPr>
    <w:rPr>
      <w:sz w:val="18"/>
    </w:rPr>
  </w:style>
  <w:style w:type="paragraph" w:customStyle="1" w:styleId="FreeForm">
    <w:name w:val="FreeForm"/>
    <w:rsid w:val="00B107A2"/>
    <w:rPr>
      <w:rFonts w:ascii="Arial" w:hAnsi="Arial"/>
      <w:sz w:val="22"/>
    </w:rPr>
  </w:style>
  <w:style w:type="paragraph" w:customStyle="1" w:styleId="SOText">
    <w:name w:val="SO Text"/>
    <w:aliases w:val="sot"/>
    <w:link w:val="SOTextChar"/>
    <w:rsid w:val="00BD79F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79F0"/>
    <w:rPr>
      <w:sz w:val="22"/>
    </w:rPr>
  </w:style>
  <w:style w:type="paragraph" w:customStyle="1" w:styleId="SOTextNote">
    <w:name w:val="SO TextNote"/>
    <w:aliases w:val="sont"/>
    <w:basedOn w:val="SOText"/>
    <w:qFormat/>
    <w:rsid w:val="00BD79F0"/>
    <w:pPr>
      <w:spacing w:before="122" w:line="198" w:lineRule="exact"/>
      <w:ind w:left="1843" w:hanging="709"/>
    </w:pPr>
    <w:rPr>
      <w:sz w:val="18"/>
    </w:rPr>
  </w:style>
  <w:style w:type="paragraph" w:customStyle="1" w:styleId="SOPara">
    <w:name w:val="SO Para"/>
    <w:aliases w:val="soa"/>
    <w:basedOn w:val="SOText"/>
    <w:link w:val="SOParaChar"/>
    <w:qFormat/>
    <w:rsid w:val="00BD79F0"/>
    <w:pPr>
      <w:tabs>
        <w:tab w:val="right" w:pos="1786"/>
      </w:tabs>
      <w:spacing w:before="40"/>
      <w:ind w:left="2070" w:hanging="936"/>
    </w:pPr>
  </w:style>
  <w:style w:type="character" w:customStyle="1" w:styleId="SOParaChar">
    <w:name w:val="SO Para Char"/>
    <w:aliases w:val="soa Char"/>
    <w:basedOn w:val="DefaultParagraphFont"/>
    <w:link w:val="SOPara"/>
    <w:rsid w:val="00BD79F0"/>
    <w:rPr>
      <w:sz w:val="22"/>
    </w:rPr>
  </w:style>
  <w:style w:type="paragraph" w:customStyle="1" w:styleId="FileName">
    <w:name w:val="FileName"/>
    <w:basedOn w:val="Normal"/>
    <w:rsid w:val="00BD79F0"/>
  </w:style>
  <w:style w:type="paragraph" w:customStyle="1" w:styleId="TableHeading">
    <w:name w:val="TableHeading"/>
    <w:aliases w:val="th"/>
    <w:basedOn w:val="OPCParaBase"/>
    <w:next w:val="Tabletext"/>
    <w:rsid w:val="00BD79F0"/>
    <w:pPr>
      <w:keepNext/>
      <w:spacing w:before="60" w:line="240" w:lineRule="atLeast"/>
    </w:pPr>
    <w:rPr>
      <w:b/>
      <w:sz w:val="20"/>
    </w:rPr>
  </w:style>
  <w:style w:type="paragraph" w:customStyle="1" w:styleId="SOHeadBold">
    <w:name w:val="SO HeadBold"/>
    <w:aliases w:val="sohb"/>
    <w:basedOn w:val="SOText"/>
    <w:next w:val="SOText"/>
    <w:link w:val="SOHeadBoldChar"/>
    <w:qFormat/>
    <w:rsid w:val="00BD79F0"/>
    <w:rPr>
      <w:b/>
    </w:rPr>
  </w:style>
  <w:style w:type="character" w:customStyle="1" w:styleId="SOHeadBoldChar">
    <w:name w:val="SO HeadBold Char"/>
    <w:aliases w:val="sohb Char"/>
    <w:basedOn w:val="DefaultParagraphFont"/>
    <w:link w:val="SOHeadBold"/>
    <w:rsid w:val="00BD79F0"/>
    <w:rPr>
      <w:b/>
      <w:sz w:val="22"/>
    </w:rPr>
  </w:style>
  <w:style w:type="paragraph" w:customStyle="1" w:styleId="SOHeadItalic">
    <w:name w:val="SO HeadItalic"/>
    <w:aliases w:val="sohi"/>
    <w:basedOn w:val="SOText"/>
    <w:next w:val="SOText"/>
    <w:link w:val="SOHeadItalicChar"/>
    <w:qFormat/>
    <w:rsid w:val="00BD79F0"/>
    <w:rPr>
      <w:i/>
    </w:rPr>
  </w:style>
  <w:style w:type="character" w:customStyle="1" w:styleId="SOHeadItalicChar">
    <w:name w:val="SO HeadItalic Char"/>
    <w:aliases w:val="sohi Char"/>
    <w:basedOn w:val="DefaultParagraphFont"/>
    <w:link w:val="SOHeadItalic"/>
    <w:rsid w:val="00BD79F0"/>
    <w:rPr>
      <w:i/>
      <w:sz w:val="22"/>
    </w:rPr>
  </w:style>
  <w:style w:type="paragraph" w:customStyle="1" w:styleId="SOBullet">
    <w:name w:val="SO Bullet"/>
    <w:aliases w:val="sotb"/>
    <w:basedOn w:val="SOText"/>
    <w:link w:val="SOBulletChar"/>
    <w:qFormat/>
    <w:rsid w:val="00BD79F0"/>
    <w:pPr>
      <w:ind w:left="1559" w:hanging="425"/>
    </w:pPr>
  </w:style>
  <w:style w:type="character" w:customStyle="1" w:styleId="SOBulletChar">
    <w:name w:val="SO Bullet Char"/>
    <w:aliases w:val="sotb Char"/>
    <w:basedOn w:val="DefaultParagraphFont"/>
    <w:link w:val="SOBullet"/>
    <w:rsid w:val="00BD79F0"/>
    <w:rPr>
      <w:sz w:val="22"/>
    </w:rPr>
  </w:style>
  <w:style w:type="paragraph" w:customStyle="1" w:styleId="SOBulletNote">
    <w:name w:val="SO BulletNote"/>
    <w:aliases w:val="sonb"/>
    <w:basedOn w:val="SOTextNote"/>
    <w:link w:val="SOBulletNoteChar"/>
    <w:qFormat/>
    <w:rsid w:val="00BD79F0"/>
    <w:pPr>
      <w:tabs>
        <w:tab w:val="left" w:pos="1560"/>
      </w:tabs>
      <w:ind w:left="2268" w:hanging="1134"/>
    </w:pPr>
  </w:style>
  <w:style w:type="character" w:customStyle="1" w:styleId="SOBulletNoteChar">
    <w:name w:val="SO BulletNote Char"/>
    <w:aliases w:val="sonb Char"/>
    <w:basedOn w:val="DefaultParagraphFont"/>
    <w:link w:val="SOBulletNote"/>
    <w:rsid w:val="00BD79F0"/>
    <w:rPr>
      <w:sz w:val="18"/>
    </w:rPr>
  </w:style>
  <w:style w:type="paragraph" w:customStyle="1" w:styleId="SOText2">
    <w:name w:val="SO Text2"/>
    <w:aliases w:val="sot2"/>
    <w:basedOn w:val="Normal"/>
    <w:next w:val="SOText"/>
    <w:link w:val="SOText2Char"/>
    <w:rsid w:val="00BD79F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79F0"/>
    <w:rPr>
      <w:sz w:val="22"/>
    </w:rPr>
  </w:style>
  <w:style w:type="paragraph" w:customStyle="1" w:styleId="SubPartCASA">
    <w:name w:val="SubPart(CASA)"/>
    <w:aliases w:val="csp"/>
    <w:basedOn w:val="OPCParaBase"/>
    <w:next w:val="ActHead3"/>
    <w:rsid w:val="00BD79F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107A2"/>
    <w:rPr>
      <w:rFonts w:eastAsia="Times New Roman" w:cs="Times New Roman"/>
      <w:sz w:val="22"/>
      <w:lang w:eastAsia="en-AU"/>
    </w:rPr>
  </w:style>
  <w:style w:type="character" w:customStyle="1" w:styleId="notetextChar">
    <w:name w:val="note(text) Char"/>
    <w:aliases w:val="n Char"/>
    <w:basedOn w:val="DefaultParagraphFont"/>
    <w:link w:val="notetext"/>
    <w:rsid w:val="00B107A2"/>
    <w:rPr>
      <w:rFonts w:eastAsia="Times New Roman" w:cs="Times New Roman"/>
      <w:sz w:val="18"/>
      <w:lang w:eastAsia="en-AU"/>
    </w:rPr>
  </w:style>
  <w:style w:type="character" w:customStyle="1" w:styleId="Heading1Char">
    <w:name w:val="Heading 1 Char"/>
    <w:basedOn w:val="DefaultParagraphFont"/>
    <w:link w:val="Heading1"/>
    <w:uiPriority w:val="9"/>
    <w:rsid w:val="00B107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107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07A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107A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107A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107A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107A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107A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107A2"/>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CB2CF3"/>
    <w:pPr>
      <w:spacing w:after="200" w:line="276" w:lineRule="auto"/>
      <w:ind w:left="720"/>
      <w:contextualSpacing/>
    </w:pPr>
    <w:rPr>
      <w:rFonts w:asciiTheme="minorHAnsi"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79F0"/>
    <w:pPr>
      <w:spacing w:line="260" w:lineRule="atLeast"/>
    </w:pPr>
    <w:rPr>
      <w:sz w:val="22"/>
    </w:rPr>
  </w:style>
  <w:style w:type="paragraph" w:styleId="Heading1">
    <w:name w:val="heading 1"/>
    <w:basedOn w:val="Normal"/>
    <w:next w:val="Normal"/>
    <w:link w:val="Heading1Char"/>
    <w:uiPriority w:val="9"/>
    <w:qFormat/>
    <w:rsid w:val="00B107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107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07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07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07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07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0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07A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107A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79F0"/>
  </w:style>
  <w:style w:type="paragraph" w:customStyle="1" w:styleId="OPCParaBase">
    <w:name w:val="OPCParaBase"/>
    <w:qFormat/>
    <w:rsid w:val="00BD79F0"/>
    <w:pPr>
      <w:spacing w:line="260" w:lineRule="atLeast"/>
    </w:pPr>
    <w:rPr>
      <w:rFonts w:eastAsia="Times New Roman" w:cs="Times New Roman"/>
      <w:sz w:val="22"/>
      <w:lang w:eastAsia="en-AU"/>
    </w:rPr>
  </w:style>
  <w:style w:type="paragraph" w:customStyle="1" w:styleId="ShortT">
    <w:name w:val="ShortT"/>
    <w:basedOn w:val="OPCParaBase"/>
    <w:next w:val="Normal"/>
    <w:qFormat/>
    <w:rsid w:val="00BD79F0"/>
    <w:pPr>
      <w:spacing w:line="240" w:lineRule="auto"/>
    </w:pPr>
    <w:rPr>
      <w:b/>
      <w:sz w:val="40"/>
    </w:rPr>
  </w:style>
  <w:style w:type="paragraph" w:customStyle="1" w:styleId="ActHead1">
    <w:name w:val="ActHead 1"/>
    <w:aliases w:val="c"/>
    <w:basedOn w:val="OPCParaBase"/>
    <w:next w:val="Normal"/>
    <w:qFormat/>
    <w:rsid w:val="00BD79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79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79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79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D79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79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79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79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79F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D79F0"/>
  </w:style>
  <w:style w:type="paragraph" w:customStyle="1" w:styleId="Blocks">
    <w:name w:val="Blocks"/>
    <w:aliases w:val="bb"/>
    <w:basedOn w:val="OPCParaBase"/>
    <w:qFormat/>
    <w:rsid w:val="00BD79F0"/>
    <w:pPr>
      <w:spacing w:line="240" w:lineRule="auto"/>
    </w:pPr>
    <w:rPr>
      <w:sz w:val="24"/>
    </w:rPr>
  </w:style>
  <w:style w:type="paragraph" w:customStyle="1" w:styleId="BoxText">
    <w:name w:val="BoxText"/>
    <w:aliases w:val="bt"/>
    <w:basedOn w:val="OPCParaBase"/>
    <w:qFormat/>
    <w:rsid w:val="00BD79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79F0"/>
    <w:rPr>
      <w:b/>
    </w:rPr>
  </w:style>
  <w:style w:type="paragraph" w:customStyle="1" w:styleId="BoxHeadItalic">
    <w:name w:val="BoxHeadItalic"/>
    <w:aliases w:val="bhi"/>
    <w:basedOn w:val="BoxText"/>
    <w:next w:val="BoxStep"/>
    <w:qFormat/>
    <w:rsid w:val="00BD79F0"/>
    <w:rPr>
      <w:i/>
    </w:rPr>
  </w:style>
  <w:style w:type="paragraph" w:customStyle="1" w:styleId="BoxList">
    <w:name w:val="BoxList"/>
    <w:aliases w:val="bl"/>
    <w:basedOn w:val="BoxText"/>
    <w:qFormat/>
    <w:rsid w:val="00BD79F0"/>
    <w:pPr>
      <w:ind w:left="1559" w:hanging="425"/>
    </w:pPr>
  </w:style>
  <w:style w:type="paragraph" w:customStyle="1" w:styleId="BoxNote">
    <w:name w:val="BoxNote"/>
    <w:aliases w:val="bn"/>
    <w:basedOn w:val="BoxText"/>
    <w:qFormat/>
    <w:rsid w:val="00BD79F0"/>
    <w:pPr>
      <w:tabs>
        <w:tab w:val="left" w:pos="1985"/>
      </w:tabs>
      <w:spacing w:before="122" w:line="198" w:lineRule="exact"/>
      <w:ind w:left="2948" w:hanging="1814"/>
    </w:pPr>
    <w:rPr>
      <w:sz w:val="18"/>
    </w:rPr>
  </w:style>
  <w:style w:type="paragraph" w:customStyle="1" w:styleId="BoxPara">
    <w:name w:val="BoxPara"/>
    <w:aliases w:val="bp"/>
    <w:basedOn w:val="BoxText"/>
    <w:qFormat/>
    <w:rsid w:val="00BD79F0"/>
    <w:pPr>
      <w:tabs>
        <w:tab w:val="right" w:pos="2268"/>
      </w:tabs>
      <w:ind w:left="2552" w:hanging="1418"/>
    </w:pPr>
  </w:style>
  <w:style w:type="paragraph" w:customStyle="1" w:styleId="BoxStep">
    <w:name w:val="BoxStep"/>
    <w:aliases w:val="bs"/>
    <w:basedOn w:val="BoxText"/>
    <w:qFormat/>
    <w:rsid w:val="00BD79F0"/>
    <w:pPr>
      <w:ind w:left="1985" w:hanging="851"/>
    </w:pPr>
  </w:style>
  <w:style w:type="character" w:customStyle="1" w:styleId="CharAmPartNo">
    <w:name w:val="CharAmPartNo"/>
    <w:basedOn w:val="OPCCharBase"/>
    <w:qFormat/>
    <w:rsid w:val="00BD79F0"/>
  </w:style>
  <w:style w:type="character" w:customStyle="1" w:styleId="CharAmPartText">
    <w:name w:val="CharAmPartText"/>
    <w:basedOn w:val="OPCCharBase"/>
    <w:qFormat/>
    <w:rsid w:val="00BD79F0"/>
  </w:style>
  <w:style w:type="character" w:customStyle="1" w:styleId="CharAmSchNo">
    <w:name w:val="CharAmSchNo"/>
    <w:basedOn w:val="OPCCharBase"/>
    <w:qFormat/>
    <w:rsid w:val="00BD79F0"/>
  </w:style>
  <w:style w:type="character" w:customStyle="1" w:styleId="CharAmSchText">
    <w:name w:val="CharAmSchText"/>
    <w:basedOn w:val="OPCCharBase"/>
    <w:qFormat/>
    <w:rsid w:val="00BD79F0"/>
  </w:style>
  <w:style w:type="character" w:customStyle="1" w:styleId="CharBoldItalic">
    <w:name w:val="CharBoldItalic"/>
    <w:basedOn w:val="OPCCharBase"/>
    <w:uiPriority w:val="1"/>
    <w:qFormat/>
    <w:rsid w:val="00BD79F0"/>
    <w:rPr>
      <w:b/>
      <w:i/>
    </w:rPr>
  </w:style>
  <w:style w:type="character" w:customStyle="1" w:styleId="CharChapNo">
    <w:name w:val="CharChapNo"/>
    <w:basedOn w:val="OPCCharBase"/>
    <w:uiPriority w:val="1"/>
    <w:qFormat/>
    <w:rsid w:val="00BD79F0"/>
  </w:style>
  <w:style w:type="character" w:customStyle="1" w:styleId="CharChapText">
    <w:name w:val="CharChapText"/>
    <w:basedOn w:val="OPCCharBase"/>
    <w:uiPriority w:val="1"/>
    <w:qFormat/>
    <w:rsid w:val="00BD79F0"/>
  </w:style>
  <w:style w:type="character" w:customStyle="1" w:styleId="CharDivNo">
    <w:name w:val="CharDivNo"/>
    <w:basedOn w:val="OPCCharBase"/>
    <w:uiPriority w:val="1"/>
    <w:qFormat/>
    <w:rsid w:val="00BD79F0"/>
  </w:style>
  <w:style w:type="character" w:customStyle="1" w:styleId="CharDivText">
    <w:name w:val="CharDivText"/>
    <w:basedOn w:val="OPCCharBase"/>
    <w:uiPriority w:val="1"/>
    <w:qFormat/>
    <w:rsid w:val="00BD79F0"/>
  </w:style>
  <w:style w:type="character" w:customStyle="1" w:styleId="CharItalic">
    <w:name w:val="CharItalic"/>
    <w:basedOn w:val="OPCCharBase"/>
    <w:uiPriority w:val="1"/>
    <w:qFormat/>
    <w:rsid w:val="00BD79F0"/>
    <w:rPr>
      <w:i/>
    </w:rPr>
  </w:style>
  <w:style w:type="character" w:customStyle="1" w:styleId="CharPartNo">
    <w:name w:val="CharPartNo"/>
    <w:basedOn w:val="OPCCharBase"/>
    <w:uiPriority w:val="1"/>
    <w:qFormat/>
    <w:rsid w:val="00BD79F0"/>
  </w:style>
  <w:style w:type="character" w:customStyle="1" w:styleId="CharPartText">
    <w:name w:val="CharPartText"/>
    <w:basedOn w:val="OPCCharBase"/>
    <w:uiPriority w:val="1"/>
    <w:qFormat/>
    <w:rsid w:val="00BD79F0"/>
  </w:style>
  <w:style w:type="character" w:customStyle="1" w:styleId="CharSectno">
    <w:name w:val="CharSectno"/>
    <w:basedOn w:val="OPCCharBase"/>
    <w:qFormat/>
    <w:rsid w:val="00BD79F0"/>
  </w:style>
  <w:style w:type="character" w:customStyle="1" w:styleId="CharSubdNo">
    <w:name w:val="CharSubdNo"/>
    <w:basedOn w:val="OPCCharBase"/>
    <w:uiPriority w:val="1"/>
    <w:qFormat/>
    <w:rsid w:val="00BD79F0"/>
  </w:style>
  <w:style w:type="character" w:customStyle="1" w:styleId="CharSubdText">
    <w:name w:val="CharSubdText"/>
    <w:basedOn w:val="OPCCharBase"/>
    <w:uiPriority w:val="1"/>
    <w:qFormat/>
    <w:rsid w:val="00BD79F0"/>
  </w:style>
  <w:style w:type="paragraph" w:customStyle="1" w:styleId="CTA--">
    <w:name w:val="CTA --"/>
    <w:basedOn w:val="OPCParaBase"/>
    <w:next w:val="Normal"/>
    <w:rsid w:val="00BD79F0"/>
    <w:pPr>
      <w:spacing w:before="60" w:line="240" w:lineRule="atLeast"/>
      <w:ind w:left="142" w:hanging="142"/>
    </w:pPr>
    <w:rPr>
      <w:sz w:val="20"/>
    </w:rPr>
  </w:style>
  <w:style w:type="paragraph" w:customStyle="1" w:styleId="CTA-">
    <w:name w:val="CTA -"/>
    <w:basedOn w:val="OPCParaBase"/>
    <w:rsid w:val="00BD79F0"/>
    <w:pPr>
      <w:spacing w:before="60" w:line="240" w:lineRule="atLeast"/>
      <w:ind w:left="85" w:hanging="85"/>
    </w:pPr>
    <w:rPr>
      <w:sz w:val="20"/>
    </w:rPr>
  </w:style>
  <w:style w:type="paragraph" w:customStyle="1" w:styleId="CTA---">
    <w:name w:val="CTA ---"/>
    <w:basedOn w:val="OPCParaBase"/>
    <w:next w:val="Normal"/>
    <w:rsid w:val="00BD79F0"/>
    <w:pPr>
      <w:spacing w:before="60" w:line="240" w:lineRule="atLeast"/>
      <w:ind w:left="198" w:hanging="198"/>
    </w:pPr>
    <w:rPr>
      <w:sz w:val="20"/>
    </w:rPr>
  </w:style>
  <w:style w:type="paragraph" w:customStyle="1" w:styleId="CTA----">
    <w:name w:val="CTA ----"/>
    <w:basedOn w:val="OPCParaBase"/>
    <w:next w:val="Normal"/>
    <w:rsid w:val="00BD79F0"/>
    <w:pPr>
      <w:spacing w:before="60" w:line="240" w:lineRule="atLeast"/>
      <w:ind w:left="255" w:hanging="255"/>
    </w:pPr>
    <w:rPr>
      <w:sz w:val="20"/>
    </w:rPr>
  </w:style>
  <w:style w:type="paragraph" w:customStyle="1" w:styleId="CTA1a">
    <w:name w:val="CTA 1(a)"/>
    <w:basedOn w:val="OPCParaBase"/>
    <w:rsid w:val="00BD79F0"/>
    <w:pPr>
      <w:tabs>
        <w:tab w:val="right" w:pos="414"/>
      </w:tabs>
      <w:spacing w:before="40" w:line="240" w:lineRule="atLeast"/>
      <w:ind w:left="675" w:hanging="675"/>
    </w:pPr>
    <w:rPr>
      <w:sz w:val="20"/>
    </w:rPr>
  </w:style>
  <w:style w:type="paragraph" w:customStyle="1" w:styleId="CTA1ai">
    <w:name w:val="CTA 1(a)(i)"/>
    <w:basedOn w:val="OPCParaBase"/>
    <w:rsid w:val="00BD79F0"/>
    <w:pPr>
      <w:tabs>
        <w:tab w:val="right" w:pos="1004"/>
      </w:tabs>
      <w:spacing w:before="40" w:line="240" w:lineRule="atLeast"/>
      <w:ind w:left="1253" w:hanging="1253"/>
    </w:pPr>
    <w:rPr>
      <w:sz w:val="20"/>
    </w:rPr>
  </w:style>
  <w:style w:type="paragraph" w:customStyle="1" w:styleId="CTA2a">
    <w:name w:val="CTA 2(a)"/>
    <w:basedOn w:val="OPCParaBase"/>
    <w:rsid w:val="00BD79F0"/>
    <w:pPr>
      <w:tabs>
        <w:tab w:val="right" w:pos="482"/>
      </w:tabs>
      <w:spacing w:before="40" w:line="240" w:lineRule="atLeast"/>
      <w:ind w:left="748" w:hanging="748"/>
    </w:pPr>
    <w:rPr>
      <w:sz w:val="20"/>
    </w:rPr>
  </w:style>
  <w:style w:type="paragraph" w:customStyle="1" w:styleId="CTA2ai">
    <w:name w:val="CTA 2(a)(i)"/>
    <w:basedOn w:val="OPCParaBase"/>
    <w:rsid w:val="00BD79F0"/>
    <w:pPr>
      <w:tabs>
        <w:tab w:val="right" w:pos="1089"/>
      </w:tabs>
      <w:spacing w:before="40" w:line="240" w:lineRule="atLeast"/>
      <w:ind w:left="1327" w:hanging="1327"/>
    </w:pPr>
    <w:rPr>
      <w:sz w:val="20"/>
    </w:rPr>
  </w:style>
  <w:style w:type="paragraph" w:customStyle="1" w:styleId="CTA3a">
    <w:name w:val="CTA 3(a)"/>
    <w:basedOn w:val="OPCParaBase"/>
    <w:rsid w:val="00BD79F0"/>
    <w:pPr>
      <w:tabs>
        <w:tab w:val="right" w:pos="556"/>
      </w:tabs>
      <w:spacing w:before="40" w:line="240" w:lineRule="atLeast"/>
      <w:ind w:left="805" w:hanging="805"/>
    </w:pPr>
    <w:rPr>
      <w:sz w:val="20"/>
    </w:rPr>
  </w:style>
  <w:style w:type="paragraph" w:customStyle="1" w:styleId="CTA3ai">
    <w:name w:val="CTA 3(a)(i)"/>
    <w:basedOn w:val="OPCParaBase"/>
    <w:rsid w:val="00BD79F0"/>
    <w:pPr>
      <w:tabs>
        <w:tab w:val="right" w:pos="1140"/>
      </w:tabs>
      <w:spacing w:before="40" w:line="240" w:lineRule="atLeast"/>
      <w:ind w:left="1361" w:hanging="1361"/>
    </w:pPr>
    <w:rPr>
      <w:sz w:val="20"/>
    </w:rPr>
  </w:style>
  <w:style w:type="paragraph" w:customStyle="1" w:styleId="CTA4a">
    <w:name w:val="CTA 4(a)"/>
    <w:basedOn w:val="OPCParaBase"/>
    <w:rsid w:val="00BD79F0"/>
    <w:pPr>
      <w:tabs>
        <w:tab w:val="right" w:pos="624"/>
      </w:tabs>
      <w:spacing w:before="40" w:line="240" w:lineRule="atLeast"/>
      <w:ind w:left="873" w:hanging="873"/>
    </w:pPr>
    <w:rPr>
      <w:sz w:val="20"/>
    </w:rPr>
  </w:style>
  <w:style w:type="paragraph" w:customStyle="1" w:styleId="CTA4ai">
    <w:name w:val="CTA 4(a)(i)"/>
    <w:basedOn w:val="OPCParaBase"/>
    <w:rsid w:val="00BD79F0"/>
    <w:pPr>
      <w:tabs>
        <w:tab w:val="right" w:pos="1213"/>
      </w:tabs>
      <w:spacing w:before="40" w:line="240" w:lineRule="atLeast"/>
      <w:ind w:left="1452" w:hanging="1452"/>
    </w:pPr>
    <w:rPr>
      <w:sz w:val="20"/>
    </w:rPr>
  </w:style>
  <w:style w:type="paragraph" w:customStyle="1" w:styleId="CTACAPS">
    <w:name w:val="CTA CAPS"/>
    <w:basedOn w:val="OPCParaBase"/>
    <w:rsid w:val="00BD79F0"/>
    <w:pPr>
      <w:spacing w:before="60" w:line="240" w:lineRule="atLeast"/>
    </w:pPr>
    <w:rPr>
      <w:sz w:val="20"/>
    </w:rPr>
  </w:style>
  <w:style w:type="paragraph" w:customStyle="1" w:styleId="CTAright">
    <w:name w:val="CTA right"/>
    <w:basedOn w:val="OPCParaBase"/>
    <w:rsid w:val="00BD79F0"/>
    <w:pPr>
      <w:spacing w:before="60" w:line="240" w:lineRule="auto"/>
      <w:jc w:val="right"/>
    </w:pPr>
    <w:rPr>
      <w:sz w:val="20"/>
    </w:rPr>
  </w:style>
  <w:style w:type="paragraph" w:customStyle="1" w:styleId="subsection">
    <w:name w:val="subsection"/>
    <w:aliases w:val="ss"/>
    <w:basedOn w:val="OPCParaBase"/>
    <w:link w:val="subsectionChar"/>
    <w:rsid w:val="00BD79F0"/>
    <w:pPr>
      <w:tabs>
        <w:tab w:val="right" w:pos="1021"/>
      </w:tabs>
      <w:spacing w:before="180" w:line="240" w:lineRule="auto"/>
      <w:ind w:left="1134" w:hanging="1134"/>
    </w:pPr>
  </w:style>
  <w:style w:type="paragraph" w:customStyle="1" w:styleId="Definition">
    <w:name w:val="Definition"/>
    <w:aliases w:val="dd"/>
    <w:basedOn w:val="OPCParaBase"/>
    <w:rsid w:val="00BD79F0"/>
    <w:pPr>
      <w:spacing w:before="180" w:line="240" w:lineRule="auto"/>
      <w:ind w:left="1134"/>
    </w:pPr>
  </w:style>
  <w:style w:type="paragraph" w:customStyle="1" w:styleId="ETAsubitem">
    <w:name w:val="ETA(subitem)"/>
    <w:basedOn w:val="OPCParaBase"/>
    <w:rsid w:val="00BD79F0"/>
    <w:pPr>
      <w:tabs>
        <w:tab w:val="right" w:pos="340"/>
      </w:tabs>
      <w:spacing w:before="60" w:line="240" w:lineRule="auto"/>
      <w:ind w:left="454" w:hanging="454"/>
    </w:pPr>
    <w:rPr>
      <w:sz w:val="20"/>
    </w:rPr>
  </w:style>
  <w:style w:type="paragraph" w:customStyle="1" w:styleId="ETApara">
    <w:name w:val="ETA(para)"/>
    <w:basedOn w:val="OPCParaBase"/>
    <w:rsid w:val="00BD79F0"/>
    <w:pPr>
      <w:tabs>
        <w:tab w:val="right" w:pos="754"/>
      </w:tabs>
      <w:spacing w:before="60" w:line="240" w:lineRule="auto"/>
      <w:ind w:left="828" w:hanging="828"/>
    </w:pPr>
    <w:rPr>
      <w:sz w:val="20"/>
    </w:rPr>
  </w:style>
  <w:style w:type="paragraph" w:customStyle="1" w:styleId="ETAsubpara">
    <w:name w:val="ETA(subpara)"/>
    <w:basedOn w:val="OPCParaBase"/>
    <w:rsid w:val="00BD79F0"/>
    <w:pPr>
      <w:tabs>
        <w:tab w:val="right" w:pos="1083"/>
      </w:tabs>
      <w:spacing w:before="60" w:line="240" w:lineRule="auto"/>
      <w:ind w:left="1191" w:hanging="1191"/>
    </w:pPr>
    <w:rPr>
      <w:sz w:val="20"/>
    </w:rPr>
  </w:style>
  <w:style w:type="paragraph" w:customStyle="1" w:styleId="ETAsub-subpara">
    <w:name w:val="ETA(sub-subpara)"/>
    <w:basedOn w:val="OPCParaBase"/>
    <w:rsid w:val="00BD79F0"/>
    <w:pPr>
      <w:tabs>
        <w:tab w:val="right" w:pos="1412"/>
      </w:tabs>
      <w:spacing w:before="60" w:line="240" w:lineRule="auto"/>
      <w:ind w:left="1525" w:hanging="1525"/>
    </w:pPr>
    <w:rPr>
      <w:sz w:val="20"/>
    </w:rPr>
  </w:style>
  <w:style w:type="paragraph" w:customStyle="1" w:styleId="Formula">
    <w:name w:val="Formula"/>
    <w:basedOn w:val="OPCParaBase"/>
    <w:rsid w:val="00BD79F0"/>
    <w:pPr>
      <w:spacing w:line="240" w:lineRule="auto"/>
      <w:ind w:left="1134"/>
    </w:pPr>
    <w:rPr>
      <w:sz w:val="20"/>
    </w:rPr>
  </w:style>
  <w:style w:type="paragraph" w:styleId="Header">
    <w:name w:val="header"/>
    <w:basedOn w:val="OPCParaBase"/>
    <w:link w:val="HeaderChar"/>
    <w:unhideWhenUsed/>
    <w:rsid w:val="00BD79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79F0"/>
    <w:rPr>
      <w:rFonts w:eastAsia="Times New Roman" w:cs="Times New Roman"/>
      <w:sz w:val="16"/>
      <w:lang w:eastAsia="en-AU"/>
    </w:rPr>
  </w:style>
  <w:style w:type="paragraph" w:customStyle="1" w:styleId="House">
    <w:name w:val="House"/>
    <w:basedOn w:val="OPCParaBase"/>
    <w:rsid w:val="00BD79F0"/>
    <w:pPr>
      <w:spacing w:line="240" w:lineRule="auto"/>
    </w:pPr>
    <w:rPr>
      <w:sz w:val="28"/>
    </w:rPr>
  </w:style>
  <w:style w:type="paragraph" w:customStyle="1" w:styleId="Item">
    <w:name w:val="Item"/>
    <w:aliases w:val="i"/>
    <w:basedOn w:val="OPCParaBase"/>
    <w:next w:val="ItemHead"/>
    <w:rsid w:val="00BD79F0"/>
    <w:pPr>
      <w:keepLines/>
      <w:spacing w:before="80" w:line="240" w:lineRule="auto"/>
      <w:ind w:left="709"/>
    </w:pPr>
  </w:style>
  <w:style w:type="paragraph" w:customStyle="1" w:styleId="ItemHead">
    <w:name w:val="ItemHead"/>
    <w:aliases w:val="ih"/>
    <w:basedOn w:val="OPCParaBase"/>
    <w:next w:val="Item"/>
    <w:rsid w:val="00BD79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79F0"/>
    <w:pPr>
      <w:spacing w:line="240" w:lineRule="auto"/>
    </w:pPr>
    <w:rPr>
      <w:b/>
      <w:sz w:val="32"/>
    </w:rPr>
  </w:style>
  <w:style w:type="paragraph" w:customStyle="1" w:styleId="notedraft">
    <w:name w:val="note(draft)"/>
    <w:aliases w:val="nd"/>
    <w:basedOn w:val="OPCParaBase"/>
    <w:rsid w:val="00BD79F0"/>
    <w:pPr>
      <w:spacing w:before="240" w:line="240" w:lineRule="auto"/>
      <w:ind w:left="284" w:hanging="284"/>
    </w:pPr>
    <w:rPr>
      <w:i/>
      <w:sz w:val="24"/>
    </w:rPr>
  </w:style>
  <w:style w:type="paragraph" w:customStyle="1" w:styleId="notemargin">
    <w:name w:val="note(margin)"/>
    <w:aliases w:val="nm"/>
    <w:basedOn w:val="OPCParaBase"/>
    <w:rsid w:val="00BD79F0"/>
    <w:pPr>
      <w:tabs>
        <w:tab w:val="left" w:pos="709"/>
      </w:tabs>
      <w:spacing w:before="122" w:line="198" w:lineRule="exact"/>
      <w:ind w:left="709" w:hanging="709"/>
    </w:pPr>
    <w:rPr>
      <w:sz w:val="18"/>
    </w:rPr>
  </w:style>
  <w:style w:type="paragraph" w:customStyle="1" w:styleId="noteToPara">
    <w:name w:val="noteToPara"/>
    <w:aliases w:val="ntp"/>
    <w:basedOn w:val="OPCParaBase"/>
    <w:rsid w:val="00BD79F0"/>
    <w:pPr>
      <w:spacing w:before="122" w:line="198" w:lineRule="exact"/>
      <w:ind w:left="2353" w:hanging="709"/>
    </w:pPr>
    <w:rPr>
      <w:sz w:val="18"/>
    </w:rPr>
  </w:style>
  <w:style w:type="paragraph" w:customStyle="1" w:styleId="noteParlAmend">
    <w:name w:val="note(ParlAmend)"/>
    <w:aliases w:val="npp"/>
    <w:basedOn w:val="OPCParaBase"/>
    <w:next w:val="ParlAmend"/>
    <w:rsid w:val="00BD79F0"/>
    <w:pPr>
      <w:spacing w:line="240" w:lineRule="auto"/>
      <w:jc w:val="right"/>
    </w:pPr>
    <w:rPr>
      <w:rFonts w:ascii="Arial" w:hAnsi="Arial"/>
      <w:b/>
      <w:i/>
    </w:rPr>
  </w:style>
  <w:style w:type="paragraph" w:customStyle="1" w:styleId="Page1">
    <w:name w:val="Page1"/>
    <w:basedOn w:val="OPCParaBase"/>
    <w:rsid w:val="00BD79F0"/>
    <w:pPr>
      <w:spacing w:before="5600" w:line="240" w:lineRule="auto"/>
    </w:pPr>
    <w:rPr>
      <w:b/>
      <w:sz w:val="32"/>
    </w:rPr>
  </w:style>
  <w:style w:type="paragraph" w:customStyle="1" w:styleId="PageBreak">
    <w:name w:val="PageBreak"/>
    <w:aliases w:val="pb"/>
    <w:basedOn w:val="OPCParaBase"/>
    <w:rsid w:val="00BD79F0"/>
    <w:pPr>
      <w:spacing w:line="240" w:lineRule="auto"/>
    </w:pPr>
    <w:rPr>
      <w:sz w:val="20"/>
    </w:rPr>
  </w:style>
  <w:style w:type="paragraph" w:customStyle="1" w:styleId="paragraphsub">
    <w:name w:val="paragraph(sub)"/>
    <w:aliases w:val="aa"/>
    <w:basedOn w:val="OPCParaBase"/>
    <w:rsid w:val="00BD79F0"/>
    <w:pPr>
      <w:tabs>
        <w:tab w:val="right" w:pos="1985"/>
      </w:tabs>
      <w:spacing w:before="40" w:line="240" w:lineRule="auto"/>
      <w:ind w:left="2098" w:hanging="2098"/>
    </w:pPr>
  </w:style>
  <w:style w:type="paragraph" w:customStyle="1" w:styleId="paragraphsub-sub">
    <w:name w:val="paragraph(sub-sub)"/>
    <w:aliases w:val="aaa"/>
    <w:basedOn w:val="OPCParaBase"/>
    <w:rsid w:val="00BD79F0"/>
    <w:pPr>
      <w:tabs>
        <w:tab w:val="right" w:pos="2722"/>
      </w:tabs>
      <w:spacing w:before="40" w:line="240" w:lineRule="auto"/>
      <w:ind w:left="2835" w:hanging="2835"/>
    </w:pPr>
  </w:style>
  <w:style w:type="paragraph" w:customStyle="1" w:styleId="paragraph">
    <w:name w:val="paragraph"/>
    <w:aliases w:val="a"/>
    <w:basedOn w:val="OPCParaBase"/>
    <w:rsid w:val="00BD79F0"/>
    <w:pPr>
      <w:tabs>
        <w:tab w:val="right" w:pos="1531"/>
      </w:tabs>
      <w:spacing w:before="40" w:line="240" w:lineRule="auto"/>
      <w:ind w:left="1644" w:hanging="1644"/>
    </w:pPr>
  </w:style>
  <w:style w:type="paragraph" w:customStyle="1" w:styleId="ParlAmend">
    <w:name w:val="ParlAmend"/>
    <w:aliases w:val="pp"/>
    <w:basedOn w:val="OPCParaBase"/>
    <w:rsid w:val="00BD79F0"/>
    <w:pPr>
      <w:spacing w:before="240" w:line="240" w:lineRule="atLeast"/>
      <w:ind w:hanging="567"/>
    </w:pPr>
    <w:rPr>
      <w:sz w:val="24"/>
    </w:rPr>
  </w:style>
  <w:style w:type="paragraph" w:customStyle="1" w:styleId="Penalty">
    <w:name w:val="Penalty"/>
    <w:basedOn w:val="OPCParaBase"/>
    <w:rsid w:val="00BD79F0"/>
    <w:pPr>
      <w:tabs>
        <w:tab w:val="left" w:pos="2977"/>
      </w:tabs>
      <w:spacing w:before="180" w:line="240" w:lineRule="auto"/>
      <w:ind w:left="1985" w:hanging="851"/>
    </w:pPr>
  </w:style>
  <w:style w:type="paragraph" w:customStyle="1" w:styleId="Portfolio">
    <w:name w:val="Portfolio"/>
    <w:basedOn w:val="OPCParaBase"/>
    <w:rsid w:val="00BD79F0"/>
    <w:pPr>
      <w:spacing w:line="240" w:lineRule="auto"/>
    </w:pPr>
    <w:rPr>
      <w:i/>
      <w:sz w:val="20"/>
    </w:rPr>
  </w:style>
  <w:style w:type="paragraph" w:customStyle="1" w:styleId="Preamble">
    <w:name w:val="Preamble"/>
    <w:basedOn w:val="OPCParaBase"/>
    <w:next w:val="Normal"/>
    <w:rsid w:val="00BD79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79F0"/>
    <w:pPr>
      <w:spacing w:line="240" w:lineRule="auto"/>
    </w:pPr>
    <w:rPr>
      <w:i/>
      <w:sz w:val="20"/>
    </w:rPr>
  </w:style>
  <w:style w:type="paragraph" w:customStyle="1" w:styleId="Session">
    <w:name w:val="Session"/>
    <w:basedOn w:val="OPCParaBase"/>
    <w:rsid w:val="00BD79F0"/>
    <w:pPr>
      <w:spacing w:line="240" w:lineRule="auto"/>
    </w:pPr>
    <w:rPr>
      <w:sz w:val="28"/>
    </w:rPr>
  </w:style>
  <w:style w:type="paragraph" w:customStyle="1" w:styleId="Sponsor">
    <w:name w:val="Sponsor"/>
    <w:basedOn w:val="OPCParaBase"/>
    <w:rsid w:val="00BD79F0"/>
    <w:pPr>
      <w:spacing w:line="240" w:lineRule="auto"/>
    </w:pPr>
    <w:rPr>
      <w:i/>
    </w:rPr>
  </w:style>
  <w:style w:type="paragraph" w:customStyle="1" w:styleId="Subitem">
    <w:name w:val="Subitem"/>
    <w:aliases w:val="iss"/>
    <w:basedOn w:val="OPCParaBase"/>
    <w:rsid w:val="00BD79F0"/>
    <w:pPr>
      <w:spacing w:before="180" w:line="240" w:lineRule="auto"/>
      <w:ind w:left="709" w:hanging="709"/>
    </w:pPr>
  </w:style>
  <w:style w:type="paragraph" w:customStyle="1" w:styleId="SubitemHead">
    <w:name w:val="SubitemHead"/>
    <w:aliases w:val="issh"/>
    <w:basedOn w:val="OPCParaBase"/>
    <w:rsid w:val="00BD79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79F0"/>
    <w:pPr>
      <w:spacing w:before="40" w:line="240" w:lineRule="auto"/>
      <w:ind w:left="1134"/>
    </w:pPr>
  </w:style>
  <w:style w:type="paragraph" w:customStyle="1" w:styleId="SubsectionHead">
    <w:name w:val="SubsectionHead"/>
    <w:aliases w:val="ssh"/>
    <w:basedOn w:val="OPCParaBase"/>
    <w:next w:val="subsection"/>
    <w:rsid w:val="00BD79F0"/>
    <w:pPr>
      <w:keepNext/>
      <w:keepLines/>
      <w:spacing w:before="240" w:line="240" w:lineRule="auto"/>
      <w:ind w:left="1134"/>
    </w:pPr>
    <w:rPr>
      <w:i/>
    </w:rPr>
  </w:style>
  <w:style w:type="paragraph" w:customStyle="1" w:styleId="Tablea">
    <w:name w:val="Table(a)"/>
    <w:aliases w:val="ta"/>
    <w:basedOn w:val="OPCParaBase"/>
    <w:rsid w:val="00BD79F0"/>
    <w:pPr>
      <w:spacing w:before="60" w:line="240" w:lineRule="auto"/>
      <w:ind w:left="284" w:hanging="284"/>
    </w:pPr>
    <w:rPr>
      <w:sz w:val="20"/>
    </w:rPr>
  </w:style>
  <w:style w:type="paragraph" w:customStyle="1" w:styleId="TableAA">
    <w:name w:val="Table(AA)"/>
    <w:aliases w:val="taaa"/>
    <w:basedOn w:val="OPCParaBase"/>
    <w:rsid w:val="00BD79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79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79F0"/>
    <w:pPr>
      <w:spacing w:before="60" w:line="240" w:lineRule="atLeast"/>
    </w:pPr>
    <w:rPr>
      <w:sz w:val="20"/>
    </w:rPr>
  </w:style>
  <w:style w:type="paragraph" w:customStyle="1" w:styleId="TLPBoxTextnote">
    <w:name w:val="TLPBoxText(note"/>
    <w:aliases w:val="right)"/>
    <w:basedOn w:val="OPCParaBase"/>
    <w:rsid w:val="00BD79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79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79F0"/>
    <w:pPr>
      <w:spacing w:before="122" w:line="198" w:lineRule="exact"/>
      <w:ind w:left="1985" w:hanging="851"/>
      <w:jc w:val="right"/>
    </w:pPr>
    <w:rPr>
      <w:sz w:val="18"/>
    </w:rPr>
  </w:style>
  <w:style w:type="paragraph" w:customStyle="1" w:styleId="TLPTableBullet">
    <w:name w:val="TLPTableBullet"/>
    <w:aliases w:val="ttb"/>
    <w:basedOn w:val="OPCParaBase"/>
    <w:rsid w:val="00BD79F0"/>
    <w:pPr>
      <w:spacing w:line="240" w:lineRule="exact"/>
      <w:ind w:left="284" w:hanging="284"/>
    </w:pPr>
    <w:rPr>
      <w:sz w:val="20"/>
    </w:rPr>
  </w:style>
  <w:style w:type="paragraph" w:styleId="TOC1">
    <w:name w:val="toc 1"/>
    <w:basedOn w:val="OPCParaBase"/>
    <w:next w:val="Normal"/>
    <w:uiPriority w:val="39"/>
    <w:semiHidden/>
    <w:unhideWhenUsed/>
    <w:rsid w:val="00BD79F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D79F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D79F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D79F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D79F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D79F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D79F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D79F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D79F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79F0"/>
    <w:pPr>
      <w:keepLines/>
      <w:spacing w:before="240" w:after="120" w:line="240" w:lineRule="auto"/>
      <w:ind w:left="794"/>
    </w:pPr>
    <w:rPr>
      <w:b/>
      <w:kern w:val="28"/>
      <w:sz w:val="20"/>
    </w:rPr>
  </w:style>
  <w:style w:type="paragraph" w:customStyle="1" w:styleId="TofSectsHeading">
    <w:name w:val="TofSects(Heading)"/>
    <w:basedOn w:val="OPCParaBase"/>
    <w:rsid w:val="00BD79F0"/>
    <w:pPr>
      <w:spacing w:before="240" w:after="120" w:line="240" w:lineRule="auto"/>
    </w:pPr>
    <w:rPr>
      <w:b/>
      <w:sz w:val="24"/>
    </w:rPr>
  </w:style>
  <w:style w:type="paragraph" w:customStyle="1" w:styleId="TofSectsSection">
    <w:name w:val="TofSects(Section)"/>
    <w:basedOn w:val="OPCParaBase"/>
    <w:rsid w:val="00BD79F0"/>
    <w:pPr>
      <w:keepLines/>
      <w:spacing w:before="40" w:line="240" w:lineRule="auto"/>
      <w:ind w:left="1588" w:hanging="794"/>
    </w:pPr>
    <w:rPr>
      <w:kern w:val="28"/>
      <w:sz w:val="18"/>
    </w:rPr>
  </w:style>
  <w:style w:type="paragraph" w:customStyle="1" w:styleId="TofSectsSubdiv">
    <w:name w:val="TofSects(Subdiv)"/>
    <w:basedOn w:val="OPCParaBase"/>
    <w:rsid w:val="00BD79F0"/>
    <w:pPr>
      <w:keepLines/>
      <w:spacing w:before="80" w:line="240" w:lineRule="auto"/>
      <w:ind w:left="1588" w:hanging="794"/>
    </w:pPr>
    <w:rPr>
      <w:kern w:val="28"/>
    </w:rPr>
  </w:style>
  <w:style w:type="paragraph" w:customStyle="1" w:styleId="WRStyle">
    <w:name w:val="WR Style"/>
    <w:aliases w:val="WR"/>
    <w:basedOn w:val="OPCParaBase"/>
    <w:rsid w:val="00BD79F0"/>
    <w:pPr>
      <w:spacing w:before="240" w:line="240" w:lineRule="auto"/>
      <w:ind w:left="284" w:hanging="284"/>
    </w:pPr>
    <w:rPr>
      <w:b/>
      <w:i/>
      <w:kern w:val="28"/>
      <w:sz w:val="24"/>
    </w:rPr>
  </w:style>
  <w:style w:type="paragraph" w:customStyle="1" w:styleId="notepara">
    <w:name w:val="note(para)"/>
    <w:aliases w:val="na"/>
    <w:basedOn w:val="OPCParaBase"/>
    <w:rsid w:val="00BD79F0"/>
    <w:pPr>
      <w:spacing w:before="40" w:line="198" w:lineRule="exact"/>
      <w:ind w:left="2354" w:hanging="369"/>
    </w:pPr>
    <w:rPr>
      <w:sz w:val="18"/>
    </w:rPr>
  </w:style>
  <w:style w:type="paragraph" w:styleId="Footer">
    <w:name w:val="footer"/>
    <w:link w:val="FooterChar"/>
    <w:rsid w:val="00BD79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79F0"/>
    <w:rPr>
      <w:rFonts w:eastAsia="Times New Roman" w:cs="Times New Roman"/>
      <w:sz w:val="22"/>
      <w:szCs w:val="24"/>
      <w:lang w:eastAsia="en-AU"/>
    </w:rPr>
  </w:style>
  <w:style w:type="character" w:styleId="LineNumber">
    <w:name w:val="line number"/>
    <w:basedOn w:val="OPCCharBase"/>
    <w:uiPriority w:val="99"/>
    <w:semiHidden/>
    <w:unhideWhenUsed/>
    <w:rsid w:val="00BD79F0"/>
    <w:rPr>
      <w:sz w:val="16"/>
    </w:rPr>
  </w:style>
  <w:style w:type="table" w:customStyle="1" w:styleId="CFlag">
    <w:name w:val="CFlag"/>
    <w:basedOn w:val="TableNormal"/>
    <w:uiPriority w:val="99"/>
    <w:rsid w:val="00BD79F0"/>
    <w:rPr>
      <w:rFonts w:eastAsia="Times New Roman" w:cs="Times New Roman"/>
      <w:lang w:eastAsia="en-AU"/>
    </w:rPr>
    <w:tblPr/>
  </w:style>
  <w:style w:type="paragraph" w:styleId="BalloonText">
    <w:name w:val="Balloon Text"/>
    <w:basedOn w:val="Normal"/>
    <w:link w:val="BalloonTextChar"/>
    <w:uiPriority w:val="99"/>
    <w:semiHidden/>
    <w:unhideWhenUsed/>
    <w:rsid w:val="00BD79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9F0"/>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BD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D79F0"/>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BD79F0"/>
    <w:rPr>
      <w:i/>
      <w:sz w:val="32"/>
      <w:szCs w:val="32"/>
    </w:rPr>
  </w:style>
  <w:style w:type="paragraph" w:customStyle="1" w:styleId="SignCoverPageEnd">
    <w:name w:val="SignCoverPageEnd"/>
    <w:basedOn w:val="OPCParaBase"/>
    <w:next w:val="Normal"/>
    <w:rsid w:val="00BD79F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D79F0"/>
    <w:pPr>
      <w:pBdr>
        <w:top w:val="single" w:sz="4" w:space="1" w:color="auto"/>
      </w:pBdr>
      <w:spacing w:before="360"/>
      <w:ind w:right="397"/>
      <w:jc w:val="both"/>
    </w:pPr>
  </w:style>
  <w:style w:type="paragraph" w:customStyle="1" w:styleId="NotesHeading1">
    <w:name w:val="NotesHeading 1"/>
    <w:basedOn w:val="OPCParaBase"/>
    <w:next w:val="Normal"/>
    <w:rsid w:val="00BD79F0"/>
    <w:rPr>
      <w:b/>
      <w:sz w:val="28"/>
      <w:szCs w:val="28"/>
    </w:rPr>
  </w:style>
  <w:style w:type="paragraph" w:customStyle="1" w:styleId="NotesHeading2">
    <w:name w:val="NotesHeading 2"/>
    <w:basedOn w:val="OPCParaBase"/>
    <w:next w:val="Normal"/>
    <w:rsid w:val="00BD79F0"/>
    <w:rPr>
      <w:b/>
      <w:sz w:val="28"/>
      <w:szCs w:val="28"/>
    </w:rPr>
  </w:style>
  <w:style w:type="paragraph" w:customStyle="1" w:styleId="CompiledActNo">
    <w:name w:val="CompiledActNo"/>
    <w:basedOn w:val="OPCParaBase"/>
    <w:next w:val="Normal"/>
    <w:rsid w:val="00BD79F0"/>
    <w:rPr>
      <w:b/>
      <w:sz w:val="24"/>
      <w:szCs w:val="24"/>
    </w:rPr>
  </w:style>
  <w:style w:type="paragraph" w:customStyle="1" w:styleId="CompiledMadeUnder">
    <w:name w:val="CompiledMadeUnder"/>
    <w:basedOn w:val="OPCParaBase"/>
    <w:next w:val="Normal"/>
    <w:rsid w:val="00BD79F0"/>
    <w:rPr>
      <w:i/>
      <w:sz w:val="24"/>
      <w:szCs w:val="24"/>
    </w:rPr>
  </w:style>
  <w:style w:type="paragraph" w:customStyle="1" w:styleId="Paragraphsub-sub-sub">
    <w:name w:val="Paragraph(sub-sub-sub)"/>
    <w:aliases w:val="aaaa"/>
    <w:basedOn w:val="OPCParaBase"/>
    <w:rsid w:val="00BD79F0"/>
    <w:pPr>
      <w:tabs>
        <w:tab w:val="right" w:pos="3402"/>
      </w:tabs>
      <w:spacing w:before="40" w:line="240" w:lineRule="auto"/>
      <w:ind w:left="3402" w:hanging="3402"/>
    </w:pPr>
  </w:style>
  <w:style w:type="paragraph" w:customStyle="1" w:styleId="NoteToSubpara">
    <w:name w:val="NoteToSubpara"/>
    <w:aliases w:val="nts"/>
    <w:basedOn w:val="OPCParaBase"/>
    <w:rsid w:val="00BD79F0"/>
    <w:pPr>
      <w:spacing w:before="40" w:line="198" w:lineRule="exact"/>
      <w:ind w:left="2835" w:hanging="709"/>
    </w:pPr>
    <w:rPr>
      <w:sz w:val="18"/>
    </w:rPr>
  </w:style>
  <w:style w:type="paragraph" w:customStyle="1" w:styleId="EndNotespara">
    <w:name w:val="EndNotes(para)"/>
    <w:aliases w:val="eta"/>
    <w:basedOn w:val="OPCParaBase"/>
    <w:next w:val="EndNotessubpara"/>
    <w:rsid w:val="00BD79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79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79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79F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D79F0"/>
    <w:pPr>
      <w:keepNext/>
      <w:spacing w:before="60" w:line="240" w:lineRule="atLeast"/>
    </w:pPr>
    <w:rPr>
      <w:rFonts w:ascii="Arial" w:hAnsi="Arial"/>
      <w:b/>
      <w:sz w:val="16"/>
    </w:rPr>
  </w:style>
  <w:style w:type="paragraph" w:customStyle="1" w:styleId="ENoteTTi">
    <w:name w:val="ENoteTTi"/>
    <w:aliases w:val="entti"/>
    <w:basedOn w:val="OPCParaBase"/>
    <w:rsid w:val="00BD79F0"/>
    <w:pPr>
      <w:keepNext/>
      <w:spacing w:before="60" w:line="240" w:lineRule="atLeast"/>
      <w:ind w:left="170"/>
    </w:pPr>
    <w:rPr>
      <w:sz w:val="16"/>
    </w:rPr>
  </w:style>
  <w:style w:type="paragraph" w:customStyle="1" w:styleId="ENotesHeading1">
    <w:name w:val="ENotesHeading 1"/>
    <w:aliases w:val="Enh1"/>
    <w:basedOn w:val="OPCParaBase"/>
    <w:next w:val="Normal"/>
    <w:rsid w:val="00BD79F0"/>
    <w:pPr>
      <w:spacing w:before="120"/>
      <w:outlineLvl w:val="1"/>
    </w:pPr>
    <w:rPr>
      <w:b/>
      <w:sz w:val="28"/>
      <w:szCs w:val="28"/>
    </w:rPr>
  </w:style>
  <w:style w:type="paragraph" w:customStyle="1" w:styleId="ENotesHeading2">
    <w:name w:val="ENotesHeading 2"/>
    <w:aliases w:val="Enh2"/>
    <w:basedOn w:val="OPCParaBase"/>
    <w:next w:val="Normal"/>
    <w:rsid w:val="00BD79F0"/>
    <w:pPr>
      <w:spacing w:before="120" w:after="120"/>
      <w:outlineLvl w:val="2"/>
    </w:pPr>
    <w:rPr>
      <w:b/>
      <w:sz w:val="24"/>
      <w:szCs w:val="28"/>
    </w:rPr>
  </w:style>
  <w:style w:type="paragraph" w:customStyle="1" w:styleId="ENoteTTIndentHeading">
    <w:name w:val="ENoteTTIndentHeading"/>
    <w:aliases w:val="enTTHi"/>
    <w:basedOn w:val="OPCParaBase"/>
    <w:rsid w:val="00BD79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79F0"/>
    <w:pPr>
      <w:spacing w:before="60" w:line="240" w:lineRule="atLeast"/>
    </w:pPr>
    <w:rPr>
      <w:sz w:val="16"/>
    </w:rPr>
  </w:style>
  <w:style w:type="paragraph" w:customStyle="1" w:styleId="MadeunderText">
    <w:name w:val="MadeunderText"/>
    <w:basedOn w:val="OPCParaBase"/>
    <w:next w:val="CompiledMadeUnder"/>
    <w:rsid w:val="00BD79F0"/>
    <w:pPr>
      <w:spacing w:before="240"/>
    </w:pPr>
    <w:rPr>
      <w:sz w:val="24"/>
      <w:szCs w:val="24"/>
    </w:rPr>
  </w:style>
  <w:style w:type="paragraph" w:customStyle="1" w:styleId="ENotesHeading3">
    <w:name w:val="ENotesHeading 3"/>
    <w:aliases w:val="Enh3"/>
    <w:basedOn w:val="OPCParaBase"/>
    <w:next w:val="Normal"/>
    <w:rsid w:val="00BD79F0"/>
    <w:pPr>
      <w:keepNext/>
      <w:spacing w:before="120" w:line="240" w:lineRule="auto"/>
      <w:outlineLvl w:val="4"/>
    </w:pPr>
    <w:rPr>
      <w:b/>
      <w:szCs w:val="24"/>
    </w:rPr>
  </w:style>
  <w:style w:type="character" w:customStyle="1" w:styleId="CharSubPartTextCASA">
    <w:name w:val="CharSubPartText(CASA)"/>
    <w:basedOn w:val="OPCCharBase"/>
    <w:uiPriority w:val="1"/>
    <w:rsid w:val="00BD79F0"/>
  </w:style>
  <w:style w:type="character" w:customStyle="1" w:styleId="CharSubPartNoCASA">
    <w:name w:val="CharSubPartNo(CASA)"/>
    <w:basedOn w:val="OPCCharBase"/>
    <w:uiPriority w:val="1"/>
    <w:rsid w:val="00BD79F0"/>
  </w:style>
  <w:style w:type="paragraph" w:customStyle="1" w:styleId="ENoteTTIndentHeadingSub">
    <w:name w:val="ENoteTTIndentHeadingSub"/>
    <w:aliases w:val="enTTHis"/>
    <w:basedOn w:val="OPCParaBase"/>
    <w:rsid w:val="00BD79F0"/>
    <w:pPr>
      <w:keepNext/>
      <w:spacing w:before="60" w:line="240" w:lineRule="atLeast"/>
      <w:ind w:left="340"/>
    </w:pPr>
    <w:rPr>
      <w:b/>
      <w:sz w:val="16"/>
    </w:rPr>
  </w:style>
  <w:style w:type="paragraph" w:customStyle="1" w:styleId="ENoteTTiSub">
    <w:name w:val="ENoteTTiSub"/>
    <w:aliases w:val="enttis"/>
    <w:basedOn w:val="OPCParaBase"/>
    <w:rsid w:val="00BD79F0"/>
    <w:pPr>
      <w:keepNext/>
      <w:spacing w:before="60" w:line="240" w:lineRule="atLeast"/>
      <w:ind w:left="340"/>
    </w:pPr>
    <w:rPr>
      <w:sz w:val="16"/>
    </w:rPr>
  </w:style>
  <w:style w:type="paragraph" w:customStyle="1" w:styleId="SubDivisionMigration">
    <w:name w:val="SubDivisionMigration"/>
    <w:aliases w:val="sdm"/>
    <w:basedOn w:val="OPCParaBase"/>
    <w:rsid w:val="00BD79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79F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D79F0"/>
    <w:pPr>
      <w:spacing w:before="122" w:line="240" w:lineRule="auto"/>
      <w:ind w:left="1985" w:hanging="851"/>
    </w:pPr>
    <w:rPr>
      <w:sz w:val="18"/>
    </w:rPr>
  </w:style>
  <w:style w:type="paragraph" w:customStyle="1" w:styleId="FreeForm">
    <w:name w:val="FreeForm"/>
    <w:rsid w:val="00B107A2"/>
    <w:rPr>
      <w:rFonts w:ascii="Arial" w:hAnsi="Arial"/>
      <w:sz w:val="22"/>
    </w:rPr>
  </w:style>
  <w:style w:type="paragraph" w:customStyle="1" w:styleId="SOText">
    <w:name w:val="SO Text"/>
    <w:aliases w:val="sot"/>
    <w:link w:val="SOTextChar"/>
    <w:rsid w:val="00BD79F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79F0"/>
    <w:rPr>
      <w:sz w:val="22"/>
    </w:rPr>
  </w:style>
  <w:style w:type="paragraph" w:customStyle="1" w:styleId="SOTextNote">
    <w:name w:val="SO TextNote"/>
    <w:aliases w:val="sont"/>
    <w:basedOn w:val="SOText"/>
    <w:qFormat/>
    <w:rsid w:val="00BD79F0"/>
    <w:pPr>
      <w:spacing w:before="122" w:line="198" w:lineRule="exact"/>
      <w:ind w:left="1843" w:hanging="709"/>
    </w:pPr>
    <w:rPr>
      <w:sz w:val="18"/>
    </w:rPr>
  </w:style>
  <w:style w:type="paragraph" w:customStyle="1" w:styleId="SOPara">
    <w:name w:val="SO Para"/>
    <w:aliases w:val="soa"/>
    <w:basedOn w:val="SOText"/>
    <w:link w:val="SOParaChar"/>
    <w:qFormat/>
    <w:rsid w:val="00BD79F0"/>
    <w:pPr>
      <w:tabs>
        <w:tab w:val="right" w:pos="1786"/>
      </w:tabs>
      <w:spacing w:before="40"/>
      <w:ind w:left="2070" w:hanging="936"/>
    </w:pPr>
  </w:style>
  <w:style w:type="character" w:customStyle="1" w:styleId="SOParaChar">
    <w:name w:val="SO Para Char"/>
    <w:aliases w:val="soa Char"/>
    <w:basedOn w:val="DefaultParagraphFont"/>
    <w:link w:val="SOPara"/>
    <w:rsid w:val="00BD79F0"/>
    <w:rPr>
      <w:sz w:val="22"/>
    </w:rPr>
  </w:style>
  <w:style w:type="paragraph" w:customStyle="1" w:styleId="FileName">
    <w:name w:val="FileName"/>
    <w:basedOn w:val="Normal"/>
    <w:rsid w:val="00BD79F0"/>
  </w:style>
  <w:style w:type="paragraph" w:customStyle="1" w:styleId="TableHeading">
    <w:name w:val="TableHeading"/>
    <w:aliases w:val="th"/>
    <w:basedOn w:val="OPCParaBase"/>
    <w:next w:val="Tabletext"/>
    <w:rsid w:val="00BD79F0"/>
    <w:pPr>
      <w:keepNext/>
      <w:spacing w:before="60" w:line="240" w:lineRule="atLeast"/>
    </w:pPr>
    <w:rPr>
      <w:b/>
      <w:sz w:val="20"/>
    </w:rPr>
  </w:style>
  <w:style w:type="paragraph" w:customStyle="1" w:styleId="SOHeadBold">
    <w:name w:val="SO HeadBold"/>
    <w:aliases w:val="sohb"/>
    <w:basedOn w:val="SOText"/>
    <w:next w:val="SOText"/>
    <w:link w:val="SOHeadBoldChar"/>
    <w:qFormat/>
    <w:rsid w:val="00BD79F0"/>
    <w:rPr>
      <w:b/>
    </w:rPr>
  </w:style>
  <w:style w:type="character" w:customStyle="1" w:styleId="SOHeadBoldChar">
    <w:name w:val="SO HeadBold Char"/>
    <w:aliases w:val="sohb Char"/>
    <w:basedOn w:val="DefaultParagraphFont"/>
    <w:link w:val="SOHeadBold"/>
    <w:rsid w:val="00BD79F0"/>
    <w:rPr>
      <w:b/>
      <w:sz w:val="22"/>
    </w:rPr>
  </w:style>
  <w:style w:type="paragraph" w:customStyle="1" w:styleId="SOHeadItalic">
    <w:name w:val="SO HeadItalic"/>
    <w:aliases w:val="sohi"/>
    <w:basedOn w:val="SOText"/>
    <w:next w:val="SOText"/>
    <w:link w:val="SOHeadItalicChar"/>
    <w:qFormat/>
    <w:rsid w:val="00BD79F0"/>
    <w:rPr>
      <w:i/>
    </w:rPr>
  </w:style>
  <w:style w:type="character" w:customStyle="1" w:styleId="SOHeadItalicChar">
    <w:name w:val="SO HeadItalic Char"/>
    <w:aliases w:val="sohi Char"/>
    <w:basedOn w:val="DefaultParagraphFont"/>
    <w:link w:val="SOHeadItalic"/>
    <w:rsid w:val="00BD79F0"/>
    <w:rPr>
      <w:i/>
      <w:sz w:val="22"/>
    </w:rPr>
  </w:style>
  <w:style w:type="paragraph" w:customStyle="1" w:styleId="SOBullet">
    <w:name w:val="SO Bullet"/>
    <w:aliases w:val="sotb"/>
    <w:basedOn w:val="SOText"/>
    <w:link w:val="SOBulletChar"/>
    <w:qFormat/>
    <w:rsid w:val="00BD79F0"/>
    <w:pPr>
      <w:ind w:left="1559" w:hanging="425"/>
    </w:pPr>
  </w:style>
  <w:style w:type="character" w:customStyle="1" w:styleId="SOBulletChar">
    <w:name w:val="SO Bullet Char"/>
    <w:aliases w:val="sotb Char"/>
    <w:basedOn w:val="DefaultParagraphFont"/>
    <w:link w:val="SOBullet"/>
    <w:rsid w:val="00BD79F0"/>
    <w:rPr>
      <w:sz w:val="22"/>
    </w:rPr>
  </w:style>
  <w:style w:type="paragraph" w:customStyle="1" w:styleId="SOBulletNote">
    <w:name w:val="SO BulletNote"/>
    <w:aliases w:val="sonb"/>
    <w:basedOn w:val="SOTextNote"/>
    <w:link w:val="SOBulletNoteChar"/>
    <w:qFormat/>
    <w:rsid w:val="00BD79F0"/>
    <w:pPr>
      <w:tabs>
        <w:tab w:val="left" w:pos="1560"/>
      </w:tabs>
      <w:ind w:left="2268" w:hanging="1134"/>
    </w:pPr>
  </w:style>
  <w:style w:type="character" w:customStyle="1" w:styleId="SOBulletNoteChar">
    <w:name w:val="SO BulletNote Char"/>
    <w:aliases w:val="sonb Char"/>
    <w:basedOn w:val="DefaultParagraphFont"/>
    <w:link w:val="SOBulletNote"/>
    <w:rsid w:val="00BD79F0"/>
    <w:rPr>
      <w:sz w:val="18"/>
    </w:rPr>
  </w:style>
  <w:style w:type="paragraph" w:customStyle="1" w:styleId="SOText2">
    <w:name w:val="SO Text2"/>
    <w:aliases w:val="sot2"/>
    <w:basedOn w:val="Normal"/>
    <w:next w:val="SOText"/>
    <w:link w:val="SOText2Char"/>
    <w:rsid w:val="00BD79F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79F0"/>
    <w:rPr>
      <w:sz w:val="22"/>
    </w:rPr>
  </w:style>
  <w:style w:type="paragraph" w:customStyle="1" w:styleId="SubPartCASA">
    <w:name w:val="SubPart(CASA)"/>
    <w:aliases w:val="csp"/>
    <w:basedOn w:val="OPCParaBase"/>
    <w:next w:val="ActHead3"/>
    <w:rsid w:val="00BD79F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107A2"/>
    <w:rPr>
      <w:rFonts w:eastAsia="Times New Roman" w:cs="Times New Roman"/>
      <w:sz w:val="22"/>
      <w:lang w:eastAsia="en-AU"/>
    </w:rPr>
  </w:style>
  <w:style w:type="character" w:customStyle="1" w:styleId="notetextChar">
    <w:name w:val="note(text) Char"/>
    <w:aliases w:val="n Char"/>
    <w:basedOn w:val="DefaultParagraphFont"/>
    <w:link w:val="notetext"/>
    <w:rsid w:val="00B107A2"/>
    <w:rPr>
      <w:rFonts w:eastAsia="Times New Roman" w:cs="Times New Roman"/>
      <w:sz w:val="18"/>
      <w:lang w:eastAsia="en-AU"/>
    </w:rPr>
  </w:style>
  <w:style w:type="character" w:customStyle="1" w:styleId="Heading1Char">
    <w:name w:val="Heading 1 Char"/>
    <w:basedOn w:val="DefaultParagraphFont"/>
    <w:link w:val="Heading1"/>
    <w:uiPriority w:val="9"/>
    <w:rsid w:val="00B107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107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07A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107A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107A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107A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107A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107A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107A2"/>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CB2CF3"/>
    <w:pPr>
      <w:spacing w:after="200" w:line="276" w:lineRule="auto"/>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2757-097A-4DDB-8D2A-B1A02987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12</Pages>
  <Words>2599</Words>
  <Characters>14815</Characters>
  <Application>Microsoft Office Word</Application>
  <DocSecurity>4</DocSecurity>
  <PresentationFormat/>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2016-10-24T04:02:00Z</cp:lastPrinted>
  <dcterms:created xsi:type="dcterms:W3CDTF">2016-11-13T22:20:00Z</dcterms:created>
  <dcterms:modified xsi:type="dcterms:W3CDTF">2016-11-13T22:20:00Z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Financial Framework (Supplementary Powers) Amendment (Health Measures No. 4)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10 November 2016</vt:lpwstr>
  </property>
  <property fmtid="{D5CDD505-2E9C-101B-9397-08002B2CF9AE}" pid="10" name="Authority">
    <vt:lpwstr/>
  </property>
  <property fmtid="{D5CDD505-2E9C-101B-9397-08002B2CF9AE}" pid="11" name="ID">
    <vt:lpwstr>OPC62284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Financial Framework (Supplementary Powers) Act 1997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10 November 2016</vt:lpwstr>
  </property>
</Properties>
</file>