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782D" w14:textId="77777777" w:rsidR="00BA4F48" w:rsidRPr="00A27335" w:rsidRDefault="00EF25A5" w:rsidP="00BA4F48">
      <w:pPr>
        <w:tabs>
          <w:tab w:val="left" w:pos="900"/>
        </w:tabs>
      </w:pPr>
    </w:p>
    <w:p w14:paraId="233F782E" w14:textId="77777777" w:rsidR="00BA4F48" w:rsidRPr="00A27335" w:rsidRDefault="00EF25A5" w:rsidP="00BA4F48">
      <w:pPr>
        <w:tabs>
          <w:tab w:val="left" w:pos="900"/>
        </w:tabs>
        <w:jc w:val="center"/>
      </w:pPr>
    </w:p>
    <w:p w14:paraId="233F782F" w14:textId="77777777" w:rsidR="00BA4F48" w:rsidRPr="00A27335" w:rsidRDefault="00EF25A5" w:rsidP="00BA4F48">
      <w:pPr>
        <w:tabs>
          <w:tab w:val="left" w:pos="900"/>
        </w:tabs>
        <w:jc w:val="center"/>
      </w:pPr>
    </w:p>
    <w:p w14:paraId="233F7830" w14:textId="395F8D30"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Australian Design Rule 57/00 –</w:t>
      </w:r>
      <w:r w:rsidR="00EF25A5">
        <w:rPr>
          <w:rFonts w:cs="Arial"/>
          <w:spacing w:val="-6"/>
        </w:rPr>
        <w:t xml:space="preserve"> </w:t>
      </w:r>
      <w:r w:rsidRPr="00F1614C">
        <w:rPr>
          <w:rFonts w:cs="Arial"/>
          <w:bCs/>
          <w:spacing w:val="-6"/>
        </w:rPr>
        <w:t>Special Requirements for L-Group Vehicles) 2006</w:t>
      </w:r>
      <w:bookmarkEnd w:id="0"/>
      <w:r>
        <w:rPr>
          <w:rFonts w:cs="Arial"/>
          <w:bCs/>
          <w:spacing w:val="-6"/>
        </w:rPr>
        <w:t xml:space="preserve"> Amendment </w:t>
      </w:r>
      <w:r w:rsidR="00BF517E">
        <w:rPr>
          <w:rFonts w:cs="Arial"/>
          <w:bCs/>
          <w:spacing w:val="-6"/>
        </w:rPr>
        <w:t>2</w:t>
      </w:r>
    </w:p>
    <w:p w14:paraId="233F7831" w14:textId="77777777" w:rsidR="00BA4F48" w:rsidRPr="00CA7971" w:rsidRDefault="00E86965" w:rsidP="000B6FA4">
      <w:pPr>
        <w:tabs>
          <w:tab w:val="left" w:pos="900"/>
        </w:tabs>
        <w:spacing w:before="720" w:after="2040"/>
        <w:jc w:val="center"/>
      </w:pPr>
      <w:r w:rsidRPr="00CA7971">
        <w:t xml:space="preserve">Made under section 7 of the </w:t>
      </w:r>
      <w:r w:rsidRPr="00BF517E">
        <w:rPr>
          <w:i/>
        </w:rPr>
        <w:t>Motor Vehicle Standards Act 1989</w:t>
      </w:r>
    </w:p>
    <w:p w14:paraId="233F7832" w14:textId="77777777" w:rsidR="00BA4F48" w:rsidRPr="00070368" w:rsidRDefault="00E86965" w:rsidP="00070368">
      <w:pPr>
        <w:pStyle w:val="Title"/>
      </w:pPr>
      <w:bookmarkStart w:id="1" w:name="_Toc415055940"/>
      <w:r w:rsidRPr="00070368">
        <w:t>Explanatory Statement</w:t>
      </w:r>
      <w:bookmarkEnd w:id="1"/>
    </w:p>
    <w:p w14:paraId="233F7833" w14:textId="4D037787" w:rsidR="00B42A81" w:rsidRDefault="00E86965" w:rsidP="00B204BE">
      <w:pPr>
        <w:tabs>
          <w:tab w:val="left" w:pos="900"/>
        </w:tabs>
        <w:spacing w:before="720" w:after="2040"/>
        <w:jc w:val="center"/>
      </w:pPr>
      <w:r w:rsidRPr="00CA7971">
        <w:t xml:space="preserve">Issued by the authority of the </w:t>
      </w:r>
      <w:r>
        <w:t xml:space="preserve">Minister for </w:t>
      </w:r>
      <w:r w:rsidR="00E636B0">
        <w:t>Urban Infrastructure</w:t>
      </w:r>
    </w:p>
    <w:p w14:paraId="233F7834" w14:textId="07B3593C" w:rsidR="00BA4F48" w:rsidRPr="00070368" w:rsidRDefault="006D4D5A" w:rsidP="00070368">
      <w:pPr>
        <w:pStyle w:val="Title"/>
      </w:pPr>
      <w:bookmarkStart w:id="2" w:name="_Toc415055941"/>
      <w:r>
        <w:t>November</w:t>
      </w:r>
      <w:r w:rsidR="00E86965">
        <w:t xml:space="preserve"> </w:t>
      </w:r>
      <w:r w:rsidR="00E86965" w:rsidRPr="00070368">
        <w:t>201</w:t>
      </w:r>
      <w:bookmarkEnd w:id="2"/>
      <w:r w:rsidR="00BF517E">
        <w:t>6</w:t>
      </w:r>
    </w:p>
    <w:p w14:paraId="233F7835" w14:textId="77777777" w:rsidR="00070368" w:rsidRDefault="00EF25A5" w:rsidP="000B6FA4">
      <w:pPr>
        <w:tabs>
          <w:tab w:val="left" w:pos="900"/>
        </w:tabs>
        <w:jc w:val="center"/>
        <w:rPr>
          <w:b/>
        </w:rPr>
        <w:sectPr w:rsidR="00070368" w:rsidSect="00444B70">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233F7836" w14:textId="77777777" w:rsidR="00541EF4" w:rsidRDefault="00E86965" w:rsidP="00541EF4">
      <w:pPr>
        <w:pStyle w:val="TOC1"/>
        <w:jc w:val="center"/>
        <w:rPr>
          <w:b/>
        </w:rPr>
      </w:pPr>
      <w:bookmarkStart w:id="3" w:name="_Toc167864611"/>
      <w:bookmarkStart w:id="4" w:name="_Toc390430612"/>
      <w:bookmarkStart w:id="5" w:name="_Toc409446963"/>
      <w:r w:rsidRPr="00BF517E">
        <w:rPr>
          <w:b/>
        </w:rPr>
        <w:lastRenderedPageBreak/>
        <w:t>Contents</w:t>
      </w:r>
    </w:p>
    <w:p w14:paraId="129D0B87" w14:textId="77777777" w:rsidR="00BF517E" w:rsidRPr="00BF517E" w:rsidRDefault="00BF517E" w:rsidP="00BF517E"/>
    <w:p w14:paraId="63055B32" w14:textId="77777777" w:rsidR="00E86965" w:rsidRDefault="00E86965">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33369724" w:history="1">
        <w:r w:rsidRPr="00250C46">
          <w:rPr>
            <w:rStyle w:val="Hyperlink"/>
            <w:noProof/>
          </w:rPr>
          <w:t>1.</w:t>
        </w:r>
        <w:r>
          <w:rPr>
            <w:rFonts w:asciiTheme="minorHAnsi" w:eastAsiaTheme="minorEastAsia" w:hAnsiTheme="minorHAnsi" w:cstheme="minorBidi"/>
            <w:caps w:val="0"/>
            <w:noProof/>
            <w:sz w:val="22"/>
            <w:szCs w:val="22"/>
          </w:rPr>
          <w:tab/>
        </w:r>
        <w:r w:rsidRPr="00250C46">
          <w:rPr>
            <w:rStyle w:val="Hyperlink"/>
            <w:noProof/>
          </w:rPr>
          <w:t>Legislative context</w:t>
        </w:r>
        <w:r>
          <w:rPr>
            <w:noProof/>
            <w:webHidden/>
          </w:rPr>
          <w:tab/>
        </w:r>
        <w:r>
          <w:rPr>
            <w:noProof/>
            <w:webHidden/>
          </w:rPr>
          <w:fldChar w:fldCharType="begin"/>
        </w:r>
        <w:r>
          <w:rPr>
            <w:noProof/>
            <w:webHidden/>
          </w:rPr>
          <w:instrText xml:space="preserve"> PAGEREF _Toc433369724 \h </w:instrText>
        </w:r>
        <w:r>
          <w:rPr>
            <w:noProof/>
            <w:webHidden/>
          </w:rPr>
        </w:r>
        <w:r>
          <w:rPr>
            <w:noProof/>
            <w:webHidden/>
          </w:rPr>
          <w:fldChar w:fldCharType="separate"/>
        </w:r>
        <w:r w:rsidR="00421960">
          <w:rPr>
            <w:noProof/>
            <w:webHidden/>
          </w:rPr>
          <w:t>3</w:t>
        </w:r>
        <w:r>
          <w:rPr>
            <w:noProof/>
            <w:webHidden/>
          </w:rPr>
          <w:fldChar w:fldCharType="end"/>
        </w:r>
      </w:hyperlink>
    </w:p>
    <w:p w14:paraId="5F888114" w14:textId="77777777" w:rsidR="00E86965" w:rsidRDefault="00EF25A5">
      <w:pPr>
        <w:pStyle w:val="TOC1"/>
        <w:rPr>
          <w:rFonts w:asciiTheme="minorHAnsi" w:eastAsiaTheme="minorEastAsia" w:hAnsiTheme="minorHAnsi" w:cstheme="minorBidi"/>
          <w:caps w:val="0"/>
          <w:noProof/>
          <w:sz w:val="22"/>
          <w:szCs w:val="22"/>
        </w:rPr>
      </w:pPr>
      <w:hyperlink w:anchor="_Toc433369725" w:history="1">
        <w:r w:rsidR="00E86965" w:rsidRPr="00250C46">
          <w:rPr>
            <w:rStyle w:val="Hyperlink"/>
            <w:noProof/>
          </w:rPr>
          <w:t>2.</w:t>
        </w:r>
        <w:r w:rsidR="00E86965">
          <w:rPr>
            <w:rFonts w:asciiTheme="minorHAnsi" w:eastAsiaTheme="minorEastAsia" w:hAnsiTheme="minorHAnsi" w:cstheme="minorBidi"/>
            <w:caps w:val="0"/>
            <w:noProof/>
            <w:sz w:val="22"/>
            <w:szCs w:val="22"/>
          </w:rPr>
          <w:tab/>
        </w:r>
        <w:r w:rsidR="00E86965" w:rsidRPr="00250C46">
          <w:rPr>
            <w:rStyle w:val="Hyperlink"/>
            <w:noProof/>
          </w:rPr>
          <w:t>content and effect of ADR 57/00 AND THE AMENDMENT</w:t>
        </w:r>
        <w:r w:rsidR="00E86965">
          <w:rPr>
            <w:noProof/>
            <w:webHidden/>
          </w:rPr>
          <w:tab/>
        </w:r>
        <w:r w:rsidR="00E86965">
          <w:rPr>
            <w:noProof/>
            <w:webHidden/>
          </w:rPr>
          <w:fldChar w:fldCharType="begin"/>
        </w:r>
        <w:r w:rsidR="00E86965">
          <w:rPr>
            <w:noProof/>
            <w:webHidden/>
          </w:rPr>
          <w:instrText xml:space="preserve"> PAGEREF _Toc433369725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12CCB608"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26" w:history="1">
        <w:r w:rsidR="00E86965" w:rsidRPr="00250C46">
          <w:rPr>
            <w:rStyle w:val="Hyperlink"/>
            <w:noProof/>
          </w:rPr>
          <w:t>2.1.</w:t>
        </w:r>
        <w:r w:rsidR="00E86965">
          <w:rPr>
            <w:rFonts w:asciiTheme="minorHAnsi" w:eastAsiaTheme="minorEastAsia" w:hAnsiTheme="minorHAnsi" w:cstheme="minorBidi"/>
            <w:noProof/>
            <w:sz w:val="22"/>
            <w:szCs w:val="22"/>
          </w:rPr>
          <w:tab/>
        </w:r>
        <w:r w:rsidR="00E86965" w:rsidRPr="00250C46">
          <w:rPr>
            <w:rStyle w:val="Hyperlink"/>
            <w:noProof/>
          </w:rPr>
          <w:t>Overview of the ADR</w:t>
        </w:r>
        <w:r w:rsidR="00E86965">
          <w:rPr>
            <w:noProof/>
            <w:webHidden/>
          </w:rPr>
          <w:tab/>
        </w:r>
        <w:r w:rsidR="00E86965">
          <w:rPr>
            <w:noProof/>
            <w:webHidden/>
          </w:rPr>
          <w:fldChar w:fldCharType="begin"/>
        </w:r>
        <w:r w:rsidR="00E86965">
          <w:rPr>
            <w:noProof/>
            <w:webHidden/>
          </w:rPr>
          <w:instrText xml:space="preserve"> PAGEREF _Toc433369726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52701B9C"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27" w:history="1">
        <w:r w:rsidR="00E86965" w:rsidRPr="00250C46">
          <w:rPr>
            <w:rStyle w:val="Hyperlink"/>
            <w:noProof/>
          </w:rPr>
          <w:t>2.2.</w:t>
        </w:r>
        <w:r w:rsidR="00E86965">
          <w:rPr>
            <w:rFonts w:asciiTheme="minorHAnsi" w:eastAsiaTheme="minorEastAsia" w:hAnsiTheme="minorHAnsi" w:cstheme="minorBidi"/>
            <w:noProof/>
            <w:sz w:val="22"/>
            <w:szCs w:val="22"/>
          </w:rPr>
          <w:tab/>
        </w:r>
        <w:r w:rsidR="00E86965" w:rsidRPr="00250C46">
          <w:rPr>
            <w:rStyle w:val="Hyperlink"/>
            <w:noProof/>
          </w:rPr>
          <w:t>Effect of the ADR Amendment</w:t>
        </w:r>
        <w:r w:rsidR="00E86965">
          <w:rPr>
            <w:noProof/>
            <w:webHidden/>
          </w:rPr>
          <w:tab/>
        </w:r>
        <w:r w:rsidR="00E86965">
          <w:rPr>
            <w:noProof/>
            <w:webHidden/>
          </w:rPr>
          <w:fldChar w:fldCharType="begin"/>
        </w:r>
        <w:r w:rsidR="00E86965">
          <w:rPr>
            <w:noProof/>
            <w:webHidden/>
          </w:rPr>
          <w:instrText xml:space="preserve"> PAGEREF _Toc433369727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31E00D2F" w14:textId="77777777" w:rsidR="00E86965" w:rsidRDefault="00EF25A5">
      <w:pPr>
        <w:pStyle w:val="TOC1"/>
        <w:rPr>
          <w:rFonts w:asciiTheme="minorHAnsi" w:eastAsiaTheme="minorEastAsia" w:hAnsiTheme="minorHAnsi" w:cstheme="minorBidi"/>
          <w:caps w:val="0"/>
          <w:noProof/>
          <w:sz w:val="22"/>
          <w:szCs w:val="22"/>
        </w:rPr>
      </w:pPr>
      <w:hyperlink w:anchor="_Toc433369728" w:history="1">
        <w:r w:rsidR="00E86965" w:rsidRPr="00250C46">
          <w:rPr>
            <w:rStyle w:val="Hyperlink"/>
            <w:noProof/>
          </w:rPr>
          <w:t>3.</w:t>
        </w:r>
        <w:r w:rsidR="00E86965">
          <w:rPr>
            <w:rFonts w:asciiTheme="minorHAnsi" w:eastAsiaTheme="minorEastAsia" w:hAnsiTheme="minorHAnsi" w:cstheme="minorBidi"/>
            <w:caps w:val="0"/>
            <w:noProof/>
            <w:sz w:val="22"/>
            <w:szCs w:val="22"/>
          </w:rPr>
          <w:tab/>
        </w:r>
        <w:r w:rsidR="00E86965" w:rsidRPr="00250C46">
          <w:rPr>
            <w:rStyle w:val="Hyperlink"/>
            <w:noProof/>
          </w:rPr>
          <w:t>best practice regulation</w:t>
        </w:r>
        <w:r w:rsidR="00E86965">
          <w:rPr>
            <w:noProof/>
            <w:webHidden/>
          </w:rPr>
          <w:tab/>
        </w:r>
        <w:r w:rsidR="00E86965">
          <w:rPr>
            <w:noProof/>
            <w:webHidden/>
          </w:rPr>
          <w:fldChar w:fldCharType="begin"/>
        </w:r>
        <w:r w:rsidR="00E86965">
          <w:rPr>
            <w:noProof/>
            <w:webHidden/>
          </w:rPr>
          <w:instrText xml:space="preserve"> PAGEREF _Toc433369728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7B6691EC"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29" w:history="1">
        <w:r w:rsidR="00E86965" w:rsidRPr="00250C46">
          <w:rPr>
            <w:rStyle w:val="Hyperlink"/>
            <w:noProof/>
          </w:rPr>
          <w:t>3.1.</w:t>
        </w:r>
        <w:r w:rsidR="00E86965">
          <w:rPr>
            <w:rFonts w:asciiTheme="minorHAnsi" w:eastAsiaTheme="minorEastAsia" w:hAnsiTheme="minorHAnsi" w:cstheme="minorBidi"/>
            <w:noProof/>
            <w:sz w:val="22"/>
            <w:szCs w:val="22"/>
          </w:rPr>
          <w:tab/>
        </w:r>
        <w:r w:rsidR="00E86965" w:rsidRPr="00250C46">
          <w:rPr>
            <w:rStyle w:val="Hyperlink"/>
            <w:noProof/>
          </w:rPr>
          <w:t>Business Cost Calculator</w:t>
        </w:r>
        <w:r w:rsidR="00E86965">
          <w:rPr>
            <w:noProof/>
            <w:webHidden/>
          </w:rPr>
          <w:tab/>
        </w:r>
        <w:r w:rsidR="00E86965">
          <w:rPr>
            <w:noProof/>
            <w:webHidden/>
          </w:rPr>
          <w:fldChar w:fldCharType="begin"/>
        </w:r>
        <w:r w:rsidR="00E86965">
          <w:rPr>
            <w:noProof/>
            <w:webHidden/>
          </w:rPr>
          <w:instrText xml:space="preserve"> PAGEREF _Toc433369729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28F90060"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30" w:history="1">
        <w:r w:rsidR="00E86965" w:rsidRPr="00250C46">
          <w:rPr>
            <w:rStyle w:val="Hyperlink"/>
            <w:noProof/>
          </w:rPr>
          <w:t>3.2.</w:t>
        </w:r>
        <w:r w:rsidR="00E86965">
          <w:rPr>
            <w:rFonts w:asciiTheme="minorHAnsi" w:eastAsiaTheme="minorEastAsia" w:hAnsiTheme="minorHAnsi" w:cstheme="minorBidi"/>
            <w:noProof/>
            <w:sz w:val="22"/>
            <w:szCs w:val="22"/>
          </w:rPr>
          <w:tab/>
        </w:r>
        <w:r w:rsidR="00E86965" w:rsidRPr="00250C46">
          <w:rPr>
            <w:rStyle w:val="Hyperlink"/>
            <w:noProof/>
          </w:rPr>
          <w:t>General Consultation Arrangements</w:t>
        </w:r>
        <w:r w:rsidR="00E86965">
          <w:rPr>
            <w:noProof/>
            <w:webHidden/>
          </w:rPr>
          <w:tab/>
        </w:r>
        <w:r w:rsidR="00E86965">
          <w:rPr>
            <w:noProof/>
            <w:webHidden/>
          </w:rPr>
          <w:fldChar w:fldCharType="begin"/>
        </w:r>
        <w:r w:rsidR="00E86965">
          <w:rPr>
            <w:noProof/>
            <w:webHidden/>
          </w:rPr>
          <w:instrText xml:space="preserve"> PAGEREF _Toc433369730 \h </w:instrText>
        </w:r>
        <w:r w:rsidR="00E86965">
          <w:rPr>
            <w:noProof/>
            <w:webHidden/>
          </w:rPr>
        </w:r>
        <w:r w:rsidR="00E86965">
          <w:rPr>
            <w:noProof/>
            <w:webHidden/>
          </w:rPr>
          <w:fldChar w:fldCharType="separate"/>
        </w:r>
        <w:r w:rsidR="00421960">
          <w:rPr>
            <w:noProof/>
            <w:webHidden/>
          </w:rPr>
          <w:t>3</w:t>
        </w:r>
        <w:r w:rsidR="00E86965">
          <w:rPr>
            <w:noProof/>
            <w:webHidden/>
          </w:rPr>
          <w:fldChar w:fldCharType="end"/>
        </w:r>
      </w:hyperlink>
    </w:p>
    <w:p w14:paraId="73901D17"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31" w:history="1">
        <w:r w:rsidR="00E86965" w:rsidRPr="00250C46">
          <w:rPr>
            <w:rStyle w:val="Hyperlink"/>
            <w:noProof/>
          </w:rPr>
          <w:t>3.3.</w:t>
        </w:r>
        <w:r w:rsidR="00E86965">
          <w:rPr>
            <w:rFonts w:asciiTheme="minorHAnsi" w:eastAsiaTheme="minorEastAsia" w:hAnsiTheme="minorHAnsi" w:cstheme="minorBidi"/>
            <w:noProof/>
            <w:sz w:val="22"/>
            <w:szCs w:val="22"/>
          </w:rPr>
          <w:tab/>
        </w:r>
        <w:r w:rsidR="00E86965" w:rsidRPr="00250C46">
          <w:rPr>
            <w:rStyle w:val="Hyperlink"/>
            <w:noProof/>
          </w:rPr>
          <w:t>Specific Consultation Arrangements for this Vehicle Standard</w:t>
        </w:r>
        <w:r w:rsidR="00E86965">
          <w:rPr>
            <w:noProof/>
            <w:webHidden/>
          </w:rPr>
          <w:tab/>
        </w:r>
        <w:r w:rsidR="00E86965">
          <w:rPr>
            <w:noProof/>
            <w:webHidden/>
          </w:rPr>
          <w:fldChar w:fldCharType="begin"/>
        </w:r>
        <w:r w:rsidR="00E86965">
          <w:rPr>
            <w:noProof/>
            <w:webHidden/>
          </w:rPr>
          <w:instrText xml:space="preserve"> PAGEREF _Toc433369731 \h </w:instrText>
        </w:r>
        <w:r w:rsidR="00E86965">
          <w:rPr>
            <w:noProof/>
            <w:webHidden/>
          </w:rPr>
        </w:r>
        <w:r w:rsidR="00E86965">
          <w:rPr>
            <w:noProof/>
            <w:webHidden/>
          </w:rPr>
          <w:fldChar w:fldCharType="separate"/>
        </w:r>
        <w:r w:rsidR="00421960">
          <w:rPr>
            <w:noProof/>
            <w:webHidden/>
          </w:rPr>
          <w:t>4</w:t>
        </w:r>
        <w:r w:rsidR="00E86965">
          <w:rPr>
            <w:noProof/>
            <w:webHidden/>
          </w:rPr>
          <w:fldChar w:fldCharType="end"/>
        </w:r>
      </w:hyperlink>
    </w:p>
    <w:p w14:paraId="7AB900B9"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32" w:history="1">
        <w:r w:rsidR="00E86965" w:rsidRPr="00250C46">
          <w:rPr>
            <w:rStyle w:val="Hyperlink"/>
            <w:noProof/>
          </w:rPr>
          <w:t>3.4.</w:t>
        </w:r>
        <w:r w:rsidR="00E86965">
          <w:rPr>
            <w:rFonts w:asciiTheme="minorHAnsi" w:eastAsiaTheme="minorEastAsia" w:hAnsiTheme="minorHAnsi" w:cstheme="minorBidi"/>
            <w:noProof/>
            <w:sz w:val="22"/>
            <w:szCs w:val="22"/>
          </w:rPr>
          <w:tab/>
        </w:r>
        <w:r w:rsidR="00E86965" w:rsidRPr="00250C46">
          <w:rPr>
            <w:rStyle w:val="Hyperlink"/>
            <w:noProof/>
          </w:rPr>
          <w:t>Regulation Impact Statement</w:t>
        </w:r>
        <w:r w:rsidR="00E86965">
          <w:rPr>
            <w:noProof/>
            <w:webHidden/>
          </w:rPr>
          <w:tab/>
        </w:r>
        <w:r w:rsidR="00E86965">
          <w:rPr>
            <w:noProof/>
            <w:webHidden/>
          </w:rPr>
          <w:fldChar w:fldCharType="begin"/>
        </w:r>
        <w:r w:rsidR="00E86965">
          <w:rPr>
            <w:noProof/>
            <w:webHidden/>
          </w:rPr>
          <w:instrText xml:space="preserve"> PAGEREF _Toc433369732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265DC5B3" w14:textId="77777777" w:rsidR="00E86965" w:rsidRDefault="00EF25A5">
      <w:pPr>
        <w:pStyle w:val="TOC1"/>
        <w:rPr>
          <w:rFonts w:asciiTheme="minorHAnsi" w:eastAsiaTheme="minorEastAsia" w:hAnsiTheme="minorHAnsi" w:cstheme="minorBidi"/>
          <w:caps w:val="0"/>
          <w:noProof/>
          <w:sz w:val="22"/>
          <w:szCs w:val="22"/>
        </w:rPr>
      </w:pPr>
      <w:hyperlink w:anchor="_Toc433369733" w:history="1">
        <w:r w:rsidR="00E86965" w:rsidRPr="00250C46">
          <w:rPr>
            <w:rStyle w:val="Hyperlink"/>
            <w:noProof/>
          </w:rPr>
          <w:t>4.</w:t>
        </w:r>
        <w:r w:rsidR="00E86965">
          <w:rPr>
            <w:rFonts w:asciiTheme="minorHAnsi" w:eastAsiaTheme="minorEastAsia" w:hAnsiTheme="minorHAnsi" w:cstheme="minorBidi"/>
            <w:caps w:val="0"/>
            <w:noProof/>
            <w:sz w:val="22"/>
            <w:szCs w:val="22"/>
          </w:rPr>
          <w:tab/>
        </w:r>
        <w:r w:rsidR="00E86965" w:rsidRPr="00250C46">
          <w:rPr>
            <w:rStyle w:val="Hyperlink"/>
            <w:noProof/>
          </w:rPr>
          <w:t>STATEMENT OF COMPATIBILITY WITH HUMAN RIGHTS</w:t>
        </w:r>
        <w:r w:rsidR="00E86965">
          <w:rPr>
            <w:noProof/>
            <w:webHidden/>
          </w:rPr>
          <w:tab/>
        </w:r>
        <w:r w:rsidR="00E86965">
          <w:rPr>
            <w:noProof/>
            <w:webHidden/>
          </w:rPr>
          <w:fldChar w:fldCharType="begin"/>
        </w:r>
        <w:r w:rsidR="00E86965">
          <w:rPr>
            <w:noProof/>
            <w:webHidden/>
          </w:rPr>
          <w:instrText xml:space="preserve"> PAGEREF _Toc433369733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76762DAE"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34" w:history="1">
        <w:r w:rsidR="00E86965" w:rsidRPr="00250C46">
          <w:rPr>
            <w:rStyle w:val="Hyperlink"/>
            <w:noProof/>
          </w:rPr>
          <w:t>4.1.</w:t>
        </w:r>
        <w:r w:rsidR="00E86965">
          <w:rPr>
            <w:rFonts w:asciiTheme="minorHAnsi" w:eastAsiaTheme="minorEastAsia" w:hAnsiTheme="minorHAnsi" w:cstheme="minorBidi"/>
            <w:noProof/>
            <w:sz w:val="22"/>
            <w:szCs w:val="22"/>
          </w:rPr>
          <w:tab/>
        </w:r>
        <w:r w:rsidR="00E86965" w:rsidRPr="00250C46">
          <w:rPr>
            <w:rStyle w:val="Hyperlink"/>
            <w:noProof/>
          </w:rPr>
          <w:t>Overview of the Legislative Instrument</w:t>
        </w:r>
        <w:r w:rsidR="00E86965">
          <w:rPr>
            <w:noProof/>
            <w:webHidden/>
          </w:rPr>
          <w:tab/>
        </w:r>
        <w:r w:rsidR="00E86965">
          <w:rPr>
            <w:noProof/>
            <w:webHidden/>
          </w:rPr>
          <w:fldChar w:fldCharType="begin"/>
        </w:r>
        <w:r w:rsidR="00E86965">
          <w:rPr>
            <w:noProof/>
            <w:webHidden/>
          </w:rPr>
          <w:instrText xml:space="preserve"> PAGEREF _Toc433369734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2EC35B42"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35" w:history="1">
        <w:r w:rsidR="00E86965" w:rsidRPr="00250C46">
          <w:rPr>
            <w:rStyle w:val="Hyperlink"/>
            <w:noProof/>
          </w:rPr>
          <w:t>4.2.</w:t>
        </w:r>
        <w:r w:rsidR="00E86965">
          <w:rPr>
            <w:rFonts w:asciiTheme="minorHAnsi" w:eastAsiaTheme="minorEastAsia" w:hAnsiTheme="minorHAnsi" w:cstheme="minorBidi"/>
            <w:noProof/>
            <w:sz w:val="22"/>
            <w:szCs w:val="22"/>
          </w:rPr>
          <w:tab/>
        </w:r>
        <w:r w:rsidR="00E86965" w:rsidRPr="00250C46">
          <w:rPr>
            <w:rStyle w:val="Hyperlink"/>
            <w:noProof/>
          </w:rPr>
          <w:t>Human Rights Implications</w:t>
        </w:r>
        <w:r w:rsidR="00E86965">
          <w:rPr>
            <w:noProof/>
            <w:webHidden/>
          </w:rPr>
          <w:tab/>
        </w:r>
        <w:r w:rsidR="00E86965">
          <w:rPr>
            <w:noProof/>
            <w:webHidden/>
          </w:rPr>
          <w:fldChar w:fldCharType="begin"/>
        </w:r>
        <w:r w:rsidR="00E86965">
          <w:rPr>
            <w:noProof/>
            <w:webHidden/>
          </w:rPr>
          <w:instrText xml:space="preserve"> PAGEREF _Toc433369735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1790ADCC" w14:textId="77777777" w:rsidR="00E86965" w:rsidRDefault="00EF25A5">
      <w:pPr>
        <w:pStyle w:val="TOC2"/>
        <w:tabs>
          <w:tab w:val="left" w:pos="851"/>
          <w:tab w:val="right" w:leader="dot" w:pos="8302"/>
        </w:tabs>
        <w:rPr>
          <w:rFonts w:asciiTheme="minorHAnsi" w:eastAsiaTheme="minorEastAsia" w:hAnsiTheme="minorHAnsi" w:cstheme="minorBidi"/>
          <w:noProof/>
          <w:sz w:val="22"/>
          <w:szCs w:val="22"/>
        </w:rPr>
      </w:pPr>
      <w:hyperlink w:anchor="_Toc433369736" w:history="1">
        <w:r w:rsidR="00E86965" w:rsidRPr="00250C46">
          <w:rPr>
            <w:rStyle w:val="Hyperlink"/>
            <w:noProof/>
          </w:rPr>
          <w:t>4.3.</w:t>
        </w:r>
        <w:r w:rsidR="00E86965">
          <w:rPr>
            <w:rFonts w:asciiTheme="minorHAnsi" w:eastAsiaTheme="minorEastAsia" w:hAnsiTheme="minorHAnsi" w:cstheme="minorBidi"/>
            <w:noProof/>
            <w:sz w:val="22"/>
            <w:szCs w:val="22"/>
          </w:rPr>
          <w:tab/>
        </w:r>
        <w:r w:rsidR="00E86965" w:rsidRPr="00250C46">
          <w:rPr>
            <w:rStyle w:val="Hyperlink"/>
            <w:noProof/>
          </w:rPr>
          <w:t>Conclusion</w:t>
        </w:r>
        <w:r w:rsidR="00E86965">
          <w:rPr>
            <w:noProof/>
            <w:webHidden/>
          </w:rPr>
          <w:tab/>
        </w:r>
        <w:r w:rsidR="00E86965">
          <w:rPr>
            <w:noProof/>
            <w:webHidden/>
          </w:rPr>
          <w:fldChar w:fldCharType="begin"/>
        </w:r>
        <w:r w:rsidR="00E86965">
          <w:rPr>
            <w:noProof/>
            <w:webHidden/>
          </w:rPr>
          <w:instrText xml:space="preserve"> PAGEREF _Toc433369736 \h </w:instrText>
        </w:r>
        <w:r w:rsidR="00E86965">
          <w:rPr>
            <w:noProof/>
            <w:webHidden/>
          </w:rPr>
        </w:r>
        <w:r w:rsidR="00E86965">
          <w:rPr>
            <w:noProof/>
            <w:webHidden/>
          </w:rPr>
          <w:fldChar w:fldCharType="separate"/>
        </w:r>
        <w:r w:rsidR="00421960">
          <w:rPr>
            <w:noProof/>
            <w:webHidden/>
          </w:rPr>
          <w:t>5</w:t>
        </w:r>
        <w:r w:rsidR="00E86965">
          <w:rPr>
            <w:noProof/>
            <w:webHidden/>
          </w:rPr>
          <w:fldChar w:fldCharType="end"/>
        </w:r>
      </w:hyperlink>
    </w:p>
    <w:p w14:paraId="233F7844" w14:textId="77777777" w:rsidR="00560227" w:rsidRDefault="00E86965" w:rsidP="00070368">
      <w:r>
        <w:fldChar w:fldCharType="end"/>
      </w:r>
    </w:p>
    <w:p w14:paraId="233F7845" w14:textId="77777777" w:rsidR="00070368" w:rsidRDefault="00E86965">
      <w:r>
        <w:br w:type="page"/>
      </w:r>
    </w:p>
    <w:p w14:paraId="233F7846" w14:textId="77777777" w:rsidR="00BA4F48" w:rsidRPr="00070368" w:rsidRDefault="00E86965" w:rsidP="00070368">
      <w:pPr>
        <w:pStyle w:val="Heading1"/>
      </w:pPr>
      <w:bookmarkStart w:id="6" w:name="_Toc256000000"/>
      <w:bookmarkStart w:id="7" w:name="_Toc433288572"/>
      <w:bookmarkStart w:id="8" w:name="_Toc433369724"/>
      <w:r w:rsidRPr="00070368">
        <w:lastRenderedPageBreak/>
        <w:t>Legislative context</w:t>
      </w:r>
      <w:bookmarkEnd w:id="6"/>
      <w:bookmarkEnd w:id="3"/>
      <w:bookmarkEnd w:id="4"/>
      <w:bookmarkEnd w:id="5"/>
      <w:bookmarkEnd w:id="7"/>
      <w:bookmarkEnd w:id="8"/>
    </w:p>
    <w:p w14:paraId="233F7847" w14:textId="41D5770A" w:rsidR="003F01D5" w:rsidRPr="00942B88" w:rsidRDefault="00E86965" w:rsidP="00942B88">
      <w:pPr>
        <w:rPr>
          <w:rFonts w:cs="Arial"/>
        </w:rPr>
      </w:pPr>
      <w:r w:rsidRPr="00BF517E">
        <w:rPr>
          <w:rFonts w:cs="Arial"/>
        </w:rPr>
        <w:t xml:space="preserve">Vehicle Standard (Australian Design Rule 57/00 – Special Requirements for L-Group Vehicles) 2006 Amendment </w:t>
      </w:r>
      <w:r w:rsidR="00BF517E" w:rsidRPr="00BF517E">
        <w:rPr>
          <w:rFonts w:cs="Arial"/>
        </w:rPr>
        <w:t>2</w:t>
      </w:r>
      <w:r w:rsidRPr="00B97E32">
        <w:rPr>
          <w:rFonts w:cs="Arial"/>
        </w:rPr>
        <w:t xml:space="preserve"> is</w:t>
      </w:r>
      <w:r w:rsidRPr="00CA7971">
        <w:rPr>
          <w:rFonts w:cs="Arial"/>
        </w:rPr>
        <w:t xml:space="preserve"> made under the </w:t>
      </w:r>
      <w:r w:rsidRPr="00CA7971">
        <w:rPr>
          <w:rFonts w:cs="Arial"/>
          <w:i/>
        </w:rPr>
        <w:t>Motor Vehicle Standards Act 1989</w:t>
      </w:r>
      <w:r w:rsidRPr="00CA7971">
        <w:rPr>
          <w:rFonts w:cs="Arial"/>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Pr>
          <w:rFonts w:cs="Arial"/>
        </w:rPr>
        <w:t>.</w:t>
      </w:r>
    </w:p>
    <w:p w14:paraId="233F7848" w14:textId="77777777" w:rsidR="003F01D5" w:rsidRDefault="00E86965" w:rsidP="00444B70">
      <w:pPr>
        <w:pStyle w:val="StyledotArialLeft0cmFirstline0cmAfter12pt"/>
        <w:spacing w:before="120"/>
      </w:pPr>
      <w:r w:rsidRPr="00CA7971">
        <w:t>The making of the vehicle standards necessary for the Act's effective operation is provided for in section 7 which empowers the Minister to "determine vehicle standards for road vehicles or vehicle components".</w:t>
      </w:r>
    </w:p>
    <w:p w14:paraId="233F7849" w14:textId="47752289" w:rsidR="00EE2C80" w:rsidRPr="00CA7971" w:rsidRDefault="00E86965" w:rsidP="00942B88">
      <w:pPr>
        <w:pStyle w:val="StyledotArialLeft0cmFirstline0cmAfter12pt"/>
      </w:pPr>
      <w:r>
        <w:t>Vehicle Standard (</w:t>
      </w:r>
      <w:r w:rsidRPr="00B17DF2">
        <w:t>Australian Design Rule 57/00 –</w:t>
      </w:r>
      <w:r w:rsidR="00EF25A5">
        <w:t xml:space="preserve"> </w:t>
      </w:r>
      <w:bookmarkStart w:id="9" w:name="_GoBack"/>
      <w:bookmarkEnd w:id="9"/>
      <w:r w:rsidRPr="008F0437">
        <w:t>Special Requirements for L-Group Vehicles) 2006</w:t>
      </w:r>
      <w:r>
        <w:rPr>
          <w:b/>
          <w:bCs/>
        </w:rPr>
        <w:t xml:space="preserve"> </w:t>
      </w:r>
      <w:r>
        <w:t>was originally determined in 2006.</w:t>
      </w:r>
    </w:p>
    <w:p w14:paraId="233F784A" w14:textId="6783D7AD" w:rsidR="00BA4F48" w:rsidRPr="00070368" w:rsidRDefault="00E86965" w:rsidP="00070368">
      <w:pPr>
        <w:pStyle w:val="Heading1"/>
      </w:pPr>
      <w:bookmarkStart w:id="10" w:name="_Toc167864612"/>
      <w:bookmarkStart w:id="11" w:name="_Toc390430613"/>
      <w:bookmarkStart w:id="12" w:name="_Toc409446964"/>
      <w:bookmarkStart w:id="13" w:name="_Toc256000001"/>
      <w:bookmarkStart w:id="14" w:name="_Toc433288573"/>
      <w:bookmarkStart w:id="15" w:name="_Toc433369725"/>
      <w:r w:rsidRPr="00942B88">
        <w:t xml:space="preserve">content and effect of </w:t>
      </w:r>
      <w:bookmarkStart w:id="16" w:name="_Toc167864613"/>
      <w:bookmarkStart w:id="17" w:name="_Toc390430614"/>
      <w:bookmarkStart w:id="18" w:name="_Toc409446965"/>
      <w:bookmarkEnd w:id="10"/>
      <w:bookmarkEnd w:id="11"/>
      <w:bookmarkEnd w:id="12"/>
      <w:r w:rsidR="00747017">
        <w:t>ADR</w:t>
      </w:r>
      <w:r w:rsidRPr="00B17DF2">
        <w:t xml:space="preserve"> 57/00 </w:t>
      </w:r>
      <w:bookmarkEnd w:id="13"/>
      <w:bookmarkEnd w:id="16"/>
      <w:bookmarkEnd w:id="17"/>
      <w:bookmarkEnd w:id="18"/>
      <w:bookmarkEnd w:id="14"/>
      <w:r w:rsidR="00747017">
        <w:t>AND THE AMENDMENT</w:t>
      </w:r>
      <w:bookmarkEnd w:id="15"/>
    </w:p>
    <w:p w14:paraId="233F784B" w14:textId="77777777" w:rsidR="006776F9" w:rsidRDefault="00E86965" w:rsidP="00B204BE">
      <w:pPr>
        <w:pStyle w:val="Heading2"/>
      </w:pPr>
      <w:bookmarkStart w:id="19" w:name="_Toc256000002"/>
      <w:bookmarkStart w:id="20" w:name="_Toc433288574"/>
      <w:bookmarkStart w:id="21" w:name="_Toc433369726"/>
      <w:r>
        <w:t>Overview of the ADR</w:t>
      </w:r>
      <w:bookmarkEnd w:id="19"/>
      <w:bookmarkEnd w:id="20"/>
      <w:bookmarkEnd w:id="21"/>
    </w:p>
    <w:p w14:paraId="233F784C" w14:textId="47E5EFB9" w:rsidR="008F0437" w:rsidRDefault="00E86965" w:rsidP="00B204BE">
      <w:r w:rsidRPr="008F0437">
        <w:t>The function of Australian Design Rule (ADR) 57/00 is to specify requirements for mopeds, motorcycles and motor</w:t>
      </w:r>
      <w:r w:rsidR="006D4D5A">
        <w:t>cycles with side-cars</w:t>
      </w:r>
      <w:r w:rsidRPr="008F0437">
        <w:t xml:space="preserve">. These requirements </w:t>
      </w:r>
      <w:r>
        <w:t>cover</w:t>
      </w:r>
      <w:r w:rsidR="006D4D5A">
        <w:t xml:space="preserve"> side-</w:t>
      </w:r>
      <w:r w:rsidRPr="008F0437">
        <w:t>car</w:t>
      </w:r>
      <w:r>
        <w:t>s</w:t>
      </w:r>
      <w:r w:rsidRPr="008F0437">
        <w:t>, steering gear and handlebar</w:t>
      </w:r>
      <w:r>
        <w:t xml:space="preserve"> width</w:t>
      </w:r>
      <w:r w:rsidRPr="008F0437">
        <w:t>, operation and location of controls, visual indicators, display identification, transmission, electrical generators, foot rests, stands and chain guards.</w:t>
      </w:r>
    </w:p>
    <w:p w14:paraId="233F784D" w14:textId="77777777" w:rsidR="003F01D5" w:rsidRPr="00CA7971" w:rsidRDefault="00E86965" w:rsidP="00B204BE">
      <w:pPr>
        <w:pStyle w:val="Heading2"/>
      </w:pPr>
      <w:bookmarkStart w:id="22" w:name="_Toc417639703"/>
      <w:bookmarkStart w:id="23" w:name="_Toc167864614"/>
      <w:bookmarkStart w:id="24" w:name="_Toc390430615"/>
      <w:bookmarkStart w:id="25" w:name="_Toc256000003"/>
      <w:bookmarkStart w:id="26" w:name="_Toc409446966"/>
      <w:bookmarkStart w:id="27" w:name="_Toc433288575"/>
      <w:bookmarkStart w:id="28" w:name="_Toc433369727"/>
      <w:bookmarkEnd w:id="22"/>
      <w:r w:rsidRPr="00CA7971">
        <w:t>Effect of the ADR</w:t>
      </w:r>
      <w:bookmarkEnd w:id="23"/>
      <w:bookmarkEnd w:id="24"/>
      <w:r>
        <w:t xml:space="preserve"> Amendment</w:t>
      </w:r>
      <w:bookmarkEnd w:id="25"/>
      <w:bookmarkEnd w:id="26"/>
      <w:bookmarkEnd w:id="27"/>
      <w:bookmarkEnd w:id="28"/>
    </w:p>
    <w:p w14:paraId="233F784E" w14:textId="4CD43629" w:rsidR="00B83360" w:rsidRDefault="00747017" w:rsidP="008F0437">
      <w:pPr>
        <w:pStyle w:val="StyledotArialLeft0cmFirstline0cmAfter12pt"/>
      </w:pPr>
      <w:bookmarkStart w:id="29" w:name="_Toc167864615"/>
      <w:r w:rsidRPr="006C2184">
        <w:t>This amendment</w:t>
      </w:r>
      <w:r w:rsidR="00E86965" w:rsidRPr="006C2184">
        <w:t xml:space="preserve"> </w:t>
      </w:r>
      <w:r w:rsidR="006C2184" w:rsidRPr="006C2184">
        <w:t>c</w:t>
      </w:r>
      <w:r w:rsidR="006C2184">
        <w:t>orrects an error in the</w:t>
      </w:r>
      <w:r w:rsidR="00FE2C99">
        <w:t xml:space="preserve"> dates listed in the applicability table, and an error in the</w:t>
      </w:r>
      <w:r w:rsidR="006C2184">
        <w:t xml:space="preserve"> clauses associated with the applicability of handlebar width requirements.</w:t>
      </w:r>
    </w:p>
    <w:p w14:paraId="233F784F" w14:textId="00847134" w:rsidR="00B83360" w:rsidRPr="005F0368" w:rsidRDefault="00E86965" w:rsidP="00B83360">
      <w:pPr>
        <w:spacing w:after="240"/>
      </w:pPr>
      <w:r>
        <w:t xml:space="preserve">This amendment is minor in nature.  </w:t>
      </w:r>
      <w:r w:rsidR="006C2184">
        <w:t xml:space="preserve">It only corrects </w:t>
      </w:r>
      <w:r w:rsidR="00FE2C99">
        <w:t>these</w:t>
      </w:r>
      <w:r w:rsidR="00BF517E">
        <w:t xml:space="preserve"> error</w:t>
      </w:r>
      <w:r w:rsidR="00FE2C99">
        <w:t>s</w:t>
      </w:r>
      <w:r w:rsidR="00BF517E">
        <w:t xml:space="preserve"> in</w:t>
      </w:r>
      <w:r w:rsidR="006C2184">
        <w:t xml:space="preserve">troduced </w:t>
      </w:r>
      <w:r w:rsidR="00FE2C99">
        <w:t>during the development of</w:t>
      </w:r>
      <w:r w:rsidR="00BF517E">
        <w:t xml:space="preserve"> previous compilation</w:t>
      </w:r>
      <w:r w:rsidR="00FE2C99">
        <w:t>s</w:t>
      </w:r>
      <w:r>
        <w:t>.</w:t>
      </w:r>
    </w:p>
    <w:p w14:paraId="233F7850" w14:textId="77777777" w:rsidR="00ED4DF9" w:rsidRPr="005D21F5" w:rsidRDefault="00E86965" w:rsidP="00070368">
      <w:pPr>
        <w:pStyle w:val="Heading1"/>
      </w:pPr>
      <w:bookmarkStart w:id="30" w:name="_Toc256000004"/>
      <w:bookmarkStart w:id="31" w:name="_Toc317158947"/>
      <w:bookmarkStart w:id="32" w:name="_Toc317171386"/>
      <w:bookmarkStart w:id="33" w:name="_Toc317171512"/>
      <w:bookmarkStart w:id="34" w:name="_Toc377388629"/>
      <w:bookmarkStart w:id="35" w:name="_Toc393194583"/>
      <w:bookmarkStart w:id="36" w:name="_Toc409446967"/>
      <w:bookmarkStart w:id="37" w:name="_Toc433288576"/>
      <w:bookmarkStart w:id="38" w:name="_Toc433369728"/>
      <w:bookmarkStart w:id="39" w:name="_Toc167864618"/>
      <w:bookmarkStart w:id="40" w:name="_Toc390430618"/>
      <w:bookmarkStart w:id="41" w:name="_Toc318271645"/>
      <w:bookmarkStart w:id="42" w:name="_Toc317171517"/>
      <w:bookmarkStart w:id="43" w:name="_Toc317171391"/>
      <w:bookmarkStart w:id="44" w:name="_Toc317158948"/>
      <w:bookmarkStart w:id="45" w:name="_Toc318272904"/>
      <w:bookmarkStart w:id="46" w:name="_Toc319402529"/>
      <w:bookmarkStart w:id="47" w:name="_Toc390430619"/>
      <w:bookmarkEnd w:id="29"/>
      <w:r w:rsidRPr="005D21F5">
        <w:t>best practice regulation</w:t>
      </w:r>
      <w:bookmarkEnd w:id="30"/>
      <w:bookmarkEnd w:id="31"/>
      <w:bookmarkEnd w:id="32"/>
      <w:bookmarkEnd w:id="33"/>
      <w:bookmarkEnd w:id="34"/>
      <w:bookmarkEnd w:id="35"/>
      <w:bookmarkEnd w:id="36"/>
      <w:bookmarkEnd w:id="37"/>
      <w:bookmarkEnd w:id="38"/>
    </w:p>
    <w:p w14:paraId="233F7851" w14:textId="77777777" w:rsidR="00ED4DF9" w:rsidRPr="00952B82" w:rsidRDefault="00E86965" w:rsidP="00070368">
      <w:pPr>
        <w:pStyle w:val="Heading2"/>
      </w:pPr>
      <w:bookmarkStart w:id="48" w:name="_Toc256000005"/>
      <w:bookmarkStart w:id="49" w:name="_Toc167864616"/>
      <w:bookmarkStart w:id="50" w:name="_Toc317171387"/>
      <w:bookmarkStart w:id="51" w:name="_Toc317171513"/>
      <w:bookmarkStart w:id="52" w:name="_Toc377388630"/>
      <w:bookmarkStart w:id="53" w:name="_Toc393194584"/>
      <w:bookmarkStart w:id="54" w:name="_Toc409446968"/>
      <w:bookmarkStart w:id="55" w:name="_Toc433288577"/>
      <w:bookmarkStart w:id="56" w:name="_Toc433369729"/>
      <w:r w:rsidRPr="00952B82">
        <w:t>Business Cost Calculator</w:t>
      </w:r>
      <w:bookmarkEnd w:id="48"/>
      <w:bookmarkEnd w:id="49"/>
      <w:bookmarkEnd w:id="50"/>
      <w:bookmarkEnd w:id="51"/>
      <w:bookmarkEnd w:id="52"/>
      <w:bookmarkEnd w:id="53"/>
      <w:bookmarkEnd w:id="54"/>
      <w:bookmarkEnd w:id="55"/>
      <w:bookmarkEnd w:id="56"/>
    </w:p>
    <w:p w14:paraId="233F7852" w14:textId="42936097" w:rsidR="00ED4DF9" w:rsidRPr="00AA3C7B" w:rsidRDefault="00BF517E" w:rsidP="00003F3F">
      <w:r>
        <w:t>There is no cost or saving associated with this amendment</w:t>
      </w:r>
      <w:r w:rsidR="00E86965" w:rsidRPr="00AA3C7B">
        <w:t>.</w:t>
      </w:r>
    </w:p>
    <w:p w14:paraId="233F7853" w14:textId="77777777" w:rsidR="00ED4DF9" w:rsidRDefault="00E86965" w:rsidP="00070368">
      <w:pPr>
        <w:pStyle w:val="Heading2"/>
      </w:pPr>
      <w:bookmarkStart w:id="57" w:name="_Toc256000006"/>
      <w:bookmarkStart w:id="58" w:name="_Toc167864617"/>
      <w:bookmarkStart w:id="59" w:name="_Toc317171388"/>
      <w:bookmarkStart w:id="60" w:name="_Toc317171514"/>
      <w:bookmarkStart w:id="61" w:name="_Toc377388631"/>
      <w:bookmarkStart w:id="62" w:name="_Toc393194585"/>
      <w:bookmarkStart w:id="63" w:name="_Toc409446969"/>
      <w:bookmarkStart w:id="64" w:name="_Toc433288578"/>
      <w:bookmarkStart w:id="65" w:name="_Toc433369730"/>
      <w:r>
        <w:t>General Consultation Arrangements</w:t>
      </w:r>
      <w:bookmarkEnd w:id="57"/>
      <w:bookmarkEnd w:id="58"/>
      <w:bookmarkEnd w:id="59"/>
      <w:bookmarkEnd w:id="60"/>
      <w:bookmarkEnd w:id="61"/>
      <w:bookmarkEnd w:id="62"/>
      <w:bookmarkEnd w:id="63"/>
      <w:bookmarkEnd w:id="64"/>
      <w:bookmarkEnd w:id="65"/>
    </w:p>
    <w:p w14:paraId="233F7854" w14:textId="22FA0E31" w:rsidR="00ED4DF9" w:rsidRDefault="00E86965" w:rsidP="00ED4DF9">
      <w:pPr>
        <w:spacing w:after="240"/>
        <w:rPr>
          <w:rFonts w:cs="Arial"/>
        </w:rPr>
      </w:pPr>
      <w:r w:rsidRPr="005D1AA0">
        <w:rPr>
          <w:rFonts w:cs="Arial"/>
        </w:rPr>
        <w:t>It has been longstanding practice to consult widely on proposed new or amended vehicle standards.  For many years there has been active co</w:t>
      </w:r>
      <w:r w:rsidR="00747017">
        <w:rPr>
          <w:rFonts w:cs="Arial"/>
        </w:rPr>
        <w:t>llaboration between the Federal</w:t>
      </w:r>
      <w:r>
        <w:rPr>
          <w:rFonts w:cs="Arial"/>
        </w:rPr>
        <w:t xml:space="preserve">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33F7855" w14:textId="2D0D7FDF" w:rsidR="00ED4DF9" w:rsidRPr="00A01A9E" w:rsidRDefault="00E86965" w:rsidP="00ED4DF9">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00747017">
        <w:rPr>
          <w:rFonts w:cs="Arial"/>
        </w:rPr>
        <w:t xml:space="preserve"> (the Council)</w:t>
      </w:r>
      <w:r w:rsidRPr="005E2CAE">
        <w:rPr>
          <w:rFonts w:cs="Arial"/>
        </w:rPr>
        <w:t>.</w:t>
      </w:r>
    </w:p>
    <w:p w14:paraId="233F7856" w14:textId="77777777" w:rsidR="00ED4DF9" w:rsidRDefault="00E86965" w:rsidP="00ED4DF9">
      <w:pPr>
        <w:numPr>
          <w:ilvl w:val="0"/>
          <w:numId w:val="22"/>
        </w:numPr>
        <w:spacing w:after="160"/>
        <w:rPr>
          <w:rFonts w:cs="Arial"/>
        </w:rPr>
      </w:pPr>
      <w:r>
        <w:lastRenderedPageBreak/>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33F7857" w14:textId="77777777" w:rsidR="00ED4DF9" w:rsidRDefault="00E86965" w:rsidP="00ED4DF9">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14:paraId="233F7858" w14:textId="77777777" w:rsidR="00ED4DF9" w:rsidRDefault="00E86965" w:rsidP="00ED4DF9">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14:paraId="233F7859" w14:textId="77777777" w:rsidR="00ED4DF9" w:rsidRPr="00A01A9E" w:rsidRDefault="00E86965" w:rsidP="00ED4DF9">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14:paraId="233F785A" w14:textId="79EF4A1A" w:rsidR="00ED4DF9" w:rsidRPr="00A01A9E" w:rsidRDefault="00E86965" w:rsidP="00ED4DF9">
      <w:pPr>
        <w:numPr>
          <w:ilvl w:val="0"/>
          <w:numId w:val="22"/>
        </w:numPr>
        <w:spacing w:after="240"/>
        <w:rPr>
          <w:rFonts w:cs="Arial"/>
        </w:rPr>
      </w:pPr>
      <w:r>
        <w:rPr>
          <w:rFonts w:cs="Arial"/>
        </w:rPr>
        <w:t>The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14:paraId="233F785B" w14:textId="77777777" w:rsidR="00ED4DF9" w:rsidRDefault="00E86965" w:rsidP="00ED4DF9">
      <w:pPr>
        <w:spacing w:after="240"/>
        <w:rPr>
          <w:rFonts w:cs="Arial"/>
        </w:rPr>
      </w:pPr>
      <w:r>
        <w:rPr>
          <w:rFonts w:cs="Arial"/>
        </w:rPr>
        <w:t xml:space="preserve">Editorial changes and changes to correct errors are processed by the Department of </w:t>
      </w:r>
      <w:r>
        <w:t xml:space="preserve">Infrastructure and </w:t>
      </w:r>
      <w:r w:rsidRPr="00AF0EC9">
        <w:t>Regional Development</w:t>
      </w:r>
      <w:r>
        <w:rPr>
          <w:rFonts w:cs="Arial"/>
        </w:rPr>
        <w:t>.  This approach is only used where the amendments do not vary the intent of the vehicle standard.</w:t>
      </w:r>
    </w:p>
    <w:p w14:paraId="233F785C" w14:textId="77777777" w:rsidR="00ED4DF9" w:rsidRPr="008607BD" w:rsidRDefault="00E86965" w:rsidP="00003F3F">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Pr>
          <w:rFonts w:cs="Arial"/>
        </w:rPr>
        <w:t>’</w:t>
      </w:r>
      <w:r w:rsidRPr="00867B73">
        <w:rPr>
          <w:rFonts w:cs="Arial"/>
        </w:rPr>
        <w:t xml:space="preserve">s </w:t>
      </w:r>
      <w:r w:rsidRPr="00AB6B4E">
        <w:rPr>
          <w:rFonts w:cs="Arial"/>
          <w:i/>
          <w:iCs/>
        </w:rPr>
        <w:t>Best Practice Regulation: A Guide</w:t>
      </w:r>
      <w:r>
        <w:rPr>
          <w:rFonts w:cs="Arial"/>
        </w:rPr>
        <w:t xml:space="preserve"> </w:t>
      </w:r>
      <w:r w:rsidRPr="00867B73">
        <w:rPr>
          <w:rFonts w:cs="Arial"/>
          <w:i/>
        </w:rPr>
        <w:t>for Ministerial Councils and Standard-Setting Bodies</w:t>
      </w:r>
      <w:r w:rsidRPr="00867B73">
        <w:rPr>
          <w:rFonts w:cs="Arial"/>
        </w:rPr>
        <w:t>.</w:t>
      </w:r>
    </w:p>
    <w:p w14:paraId="233F785D" w14:textId="77777777" w:rsidR="00ED4DF9" w:rsidRPr="00875240" w:rsidRDefault="00E86965" w:rsidP="00070368">
      <w:pPr>
        <w:pStyle w:val="Heading2"/>
      </w:pPr>
      <w:bookmarkStart w:id="66" w:name="_Toc256000007"/>
      <w:bookmarkStart w:id="67" w:name="_Toc317171389"/>
      <w:bookmarkStart w:id="68" w:name="_Toc317171515"/>
      <w:bookmarkStart w:id="69" w:name="_Toc377388632"/>
      <w:bookmarkStart w:id="70" w:name="_Toc393194586"/>
      <w:bookmarkStart w:id="71" w:name="_Toc409446970"/>
      <w:bookmarkStart w:id="72" w:name="_Toc433288579"/>
      <w:bookmarkStart w:id="73" w:name="_Toc433369731"/>
      <w:r w:rsidRPr="00875240">
        <w:t>Specific Consultation Arrangements for this Vehicle Standard</w:t>
      </w:r>
      <w:bookmarkEnd w:id="66"/>
      <w:bookmarkEnd w:id="67"/>
      <w:bookmarkEnd w:id="68"/>
      <w:bookmarkEnd w:id="69"/>
      <w:bookmarkEnd w:id="70"/>
      <w:bookmarkEnd w:id="71"/>
      <w:bookmarkEnd w:id="72"/>
      <w:bookmarkEnd w:id="73"/>
    </w:p>
    <w:p w14:paraId="233F785E" w14:textId="67856FB1" w:rsidR="00E9296B" w:rsidRDefault="00BF517E" w:rsidP="00ED4DF9">
      <w:pPr>
        <w:spacing w:after="240"/>
      </w:pPr>
      <w:r>
        <w:t>As this amendment applies an editorial change</w:t>
      </w:r>
      <w:r w:rsidR="00F563E7">
        <w:t xml:space="preserve"> to correct error</w:t>
      </w:r>
      <w:r w:rsidR="00FE2C99">
        <w:t>s</w:t>
      </w:r>
      <w:r>
        <w:t xml:space="preserve"> only</w:t>
      </w:r>
      <w:r w:rsidR="00F563E7">
        <w:t xml:space="preserve"> and does not vary the intent of the standard</w:t>
      </w:r>
      <w:r>
        <w:t>, no specific consultation has been conducted.</w:t>
      </w:r>
    </w:p>
    <w:p w14:paraId="233F785F" w14:textId="07B613BE" w:rsidR="00ED4DF9" w:rsidRPr="00FC40B0" w:rsidRDefault="00E86965" w:rsidP="00ED4DF9">
      <w:pPr>
        <w:spacing w:after="240"/>
      </w:pPr>
      <w:r w:rsidRPr="00AA3C7B">
        <w:t>As the amendment is minor in nature, and does not increase the stringency of the ADR, there is no need for furth</w:t>
      </w:r>
      <w:r w:rsidR="00747017">
        <w:t>er consultation through TISOC, T</w:t>
      </w:r>
      <w:r w:rsidRPr="00AA3C7B">
        <w:t>he Council, or the public comment process.</w:t>
      </w:r>
    </w:p>
    <w:p w14:paraId="233F7860" w14:textId="77777777" w:rsidR="00ED4DF9" w:rsidRPr="00AD1A1D" w:rsidRDefault="00E86965" w:rsidP="00070368">
      <w:pPr>
        <w:pStyle w:val="Heading2"/>
      </w:pPr>
      <w:bookmarkStart w:id="74" w:name="_Toc256000008"/>
      <w:bookmarkStart w:id="75" w:name="_Toc317171390"/>
      <w:bookmarkStart w:id="76" w:name="_Toc317171516"/>
      <w:bookmarkStart w:id="77" w:name="_Toc377388633"/>
      <w:bookmarkStart w:id="78" w:name="_Toc393194587"/>
      <w:bookmarkStart w:id="79" w:name="_Toc409446971"/>
      <w:bookmarkStart w:id="80" w:name="_Toc433288580"/>
      <w:bookmarkStart w:id="81" w:name="_Toc433369732"/>
      <w:r w:rsidRPr="00AD1A1D">
        <w:t>Regulation Impact Statement</w:t>
      </w:r>
      <w:bookmarkEnd w:id="74"/>
      <w:bookmarkEnd w:id="75"/>
      <w:bookmarkEnd w:id="76"/>
      <w:bookmarkEnd w:id="77"/>
      <w:bookmarkEnd w:id="78"/>
      <w:bookmarkEnd w:id="79"/>
      <w:bookmarkEnd w:id="80"/>
      <w:bookmarkEnd w:id="81"/>
      <w:r w:rsidRPr="00AD1A1D">
        <w:t xml:space="preserve"> </w:t>
      </w:r>
    </w:p>
    <w:p w14:paraId="233F7861" w14:textId="77777777" w:rsidR="00ED4DF9" w:rsidRDefault="00E86965" w:rsidP="00ED4DF9">
      <w:pPr>
        <w:spacing w:after="240"/>
      </w:pPr>
      <w:r>
        <w:t>As the proposed amendment does not increase the stringency of the ADR, a Regulation Impact Statement is not required.</w:t>
      </w:r>
    </w:p>
    <w:p w14:paraId="233F7862" w14:textId="2A016ACF" w:rsidR="00ED4DF9" w:rsidRDefault="00E86965" w:rsidP="00ED4DF9">
      <w:pPr>
        <w:spacing w:after="240"/>
      </w:pPr>
      <w:r w:rsidRPr="00E636B0">
        <w:t xml:space="preserve">Since the decision is made by the Minister for </w:t>
      </w:r>
      <w:r w:rsidR="00E636B0" w:rsidRPr="00E636B0">
        <w:t>Urban Infrastructure</w:t>
      </w:r>
      <w:r w:rsidRPr="00E636B0">
        <w:t xml:space="preserve"> without reference to the Council and the proposal is not considered significant, the Office of Best </w:t>
      </w:r>
      <w:r w:rsidRPr="00E636B0">
        <w:lastRenderedPageBreak/>
        <w:t xml:space="preserve">Practice Regulation requirements have been met for this regulatory proposal (OBPR Reference </w:t>
      </w:r>
      <w:r w:rsidRPr="006D4D5A">
        <w:t xml:space="preserve">ID </w:t>
      </w:r>
      <w:r w:rsidR="006D4D5A" w:rsidRPr="006D4D5A">
        <w:t>21345</w:t>
      </w:r>
      <w:r w:rsidRPr="006D4D5A">
        <w:t>).</w:t>
      </w:r>
    </w:p>
    <w:p w14:paraId="233F7863" w14:textId="77777777" w:rsidR="00586887" w:rsidRPr="00CA7971" w:rsidRDefault="00E86965" w:rsidP="00070368">
      <w:pPr>
        <w:pStyle w:val="Heading1"/>
      </w:pPr>
      <w:bookmarkStart w:id="82" w:name="_Toc256000009"/>
      <w:bookmarkStart w:id="83" w:name="_Toc409446972"/>
      <w:bookmarkStart w:id="84" w:name="_Toc433288581"/>
      <w:bookmarkStart w:id="85" w:name="_Toc433369733"/>
      <w:bookmarkEnd w:id="39"/>
      <w:bookmarkEnd w:id="40"/>
      <w:r w:rsidRPr="00CA7971">
        <w:t>STATEMENT OF COMPATIBILITY WITH HUMAN RIGHTS</w:t>
      </w:r>
      <w:bookmarkEnd w:id="82"/>
      <w:bookmarkEnd w:id="41"/>
      <w:bookmarkEnd w:id="42"/>
      <w:bookmarkEnd w:id="43"/>
      <w:bookmarkEnd w:id="44"/>
      <w:bookmarkEnd w:id="45"/>
      <w:bookmarkEnd w:id="46"/>
      <w:bookmarkEnd w:id="47"/>
      <w:bookmarkEnd w:id="83"/>
      <w:bookmarkEnd w:id="84"/>
      <w:bookmarkEnd w:id="85"/>
    </w:p>
    <w:p w14:paraId="233F7864" w14:textId="77777777" w:rsidR="00586887" w:rsidRPr="00CA7971" w:rsidRDefault="00E86965"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233F7865" w14:textId="77777777" w:rsidR="00586887" w:rsidRPr="00CA7971" w:rsidRDefault="00E86965" w:rsidP="00070368">
      <w:pPr>
        <w:pStyle w:val="Heading2"/>
      </w:pPr>
      <w:bookmarkStart w:id="86" w:name="_Toc256000010"/>
      <w:bookmarkStart w:id="87" w:name="_Toc318271646"/>
      <w:bookmarkStart w:id="88" w:name="_Toc317171518"/>
      <w:bookmarkStart w:id="89" w:name="_Toc317171392"/>
      <w:bookmarkStart w:id="90" w:name="_Toc318272905"/>
      <w:bookmarkStart w:id="91" w:name="_Toc319402530"/>
      <w:bookmarkStart w:id="92" w:name="_Toc390430620"/>
      <w:bookmarkStart w:id="93" w:name="_Toc409446973"/>
      <w:bookmarkStart w:id="94" w:name="_Toc433288582"/>
      <w:bookmarkStart w:id="95" w:name="_Toc433369734"/>
      <w:r w:rsidRPr="00CA7971">
        <w:t>Overview of the Legislative Instrument</w:t>
      </w:r>
      <w:bookmarkEnd w:id="86"/>
      <w:bookmarkEnd w:id="87"/>
      <w:bookmarkEnd w:id="88"/>
      <w:bookmarkEnd w:id="89"/>
      <w:bookmarkEnd w:id="90"/>
      <w:bookmarkEnd w:id="91"/>
      <w:bookmarkEnd w:id="92"/>
      <w:bookmarkEnd w:id="93"/>
      <w:bookmarkEnd w:id="94"/>
      <w:bookmarkEnd w:id="95"/>
    </w:p>
    <w:p w14:paraId="233F7866" w14:textId="5DC679D0" w:rsidR="00586887" w:rsidRPr="00CA7971" w:rsidRDefault="00E86965" w:rsidP="002501C9">
      <w:r w:rsidRPr="008F0437">
        <w:t>This amendment</w:t>
      </w:r>
      <w:r>
        <w:t xml:space="preserve"> will </w:t>
      </w:r>
      <w:r w:rsidR="00F563E7">
        <w:t>remove an error in the text of the regulation relating to handlebar width and vehicle categories.</w:t>
      </w:r>
    </w:p>
    <w:p w14:paraId="233F7867" w14:textId="77777777" w:rsidR="00586887" w:rsidRPr="00CA7971" w:rsidRDefault="00E86965" w:rsidP="00070368">
      <w:pPr>
        <w:pStyle w:val="Heading2"/>
      </w:pPr>
      <w:bookmarkStart w:id="96" w:name="_Toc256000011"/>
      <w:bookmarkStart w:id="97" w:name="_Toc318271647"/>
      <w:bookmarkStart w:id="98" w:name="_Toc317171519"/>
      <w:bookmarkStart w:id="99" w:name="_Toc317171393"/>
      <w:bookmarkStart w:id="100" w:name="_Toc318272906"/>
      <w:bookmarkStart w:id="101" w:name="_Toc319402531"/>
      <w:bookmarkStart w:id="102" w:name="_Toc390430621"/>
      <w:bookmarkStart w:id="103" w:name="_Toc409446974"/>
      <w:bookmarkStart w:id="104" w:name="_Toc433288583"/>
      <w:bookmarkStart w:id="105" w:name="_Toc433369735"/>
      <w:r w:rsidRPr="00CA7971">
        <w:t>Human Rights Implications</w:t>
      </w:r>
      <w:bookmarkEnd w:id="96"/>
      <w:bookmarkEnd w:id="97"/>
      <w:bookmarkEnd w:id="98"/>
      <w:bookmarkEnd w:id="99"/>
      <w:bookmarkEnd w:id="100"/>
      <w:bookmarkEnd w:id="101"/>
      <w:bookmarkEnd w:id="102"/>
      <w:bookmarkEnd w:id="103"/>
      <w:bookmarkEnd w:id="104"/>
      <w:bookmarkEnd w:id="105"/>
    </w:p>
    <w:p w14:paraId="233F7868" w14:textId="77777777" w:rsidR="007C7E7E" w:rsidRDefault="00E86965">
      <w:bookmarkStart w:id="106" w:name="_Toc319402532"/>
      <w:r w:rsidRPr="00194C83">
        <w:t xml:space="preserve">This amendment to ADR </w:t>
      </w:r>
      <w:r>
        <w:t xml:space="preserve">57/00 </w:t>
      </w:r>
      <w:r w:rsidRPr="00194C83">
        <w:t xml:space="preserve">does not engage any of the human rights and freedoms recognised or declared in the international instruments listed in section 3 of the </w:t>
      </w:r>
      <w:r w:rsidRPr="00E45699">
        <w:rPr>
          <w:i/>
        </w:rPr>
        <w:t>Human Rights (Parliamentary Scrutiny) Act 2011</w:t>
      </w:r>
      <w:r w:rsidRPr="00194C83">
        <w:t>.</w:t>
      </w:r>
    </w:p>
    <w:p w14:paraId="233F7869" w14:textId="77777777" w:rsidR="00586887" w:rsidRPr="00CA7971" w:rsidRDefault="00E86965" w:rsidP="00070368">
      <w:pPr>
        <w:pStyle w:val="Heading2"/>
      </w:pPr>
      <w:bookmarkStart w:id="107" w:name="_Toc256000012"/>
      <w:bookmarkStart w:id="108" w:name="_Toc409446975"/>
      <w:bookmarkStart w:id="109" w:name="_Toc433288584"/>
      <w:bookmarkStart w:id="110" w:name="_Toc433369736"/>
      <w:r w:rsidRPr="00CA7971">
        <w:t>Conclusion</w:t>
      </w:r>
      <w:bookmarkEnd w:id="107"/>
      <w:bookmarkEnd w:id="106"/>
      <w:bookmarkEnd w:id="108"/>
      <w:bookmarkEnd w:id="109"/>
      <w:bookmarkEnd w:id="110"/>
    </w:p>
    <w:p w14:paraId="233F786A" w14:textId="77777777" w:rsidR="002D7277" w:rsidRPr="007A3BB4" w:rsidRDefault="00E86965" w:rsidP="0012110B">
      <w:r w:rsidRPr="00194C83">
        <w:t xml:space="preserve">This amendment to ADR </w:t>
      </w:r>
      <w:r>
        <w:t xml:space="preserve">57/00 </w:t>
      </w:r>
      <w:r w:rsidRPr="00194C83">
        <w:t>is compatible with human rights as it does not raise any human rights issues.</w:t>
      </w:r>
    </w:p>
    <w:sectPr w:rsidR="002D7277" w:rsidRPr="007A3BB4" w:rsidSect="00BF517E">
      <w:headerReference w:type="default" r:id="rId15"/>
      <w:headerReference w:type="firs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
        <w:separator/>
      </w:r>
    </w:p>
  </w:endnote>
  <w:endnote w:type="continuationSeparator" w:id="0">
    <w:p w14:paraId="233F7881" w14:textId="77777777" w:rsidR="006E7901" w:rsidRDefault="00E8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727"/>
      <w:docPartObj>
        <w:docPartGallery w:val="Page Numbers (Bottom of Page)"/>
        <w:docPartUnique/>
      </w:docPartObj>
    </w:sdtPr>
    <w:sdtEndPr>
      <w:rPr>
        <w:noProof/>
      </w:rPr>
    </w:sdtEndPr>
    <w:sdtContent>
      <w:p w14:paraId="398F0AB2" w14:textId="73995CE1" w:rsidR="00BF517E" w:rsidRDefault="00BF517E">
        <w:pPr>
          <w:pStyle w:val="Footer"/>
          <w:pBdr>
            <w:bottom w:val="single" w:sz="6" w:space="1" w:color="auto"/>
          </w:pBdr>
          <w:jc w:val="right"/>
        </w:pPr>
      </w:p>
      <w:p w14:paraId="233F786F" w14:textId="3F9A1133" w:rsidR="00444B70" w:rsidRDefault="00EF25A5">
        <w:pPr>
          <w:pStyle w:val="Footer"/>
          <w:jc w:val="right"/>
          <w:rPr>
            <w:noProof/>
          </w:rPr>
        </w:pPr>
      </w:p>
    </w:sdtContent>
  </w:sdt>
  <w:p w14:paraId="070F8FF9" w14:textId="77777777" w:rsidR="00F563E7" w:rsidRDefault="00F563E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EF25A5">
    <w:pPr>
      <w:pStyle w:val="Footer"/>
      <w:jc w:val="right"/>
    </w:pPr>
  </w:p>
  <w:p w14:paraId="233F7874" w14:textId="77777777" w:rsidR="00444B70" w:rsidRDefault="00EF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
        <w:separator/>
      </w:r>
    </w:p>
  </w:footnote>
  <w:footnote w:type="continuationSeparator" w:id="0">
    <w:p w14:paraId="233F787D" w14:textId="77777777" w:rsidR="006E7901" w:rsidRDefault="00E8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77777777" w:rsidR="006B2A4B" w:rsidRDefault="00E86965">
    <w:pPr>
      <w:pStyle w:val="Header"/>
      <w:jc w:val="right"/>
    </w:pPr>
    <w:r>
      <w:fldChar w:fldCharType="begin"/>
    </w:r>
    <w:r>
      <w:instrText xml:space="preserve"> PAGE   \* MERGEFORMAT </w:instrText>
    </w:r>
    <w:r>
      <w:fldChar w:fldCharType="separate"/>
    </w:r>
    <w:r w:rsidR="00421960">
      <w:rPr>
        <w:noProof/>
      </w:rPr>
      <w:t>5</w:t>
    </w:r>
    <w:r>
      <w:rPr>
        <w:noProof/>
      </w:rPr>
      <w:fldChar w:fldCharType="end"/>
    </w:r>
  </w:p>
  <w:p w14:paraId="233F786C" w14:textId="77777777" w:rsidR="00541EF4" w:rsidRDefault="00E86965" w:rsidP="00541EF4">
    <w:pPr>
      <w:pStyle w:val="Header"/>
      <w:rPr>
        <w:szCs w:val="20"/>
      </w:rPr>
    </w:pPr>
    <w:r>
      <w:rPr>
        <w:szCs w:val="20"/>
      </w:rPr>
      <w:t>Explanatory Statement</w:t>
    </w:r>
  </w:p>
  <w:p w14:paraId="233F786D" w14:textId="77777777" w:rsidR="006B2A4B" w:rsidRDefault="00E86965">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233F786E" w14:textId="77777777" w:rsidR="00541EF4" w:rsidRDefault="00EF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1" w14:textId="626054CD" w:rsidR="0068774D" w:rsidRPr="002031D9" w:rsidRDefault="00E86965" w:rsidP="0068774D">
    <w:pPr>
      <w:pStyle w:val="Header"/>
      <w:jc w:val="right"/>
      <w:rPr>
        <w:rFonts w:asciiTheme="minorHAnsi" w:hAnsiTheme="minorHAnsi"/>
        <w:b/>
        <w:sz w:val="24"/>
      </w:rPr>
    </w:pPr>
    <w:r>
      <w:tab/>
    </w:r>
    <w:r>
      <w:tab/>
    </w:r>
  </w:p>
  <w:p w14:paraId="233F7872" w14:textId="77777777" w:rsidR="008B6483" w:rsidRDefault="00EF2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5" w14:textId="77777777" w:rsidR="00541EF4" w:rsidRDefault="00EF25A5">
    <w:pPr>
      <w:pStyle w:val="Header"/>
      <w:jc w:val="right"/>
    </w:pPr>
  </w:p>
  <w:p w14:paraId="233F7876" w14:textId="3F07FBDE" w:rsidR="00541EF4" w:rsidRDefault="00E86965" w:rsidP="00BF517E">
    <w:pPr>
      <w:pStyle w:val="Header"/>
      <w:tabs>
        <w:tab w:val="clear" w:pos="4153"/>
      </w:tabs>
      <w:rPr>
        <w:szCs w:val="20"/>
      </w:rPr>
    </w:pPr>
    <w:r>
      <w:rPr>
        <w:szCs w:val="20"/>
      </w:rPr>
      <w:t>Explanatory Statement</w:t>
    </w:r>
    <w:r w:rsidR="00BF517E">
      <w:rPr>
        <w:szCs w:val="20"/>
      </w:rPr>
      <w:tab/>
    </w:r>
    <w:r w:rsidR="00BF517E" w:rsidRPr="00BF517E">
      <w:rPr>
        <w:szCs w:val="20"/>
      </w:rPr>
      <w:fldChar w:fldCharType="begin"/>
    </w:r>
    <w:r w:rsidR="00BF517E" w:rsidRPr="00BF517E">
      <w:rPr>
        <w:szCs w:val="20"/>
      </w:rPr>
      <w:instrText xml:space="preserve"> PAGE   \* MERGEFORMAT </w:instrText>
    </w:r>
    <w:r w:rsidR="00BF517E" w:rsidRPr="00BF517E">
      <w:rPr>
        <w:szCs w:val="20"/>
      </w:rPr>
      <w:fldChar w:fldCharType="separate"/>
    </w:r>
    <w:r w:rsidR="00EF25A5">
      <w:rPr>
        <w:noProof/>
        <w:szCs w:val="20"/>
      </w:rPr>
      <w:t>3</w:t>
    </w:r>
    <w:r w:rsidR="00BF517E" w:rsidRPr="00BF517E">
      <w:rPr>
        <w:noProof/>
        <w:szCs w:val="20"/>
      </w:rPr>
      <w:fldChar w:fldCharType="end"/>
    </w:r>
  </w:p>
  <w:p w14:paraId="233F7878" w14:textId="0876EDB7" w:rsidR="00541EF4" w:rsidRDefault="00E86965" w:rsidP="00BF517E">
    <w:pPr>
      <w:pStyle w:val="Header"/>
      <w:pBdr>
        <w:bottom w:val="single" w:sz="6" w:space="1" w:color="auto"/>
      </w:pBdr>
    </w:pPr>
    <w:r>
      <w:rPr>
        <w:spacing w:val="-6"/>
      </w:rPr>
      <w:t xml:space="preserve">Vehicle Standard </w:t>
    </w:r>
    <w:r w:rsidR="00BF517E">
      <w:rPr>
        <w:spacing w:val="-6"/>
      </w:rPr>
      <w:t>(</w:t>
    </w:r>
    <w:r>
      <w:rPr>
        <w:rFonts w:cs="Arial"/>
        <w:spacing w:val="-6"/>
      </w:rPr>
      <w:t xml:space="preserve">Australian Design Rule 57/00 – </w:t>
    </w:r>
    <w:r>
      <w:rPr>
        <w:rFonts w:cs="Arial"/>
        <w:bCs/>
        <w:spacing w:val="-6"/>
      </w:rPr>
      <w:t>Special Requirements for L-</w:t>
    </w:r>
    <w:r w:rsidR="00BF517E">
      <w:rPr>
        <w:rFonts w:cs="Arial"/>
        <w:bCs/>
        <w:spacing w:val="-6"/>
      </w:rPr>
      <w:t>Group Vehicles) 2006 Amendment 2</w:t>
    </w:r>
  </w:p>
  <w:p w14:paraId="558A28FF" w14:textId="77777777" w:rsidR="00BF517E" w:rsidRDefault="00BF5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EF2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4"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7"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0"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7"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27"/>
    <w:rsid w:val="0038464F"/>
    <w:rsid w:val="00421960"/>
    <w:rsid w:val="00516DBF"/>
    <w:rsid w:val="00560227"/>
    <w:rsid w:val="005726BE"/>
    <w:rsid w:val="006C2184"/>
    <w:rsid w:val="006D4D5A"/>
    <w:rsid w:val="006E7901"/>
    <w:rsid w:val="00747017"/>
    <w:rsid w:val="00BD6A14"/>
    <w:rsid w:val="00BF517E"/>
    <w:rsid w:val="00E636B0"/>
    <w:rsid w:val="00E86965"/>
    <w:rsid w:val="00EF25A5"/>
    <w:rsid w:val="00F563E7"/>
    <w:rsid w:val="00FE2C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E6034E82EC7F44AB5EA43D13DE8228" ma:contentTypeVersion="" ma:contentTypeDescription="PDMS Document Site Content Type" ma:contentTypeScope="" ma:versionID="8ed7e83a26a162cd17f68cc645e4f72c">
  <xsd:schema xmlns:xsd="http://www.w3.org/2001/XMLSchema" xmlns:xs="http://www.w3.org/2001/XMLSchema" xmlns:p="http://schemas.microsoft.com/office/2006/metadata/properties" xmlns:ns2="A81F0870-6367-43E4-8288-09DC5FB414CD" targetNamespace="http://schemas.microsoft.com/office/2006/metadata/properties" ma:root="true" ma:fieldsID="d8f0f77f59130ae733db05d5d77878e6" ns2:_="">
    <xsd:import namespace="A81F0870-6367-43E4-8288-09DC5FB414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0870-6367-43E4-8288-09DC5FB414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81F0870-6367-43E4-8288-09DC5FB414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CE96-5F28-4284-B610-51F0F870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0870-6367-43E4-8288-09DC5FB4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3.xml><?xml version="1.0" encoding="utf-8"?>
<ds:datastoreItem xmlns:ds="http://schemas.openxmlformats.org/officeDocument/2006/customXml" ds:itemID="{07B5242C-9E7A-4B47-A853-7E861A5189FB}">
  <ds:schemaRefs>
    <ds:schemaRef ds:uri="http://www.w3.org/XML/1998/namespace"/>
    <ds:schemaRef ds:uri="http://purl.org/dc/elements/1.1/"/>
    <ds:schemaRef ds:uri="http://schemas.microsoft.com/office/2006/documentManagement/types"/>
    <ds:schemaRef ds:uri="A81F0870-6367-43E4-8288-09DC5FB414CD"/>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2382D5B-B5B7-4809-9EE5-8834AD11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2015-11-30T23:31:00Z</dcterms:created>
  <dcterms:modified xsi:type="dcterms:W3CDTF">2016-11-13T23:49:00Z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