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3A" w:rsidRDefault="005B0E3A" w:rsidP="005B0E3A">
      <w:pPr>
        <w:spacing w:before="63" w:line="479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</w:rPr>
        <w:t>EXPLANATORY</w:t>
      </w:r>
      <w:r>
        <w:rPr>
          <w:b/>
          <w:color w:val="000000"/>
          <w:spacing w:val="-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 xml:space="preserve">STATEMENT for </w:t>
      </w:r>
      <w:r>
        <w:rPr>
          <w:b/>
          <w:color w:val="000000"/>
          <w:spacing w:val="-1"/>
          <w:sz w:val="28"/>
        </w:rPr>
        <w:br/>
      </w:r>
      <w:r w:rsidR="00A26F80">
        <w:rPr>
          <w:b/>
          <w:color w:val="000000"/>
          <w:spacing w:val="-1"/>
          <w:sz w:val="28"/>
        </w:rPr>
        <w:t>ASIC CORPORATI</w:t>
      </w:r>
      <w:r w:rsidR="004534CA">
        <w:rPr>
          <w:b/>
          <w:color w:val="000000"/>
          <w:spacing w:val="-1"/>
          <w:sz w:val="28"/>
        </w:rPr>
        <w:t>ONS (REPEAL) INSTRUMENT 2016/1053</w:t>
      </w:r>
      <w:r>
        <w:rPr>
          <w:b/>
          <w:color w:val="000000"/>
          <w:spacing w:val="-1"/>
          <w:sz w:val="28"/>
        </w:rPr>
        <w:t xml:space="preserve"> </w:t>
      </w:r>
    </w:p>
    <w:p w:rsidR="005B0E3A" w:rsidRDefault="005B0E3A" w:rsidP="005B0E3A">
      <w:pPr>
        <w:pStyle w:val="BodyText"/>
        <w:jc w:val="center"/>
      </w:pPr>
      <w:r>
        <w:t>Prepared by the Australian Securities and Investments Commission</w:t>
      </w:r>
    </w:p>
    <w:p w:rsidR="005B0E3A" w:rsidRDefault="005B0E3A" w:rsidP="005B0E3A">
      <w:pPr>
        <w:spacing w:before="4" w:line="220" w:lineRule="exact"/>
        <w:jc w:val="center"/>
      </w:pPr>
    </w:p>
    <w:p w:rsidR="005B0E3A" w:rsidRDefault="005B0E3A" w:rsidP="005B0E3A">
      <w:pPr>
        <w:jc w:val="center"/>
        <w:rPr>
          <w:sz w:val="24"/>
          <w:szCs w:val="24"/>
        </w:rPr>
      </w:pPr>
      <w:r>
        <w:rPr>
          <w:i/>
          <w:sz w:val="24"/>
        </w:rPr>
        <w:t>Corporations Act 2001</w:t>
      </w:r>
    </w:p>
    <w:p w:rsidR="005B0E3A" w:rsidRDefault="005B0E3A" w:rsidP="005B0E3A">
      <w:pPr>
        <w:spacing w:before="3" w:line="220" w:lineRule="exact"/>
      </w:pPr>
    </w:p>
    <w:p w:rsidR="00144848" w:rsidRDefault="005B0E3A" w:rsidP="00144848">
      <w:pPr>
        <w:pStyle w:val="BodyText"/>
        <w:spacing w:line="261" w:lineRule="auto"/>
      </w:pPr>
      <w:r>
        <w:t xml:space="preserve">The Australian Securities and </w:t>
      </w:r>
      <w:r>
        <w:rPr>
          <w:spacing w:val="-1"/>
        </w:rPr>
        <w:t>Investments</w:t>
      </w:r>
      <w:r>
        <w:t xml:space="preserve"> </w:t>
      </w:r>
      <w:r>
        <w:rPr>
          <w:spacing w:val="-1"/>
        </w:rPr>
        <w:t>Commission</w:t>
      </w:r>
      <w:r>
        <w:t xml:space="preserve"> (</w:t>
      </w:r>
      <w:r w:rsidRPr="005A60A1">
        <w:rPr>
          <w:b/>
        </w:rPr>
        <w:t>ASIC</w:t>
      </w:r>
      <w:r>
        <w:t xml:space="preserve">) </w:t>
      </w:r>
      <w:r>
        <w:rPr>
          <w:spacing w:val="-1"/>
        </w:rPr>
        <w:t>makes</w:t>
      </w:r>
      <w:r w:rsidR="00922566">
        <w:rPr>
          <w:spacing w:val="-1"/>
        </w:rPr>
        <w:t xml:space="preserve"> ASIC Corporations (Repeal)</w:t>
      </w:r>
      <w:r w:rsidR="004534CA">
        <w:rPr>
          <w:spacing w:val="-1"/>
        </w:rPr>
        <w:t xml:space="preserve"> Instrument 2016/1053</w:t>
      </w:r>
      <w:r w:rsidR="00922566">
        <w:rPr>
          <w:spacing w:val="-1"/>
        </w:rPr>
        <w:t xml:space="preserve"> </w:t>
      </w:r>
      <w:r>
        <w:rPr>
          <w:color w:val="000000"/>
          <w:spacing w:val="-1"/>
        </w:rPr>
        <w:t xml:space="preserve">under </w:t>
      </w:r>
      <w:r w:rsidR="00552496">
        <w:rPr>
          <w:color w:val="000000"/>
          <w:spacing w:val="-1"/>
        </w:rPr>
        <w:t xml:space="preserve">subsection </w:t>
      </w:r>
      <w:proofErr w:type="gramStart"/>
      <w:r w:rsidR="00552496">
        <w:rPr>
          <w:color w:val="000000"/>
          <w:spacing w:val="-1"/>
        </w:rPr>
        <w:t>1020F(</w:t>
      </w:r>
      <w:proofErr w:type="gramEnd"/>
      <w:r w:rsidR="00552496">
        <w:rPr>
          <w:color w:val="000000"/>
          <w:spacing w:val="-1"/>
        </w:rPr>
        <w:t xml:space="preserve">1) of the </w:t>
      </w:r>
      <w:r w:rsidR="00552496" w:rsidRPr="00552496">
        <w:rPr>
          <w:i/>
          <w:color w:val="000000"/>
          <w:spacing w:val="-1"/>
        </w:rPr>
        <w:t>Corporations Act 2001</w:t>
      </w:r>
      <w:r w:rsidR="00552496">
        <w:rPr>
          <w:color w:val="000000"/>
          <w:spacing w:val="-1"/>
        </w:rPr>
        <w:t xml:space="preserve"> (the </w:t>
      </w:r>
      <w:r w:rsidR="00552496" w:rsidRPr="00552496">
        <w:rPr>
          <w:b/>
          <w:color w:val="000000"/>
          <w:spacing w:val="-1"/>
        </w:rPr>
        <w:t>Act</w:t>
      </w:r>
      <w:r w:rsidR="00552496">
        <w:rPr>
          <w:color w:val="000000"/>
          <w:spacing w:val="-1"/>
        </w:rPr>
        <w:t xml:space="preserve">). </w:t>
      </w:r>
      <w:r w:rsidR="00552496">
        <w:rPr>
          <w:color w:val="000000"/>
          <w:spacing w:val="-1"/>
        </w:rPr>
        <w:br/>
      </w:r>
      <w:r w:rsidR="00552496">
        <w:rPr>
          <w:color w:val="000000"/>
          <w:spacing w:val="-1"/>
        </w:rPr>
        <w:br/>
      </w:r>
      <w:r w:rsidR="00144848">
        <w:t xml:space="preserve">Section </w:t>
      </w:r>
      <w:proofErr w:type="gramStart"/>
      <w:r w:rsidR="00144848">
        <w:t>1020F(</w:t>
      </w:r>
      <w:proofErr w:type="gramEnd"/>
      <w:r w:rsidR="00144848">
        <w:t xml:space="preserve">1) of the Act provides that ASIC may: </w:t>
      </w:r>
    </w:p>
    <w:p w:rsidR="00144848" w:rsidRDefault="00144848" w:rsidP="00144848">
      <w:pPr>
        <w:pStyle w:val="BodyText"/>
        <w:tabs>
          <w:tab w:val="clear" w:pos="567"/>
          <w:tab w:val="clear" w:pos="680"/>
        </w:tabs>
        <w:spacing w:line="261" w:lineRule="auto"/>
        <w:ind w:left="567" w:hanging="567"/>
      </w:pPr>
      <w:r>
        <w:t>(a)</w:t>
      </w:r>
      <w:r>
        <w:tab/>
      </w:r>
      <w:proofErr w:type="gramStart"/>
      <w:r>
        <w:t>exempt</w:t>
      </w:r>
      <w:proofErr w:type="gramEnd"/>
      <w:r>
        <w:t xml:space="preserve"> a person or class of persons from all or specified provisions of Part 7.9 of the Act; or</w:t>
      </w:r>
    </w:p>
    <w:p w:rsidR="00144848" w:rsidRDefault="00144848" w:rsidP="00144848">
      <w:pPr>
        <w:pStyle w:val="BodyText"/>
        <w:tabs>
          <w:tab w:val="clear" w:pos="567"/>
          <w:tab w:val="clear" w:pos="680"/>
        </w:tabs>
        <w:spacing w:line="261" w:lineRule="auto"/>
        <w:ind w:left="567" w:hanging="567"/>
      </w:pPr>
      <w:r>
        <w:t>(b)</w:t>
      </w:r>
      <w:r>
        <w:tab/>
      </w:r>
      <w:proofErr w:type="gramStart"/>
      <w:r>
        <w:t>exempt</w:t>
      </w:r>
      <w:proofErr w:type="gramEnd"/>
      <w:r>
        <w:t xml:space="preserve"> a financial product or  a class of financial products from all or specified provisions of Part 7.9 of the Act; or</w:t>
      </w:r>
    </w:p>
    <w:p w:rsidR="00144848" w:rsidRDefault="00144848" w:rsidP="00144848">
      <w:pPr>
        <w:pStyle w:val="BodyText"/>
        <w:tabs>
          <w:tab w:val="clear" w:pos="567"/>
          <w:tab w:val="clear" w:pos="680"/>
        </w:tabs>
        <w:spacing w:line="261" w:lineRule="auto"/>
        <w:ind w:left="567" w:hanging="567"/>
      </w:pPr>
      <w:r>
        <w:t>(c)</w:t>
      </w:r>
      <w:r>
        <w:tab/>
        <w:t>declare that Part 7.9 of the Act applies in relation to a person or a financial product, or a class of persons or financial products, as if specified provisions were omitted, modified or varied as specified in the declaration.</w:t>
      </w:r>
    </w:p>
    <w:p w:rsidR="00144848" w:rsidRDefault="00552496" w:rsidP="005A60A1">
      <w:pPr>
        <w:pStyle w:val="BodyText"/>
        <w:spacing w:line="261" w:lineRule="auto"/>
      </w:pPr>
      <w:r w:rsidRPr="00552496">
        <w:t>This legislative instrument</w:t>
      </w:r>
      <w:r w:rsidR="00144848">
        <w:t xml:space="preserve"> </w:t>
      </w:r>
      <w:r w:rsidR="00AC19DD">
        <w:t>repeals 3</w:t>
      </w:r>
      <w:r w:rsidRPr="00552496">
        <w:t xml:space="preserve"> class </w:t>
      </w:r>
      <w:r w:rsidR="00921AFD">
        <w:t xml:space="preserve">orders made by ASIC. </w:t>
      </w:r>
      <w:r w:rsidR="0026596A">
        <w:t xml:space="preserve">Subsection </w:t>
      </w:r>
      <w:proofErr w:type="gramStart"/>
      <w:r w:rsidR="0026596A">
        <w:t>1020F(</w:t>
      </w:r>
      <w:proofErr w:type="gramEnd"/>
      <w:r w:rsidR="0026596A">
        <w:t xml:space="preserve">1) of the Act </w:t>
      </w:r>
      <w:r w:rsidR="00144848">
        <w:t>was</w:t>
      </w:r>
      <w:r w:rsidR="0026596A">
        <w:t xml:space="preserve"> the source of power for each of those class orders. </w:t>
      </w:r>
    </w:p>
    <w:p w:rsidR="0026596A" w:rsidRDefault="00552496" w:rsidP="00144848">
      <w:pPr>
        <w:pStyle w:val="BodyText"/>
        <w:spacing w:line="261" w:lineRule="auto"/>
      </w:pPr>
      <w:r w:rsidRPr="00552496">
        <w:t xml:space="preserve">As this instrument is </w:t>
      </w:r>
      <w:r w:rsidR="00144848">
        <w:t>repealing</w:t>
      </w:r>
      <w:r w:rsidR="00144848" w:rsidRPr="00552496">
        <w:t xml:space="preserve"> </w:t>
      </w:r>
      <w:r w:rsidRPr="00552496">
        <w:t xml:space="preserve">those class orders, </w:t>
      </w:r>
      <w:r w:rsidR="00144848">
        <w:t xml:space="preserve">subsection </w:t>
      </w:r>
      <w:proofErr w:type="gramStart"/>
      <w:r w:rsidR="00144848">
        <w:t>1020F(</w:t>
      </w:r>
      <w:proofErr w:type="gramEnd"/>
      <w:r w:rsidR="00144848">
        <w:t>1) of the Act is also the source of power to make this legislative instrument</w:t>
      </w:r>
      <w:r w:rsidRPr="00552496">
        <w:t>.</w:t>
      </w:r>
      <w:r w:rsidR="0026596A">
        <w:t xml:space="preserve"> </w:t>
      </w:r>
      <w:r w:rsidR="0026596A" w:rsidRPr="00635073">
        <w:rPr>
          <w:szCs w:val="24"/>
          <w:lang w:val="en-US"/>
        </w:rPr>
        <w:t xml:space="preserve">Under subsection 33(3) of the </w:t>
      </w:r>
      <w:r w:rsidR="0026596A" w:rsidRPr="00F14685">
        <w:rPr>
          <w:i/>
          <w:szCs w:val="24"/>
          <w:lang w:val="en-US"/>
        </w:rPr>
        <w:t>Acts Interpretations Act 1901</w:t>
      </w:r>
      <w:r w:rsidR="0026596A" w:rsidRPr="00635073">
        <w:rPr>
          <w:szCs w:val="24"/>
          <w:lang w:val="en-US"/>
        </w:rPr>
        <w:t xml:space="preserve"> (as applicable to the relevant powers because of section 5C of the Act), where an Act confers a power to make, grant or issue any instrument (including rules, regulations or by-laws), the power shall be construed as including a power exercisable in the like manner and subject to the like conditions (if any) to repeal, rescind, revoke, amend or vary any such instrument.</w:t>
      </w:r>
    </w:p>
    <w:p w:rsidR="00552496" w:rsidRPr="00552496" w:rsidRDefault="00552496" w:rsidP="005B0E3A">
      <w:pPr>
        <w:pStyle w:val="BodyText"/>
        <w:spacing w:line="261" w:lineRule="auto"/>
      </w:pPr>
    </w:p>
    <w:p w:rsidR="005B0E3A" w:rsidRDefault="005B0E3A" w:rsidP="005B0E3A">
      <w:pPr>
        <w:widowControl w:val="0"/>
        <w:numPr>
          <w:ilvl w:val="0"/>
          <w:numId w:val="7"/>
        </w:numPr>
        <w:tabs>
          <w:tab w:val="left" w:pos="1592"/>
        </w:tabs>
        <w:spacing w:before="145" w:after="0"/>
        <w:ind w:left="0" w:firstLine="0"/>
        <w:rPr>
          <w:rFonts w:ascii="Arial" w:eastAsia="Arial" w:hAnsi="Arial" w:cs="Arial"/>
          <w:sz w:val="24"/>
          <w:szCs w:val="24"/>
        </w:rPr>
      </w:pPr>
      <w:bookmarkStart w:id="1" w:name="1._Background"/>
      <w:bookmarkEnd w:id="1"/>
      <w:r>
        <w:rPr>
          <w:rFonts w:ascii="Arial"/>
          <w:b/>
          <w:spacing w:val="-1"/>
          <w:sz w:val="24"/>
        </w:rPr>
        <w:t>Background</w:t>
      </w:r>
    </w:p>
    <w:p w:rsidR="005B0E3A" w:rsidRDefault="005B0E3A" w:rsidP="005B0E3A">
      <w:pPr>
        <w:spacing w:before="4" w:line="220" w:lineRule="exact"/>
      </w:pPr>
    </w:p>
    <w:p w:rsidR="00552496" w:rsidRPr="00552496" w:rsidRDefault="00552496" w:rsidP="00552496">
      <w:pPr>
        <w:pStyle w:val="BodyText"/>
        <w:shd w:val="clear" w:color="auto" w:fill="FFFFFF"/>
        <w:spacing w:before="0"/>
      </w:pPr>
      <w:r>
        <w:t>ASIC has recently reviewed 3</w:t>
      </w:r>
      <w:r w:rsidRPr="00552496">
        <w:t xml:space="preserve"> class orders which rela</w:t>
      </w:r>
      <w:r>
        <w:t>te primarily to the disclosure requirements in Chapter 7</w:t>
      </w:r>
      <w:r w:rsidRPr="00552496">
        <w:t xml:space="preserve"> of the Act. ASIC has decided to </w:t>
      </w:r>
      <w:r w:rsidR="00C337BE">
        <w:t>remake the relief found in each of</w:t>
      </w:r>
      <w:r w:rsidRPr="00552496">
        <w:t xml:space="preserve"> those class orders, where that relief is considered to still be both necessary and appropriate. </w:t>
      </w:r>
    </w:p>
    <w:p w:rsidR="00552496" w:rsidRPr="00552496" w:rsidRDefault="00552496" w:rsidP="00552496">
      <w:pPr>
        <w:pStyle w:val="BodyText"/>
        <w:shd w:val="clear" w:color="auto" w:fill="FFFFFF"/>
        <w:spacing w:before="0"/>
      </w:pPr>
      <w:r w:rsidRPr="00552496">
        <w:t> </w:t>
      </w:r>
    </w:p>
    <w:p w:rsidR="00552496" w:rsidRPr="00552496" w:rsidRDefault="00552496" w:rsidP="00552496">
      <w:pPr>
        <w:pStyle w:val="BodyText"/>
        <w:shd w:val="clear" w:color="auto" w:fill="FFFFFF"/>
        <w:spacing w:before="0"/>
      </w:pPr>
      <w:r w:rsidRPr="00552496">
        <w:lastRenderedPageBreak/>
        <w:t xml:space="preserve">The </w:t>
      </w:r>
      <w:r w:rsidRPr="00F23248">
        <w:rPr>
          <w:i/>
        </w:rPr>
        <w:t>Legislation Act 2003</w:t>
      </w:r>
      <w:r w:rsidRPr="00552496">
        <w:t xml:space="preserve"> (the </w:t>
      </w:r>
      <w:r w:rsidRPr="00F23248">
        <w:rPr>
          <w:b/>
        </w:rPr>
        <w:t>LA</w:t>
      </w:r>
      <w:r w:rsidRPr="00552496">
        <w:t>) provides for the periodic expiry of legislative instruments (‘</w:t>
      </w:r>
      <w:proofErr w:type="spellStart"/>
      <w:r w:rsidRPr="00552496">
        <w:t>sunsetting</w:t>
      </w:r>
      <w:proofErr w:type="spellEnd"/>
      <w:r w:rsidRPr="00552496">
        <w:t>’) to ensure that they are kept up to date and only remain in force for as</w:t>
      </w:r>
      <w:r w:rsidR="00F23248">
        <w:t xml:space="preserve"> long as they are needed. The 3</w:t>
      </w:r>
      <w:r w:rsidRPr="00552496">
        <w:t xml:space="preserve"> class orders reviewed, being legislative instruments, were scheduled to eventually expire under the </w:t>
      </w:r>
      <w:proofErr w:type="spellStart"/>
      <w:r w:rsidRPr="00552496">
        <w:t>sunsetting</w:t>
      </w:r>
      <w:proofErr w:type="spellEnd"/>
      <w:r w:rsidRPr="00552496">
        <w:t xml:space="preserve"> provisions of the LA. </w:t>
      </w:r>
    </w:p>
    <w:p w:rsidR="00552496" w:rsidRPr="00552496" w:rsidRDefault="00552496" w:rsidP="00552496">
      <w:pPr>
        <w:pStyle w:val="BodyText"/>
        <w:shd w:val="clear" w:color="auto" w:fill="FFFFFF"/>
        <w:spacing w:before="0"/>
      </w:pPr>
      <w:r w:rsidRPr="00552496">
        <w:t> </w:t>
      </w:r>
    </w:p>
    <w:p w:rsidR="00552496" w:rsidRPr="00552496" w:rsidRDefault="00552496" w:rsidP="00552496">
      <w:pPr>
        <w:pStyle w:val="BodyText"/>
        <w:shd w:val="clear" w:color="auto" w:fill="FFFFFF"/>
        <w:spacing w:before="0"/>
      </w:pPr>
      <w:r w:rsidRPr="00552496">
        <w:t>ASIC’s review of the policy underlying these class orders — and subsequent decision to r</w:t>
      </w:r>
      <w:r w:rsidR="005A60A1">
        <w:t xml:space="preserve">eissue the relief </w:t>
      </w:r>
      <w:r w:rsidR="005A60A1" w:rsidRPr="00552496">
        <w:t xml:space="preserve">— </w:t>
      </w:r>
      <w:r w:rsidRPr="00552496">
        <w:t xml:space="preserve">has provided an opportunity to deal with this imminent expiry and ensure that the relevant relief will continue to be available. </w:t>
      </w:r>
    </w:p>
    <w:p w:rsidR="005B0E3A" w:rsidRDefault="005B0E3A" w:rsidP="005B0E3A">
      <w:pPr>
        <w:spacing w:line="240" w:lineRule="exact"/>
        <w:rPr>
          <w:sz w:val="24"/>
          <w:szCs w:val="24"/>
        </w:rPr>
      </w:pPr>
    </w:p>
    <w:p w:rsidR="005B0E3A" w:rsidRPr="00A65270" w:rsidRDefault="005B0E3A" w:rsidP="00A65270">
      <w:pPr>
        <w:widowControl w:val="0"/>
        <w:numPr>
          <w:ilvl w:val="0"/>
          <w:numId w:val="7"/>
        </w:numPr>
        <w:tabs>
          <w:tab w:val="left" w:pos="1592"/>
        </w:tabs>
        <w:spacing w:before="145" w:after="0"/>
        <w:ind w:left="0" w:firstLine="0"/>
        <w:rPr>
          <w:rFonts w:ascii="Arial"/>
          <w:b/>
          <w:spacing w:val="-1"/>
          <w:sz w:val="24"/>
        </w:rPr>
      </w:pPr>
      <w:bookmarkStart w:id="2" w:name="2._Purpose_of_the_class_order_"/>
      <w:bookmarkEnd w:id="2"/>
      <w:r w:rsidRPr="00A65270">
        <w:rPr>
          <w:rFonts w:ascii="Arial"/>
          <w:b/>
          <w:spacing w:val="-1"/>
          <w:sz w:val="24"/>
        </w:rPr>
        <w:t>Purpose of the instrument</w:t>
      </w:r>
    </w:p>
    <w:p w:rsidR="00F23248" w:rsidRDefault="00F23248" w:rsidP="00F23248">
      <w:pPr>
        <w:pStyle w:val="BodyText"/>
        <w:shd w:val="clear" w:color="auto" w:fill="FFFFFF"/>
        <w:spacing w:before="0"/>
        <w:rPr>
          <w:rFonts w:ascii="Helvetica Neue" w:hAnsi="Helvetica Neue"/>
          <w:sz w:val="19"/>
          <w:szCs w:val="19"/>
          <w:lang w:val="en-US"/>
        </w:rPr>
      </w:pPr>
    </w:p>
    <w:p w:rsidR="00F23248" w:rsidRPr="00F23248" w:rsidRDefault="00F23248" w:rsidP="00F23248">
      <w:pPr>
        <w:pStyle w:val="BodyText"/>
        <w:shd w:val="clear" w:color="auto" w:fill="FFFFFF"/>
        <w:spacing w:before="0"/>
      </w:pPr>
      <w:r w:rsidRPr="00F23248">
        <w:t>The purpose of ASIC Corporati</w:t>
      </w:r>
      <w:r w:rsidR="002E4F5C">
        <w:t>ons (Repeal) Instrument 2016/1053</w:t>
      </w:r>
      <w:r w:rsidRPr="00F23248">
        <w:t xml:space="preserve"> is to repeal, in </w:t>
      </w:r>
      <w:r>
        <w:t>a single instrument, 3</w:t>
      </w:r>
      <w:r w:rsidRPr="00F23248">
        <w:t xml:space="preserve"> class orders which relate primarily to the </w:t>
      </w:r>
      <w:r>
        <w:t>disclosure provisions in Chapter 7</w:t>
      </w:r>
      <w:r w:rsidRPr="00F23248">
        <w:t xml:space="preserve">. </w:t>
      </w:r>
    </w:p>
    <w:p w:rsidR="00F23248" w:rsidRPr="00F23248" w:rsidRDefault="00F23248" w:rsidP="00F23248">
      <w:pPr>
        <w:pStyle w:val="BodyText"/>
        <w:shd w:val="clear" w:color="auto" w:fill="FFFFFF"/>
        <w:spacing w:before="0"/>
      </w:pPr>
      <w:r w:rsidRPr="00F23248">
        <w:t> </w:t>
      </w:r>
    </w:p>
    <w:p w:rsidR="00F23248" w:rsidRPr="00F23248" w:rsidRDefault="00F23248" w:rsidP="00F23248">
      <w:pPr>
        <w:pStyle w:val="BodyText"/>
        <w:shd w:val="clear" w:color="auto" w:fill="FFFFFF"/>
        <w:spacing w:before="0"/>
      </w:pPr>
      <w:r>
        <w:t xml:space="preserve">The relief found in all 3 class orders is remade in </w:t>
      </w:r>
      <w:r w:rsidRPr="00F23248">
        <w:t>3 new legislative instruments.</w:t>
      </w:r>
    </w:p>
    <w:p w:rsidR="005B0E3A" w:rsidRDefault="005B0E3A" w:rsidP="005B0E3A">
      <w:pPr>
        <w:spacing w:before="71"/>
        <w:rPr>
          <w:rFonts w:ascii="Arial"/>
          <w:b/>
        </w:rPr>
      </w:pPr>
    </w:p>
    <w:tbl>
      <w:tblPr>
        <w:tblW w:w="9645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325"/>
        <w:gridCol w:w="4751"/>
      </w:tblGrid>
      <w:tr w:rsidR="00F23248" w:rsidTr="00F23248">
        <w:trPr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F23248">
            <w:pPr>
              <w:pStyle w:val="BodyText"/>
              <w:spacing w:before="0"/>
              <w:rPr>
                <w:rFonts w:ascii="Helvetica Neue" w:hAnsi="Helvetica Neue"/>
                <w:sz w:val="19"/>
                <w:szCs w:val="19"/>
              </w:rPr>
            </w:pPr>
            <w:bookmarkStart w:id="3" w:name="Insert_a_level_3_heading_"/>
            <w:bookmarkEnd w:id="3"/>
            <w:r>
              <w:rPr>
                <w:rFonts w:ascii="Helvetica Neue" w:hAnsi="Helvetica Neue"/>
                <w:sz w:val="20"/>
              </w:rPr>
              <w:t> </w:t>
            </w:r>
          </w:p>
        </w:tc>
        <w:tc>
          <w:tcPr>
            <w:tcW w:w="4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F23248">
            <w:pPr>
              <w:pStyle w:val="BodyText"/>
              <w:spacing w:before="0"/>
              <w:jc w:val="center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b/>
                <w:bCs/>
                <w:sz w:val="20"/>
              </w:rPr>
              <w:t>Repealed class order</w:t>
            </w:r>
          </w:p>
        </w:tc>
        <w:tc>
          <w:tcPr>
            <w:tcW w:w="4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F23248">
            <w:pPr>
              <w:pStyle w:val="BodyText"/>
              <w:spacing w:before="0"/>
              <w:jc w:val="center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b/>
                <w:bCs/>
                <w:sz w:val="20"/>
              </w:rPr>
              <w:t>New legislative instrument</w:t>
            </w:r>
          </w:p>
        </w:tc>
      </w:tr>
      <w:tr w:rsidR="00F23248" w:rsidTr="00F23248">
        <w:trPr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F23248">
            <w:pPr>
              <w:pStyle w:val="BodyText"/>
              <w:spacing w:before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</w:rPr>
              <w:t>1.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0D10CC" w:rsidP="00DC5107">
            <w:pPr>
              <w:pStyle w:val="BodyText"/>
              <w:spacing w:before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</w:rPr>
              <w:t>[CO 02/1072</w:t>
            </w:r>
            <w:r w:rsidR="00F23248">
              <w:rPr>
                <w:rFonts w:ascii="Helvetica Neue" w:hAnsi="Helvetica Neue"/>
                <w:sz w:val="20"/>
              </w:rPr>
              <w:t xml:space="preserve">] </w:t>
            </w:r>
            <w:r w:rsidR="000D09C8">
              <w:rPr>
                <w:rFonts w:ascii="Helvetica Neue" w:hAnsi="Helvetica Neue"/>
                <w:i/>
                <w:sz w:val="20"/>
              </w:rPr>
              <w:t xml:space="preserve">Product Disclosure Statements: </w:t>
            </w:r>
            <w:r w:rsidR="00DC5107">
              <w:rPr>
                <w:rFonts w:ascii="Helvetica Neue" w:hAnsi="Helvetica Neue"/>
                <w:i/>
                <w:sz w:val="20"/>
              </w:rPr>
              <w:t>Top-up relief for managed investment schemes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DC5107" w:rsidP="00DC5107">
            <w:pPr>
              <w:pStyle w:val="BodyText"/>
              <w:spacing w:before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</w:rPr>
              <w:t>ASIC Corporations (Top-up Product Disclosure Stat</w:t>
            </w:r>
            <w:r w:rsidR="00DD1933">
              <w:rPr>
                <w:rFonts w:ascii="Helvetica Neue" w:hAnsi="Helvetica Neue"/>
                <w:sz w:val="20"/>
              </w:rPr>
              <w:t>ement</w:t>
            </w:r>
            <w:r w:rsidR="007C582F">
              <w:rPr>
                <w:rFonts w:ascii="Helvetica Neue" w:hAnsi="Helvetica Neue"/>
                <w:sz w:val="20"/>
              </w:rPr>
              <w:t>s</w:t>
            </w:r>
            <w:r w:rsidR="00DD1933">
              <w:rPr>
                <w:rFonts w:ascii="Helvetica Neue" w:hAnsi="Helvetica Neue"/>
                <w:sz w:val="20"/>
              </w:rPr>
              <w:t xml:space="preserve"> Relief) Instrument 2016/1054</w:t>
            </w:r>
          </w:p>
        </w:tc>
      </w:tr>
      <w:tr w:rsidR="00F23248" w:rsidTr="00F23248">
        <w:trPr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F23248">
            <w:pPr>
              <w:pStyle w:val="BodyText"/>
              <w:spacing w:before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</w:rPr>
              <w:t>2.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0D10CC" w:rsidP="00EB3652">
            <w:pPr>
              <w:pStyle w:val="BodyText"/>
              <w:spacing w:before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</w:rPr>
              <w:t>[CO 03/237</w:t>
            </w:r>
            <w:r w:rsidR="00F23248">
              <w:rPr>
                <w:rFonts w:ascii="Helvetica Neue" w:hAnsi="Helvetica Neue"/>
                <w:sz w:val="20"/>
              </w:rPr>
              <w:t xml:space="preserve">] </w:t>
            </w:r>
            <w:r w:rsidR="00EB3652">
              <w:rPr>
                <w:rFonts w:ascii="Helvetica Neue" w:hAnsi="Helvetica Neue"/>
                <w:i/>
                <w:sz w:val="20"/>
              </w:rPr>
              <w:t>Updated information in Product Disclosure Statements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F23248" w:rsidP="00EB3652">
            <w:pPr>
              <w:pStyle w:val="BodyText"/>
              <w:spacing w:before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</w:rPr>
              <w:t>ASIC Corporations (</w:t>
            </w:r>
            <w:r w:rsidR="00EB3652">
              <w:rPr>
                <w:rFonts w:ascii="Helvetica Neue" w:hAnsi="Helvetica Neue"/>
                <w:sz w:val="20"/>
              </w:rPr>
              <w:t>Updated Product Disclosur</w:t>
            </w:r>
            <w:r w:rsidR="00E660C5">
              <w:rPr>
                <w:rFonts w:ascii="Helvetica Neue" w:hAnsi="Helvetica Neue"/>
                <w:sz w:val="20"/>
              </w:rPr>
              <w:t>e Statements) Instrument 2016/1055</w:t>
            </w:r>
          </w:p>
        </w:tc>
      </w:tr>
      <w:tr w:rsidR="00F23248" w:rsidTr="00F23248">
        <w:trPr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F23248">
            <w:pPr>
              <w:pStyle w:val="BodyText"/>
              <w:spacing w:before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</w:rPr>
              <w:t>3.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0D10CC" w:rsidP="00346AC3">
            <w:pPr>
              <w:pStyle w:val="BodyText"/>
              <w:spacing w:before="0"/>
              <w:rPr>
                <w:rFonts w:ascii="Helvetica Neue" w:hAnsi="Helvetica Neue"/>
                <w:sz w:val="19"/>
                <w:szCs w:val="19"/>
              </w:rPr>
            </w:pPr>
            <w:r w:rsidRPr="00F763C3">
              <w:rPr>
                <w:rFonts w:ascii="Helvetica Neue" w:hAnsi="Helvetica Neue"/>
                <w:sz w:val="20"/>
              </w:rPr>
              <w:t>[CO 03/1092</w:t>
            </w:r>
            <w:r w:rsidR="00F23248" w:rsidRPr="00F763C3">
              <w:rPr>
                <w:rFonts w:ascii="Helvetica Neue" w:hAnsi="Helvetica Neue"/>
                <w:sz w:val="20"/>
              </w:rPr>
              <w:t xml:space="preserve">] </w:t>
            </w:r>
            <w:r w:rsidR="00346AC3" w:rsidRPr="00F763C3">
              <w:rPr>
                <w:rFonts w:ascii="Helvetica Neue" w:hAnsi="Helvetica Neue"/>
                <w:i/>
                <w:sz w:val="20"/>
              </w:rPr>
              <w:t xml:space="preserve">Further relief for joint Product </w:t>
            </w:r>
            <w:r w:rsidR="00346AC3">
              <w:rPr>
                <w:rFonts w:ascii="Helvetica Neue" w:hAnsi="Helvetica Neue"/>
                <w:i/>
                <w:sz w:val="20"/>
              </w:rPr>
              <w:t xml:space="preserve">Disclosure Statements 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248" w:rsidRDefault="00091C15" w:rsidP="00091C15">
            <w:pPr>
              <w:pStyle w:val="BodyText"/>
              <w:spacing w:before="0"/>
              <w:rPr>
                <w:rFonts w:ascii="Helvetica Neue" w:hAnsi="Helvetica Neue"/>
                <w:sz w:val="19"/>
                <w:szCs w:val="19"/>
              </w:rPr>
            </w:pPr>
            <w:r>
              <w:rPr>
                <w:rFonts w:ascii="Helvetica Neue" w:hAnsi="Helvetica Neue"/>
                <w:sz w:val="20"/>
              </w:rPr>
              <w:t xml:space="preserve">ASIC Corporations (Joint Product Disclosure </w:t>
            </w:r>
            <w:r w:rsidR="00F23248">
              <w:rPr>
                <w:rFonts w:ascii="Helvetica Neue" w:hAnsi="Helvetica Neue"/>
                <w:sz w:val="20"/>
              </w:rPr>
              <w:t xml:space="preserve">Statements) </w:t>
            </w:r>
            <w:r w:rsidR="001727C9">
              <w:rPr>
                <w:rFonts w:ascii="Helvetica Neue" w:hAnsi="Helvetica Neue"/>
                <w:sz w:val="20"/>
              </w:rPr>
              <w:t>Instrument 2016/1056</w:t>
            </w:r>
          </w:p>
        </w:tc>
      </w:tr>
    </w:tbl>
    <w:p w:rsidR="00F23248" w:rsidRDefault="00F23248" w:rsidP="005B0E3A">
      <w:pPr>
        <w:spacing w:line="240" w:lineRule="exact"/>
        <w:rPr>
          <w:sz w:val="24"/>
          <w:szCs w:val="24"/>
        </w:rPr>
      </w:pPr>
    </w:p>
    <w:p w:rsidR="00A65270" w:rsidRPr="00A65270" w:rsidRDefault="00A65270" w:rsidP="00A65270">
      <w:pPr>
        <w:pStyle w:val="Heading3"/>
        <w:keepNext w:val="0"/>
        <w:widowControl w:val="0"/>
        <w:tabs>
          <w:tab w:val="left" w:pos="1593"/>
        </w:tabs>
        <w:spacing w:after="0" w:line="240" w:lineRule="auto"/>
        <w:ind w:left="0"/>
        <w:jc w:val="left"/>
        <w:rPr>
          <w:rFonts w:eastAsia="Arial"/>
          <w:b/>
          <w:bCs/>
        </w:rPr>
      </w:pPr>
      <w:bookmarkStart w:id="4" w:name="3._Operation_of_the_class_order_"/>
      <w:bookmarkEnd w:id="4"/>
    </w:p>
    <w:p w:rsidR="005B0E3A" w:rsidRPr="00A65270" w:rsidRDefault="005B0E3A" w:rsidP="00A65270">
      <w:pPr>
        <w:widowControl w:val="0"/>
        <w:numPr>
          <w:ilvl w:val="0"/>
          <w:numId w:val="7"/>
        </w:numPr>
        <w:tabs>
          <w:tab w:val="left" w:pos="1592"/>
        </w:tabs>
        <w:spacing w:before="145" w:after="0"/>
        <w:ind w:left="0" w:firstLine="0"/>
        <w:rPr>
          <w:rFonts w:ascii="Arial"/>
          <w:b/>
          <w:spacing w:val="-1"/>
          <w:sz w:val="24"/>
        </w:rPr>
      </w:pPr>
      <w:r w:rsidRPr="00A65270">
        <w:rPr>
          <w:rFonts w:ascii="Arial"/>
          <w:b/>
          <w:spacing w:val="-1"/>
          <w:sz w:val="24"/>
        </w:rPr>
        <w:t>Operation of the instrument</w:t>
      </w:r>
    </w:p>
    <w:p w:rsidR="005B0E3A" w:rsidRDefault="005B0E3A" w:rsidP="005B0E3A">
      <w:pPr>
        <w:spacing w:before="4" w:line="220" w:lineRule="exact"/>
      </w:pPr>
    </w:p>
    <w:p w:rsidR="005B0E3A" w:rsidRDefault="007949A0" w:rsidP="005B0E3A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ASIC Corporat</w:t>
      </w:r>
      <w:r w:rsidR="002E4F5C">
        <w:rPr>
          <w:sz w:val="24"/>
          <w:szCs w:val="24"/>
        </w:rPr>
        <w:t>ions (Repeal) Instrument 2016/1053</w:t>
      </w:r>
      <w:r>
        <w:rPr>
          <w:sz w:val="24"/>
          <w:szCs w:val="24"/>
        </w:rPr>
        <w:t xml:space="preserve"> repeals the 3 class orders specified in the schedule to that instrument. </w:t>
      </w:r>
      <w:bookmarkStart w:id="5" w:name="4._Documents_incorporated_by_reference"/>
      <w:bookmarkEnd w:id="5"/>
    </w:p>
    <w:p w:rsidR="00A65270" w:rsidRDefault="00A65270" w:rsidP="005B0E3A">
      <w:pPr>
        <w:spacing w:line="240" w:lineRule="exact"/>
        <w:rPr>
          <w:sz w:val="24"/>
          <w:szCs w:val="24"/>
        </w:rPr>
      </w:pPr>
    </w:p>
    <w:p w:rsidR="005B0E3A" w:rsidRPr="00A65270" w:rsidRDefault="005B0E3A" w:rsidP="00A65270">
      <w:pPr>
        <w:widowControl w:val="0"/>
        <w:numPr>
          <w:ilvl w:val="0"/>
          <w:numId w:val="7"/>
        </w:numPr>
        <w:tabs>
          <w:tab w:val="left" w:pos="1592"/>
        </w:tabs>
        <w:spacing w:before="145" w:after="0"/>
        <w:ind w:left="0" w:firstLine="0"/>
        <w:rPr>
          <w:rFonts w:ascii="Arial"/>
          <w:b/>
          <w:spacing w:val="-1"/>
          <w:sz w:val="24"/>
        </w:rPr>
      </w:pPr>
      <w:bookmarkStart w:id="6" w:name="5._Consultation"/>
      <w:bookmarkEnd w:id="6"/>
      <w:r w:rsidRPr="00A65270">
        <w:rPr>
          <w:rFonts w:ascii="Arial"/>
          <w:b/>
          <w:spacing w:val="-1"/>
          <w:sz w:val="24"/>
        </w:rPr>
        <w:t>Consultation</w:t>
      </w:r>
    </w:p>
    <w:p w:rsidR="005B0E3A" w:rsidRDefault="005B0E3A" w:rsidP="005B0E3A">
      <w:pPr>
        <w:spacing w:before="4" w:line="220" w:lineRule="exact"/>
      </w:pPr>
    </w:p>
    <w:p w:rsidR="00755185" w:rsidRPr="00755185" w:rsidRDefault="00AC19DD" w:rsidP="00755185">
      <w:pPr>
        <w:pStyle w:val="BodyText"/>
        <w:shd w:val="clear" w:color="auto" w:fill="FFFFFF"/>
        <w:spacing w:before="0"/>
      </w:pPr>
      <w:r>
        <w:t>On 23 March 2016 ASIC released CP 255</w:t>
      </w:r>
      <w:r w:rsidR="00755185" w:rsidRPr="00755185">
        <w:t xml:space="preserve"> </w:t>
      </w:r>
      <w:r>
        <w:rPr>
          <w:spacing w:val="-1"/>
          <w:szCs w:val="24"/>
        </w:rPr>
        <w:t>Remaking ASIC class orders on financial services disclosure requirements</w:t>
      </w:r>
      <w:r w:rsidR="00524452">
        <w:rPr>
          <w:spacing w:val="-1"/>
          <w:szCs w:val="24"/>
        </w:rPr>
        <w:t>,</w:t>
      </w:r>
      <w:r w:rsidRPr="00755185">
        <w:t xml:space="preserve"> </w:t>
      </w:r>
      <w:r w:rsidR="00755185" w:rsidRPr="00755185">
        <w:t xml:space="preserve">seeking feedback on proposals to </w:t>
      </w:r>
      <w:r w:rsidR="00524452">
        <w:t xml:space="preserve">remake, without significant changes 3 class orders </w:t>
      </w:r>
      <w:r w:rsidR="00755185" w:rsidRPr="00755185">
        <w:t xml:space="preserve">relating </w:t>
      </w:r>
      <w:r w:rsidR="003A647E">
        <w:t>to Chapter 7 of the Act. CP 255</w:t>
      </w:r>
      <w:r w:rsidR="00755185" w:rsidRPr="00755185">
        <w:t xml:space="preserve"> referred to the expiry of class orders scheduled to eventually sunset under the LA and also sought feedback on proposals to reissue the legislative instruments. The consultation p</w:t>
      </w:r>
      <w:r w:rsidR="003A647E">
        <w:t>eriod closed on 26 April 2016</w:t>
      </w:r>
      <w:r w:rsidR="00755185" w:rsidRPr="00755185">
        <w:t>.</w:t>
      </w:r>
    </w:p>
    <w:p w:rsidR="00755185" w:rsidRPr="00755185" w:rsidRDefault="00755185" w:rsidP="00755185">
      <w:pPr>
        <w:pStyle w:val="BodyText"/>
        <w:shd w:val="clear" w:color="auto" w:fill="FFFFFF"/>
        <w:spacing w:before="0"/>
      </w:pPr>
      <w:r w:rsidRPr="00755185">
        <w:t> </w:t>
      </w:r>
    </w:p>
    <w:p w:rsidR="00755185" w:rsidRPr="00755185" w:rsidRDefault="003A647E" w:rsidP="003A647E">
      <w:pPr>
        <w:pStyle w:val="BodyText"/>
        <w:shd w:val="clear" w:color="auto" w:fill="FFFFFF"/>
        <w:spacing w:before="0"/>
      </w:pPr>
      <w:r w:rsidRPr="003A647E">
        <w:t xml:space="preserve">The feedback received in response to CP 255 supported our proposals to remake the </w:t>
      </w:r>
      <w:r w:rsidR="00586FC7">
        <w:t xml:space="preserve">relevant </w:t>
      </w:r>
      <w:r>
        <w:t xml:space="preserve">class orders, without significant changes. </w:t>
      </w:r>
    </w:p>
    <w:p w:rsidR="00755185" w:rsidRPr="00755185" w:rsidRDefault="00755185" w:rsidP="00755185">
      <w:pPr>
        <w:pStyle w:val="BodyText"/>
        <w:shd w:val="clear" w:color="auto" w:fill="FFFFFF"/>
        <w:spacing w:before="0"/>
      </w:pPr>
      <w:r w:rsidRPr="00755185">
        <w:t> </w:t>
      </w:r>
    </w:p>
    <w:p w:rsidR="005B0E3A" w:rsidRDefault="00755185" w:rsidP="00A65270">
      <w:pPr>
        <w:pStyle w:val="BodyText"/>
        <w:shd w:val="clear" w:color="auto" w:fill="FFFFFF"/>
        <w:spacing w:before="0"/>
        <w:sectPr w:rsidR="005B0E3A" w:rsidSect="00922566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644" w:right="1418" w:bottom="1418" w:left="1418" w:header="567" w:footer="567" w:gutter="0"/>
          <w:cols w:space="720"/>
          <w:docGrid w:linePitch="299"/>
        </w:sectPr>
      </w:pPr>
      <w:r w:rsidRPr="00755185">
        <w:lastRenderedPageBreak/>
        <w:t>Following the consultation, ASIC decided to proceed to reissue the cl</w:t>
      </w:r>
      <w:r w:rsidR="003A647E">
        <w:t>ass orders as proposed by CP 255</w:t>
      </w:r>
      <w:r w:rsidRPr="00755185">
        <w:t>.  Notwithstanding the consultation, ASIC considers that ASIC Corporati</w:t>
      </w:r>
      <w:r w:rsidR="002E4F5C">
        <w:t>ons (Repeal) Instrument 2016/1053</w:t>
      </w:r>
      <w:r w:rsidR="00833A39">
        <w:t xml:space="preserve"> </w:t>
      </w:r>
      <w:r w:rsidRPr="00755185">
        <w:t>is of a minor or machinery nature and, having regard to the contemporaneous reissuing of the class orders,  does not substantially alter existing arrangements.</w:t>
      </w:r>
    </w:p>
    <w:p w:rsidR="000076D6" w:rsidRDefault="000076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B5227" wp14:editId="646B7CAE">
                <wp:simplePos x="0" y="0"/>
                <wp:positionH relativeFrom="column">
                  <wp:posOffset>19050</wp:posOffset>
                </wp:positionH>
                <wp:positionV relativeFrom="paragraph">
                  <wp:posOffset>492760</wp:posOffset>
                </wp:positionV>
                <wp:extent cx="5311140" cy="6791325"/>
                <wp:effectExtent l="38100" t="38100" r="41910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95" w:rsidRPr="00834797" w:rsidRDefault="00D36795" w:rsidP="000076D6">
                            <w:pPr>
                              <w:spacing w:before="360" w:after="120"/>
                              <w:jc w:val="center"/>
                              <w:rPr>
                                <w:b/>
                              </w:rPr>
                            </w:pPr>
                            <w:r w:rsidRPr="00834797">
                              <w:rPr>
                                <w:b/>
                              </w:rPr>
                              <w:t>Statement of Compatibility with Human Rights</w:t>
                            </w: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  <w:jc w:val="center"/>
                            </w:pPr>
                            <w:r w:rsidRPr="00247F54">
                              <w:rPr>
                                <w:i/>
                              </w:rPr>
                              <w:t>Prepared in accordance with Part 3 of the Human Rights (Parliamentary Scrutiny) Act 2011</w:t>
                            </w: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ASIC Corporat</w:t>
                            </w:r>
                            <w:r w:rsidR="00C32555">
                              <w:rPr>
                                <w:b/>
                              </w:rPr>
                              <w:t>ions (Repeal) Instrument 2016/1053</w:t>
                            </w:r>
                            <w:r w:rsidRPr="00247F5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  <w:jc w:val="center"/>
                            </w:pPr>
                            <w:r>
                              <w:t>ASIC Corporations (Repeal) Instrument 2016</w:t>
                            </w:r>
                            <w:r w:rsidR="002E4F5C">
                              <w:t xml:space="preserve">/1053 </w:t>
                            </w:r>
                            <w:r w:rsidRPr="00247F54">
                              <w:t xml:space="preserve">is compatible with the human rights and freedoms recognised or declared in the international instruments listed in section 3 of the </w:t>
                            </w:r>
                            <w:r w:rsidRPr="00247F54">
                              <w:rPr>
                                <w:i/>
                              </w:rPr>
                              <w:t>Human Rights (Parliamentary Scrutiny) Act 2011</w:t>
                            </w:r>
                            <w:r w:rsidRPr="00247F54">
                              <w:t>.</w:t>
                            </w: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Overview</w:t>
                            </w:r>
                          </w:p>
                          <w:p w:rsidR="00D36795" w:rsidRDefault="00D36795" w:rsidP="000076D6">
                            <w:pPr>
                              <w:spacing w:before="120" w:after="120"/>
                            </w:pPr>
                            <w:r>
                              <w:t>ASIC Corporations (Repeal) Instrument 2016</w:t>
                            </w:r>
                            <w:r w:rsidR="007704B8">
                              <w:t>/1053</w:t>
                            </w:r>
                            <w:r>
                              <w:t xml:space="preserve"> repeals 3 </w:t>
                            </w:r>
                            <w:r w:rsidR="007E4E2F">
                              <w:t>class orders which relate to financial services</w:t>
                            </w:r>
                            <w:r>
                              <w:t xml:space="preserve"> disclosure requirements</w:t>
                            </w:r>
                            <w:r w:rsidR="00224133">
                              <w:t xml:space="preserve"> in Chapter 7 of the </w:t>
                            </w:r>
                            <w:r w:rsidR="00224133">
                              <w:rPr>
                                <w:i/>
                              </w:rPr>
                              <w:t xml:space="preserve">Corporations Act 2001 </w:t>
                            </w:r>
                            <w:r>
                              <w:t xml:space="preserve"> </w:t>
                            </w:r>
                          </w:p>
                          <w:p w:rsidR="00224133" w:rsidRPr="00883DB6" w:rsidRDefault="00224133" w:rsidP="000076D6">
                            <w:pPr>
                              <w:spacing w:before="120" w:after="120"/>
                            </w:pPr>
                          </w:p>
                          <w:p w:rsidR="00224133" w:rsidRDefault="00224133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Human rights implications</w:t>
                            </w: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</w:pPr>
                            <w:r w:rsidRPr="00247F54">
                              <w:t xml:space="preserve">This </w:t>
                            </w:r>
                            <w:r>
                              <w:t>l</w:t>
                            </w:r>
                            <w:r w:rsidRPr="00247F54">
                              <w:t xml:space="preserve">egislative </w:t>
                            </w:r>
                            <w:r>
                              <w:t>i</w:t>
                            </w:r>
                            <w:r w:rsidRPr="00247F54">
                              <w:t>nstrument does not engage any of the applicable rights or freedoms.</w:t>
                            </w:r>
                          </w:p>
                          <w:p w:rsidR="00D36795" w:rsidRDefault="00D36795" w:rsidP="000076D6">
                            <w:pPr>
                              <w:spacing w:before="120" w:after="120"/>
                            </w:pPr>
                          </w:p>
                          <w:p w:rsidR="00224133" w:rsidRPr="00247F54" w:rsidRDefault="00224133" w:rsidP="000076D6">
                            <w:pPr>
                              <w:spacing w:before="120" w:after="120"/>
                            </w:pP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Conclusion</w:t>
                            </w:r>
                          </w:p>
                          <w:p w:rsidR="00D36795" w:rsidRPr="00247F54" w:rsidRDefault="00D36795" w:rsidP="000076D6">
                            <w:pPr>
                              <w:spacing w:before="120" w:after="120"/>
                            </w:pPr>
                            <w:r w:rsidRPr="00247F54">
                              <w:t xml:space="preserve">This </w:t>
                            </w:r>
                            <w:r>
                              <w:t>l</w:t>
                            </w:r>
                            <w:r w:rsidRPr="00247F54">
                              <w:t xml:space="preserve">egislative </w:t>
                            </w:r>
                            <w:r>
                              <w:t>i</w:t>
                            </w:r>
                            <w:r w:rsidRPr="00247F54">
                              <w:t>nstrument is compatible with human rights as it does not raise any human rights issues.</w:t>
                            </w:r>
                          </w:p>
                          <w:p w:rsidR="00D36795" w:rsidRPr="00E4135E" w:rsidRDefault="00D36795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:rsidR="00D36795" w:rsidRPr="00E4135E" w:rsidRDefault="005B7AE1" w:rsidP="000076D6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Australian Securities and Investments Commission</w:t>
                            </w: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5pt;margin-top:38.8pt;width:418.2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" strokeweight="6pt">
                <v:stroke linestyle="thickBetweenThin"/>
                <v:textbox inset="5mm,,5mm">
                  <w:txbxContent>
                    <w:p w:rsidR="00D36795" w:rsidRPr="00834797" w:rsidRDefault="00D36795" w:rsidP="000076D6">
                      <w:pPr>
                        <w:spacing w:before="360" w:after="120"/>
                        <w:jc w:val="center"/>
                        <w:rPr>
                          <w:b/>
                        </w:rPr>
                      </w:pPr>
                      <w:r w:rsidRPr="00834797">
                        <w:rPr>
                          <w:b/>
                        </w:rPr>
                        <w:t>Statement of Compatibility with Human Rights</w:t>
                      </w:r>
                    </w:p>
                    <w:p w:rsidR="00D36795" w:rsidRPr="00247F54" w:rsidRDefault="00D36795" w:rsidP="000076D6">
                      <w:pPr>
                        <w:spacing w:before="120" w:after="120"/>
                        <w:jc w:val="center"/>
                      </w:pPr>
                      <w:r w:rsidRPr="00247F54">
                        <w:rPr>
                          <w:i/>
                        </w:rPr>
                        <w:t>Prepared in accordance with Part 3 of the Human Rights (Parliamentary Scrutiny) Act 2011</w:t>
                      </w:r>
                    </w:p>
                    <w:p w:rsidR="00D36795" w:rsidRPr="00247F54" w:rsidRDefault="00D36795" w:rsidP="000076D6">
                      <w:pPr>
                        <w:spacing w:before="120" w:after="120"/>
                        <w:jc w:val="center"/>
                      </w:pPr>
                    </w:p>
                    <w:p w:rsidR="00D36795" w:rsidRPr="00247F54" w:rsidRDefault="00D36795" w:rsidP="000076D6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ASIC Corporat</w:t>
                      </w:r>
                      <w:r w:rsidR="00C32555">
                        <w:rPr>
                          <w:b/>
                        </w:rPr>
                        <w:t>ions (Repeal) Instrument 2016/1053</w:t>
                      </w:r>
                      <w:r w:rsidRPr="00247F54">
                        <w:rPr>
                          <w:b/>
                        </w:rPr>
                        <w:t xml:space="preserve"> </w:t>
                      </w:r>
                    </w:p>
                    <w:p w:rsidR="00D36795" w:rsidRPr="00247F54" w:rsidRDefault="00D36795" w:rsidP="000076D6">
                      <w:pPr>
                        <w:spacing w:before="120" w:after="120"/>
                        <w:jc w:val="center"/>
                      </w:pPr>
                    </w:p>
                    <w:p w:rsidR="00D36795" w:rsidRPr="00247F54" w:rsidRDefault="00D36795" w:rsidP="000076D6">
                      <w:pPr>
                        <w:spacing w:before="120" w:after="120"/>
                        <w:jc w:val="center"/>
                      </w:pPr>
                      <w:r>
                        <w:t>ASIC Corporations (Repeal) Instrument 2016</w:t>
                      </w:r>
                      <w:r w:rsidR="002E4F5C">
                        <w:t xml:space="preserve">/1053 </w:t>
                      </w:r>
                      <w:r w:rsidRPr="00247F54">
                        <w:t xml:space="preserve">is compatible with the human rights and freedoms recognised or declared in the international instruments listed in section 3 of the </w:t>
                      </w:r>
                      <w:r w:rsidRPr="00247F54">
                        <w:rPr>
                          <w:i/>
                        </w:rPr>
                        <w:t>Human Rights (Parliamentary Scrutiny) Act 2011</w:t>
                      </w:r>
                      <w:r w:rsidRPr="00247F54">
                        <w:t>.</w:t>
                      </w:r>
                    </w:p>
                    <w:p w:rsidR="00D36795" w:rsidRPr="00247F54" w:rsidRDefault="00D36795" w:rsidP="000076D6">
                      <w:pPr>
                        <w:spacing w:before="120" w:after="120"/>
                        <w:jc w:val="center"/>
                      </w:pPr>
                    </w:p>
                    <w:p w:rsidR="00D36795" w:rsidRPr="00247F54" w:rsidRDefault="00D36795" w:rsidP="000076D6">
                      <w:pPr>
                        <w:spacing w:before="120" w:after="120"/>
                        <w:jc w:val="center"/>
                      </w:pPr>
                    </w:p>
                    <w:p w:rsidR="00D36795" w:rsidRPr="00247F54" w:rsidRDefault="00D36795" w:rsidP="000076D6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Overview</w:t>
                      </w:r>
                    </w:p>
                    <w:p w:rsidR="00D36795" w:rsidRDefault="00D36795" w:rsidP="000076D6">
                      <w:pPr>
                        <w:spacing w:before="120" w:after="120"/>
                      </w:pPr>
                      <w:r>
                        <w:t>ASIC Corporations (Repeal) Instrument 2016</w:t>
                      </w:r>
                      <w:r w:rsidR="007704B8">
                        <w:t>/1053</w:t>
                      </w:r>
                      <w:r>
                        <w:t xml:space="preserve"> repeals 3 </w:t>
                      </w:r>
                      <w:r w:rsidR="007E4E2F">
                        <w:t>class orders which relate to financial services</w:t>
                      </w:r>
                      <w:r>
                        <w:t xml:space="preserve"> disclosure requirements</w:t>
                      </w:r>
                      <w:r w:rsidR="00224133">
                        <w:t xml:space="preserve"> in Chapter 7 of the </w:t>
                      </w:r>
                      <w:r w:rsidR="00224133">
                        <w:rPr>
                          <w:i/>
                        </w:rPr>
                        <w:t xml:space="preserve">Corporations Act 2001 </w:t>
                      </w:r>
                      <w:r>
                        <w:t xml:space="preserve"> </w:t>
                      </w:r>
                    </w:p>
                    <w:p w:rsidR="00224133" w:rsidRPr="00883DB6" w:rsidRDefault="00224133" w:rsidP="000076D6">
                      <w:pPr>
                        <w:spacing w:before="120" w:after="120"/>
                      </w:pPr>
                    </w:p>
                    <w:p w:rsidR="00224133" w:rsidRDefault="00224133" w:rsidP="000076D6">
                      <w:pPr>
                        <w:spacing w:before="120" w:after="120"/>
                        <w:rPr>
                          <w:b/>
                        </w:rPr>
                      </w:pPr>
                    </w:p>
                    <w:p w:rsidR="00D36795" w:rsidRPr="00247F54" w:rsidRDefault="00D36795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Human rights implications</w:t>
                      </w:r>
                    </w:p>
                    <w:p w:rsidR="00D36795" w:rsidRPr="00247F54" w:rsidRDefault="00D36795" w:rsidP="000076D6">
                      <w:pPr>
                        <w:spacing w:before="120" w:after="120"/>
                      </w:pPr>
                      <w:r w:rsidRPr="00247F54">
                        <w:t xml:space="preserve">This </w:t>
                      </w:r>
                      <w:r>
                        <w:t>l</w:t>
                      </w:r>
                      <w:r w:rsidRPr="00247F54">
                        <w:t xml:space="preserve">egislative </w:t>
                      </w:r>
                      <w:r>
                        <w:t>i</w:t>
                      </w:r>
                      <w:r w:rsidRPr="00247F54">
                        <w:t>nstrument does not engage any of the applicable rights or freedoms.</w:t>
                      </w:r>
                    </w:p>
                    <w:p w:rsidR="00D36795" w:rsidRDefault="00D36795" w:rsidP="000076D6">
                      <w:pPr>
                        <w:spacing w:before="120" w:after="120"/>
                      </w:pPr>
                    </w:p>
                    <w:p w:rsidR="00224133" w:rsidRPr="00247F54" w:rsidRDefault="00224133" w:rsidP="000076D6">
                      <w:pPr>
                        <w:spacing w:before="120" w:after="120"/>
                      </w:pPr>
                    </w:p>
                    <w:p w:rsidR="00D36795" w:rsidRPr="00247F54" w:rsidRDefault="00D36795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Conclusion</w:t>
                      </w:r>
                    </w:p>
                    <w:p w:rsidR="00D36795" w:rsidRPr="00247F54" w:rsidRDefault="00D36795" w:rsidP="000076D6">
                      <w:pPr>
                        <w:spacing w:before="120" w:after="120"/>
                      </w:pPr>
                      <w:r w:rsidRPr="00247F54">
                        <w:t xml:space="preserve">This </w:t>
                      </w:r>
                      <w:r>
                        <w:t>l</w:t>
                      </w:r>
                      <w:r w:rsidRPr="00247F54">
                        <w:t xml:space="preserve">egislative </w:t>
                      </w:r>
                      <w:r>
                        <w:t>i</w:t>
                      </w:r>
                      <w:r w:rsidRPr="00247F54">
                        <w:t>nstrument is compatible with human rights as it does not raise any human rights issues.</w:t>
                      </w:r>
                    </w:p>
                    <w:p w:rsidR="00D36795" w:rsidRPr="00E4135E" w:rsidRDefault="00D36795" w:rsidP="000076D6">
                      <w:pPr>
                        <w:spacing w:before="120" w:after="120"/>
                        <w:jc w:val="center"/>
                      </w:pPr>
                    </w:p>
                    <w:p w:rsidR="00D36795" w:rsidRPr="00E4135E" w:rsidRDefault="005B7AE1" w:rsidP="000076D6">
                      <w:pPr>
                        <w:spacing w:before="120" w:after="120"/>
                        <w:jc w:val="center"/>
                      </w:pPr>
                      <w:r>
                        <w:rPr>
                          <w:b/>
                        </w:rPr>
                        <w:t>Australian Securities and Investments Commission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0076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78" w:rsidRDefault="00531078">
      <w:pPr>
        <w:spacing w:after="0"/>
      </w:pPr>
      <w:r>
        <w:separator/>
      </w:r>
    </w:p>
  </w:endnote>
  <w:endnote w:type="continuationSeparator" w:id="0">
    <w:p w:rsidR="00531078" w:rsidRDefault="005310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95" w:rsidRDefault="00D367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:rsidR="00D36795" w:rsidRDefault="00D36795">
    <w:pPr>
      <w:pStyle w:val="Footer"/>
      <w:ind w:right="360"/>
    </w:pPr>
  </w:p>
  <w:p w:rsidR="00D36795" w:rsidRDefault="00D36795"/>
  <w:p w:rsidR="00D36795" w:rsidRDefault="00D36795"/>
  <w:p w:rsidR="00D36795" w:rsidRDefault="00D36795"/>
  <w:p w:rsidR="00D36795" w:rsidRDefault="00D36795"/>
  <w:p w:rsidR="00D36795" w:rsidRDefault="00D367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78" w:rsidRDefault="00531078">
      <w:pPr>
        <w:spacing w:after="0"/>
      </w:pPr>
      <w:r>
        <w:separator/>
      </w:r>
    </w:p>
  </w:footnote>
  <w:footnote w:type="continuationSeparator" w:id="0">
    <w:p w:rsidR="00531078" w:rsidRDefault="005310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95" w:rsidRDefault="00D36795"/>
  <w:p w:rsidR="00D36795" w:rsidRDefault="00D367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95" w:rsidRDefault="00D36795" w:rsidP="005A60A1">
    <w:pPr>
      <w:pStyle w:val="Footer"/>
      <w:jc w:val="right"/>
      <w:rPr>
        <w:color w:val="117DC7"/>
      </w:rPr>
    </w:pPr>
    <w:r>
      <w:tab/>
    </w:r>
  </w:p>
  <w:p w:rsidR="00D36795" w:rsidRDefault="00D3679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95" w:rsidRDefault="00D36795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6FB"/>
    <w:multiLevelType w:val="hybridMultilevel"/>
    <w:tmpl w:val="0914A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57CCC"/>
    <w:multiLevelType w:val="hybridMultilevel"/>
    <w:tmpl w:val="DC38FDD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53580"/>
    <w:multiLevelType w:val="hybridMultilevel"/>
    <w:tmpl w:val="6F36FAF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C6808"/>
    <w:multiLevelType w:val="multilevel"/>
    <w:tmpl w:val="A044F19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>
    <w:nsid w:val="243B1A7D"/>
    <w:multiLevelType w:val="multilevel"/>
    <w:tmpl w:val="2BF2360A"/>
    <w:name w:val="ASIC proposal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>
    <w:nsid w:val="26D1652F"/>
    <w:multiLevelType w:val="hybridMultilevel"/>
    <w:tmpl w:val="2A2AD262"/>
    <w:lvl w:ilvl="0" w:tplc="0C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34B84359"/>
    <w:multiLevelType w:val="hybridMultilevel"/>
    <w:tmpl w:val="FA8EC35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15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30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37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45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67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9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E72A03"/>
    <w:multiLevelType w:val="hybridMultilevel"/>
    <w:tmpl w:val="C070255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B5C87"/>
    <w:multiLevelType w:val="hybridMultilevel"/>
    <w:tmpl w:val="E11C976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4407C"/>
    <w:multiLevelType w:val="multilevel"/>
    <w:tmpl w:val="F14EEEC6"/>
    <w:name w:val="CEI legal numbering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13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78"/>
    <w:rsid w:val="000076D6"/>
    <w:rsid w:val="00091C15"/>
    <w:rsid w:val="000B77F0"/>
    <w:rsid w:val="000D09C8"/>
    <w:rsid w:val="000D10CC"/>
    <w:rsid w:val="00144848"/>
    <w:rsid w:val="001722E7"/>
    <w:rsid w:val="001727C9"/>
    <w:rsid w:val="001C5530"/>
    <w:rsid w:val="00224133"/>
    <w:rsid w:val="0022611D"/>
    <w:rsid w:val="0026596A"/>
    <w:rsid w:val="002E4F5C"/>
    <w:rsid w:val="00346AC3"/>
    <w:rsid w:val="00347597"/>
    <w:rsid w:val="003A647E"/>
    <w:rsid w:val="004534CA"/>
    <w:rsid w:val="004769B1"/>
    <w:rsid w:val="004B5D16"/>
    <w:rsid w:val="00504922"/>
    <w:rsid w:val="00524452"/>
    <w:rsid w:val="00531078"/>
    <w:rsid w:val="00545283"/>
    <w:rsid w:val="00552496"/>
    <w:rsid w:val="00586FC7"/>
    <w:rsid w:val="005A60A1"/>
    <w:rsid w:val="005B0E3A"/>
    <w:rsid w:val="005B7AE1"/>
    <w:rsid w:val="00755185"/>
    <w:rsid w:val="00756D8E"/>
    <w:rsid w:val="007704B8"/>
    <w:rsid w:val="007949A0"/>
    <w:rsid w:val="007C582F"/>
    <w:rsid w:val="007E4E2F"/>
    <w:rsid w:val="00833A39"/>
    <w:rsid w:val="008F47E9"/>
    <w:rsid w:val="00921AFD"/>
    <w:rsid w:val="00922566"/>
    <w:rsid w:val="00963293"/>
    <w:rsid w:val="00A1384F"/>
    <w:rsid w:val="00A26F80"/>
    <w:rsid w:val="00A65270"/>
    <w:rsid w:val="00AC02C2"/>
    <w:rsid w:val="00AC19DD"/>
    <w:rsid w:val="00B17345"/>
    <w:rsid w:val="00B87BC5"/>
    <w:rsid w:val="00C32555"/>
    <w:rsid w:val="00C337BE"/>
    <w:rsid w:val="00CD3005"/>
    <w:rsid w:val="00D36795"/>
    <w:rsid w:val="00DC5107"/>
    <w:rsid w:val="00DD1933"/>
    <w:rsid w:val="00E660C5"/>
    <w:rsid w:val="00EB3652"/>
    <w:rsid w:val="00F17837"/>
    <w:rsid w:val="00F23248"/>
    <w:rsid w:val="00F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518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A64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7E"/>
  </w:style>
  <w:style w:type="paragraph" w:styleId="BalloonText">
    <w:name w:val="Balloon Text"/>
    <w:basedOn w:val="Normal"/>
    <w:link w:val="BalloonTextChar"/>
    <w:uiPriority w:val="99"/>
    <w:semiHidden/>
    <w:unhideWhenUsed/>
    <w:rsid w:val="003A64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47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9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518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A64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7E"/>
  </w:style>
  <w:style w:type="paragraph" w:styleId="BalloonText">
    <w:name w:val="Balloon Text"/>
    <w:basedOn w:val="Normal"/>
    <w:link w:val="BalloonTextChar"/>
    <w:uiPriority w:val="99"/>
    <w:semiHidden/>
    <w:unhideWhenUsed/>
    <w:rsid w:val="003A64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47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5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4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7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1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6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0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14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4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6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2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55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41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3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3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9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9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32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4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41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7234C-DBF6-4316-80E9-5C3A60D5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CLASS ORDER [CO xx/xxx]</vt:lpstr>
    </vt:vector>
  </TitlesOfParts>
  <Company>ASIC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CLASS ORDER [CO xx/xxx]</dc:title>
  <dc:creator>anthony.graham</dc:creator>
  <cp:lastModifiedBy>emily.mander</cp:lastModifiedBy>
  <cp:revision>2</cp:revision>
  <dcterms:created xsi:type="dcterms:W3CDTF">2016-11-15T04:06:00Z</dcterms:created>
  <dcterms:modified xsi:type="dcterms:W3CDTF">2016-11-15T04:06:00Z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A4331450</vt:lpwstr>
  </property>
  <property fmtid="{D5CDD505-2E9C-101B-9397-08002B2CF9AE}" pid="4" name="Objective-Title">
    <vt:lpwstr>ASIC CLASS ORDER EXPLANATORY STATEMENT TEMPLATE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2014-11-20T00:23:54Z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2014-11-20T00:54:25Z</vt:filetime>
  </property>
  <property fmtid="{D5CDD505-2E9C-101B-9397-08002B2CF9AE}" pid="11" name="Objective-Owner">
    <vt:lpwstr>Gillian Kreuiter</vt:lpwstr>
  </property>
  <property fmtid="{D5CDD505-2E9C-101B-9397-08002B2CF9AE}" pid="12" name="Objective-Path">
    <vt:lpwstr>ASIC BCS:POLICY &amp; REGULATORY FRAMEWORK:Policy Development:Technical Updates &amp; Other:Sunsetting Class Orders Project:Sunsetting of legislative instruments:Project Management:Training:</vt:lpwstr>
  </property>
  <property fmtid="{D5CDD505-2E9C-101B-9397-08002B2CF9AE}" pid="13" name="Objective-Parent">
    <vt:lpwstr>Training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2012 - 002402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