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B1" w:rsidRPr="004E5D48" w:rsidRDefault="00331C24" w:rsidP="00D66939">
      <w:pPr>
        <w:keepLines/>
        <w:spacing w:before="100" w:beforeAutospacing="1" w:after="100" w:afterAutospacing="1"/>
        <w:jc w:val="center"/>
        <w:rPr>
          <w:b/>
        </w:rPr>
      </w:pPr>
      <w:r w:rsidRPr="004E5D48">
        <w:rPr>
          <w:b/>
          <w:u w:val="single"/>
        </w:rPr>
        <w:t>EXPLANATORY STATEMENT</w:t>
      </w:r>
      <w:r w:rsidRPr="004E5D48">
        <w:rPr>
          <w:b/>
        </w:rPr>
        <w:t> </w:t>
      </w:r>
    </w:p>
    <w:p w:rsidR="00B407B1" w:rsidRPr="008164DD" w:rsidRDefault="00331C24" w:rsidP="00D66939">
      <w:pPr>
        <w:keepLines/>
        <w:spacing w:before="100" w:beforeAutospacing="1" w:after="100" w:afterAutospacing="1"/>
        <w:jc w:val="center"/>
        <w:rPr>
          <w:u w:val="single"/>
        </w:rPr>
      </w:pPr>
      <w:r w:rsidRPr="008164DD">
        <w:rPr>
          <w:u w:val="single"/>
        </w:rPr>
        <w:t xml:space="preserve">Issued by Authority of the </w:t>
      </w:r>
      <w:r w:rsidR="00E55F23">
        <w:rPr>
          <w:u w:val="single"/>
        </w:rPr>
        <w:t xml:space="preserve">Deputy Prime Minister and </w:t>
      </w:r>
      <w:r w:rsidRPr="008164DD">
        <w:rPr>
          <w:u w:val="single"/>
        </w:rPr>
        <w:t>Minister for Agricultur</w:t>
      </w:r>
      <w:r w:rsidR="00125257" w:rsidRPr="008164DD">
        <w:rPr>
          <w:u w:val="single"/>
        </w:rPr>
        <w:t>e and Water Resources</w:t>
      </w:r>
      <w:r w:rsidRPr="008164DD">
        <w:rPr>
          <w:u w:val="single"/>
        </w:rPr>
        <w:t> </w:t>
      </w:r>
    </w:p>
    <w:p w:rsidR="00B407B1" w:rsidRPr="00B56291" w:rsidRDefault="0059786D" w:rsidP="00D66939">
      <w:pPr>
        <w:keepLines/>
        <w:jc w:val="center"/>
      </w:pPr>
      <w:r w:rsidRPr="00B56291">
        <w:rPr>
          <w:i/>
        </w:rPr>
        <w:t xml:space="preserve">Export Control Act 1982 </w:t>
      </w:r>
      <w:r w:rsidRPr="00700BCA">
        <w:t xml:space="preserve">and </w:t>
      </w:r>
      <w:r w:rsidRPr="00B56291">
        <w:rPr>
          <w:i/>
        </w:rPr>
        <w:t>Export Control (Orders) Regulations 1982</w:t>
      </w:r>
    </w:p>
    <w:p w:rsidR="003A173B" w:rsidRPr="00B56291" w:rsidRDefault="003A173B" w:rsidP="00D66939">
      <w:pPr>
        <w:keepLines/>
        <w:jc w:val="center"/>
        <w:rPr>
          <w:iCs/>
        </w:rPr>
      </w:pPr>
    </w:p>
    <w:p w:rsidR="00B407B1" w:rsidRPr="00B56291" w:rsidRDefault="0059786D" w:rsidP="00D66939">
      <w:pPr>
        <w:keepLines/>
        <w:jc w:val="center"/>
        <w:rPr>
          <w:i/>
          <w:iCs/>
        </w:rPr>
      </w:pPr>
      <w:r w:rsidRPr="00B56291">
        <w:rPr>
          <w:i/>
          <w:iCs/>
        </w:rPr>
        <w:t xml:space="preserve">Export Control </w:t>
      </w:r>
      <w:r w:rsidR="000933BC">
        <w:rPr>
          <w:i/>
          <w:iCs/>
        </w:rPr>
        <w:t>(</w:t>
      </w:r>
      <w:r w:rsidRPr="00B56291">
        <w:rPr>
          <w:i/>
          <w:iCs/>
        </w:rPr>
        <w:t>Fees</w:t>
      </w:r>
      <w:r w:rsidR="000933BC">
        <w:rPr>
          <w:i/>
          <w:iCs/>
        </w:rPr>
        <w:t>)</w:t>
      </w:r>
      <w:r w:rsidR="003368AC">
        <w:rPr>
          <w:i/>
          <w:iCs/>
        </w:rPr>
        <w:t xml:space="preserve"> Amendment (Norfolk Island Plants)</w:t>
      </w:r>
      <w:r w:rsidRPr="00B56291">
        <w:rPr>
          <w:i/>
          <w:iCs/>
        </w:rPr>
        <w:t xml:space="preserve"> Order </w:t>
      </w:r>
      <w:r w:rsidR="003368AC">
        <w:rPr>
          <w:i/>
          <w:iCs/>
        </w:rPr>
        <w:t>2016</w:t>
      </w:r>
    </w:p>
    <w:p w:rsidR="00B407B1" w:rsidRPr="00B56291" w:rsidRDefault="00B407B1" w:rsidP="00D66939">
      <w:pPr>
        <w:keepLines/>
        <w:autoSpaceDE w:val="0"/>
        <w:autoSpaceDN w:val="0"/>
        <w:adjustRightInd w:val="0"/>
        <w:jc w:val="center"/>
      </w:pPr>
    </w:p>
    <w:p w:rsidR="00251A77" w:rsidRPr="00B56291" w:rsidRDefault="00251A77" w:rsidP="00D66939">
      <w:pPr>
        <w:keepLines/>
        <w:autoSpaceDE w:val="0"/>
        <w:autoSpaceDN w:val="0"/>
        <w:adjustRightInd w:val="0"/>
        <w:jc w:val="center"/>
      </w:pPr>
    </w:p>
    <w:p w:rsidR="00E3493C" w:rsidRDefault="00331C24" w:rsidP="00D66939">
      <w:pPr>
        <w:keepLines/>
        <w:rPr>
          <w:b/>
          <w:bCs/>
        </w:rPr>
      </w:pPr>
      <w:r w:rsidRPr="00B56291">
        <w:rPr>
          <w:b/>
          <w:bCs/>
        </w:rPr>
        <w:t>Legislative Authority</w:t>
      </w:r>
    </w:p>
    <w:p w:rsidR="00327BD2" w:rsidRPr="00B56291" w:rsidRDefault="00327BD2" w:rsidP="00D66939">
      <w:pPr>
        <w:keepLines/>
      </w:pPr>
    </w:p>
    <w:p w:rsidR="0059786D" w:rsidRPr="00B56291" w:rsidRDefault="00B438DD" w:rsidP="00D66939">
      <w:pPr>
        <w:keepLines/>
      </w:pPr>
      <w:r w:rsidRPr="00B56291">
        <w:t xml:space="preserve">Section 25 of the </w:t>
      </w:r>
      <w:r w:rsidRPr="00B56291">
        <w:rPr>
          <w:i/>
        </w:rPr>
        <w:t xml:space="preserve">Export Control Act 1982 </w:t>
      </w:r>
      <w:r w:rsidR="00CA27C9" w:rsidRPr="00CA27C9">
        <w:t>(</w:t>
      </w:r>
      <w:r w:rsidR="005857C6">
        <w:t>EC</w:t>
      </w:r>
      <w:r w:rsidR="00CA27C9" w:rsidRPr="00CA27C9">
        <w:t xml:space="preserve"> Act) </w:t>
      </w:r>
      <w:r w:rsidR="00407455" w:rsidRPr="00CA27C9">
        <w:t>provides</w:t>
      </w:r>
      <w:r w:rsidR="00407455" w:rsidRPr="00B56291">
        <w:t xml:space="preserve"> that the Governor</w:t>
      </w:r>
      <w:r w:rsidR="00407455" w:rsidRPr="00B56291">
        <w:noBreakHyphen/>
        <w:t xml:space="preserve">General may make regulations </w:t>
      </w:r>
      <w:r w:rsidR="00D57D43" w:rsidRPr="00B56291">
        <w:t>empowering the Minister to make orders</w:t>
      </w:r>
      <w:r w:rsidR="00157913" w:rsidRPr="00B56291">
        <w:t xml:space="preserve">, not inconsistent with the </w:t>
      </w:r>
      <w:r w:rsidR="00891FB3">
        <w:t>Act</w:t>
      </w:r>
      <w:r w:rsidR="008C0F7A">
        <w:t xml:space="preserve">. </w:t>
      </w:r>
      <w:r w:rsidR="0059786D" w:rsidRPr="00B56291">
        <w:t>R</w:t>
      </w:r>
      <w:r w:rsidRPr="00B56291">
        <w:t xml:space="preserve">egulation 3 of the </w:t>
      </w:r>
      <w:r w:rsidRPr="00B56291">
        <w:rPr>
          <w:i/>
        </w:rPr>
        <w:t>Export Control (Orders) Regulations 1982</w:t>
      </w:r>
      <w:r w:rsidRPr="00B56291">
        <w:t xml:space="preserve"> </w:t>
      </w:r>
      <w:r w:rsidR="0059786D" w:rsidRPr="00B56291">
        <w:t>provides that the Minister may, by instrument in writing, make orders, consistent with</w:t>
      </w:r>
      <w:r w:rsidR="00700BCA">
        <w:t xml:space="preserve"> regulations made under the </w:t>
      </w:r>
      <w:r w:rsidR="005857C6">
        <w:t xml:space="preserve">EC </w:t>
      </w:r>
      <w:r w:rsidR="00700BCA" w:rsidRPr="00EF207D">
        <w:t>Act</w:t>
      </w:r>
      <w:r w:rsidR="00891FB3">
        <w:t>, with respect to any matter for in in relation to which provision may be made by regulations made under the EC Act</w:t>
      </w:r>
      <w:r w:rsidR="0059786D" w:rsidRPr="00B56291">
        <w:t xml:space="preserve">. </w:t>
      </w:r>
    </w:p>
    <w:p w:rsidR="0059786D" w:rsidRPr="00B56291" w:rsidRDefault="0059786D" w:rsidP="00D66939">
      <w:pPr>
        <w:keepLines/>
      </w:pPr>
    </w:p>
    <w:p w:rsidR="00B407B1" w:rsidRDefault="00331C24" w:rsidP="00D66939">
      <w:pPr>
        <w:keepLines/>
        <w:rPr>
          <w:b/>
        </w:rPr>
      </w:pPr>
      <w:r w:rsidRPr="00B56291">
        <w:rPr>
          <w:b/>
        </w:rPr>
        <w:t>Purpose</w:t>
      </w:r>
    </w:p>
    <w:p w:rsidR="00327BD2" w:rsidRPr="00B56291" w:rsidRDefault="00327BD2" w:rsidP="00D66939">
      <w:pPr>
        <w:keepLines/>
        <w:rPr>
          <w:b/>
        </w:rPr>
      </w:pPr>
    </w:p>
    <w:p w:rsidR="00D25389" w:rsidRPr="00B56291" w:rsidRDefault="00956E58" w:rsidP="00D66939">
      <w:pPr>
        <w:keepLines/>
        <w:contextualSpacing/>
      </w:pPr>
      <w:r w:rsidRPr="00B56291">
        <w:t xml:space="preserve">The </w:t>
      </w:r>
      <w:r w:rsidR="0019209E" w:rsidRPr="00B56291">
        <w:rPr>
          <w:i/>
        </w:rPr>
        <w:t>Export Control (</w:t>
      </w:r>
      <w:r w:rsidR="00D0672C" w:rsidRPr="00B56291">
        <w:rPr>
          <w:i/>
        </w:rPr>
        <w:t>Fees</w:t>
      </w:r>
      <w:r w:rsidR="0019209E" w:rsidRPr="00B56291">
        <w:rPr>
          <w:i/>
        </w:rPr>
        <w:t xml:space="preserve">) </w:t>
      </w:r>
      <w:r w:rsidR="003368AC" w:rsidRPr="00B56291">
        <w:rPr>
          <w:i/>
          <w:iCs/>
        </w:rPr>
        <w:t xml:space="preserve">Order </w:t>
      </w:r>
      <w:r w:rsidR="003368AC">
        <w:rPr>
          <w:i/>
          <w:iCs/>
        </w:rPr>
        <w:t>201</w:t>
      </w:r>
      <w:r w:rsidR="00EC434D">
        <w:rPr>
          <w:i/>
          <w:iCs/>
        </w:rPr>
        <w:t>5</w:t>
      </w:r>
      <w:r w:rsidR="003368AC">
        <w:t xml:space="preserve"> </w:t>
      </w:r>
      <w:r w:rsidR="00EC434D">
        <w:t xml:space="preserve">(Fees Order) </w:t>
      </w:r>
      <w:r w:rsidR="00D25389" w:rsidRPr="00B56291">
        <w:t>prescribe</w:t>
      </w:r>
      <w:r w:rsidR="00EC434D">
        <w:t>s</w:t>
      </w:r>
      <w:r w:rsidR="00D25389" w:rsidRPr="00B56291">
        <w:t xml:space="preserve"> </w:t>
      </w:r>
      <w:r w:rsidR="00B47C98" w:rsidRPr="00B56291">
        <w:t xml:space="preserve">fees, persons </w:t>
      </w:r>
      <w:r w:rsidRPr="00B56291">
        <w:t xml:space="preserve">liable to pay </w:t>
      </w:r>
      <w:r w:rsidR="00B47C98" w:rsidRPr="00B56291">
        <w:t xml:space="preserve">fees </w:t>
      </w:r>
      <w:r w:rsidRPr="00B56291">
        <w:t>or late fee</w:t>
      </w:r>
      <w:r w:rsidR="00B47C98" w:rsidRPr="00B56291">
        <w:t>s</w:t>
      </w:r>
      <w:r w:rsidRPr="00B56291">
        <w:t xml:space="preserve">, </w:t>
      </w:r>
      <w:r w:rsidR="00B47C98" w:rsidRPr="00B56291">
        <w:t>the</w:t>
      </w:r>
      <w:r w:rsidR="002E4E59" w:rsidRPr="00B56291">
        <w:t xml:space="preserve"> time for</w:t>
      </w:r>
      <w:r w:rsidR="00B47C98" w:rsidRPr="00B56291">
        <w:t xml:space="preserve"> payment of fees</w:t>
      </w:r>
      <w:r w:rsidR="00082FB5" w:rsidRPr="00B56291">
        <w:t xml:space="preserve"> and</w:t>
      </w:r>
      <w:r w:rsidR="00B47C98" w:rsidRPr="00B56291">
        <w:t xml:space="preserve"> exemptions from fees</w:t>
      </w:r>
      <w:r w:rsidR="00082FB5" w:rsidRPr="00B56291">
        <w:t xml:space="preserve"> </w:t>
      </w:r>
      <w:r w:rsidR="00B47C98" w:rsidRPr="00B56291">
        <w:t xml:space="preserve">and </w:t>
      </w:r>
      <w:r w:rsidR="00082FB5" w:rsidRPr="00B56291">
        <w:t xml:space="preserve">to provide for </w:t>
      </w:r>
      <w:r w:rsidR="00B47C98" w:rsidRPr="00B56291">
        <w:t xml:space="preserve">related application and transitional provisions. </w:t>
      </w:r>
    </w:p>
    <w:p w:rsidR="00D25389" w:rsidRPr="00B56291" w:rsidRDefault="00D25389" w:rsidP="00D66939">
      <w:pPr>
        <w:keepLines/>
        <w:contextualSpacing/>
      </w:pPr>
    </w:p>
    <w:p w:rsidR="004409C7" w:rsidRPr="005F4066" w:rsidRDefault="004409C7" w:rsidP="00D66939">
      <w:pPr>
        <w:shd w:val="clear" w:color="auto" w:fill="FFFFFF"/>
        <w:rPr>
          <w:b/>
        </w:rPr>
      </w:pPr>
      <w:r>
        <w:t xml:space="preserve">The </w:t>
      </w:r>
      <w:r w:rsidR="00EC434D">
        <w:t xml:space="preserve">purpose of the </w:t>
      </w:r>
      <w:r w:rsidR="00EC434D" w:rsidRPr="00B56291">
        <w:rPr>
          <w:i/>
        </w:rPr>
        <w:t xml:space="preserve">Export Control (Fees) </w:t>
      </w:r>
      <w:r w:rsidR="00EC434D">
        <w:rPr>
          <w:i/>
          <w:iCs/>
        </w:rPr>
        <w:t>Amendment (Norfolk Island Plants)</w:t>
      </w:r>
      <w:r w:rsidR="00EC434D" w:rsidRPr="00B56291">
        <w:rPr>
          <w:i/>
          <w:iCs/>
        </w:rPr>
        <w:t xml:space="preserve"> Order </w:t>
      </w:r>
      <w:r w:rsidR="00EC434D">
        <w:rPr>
          <w:i/>
          <w:iCs/>
        </w:rPr>
        <w:t xml:space="preserve">2016 </w:t>
      </w:r>
      <w:r w:rsidR="00EC434D">
        <w:t>(Amend</w:t>
      </w:r>
      <w:r w:rsidR="003C7390">
        <w:t>ment</w:t>
      </w:r>
      <w:r w:rsidR="00EC434D">
        <w:t xml:space="preserve"> Fees Order) is to amend the Fees Order </w:t>
      </w:r>
      <w:r w:rsidRPr="00B56291">
        <w:t>giv</w:t>
      </w:r>
      <w:r w:rsidR="00EC434D">
        <w:t>ing</w:t>
      </w:r>
      <w:r w:rsidRPr="00B56291">
        <w:t xml:space="preserve"> effect to </w:t>
      </w:r>
      <w:r>
        <w:t xml:space="preserve">charging for services provided by the </w:t>
      </w:r>
      <w:r w:rsidRPr="00100FE5">
        <w:t>Department of Agriculture and Water Resources</w:t>
      </w:r>
      <w:r w:rsidR="00736D15">
        <w:t xml:space="preserve"> (the department)</w:t>
      </w:r>
      <w:r w:rsidRPr="00100FE5">
        <w:t xml:space="preserve"> </w:t>
      </w:r>
      <w:r>
        <w:t xml:space="preserve">in relation to the </w:t>
      </w:r>
      <w:r>
        <w:rPr>
          <w:i/>
          <w:iCs/>
          <w:color w:val="000000"/>
        </w:rPr>
        <w:t>Export Control</w:t>
      </w:r>
      <w:r w:rsidRPr="00EB31C8">
        <w:rPr>
          <w:i/>
          <w:iCs/>
          <w:color w:val="000000"/>
        </w:rPr>
        <w:t xml:space="preserve"> (Plant</w:t>
      </w:r>
      <w:r>
        <w:rPr>
          <w:i/>
          <w:iCs/>
          <w:color w:val="000000"/>
        </w:rPr>
        <w:t>s</w:t>
      </w:r>
      <w:r w:rsidRPr="00EB31C8">
        <w:rPr>
          <w:i/>
          <w:iCs/>
          <w:color w:val="000000"/>
        </w:rPr>
        <w:t xml:space="preserve"> and Plant Products</w:t>
      </w:r>
      <w:r w:rsidR="00113FDB">
        <w:rPr>
          <w:i/>
          <w:iCs/>
          <w:color w:val="000000"/>
        </w:rPr>
        <w:t>—</w:t>
      </w:r>
      <w:r>
        <w:rPr>
          <w:i/>
          <w:iCs/>
          <w:color w:val="000000"/>
        </w:rPr>
        <w:t>Norfolk Island</w:t>
      </w:r>
      <w:r w:rsidRPr="00EB31C8">
        <w:rPr>
          <w:i/>
          <w:iCs/>
          <w:color w:val="000000"/>
        </w:rPr>
        <w:t>) Order 2016</w:t>
      </w:r>
      <w:r w:rsidR="005F4066">
        <w:rPr>
          <w:i/>
          <w:iCs/>
          <w:color w:val="000000"/>
        </w:rPr>
        <w:t xml:space="preserve"> </w:t>
      </w:r>
      <w:r w:rsidR="005F4066" w:rsidRPr="005F4066">
        <w:rPr>
          <w:iCs/>
          <w:color w:val="000000"/>
        </w:rPr>
        <w:t>(</w:t>
      </w:r>
      <w:r w:rsidR="00E921CF">
        <w:rPr>
          <w:iCs/>
          <w:color w:val="000000"/>
        </w:rPr>
        <w:t>Norfolk</w:t>
      </w:r>
      <w:r w:rsidR="005F4066">
        <w:rPr>
          <w:iCs/>
          <w:color w:val="000000"/>
        </w:rPr>
        <w:t xml:space="preserve"> Order)</w:t>
      </w:r>
      <w:r w:rsidRPr="005F4066">
        <w:rPr>
          <w:iCs/>
          <w:color w:val="000000"/>
        </w:rPr>
        <w:t>.</w:t>
      </w:r>
      <w:r w:rsidRPr="005F4066">
        <w:t xml:space="preserve"> </w:t>
      </w:r>
    </w:p>
    <w:p w:rsidR="00F13725" w:rsidRDefault="00F13725" w:rsidP="00D66939">
      <w:pPr>
        <w:keepLines/>
        <w:contextualSpacing/>
        <w:rPr>
          <w:b/>
        </w:rPr>
      </w:pPr>
    </w:p>
    <w:p w:rsidR="00E977D9" w:rsidRDefault="00E977D9" w:rsidP="00D66939">
      <w:pPr>
        <w:keepLines/>
        <w:contextualSpacing/>
        <w:rPr>
          <w:b/>
        </w:rPr>
      </w:pPr>
      <w:r w:rsidRPr="00B56291">
        <w:rPr>
          <w:b/>
        </w:rPr>
        <w:t>Background</w:t>
      </w:r>
    </w:p>
    <w:p w:rsidR="00327BD2" w:rsidRPr="00B56291" w:rsidRDefault="00327BD2" w:rsidP="00D66939">
      <w:pPr>
        <w:keepLines/>
        <w:contextualSpacing/>
        <w:rPr>
          <w:b/>
        </w:rPr>
      </w:pPr>
    </w:p>
    <w:p w:rsidR="005670A7" w:rsidRDefault="004409C7" w:rsidP="00D66939">
      <w:pPr>
        <w:shd w:val="clear" w:color="auto" w:fill="FFFFFF"/>
        <w:rPr>
          <w:color w:val="000000"/>
        </w:rPr>
      </w:pPr>
      <w:r w:rsidRPr="00EB31C8">
        <w:rPr>
          <w:color w:val="000000"/>
        </w:rPr>
        <w:t xml:space="preserve">The </w:t>
      </w:r>
      <w:r w:rsidR="005857C6">
        <w:rPr>
          <w:color w:val="000000"/>
        </w:rPr>
        <w:t xml:space="preserve">EC </w:t>
      </w:r>
      <w:r w:rsidRPr="00EF207D">
        <w:rPr>
          <w:color w:val="000000"/>
        </w:rPr>
        <w:t>Act</w:t>
      </w:r>
      <w:r w:rsidRPr="00AD2847">
        <w:rPr>
          <w:i/>
          <w:color w:val="000000"/>
        </w:rPr>
        <w:t xml:space="preserve"> </w:t>
      </w:r>
      <w:r w:rsidRPr="00EB31C8">
        <w:rPr>
          <w:color w:val="000000"/>
        </w:rPr>
        <w:t xml:space="preserve">provides for the control of the export of certain goods and for related purposes. </w:t>
      </w:r>
      <w:r w:rsidR="005670A7">
        <w:rPr>
          <w:color w:val="000000"/>
        </w:rPr>
        <w:t xml:space="preserve">However, </w:t>
      </w:r>
      <w:r w:rsidR="005A6F48">
        <w:rPr>
          <w:color w:val="000000"/>
        </w:rPr>
        <w:t>t</w:t>
      </w:r>
      <w:r w:rsidR="005670A7" w:rsidRPr="00883BB9">
        <w:rPr>
          <w:color w:val="000000"/>
        </w:rPr>
        <w:t xml:space="preserve">he </w:t>
      </w:r>
      <w:r w:rsidR="00A958B5">
        <w:rPr>
          <w:color w:val="000000"/>
        </w:rPr>
        <w:t xml:space="preserve">EC </w:t>
      </w:r>
      <w:r w:rsidR="005670A7" w:rsidRPr="00883BB9">
        <w:rPr>
          <w:color w:val="000000"/>
        </w:rPr>
        <w:t xml:space="preserve">Act </w:t>
      </w:r>
      <w:r w:rsidR="005670A7">
        <w:rPr>
          <w:color w:val="000000"/>
        </w:rPr>
        <w:t xml:space="preserve">explicitly excludes its application to Australian external territories, unless regulations have been made to extend the </w:t>
      </w:r>
      <w:r w:rsidR="005857C6">
        <w:rPr>
          <w:color w:val="000000"/>
        </w:rPr>
        <w:t xml:space="preserve">EC </w:t>
      </w:r>
      <w:r w:rsidR="005670A7">
        <w:rPr>
          <w:color w:val="000000"/>
        </w:rPr>
        <w:t>Act.</w:t>
      </w:r>
    </w:p>
    <w:p w:rsidR="005670A7" w:rsidRDefault="005670A7" w:rsidP="00D66939">
      <w:pPr>
        <w:shd w:val="clear" w:color="auto" w:fill="FFFFFF"/>
        <w:rPr>
          <w:color w:val="000000"/>
        </w:rPr>
      </w:pPr>
    </w:p>
    <w:p w:rsidR="004409C7" w:rsidRDefault="004409C7" w:rsidP="00D66939">
      <w:pPr>
        <w:shd w:val="clear" w:color="auto" w:fill="FFFFFF"/>
        <w:rPr>
          <w:color w:val="000000"/>
        </w:rPr>
      </w:pPr>
      <w:r w:rsidRPr="00EB31C8">
        <w:rPr>
          <w:color w:val="000000"/>
        </w:rPr>
        <w:t>The</w:t>
      </w:r>
      <w:r w:rsidRPr="00EB31C8">
        <w:rPr>
          <w:i/>
          <w:iCs/>
          <w:color w:val="000000"/>
        </w:rPr>
        <w:t> </w:t>
      </w:r>
      <w:r w:rsidRPr="00C80FE2">
        <w:rPr>
          <w:i/>
          <w:color w:val="000000"/>
        </w:rPr>
        <w:t>Export Control (Plants and Plant Products) Order 201</w:t>
      </w:r>
      <w:r>
        <w:rPr>
          <w:i/>
          <w:color w:val="000000"/>
        </w:rPr>
        <w:t>1</w:t>
      </w:r>
      <w:r>
        <w:rPr>
          <w:color w:val="000000"/>
        </w:rPr>
        <w:t xml:space="preserve"> </w:t>
      </w:r>
      <w:r w:rsidRPr="00EB31C8">
        <w:rPr>
          <w:color w:val="000000"/>
        </w:rPr>
        <w:t xml:space="preserve">regulates the export of </w:t>
      </w:r>
      <w:r w:rsidR="0032133F">
        <w:rPr>
          <w:color w:val="000000"/>
        </w:rPr>
        <w:t xml:space="preserve">prescribed </w:t>
      </w:r>
      <w:r w:rsidRPr="00EB31C8">
        <w:rPr>
          <w:color w:val="000000"/>
        </w:rPr>
        <w:t>grain, fresh fruits, fresh vegetables, hay and straw, and plants and plant products for which a phytosanitary or any other certificate is required</w:t>
      </w:r>
      <w:r>
        <w:rPr>
          <w:color w:val="000000"/>
        </w:rPr>
        <w:t>,</w:t>
      </w:r>
      <w:r w:rsidRPr="00EB31C8">
        <w:rPr>
          <w:color w:val="000000"/>
        </w:rPr>
        <w:t xml:space="preserve"> by declaring those goods to be prescribed goods under the </w:t>
      </w:r>
      <w:r w:rsidR="005857C6">
        <w:rPr>
          <w:color w:val="000000"/>
        </w:rPr>
        <w:t xml:space="preserve">EC </w:t>
      </w:r>
      <w:r w:rsidRPr="00EB31C8">
        <w:rPr>
          <w:color w:val="000000"/>
        </w:rPr>
        <w:t>Act and specifying the conditions and restrictions for their export</w:t>
      </w:r>
      <w:r>
        <w:rPr>
          <w:color w:val="000000"/>
        </w:rPr>
        <w:t xml:space="preserve">. </w:t>
      </w:r>
      <w:r w:rsidRPr="00EB31C8">
        <w:rPr>
          <w:color w:val="000000"/>
        </w:rPr>
        <w:t>The</w:t>
      </w:r>
      <w:r>
        <w:rPr>
          <w:color w:val="000000"/>
        </w:rPr>
        <w:t xml:space="preserve"> </w:t>
      </w:r>
      <w:r w:rsidR="005A6F48">
        <w:rPr>
          <w:color w:val="000000"/>
        </w:rPr>
        <w:t xml:space="preserve">department </w:t>
      </w:r>
      <w:r w:rsidRPr="00EB31C8">
        <w:rPr>
          <w:color w:val="000000"/>
        </w:rPr>
        <w:t xml:space="preserve">undertakes </w:t>
      </w:r>
      <w:r>
        <w:rPr>
          <w:color w:val="000000"/>
        </w:rPr>
        <w:t>inspection and certification activities in relation to the preparation of prescribed goods for export</w:t>
      </w:r>
      <w:r w:rsidRPr="00EB31C8">
        <w:rPr>
          <w:color w:val="000000"/>
        </w:rPr>
        <w:t>.</w:t>
      </w:r>
    </w:p>
    <w:p w:rsidR="004409C7" w:rsidRPr="00EB31C8" w:rsidRDefault="004409C7" w:rsidP="00D66939">
      <w:pPr>
        <w:shd w:val="clear" w:color="auto" w:fill="FFFFFF"/>
        <w:rPr>
          <w:color w:val="000000"/>
        </w:rPr>
      </w:pPr>
    </w:p>
    <w:p w:rsidR="004409C7" w:rsidRDefault="004409C7" w:rsidP="00D66939">
      <w:pPr>
        <w:shd w:val="clear" w:color="auto" w:fill="FFFFFF"/>
        <w:rPr>
          <w:color w:val="000000"/>
        </w:rPr>
      </w:pPr>
      <w:r w:rsidRPr="009D21CB">
        <w:rPr>
          <w:color w:val="000000"/>
        </w:rPr>
        <w:t xml:space="preserve">In May 2015 the </w:t>
      </w:r>
      <w:r w:rsidRPr="00C80FE2">
        <w:rPr>
          <w:i/>
          <w:color w:val="000000"/>
        </w:rPr>
        <w:t>Norfolk Island Legislation Amendment Act 2015</w:t>
      </w:r>
      <w:r w:rsidRPr="009D21CB">
        <w:rPr>
          <w:color w:val="000000"/>
        </w:rPr>
        <w:t xml:space="preserve"> and related Acts came into effect. These Acts provide for the Australian Government to assume responsibility for funding and delivering national and state level services to Norfolk Island</w:t>
      </w:r>
      <w:r w:rsidR="008C0F7A">
        <w:rPr>
          <w:color w:val="000000"/>
        </w:rPr>
        <w:t xml:space="preserve">. </w:t>
      </w:r>
      <w:r w:rsidRPr="009D21CB">
        <w:rPr>
          <w:color w:val="000000"/>
        </w:rPr>
        <w:t>From 1 July 2016 Australian mainland taxation, social security, immigration, biosecurity, customs and health arrangements, including Medicare and the Pharmaceutical Benefits Scheme, w</w:t>
      </w:r>
      <w:r>
        <w:rPr>
          <w:color w:val="000000"/>
        </w:rPr>
        <w:t xml:space="preserve">ere </w:t>
      </w:r>
      <w:r w:rsidRPr="009D21CB">
        <w:rPr>
          <w:color w:val="000000"/>
        </w:rPr>
        <w:t>extend</w:t>
      </w:r>
      <w:r>
        <w:rPr>
          <w:color w:val="000000"/>
        </w:rPr>
        <w:t>ed</w:t>
      </w:r>
      <w:r w:rsidRPr="009D21CB">
        <w:rPr>
          <w:color w:val="000000"/>
        </w:rPr>
        <w:t xml:space="preserve"> to Norfolk Island. Prior to these changes, Norfolk Island was a self-governing external territory of Australia.</w:t>
      </w:r>
    </w:p>
    <w:p w:rsidR="004409C7" w:rsidRDefault="004409C7" w:rsidP="00D66939">
      <w:pPr>
        <w:shd w:val="clear" w:color="auto" w:fill="FFFFFF"/>
        <w:rPr>
          <w:color w:val="000000"/>
        </w:rPr>
      </w:pPr>
    </w:p>
    <w:p w:rsidR="007F096F" w:rsidRDefault="00955F7C" w:rsidP="00D66939">
      <w:pPr>
        <w:contextualSpacing/>
      </w:pPr>
      <w:r>
        <w:t>A</w:t>
      </w:r>
      <w:r w:rsidR="007F096F">
        <w:t xml:space="preserve">mendments </w:t>
      </w:r>
      <w:r w:rsidR="00AF5B33">
        <w:t>made on 1</w:t>
      </w:r>
      <w:r w:rsidR="007F096F">
        <w:t xml:space="preserve"> July 2016</w:t>
      </w:r>
      <w:r w:rsidR="007F096F" w:rsidRPr="00202900">
        <w:rPr>
          <w:iCs/>
        </w:rPr>
        <w:t xml:space="preserve"> </w:t>
      </w:r>
      <w:r w:rsidR="007F096F">
        <w:t xml:space="preserve">to section 18 of the </w:t>
      </w:r>
      <w:r w:rsidR="007F096F" w:rsidRPr="00C1379B">
        <w:rPr>
          <w:i/>
        </w:rPr>
        <w:t>Norfolk Island Act 1979</w:t>
      </w:r>
      <w:r w:rsidR="007F096F">
        <w:t xml:space="preserve"> </w:t>
      </w:r>
      <w:r>
        <w:t xml:space="preserve">provide </w:t>
      </w:r>
      <w:r w:rsidR="007F096F">
        <w:t>that a</w:t>
      </w:r>
      <w:r w:rsidR="007F096F" w:rsidRPr="00F14DC7">
        <w:t xml:space="preserve">n Act or a provision of an Act extends to </w:t>
      </w:r>
      <w:r w:rsidR="007F096F">
        <w:t>Norfolk Island</w:t>
      </w:r>
      <w:r w:rsidR="007F096F" w:rsidRPr="00F14DC7">
        <w:t xml:space="preserve"> </w:t>
      </w:r>
      <w:r w:rsidR="007F096F">
        <w:t>unless</w:t>
      </w:r>
      <w:r w:rsidR="007F096F" w:rsidRPr="00F14DC7">
        <w:t xml:space="preserve"> the Act or another Act expressly </w:t>
      </w:r>
      <w:r w:rsidR="007F096F">
        <w:t>excludes it</w:t>
      </w:r>
      <w:r w:rsidR="007F096F" w:rsidRPr="00F14DC7">
        <w:t>.</w:t>
      </w:r>
      <w:r w:rsidR="007F096F">
        <w:t xml:space="preserve"> </w:t>
      </w:r>
    </w:p>
    <w:p w:rsidR="007F096F" w:rsidRDefault="007F096F" w:rsidP="00D66939">
      <w:pPr>
        <w:contextualSpacing/>
      </w:pPr>
    </w:p>
    <w:p w:rsidR="004409C7" w:rsidRPr="00DE52DE" w:rsidRDefault="004409C7" w:rsidP="00D66939">
      <w:pPr>
        <w:shd w:val="clear" w:color="auto" w:fill="FFFFFF"/>
        <w:rPr>
          <w:color w:val="000000"/>
        </w:rPr>
      </w:pPr>
      <w:r>
        <w:rPr>
          <w:color w:val="000000"/>
        </w:rPr>
        <w:t>T</w:t>
      </w:r>
      <w:r w:rsidRPr="009D21CB">
        <w:rPr>
          <w:color w:val="000000"/>
        </w:rPr>
        <w:t xml:space="preserve">he </w:t>
      </w:r>
      <w:r w:rsidR="00E921CF">
        <w:rPr>
          <w:iCs/>
          <w:color w:val="000000"/>
        </w:rPr>
        <w:t>Norfolk</w:t>
      </w:r>
      <w:r w:rsidR="005F4066" w:rsidRPr="005F4066">
        <w:rPr>
          <w:iCs/>
          <w:color w:val="000000"/>
        </w:rPr>
        <w:t xml:space="preserve"> Order</w:t>
      </w:r>
      <w:r w:rsidRPr="005F4066">
        <w:rPr>
          <w:iCs/>
          <w:color w:val="000000"/>
        </w:rPr>
        <w:t xml:space="preserve"> </w:t>
      </w:r>
      <w:r w:rsidRPr="005F4066">
        <w:rPr>
          <w:color w:val="000000"/>
        </w:rPr>
        <w:t>allows</w:t>
      </w:r>
      <w:r w:rsidRPr="009D21CB">
        <w:rPr>
          <w:color w:val="000000"/>
        </w:rPr>
        <w:t xml:space="preserve"> the Australian Government to provide phytosanitary certification for plants and plant product exports from Norfolk Island.</w:t>
      </w:r>
    </w:p>
    <w:p w:rsidR="003A173B" w:rsidRPr="00B56291" w:rsidRDefault="003A173B" w:rsidP="00D66939"/>
    <w:p w:rsidR="00327280" w:rsidRPr="00B56291" w:rsidRDefault="00327280" w:rsidP="00D66939">
      <w:r w:rsidRPr="00B56291">
        <w:t>Th</w:t>
      </w:r>
      <w:r w:rsidR="003B149C">
        <w:t xml:space="preserve">e </w:t>
      </w:r>
      <w:r w:rsidR="00E921CF">
        <w:t>Fees</w:t>
      </w:r>
      <w:r w:rsidRPr="00B56291">
        <w:t xml:space="preserve"> Order</w:t>
      </w:r>
      <w:r w:rsidR="00F13725">
        <w:t>,</w:t>
      </w:r>
      <w:r w:rsidRPr="00B56291">
        <w:t xml:space="preserve"> </w:t>
      </w:r>
      <w:r w:rsidR="00F13725">
        <w:t>as amended by the Amend</w:t>
      </w:r>
      <w:r w:rsidR="003C7390">
        <w:t>ment</w:t>
      </w:r>
      <w:r w:rsidR="00F13725">
        <w:t xml:space="preserve"> Fees Order</w:t>
      </w:r>
      <w:r w:rsidR="003C7390">
        <w:t>,</w:t>
      </w:r>
      <w:r w:rsidR="00F13725">
        <w:t xml:space="preserve"> </w:t>
      </w:r>
      <w:r w:rsidRPr="00B56291">
        <w:t>operate</w:t>
      </w:r>
      <w:r w:rsidR="002266AE">
        <w:t>s</w:t>
      </w:r>
      <w:r w:rsidRPr="00B56291">
        <w:t xml:space="preserve"> alongside the legislative framework for cost recovery t</w:t>
      </w:r>
      <w:r w:rsidR="000933BC">
        <w:t>hrough the imposition of fees</w:t>
      </w:r>
      <w:r w:rsidR="008C0F7A">
        <w:t xml:space="preserve">. </w:t>
      </w:r>
    </w:p>
    <w:p w:rsidR="00327280" w:rsidRPr="00B56291" w:rsidRDefault="00327280" w:rsidP="00D66939"/>
    <w:p w:rsidR="00E977D9" w:rsidRDefault="00E977D9" w:rsidP="00D66939">
      <w:pPr>
        <w:keepNext/>
        <w:keepLines/>
        <w:contextualSpacing/>
        <w:rPr>
          <w:b/>
          <w:iCs/>
        </w:rPr>
      </w:pPr>
      <w:r w:rsidRPr="00B56291">
        <w:rPr>
          <w:b/>
          <w:iCs/>
        </w:rPr>
        <w:t>Impact and Effect</w:t>
      </w:r>
    </w:p>
    <w:p w:rsidR="00327BD2" w:rsidRPr="00B56291" w:rsidRDefault="00327BD2" w:rsidP="00D66939">
      <w:pPr>
        <w:keepNext/>
        <w:keepLines/>
        <w:contextualSpacing/>
        <w:rPr>
          <w:b/>
          <w:iCs/>
        </w:rPr>
      </w:pPr>
    </w:p>
    <w:p w:rsidR="004409C7" w:rsidRPr="004409C7" w:rsidRDefault="004409C7" w:rsidP="008C0F7A">
      <w:pPr>
        <w:shd w:val="clear" w:color="auto" w:fill="FFFFFF"/>
        <w:rPr>
          <w:iCs/>
        </w:rPr>
      </w:pPr>
      <w:r w:rsidRPr="004409C7">
        <w:rPr>
          <w:iCs/>
        </w:rPr>
        <w:t xml:space="preserve">The </w:t>
      </w:r>
      <w:r w:rsidR="00E921CF">
        <w:rPr>
          <w:iCs/>
        </w:rPr>
        <w:t>Norfolk</w:t>
      </w:r>
      <w:r w:rsidR="005857C6" w:rsidRPr="005857C6">
        <w:rPr>
          <w:iCs/>
        </w:rPr>
        <w:t xml:space="preserve"> Order</w:t>
      </w:r>
      <w:r w:rsidRPr="004409C7">
        <w:rPr>
          <w:iCs/>
        </w:rPr>
        <w:t xml:space="preserve"> extends specific sections of the </w:t>
      </w:r>
      <w:r w:rsidR="005857C6">
        <w:rPr>
          <w:iCs/>
        </w:rPr>
        <w:t xml:space="preserve">EC </w:t>
      </w:r>
      <w:r w:rsidRPr="00CE3BAC">
        <w:rPr>
          <w:iCs/>
        </w:rPr>
        <w:t xml:space="preserve">Act </w:t>
      </w:r>
      <w:r w:rsidRPr="004409C7">
        <w:rPr>
          <w:iCs/>
        </w:rPr>
        <w:t xml:space="preserve">and subordinate legislation to Norfolk Island. The </w:t>
      </w:r>
      <w:r w:rsidR="00E921CF">
        <w:rPr>
          <w:iCs/>
        </w:rPr>
        <w:t xml:space="preserve">Norfolk </w:t>
      </w:r>
      <w:r w:rsidR="00CE3BAC" w:rsidRPr="00CE3BAC">
        <w:rPr>
          <w:iCs/>
        </w:rPr>
        <w:t>Order</w:t>
      </w:r>
      <w:r w:rsidRPr="004409C7">
        <w:rPr>
          <w:iCs/>
        </w:rPr>
        <w:t xml:space="preserve"> adopts existing export processes and practices used by the Norfolk Island Administration prior to 1 July 2016. Processes and practices are in accordance with Australian export requirements and allow Norfolk Island plant exporters to meet importing </w:t>
      </w:r>
      <w:r w:rsidRPr="008C0F7A">
        <w:t>country</w:t>
      </w:r>
      <w:r w:rsidRPr="004409C7">
        <w:rPr>
          <w:iCs/>
        </w:rPr>
        <w:t xml:space="preserve"> requirements, including the requirement for phytosanitary certification.</w:t>
      </w:r>
    </w:p>
    <w:p w:rsidR="004409C7" w:rsidRPr="004409C7" w:rsidRDefault="004409C7" w:rsidP="00D66939">
      <w:pPr>
        <w:keepNext/>
        <w:keepLines/>
        <w:contextualSpacing/>
        <w:rPr>
          <w:iCs/>
        </w:rPr>
      </w:pPr>
    </w:p>
    <w:p w:rsidR="00A14064" w:rsidRDefault="00AA4754" w:rsidP="008C0F7A">
      <w:pPr>
        <w:shd w:val="clear" w:color="auto" w:fill="FFFFFF"/>
        <w:rPr>
          <w:iCs/>
        </w:rPr>
      </w:pPr>
      <w:r w:rsidRPr="00B56291">
        <w:t xml:space="preserve">The Australian Government Cost Recovery Guidelines state that agencies should set charges to recover some or all of the costs of services that they provide. </w:t>
      </w:r>
      <w:r w:rsidR="004409C7" w:rsidRPr="00B861CF">
        <w:rPr>
          <w:iCs/>
        </w:rPr>
        <w:t>Th</w:t>
      </w:r>
      <w:r w:rsidR="00CE3BAC" w:rsidRPr="00B861CF">
        <w:rPr>
          <w:iCs/>
        </w:rPr>
        <w:t>e</w:t>
      </w:r>
      <w:r w:rsidR="004409C7" w:rsidRPr="00B861CF">
        <w:rPr>
          <w:iCs/>
        </w:rPr>
        <w:t xml:space="preserve"> </w:t>
      </w:r>
      <w:r w:rsidR="00E921CF" w:rsidRPr="00B861CF">
        <w:t>Fees</w:t>
      </w:r>
      <w:r w:rsidR="00CE3BAC" w:rsidRPr="00B861CF">
        <w:t xml:space="preserve"> Order</w:t>
      </w:r>
      <w:r w:rsidR="004409C7" w:rsidRPr="00B861CF">
        <w:rPr>
          <w:iCs/>
        </w:rPr>
        <w:t xml:space="preserve"> </w:t>
      </w:r>
      <w:r w:rsidR="003C7390" w:rsidRPr="00B861CF">
        <w:t xml:space="preserve">as amended by the Amendment Fees Order, </w:t>
      </w:r>
      <w:r w:rsidR="004409C7" w:rsidRPr="00B861CF">
        <w:rPr>
          <w:iCs/>
        </w:rPr>
        <w:t>allow</w:t>
      </w:r>
      <w:r w:rsidR="00CE3BAC" w:rsidRPr="00B861CF">
        <w:rPr>
          <w:iCs/>
        </w:rPr>
        <w:t>s</w:t>
      </w:r>
      <w:r w:rsidR="004409C7" w:rsidRPr="00B861CF">
        <w:rPr>
          <w:iCs/>
        </w:rPr>
        <w:t xml:space="preserve"> the department to appropriately recover the costs for providing export services on Norfolk Island by imposing fees</w:t>
      </w:r>
      <w:r w:rsidR="00F71946" w:rsidRPr="00B861CF">
        <w:rPr>
          <w:iCs/>
        </w:rPr>
        <w:t>.</w:t>
      </w:r>
      <w:r>
        <w:rPr>
          <w:iCs/>
        </w:rPr>
        <w:t xml:space="preserve"> In accordance with the Norfolk Order only extending specific sections of the EC Act, an </w:t>
      </w:r>
      <w:r w:rsidR="001F2419">
        <w:rPr>
          <w:iCs/>
        </w:rPr>
        <w:t>associated</w:t>
      </w:r>
      <w:r>
        <w:rPr>
          <w:iCs/>
        </w:rPr>
        <w:t xml:space="preserve"> group of fees </w:t>
      </w:r>
      <w:r w:rsidR="00ED27C6">
        <w:rPr>
          <w:iCs/>
        </w:rPr>
        <w:t>are</w:t>
      </w:r>
      <w:r>
        <w:rPr>
          <w:iCs/>
        </w:rPr>
        <w:t xml:space="preserve"> </w:t>
      </w:r>
      <w:r w:rsidR="001F2419">
        <w:rPr>
          <w:iCs/>
        </w:rPr>
        <w:t xml:space="preserve">also </w:t>
      </w:r>
      <w:r>
        <w:rPr>
          <w:iCs/>
        </w:rPr>
        <w:t>applied.</w:t>
      </w:r>
      <w:r w:rsidR="00ED27C6">
        <w:rPr>
          <w:iCs/>
        </w:rPr>
        <w:t xml:space="preserve"> These fees are consistent with fees applied under the policy authority </w:t>
      </w:r>
      <w:r w:rsidR="00ED27C6" w:rsidRPr="00ED27C6">
        <w:rPr>
          <w:iCs/>
        </w:rPr>
        <w:t xml:space="preserve">confirmed in the 2015–16 Budget when the Commonwealth announced the redesign of the department’s cost recovery arrangements. </w:t>
      </w:r>
      <w:r w:rsidR="00C562D2" w:rsidRPr="00C562D2">
        <w:rPr>
          <w:iCs/>
        </w:rPr>
        <w:t>The redesign improve</w:t>
      </w:r>
      <w:r w:rsidR="008C7173">
        <w:rPr>
          <w:iCs/>
        </w:rPr>
        <w:t>d</w:t>
      </w:r>
      <w:r w:rsidR="00C562D2" w:rsidRPr="00C562D2">
        <w:rPr>
          <w:iCs/>
        </w:rPr>
        <w:t xml:space="preserve"> the department’s cost recovery arrangements so they are financially sustainable and support the efficient and effective delivery of export services into the future</w:t>
      </w:r>
      <w:r w:rsidR="008C0F7A">
        <w:rPr>
          <w:iCs/>
        </w:rPr>
        <w:t xml:space="preserve">. </w:t>
      </w:r>
    </w:p>
    <w:p w:rsidR="00A14064" w:rsidRDefault="00A14064" w:rsidP="00D66939">
      <w:pPr>
        <w:keepNext/>
        <w:keepLines/>
        <w:contextualSpacing/>
        <w:rPr>
          <w:iCs/>
        </w:rPr>
      </w:pPr>
    </w:p>
    <w:p w:rsidR="00E977D9" w:rsidRDefault="00E977D9" w:rsidP="00D66939">
      <w:pPr>
        <w:keepNext/>
        <w:keepLines/>
        <w:contextualSpacing/>
        <w:rPr>
          <w:b/>
          <w:iCs/>
        </w:rPr>
      </w:pPr>
      <w:r w:rsidRPr="00B56291">
        <w:rPr>
          <w:b/>
          <w:iCs/>
        </w:rPr>
        <w:t>Consultation</w:t>
      </w:r>
    </w:p>
    <w:p w:rsidR="00327BD2" w:rsidRPr="00B56291" w:rsidRDefault="00327BD2" w:rsidP="00D66939">
      <w:pPr>
        <w:keepNext/>
        <w:keepLines/>
        <w:contextualSpacing/>
        <w:rPr>
          <w:b/>
          <w:iCs/>
        </w:rPr>
      </w:pPr>
    </w:p>
    <w:p w:rsidR="00736D15" w:rsidRDefault="00736D15" w:rsidP="00D66939">
      <w:pPr>
        <w:shd w:val="clear" w:color="auto" w:fill="FFFFFF"/>
        <w:rPr>
          <w:color w:val="000000"/>
        </w:rPr>
      </w:pPr>
      <w:r>
        <w:rPr>
          <w:color w:val="000000"/>
        </w:rPr>
        <w:t>C</w:t>
      </w:r>
      <w:r w:rsidRPr="00EB31C8">
        <w:rPr>
          <w:color w:val="000000"/>
        </w:rPr>
        <w:t xml:space="preserve">onsultation was </w:t>
      </w:r>
      <w:r>
        <w:rPr>
          <w:color w:val="000000"/>
        </w:rPr>
        <w:t>undertaken on Norfolk Island by departmental staff prior to cessation of self-government on 30 June 2016</w:t>
      </w:r>
      <w:r w:rsidRPr="006B49D9">
        <w:rPr>
          <w:color w:val="000000"/>
        </w:rPr>
        <w:t xml:space="preserve"> </w:t>
      </w:r>
      <w:r>
        <w:rPr>
          <w:color w:val="000000"/>
        </w:rPr>
        <w:t xml:space="preserve">via a </w:t>
      </w:r>
      <w:r w:rsidRPr="006B49D9">
        <w:rPr>
          <w:color w:val="000000"/>
        </w:rPr>
        <w:t xml:space="preserve">number of public forums. Public forums were attended by </w:t>
      </w:r>
      <w:r w:rsidRPr="006B49D9">
        <w:t xml:space="preserve">island administration, local </w:t>
      </w:r>
      <w:r>
        <w:t>Biosecurity</w:t>
      </w:r>
      <w:r w:rsidRPr="006B49D9">
        <w:t xml:space="preserve"> staff, shipping agents, local businesses and individuals</w:t>
      </w:r>
      <w:r w:rsidRPr="006B49D9">
        <w:rPr>
          <w:color w:val="000000"/>
        </w:rPr>
        <w:t xml:space="preserve">. </w:t>
      </w:r>
      <w:r>
        <w:rPr>
          <w:color w:val="000000"/>
        </w:rPr>
        <w:t>C</w:t>
      </w:r>
      <w:r w:rsidRPr="006B49D9">
        <w:rPr>
          <w:color w:val="000000"/>
        </w:rPr>
        <w:t xml:space="preserve">hanges with the introduction of the proposed </w:t>
      </w:r>
      <w:r w:rsidRPr="00301BF0">
        <w:rPr>
          <w:iCs/>
          <w:color w:val="000000"/>
        </w:rPr>
        <w:t>Norfolk Order</w:t>
      </w:r>
      <w:r w:rsidRPr="006B49D9">
        <w:rPr>
          <w:i/>
          <w:iCs/>
          <w:color w:val="000000"/>
        </w:rPr>
        <w:t xml:space="preserve"> </w:t>
      </w:r>
      <w:r w:rsidRPr="006B49D9">
        <w:rPr>
          <w:iCs/>
          <w:color w:val="000000"/>
        </w:rPr>
        <w:t xml:space="preserve">are considered to be </w:t>
      </w:r>
      <w:r>
        <w:rPr>
          <w:iCs/>
          <w:color w:val="000000"/>
        </w:rPr>
        <w:t>minimal</w:t>
      </w:r>
      <w:r w:rsidRPr="006B49D9">
        <w:rPr>
          <w:color w:val="000000"/>
        </w:rPr>
        <w:t>.</w:t>
      </w:r>
    </w:p>
    <w:p w:rsidR="00F71946" w:rsidRPr="00EB31C8" w:rsidRDefault="00F71946" w:rsidP="00D66939">
      <w:pPr>
        <w:shd w:val="clear" w:color="auto" w:fill="FFFFFF"/>
        <w:rPr>
          <w:color w:val="000000"/>
        </w:rPr>
      </w:pPr>
      <w:r w:rsidRPr="00EB31C8">
        <w:rPr>
          <w:color w:val="000000"/>
        </w:rPr>
        <w:t> </w:t>
      </w:r>
    </w:p>
    <w:p w:rsidR="00F71946" w:rsidRPr="00EB31C8" w:rsidRDefault="00994CCC" w:rsidP="00D66939">
      <w:pPr>
        <w:shd w:val="clear" w:color="auto" w:fill="FFFFFF"/>
        <w:rPr>
          <w:color w:val="000000"/>
        </w:rPr>
      </w:pPr>
      <w:r w:rsidRPr="004D3C62">
        <w:rPr>
          <w:color w:val="000000"/>
        </w:rPr>
        <w:t xml:space="preserve">The Office of Best Practice Regulation </w:t>
      </w:r>
      <w:r>
        <w:rPr>
          <w:color w:val="000000"/>
        </w:rPr>
        <w:t>has advised that the</w:t>
      </w:r>
      <w:r w:rsidRPr="004D3C62">
        <w:rPr>
          <w:color w:val="000000"/>
        </w:rPr>
        <w:t xml:space="preserve"> </w:t>
      </w:r>
      <w:r>
        <w:rPr>
          <w:iCs/>
          <w:color w:val="000000"/>
        </w:rPr>
        <w:t>Norfolk</w:t>
      </w:r>
      <w:r w:rsidRPr="00161F63">
        <w:rPr>
          <w:iCs/>
          <w:color w:val="000000"/>
        </w:rPr>
        <w:t xml:space="preserve"> Order</w:t>
      </w:r>
      <w:r w:rsidRPr="004D3C62" w:rsidDel="004D3C62">
        <w:rPr>
          <w:color w:val="000000"/>
        </w:rPr>
        <w:t xml:space="preserve"> </w:t>
      </w:r>
      <w:r>
        <w:rPr>
          <w:color w:val="000000"/>
        </w:rPr>
        <w:t>and associated consequential amendments are minor in nature and do not require a regulation impact statement (ID 21006).</w:t>
      </w:r>
    </w:p>
    <w:p w:rsidR="00F71946" w:rsidRPr="00EB31C8" w:rsidRDefault="00F71946" w:rsidP="00D66939">
      <w:pPr>
        <w:shd w:val="clear" w:color="auto" w:fill="FFFFFF"/>
        <w:rPr>
          <w:color w:val="000000"/>
        </w:rPr>
      </w:pPr>
      <w:r w:rsidRPr="00EB31C8">
        <w:rPr>
          <w:color w:val="000000"/>
        </w:rPr>
        <w:t> </w:t>
      </w:r>
    </w:p>
    <w:p w:rsidR="00011480" w:rsidRDefault="00011480" w:rsidP="00D66939">
      <w:pPr>
        <w:shd w:val="clear" w:color="auto" w:fill="FFFFFF"/>
        <w:rPr>
          <w:color w:val="000000"/>
        </w:rPr>
      </w:pPr>
      <w:r w:rsidRPr="00EB31C8">
        <w:rPr>
          <w:color w:val="000000"/>
        </w:rPr>
        <w:t xml:space="preserve">The </w:t>
      </w:r>
      <w:r w:rsidR="00F13725">
        <w:rPr>
          <w:color w:val="000000"/>
        </w:rPr>
        <w:t>Amend</w:t>
      </w:r>
      <w:r w:rsidR="003C7390">
        <w:rPr>
          <w:color w:val="000000"/>
        </w:rPr>
        <w:t>ment</w:t>
      </w:r>
      <w:r w:rsidR="00F13725">
        <w:rPr>
          <w:color w:val="000000"/>
        </w:rPr>
        <w:t xml:space="preserve"> </w:t>
      </w:r>
      <w:r w:rsidR="00E921CF">
        <w:t>Fees</w:t>
      </w:r>
      <w:r w:rsidR="000E6323" w:rsidRPr="00B56291">
        <w:t xml:space="preserve"> Order</w:t>
      </w:r>
      <w:r w:rsidR="000E6323" w:rsidRPr="004409C7">
        <w:rPr>
          <w:iCs/>
        </w:rPr>
        <w:t xml:space="preserve"> </w:t>
      </w:r>
      <w:r w:rsidRPr="00EB31C8">
        <w:rPr>
          <w:color w:val="000000"/>
        </w:rPr>
        <w:t>is compatible with the human rights and freedoms recognised or declared under section 3 of the </w:t>
      </w:r>
      <w:r w:rsidRPr="00EB31C8">
        <w:rPr>
          <w:i/>
          <w:iCs/>
          <w:color w:val="000000"/>
        </w:rPr>
        <w:t>Human Rights (Parliamentary Scrutiny) Act 2011</w:t>
      </w:r>
      <w:r w:rsidRPr="00EB31C8">
        <w:rPr>
          <w:color w:val="000000"/>
        </w:rPr>
        <w:t>. A full statement of compatibility is set out in the </w:t>
      </w:r>
      <w:r w:rsidRPr="00EB31C8">
        <w:rPr>
          <w:color w:val="000000"/>
          <w:u w:val="single"/>
        </w:rPr>
        <w:t>Attachment</w:t>
      </w:r>
      <w:r w:rsidRPr="00EB31C8">
        <w:rPr>
          <w:color w:val="000000"/>
        </w:rPr>
        <w:t>.</w:t>
      </w:r>
    </w:p>
    <w:p w:rsidR="00011480" w:rsidRPr="00B56291" w:rsidRDefault="00011480" w:rsidP="00D66939">
      <w:pPr>
        <w:shd w:val="clear" w:color="auto" w:fill="FFFFFF"/>
      </w:pPr>
    </w:p>
    <w:p w:rsidR="00F71946" w:rsidRPr="00EB31C8" w:rsidRDefault="00F71946" w:rsidP="00D66939">
      <w:pPr>
        <w:shd w:val="clear" w:color="auto" w:fill="FFFFFF"/>
        <w:rPr>
          <w:color w:val="000000"/>
        </w:rPr>
      </w:pPr>
      <w:r w:rsidRPr="00EB31C8">
        <w:rPr>
          <w:color w:val="000000"/>
        </w:rPr>
        <w:t xml:space="preserve">The </w:t>
      </w:r>
      <w:r w:rsidR="003C7390">
        <w:rPr>
          <w:color w:val="000000"/>
        </w:rPr>
        <w:t xml:space="preserve">Amendment </w:t>
      </w:r>
      <w:r w:rsidR="003C7390">
        <w:t>Fees</w:t>
      </w:r>
      <w:r w:rsidR="003C7390" w:rsidRPr="00B56291">
        <w:t xml:space="preserve"> Order</w:t>
      </w:r>
      <w:r w:rsidR="003C7390" w:rsidRPr="004409C7">
        <w:rPr>
          <w:iCs/>
        </w:rPr>
        <w:t xml:space="preserve"> </w:t>
      </w:r>
      <w:r w:rsidRPr="00EB31C8">
        <w:rPr>
          <w:color w:val="000000"/>
        </w:rPr>
        <w:t>is a legislative instrument for the purposes of the </w:t>
      </w:r>
      <w:r w:rsidRPr="00EB31C8">
        <w:rPr>
          <w:i/>
          <w:iCs/>
          <w:color w:val="000000"/>
        </w:rPr>
        <w:t>Legislation Act 2003</w:t>
      </w:r>
      <w:r w:rsidRPr="00EB31C8">
        <w:rPr>
          <w:color w:val="000000"/>
        </w:rPr>
        <w:t>.</w:t>
      </w:r>
    </w:p>
    <w:p w:rsidR="00994CCC" w:rsidRDefault="00994CCC" w:rsidP="00D66939">
      <w:pPr>
        <w:shd w:val="clear" w:color="auto" w:fill="FFFFFF"/>
        <w:rPr>
          <w:color w:val="000000"/>
        </w:rPr>
      </w:pPr>
    </w:p>
    <w:p w:rsidR="00994CCC" w:rsidRDefault="00994CCC" w:rsidP="00D66939">
      <w:pPr>
        <w:shd w:val="clear" w:color="auto" w:fill="FFFFFF"/>
        <w:rPr>
          <w:color w:val="000000"/>
        </w:rPr>
      </w:pPr>
    </w:p>
    <w:p w:rsidR="003A4A5E" w:rsidRPr="009254BC" w:rsidRDefault="00F71946" w:rsidP="00D66939">
      <w:pPr>
        <w:shd w:val="clear" w:color="auto" w:fill="FFFFFF"/>
        <w:rPr>
          <w:b/>
          <w:bCs/>
        </w:rPr>
      </w:pPr>
      <w:r w:rsidRPr="00EB31C8">
        <w:rPr>
          <w:color w:val="000000"/>
        </w:rPr>
        <w:lastRenderedPageBreak/>
        <w:t> </w:t>
      </w:r>
      <w:r w:rsidR="003A4A5E" w:rsidRPr="009254BC">
        <w:rPr>
          <w:b/>
          <w:bCs/>
        </w:rPr>
        <w:t>Details</w:t>
      </w:r>
      <w:r w:rsidR="008C6B0F">
        <w:rPr>
          <w:b/>
          <w:bCs/>
        </w:rPr>
        <w:t xml:space="preserve"> of the </w:t>
      </w:r>
      <w:r w:rsidR="008C6B0F" w:rsidRPr="008C6B0F">
        <w:rPr>
          <w:b/>
          <w:bCs/>
          <w:i/>
        </w:rPr>
        <w:t>Export Control (Fees) Amendment (Norfolk Island Plants) Order 2016</w:t>
      </w:r>
    </w:p>
    <w:p w:rsidR="00EA0414" w:rsidRDefault="00EA0414" w:rsidP="00D66939">
      <w:pPr>
        <w:rPr>
          <w:u w:val="single"/>
        </w:rPr>
      </w:pPr>
    </w:p>
    <w:p w:rsidR="00EA0414" w:rsidRDefault="00EA0414" w:rsidP="00D66939">
      <w:pPr>
        <w:rPr>
          <w:u w:val="single"/>
        </w:rPr>
      </w:pPr>
      <w:r>
        <w:rPr>
          <w:u w:val="single"/>
        </w:rPr>
        <w:t>Section 1</w:t>
      </w:r>
    </w:p>
    <w:p w:rsidR="00EA0414" w:rsidRDefault="00EA0414" w:rsidP="00D66939">
      <w:r>
        <w:t xml:space="preserve">This section provides that the name of this Order is the </w:t>
      </w:r>
      <w:r>
        <w:rPr>
          <w:i/>
        </w:rPr>
        <w:t>Export Control (Fees) Amendment (Norfolk Island Plants) Order 2016</w:t>
      </w:r>
      <w:r>
        <w:t>.</w:t>
      </w:r>
    </w:p>
    <w:p w:rsidR="00EA0414" w:rsidRDefault="00EA0414" w:rsidP="00D66939"/>
    <w:p w:rsidR="00EA0414" w:rsidRDefault="00EA0414" w:rsidP="00D66939">
      <w:pPr>
        <w:rPr>
          <w:u w:val="single"/>
        </w:rPr>
      </w:pPr>
      <w:r>
        <w:rPr>
          <w:u w:val="single"/>
        </w:rPr>
        <w:t>Section 2</w:t>
      </w:r>
    </w:p>
    <w:p w:rsidR="00EA0414" w:rsidRDefault="00EA0414" w:rsidP="00D66939">
      <w:r>
        <w:t xml:space="preserve">This section provides that the </w:t>
      </w:r>
      <w:r w:rsidR="00A433DA">
        <w:t>Amendment Fees Order</w:t>
      </w:r>
      <w:r w:rsidR="00A433DA" w:rsidDel="00A433DA">
        <w:t xml:space="preserve"> </w:t>
      </w:r>
      <w:r>
        <w:t xml:space="preserve">commences on </w:t>
      </w:r>
      <w:r w:rsidR="00C9469B">
        <w:t>1 December 2016.</w:t>
      </w:r>
    </w:p>
    <w:p w:rsidR="00EA0414" w:rsidRDefault="00EA0414" w:rsidP="00D66939"/>
    <w:p w:rsidR="00EA0414" w:rsidRDefault="00EA0414" w:rsidP="00D66939">
      <w:pPr>
        <w:rPr>
          <w:u w:val="single"/>
        </w:rPr>
      </w:pPr>
      <w:r>
        <w:rPr>
          <w:u w:val="single"/>
        </w:rPr>
        <w:t>Section 3</w:t>
      </w:r>
    </w:p>
    <w:p w:rsidR="00EA0414" w:rsidRDefault="00EA0414" w:rsidP="00D66939">
      <w:r>
        <w:t xml:space="preserve">This section </w:t>
      </w:r>
      <w:r w:rsidR="00B4436A">
        <w:t xml:space="preserve">provides that the </w:t>
      </w:r>
      <w:r w:rsidR="00A433DA">
        <w:t>Amendment Fees Order</w:t>
      </w:r>
      <w:r w:rsidR="00A433DA" w:rsidDel="00A433DA">
        <w:t xml:space="preserve"> </w:t>
      </w:r>
      <w:r w:rsidR="00B4436A">
        <w:t xml:space="preserve">is made under regulation 3 of the </w:t>
      </w:r>
      <w:r w:rsidR="00B4436A">
        <w:rPr>
          <w:i/>
        </w:rPr>
        <w:t>Export Control (Orders) Regulation 1982</w:t>
      </w:r>
      <w:r w:rsidR="00B4436A">
        <w:t>.</w:t>
      </w:r>
    </w:p>
    <w:p w:rsidR="00B4436A" w:rsidRDefault="00B4436A" w:rsidP="00D66939"/>
    <w:p w:rsidR="00B4436A" w:rsidRDefault="00B4436A" w:rsidP="00D66939">
      <w:r>
        <w:rPr>
          <w:u w:val="single"/>
        </w:rPr>
        <w:t>Section 4</w:t>
      </w:r>
    </w:p>
    <w:p w:rsidR="00B4436A" w:rsidRDefault="00B4436A" w:rsidP="00D66939">
      <w:r>
        <w:t>This section provides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4436A" w:rsidRDefault="00B4436A" w:rsidP="00D66939"/>
    <w:p w:rsidR="00B4436A" w:rsidRPr="00EE44B3" w:rsidRDefault="00B4436A" w:rsidP="00D66939">
      <w:pPr>
        <w:rPr>
          <w:b/>
          <w:u w:val="single"/>
        </w:rPr>
      </w:pPr>
      <w:r w:rsidRPr="00EE44B3">
        <w:rPr>
          <w:b/>
          <w:u w:val="single"/>
        </w:rPr>
        <w:t>Schedule 1</w:t>
      </w:r>
    </w:p>
    <w:p w:rsidR="00EA0414" w:rsidRDefault="00EA0414" w:rsidP="00D66939">
      <w:pPr>
        <w:rPr>
          <w:u w:val="single"/>
        </w:rPr>
      </w:pPr>
    </w:p>
    <w:p w:rsidR="003A4A5E" w:rsidRPr="00721A65" w:rsidRDefault="003A4A5E" w:rsidP="00D66939">
      <w:pPr>
        <w:rPr>
          <w:u w:val="single"/>
        </w:rPr>
      </w:pPr>
      <w:r w:rsidRPr="00721A65">
        <w:rPr>
          <w:u w:val="single"/>
        </w:rPr>
        <w:t>Section 5 Definitions - Consequential Amendments</w:t>
      </w:r>
    </w:p>
    <w:p w:rsidR="003A4A5E" w:rsidRDefault="003A4A5E" w:rsidP="00D66939">
      <w:r w:rsidRPr="00CB3EDB">
        <w:t>This section provides definitions of</w:t>
      </w:r>
      <w:r>
        <w:t xml:space="preserve"> </w:t>
      </w:r>
      <w:r w:rsidRPr="00CB3EDB">
        <w:t>terms used in the</w:t>
      </w:r>
      <w:r w:rsidR="00A433DA">
        <w:t xml:space="preserve"> </w:t>
      </w:r>
      <w:r w:rsidR="00A433DA" w:rsidRPr="00B56291">
        <w:rPr>
          <w:i/>
        </w:rPr>
        <w:t xml:space="preserve">Export Control (Fees) </w:t>
      </w:r>
      <w:r w:rsidR="00A433DA" w:rsidRPr="00B56291">
        <w:rPr>
          <w:i/>
          <w:iCs/>
        </w:rPr>
        <w:t xml:space="preserve">Order </w:t>
      </w:r>
      <w:r w:rsidR="00A433DA">
        <w:rPr>
          <w:i/>
          <w:iCs/>
        </w:rPr>
        <w:t>2015</w:t>
      </w:r>
      <w:r w:rsidR="00A433DA">
        <w:t xml:space="preserve"> (</w:t>
      </w:r>
      <w:r w:rsidR="00E921CF">
        <w:t xml:space="preserve">Fees </w:t>
      </w:r>
      <w:r w:rsidR="00E96616">
        <w:t>Order</w:t>
      </w:r>
      <w:r w:rsidR="00A433DA">
        <w:t>)</w:t>
      </w:r>
      <w:r>
        <w:t xml:space="preserve">. </w:t>
      </w:r>
      <w:r w:rsidRPr="009A2D68">
        <w:t>This ensures the meaning of these terms is clear.</w:t>
      </w:r>
      <w:r>
        <w:t xml:space="preserve"> Many of the definitions in the </w:t>
      </w:r>
      <w:r w:rsidR="00E921CF">
        <w:t xml:space="preserve">Fees </w:t>
      </w:r>
      <w:r w:rsidR="00E96616">
        <w:t>Order</w:t>
      </w:r>
      <w:r>
        <w:t xml:space="preserve"> have the same meaning as when those terms are used in other Acts, legislative instruments (orders) or Australian Standards</w:t>
      </w:r>
      <w:r w:rsidR="008C0F7A">
        <w:t xml:space="preserve">. </w:t>
      </w:r>
    </w:p>
    <w:p w:rsidR="003A4A5E" w:rsidRDefault="003A4A5E" w:rsidP="00D66939"/>
    <w:p w:rsidR="005D744A" w:rsidRDefault="008C6B0F" w:rsidP="00D66939">
      <w:r>
        <w:rPr>
          <w:color w:val="000000"/>
        </w:rPr>
        <w:t xml:space="preserve">This item </w:t>
      </w:r>
      <w:r w:rsidR="005D744A">
        <w:t xml:space="preserve">amends the </w:t>
      </w:r>
      <w:r w:rsidR="005D744A">
        <w:rPr>
          <w:bCs/>
          <w:iCs/>
        </w:rPr>
        <w:t xml:space="preserve">definitions in the </w:t>
      </w:r>
      <w:r w:rsidR="00E921CF">
        <w:rPr>
          <w:bCs/>
          <w:iCs/>
        </w:rPr>
        <w:t xml:space="preserve">Fees </w:t>
      </w:r>
      <w:r w:rsidR="005D744A">
        <w:rPr>
          <w:bCs/>
          <w:iCs/>
        </w:rPr>
        <w:t xml:space="preserve">Order </w:t>
      </w:r>
      <w:r w:rsidR="005D744A" w:rsidRPr="00395ADB">
        <w:rPr>
          <w:bCs/>
          <w:iCs/>
        </w:rPr>
        <w:t xml:space="preserve">for </w:t>
      </w:r>
      <w:r w:rsidR="005D744A">
        <w:rPr>
          <w:bCs/>
          <w:iCs/>
        </w:rPr>
        <w:t>‘</w:t>
      </w:r>
      <w:r w:rsidR="005D744A">
        <w:t>Plants’ and ‘Plant P</w:t>
      </w:r>
      <w:r w:rsidR="005D744A" w:rsidRPr="007A1EBF">
        <w:t>roducts</w:t>
      </w:r>
      <w:r w:rsidR="005D744A">
        <w:t>’</w:t>
      </w:r>
      <w:r w:rsidR="005D744A" w:rsidRPr="007A1EBF">
        <w:t xml:space="preserve"> </w:t>
      </w:r>
      <w:r w:rsidR="005D744A">
        <w:t xml:space="preserve">to include those </w:t>
      </w:r>
      <w:r w:rsidR="00DC7A9E">
        <w:t xml:space="preserve">goods as prescribed </w:t>
      </w:r>
      <w:r w:rsidR="005D744A" w:rsidRPr="007A1EBF">
        <w:t xml:space="preserve">under the </w:t>
      </w:r>
      <w:r w:rsidR="005D744A" w:rsidRPr="007A1EBF">
        <w:rPr>
          <w:i/>
        </w:rPr>
        <w:t>Export Control (Plants and Plant Products) Order 2011</w:t>
      </w:r>
      <w:r w:rsidR="005D744A" w:rsidRPr="007A1EBF">
        <w:t xml:space="preserve"> </w:t>
      </w:r>
      <w:r w:rsidR="005D744A">
        <w:t>or</w:t>
      </w:r>
      <w:r w:rsidR="005D744A" w:rsidRPr="007A1EBF">
        <w:t xml:space="preserve"> the </w:t>
      </w:r>
      <w:r w:rsidR="005D744A" w:rsidRPr="007A1EBF">
        <w:rPr>
          <w:i/>
        </w:rPr>
        <w:t>Export Control (Plants and Plant Products—Norfolk Island) Order 2016</w:t>
      </w:r>
      <w:r w:rsidR="005D744A" w:rsidRPr="007A1EBF">
        <w:t>.</w:t>
      </w:r>
    </w:p>
    <w:p w:rsidR="00F536BE" w:rsidRPr="00B56291" w:rsidRDefault="00F536BE" w:rsidP="00D66939"/>
    <w:p w:rsidR="005F1C0F" w:rsidRDefault="005F1C0F" w:rsidP="00D66939">
      <w:r>
        <w:br w:type="page"/>
      </w:r>
    </w:p>
    <w:p w:rsidR="00B407B1" w:rsidRPr="00B56291" w:rsidRDefault="00331C24" w:rsidP="00D66939">
      <w:pPr>
        <w:keepLines/>
        <w:spacing w:before="360" w:after="120"/>
        <w:jc w:val="right"/>
      </w:pPr>
      <w:r w:rsidRPr="00B56291">
        <w:rPr>
          <w:b/>
          <w:bCs/>
          <w:u w:val="single"/>
        </w:rPr>
        <w:lastRenderedPageBreak/>
        <w:t>ATTACHMENT</w:t>
      </w:r>
      <w:r w:rsidR="00166844" w:rsidRPr="00B56291">
        <w:rPr>
          <w:b/>
          <w:bCs/>
          <w:u w:val="single"/>
        </w:rPr>
        <w:t xml:space="preserve"> </w:t>
      </w:r>
    </w:p>
    <w:p w:rsidR="00B407B1" w:rsidRPr="00B56291" w:rsidRDefault="00B407B1" w:rsidP="00D66939">
      <w:pPr>
        <w:keepLines/>
        <w:jc w:val="center"/>
        <w:rPr>
          <w:b/>
          <w:bCs/>
        </w:rPr>
      </w:pPr>
    </w:p>
    <w:p w:rsidR="00B407B1" w:rsidRPr="00B56291" w:rsidRDefault="00331C24" w:rsidP="00D66939">
      <w:pPr>
        <w:keepLines/>
        <w:jc w:val="center"/>
        <w:rPr>
          <w:b/>
          <w:bCs/>
        </w:rPr>
      </w:pPr>
      <w:r w:rsidRPr="00B56291">
        <w:rPr>
          <w:b/>
          <w:bCs/>
        </w:rPr>
        <w:t>Statement of Compatibility with Human Rights</w:t>
      </w:r>
    </w:p>
    <w:p w:rsidR="00B407B1" w:rsidRPr="00B56291" w:rsidRDefault="00B407B1" w:rsidP="00D66939">
      <w:pPr>
        <w:keepLines/>
        <w:jc w:val="center"/>
        <w:rPr>
          <w:b/>
          <w:bCs/>
        </w:rPr>
      </w:pPr>
    </w:p>
    <w:p w:rsidR="00B407B1" w:rsidRPr="00527FDC" w:rsidRDefault="00331C24" w:rsidP="00D66939">
      <w:pPr>
        <w:keepLines/>
        <w:jc w:val="center"/>
        <w:rPr>
          <w:i/>
          <w:iCs/>
        </w:rPr>
      </w:pPr>
      <w:r w:rsidRPr="008164DD">
        <w:rPr>
          <w:i/>
          <w:iCs/>
        </w:rPr>
        <w:t>Prepared in accordance with Part 3 of the</w:t>
      </w:r>
      <w:r w:rsidRPr="00527FDC">
        <w:rPr>
          <w:i/>
          <w:iCs/>
        </w:rPr>
        <w:t xml:space="preserve"> Human Rights (Parliamentary Scrutiny) Act 2011</w:t>
      </w:r>
    </w:p>
    <w:p w:rsidR="007C095D" w:rsidRPr="00B56291" w:rsidRDefault="007C095D" w:rsidP="00D66939">
      <w:pPr>
        <w:keepLines/>
        <w:jc w:val="center"/>
      </w:pPr>
    </w:p>
    <w:p w:rsidR="00B407B1" w:rsidRDefault="00142035" w:rsidP="00D66939">
      <w:pPr>
        <w:keepLines/>
        <w:jc w:val="center"/>
        <w:rPr>
          <w:b/>
          <w:i/>
          <w:iCs/>
        </w:rPr>
      </w:pPr>
      <w:r w:rsidRPr="00B56291">
        <w:rPr>
          <w:i/>
        </w:rPr>
        <w:t xml:space="preserve">Export Control (Fees) </w:t>
      </w:r>
      <w:r>
        <w:rPr>
          <w:i/>
          <w:iCs/>
        </w:rPr>
        <w:t>Amendment (Norfolk Island Plants)</w:t>
      </w:r>
      <w:r w:rsidRPr="00B56291">
        <w:rPr>
          <w:i/>
          <w:iCs/>
        </w:rPr>
        <w:t xml:space="preserve"> Order </w:t>
      </w:r>
      <w:r>
        <w:rPr>
          <w:i/>
          <w:iCs/>
        </w:rPr>
        <w:t>2016</w:t>
      </w:r>
      <w:r w:rsidR="00331C24" w:rsidRPr="00B56291">
        <w:rPr>
          <w:b/>
          <w:bCs/>
          <w:i/>
          <w:iCs/>
        </w:rPr>
        <w:t> </w:t>
      </w:r>
    </w:p>
    <w:p w:rsidR="00E45155" w:rsidRPr="00B56291" w:rsidRDefault="00E45155" w:rsidP="00D66939">
      <w:pPr>
        <w:keepLines/>
        <w:jc w:val="center"/>
      </w:pPr>
    </w:p>
    <w:p w:rsidR="00B407B1" w:rsidRPr="00B56291" w:rsidRDefault="00331C24" w:rsidP="00D66939">
      <w:pPr>
        <w:keepLines/>
        <w:jc w:val="center"/>
        <w:rPr>
          <w:i/>
          <w:iCs/>
        </w:rPr>
      </w:pPr>
      <w:r w:rsidRPr="00B56291">
        <w:t xml:space="preserve">This Legislative Instrument is compatible with the human rights and freedoms recognised or declared in the international instruments listed in section 3 of the </w:t>
      </w:r>
      <w:r w:rsidRPr="00B56291">
        <w:rPr>
          <w:i/>
          <w:iCs/>
        </w:rPr>
        <w:t xml:space="preserve">Human Rights </w:t>
      </w:r>
    </w:p>
    <w:p w:rsidR="00B407B1" w:rsidRPr="00B56291" w:rsidRDefault="00331C24" w:rsidP="00D66939">
      <w:pPr>
        <w:keepLines/>
        <w:jc w:val="center"/>
      </w:pPr>
      <w:r w:rsidRPr="00B56291">
        <w:rPr>
          <w:i/>
          <w:iCs/>
        </w:rPr>
        <w:t>(Parliamentary Scrutiny) Act 2011</w:t>
      </w:r>
      <w:r w:rsidRPr="00B56291">
        <w:t>.</w:t>
      </w:r>
    </w:p>
    <w:p w:rsidR="00B407B1" w:rsidRPr="00B56291" w:rsidRDefault="00B407B1" w:rsidP="00D66939">
      <w:pPr>
        <w:keepLines/>
        <w:jc w:val="center"/>
      </w:pPr>
    </w:p>
    <w:p w:rsidR="00B074D9" w:rsidRDefault="00331C24" w:rsidP="00D66939">
      <w:pPr>
        <w:keepLines/>
        <w:contextualSpacing/>
        <w:rPr>
          <w:b/>
          <w:bCs/>
        </w:rPr>
      </w:pPr>
      <w:r w:rsidRPr="00B56291">
        <w:rPr>
          <w:b/>
          <w:bCs/>
        </w:rPr>
        <w:t>Overview of the Legislative Instrument</w:t>
      </w:r>
    </w:p>
    <w:p w:rsidR="00E664F2" w:rsidRPr="00B56291" w:rsidRDefault="00E664F2" w:rsidP="00D66939">
      <w:pPr>
        <w:keepLines/>
        <w:contextualSpacing/>
      </w:pPr>
      <w:r w:rsidRPr="00B56291">
        <w:t xml:space="preserve">The </w:t>
      </w:r>
      <w:r w:rsidRPr="00B56291">
        <w:rPr>
          <w:i/>
        </w:rPr>
        <w:t xml:space="preserve">Export Control (Fees) </w:t>
      </w:r>
      <w:r w:rsidRPr="00B56291">
        <w:rPr>
          <w:i/>
          <w:iCs/>
        </w:rPr>
        <w:t xml:space="preserve">Order </w:t>
      </w:r>
      <w:r>
        <w:rPr>
          <w:i/>
          <w:iCs/>
        </w:rPr>
        <w:t>2015</w:t>
      </w:r>
      <w:r>
        <w:t xml:space="preserve"> (Fees Order) </w:t>
      </w:r>
      <w:r w:rsidRPr="00B56291">
        <w:t>prescribe</w:t>
      </w:r>
      <w:r>
        <w:t>s</w:t>
      </w:r>
      <w:r w:rsidRPr="00B56291">
        <w:t xml:space="preserve"> fees, persons liable to pay fees or late fees, the time for payment of fees and exemptions from fees and to provide for related application and transitional provisions. </w:t>
      </w:r>
    </w:p>
    <w:p w:rsidR="00E664F2" w:rsidRPr="00B56291" w:rsidRDefault="00E664F2" w:rsidP="00D66939">
      <w:pPr>
        <w:keepLines/>
        <w:contextualSpacing/>
      </w:pPr>
    </w:p>
    <w:p w:rsidR="00E664F2" w:rsidRPr="005F4066" w:rsidRDefault="00E664F2" w:rsidP="00D66939">
      <w:pPr>
        <w:shd w:val="clear" w:color="auto" w:fill="FFFFFF"/>
        <w:rPr>
          <w:b/>
        </w:rPr>
      </w:pPr>
      <w:r>
        <w:t xml:space="preserve">The purpose of the </w:t>
      </w:r>
      <w:r w:rsidRPr="00B56291">
        <w:rPr>
          <w:i/>
        </w:rPr>
        <w:t xml:space="preserve">Export Control (Fees) </w:t>
      </w:r>
      <w:r>
        <w:rPr>
          <w:i/>
          <w:iCs/>
        </w:rPr>
        <w:t>Amendment (Norfolk Island Plants)</w:t>
      </w:r>
      <w:r w:rsidRPr="00B56291">
        <w:rPr>
          <w:i/>
          <w:iCs/>
        </w:rPr>
        <w:t xml:space="preserve"> Order </w:t>
      </w:r>
      <w:r>
        <w:rPr>
          <w:i/>
          <w:iCs/>
        </w:rPr>
        <w:t xml:space="preserve">2016 </w:t>
      </w:r>
      <w:r>
        <w:t xml:space="preserve">is to amend the Fees Order </w:t>
      </w:r>
      <w:r w:rsidRPr="00B56291">
        <w:t>giv</w:t>
      </w:r>
      <w:r>
        <w:t>ing</w:t>
      </w:r>
      <w:r w:rsidRPr="00B56291">
        <w:t xml:space="preserve"> effect to </w:t>
      </w:r>
      <w:r>
        <w:t xml:space="preserve">charging for services provided by the </w:t>
      </w:r>
      <w:r w:rsidRPr="00100FE5">
        <w:t xml:space="preserve">Department of Agriculture and Water Resources’ </w:t>
      </w:r>
      <w:r>
        <w:t xml:space="preserve">in relation to the </w:t>
      </w:r>
      <w:r w:rsidR="00113FDB">
        <w:rPr>
          <w:i/>
          <w:iCs/>
          <w:color w:val="000000"/>
        </w:rPr>
        <w:t>Export Control</w:t>
      </w:r>
      <w:r w:rsidR="00113FDB" w:rsidRPr="00EB31C8">
        <w:rPr>
          <w:i/>
          <w:iCs/>
          <w:color w:val="000000"/>
        </w:rPr>
        <w:t xml:space="preserve"> (Plant</w:t>
      </w:r>
      <w:r w:rsidR="00113FDB">
        <w:rPr>
          <w:i/>
          <w:iCs/>
          <w:color w:val="000000"/>
        </w:rPr>
        <w:t>s</w:t>
      </w:r>
      <w:r w:rsidR="00113FDB" w:rsidRPr="00EB31C8">
        <w:rPr>
          <w:i/>
          <w:iCs/>
          <w:color w:val="000000"/>
        </w:rPr>
        <w:t xml:space="preserve"> and Plant Products</w:t>
      </w:r>
      <w:r w:rsidR="00113FDB">
        <w:rPr>
          <w:i/>
          <w:iCs/>
          <w:color w:val="000000"/>
        </w:rPr>
        <w:t>—Norfolk Island</w:t>
      </w:r>
      <w:r w:rsidR="00113FDB" w:rsidRPr="00EB31C8">
        <w:rPr>
          <w:i/>
          <w:iCs/>
          <w:color w:val="000000"/>
        </w:rPr>
        <w:t>) Order 2016</w:t>
      </w:r>
      <w:r w:rsidRPr="005F4066">
        <w:rPr>
          <w:iCs/>
          <w:color w:val="000000"/>
        </w:rPr>
        <w:t>.</w:t>
      </w:r>
      <w:r w:rsidRPr="005F4066">
        <w:t xml:space="preserve"> </w:t>
      </w:r>
    </w:p>
    <w:p w:rsidR="00C41B0D" w:rsidRPr="00B56291" w:rsidRDefault="00C41B0D" w:rsidP="00D66939">
      <w:pPr>
        <w:keepLines/>
      </w:pPr>
      <w:bookmarkStart w:id="0" w:name="_GoBack"/>
      <w:bookmarkEnd w:id="0"/>
    </w:p>
    <w:p w:rsidR="00B407B1" w:rsidRPr="00B56291" w:rsidRDefault="00331C24" w:rsidP="00D66939">
      <w:pPr>
        <w:keepLines/>
      </w:pPr>
      <w:r w:rsidRPr="00B56291">
        <w:rPr>
          <w:b/>
          <w:bCs/>
        </w:rPr>
        <w:t>Human rights implications</w:t>
      </w:r>
    </w:p>
    <w:p w:rsidR="00B407B1" w:rsidRPr="00B56291" w:rsidRDefault="00331C24" w:rsidP="00D66939">
      <w:pPr>
        <w:keepLines/>
      </w:pPr>
      <w:r w:rsidRPr="00B56291">
        <w:t>This Legislative Instrument does not engage any of the applicable rights or freedoms.</w:t>
      </w:r>
    </w:p>
    <w:p w:rsidR="00B407B1" w:rsidRPr="00B56291" w:rsidRDefault="00331C24" w:rsidP="00D66939">
      <w:pPr>
        <w:keepLines/>
      </w:pPr>
      <w:r w:rsidRPr="00B56291">
        <w:t> </w:t>
      </w:r>
    </w:p>
    <w:p w:rsidR="00B407B1" w:rsidRPr="00B56291" w:rsidRDefault="00331C24" w:rsidP="00D66939">
      <w:pPr>
        <w:keepLines/>
      </w:pPr>
      <w:r w:rsidRPr="00B56291">
        <w:rPr>
          <w:b/>
          <w:bCs/>
        </w:rPr>
        <w:t>Conclusion</w:t>
      </w:r>
    </w:p>
    <w:p w:rsidR="00B407B1" w:rsidRPr="00B56291" w:rsidRDefault="00331C24" w:rsidP="00D66939">
      <w:pPr>
        <w:keepLines/>
      </w:pPr>
      <w:r w:rsidRPr="00B56291">
        <w:t>This Legislative Instrument is compatible with human rights as it does not raise any human rights issues.</w:t>
      </w:r>
    </w:p>
    <w:p w:rsidR="00B407B1" w:rsidRPr="00B56291" w:rsidRDefault="00331C24" w:rsidP="00D66939">
      <w:pPr>
        <w:keepLines/>
        <w:spacing w:before="120" w:after="120"/>
      </w:pPr>
      <w:r w:rsidRPr="00B56291">
        <w:t>  </w:t>
      </w:r>
    </w:p>
    <w:p w:rsidR="00B407B1" w:rsidRPr="00B56291" w:rsidRDefault="00331C24" w:rsidP="00D66939">
      <w:pPr>
        <w:keepLines/>
        <w:jc w:val="center"/>
      </w:pPr>
      <w:r w:rsidRPr="00B56291">
        <w:rPr>
          <w:b/>
          <w:bCs/>
        </w:rPr>
        <w:t>The Hon. Barnaby Joyce MP</w:t>
      </w:r>
    </w:p>
    <w:p w:rsidR="00B407B1" w:rsidRPr="00B56291" w:rsidRDefault="00641686" w:rsidP="00D66939">
      <w:pPr>
        <w:keepLines/>
        <w:jc w:val="center"/>
      </w:pPr>
      <w:r>
        <w:rPr>
          <w:b/>
          <w:bCs/>
        </w:rPr>
        <w:t xml:space="preserve">Deputy Prime Minister and </w:t>
      </w:r>
      <w:r w:rsidR="00331C24" w:rsidRPr="00B56291">
        <w:rPr>
          <w:b/>
          <w:bCs/>
        </w:rPr>
        <w:t>Minister for Agriculture</w:t>
      </w:r>
      <w:r w:rsidR="00501950" w:rsidRPr="00B56291">
        <w:rPr>
          <w:b/>
          <w:bCs/>
        </w:rPr>
        <w:t xml:space="preserve"> and Water Resources</w:t>
      </w:r>
    </w:p>
    <w:p w:rsidR="00B407B1" w:rsidRPr="009059FE" w:rsidRDefault="00B407B1" w:rsidP="00D66939">
      <w:pPr>
        <w:keepLines/>
      </w:pPr>
    </w:p>
    <w:sectPr w:rsidR="00B407B1" w:rsidRPr="009059FE" w:rsidSect="00994CCC">
      <w:footerReference w:type="default" r:id="rId8"/>
      <w:footerReference w:type="first" r:id="rId9"/>
      <w:pgSz w:w="11906" w:h="16838"/>
      <w:pgMar w:top="1440" w:right="1440" w:bottom="1134" w:left="1440" w:header="709" w:footer="272" w:gutter="17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F8" w:rsidRDefault="009C5AF8">
      <w:r>
        <w:separator/>
      </w:r>
    </w:p>
  </w:endnote>
  <w:endnote w:type="continuationSeparator" w:id="0">
    <w:p w:rsidR="009C5AF8" w:rsidRDefault="009C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2094782"/>
      <w:docPartObj>
        <w:docPartGallery w:val="Page Numbers (Bottom of Page)"/>
        <w:docPartUnique/>
      </w:docPartObj>
    </w:sdtPr>
    <w:sdtEndPr/>
    <w:sdtContent>
      <w:p w:rsidR="00331C24" w:rsidRPr="008164DD" w:rsidRDefault="00331C24">
        <w:pPr>
          <w:pStyle w:val="Footer"/>
          <w:jc w:val="center"/>
          <w:rPr>
            <w:sz w:val="22"/>
            <w:szCs w:val="22"/>
          </w:rPr>
        </w:pPr>
        <w:r w:rsidRPr="008164DD">
          <w:rPr>
            <w:sz w:val="22"/>
            <w:szCs w:val="22"/>
          </w:rPr>
          <w:fldChar w:fldCharType="begin"/>
        </w:r>
        <w:r w:rsidRPr="008164DD">
          <w:rPr>
            <w:sz w:val="22"/>
            <w:szCs w:val="22"/>
          </w:rPr>
          <w:instrText xml:space="preserve"> PAGE   \* MERGEFORMAT </w:instrText>
        </w:r>
        <w:r w:rsidRPr="008164DD">
          <w:rPr>
            <w:sz w:val="22"/>
            <w:szCs w:val="22"/>
          </w:rPr>
          <w:fldChar w:fldCharType="separate"/>
        </w:r>
        <w:r w:rsidR="00113FDB">
          <w:rPr>
            <w:noProof/>
            <w:sz w:val="22"/>
            <w:szCs w:val="22"/>
          </w:rPr>
          <w:t>2</w:t>
        </w:r>
        <w:r w:rsidRPr="008164DD">
          <w:rPr>
            <w:sz w:val="22"/>
            <w:szCs w:val="22"/>
          </w:rPr>
          <w:fldChar w:fldCharType="end"/>
        </w:r>
      </w:p>
    </w:sdtContent>
  </w:sdt>
  <w:p w:rsidR="00331C24" w:rsidRDefault="00331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07723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66071" w:rsidRPr="00C66071" w:rsidRDefault="00C66071">
        <w:pPr>
          <w:pStyle w:val="Footer"/>
          <w:jc w:val="center"/>
          <w:rPr>
            <w:sz w:val="22"/>
            <w:szCs w:val="22"/>
          </w:rPr>
        </w:pPr>
        <w:r w:rsidRPr="00C66071">
          <w:rPr>
            <w:sz w:val="22"/>
            <w:szCs w:val="22"/>
          </w:rPr>
          <w:fldChar w:fldCharType="begin"/>
        </w:r>
        <w:r w:rsidRPr="00C66071">
          <w:rPr>
            <w:sz w:val="22"/>
            <w:szCs w:val="22"/>
          </w:rPr>
          <w:instrText xml:space="preserve"> PAGE   \* MERGEFORMAT </w:instrText>
        </w:r>
        <w:r w:rsidRPr="00C66071">
          <w:rPr>
            <w:sz w:val="22"/>
            <w:szCs w:val="22"/>
          </w:rPr>
          <w:fldChar w:fldCharType="separate"/>
        </w:r>
        <w:r w:rsidR="00113FDB">
          <w:rPr>
            <w:noProof/>
            <w:sz w:val="22"/>
            <w:szCs w:val="22"/>
          </w:rPr>
          <w:t>1</w:t>
        </w:r>
        <w:r w:rsidRPr="00C66071">
          <w:rPr>
            <w:noProof/>
            <w:sz w:val="22"/>
            <w:szCs w:val="22"/>
          </w:rPr>
          <w:fldChar w:fldCharType="end"/>
        </w:r>
      </w:p>
    </w:sdtContent>
  </w:sdt>
  <w:p w:rsidR="00C66071" w:rsidRDefault="00C66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F8" w:rsidRDefault="009C5AF8">
      <w:r>
        <w:separator/>
      </w:r>
    </w:p>
  </w:footnote>
  <w:footnote w:type="continuationSeparator" w:id="0">
    <w:p w:rsidR="009C5AF8" w:rsidRDefault="009C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742"/>
    <w:multiLevelType w:val="hybridMultilevel"/>
    <w:tmpl w:val="E9E6D65E"/>
    <w:lvl w:ilvl="0" w:tplc="AC18A25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20E"/>
    <w:multiLevelType w:val="hybridMultilevel"/>
    <w:tmpl w:val="ABC64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1FB0"/>
    <w:multiLevelType w:val="hybridMultilevel"/>
    <w:tmpl w:val="D340F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76CE"/>
    <w:multiLevelType w:val="hybridMultilevel"/>
    <w:tmpl w:val="15CC9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2733"/>
    <w:multiLevelType w:val="hybridMultilevel"/>
    <w:tmpl w:val="CE74C630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62FC3211"/>
    <w:multiLevelType w:val="hybridMultilevel"/>
    <w:tmpl w:val="C2746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234D"/>
    <w:multiLevelType w:val="hybridMultilevel"/>
    <w:tmpl w:val="E14C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526B0"/>
    <w:multiLevelType w:val="hybridMultilevel"/>
    <w:tmpl w:val="6D18A9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8" w15:restartNumberingAfterBreak="0">
    <w:nsid w:val="72642A6C"/>
    <w:multiLevelType w:val="hybridMultilevel"/>
    <w:tmpl w:val="6B90D6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B20FE7"/>
    <w:multiLevelType w:val="hybridMultilevel"/>
    <w:tmpl w:val="96FEF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C7C37"/>
    <w:multiLevelType w:val="hybridMultilevel"/>
    <w:tmpl w:val="31F4B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27AE"/>
    <w:multiLevelType w:val="hybridMultilevel"/>
    <w:tmpl w:val="F0A4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F5316"/>
    <w:multiLevelType w:val="hybridMultilevel"/>
    <w:tmpl w:val="7160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B1"/>
    <w:rsid w:val="00001B65"/>
    <w:rsid w:val="00010F1A"/>
    <w:rsid w:val="00011480"/>
    <w:rsid w:val="0003479B"/>
    <w:rsid w:val="00042531"/>
    <w:rsid w:val="00050A44"/>
    <w:rsid w:val="000516D3"/>
    <w:rsid w:val="00051836"/>
    <w:rsid w:val="000520A8"/>
    <w:rsid w:val="00056C03"/>
    <w:rsid w:val="00066707"/>
    <w:rsid w:val="00075651"/>
    <w:rsid w:val="00077F59"/>
    <w:rsid w:val="000806C9"/>
    <w:rsid w:val="0008278A"/>
    <w:rsid w:val="00082FB5"/>
    <w:rsid w:val="000932B7"/>
    <w:rsid w:val="000933BC"/>
    <w:rsid w:val="00097AAF"/>
    <w:rsid w:val="000A7642"/>
    <w:rsid w:val="000B3171"/>
    <w:rsid w:val="000C3AFC"/>
    <w:rsid w:val="000D00BE"/>
    <w:rsid w:val="000D3C1A"/>
    <w:rsid w:val="000D6818"/>
    <w:rsid w:val="000E06AF"/>
    <w:rsid w:val="000E6323"/>
    <w:rsid w:val="000E737F"/>
    <w:rsid w:val="000F2994"/>
    <w:rsid w:val="000F32A4"/>
    <w:rsid w:val="000F3DCB"/>
    <w:rsid w:val="00113FDB"/>
    <w:rsid w:val="00121747"/>
    <w:rsid w:val="00121C76"/>
    <w:rsid w:val="00125257"/>
    <w:rsid w:val="00126CBD"/>
    <w:rsid w:val="001346E8"/>
    <w:rsid w:val="00134BDD"/>
    <w:rsid w:val="001411A5"/>
    <w:rsid w:val="00142035"/>
    <w:rsid w:val="00144C17"/>
    <w:rsid w:val="00152F43"/>
    <w:rsid w:val="00157913"/>
    <w:rsid w:val="00157A8C"/>
    <w:rsid w:val="00166844"/>
    <w:rsid w:val="00177A75"/>
    <w:rsid w:val="00184B12"/>
    <w:rsid w:val="00187F51"/>
    <w:rsid w:val="0019209E"/>
    <w:rsid w:val="001969C1"/>
    <w:rsid w:val="001B7A46"/>
    <w:rsid w:val="001C75F4"/>
    <w:rsid w:val="001C7A4A"/>
    <w:rsid w:val="001F2419"/>
    <w:rsid w:val="001F332F"/>
    <w:rsid w:val="002064F2"/>
    <w:rsid w:val="00207F41"/>
    <w:rsid w:val="00210F2E"/>
    <w:rsid w:val="002214F0"/>
    <w:rsid w:val="00222955"/>
    <w:rsid w:val="00224A45"/>
    <w:rsid w:val="00224F1F"/>
    <w:rsid w:val="002266AE"/>
    <w:rsid w:val="00230486"/>
    <w:rsid w:val="00231572"/>
    <w:rsid w:val="002360D5"/>
    <w:rsid w:val="00245923"/>
    <w:rsid w:val="002462BD"/>
    <w:rsid w:val="00251A77"/>
    <w:rsid w:val="002527F3"/>
    <w:rsid w:val="002658B0"/>
    <w:rsid w:val="0027169E"/>
    <w:rsid w:val="00280E46"/>
    <w:rsid w:val="002A5728"/>
    <w:rsid w:val="002C5A33"/>
    <w:rsid w:val="002D72EF"/>
    <w:rsid w:val="002E2245"/>
    <w:rsid w:val="002E47EC"/>
    <w:rsid w:val="002E4E59"/>
    <w:rsid w:val="002E7560"/>
    <w:rsid w:val="00302FDA"/>
    <w:rsid w:val="00307437"/>
    <w:rsid w:val="003117DD"/>
    <w:rsid w:val="0032133F"/>
    <w:rsid w:val="00321D80"/>
    <w:rsid w:val="00323262"/>
    <w:rsid w:val="00327280"/>
    <w:rsid w:val="00327BD2"/>
    <w:rsid w:val="00331C24"/>
    <w:rsid w:val="003330E2"/>
    <w:rsid w:val="003368AC"/>
    <w:rsid w:val="0034092B"/>
    <w:rsid w:val="00345391"/>
    <w:rsid w:val="00345AA6"/>
    <w:rsid w:val="003518C2"/>
    <w:rsid w:val="00351B2E"/>
    <w:rsid w:val="003538BE"/>
    <w:rsid w:val="00353D3F"/>
    <w:rsid w:val="00353E79"/>
    <w:rsid w:val="00356E7B"/>
    <w:rsid w:val="00357793"/>
    <w:rsid w:val="003707B5"/>
    <w:rsid w:val="00372257"/>
    <w:rsid w:val="00372A1A"/>
    <w:rsid w:val="00374D13"/>
    <w:rsid w:val="00376799"/>
    <w:rsid w:val="00384D28"/>
    <w:rsid w:val="00385C51"/>
    <w:rsid w:val="00392D33"/>
    <w:rsid w:val="003A173B"/>
    <w:rsid w:val="003A4A5E"/>
    <w:rsid w:val="003B03EE"/>
    <w:rsid w:val="003B149C"/>
    <w:rsid w:val="003B53A5"/>
    <w:rsid w:val="003C7390"/>
    <w:rsid w:val="003D02DA"/>
    <w:rsid w:val="003D5E3C"/>
    <w:rsid w:val="003E0BF6"/>
    <w:rsid w:val="003E52ED"/>
    <w:rsid w:val="003F0D10"/>
    <w:rsid w:val="003F1869"/>
    <w:rsid w:val="003F1DA8"/>
    <w:rsid w:val="004008D5"/>
    <w:rsid w:val="004021A1"/>
    <w:rsid w:val="004037CB"/>
    <w:rsid w:val="00403EB3"/>
    <w:rsid w:val="004059FE"/>
    <w:rsid w:val="00405E5C"/>
    <w:rsid w:val="00407455"/>
    <w:rsid w:val="00411DEC"/>
    <w:rsid w:val="00420316"/>
    <w:rsid w:val="004203DF"/>
    <w:rsid w:val="00421C0C"/>
    <w:rsid w:val="004272AB"/>
    <w:rsid w:val="004409C7"/>
    <w:rsid w:val="00442159"/>
    <w:rsid w:val="0044285F"/>
    <w:rsid w:val="00443207"/>
    <w:rsid w:val="004449B7"/>
    <w:rsid w:val="00446BA6"/>
    <w:rsid w:val="00452593"/>
    <w:rsid w:val="004647B4"/>
    <w:rsid w:val="00473606"/>
    <w:rsid w:val="00483733"/>
    <w:rsid w:val="004878F8"/>
    <w:rsid w:val="004907C6"/>
    <w:rsid w:val="00491009"/>
    <w:rsid w:val="004A0854"/>
    <w:rsid w:val="004A29B3"/>
    <w:rsid w:val="004A3819"/>
    <w:rsid w:val="004A5C84"/>
    <w:rsid w:val="004A63B4"/>
    <w:rsid w:val="004B5918"/>
    <w:rsid w:val="004D7035"/>
    <w:rsid w:val="004E5D48"/>
    <w:rsid w:val="004F0E40"/>
    <w:rsid w:val="004F2698"/>
    <w:rsid w:val="004F51B0"/>
    <w:rsid w:val="0050070C"/>
    <w:rsid w:val="00501950"/>
    <w:rsid w:val="00506874"/>
    <w:rsid w:val="00510784"/>
    <w:rsid w:val="00510B26"/>
    <w:rsid w:val="00510CE4"/>
    <w:rsid w:val="0051325F"/>
    <w:rsid w:val="0051539E"/>
    <w:rsid w:val="0052731C"/>
    <w:rsid w:val="00527FDC"/>
    <w:rsid w:val="00531C62"/>
    <w:rsid w:val="00537802"/>
    <w:rsid w:val="00547C0B"/>
    <w:rsid w:val="005575A6"/>
    <w:rsid w:val="005631ED"/>
    <w:rsid w:val="0056414F"/>
    <w:rsid w:val="005670A7"/>
    <w:rsid w:val="0057095C"/>
    <w:rsid w:val="00573514"/>
    <w:rsid w:val="005742FD"/>
    <w:rsid w:val="00580AB9"/>
    <w:rsid w:val="0058284C"/>
    <w:rsid w:val="005857C6"/>
    <w:rsid w:val="00596149"/>
    <w:rsid w:val="0059786D"/>
    <w:rsid w:val="005A4F0B"/>
    <w:rsid w:val="005A5DED"/>
    <w:rsid w:val="005A6F48"/>
    <w:rsid w:val="005B01B4"/>
    <w:rsid w:val="005B146B"/>
    <w:rsid w:val="005B22CD"/>
    <w:rsid w:val="005C20B4"/>
    <w:rsid w:val="005C668B"/>
    <w:rsid w:val="005D5A38"/>
    <w:rsid w:val="005D744A"/>
    <w:rsid w:val="005E76AC"/>
    <w:rsid w:val="005F0ADB"/>
    <w:rsid w:val="005F1C0F"/>
    <w:rsid w:val="005F4066"/>
    <w:rsid w:val="005F4761"/>
    <w:rsid w:val="006069C1"/>
    <w:rsid w:val="00607574"/>
    <w:rsid w:val="00610272"/>
    <w:rsid w:val="006116F3"/>
    <w:rsid w:val="00641686"/>
    <w:rsid w:val="0064561D"/>
    <w:rsid w:val="00650FBC"/>
    <w:rsid w:val="00654648"/>
    <w:rsid w:val="0065757F"/>
    <w:rsid w:val="006604BC"/>
    <w:rsid w:val="00665B00"/>
    <w:rsid w:val="00667DC4"/>
    <w:rsid w:val="00667F4E"/>
    <w:rsid w:val="006700FF"/>
    <w:rsid w:val="006745E2"/>
    <w:rsid w:val="00685966"/>
    <w:rsid w:val="00691904"/>
    <w:rsid w:val="00694E68"/>
    <w:rsid w:val="006A017F"/>
    <w:rsid w:val="006A4EDC"/>
    <w:rsid w:val="006A7447"/>
    <w:rsid w:val="006B2729"/>
    <w:rsid w:val="006B4404"/>
    <w:rsid w:val="006B58FA"/>
    <w:rsid w:val="006B5DD1"/>
    <w:rsid w:val="006B727C"/>
    <w:rsid w:val="006C027B"/>
    <w:rsid w:val="006C1232"/>
    <w:rsid w:val="006C739E"/>
    <w:rsid w:val="006F376B"/>
    <w:rsid w:val="00700BCA"/>
    <w:rsid w:val="00703014"/>
    <w:rsid w:val="00714BF9"/>
    <w:rsid w:val="00716772"/>
    <w:rsid w:val="00717268"/>
    <w:rsid w:val="00720FED"/>
    <w:rsid w:val="007269F8"/>
    <w:rsid w:val="00731B74"/>
    <w:rsid w:val="00736D15"/>
    <w:rsid w:val="00742A8D"/>
    <w:rsid w:val="007517FF"/>
    <w:rsid w:val="007668B6"/>
    <w:rsid w:val="0077432E"/>
    <w:rsid w:val="0077536C"/>
    <w:rsid w:val="00780652"/>
    <w:rsid w:val="00786AFD"/>
    <w:rsid w:val="00790EFC"/>
    <w:rsid w:val="0079615E"/>
    <w:rsid w:val="007B4420"/>
    <w:rsid w:val="007C0137"/>
    <w:rsid w:val="007C095D"/>
    <w:rsid w:val="007C62A2"/>
    <w:rsid w:val="007C7C68"/>
    <w:rsid w:val="007D0953"/>
    <w:rsid w:val="007D3C9B"/>
    <w:rsid w:val="007F096F"/>
    <w:rsid w:val="007F38C3"/>
    <w:rsid w:val="00803824"/>
    <w:rsid w:val="00807D9A"/>
    <w:rsid w:val="00814484"/>
    <w:rsid w:val="00814824"/>
    <w:rsid w:val="008164DD"/>
    <w:rsid w:val="00816D8A"/>
    <w:rsid w:val="00822D1E"/>
    <w:rsid w:val="008404BF"/>
    <w:rsid w:val="008421B2"/>
    <w:rsid w:val="00843BB8"/>
    <w:rsid w:val="00851B80"/>
    <w:rsid w:val="008574B5"/>
    <w:rsid w:val="00862FFF"/>
    <w:rsid w:val="00873C72"/>
    <w:rsid w:val="00876EE1"/>
    <w:rsid w:val="008775A7"/>
    <w:rsid w:val="008839A7"/>
    <w:rsid w:val="00891FB3"/>
    <w:rsid w:val="0089224E"/>
    <w:rsid w:val="008A37D8"/>
    <w:rsid w:val="008A507A"/>
    <w:rsid w:val="008B5D36"/>
    <w:rsid w:val="008C0F7A"/>
    <w:rsid w:val="008C6B0F"/>
    <w:rsid w:val="008C7173"/>
    <w:rsid w:val="008E1B33"/>
    <w:rsid w:val="008E5CCF"/>
    <w:rsid w:val="008E6197"/>
    <w:rsid w:val="008F0A06"/>
    <w:rsid w:val="008F3E39"/>
    <w:rsid w:val="009059FE"/>
    <w:rsid w:val="00910E30"/>
    <w:rsid w:val="00912BB8"/>
    <w:rsid w:val="009137E0"/>
    <w:rsid w:val="00914AA2"/>
    <w:rsid w:val="009200BE"/>
    <w:rsid w:val="00920E81"/>
    <w:rsid w:val="0092347D"/>
    <w:rsid w:val="00935479"/>
    <w:rsid w:val="00935A1C"/>
    <w:rsid w:val="009378E3"/>
    <w:rsid w:val="00941B43"/>
    <w:rsid w:val="009423C1"/>
    <w:rsid w:val="00955F7C"/>
    <w:rsid w:val="00956E58"/>
    <w:rsid w:val="00957A98"/>
    <w:rsid w:val="00965447"/>
    <w:rsid w:val="00975D31"/>
    <w:rsid w:val="009873BD"/>
    <w:rsid w:val="00994369"/>
    <w:rsid w:val="00994CCC"/>
    <w:rsid w:val="009A126C"/>
    <w:rsid w:val="009A3F0D"/>
    <w:rsid w:val="009B083D"/>
    <w:rsid w:val="009C3981"/>
    <w:rsid w:val="009C5AF8"/>
    <w:rsid w:val="009D2E02"/>
    <w:rsid w:val="009E1326"/>
    <w:rsid w:val="009E690F"/>
    <w:rsid w:val="00A060BF"/>
    <w:rsid w:val="00A07299"/>
    <w:rsid w:val="00A1150A"/>
    <w:rsid w:val="00A14064"/>
    <w:rsid w:val="00A225B0"/>
    <w:rsid w:val="00A27A32"/>
    <w:rsid w:val="00A32196"/>
    <w:rsid w:val="00A376F1"/>
    <w:rsid w:val="00A40933"/>
    <w:rsid w:val="00A433DA"/>
    <w:rsid w:val="00A46D8F"/>
    <w:rsid w:val="00A52F73"/>
    <w:rsid w:val="00A556A9"/>
    <w:rsid w:val="00A6075B"/>
    <w:rsid w:val="00A61400"/>
    <w:rsid w:val="00A6329F"/>
    <w:rsid w:val="00A64E63"/>
    <w:rsid w:val="00A665C9"/>
    <w:rsid w:val="00A67859"/>
    <w:rsid w:val="00A72D19"/>
    <w:rsid w:val="00A75066"/>
    <w:rsid w:val="00A75FE1"/>
    <w:rsid w:val="00A8146D"/>
    <w:rsid w:val="00A90E0F"/>
    <w:rsid w:val="00A93F2E"/>
    <w:rsid w:val="00A940EF"/>
    <w:rsid w:val="00A958B5"/>
    <w:rsid w:val="00A95E71"/>
    <w:rsid w:val="00AA4754"/>
    <w:rsid w:val="00AA7B38"/>
    <w:rsid w:val="00AA7E47"/>
    <w:rsid w:val="00AC1FFE"/>
    <w:rsid w:val="00AC32A3"/>
    <w:rsid w:val="00AC4DDD"/>
    <w:rsid w:val="00AC4E7E"/>
    <w:rsid w:val="00AD258A"/>
    <w:rsid w:val="00AD56C6"/>
    <w:rsid w:val="00AD5DAB"/>
    <w:rsid w:val="00AD6B9A"/>
    <w:rsid w:val="00AF2989"/>
    <w:rsid w:val="00AF44BB"/>
    <w:rsid w:val="00AF5B33"/>
    <w:rsid w:val="00B074D9"/>
    <w:rsid w:val="00B07EA0"/>
    <w:rsid w:val="00B10E3D"/>
    <w:rsid w:val="00B11DD0"/>
    <w:rsid w:val="00B23E17"/>
    <w:rsid w:val="00B24D7B"/>
    <w:rsid w:val="00B3187C"/>
    <w:rsid w:val="00B35335"/>
    <w:rsid w:val="00B3603C"/>
    <w:rsid w:val="00B407B1"/>
    <w:rsid w:val="00B438DD"/>
    <w:rsid w:val="00B4436A"/>
    <w:rsid w:val="00B45638"/>
    <w:rsid w:val="00B47C98"/>
    <w:rsid w:val="00B510CF"/>
    <w:rsid w:val="00B55C2D"/>
    <w:rsid w:val="00B56291"/>
    <w:rsid w:val="00B56AE3"/>
    <w:rsid w:val="00B56D9C"/>
    <w:rsid w:val="00B600A8"/>
    <w:rsid w:val="00B62C8A"/>
    <w:rsid w:val="00B7708F"/>
    <w:rsid w:val="00B861CF"/>
    <w:rsid w:val="00B92C99"/>
    <w:rsid w:val="00B93005"/>
    <w:rsid w:val="00B9604E"/>
    <w:rsid w:val="00B971AE"/>
    <w:rsid w:val="00BB353A"/>
    <w:rsid w:val="00BB5847"/>
    <w:rsid w:val="00BC03C8"/>
    <w:rsid w:val="00BC548E"/>
    <w:rsid w:val="00BC6806"/>
    <w:rsid w:val="00BD23BA"/>
    <w:rsid w:val="00BD4F87"/>
    <w:rsid w:val="00BD601D"/>
    <w:rsid w:val="00BE1A91"/>
    <w:rsid w:val="00BE545C"/>
    <w:rsid w:val="00BE652A"/>
    <w:rsid w:val="00BE7F0B"/>
    <w:rsid w:val="00BF3A95"/>
    <w:rsid w:val="00BF5E91"/>
    <w:rsid w:val="00C03120"/>
    <w:rsid w:val="00C077B9"/>
    <w:rsid w:val="00C10446"/>
    <w:rsid w:val="00C20459"/>
    <w:rsid w:val="00C260EE"/>
    <w:rsid w:val="00C30459"/>
    <w:rsid w:val="00C3078C"/>
    <w:rsid w:val="00C30B9A"/>
    <w:rsid w:val="00C4162E"/>
    <w:rsid w:val="00C41B0D"/>
    <w:rsid w:val="00C47657"/>
    <w:rsid w:val="00C54EC4"/>
    <w:rsid w:val="00C562D2"/>
    <w:rsid w:val="00C57B64"/>
    <w:rsid w:val="00C57F99"/>
    <w:rsid w:val="00C62308"/>
    <w:rsid w:val="00C645DB"/>
    <w:rsid w:val="00C66071"/>
    <w:rsid w:val="00C66A8B"/>
    <w:rsid w:val="00C7702B"/>
    <w:rsid w:val="00C84B9E"/>
    <w:rsid w:val="00C9469B"/>
    <w:rsid w:val="00C94FA2"/>
    <w:rsid w:val="00C9534F"/>
    <w:rsid w:val="00C9626A"/>
    <w:rsid w:val="00CA27C9"/>
    <w:rsid w:val="00CA3F52"/>
    <w:rsid w:val="00CA63CE"/>
    <w:rsid w:val="00CB336A"/>
    <w:rsid w:val="00CB7566"/>
    <w:rsid w:val="00CC0F17"/>
    <w:rsid w:val="00CC7E13"/>
    <w:rsid w:val="00CD0706"/>
    <w:rsid w:val="00CD4520"/>
    <w:rsid w:val="00CD47A0"/>
    <w:rsid w:val="00CE380A"/>
    <w:rsid w:val="00CE3BAC"/>
    <w:rsid w:val="00CF0278"/>
    <w:rsid w:val="00CF20ED"/>
    <w:rsid w:val="00CF5B52"/>
    <w:rsid w:val="00D0672C"/>
    <w:rsid w:val="00D10A69"/>
    <w:rsid w:val="00D11977"/>
    <w:rsid w:val="00D1364F"/>
    <w:rsid w:val="00D16FC2"/>
    <w:rsid w:val="00D20916"/>
    <w:rsid w:val="00D24C2D"/>
    <w:rsid w:val="00D25389"/>
    <w:rsid w:val="00D26B5B"/>
    <w:rsid w:val="00D358A4"/>
    <w:rsid w:val="00D43458"/>
    <w:rsid w:val="00D4742A"/>
    <w:rsid w:val="00D53418"/>
    <w:rsid w:val="00D57D43"/>
    <w:rsid w:val="00D62ED7"/>
    <w:rsid w:val="00D66939"/>
    <w:rsid w:val="00D67B6A"/>
    <w:rsid w:val="00D745F2"/>
    <w:rsid w:val="00D752EF"/>
    <w:rsid w:val="00D76D6C"/>
    <w:rsid w:val="00D77001"/>
    <w:rsid w:val="00D8100A"/>
    <w:rsid w:val="00DA263E"/>
    <w:rsid w:val="00DA4897"/>
    <w:rsid w:val="00DB3921"/>
    <w:rsid w:val="00DB672E"/>
    <w:rsid w:val="00DC7A9E"/>
    <w:rsid w:val="00DD0EB0"/>
    <w:rsid w:val="00DD7322"/>
    <w:rsid w:val="00DE37E5"/>
    <w:rsid w:val="00DF047A"/>
    <w:rsid w:val="00E066BA"/>
    <w:rsid w:val="00E12422"/>
    <w:rsid w:val="00E16187"/>
    <w:rsid w:val="00E33705"/>
    <w:rsid w:val="00E3493C"/>
    <w:rsid w:val="00E37959"/>
    <w:rsid w:val="00E42505"/>
    <w:rsid w:val="00E42DD8"/>
    <w:rsid w:val="00E44BBD"/>
    <w:rsid w:val="00E45155"/>
    <w:rsid w:val="00E451AF"/>
    <w:rsid w:val="00E55F23"/>
    <w:rsid w:val="00E56496"/>
    <w:rsid w:val="00E578DE"/>
    <w:rsid w:val="00E6084B"/>
    <w:rsid w:val="00E636C5"/>
    <w:rsid w:val="00E664F2"/>
    <w:rsid w:val="00E66CA9"/>
    <w:rsid w:val="00E67871"/>
    <w:rsid w:val="00E67884"/>
    <w:rsid w:val="00E728FA"/>
    <w:rsid w:val="00E777B1"/>
    <w:rsid w:val="00E77B96"/>
    <w:rsid w:val="00E81E30"/>
    <w:rsid w:val="00E869B5"/>
    <w:rsid w:val="00E921CF"/>
    <w:rsid w:val="00E96616"/>
    <w:rsid w:val="00E977D9"/>
    <w:rsid w:val="00EA0414"/>
    <w:rsid w:val="00EA1C8A"/>
    <w:rsid w:val="00EA46DE"/>
    <w:rsid w:val="00EB3E3E"/>
    <w:rsid w:val="00EC0059"/>
    <w:rsid w:val="00EC1E22"/>
    <w:rsid w:val="00EC434D"/>
    <w:rsid w:val="00EC5281"/>
    <w:rsid w:val="00ED27C6"/>
    <w:rsid w:val="00ED2E81"/>
    <w:rsid w:val="00ED70BD"/>
    <w:rsid w:val="00EE0ECE"/>
    <w:rsid w:val="00EE44B3"/>
    <w:rsid w:val="00EE6AEC"/>
    <w:rsid w:val="00EE7EB3"/>
    <w:rsid w:val="00EF207D"/>
    <w:rsid w:val="00EF2D9B"/>
    <w:rsid w:val="00F0071D"/>
    <w:rsid w:val="00F056B0"/>
    <w:rsid w:val="00F1104B"/>
    <w:rsid w:val="00F13725"/>
    <w:rsid w:val="00F204AB"/>
    <w:rsid w:val="00F20C09"/>
    <w:rsid w:val="00F23182"/>
    <w:rsid w:val="00F26A87"/>
    <w:rsid w:val="00F32240"/>
    <w:rsid w:val="00F35D8F"/>
    <w:rsid w:val="00F43BCF"/>
    <w:rsid w:val="00F47271"/>
    <w:rsid w:val="00F536BE"/>
    <w:rsid w:val="00F71946"/>
    <w:rsid w:val="00F76506"/>
    <w:rsid w:val="00F80D38"/>
    <w:rsid w:val="00F83FB6"/>
    <w:rsid w:val="00F855F3"/>
    <w:rsid w:val="00F93EF5"/>
    <w:rsid w:val="00FA38D1"/>
    <w:rsid w:val="00FA5E64"/>
    <w:rsid w:val="00FB4E21"/>
    <w:rsid w:val="00FC4369"/>
    <w:rsid w:val="00FC5236"/>
    <w:rsid w:val="00FE1F0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407B1"/>
  </w:style>
  <w:style w:type="paragraph" w:styleId="ListParagraph">
    <w:name w:val="List Paragraph"/>
    <w:basedOn w:val="Normal"/>
    <w:uiPriority w:val="34"/>
    <w:qFormat/>
    <w:rsid w:val="00B407B1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unhideWhenUsed/>
    <w:rsid w:val="00B407B1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rsid w:val="00B407B1"/>
    <w:rPr>
      <w:sz w:val="24"/>
      <w:szCs w:val="24"/>
    </w:rPr>
  </w:style>
  <w:style w:type="paragraph" w:customStyle="1" w:styleId="numberpoint">
    <w:name w:val="numberpoint"/>
    <w:basedOn w:val="Normal"/>
    <w:rsid w:val="00B407B1"/>
    <w:pPr>
      <w:spacing w:before="100" w:beforeAutospacing="1" w:after="100" w:afterAutospacing="1"/>
    </w:pPr>
  </w:style>
  <w:style w:type="paragraph" w:customStyle="1" w:styleId="melegal1">
    <w:name w:val="melegal1"/>
    <w:basedOn w:val="Normal"/>
    <w:rsid w:val="00B407B1"/>
    <w:pPr>
      <w:spacing w:before="100" w:beforeAutospacing="1" w:after="100" w:afterAutospacing="1"/>
    </w:pPr>
  </w:style>
  <w:style w:type="paragraph" w:styleId="ListNumber">
    <w:name w:val="List Number"/>
    <w:basedOn w:val="Normal"/>
    <w:autoRedefine/>
    <w:uiPriority w:val="99"/>
    <w:qFormat/>
    <w:rsid w:val="00B407B1"/>
    <w:pPr>
      <w:framePr w:hSpace="180" w:wrap="around" w:vAnchor="text" w:hAnchor="margin" w:xAlign="center" w:y="176"/>
      <w:widowControl w:val="0"/>
      <w:tabs>
        <w:tab w:val="left" w:pos="426"/>
      </w:tabs>
      <w:ind w:left="426" w:hanging="426"/>
      <w:suppressOverlap/>
    </w:pPr>
    <w:rPr>
      <w:rFonts w:eastAsia="Calibr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B407B1"/>
    <w:rPr>
      <w:rFonts w:ascii="Arial" w:eastAsia="Calibri" w:hAnsi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Text"/>
    <w:basedOn w:val="Normal"/>
    <w:rsid w:val="00B407B1"/>
    <w:pPr>
      <w:spacing w:before="60" w:after="60" w:line="240" w:lineRule="exact"/>
    </w:pPr>
    <w:rPr>
      <w:sz w:val="22"/>
      <w:lang w:eastAsia="en-US"/>
    </w:rPr>
  </w:style>
  <w:style w:type="paragraph" w:customStyle="1" w:styleId="TableP1a">
    <w:name w:val="TableP1(a)"/>
    <w:basedOn w:val="Normal"/>
    <w:link w:val="TableP1aChar"/>
    <w:rsid w:val="00B407B1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character" w:customStyle="1" w:styleId="TableP1aChar">
    <w:name w:val="TableP1(a) Char"/>
    <w:basedOn w:val="DefaultParagraphFont"/>
    <w:link w:val="TableP1a"/>
    <w:rsid w:val="00B407B1"/>
    <w:rPr>
      <w:sz w:val="22"/>
      <w:szCs w:val="24"/>
      <w:lang w:eastAsia="en-US"/>
    </w:rPr>
  </w:style>
  <w:style w:type="paragraph" w:customStyle="1" w:styleId="Notepara">
    <w:name w:val="Note para"/>
    <w:basedOn w:val="Normal"/>
    <w:rsid w:val="00B407B1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Tablea">
    <w:name w:val="Table(a)"/>
    <w:aliases w:val="ta"/>
    <w:basedOn w:val="Normal"/>
    <w:rsid w:val="00B407B1"/>
    <w:pPr>
      <w:spacing w:before="60"/>
      <w:ind w:left="284" w:hanging="284"/>
    </w:pPr>
    <w:rPr>
      <w:sz w:val="20"/>
      <w:szCs w:val="20"/>
    </w:rPr>
  </w:style>
  <w:style w:type="paragraph" w:customStyle="1" w:styleId="Tabletext0">
    <w:name w:val="Tabletext"/>
    <w:aliases w:val="tt"/>
    <w:basedOn w:val="Normal"/>
    <w:rsid w:val="00B407B1"/>
    <w:pPr>
      <w:spacing w:before="60" w:line="240" w:lineRule="atLeast"/>
    </w:pPr>
    <w:rPr>
      <w:sz w:val="20"/>
      <w:szCs w:val="20"/>
    </w:rPr>
  </w:style>
  <w:style w:type="paragraph" w:customStyle="1" w:styleId="TableHeading">
    <w:name w:val="TableHeading"/>
    <w:aliases w:val="th"/>
    <w:basedOn w:val="Normal"/>
    <w:next w:val="Tabletext0"/>
    <w:rsid w:val="00B407B1"/>
    <w:pPr>
      <w:keepNext/>
      <w:spacing w:before="60" w:line="240" w:lineRule="atLeast"/>
    </w:pPr>
    <w:rPr>
      <w:b/>
      <w:sz w:val="20"/>
      <w:szCs w:val="20"/>
    </w:rPr>
  </w:style>
  <w:style w:type="paragraph" w:styleId="Header">
    <w:name w:val="header"/>
    <w:basedOn w:val="Normal"/>
    <w:link w:val="HeaderChar"/>
    <w:rsid w:val="00B40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07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0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7B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B40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7B1"/>
  </w:style>
  <w:style w:type="paragraph" w:styleId="CommentSubject">
    <w:name w:val="annotation subject"/>
    <w:basedOn w:val="CommentText"/>
    <w:next w:val="CommentText"/>
    <w:link w:val="CommentSubjectChar"/>
    <w:rsid w:val="00B40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7B1"/>
    <w:rPr>
      <w:b/>
      <w:bCs/>
    </w:rPr>
  </w:style>
  <w:style w:type="paragraph" w:styleId="BalloonText">
    <w:name w:val="Balloon Text"/>
    <w:basedOn w:val="Normal"/>
    <w:link w:val="BalloonTextChar"/>
    <w:rsid w:val="00B4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B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77D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977D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odyText1">
    <w:name w:val="Body Text1"/>
    <w:basedOn w:val="Normal"/>
    <w:qFormat/>
    <w:rsid w:val="00E977D9"/>
    <w:pPr>
      <w:spacing w:after="200" w:line="260" w:lineRule="exact"/>
    </w:pPr>
    <w:rPr>
      <w:rFonts w:ascii="Cambria" w:hAnsi="Cambria"/>
      <w:sz w:val="22"/>
      <w:lang w:eastAsia="en-US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4A3819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4A3819"/>
  </w:style>
  <w:style w:type="character" w:customStyle="1" w:styleId="ActHead5Char">
    <w:name w:val="ActHead 5 Char"/>
    <w:aliases w:val="s Char"/>
    <w:link w:val="ActHead5"/>
    <w:rsid w:val="004A3819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4449B7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link w:val="subsection"/>
    <w:locked/>
    <w:rsid w:val="004449B7"/>
    <w:rPr>
      <w:sz w:val="22"/>
    </w:rPr>
  </w:style>
  <w:style w:type="character" w:customStyle="1" w:styleId="ParagraphChar">
    <w:name w:val="Paragraph Char"/>
    <w:basedOn w:val="DefaultParagraphFont"/>
    <w:link w:val="Paragraph"/>
    <w:uiPriority w:val="99"/>
    <w:locked/>
    <w:rsid w:val="005A4F0B"/>
    <w:rPr>
      <w:rFonts w:ascii="Times" w:hAnsi="Times" w:cs="Times"/>
      <w:sz w:val="26"/>
      <w:szCs w:val="26"/>
    </w:rPr>
  </w:style>
  <w:style w:type="paragraph" w:customStyle="1" w:styleId="Paragraph">
    <w:name w:val="Paragraph"/>
    <w:basedOn w:val="Normal"/>
    <w:link w:val="ParagraphChar"/>
    <w:uiPriority w:val="99"/>
    <w:rsid w:val="005A4F0B"/>
    <w:pPr>
      <w:autoSpaceDE w:val="0"/>
      <w:autoSpaceDN w:val="0"/>
      <w:spacing w:before="240"/>
    </w:pPr>
    <w:rPr>
      <w:rFonts w:ascii="Times" w:hAnsi="Times" w:cs="Times"/>
      <w:sz w:val="26"/>
      <w:szCs w:val="26"/>
    </w:rPr>
  </w:style>
  <w:style w:type="paragraph" w:customStyle="1" w:styleId="Definition">
    <w:name w:val="Definition"/>
    <w:aliases w:val="dd"/>
    <w:basedOn w:val="Normal"/>
    <w:rsid w:val="003A4A5E"/>
    <w:pPr>
      <w:spacing w:before="180"/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16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4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8313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5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2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08">
                  <w:marLeft w:val="0"/>
                  <w:marRight w:val="0"/>
                  <w:marTop w:val="0"/>
                  <w:marBottom w:val="0"/>
                  <w:divBdr>
                    <w:top w:val="single" w:sz="6" w:space="0" w:color="828282"/>
                    <w:left w:val="single" w:sz="6" w:space="0" w:color="828282"/>
                    <w:bottom w:val="single" w:sz="6" w:space="0" w:color="828282"/>
                    <w:right w:val="single" w:sz="6" w:space="0" w:color="828282"/>
                  </w:divBdr>
                  <w:divsChild>
                    <w:div w:id="12277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2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4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50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51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914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5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841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1619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5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883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8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070-7359-48AD-8E73-324D7293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/>
  <cp:keywords>
  </cp:keywords>
  <dc:description>
  </dc:description>
  <cp:lastModifiedBy/>
  <cp:revision>1</cp:revision>
  <cp:lastPrinted>2015-11-23T03:55:00Z</cp:lastPrinted>
  <dcterms:created xsi:type="dcterms:W3CDTF">2016-11-03T05:26:00Z</dcterms:created>
  <dcterms:modified xsi:type="dcterms:W3CDTF">2016-11-03T05:44:00Z</dcterms:modified>
</cp:coreProperties>
</file>