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FC" w:rsidRPr="004F100C" w:rsidRDefault="00086CFC" w:rsidP="00086CFC">
      <w:pPr>
        <w:ind w:right="91"/>
        <w:jc w:val="center"/>
        <w:rPr>
          <w:u w:val="single"/>
        </w:rPr>
      </w:pPr>
      <w:r w:rsidRPr="004F100C">
        <w:rPr>
          <w:b/>
          <w:u w:val="single"/>
        </w:rPr>
        <w:t xml:space="preserve">EXPLANATORY </w:t>
      </w:r>
      <w:r>
        <w:rPr>
          <w:b/>
          <w:u w:val="single"/>
        </w:rPr>
        <w:t>STATEMENT</w:t>
      </w:r>
    </w:p>
    <w:p w:rsidR="00086CFC" w:rsidRPr="004F100C" w:rsidRDefault="00086CFC" w:rsidP="00086CFC">
      <w:pPr>
        <w:ind w:right="-2"/>
        <w:jc w:val="center"/>
        <w:rPr>
          <w:u w:val="single"/>
        </w:rPr>
      </w:pPr>
    </w:p>
    <w:p w:rsidR="00086CFC" w:rsidRDefault="00086CFC" w:rsidP="00086CFC">
      <w:pPr>
        <w:jc w:val="center"/>
        <w:rPr>
          <w:b/>
          <w:u w:val="single"/>
        </w:rPr>
      </w:pPr>
    </w:p>
    <w:p w:rsidR="00086CFC" w:rsidRDefault="00086CFC" w:rsidP="00086CFC">
      <w:pPr>
        <w:spacing w:after="240"/>
        <w:jc w:val="center"/>
        <w:rPr>
          <w:u w:val="single"/>
        </w:rPr>
      </w:pPr>
      <w:r>
        <w:rPr>
          <w:u w:val="single"/>
        </w:rPr>
        <w:t>Issued by the authority of the Minister for Employment</w:t>
      </w:r>
    </w:p>
    <w:p w:rsidR="00086CFC" w:rsidRDefault="00086CFC" w:rsidP="00086CFC">
      <w:pPr>
        <w:tabs>
          <w:tab w:val="left" w:pos="993"/>
        </w:tabs>
        <w:spacing w:after="240"/>
        <w:ind w:left="1440" w:right="91" w:hanging="1440"/>
        <w:rPr>
          <w:i/>
        </w:rPr>
      </w:pPr>
      <w:r>
        <w:t xml:space="preserve">Subject – </w:t>
      </w:r>
      <w:r>
        <w:tab/>
      </w:r>
      <w:r>
        <w:tab/>
      </w:r>
      <w:r>
        <w:rPr>
          <w:i/>
        </w:rPr>
        <w:t>Work Health and Safety Act 2011</w:t>
      </w:r>
    </w:p>
    <w:p w:rsidR="00086CFC" w:rsidRPr="00E1739A" w:rsidRDefault="00086CFC" w:rsidP="00086CFC">
      <w:pPr>
        <w:tabs>
          <w:tab w:val="left" w:pos="993"/>
        </w:tabs>
        <w:spacing w:after="240"/>
        <w:ind w:left="1440" w:right="91" w:hanging="1440"/>
        <w:rPr>
          <w:i/>
        </w:rPr>
      </w:pPr>
      <w:r>
        <w:rPr>
          <w:i/>
        </w:rPr>
        <w:tab/>
      </w:r>
      <w:r>
        <w:rPr>
          <w:i/>
        </w:rPr>
        <w:tab/>
      </w:r>
      <w:r w:rsidRPr="00972830">
        <w:rPr>
          <w:i/>
        </w:rPr>
        <w:t>Work Health and Safety Amendment (Licensing of Asbestos Removalists and Other Measures) Regulation 2016</w:t>
      </w:r>
    </w:p>
    <w:p w:rsidR="00086CFC" w:rsidRDefault="00086CFC" w:rsidP="00086CFC">
      <w:pPr>
        <w:spacing w:after="240"/>
        <w:rPr>
          <w:i/>
        </w:rPr>
      </w:pPr>
      <w:r>
        <w:rPr>
          <w:rFonts w:cstheme="minorHAnsi"/>
        </w:rPr>
        <w:t>T</w:t>
      </w:r>
      <w:r w:rsidRPr="00971B76">
        <w:rPr>
          <w:rFonts w:cstheme="minorHAnsi"/>
        </w:rPr>
        <w:t xml:space="preserve">he </w:t>
      </w:r>
      <w:r w:rsidRPr="00972830">
        <w:rPr>
          <w:rFonts w:cstheme="minorHAnsi"/>
          <w:i/>
        </w:rPr>
        <w:t>Work Health and Safety Act 2011</w:t>
      </w:r>
      <w:r w:rsidRPr="00971B76">
        <w:rPr>
          <w:rFonts w:cstheme="minorHAnsi"/>
        </w:rPr>
        <w:t xml:space="preserve"> (the Act) </w:t>
      </w:r>
      <w:r>
        <w:rPr>
          <w:rFonts w:cstheme="minorHAnsi"/>
        </w:rPr>
        <w:t xml:space="preserve">and accompanying </w:t>
      </w:r>
      <w:r>
        <w:rPr>
          <w:rFonts w:cstheme="minorHAnsi"/>
          <w:i/>
        </w:rPr>
        <w:t xml:space="preserve">Work Health and Safety Regulations 2011 </w:t>
      </w:r>
      <w:r>
        <w:rPr>
          <w:rFonts w:cstheme="minorHAnsi"/>
        </w:rPr>
        <w:t xml:space="preserve">(the WHS Regulations) provide </w:t>
      </w:r>
      <w:r w:rsidRPr="00971B76">
        <w:rPr>
          <w:rFonts w:cstheme="minorHAnsi"/>
        </w:rPr>
        <w:t>the primary work health and safety legislation for the Commonwealth jurisdiction</w:t>
      </w:r>
      <w:r>
        <w:rPr>
          <w:rFonts w:cstheme="minorHAnsi"/>
        </w:rPr>
        <w:t xml:space="preserve">. </w:t>
      </w:r>
      <w:r>
        <w:t>They are based on m</w:t>
      </w:r>
      <w:bookmarkStart w:id="0" w:name="_GoBack"/>
      <w:bookmarkEnd w:id="0"/>
      <w:r>
        <w:t xml:space="preserve">odel laws developed by Safe Work Australia under the </w:t>
      </w:r>
      <w:r w:rsidRPr="00AD68FB">
        <w:rPr>
          <w:i/>
        </w:rPr>
        <w:t>Intergovernmental Agreement for Regulatory and Operational Reform in Occupational Health and Safety</w:t>
      </w:r>
      <w:r>
        <w:rPr>
          <w:i/>
        </w:rPr>
        <w:t>.</w:t>
      </w:r>
    </w:p>
    <w:p w:rsidR="00086CFC" w:rsidRDefault="00086CFC" w:rsidP="00086CFC">
      <w:pPr>
        <w:spacing w:after="240"/>
      </w:pPr>
      <w:r>
        <w:t>Subsection 276(1) of the Act provides the Governor-General may make regulations in relation to any matter relating to work health and safety and any matter or thing required or permitted by the Act to be prescribed or that is necessary or convenient to be prescribed to give effect to the Act.</w:t>
      </w:r>
    </w:p>
    <w:p w:rsidR="00086CFC" w:rsidRPr="00002FC9" w:rsidRDefault="00086CFC" w:rsidP="00086CFC">
      <w:pPr>
        <w:spacing w:after="240"/>
      </w:pPr>
      <w:r>
        <w:t>Subsection 276(2) prescribes additional things the regulations may ma</w:t>
      </w:r>
      <w:r w:rsidR="001964D0">
        <w:t>k</w:t>
      </w:r>
      <w:r>
        <w:t>e provision</w:t>
      </w:r>
      <w:r w:rsidR="00F25629">
        <w:t xml:space="preserve"> for</w:t>
      </w:r>
      <w:r>
        <w:t xml:space="preserve">, without limiting the regulation making power. This includes matters relating to authorisations, including licences, registrations and permits (see item 7, Schedule 3 to the Act). </w:t>
      </w:r>
    </w:p>
    <w:p w:rsidR="00086CFC" w:rsidRPr="000F1BB1" w:rsidRDefault="00086CFC" w:rsidP="00086CFC">
      <w:pPr>
        <w:spacing w:after="240"/>
        <w:rPr>
          <w:rFonts w:cstheme="minorHAnsi"/>
          <w:i/>
        </w:rPr>
      </w:pPr>
      <w:r w:rsidRPr="000F1BB1">
        <w:rPr>
          <w:rFonts w:cstheme="minorHAnsi"/>
          <w:i/>
        </w:rPr>
        <w:t>Licensing asbestos removal work</w:t>
      </w:r>
    </w:p>
    <w:p w:rsidR="003F4CD7" w:rsidRDefault="003F4CD7" w:rsidP="003F4CD7">
      <w:pPr>
        <w:spacing w:after="240"/>
        <w:rPr>
          <w:rFonts w:cstheme="minorHAnsi"/>
        </w:rPr>
      </w:pPr>
      <w:r>
        <w:rPr>
          <w:rFonts w:cstheme="minorHAnsi"/>
        </w:rPr>
        <w:t xml:space="preserve">Chapter 8 of the </w:t>
      </w:r>
      <w:r w:rsidR="00F25629">
        <w:rPr>
          <w:rFonts w:cstheme="minorHAnsi"/>
        </w:rPr>
        <w:t xml:space="preserve">WHS </w:t>
      </w:r>
      <w:r>
        <w:rPr>
          <w:rFonts w:cstheme="minorHAnsi"/>
        </w:rPr>
        <w:t>Regulations deals with asbestos. Unlike the model laws, however, the Commonwealth’s Regulations do not have a licensing scheme for asbestos removal work. That is because under current arrangements states and territories—but not the Commonwealth—</w:t>
      </w:r>
      <w:proofErr w:type="gramStart"/>
      <w:r>
        <w:rPr>
          <w:rFonts w:cstheme="minorHAnsi"/>
        </w:rPr>
        <w:t>administer</w:t>
      </w:r>
      <w:proofErr w:type="gramEnd"/>
      <w:r>
        <w:rPr>
          <w:rFonts w:cstheme="minorHAnsi"/>
        </w:rPr>
        <w:t xml:space="preserve"> licensing schemes for asbestos removal.</w:t>
      </w:r>
    </w:p>
    <w:p w:rsidR="003F4CD7" w:rsidRDefault="003F4CD7" w:rsidP="003F4CD7">
      <w:pPr>
        <w:spacing w:after="240"/>
        <w:rPr>
          <w:rFonts w:cstheme="minorHAnsi"/>
        </w:rPr>
      </w:pPr>
      <w:r w:rsidRPr="00B32BDA">
        <w:rPr>
          <w:rFonts w:cstheme="minorHAnsi"/>
        </w:rPr>
        <w:t xml:space="preserve">These arrangements worked well until </w:t>
      </w:r>
      <w:r w:rsidRPr="00585A24">
        <w:rPr>
          <w:rFonts w:cstheme="minorHAnsi"/>
        </w:rPr>
        <w:t xml:space="preserve">some private businesses covered by the Comcare scheme sought to carry out this work. The </w:t>
      </w:r>
      <w:r w:rsidR="00F25629" w:rsidRPr="001F0414">
        <w:rPr>
          <w:rFonts w:cstheme="minorHAnsi"/>
          <w:i/>
        </w:rPr>
        <w:t>Work Health and Safety Amendment (Licensing of Asbestos Removalists and Other Measures) Regulation 2016</w:t>
      </w:r>
      <w:r w:rsidR="00F25629">
        <w:rPr>
          <w:rFonts w:cstheme="minorHAnsi"/>
        </w:rPr>
        <w:t xml:space="preserve"> (the </w:t>
      </w:r>
      <w:r w:rsidR="00F56B92">
        <w:rPr>
          <w:rFonts w:cstheme="minorHAnsi"/>
        </w:rPr>
        <w:t xml:space="preserve">Amendment </w:t>
      </w:r>
      <w:r w:rsidR="00F25629">
        <w:rPr>
          <w:rFonts w:cstheme="minorHAnsi"/>
        </w:rPr>
        <w:t>R</w:t>
      </w:r>
      <w:r w:rsidR="00F25629" w:rsidRPr="00585A24">
        <w:rPr>
          <w:rFonts w:cstheme="minorHAnsi"/>
        </w:rPr>
        <w:t>egulation</w:t>
      </w:r>
      <w:r w:rsidR="00F25629">
        <w:rPr>
          <w:rFonts w:cstheme="minorHAnsi"/>
        </w:rPr>
        <w:t>)</w:t>
      </w:r>
      <w:r w:rsidR="00F25629" w:rsidRPr="00585A24">
        <w:rPr>
          <w:rFonts w:cstheme="minorHAnsi"/>
        </w:rPr>
        <w:t xml:space="preserve"> </w:t>
      </w:r>
      <w:r w:rsidRPr="00B32BDA">
        <w:rPr>
          <w:rFonts w:cstheme="minorHAnsi"/>
        </w:rPr>
        <w:t>include</w:t>
      </w:r>
      <w:r w:rsidR="00C0637A">
        <w:rPr>
          <w:rFonts w:cstheme="minorHAnsi"/>
        </w:rPr>
        <w:t>s</w:t>
      </w:r>
      <w:r>
        <w:rPr>
          <w:rFonts w:cstheme="minorHAnsi"/>
        </w:rPr>
        <w:t xml:space="preserve"> the model licensing provisions for asbestos removal work in the </w:t>
      </w:r>
      <w:r w:rsidR="00F25629">
        <w:rPr>
          <w:rFonts w:cstheme="minorHAnsi"/>
        </w:rPr>
        <w:t xml:space="preserve">WHS </w:t>
      </w:r>
      <w:r>
        <w:rPr>
          <w:rFonts w:cstheme="minorHAnsi"/>
        </w:rPr>
        <w:t>Regulations. The amendments enable the Commonwealth’s regulator, Comcare, to administer an asbestos removal licensing scheme for the Commonwealth jurisdiction.</w:t>
      </w:r>
    </w:p>
    <w:p w:rsidR="00086CFC" w:rsidRPr="000F1BB1" w:rsidRDefault="00086CFC" w:rsidP="00086CFC">
      <w:pPr>
        <w:spacing w:after="240"/>
        <w:rPr>
          <w:rFonts w:cstheme="minorHAnsi"/>
          <w:i/>
        </w:rPr>
      </w:pPr>
      <w:r w:rsidRPr="000F1BB1">
        <w:rPr>
          <w:rFonts w:cstheme="minorHAnsi"/>
          <w:i/>
        </w:rPr>
        <w:t>Reach stacker licences</w:t>
      </w:r>
    </w:p>
    <w:p w:rsidR="00086CFC" w:rsidRDefault="00086CFC" w:rsidP="00086CFC">
      <w:pPr>
        <w:spacing w:after="240"/>
        <w:rPr>
          <w:rFonts w:cstheme="minorHAnsi"/>
        </w:rPr>
      </w:pPr>
      <w:r>
        <w:rPr>
          <w:rFonts w:cstheme="minorHAnsi"/>
        </w:rPr>
        <w:t>Operating a reach stacker—a vehicle used to handle cargo containers at ports—is a class of high risk work under the WHS laws: see section 43 of the Act and Part 4.5 of the WHS Regulations.</w:t>
      </w:r>
    </w:p>
    <w:p w:rsidR="00086CFC" w:rsidRDefault="00086CFC" w:rsidP="00086CFC">
      <w:pPr>
        <w:spacing w:after="240"/>
        <w:rPr>
          <w:rFonts w:cstheme="minorHAnsi"/>
        </w:rPr>
      </w:pPr>
      <w:r>
        <w:rPr>
          <w:rFonts w:cstheme="minorHAnsi"/>
        </w:rPr>
        <w:t xml:space="preserve">Most, but not all, state and territory jurisdictions require reach stacker operators to hold a reach stacker licence under their WHS laws, subject to any transitional arrangements. </w:t>
      </w:r>
      <w:r w:rsidR="003F4CD7">
        <w:rPr>
          <w:rFonts w:cstheme="minorHAnsi"/>
        </w:rPr>
        <w:t>Victoria and Western Australia require persons operating a reach stacker to hold a different class of licence.</w:t>
      </w:r>
    </w:p>
    <w:p w:rsidR="003F4CD7" w:rsidRDefault="003F4CD7" w:rsidP="003F4CD7">
      <w:pPr>
        <w:spacing w:after="240"/>
        <w:rPr>
          <w:rFonts w:cstheme="minorHAnsi"/>
        </w:rPr>
      </w:pPr>
      <w:r>
        <w:rPr>
          <w:rFonts w:cstheme="minorHAnsi"/>
        </w:rPr>
        <w:t xml:space="preserve">Employees in the Comcare </w:t>
      </w:r>
      <w:r w:rsidRPr="00B32BDA">
        <w:rPr>
          <w:rFonts w:cstheme="minorHAnsi"/>
        </w:rPr>
        <w:t>scheme</w:t>
      </w:r>
      <w:r w:rsidRPr="009D1B10">
        <w:rPr>
          <w:rFonts w:cstheme="minorHAnsi"/>
        </w:rPr>
        <w:t xml:space="preserve"> </w:t>
      </w:r>
      <w:r w:rsidRPr="00585A24">
        <w:rPr>
          <w:rFonts w:cstheme="minorHAnsi"/>
        </w:rPr>
        <w:t>mostly</w:t>
      </w:r>
      <w:r w:rsidRPr="00B32BDA">
        <w:rPr>
          <w:rFonts w:cstheme="minorHAnsi"/>
        </w:rPr>
        <w:t xml:space="preserve"> </w:t>
      </w:r>
      <w:r w:rsidRPr="009D1B10">
        <w:rPr>
          <w:rFonts w:cstheme="minorHAnsi"/>
        </w:rPr>
        <w:t>obtain</w:t>
      </w:r>
      <w:r>
        <w:rPr>
          <w:rFonts w:cstheme="minorHAnsi"/>
        </w:rPr>
        <w:t xml:space="preserve"> their high risk licences from the state or territory in which those employees reside. This presents difficulties for employees operating reach stackers in Victoria or Western Australia, who are required under the Commonwealth WHS Regulations to hold a reach stacker licence but cannot obtain one from their state WHS regulator.</w:t>
      </w:r>
    </w:p>
    <w:p w:rsidR="003F4CD7" w:rsidRDefault="003F4CD7" w:rsidP="003F4CD7">
      <w:pPr>
        <w:spacing w:after="240"/>
        <w:rPr>
          <w:rFonts w:cstheme="minorHAnsi"/>
        </w:rPr>
      </w:pPr>
      <w:r>
        <w:rPr>
          <w:rFonts w:cstheme="minorHAnsi"/>
        </w:rPr>
        <w:lastRenderedPageBreak/>
        <w:t xml:space="preserve">Transitional arrangements for reach stacker licences expire on 1 January 2017:  </w:t>
      </w:r>
      <w:proofErr w:type="spellStart"/>
      <w:r>
        <w:rPr>
          <w:rFonts w:cstheme="minorHAnsi"/>
        </w:rPr>
        <w:t>reg</w:t>
      </w:r>
      <w:proofErr w:type="spellEnd"/>
      <w:r>
        <w:rPr>
          <w:rFonts w:cstheme="minorHAnsi"/>
        </w:rPr>
        <w:t xml:space="preserve"> 727 of the </w:t>
      </w:r>
      <w:r w:rsidR="00F25629">
        <w:rPr>
          <w:rFonts w:cstheme="minorHAnsi"/>
        </w:rPr>
        <w:t xml:space="preserve">WHS </w:t>
      </w:r>
      <w:r>
        <w:rPr>
          <w:rFonts w:cstheme="minorHAnsi"/>
        </w:rPr>
        <w:t>Regulations. From then, all reach stacker operators covered by the Comcare scheme will be required to hold a reach stacker licence, no matter where they are based across Australia.</w:t>
      </w:r>
    </w:p>
    <w:p w:rsidR="003F4CD7" w:rsidRDefault="003F4CD7" w:rsidP="003F4CD7">
      <w:pPr>
        <w:spacing w:after="240"/>
        <w:rPr>
          <w:rFonts w:cstheme="minorHAnsi"/>
        </w:rPr>
      </w:pPr>
      <w:r>
        <w:rPr>
          <w:rFonts w:cstheme="minorHAnsi"/>
        </w:rPr>
        <w:t xml:space="preserve">The </w:t>
      </w:r>
      <w:r w:rsidR="00F56B92">
        <w:rPr>
          <w:rFonts w:cstheme="minorHAnsi"/>
        </w:rPr>
        <w:t>Amendment</w:t>
      </w:r>
      <w:r w:rsidR="00834196">
        <w:rPr>
          <w:rFonts w:cstheme="minorHAnsi"/>
        </w:rPr>
        <w:t xml:space="preserve"> </w:t>
      </w:r>
      <w:r w:rsidR="00F25629">
        <w:rPr>
          <w:rFonts w:cstheme="minorHAnsi"/>
        </w:rPr>
        <w:t xml:space="preserve">Regulation </w:t>
      </w:r>
      <w:r>
        <w:rPr>
          <w:rFonts w:cstheme="minorHAnsi"/>
        </w:rPr>
        <w:t>accommodates state-based differences in the licensing scheme. It means that reach stacker operators in the Comcare scheme will be required to hold the licence required to operate a reach stacker under the corresponding WHS laws and regulations in the state</w:t>
      </w:r>
      <w:r w:rsidR="007F39F4">
        <w:rPr>
          <w:rFonts w:cstheme="minorHAnsi"/>
        </w:rPr>
        <w:t xml:space="preserve"> or </w:t>
      </w:r>
      <w:r>
        <w:rPr>
          <w:rFonts w:cstheme="minorHAnsi"/>
        </w:rPr>
        <w:t xml:space="preserve">territory in which they are working. </w:t>
      </w:r>
    </w:p>
    <w:p w:rsidR="00086CFC" w:rsidRPr="000F1BB1" w:rsidRDefault="00086CFC" w:rsidP="00086CFC">
      <w:pPr>
        <w:spacing w:after="200"/>
        <w:rPr>
          <w:rFonts w:eastAsia="Calibri"/>
          <w:i/>
          <w:lang w:eastAsia="en-US"/>
        </w:rPr>
      </w:pPr>
      <w:r w:rsidRPr="000F1BB1">
        <w:rPr>
          <w:rFonts w:eastAsia="Calibri"/>
          <w:i/>
          <w:lang w:eastAsia="en-US"/>
        </w:rPr>
        <w:t>Spent transitional provisions</w:t>
      </w:r>
    </w:p>
    <w:p w:rsidR="00086CFC" w:rsidRPr="000F1BB1" w:rsidRDefault="00086CFC" w:rsidP="00086CFC">
      <w:pPr>
        <w:spacing w:after="200"/>
        <w:rPr>
          <w:rFonts w:eastAsia="Calibri"/>
          <w:lang w:eastAsia="en-US"/>
        </w:rPr>
      </w:pPr>
      <w:r>
        <w:rPr>
          <w:rFonts w:eastAsia="Calibri"/>
          <w:lang w:eastAsia="en-US"/>
        </w:rPr>
        <w:t>Chapter 12 of the WHS Regulations contain</w:t>
      </w:r>
      <w:r w:rsidR="00F25629">
        <w:rPr>
          <w:rFonts w:eastAsia="Calibri"/>
          <w:lang w:eastAsia="en-US"/>
        </w:rPr>
        <w:t>s</w:t>
      </w:r>
      <w:r>
        <w:rPr>
          <w:rFonts w:eastAsia="Calibri"/>
          <w:lang w:eastAsia="en-US"/>
        </w:rPr>
        <w:t xml:space="preserve"> a range of transitional provisions that facilitated the implementation of the model WHS laws. </w:t>
      </w:r>
      <w:r>
        <w:rPr>
          <w:rFonts w:cstheme="minorHAnsi"/>
        </w:rPr>
        <w:t>The Amendment Regulation repeals transitional provisions that have ceased to have effect due to the passage of time</w:t>
      </w:r>
      <w:r>
        <w:rPr>
          <w:rFonts w:eastAsia="Calibri"/>
          <w:lang w:eastAsia="en-US"/>
        </w:rPr>
        <w:t xml:space="preserve">. </w:t>
      </w:r>
    </w:p>
    <w:p w:rsidR="00086CFC" w:rsidRPr="00574475" w:rsidRDefault="00086CFC" w:rsidP="00086CFC">
      <w:pPr>
        <w:spacing w:after="240"/>
      </w:pPr>
      <w:r>
        <w:t xml:space="preserve">Details of the Amendment Regulation are set out in </w:t>
      </w:r>
      <w:r>
        <w:rPr>
          <w:u w:val="single"/>
        </w:rPr>
        <w:t>Attachment A</w:t>
      </w:r>
      <w:r>
        <w:t>.</w:t>
      </w:r>
    </w:p>
    <w:p w:rsidR="00086CFC" w:rsidRPr="004D7FAC" w:rsidRDefault="00086CFC" w:rsidP="00086CFC">
      <w:pPr>
        <w:spacing w:before="100" w:beforeAutospacing="1" w:after="240"/>
        <w:rPr>
          <w:b/>
        </w:rPr>
      </w:pPr>
      <w:r w:rsidRPr="004D7FAC">
        <w:rPr>
          <w:b/>
        </w:rPr>
        <w:t>Consultation</w:t>
      </w:r>
    </w:p>
    <w:p w:rsidR="00741A7F" w:rsidRPr="000034A4" w:rsidRDefault="00741A7F" w:rsidP="00741A7F">
      <w:pPr>
        <w:spacing w:before="100" w:beforeAutospacing="1" w:after="240"/>
      </w:pPr>
      <w:r w:rsidRPr="00585A24">
        <w:t>Comcare has consulted with private-sector employers within its scheme over the proposal to insert licensing provisions for asbestos removal into the Regulations. No objections were raised.</w:t>
      </w:r>
      <w:r>
        <w:t xml:space="preserve"> </w:t>
      </w:r>
    </w:p>
    <w:p w:rsidR="00741A7F" w:rsidRPr="00585A24" w:rsidRDefault="00741A7F" w:rsidP="00741A7F">
      <w:pPr>
        <w:spacing w:before="100" w:beforeAutospacing="1" w:after="240"/>
      </w:pPr>
      <w:r w:rsidRPr="00585A24">
        <w:t xml:space="preserve">The Department </w:t>
      </w:r>
      <w:r w:rsidR="000907A5">
        <w:t xml:space="preserve">of Employment </w:t>
      </w:r>
      <w:r w:rsidRPr="00585A24">
        <w:t>has consulted Comcare and the Commonwealth agency, Safe Work Australia, about the propos</w:t>
      </w:r>
      <w:r w:rsidR="00F25629">
        <w:t xml:space="preserve">al </w:t>
      </w:r>
      <w:r w:rsidRPr="00585A24">
        <w:t>to accommodate state-based differences in licensing arrangements for reach stacker operators. Safe Work Australia is responsible for developing and maintaining the model WHS laws, which have been implemented in most jurisdictions. Safe Work Australia is a representative body, made up of representatives from all jurisdictions, as well as employer organisations and unions.</w:t>
      </w:r>
    </w:p>
    <w:p w:rsidR="00741A7F" w:rsidRPr="00585A24" w:rsidRDefault="00741A7F" w:rsidP="00741A7F">
      <w:pPr>
        <w:spacing w:before="100" w:beforeAutospacing="1" w:after="240"/>
      </w:pPr>
      <w:r w:rsidRPr="00585A24">
        <w:t>Comcare has also consulted with employers whose workers operate reach stackers about the proposal. Employers strongly supported addressing this potential difficulty. No objections were raised.</w:t>
      </w:r>
    </w:p>
    <w:p w:rsidR="00741A7F" w:rsidRPr="005F11BB" w:rsidRDefault="00741A7F" w:rsidP="00741A7F">
      <w:pPr>
        <w:spacing w:before="100" w:beforeAutospacing="1" w:after="240"/>
      </w:pPr>
      <w:r w:rsidRPr="00585A24">
        <w:t>As the instrument is of a minor nature, and does not substantially alter existing arrangements, broader consultation was considered unnecessary.</w:t>
      </w:r>
      <w:r w:rsidRPr="005F11BB">
        <w:t xml:space="preserve"> </w:t>
      </w:r>
    </w:p>
    <w:p w:rsidR="00086CFC" w:rsidRPr="00030BCA" w:rsidRDefault="00086CFC" w:rsidP="00086CFC">
      <w:pPr>
        <w:keepNext/>
        <w:spacing w:after="240"/>
        <w:rPr>
          <w:b/>
        </w:rPr>
      </w:pPr>
      <w:r w:rsidRPr="00030BCA">
        <w:rPr>
          <w:b/>
        </w:rPr>
        <w:t>Regulation Impact Statement</w:t>
      </w:r>
    </w:p>
    <w:p w:rsidR="00086CFC" w:rsidRDefault="00086CFC" w:rsidP="00086CFC">
      <w:pPr>
        <w:spacing w:after="240"/>
      </w:pPr>
      <w:r w:rsidRPr="0064710A">
        <w:t xml:space="preserve">The Office of Best Practice Regulation advised that a Regulation Impact Statement was not </w:t>
      </w:r>
      <w:r w:rsidRPr="002910D4">
        <w:t>required (</w:t>
      </w:r>
      <w:proofErr w:type="spellStart"/>
      <w:r w:rsidRPr="002910D4">
        <w:t>OBPR</w:t>
      </w:r>
      <w:proofErr w:type="spellEnd"/>
      <w:r w:rsidRPr="002910D4">
        <w:t xml:space="preserve"> ID: </w:t>
      </w:r>
      <w:r>
        <w:t>17832</w:t>
      </w:r>
      <w:r w:rsidRPr="002910D4">
        <w:t>).</w:t>
      </w:r>
    </w:p>
    <w:p w:rsidR="00086CFC" w:rsidRPr="00030BCA" w:rsidRDefault="00086CFC" w:rsidP="00086CFC">
      <w:pPr>
        <w:keepNext/>
        <w:spacing w:after="240"/>
        <w:rPr>
          <w:b/>
        </w:rPr>
      </w:pPr>
      <w:r w:rsidRPr="00030BCA">
        <w:rPr>
          <w:b/>
        </w:rPr>
        <w:t>Statement of Compatibility with Human Rights</w:t>
      </w:r>
    </w:p>
    <w:p w:rsidR="00741A7F" w:rsidRDefault="00BB7E2C" w:rsidP="00741A7F">
      <w:pPr>
        <w:spacing w:before="100" w:beforeAutospacing="1" w:after="240"/>
        <w:rPr>
          <w:rFonts w:eastAsia="Calibri"/>
        </w:rPr>
      </w:pPr>
      <w:r>
        <w:t xml:space="preserve">A Statement of Compatibility with Human Rights has been completed for the Amendment Regulation, in accordance with the </w:t>
      </w:r>
      <w:r w:rsidRPr="00BB7E2C">
        <w:rPr>
          <w:i/>
        </w:rPr>
        <w:t>Human Rights (Parliamentary Scrutiny) Act 2011</w:t>
      </w:r>
      <w:r>
        <w:t xml:space="preserve">. </w:t>
      </w:r>
      <w:r w:rsidR="00741A7F">
        <w:t xml:space="preserve">The </w:t>
      </w:r>
      <w:r>
        <w:t xml:space="preserve">Statement’s assessment is that the Amendment Regulation </w:t>
      </w:r>
      <w:r w:rsidR="00741A7F">
        <w:t>does not engage, and is therefore compatible with</w:t>
      </w:r>
      <w:r>
        <w:t xml:space="preserve"> human rights. A copy of the Statement is attached</w:t>
      </w:r>
      <w:r w:rsidR="00086E7A">
        <w:t xml:space="preserve"> (</w:t>
      </w:r>
      <w:r w:rsidR="00086E7A" w:rsidRPr="00086E7A">
        <w:rPr>
          <w:u w:val="single"/>
        </w:rPr>
        <w:t>Attachment B</w:t>
      </w:r>
      <w:r w:rsidR="00086E7A">
        <w:t>)</w:t>
      </w:r>
      <w:r>
        <w:t xml:space="preserve">. </w:t>
      </w:r>
    </w:p>
    <w:p w:rsidR="00086CFC" w:rsidRDefault="00086CFC" w:rsidP="00086CFC">
      <w:pPr>
        <w:spacing w:after="240"/>
      </w:pPr>
      <w:r>
        <w:t xml:space="preserve">The Amendment Regulation is a legislative instrument for purposes of the </w:t>
      </w:r>
      <w:r>
        <w:rPr>
          <w:i/>
        </w:rPr>
        <w:t>Legislation Act 2003</w:t>
      </w:r>
      <w:r>
        <w:t xml:space="preserve">. </w:t>
      </w:r>
    </w:p>
    <w:p w:rsidR="00086CFC" w:rsidRDefault="00086CFC" w:rsidP="00086CFC">
      <w:pPr>
        <w:spacing w:after="240"/>
      </w:pPr>
      <w:r>
        <w:t>The Act does not impose any conditions that need to be satisfied before the power to make the Amendment Regulation may be exercised.</w:t>
      </w:r>
    </w:p>
    <w:p w:rsidR="00DB7146" w:rsidRDefault="00086CFC" w:rsidP="00086CFC">
      <w:pPr>
        <w:tabs>
          <w:tab w:val="right" w:pos="4536"/>
        </w:tabs>
        <w:ind w:left="5760" w:hanging="5760"/>
      </w:pPr>
      <w:r>
        <w:lastRenderedPageBreak/>
        <w:t xml:space="preserve">The Amendment Regulation commences </w:t>
      </w:r>
      <w:r w:rsidRPr="005427CC">
        <w:t>on the day after it is registered.</w:t>
      </w:r>
      <w:r>
        <w:t xml:space="preserve"> </w:t>
      </w:r>
    </w:p>
    <w:p w:rsidR="00086CFC" w:rsidRDefault="00086CFC" w:rsidP="00BB7E2C"/>
    <w:p w:rsidR="00086CFC" w:rsidRDefault="00086CFC" w:rsidP="00086CFC">
      <w:pPr>
        <w:autoSpaceDE w:val="0"/>
        <w:autoSpaceDN w:val="0"/>
        <w:adjustRightInd w:val="0"/>
        <w:spacing w:after="240"/>
        <w:rPr>
          <w:rFonts w:eastAsia="Calibri"/>
        </w:rPr>
      </w:pPr>
    </w:p>
    <w:p w:rsidR="00086CFC" w:rsidRDefault="00086CFC" w:rsidP="00086CFC">
      <w:pPr>
        <w:tabs>
          <w:tab w:val="right" w:pos="4536"/>
        </w:tabs>
        <w:ind w:left="5760" w:right="91" w:hanging="5760"/>
        <w:sectPr w:rsidR="00086CFC" w:rsidSect="00141B76">
          <w:headerReference w:type="default" r:id="rId13"/>
          <w:footerReference w:type="even" r:id="rId14"/>
          <w:footerReference w:type="default" r:id="rId15"/>
          <w:headerReference w:type="first" r:id="rId16"/>
          <w:footerReference w:type="first" r:id="rId17"/>
          <w:pgSz w:w="11906" w:h="16838" w:code="9"/>
          <w:pgMar w:top="1418" w:right="1134" w:bottom="1418" w:left="1418" w:header="567" w:footer="567" w:gutter="0"/>
          <w:pgNumType w:fmt="lowerRoman" w:start="1"/>
          <w:cols w:space="708"/>
          <w:titlePg/>
          <w:docGrid w:linePitch="360"/>
        </w:sectPr>
      </w:pPr>
    </w:p>
    <w:p w:rsidR="00086CFC" w:rsidRPr="006831FD" w:rsidRDefault="00086CFC" w:rsidP="00086CFC">
      <w:pPr>
        <w:tabs>
          <w:tab w:val="right" w:pos="4536"/>
        </w:tabs>
        <w:ind w:left="5760" w:right="91" w:hanging="5760"/>
        <w:jc w:val="right"/>
        <w:rPr>
          <w:u w:val="single"/>
        </w:rPr>
      </w:pPr>
      <w:r w:rsidRPr="006831FD">
        <w:rPr>
          <w:u w:val="single"/>
        </w:rPr>
        <w:lastRenderedPageBreak/>
        <w:t>ATTACHMENT A</w:t>
      </w:r>
    </w:p>
    <w:p w:rsidR="00086CFC" w:rsidRDefault="00086CFC" w:rsidP="00086CFC">
      <w:pPr>
        <w:pStyle w:val="OverviewNotesheading"/>
        <w:spacing w:after="0" w:line="240" w:lineRule="auto"/>
        <w:jc w:val="center"/>
      </w:pPr>
    </w:p>
    <w:p w:rsidR="00086CFC" w:rsidRDefault="00086CFC" w:rsidP="00086CFC">
      <w:pPr>
        <w:keepNext/>
        <w:spacing w:after="240"/>
        <w:outlineLvl w:val="0"/>
        <w:rPr>
          <w:rFonts w:eastAsia="Calibri"/>
          <w:b/>
          <w:lang w:eastAsia="en-US"/>
        </w:rPr>
      </w:pPr>
      <w:r>
        <w:rPr>
          <w:rFonts w:eastAsia="Calibri"/>
          <w:b/>
          <w:lang w:eastAsia="en-US"/>
        </w:rPr>
        <w:t xml:space="preserve">Details of the </w:t>
      </w:r>
      <w:r w:rsidRPr="00972830">
        <w:rPr>
          <w:rFonts w:eastAsia="Calibri"/>
          <w:b/>
          <w:lang w:eastAsia="en-US"/>
        </w:rPr>
        <w:t>Work Health and Safety Amendment (Licensing of Asbestos Removalists and Other Measures) Regulation 2016</w:t>
      </w:r>
    </w:p>
    <w:p w:rsidR="00086CFC" w:rsidRPr="0084445A" w:rsidRDefault="00086CFC" w:rsidP="00086CFC">
      <w:pPr>
        <w:keepNext/>
        <w:spacing w:after="240"/>
        <w:outlineLvl w:val="1"/>
        <w:rPr>
          <w:rFonts w:eastAsia="Calibri"/>
          <w:u w:val="single"/>
          <w:lang w:eastAsia="en-US"/>
        </w:rPr>
      </w:pPr>
      <w:r w:rsidRPr="0084445A">
        <w:rPr>
          <w:rFonts w:eastAsia="Calibri"/>
          <w:u w:val="single"/>
          <w:lang w:eastAsia="en-US"/>
        </w:rPr>
        <w:t>Section 1 – Name of Regulation</w:t>
      </w:r>
    </w:p>
    <w:p w:rsidR="00086CFC" w:rsidRPr="0084445A" w:rsidRDefault="00086CFC" w:rsidP="00086CFC">
      <w:pPr>
        <w:spacing w:after="240"/>
        <w:rPr>
          <w:rFonts w:eastAsia="Calibri"/>
          <w:lang w:eastAsia="en-US"/>
        </w:rPr>
      </w:pPr>
      <w:r w:rsidRPr="0084445A">
        <w:rPr>
          <w:rFonts w:eastAsia="Calibri"/>
          <w:lang w:eastAsia="en-US"/>
        </w:rPr>
        <w:t xml:space="preserve">This section sets out the name of the regulation as </w:t>
      </w:r>
      <w:r>
        <w:rPr>
          <w:rFonts w:eastAsia="Calibri"/>
          <w:lang w:eastAsia="en-US"/>
        </w:rPr>
        <w:t xml:space="preserve">the </w:t>
      </w:r>
      <w:r w:rsidRPr="0084445A">
        <w:rPr>
          <w:rFonts w:eastAsia="Calibri"/>
          <w:i/>
          <w:lang w:eastAsia="en-US"/>
        </w:rPr>
        <w:t>Work Health and Safety Amendment (Licensing of Asbestos Removalists and Other Measures) Regulation 2016</w:t>
      </w:r>
      <w:r>
        <w:rPr>
          <w:rFonts w:eastAsia="Calibri"/>
          <w:lang w:eastAsia="en-US"/>
        </w:rPr>
        <w:t xml:space="preserve"> (the Amendment Regulation)</w:t>
      </w:r>
      <w:r w:rsidRPr="0084445A">
        <w:rPr>
          <w:rFonts w:eastAsia="Calibri"/>
          <w:lang w:eastAsia="en-US"/>
        </w:rPr>
        <w:t>.</w:t>
      </w:r>
    </w:p>
    <w:p w:rsidR="00086CFC" w:rsidRPr="0084445A" w:rsidRDefault="00086CFC" w:rsidP="00086CFC">
      <w:pPr>
        <w:keepNext/>
        <w:spacing w:after="240"/>
        <w:outlineLvl w:val="1"/>
        <w:rPr>
          <w:rFonts w:eastAsia="Calibri"/>
          <w:u w:val="single"/>
          <w:lang w:eastAsia="en-US"/>
        </w:rPr>
      </w:pPr>
      <w:r w:rsidRPr="0084445A">
        <w:rPr>
          <w:rFonts w:eastAsia="Calibri"/>
          <w:u w:val="single"/>
          <w:lang w:eastAsia="en-US"/>
        </w:rPr>
        <w:t>Section 2 – Commencement</w:t>
      </w:r>
    </w:p>
    <w:p w:rsidR="00086CFC" w:rsidRPr="0084445A" w:rsidRDefault="00086CFC" w:rsidP="00086CFC">
      <w:pPr>
        <w:spacing w:after="240"/>
        <w:rPr>
          <w:rFonts w:eastAsia="Calibri"/>
          <w:lang w:eastAsia="en-US"/>
        </w:rPr>
      </w:pPr>
      <w:r w:rsidRPr="0084445A">
        <w:rPr>
          <w:rFonts w:eastAsia="Calibri"/>
          <w:lang w:eastAsia="en-US"/>
        </w:rPr>
        <w:t xml:space="preserve">This section provides </w:t>
      </w:r>
      <w:r w:rsidR="00701229">
        <w:rPr>
          <w:rFonts w:eastAsia="Calibri"/>
          <w:lang w:eastAsia="en-US"/>
        </w:rPr>
        <w:t xml:space="preserve">details about when </w:t>
      </w:r>
      <w:r w:rsidRPr="0084445A">
        <w:rPr>
          <w:rFonts w:eastAsia="Calibri"/>
          <w:lang w:eastAsia="en-US"/>
        </w:rPr>
        <w:t xml:space="preserve">the </w:t>
      </w:r>
      <w:r>
        <w:rPr>
          <w:rFonts w:eastAsia="Calibri"/>
          <w:lang w:eastAsia="en-US"/>
        </w:rPr>
        <w:t>Amendment Regulation</w:t>
      </w:r>
      <w:r w:rsidRPr="0084445A">
        <w:rPr>
          <w:rFonts w:eastAsia="Calibri"/>
          <w:lang w:eastAsia="en-US"/>
        </w:rPr>
        <w:t xml:space="preserve"> commences.</w:t>
      </w:r>
    </w:p>
    <w:p w:rsidR="00086CFC" w:rsidRPr="0084445A" w:rsidRDefault="00086CFC" w:rsidP="00086CFC">
      <w:pPr>
        <w:keepNext/>
        <w:spacing w:after="240"/>
        <w:outlineLvl w:val="1"/>
        <w:rPr>
          <w:rFonts w:eastAsia="Calibri"/>
          <w:u w:val="single"/>
          <w:lang w:eastAsia="en-US"/>
        </w:rPr>
      </w:pPr>
      <w:r w:rsidRPr="0084445A">
        <w:rPr>
          <w:rFonts w:eastAsia="Calibri"/>
          <w:u w:val="single"/>
          <w:lang w:eastAsia="en-US"/>
        </w:rPr>
        <w:t>Section 3 – Authority</w:t>
      </w:r>
    </w:p>
    <w:p w:rsidR="00086CFC" w:rsidRPr="0084445A" w:rsidRDefault="00086CFC" w:rsidP="00086CFC">
      <w:pPr>
        <w:spacing w:after="240"/>
        <w:rPr>
          <w:rFonts w:eastAsia="Calibri"/>
          <w:lang w:eastAsia="en-US"/>
        </w:rPr>
      </w:pPr>
      <w:r w:rsidRPr="0084445A">
        <w:rPr>
          <w:rFonts w:eastAsia="Calibri"/>
          <w:lang w:eastAsia="en-US"/>
        </w:rPr>
        <w:t xml:space="preserve">This section provides that the </w:t>
      </w:r>
      <w:r>
        <w:rPr>
          <w:rFonts w:eastAsia="Calibri"/>
          <w:lang w:eastAsia="en-US"/>
        </w:rPr>
        <w:t>Amendment Regulation</w:t>
      </w:r>
      <w:r w:rsidRPr="0084445A">
        <w:rPr>
          <w:rFonts w:eastAsia="Calibri"/>
          <w:lang w:eastAsia="en-US"/>
        </w:rPr>
        <w:t xml:space="preserve"> is made under the </w:t>
      </w:r>
      <w:r w:rsidRPr="0084445A">
        <w:rPr>
          <w:rFonts w:eastAsia="Calibri"/>
          <w:i/>
          <w:lang w:eastAsia="en-US"/>
        </w:rPr>
        <w:t>Work Health and Safety Act</w:t>
      </w:r>
      <w:r w:rsidRPr="0084445A">
        <w:rPr>
          <w:rFonts w:eastAsia="Calibri"/>
          <w:lang w:eastAsia="en-US"/>
        </w:rPr>
        <w:t xml:space="preserve"> (WHS Act).</w:t>
      </w:r>
    </w:p>
    <w:p w:rsidR="00086CFC" w:rsidRPr="0084445A" w:rsidRDefault="00086CFC" w:rsidP="00086CFC">
      <w:pPr>
        <w:keepNext/>
        <w:spacing w:after="240"/>
        <w:outlineLvl w:val="1"/>
        <w:rPr>
          <w:rFonts w:eastAsia="Calibri"/>
          <w:u w:val="single"/>
          <w:lang w:eastAsia="en-US"/>
        </w:rPr>
      </w:pPr>
      <w:r w:rsidRPr="0084445A">
        <w:rPr>
          <w:rFonts w:eastAsia="Calibri"/>
          <w:u w:val="single"/>
          <w:lang w:eastAsia="en-US"/>
        </w:rPr>
        <w:t>Section 4 – Schedules</w:t>
      </w:r>
    </w:p>
    <w:p w:rsidR="00086CFC" w:rsidRPr="0084445A" w:rsidRDefault="00086CFC" w:rsidP="00086CFC">
      <w:pPr>
        <w:spacing w:after="240"/>
        <w:rPr>
          <w:rFonts w:eastAsia="Calibri"/>
          <w:lang w:eastAsia="en-US"/>
        </w:rPr>
      </w:pPr>
      <w:r w:rsidRPr="0084445A">
        <w:rPr>
          <w:rFonts w:eastAsia="Calibri"/>
          <w:lang w:eastAsia="en-US"/>
        </w:rPr>
        <w:t xml:space="preserve">This section provides that </w:t>
      </w:r>
      <w:r>
        <w:rPr>
          <w:rFonts w:eastAsia="Calibri"/>
          <w:lang w:eastAsia="en-US"/>
        </w:rPr>
        <w:t>each instrument that is specified in a Schedule is amended or repealed as set out in the applicable items in the Schedule concerned, and any other item in a Schedule to this instrument has effect according to its terms.</w:t>
      </w:r>
    </w:p>
    <w:p w:rsidR="00086CFC" w:rsidRPr="007F2AB8" w:rsidRDefault="00086CFC" w:rsidP="00086CFC">
      <w:pPr>
        <w:keepNext/>
        <w:spacing w:after="240"/>
        <w:outlineLvl w:val="1"/>
        <w:rPr>
          <w:rFonts w:eastAsia="Calibri"/>
          <w:b/>
          <w:i/>
          <w:u w:val="single"/>
          <w:lang w:eastAsia="en-US"/>
        </w:rPr>
      </w:pPr>
      <w:r w:rsidRPr="007F2AB8">
        <w:rPr>
          <w:rFonts w:eastAsia="Calibri"/>
          <w:b/>
          <w:i/>
          <w:u w:val="single"/>
          <w:lang w:eastAsia="en-US"/>
        </w:rPr>
        <w:t>Schedule 1—Amendments</w:t>
      </w:r>
    </w:p>
    <w:p w:rsidR="00086CFC" w:rsidRPr="0084445A" w:rsidRDefault="00086CFC" w:rsidP="00086CFC">
      <w:pPr>
        <w:keepNext/>
        <w:spacing w:after="240"/>
        <w:outlineLvl w:val="1"/>
        <w:rPr>
          <w:rFonts w:eastAsia="Calibri"/>
          <w:i/>
          <w:u w:val="single"/>
          <w:lang w:eastAsia="en-US"/>
        </w:rPr>
      </w:pPr>
      <w:r>
        <w:rPr>
          <w:rFonts w:eastAsia="Calibri"/>
          <w:i/>
          <w:u w:val="single"/>
          <w:lang w:eastAsia="en-US"/>
        </w:rPr>
        <w:t>Part 1—Amendments relating to licensing of asbestos removalists</w:t>
      </w:r>
    </w:p>
    <w:p w:rsidR="00086CFC" w:rsidRPr="0084445A" w:rsidRDefault="00086CFC" w:rsidP="00086CFC">
      <w:pPr>
        <w:keepNext/>
        <w:spacing w:after="240"/>
        <w:outlineLvl w:val="1"/>
        <w:rPr>
          <w:rFonts w:eastAsia="Calibri"/>
          <w:i/>
          <w:lang w:eastAsia="en-US"/>
        </w:rPr>
      </w:pPr>
      <w:r w:rsidRPr="0084445A">
        <w:rPr>
          <w:rFonts w:eastAsia="Calibri"/>
          <w:i/>
          <w:lang w:eastAsia="en-US"/>
        </w:rPr>
        <w:t>Work Health and Safety Regulations 2011</w:t>
      </w:r>
    </w:p>
    <w:p w:rsidR="00086CFC" w:rsidRPr="007F2AB8" w:rsidRDefault="00086CFC" w:rsidP="00086CFC">
      <w:pPr>
        <w:spacing w:after="240"/>
        <w:rPr>
          <w:rFonts w:eastAsia="Calibri"/>
          <w:b/>
          <w:u w:val="single"/>
          <w:lang w:eastAsia="en-US"/>
        </w:rPr>
      </w:pPr>
      <w:r w:rsidRPr="007F2AB8">
        <w:rPr>
          <w:rFonts w:eastAsia="Calibri"/>
          <w:b/>
          <w:u w:val="single"/>
          <w:lang w:eastAsia="en-US"/>
        </w:rPr>
        <w:t>Item [1] – Subregulation 488(1)</w:t>
      </w:r>
    </w:p>
    <w:p w:rsidR="00086CFC" w:rsidRDefault="00086CFC" w:rsidP="00086CFC">
      <w:pPr>
        <w:spacing w:after="240"/>
        <w:ind w:right="-188"/>
        <w:rPr>
          <w:rFonts w:eastAsia="Calibri"/>
          <w:lang w:eastAsia="en-US"/>
        </w:rPr>
      </w:pPr>
      <w:r>
        <w:rPr>
          <w:rFonts w:eastAsia="Calibri"/>
          <w:lang w:eastAsia="en-US"/>
        </w:rPr>
        <w:t xml:space="preserve">This item </w:t>
      </w:r>
      <w:r w:rsidR="00B4680B">
        <w:rPr>
          <w:rFonts w:eastAsia="Calibri"/>
          <w:lang w:eastAsia="en-US"/>
        </w:rPr>
        <w:t>amends the definition of ‘asbestos removal licence’ so it covers an asbestos removal licence issued under the new provisions, as well as an equivalent licence granted under a corresponding WHS law.</w:t>
      </w:r>
    </w:p>
    <w:p w:rsidR="00086CFC" w:rsidRPr="007F2AB8" w:rsidRDefault="00086CFC" w:rsidP="00086CFC">
      <w:pPr>
        <w:spacing w:after="240"/>
        <w:rPr>
          <w:rFonts w:eastAsia="Calibri"/>
          <w:b/>
          <w:u w:val="single"/>
          <w:lang w:eastAsia="en-US"/>
        </w:rPr>
      </w:pPr>
      <w:r w:rsidRPr="007F2AB8">
        <w:rPr>
          <w:rFonts w:eastAsia="Calibri"/>
          <w:b/>
          <w:u w:val="single"/>
          <w:lang w:eastAsia="en-US"/>
        </w:rPr>
        <w:t>Item [2] – After Division 2 of Part 8.10</w:t>
      </w:r>
    </w:p>
    <w:p w:rsidR="00086CFC" w:rsidRDefault="00086CFC" w:rsidP="00086CFC">
      <w:pPr>
        <w:spacing w:after="240"/>
      </w:pPr>
      <w:r>
        <w:t>This item inserts new ‘Division 3—</w:t>
      </w:r>
      <w:proofErr w:type="gramStart"/>
      <w:r>
        <w:t>Licensing</w:t>
      </w:r>
      <w:proofErr w:type="gramEnd"/>
      <w:r>
        <w:t xml:space="preserve"> process’ that establishes an asbestos licensing regime and deals with related matters. This division is based on the </w:t>
      </w:r>
      <w:r w:rsidRPr="00522B8B">
        <w:t xml:space="preserve">model laws developed by Safe Work Australia under the </w:t>
      </w:r>
      <w:r w:rsidRPr="00522B8B">
        <w:rPr>
          <w:i/>
        </w:rPr>
        <w:t>Intergovernmental Agreement for Regulatory and Operational Reform in Occupational Health and Safety</w:t>
      </w:r>
      <w:r>
        <w:t>. Minor technical and drafting amendments have been made to reflect the Commonwealth’s unique requirements.</w:t>
      </w:r>
    </w:p>
    <w:p w:rsidR="00086CFC" w:rsidRDefault="00086CFC" w:rsidP="00086CFC">
      <w:pPr>
        <w:spacing w:after="240"/>
        <w:rPr>
          <w:b/>
        </w:rPr>
      </w:pPr>
      <w:r w:rsidRPr="007F2AB8">
        <w:rPr>
          <w:b/>
        </w:rPr>
        <w:t>Division 3—Licensing process</w:t>
      </w:r>
    </w:p>
    <w:p w:rsidR="00086CFC" w:rsidRDefault="00086CFC" w:rsidP="00086CFC">
      <w:pPr>
        <w:spacing w:after="240"/>
        <w:rPr>
          <w:b/>
        </w:rPr>
      </w:pPr>
      <w:r>
        <w:rPr>
          <w:b/>
        </w:rPr>
        <w:t xml:space="preserve">Regulation 491 </w:t>
      </w:r>
      <w:proofErr w:type="gramStart"/>
      <w:r>
        <w:rPr>
          <w:b/>
        </w:rPr>
        <w:t>Who</w:t>
      </w:r>
      <w:proofErr w:type="gramEnd"/>
      <w:r>
        <w:rPr>
          <w:b/>
        </w:rPr>
        <w:t xml:space="preserve"> may apply for a licence</w:t>
      </w:r>
    </w:p>
    <w:p w:rsidR="00086CFC" w:rsidRDefault="00086CFC" w:rsidP="00086CFC">
      <w:pPr>
        <w:spacing w:after="240"/>
      </w:pPr>
      <w:r>
        <w:t>Regulation 491 pr</w:t>
      </w:r>
      <w:r w:rsidR="005356C4">
        <w:t>escribes who may apply for</w:t>
      </w:r>
      <w:r>
        <w:t xml:space="preserve"> an asbestos removal licence.</w:t>
      </w:r>
    </w:p>
    <w:p w:rsidR="00086CFC" w:rsidRDefault="00086CFC" w:rsidP="00086CFC">
      <w:pPr>
        <w:keepNext/>
        <w:spacing w:after="240"/>
        <w:rPr>
          <w:b/>
        </w:rPr>
      </w:pPr>
      <w:r>
        <w:rPr>
          <w:b/>
        </w:rPr>
        <w:lastRenderedPageBreak/>
        <w:t>Regulation 492 Application for asbestos removal licence</w:t>
      </w:r>
    </w:p>
    <w:p w:rsidR="005356C4" w:rsidRDefault="00086CFC" w:rsidP="00086CFC">
      <w:pPr>
        <w:spacing w:after="240"/>
      </w:pPr>
      <w:r>
        <w:t xml:space="preserve">Regulation 492 sets out </w:t>
      </w:r>
      <w:r w:rsidR="00701229">
        <w:t xml:space="preserve">the application process for obtaining </w:t>
      </w:r>
      <w:r>
        <w:t>an asbestos removal licence.</w:t>
      </w:r>
    </w:p>
    <w:p w:rsidR="005356C4" w:rsidRDefault="005356C4" w:rsidP="00086CFC">
      <w:pPr>
        <w:spacing w:after="240"/>
      </w:pPr>
      <w:proofErr w:type="gramStart"/>
      <w:r>
        <w:t>Subregulation(</w:t>
      </w:r>
      <w:proofErr w:type="gramEnd"/>
      <w:r>
        <w:t>1) requires the application to be made in the matter and form required by the regulator.</w:t>
      </w:r>
    </w:p>
    <w:p w:rsidR="00086CFC" w:rsidRDefault="00086CFC" w:rsidP="00086CFC">
      <w:pPr>
        <w:spacing w:after="240"/>
      </w:pPr>
      <w:r>
        <w:t>Subregulation 492(2) specifies the information that the application must include</w:t>
      </w:r>
      <w:r w:rsidR="006355DD">
        <w:t xml:space="preserve">, </w:t>
      </w:r>
      <w:r w:rsidR="0031396E">
        <w:t xml:space="preserve">for either </w:t>
      </w:r>
      <w:r w:rsidR="006355DD">
        <w:t>a Class A or Class B asbestos removal licence.</w:t>
      </w:r>
    </w:p>
    <w:p w:rsidR="00086CFC" w:rsidRDefault="00086CFC" w:rsidP="00086CFC">
      <w:pPr>
        <w:spacing w:after="240"/>
      </w:pPr>
      <w:r>
        <w:t>Subregulation 492(3) provides that the application must be accompanied by the relevant fee</w:t>
      </w:r>
      <w:r w:rsidR="00B0512E">
        <w:t xml:space="preserve"> (if any)</w:t>
      </w:r>
      <w:r w:rsidR="007F348F">
        <w:t>, as prescribed</w:t>
      </w:r>
      <w:r>
        <w:t xml:space="preserve"> in Schedule 2 of the WHS Regulations (see </w:t>
      </w:r>
      <w:r w:rsidRPr="007F2AB8">
        <w:t>item 4</w:t>
      </w:r>
      <w:r>
        <w:t>).</w:t>
      </w:r>
    </w:p>
    <w:p w:rsidR="00086CFC" w:rsidRDefault="00086CFC" w:rsidP="00086CFC">
      <w:pPr>
        <w:spacing w:after="240"/>
      </w:pPr>
      <w:r>
        <w:rPr>
          <w:b/>
        </w:rPr>
        <w:t xml:space="preserve">Regulation 493 Content of application—Class </w:t>
      </w:r>
      <w:proofErr w:type="gramStart"/>
      <w:r>
        <w:rPr>
          <w:b/>
        </w:rPr>
        <w:t>A</w:t>
      </w:r>
      <w:proofErr w:type="gramEnd"/>
      <w:r>
        <w:rPr>
          <w:b/>
        </w:rPr>
        <w:t xml:space="preserve"> asbestos removal licence</w:t>
      </w:r>
    </w:p>
    <w:p w:rsidR="00086CFC" w:rsidRDefault="00086CFC" w:rsidP="00086CFC">
      <w:pPr>
        <w:spacing w:after="240"/>
      </w:pPr>
      <w:r>
        <w:t xml:space="preserve">Regulation 493 prescribes the </w:t>
      </w:r>
      <w:r w:rsidR="006355DD">
        <w:t xml:space="preserve">additional </w:t>
      </w:r>
      <w:r>
        <w:t xml:space="preserve">information that </w:t>
      </w:r>
      <w:r w:rsidR="006355DD">
        <w:t>must be included</w:t>
      </w:r>
      <w:r>
        <w:t xml:space="preserve"> in an application for a Class A asbestos removal licence.</w:t>
      </w:r>
    </w:p>
    <w:p w:rsidR="00086CFC" w:rsidRDefault="00086CFC" w:rsidP="00086CFC">
      <w:pPr>
        <w:spacing w:after="240"/>
      </w:pPr>
      <w:r>
        <w:rPr>
          <w:b/>
        </w:rPr>
        <w:t>Regulation 494 Content of application—Class B asbestos removal licence</w:t>
      </w:r>
    </w:p>
    <w:p w:rsidR="006355DD" w:rsidRDefault="00086CFC" w:rsidP="00086CFC">
      <w:pPr>
        <w:spacing w:after="240"/>
      </w:pPr>
      <w:r>
        <w:t xml:space="preserve">Regulation 494 </w:t>
      </w:r>
      <w:r w:rsidR="006355DD">
        <w:t>prescribes the additional information that must be included in an application for a Class B asbestos removal licence.</w:t>
      </w:r>
    </w:p>
    <w:p w:rsidR="00086CFC" w:rsidRDefault="006355DD" w:rsidP="00086CFC">
      <w:pPr>
        <w:spacing w:after="240"/>
      </w:pPr>
      <w:r w:rsidRPr="001F0414">
        <w:t>Regulation 495</w:t>
      </w:r>
      <w:r w:rsidR="00F25629" w:rsidRPr="001F0414">
        <w:t xml:space="preserve"> of the model provisions</w:t>
      </w:r>
      <w:r w:rsidRPr="001F0414">
        <w:t xml:space="preserve"> is deliberately omitted. In the model provisions, regulation 495 covers content requirements for asbestos assessor licence applications. No provision is made for</w:t>
      </w:r>
      <w:r w:rsidR="0031396E" w:rsidRPr="001F0414">
        <w:t xml:space="preserve"> the Commonwealth regulator to issue these kinds of licences.</w:t>
      </w:r>
    </w:p>
    <w:p w:rsidR="00086CFC" w:rsidRDefault="00086CFC" w:rsidP="00086CFC">
      <w:pPr>
        <w:spacing w:after="240"/>
      </w:pPr>
      <w:r>
        <w:rPr>
          <w:b/>
        </w:rPr>
        <w:t>Regulation 496 Additional information</w:t>
      </w:r>
    </w:p>
    <w:p w:rsidR="00086CFC" w:rsidRDefault="00086CFC" w:rsidP="00086CFC">
      <w:pPr>
        <w:spacing w:after="240"/>
      </w:pPr>
      <w:r>
        <w:t xml:space="preserve">Regulation 496 enables the regulator (Comcare) to </w:t>
      </w:r>
      <w:r w:rsidR="006355DD">
        <w:t>ask an applicant for more</w:t>
      </w:r>
      <w:r>
        <w:t xml:space="preserve"> information </w:t>
      </w:r>
      <w:r w:rsidR="006355DD">
        <w:t>to support their application</w:t>
      </w:r>
      <w:r w:rsidR="0031396E">
        <w:t xml:space="preserve">. </w:t>
      </w:r>
      <w:r>
        <w:t>Th</w:t>
      </w:r>
      <w:r w:rsidR="0031396E">
        <w:t>e</w:t>
      </w:r>
      <w:r>
        <w:t xml:space="preserve"> request must be </w:t>
      </w:r>
      <w:r w:rsidR="0031396E">
        <w:t>made</w:t>
      </w:r>
      <w:r>
        <w:t xml:space="preserve"> in writing and </w:t>
      </w:r>
      <w:r w:rsidR="0031396E">
        <w:t>give the applicant at least</w:t>
      </w:r>
      <w:r>
        <w:t xml:space="preserve"> 28 days </w:t>
      </w:r>
      <w:r w:rsidR="0031396E">
        <w:t>to provide the required information.</w:t>
      </w:r>
    </w:p>
    <w:p w:rsidR="00086CFC" w:rsidRDefault="00086CFC" w:rsidP="00086CFC">
      <w:pPr>
        <w:spacing w:after="240"/>
      </w:pPr>
      <w:r>
        <w:t xml:space="preserve">Subregulation 496(2) </w:t>
      </w:r>
      <w:r w:rsidR="0031396E">
        <w:t xml:space="preserve">deems the </w:t>
      </w:r>
      <w:r>
        <w:t xml:space="preserve">application to be withdrawn if </w:t>
      </w:r>
      <w:r w:rsidR="0031396E">
        <w:t>the additional information is not provided within the time allowed.</w:t>
      </w:r>
    </w:p>
    <w:p w:rsidR="00086CFC" w:rsidRDefault="00086CFC" w:rsidP="00086CFC">
      <w:pPr>
        <w:spacing w:after="240"/>
        <w:rPr>
          <w:b/>
        </w:rPr>
      </w:pPr>
      <w:r>
        <w:rPr>
          <w:b/>
        </w:rPr>
        <w:t>Regulation 497 Decision on application</w:t>
      </w:r>
    </w:p>
    <w:p w:rsidR="00086CFC" w:rsidRDefault="00086CFC" w:rsidP="00086CFC">
      <w:pPr>
        <w:spacing w:after="240"/>
      </w:pPr>
      <w:r>
        <w:t xml:space="preserve">Regulation 497 </w:t>
      </w:r>
      <w:r w:rsidR="0031396E">
        <w:t xml:space="preserve">requires Comcare to issue an asbestos removal licence if it </w:t>
      </w:r>
      <w:r w:rsidR="005B3060">
        <w:t xml:space="preserve">is </w:t>
      </w:r>
      <w:r w:rsidR="0031396E">
        <w:t xml:space="preserve">satisfied </w:t>
      </w:r>
      <w:r w:rsidR="005B3060">
        <w:t>the requirements in subregulation 497(2) are met.</w:t>
      </w:r>
      <w:r w:rsidR="005B3060" w:rsidDel="0031396E">
        <w:t xml:space="preserve"> </w:t>
      </w:r>
      <w:r w:rsidR="005B3060">
        <w:t>If not satisfied, the application must be refused.</w:t>
      </w:r>
    </w:p>
    <w:p w:rsidR="005B3060" w:rsidRDefault="005B3060" w:rsidP="00086CFC">
      <w:pPr>
        <w:spacing w:after="240"/>
      </w:pPr>
      <w:r>
        <w:t>Subregulation 497(3) sets out additional grounds for refusing an application.</w:t>
      </w:r>
    </w:p>
    <w:p w:rsidR="00086CFC" w:rsidRDefault="005B3060" w:rsidP="00086CFC">
      <w:pPr>
        <w:spacing w:after="240"/>
      </w:pPr>
      <w:r>
        <w:t xml:space="preserve">Subregulation 497(4) requires </w:t>
      </w:r>
      <w:r w:rsidR="00086CFC">
        <w:t xml:space="preserve">Comcare </w:t>
      </w:r>
      <w:r>
        <w:t>to</w:t>
      </w:r>
      <w:r w:rsidR="00086CFC">
        <w:t xml:space="preserve"> notify the applicant </w:t>
      </w:r>
      <w:r>
        <w:t xml:space="preserve">of its decision </w:t>
      </w:r>
      <w:r w:rsidR="00086CFC">
        <w:t>within 14 days</w:t>
      </w:r>
      <w:r>
        <w:t xml:space="preserve"> of the decision being made.</w:t>
      </w:r>
    </w:p>
    <w:p w:rsidR="00086CFC" w:rsidRDefault="00086CFC" w:rsidP="00086CFC">
      <w:pPr>
        <w:spacing w:after="240"/>
      </w:pPr>
      <w:r>
        <w:t>If Comcare does not make a decision within 120 days after receiving the applica</w:t>
      </w:r>
      <w:r w:rsidR="00701229">
        <w:t>tion</w:t>
      </w:r>
      <w:r>
        <w:t xml:space="preserve"> or additional information requested under new regulation 496, Comcare is taken to have refused</w:t>
      </w:r>
      <w:r w:rsidR="005B3060">
        <w:t xml:space="preserve"> the application.</w:t>
      </w:r>
    </w:p>
    <w:p w:rsidR="005B3060" w:rsidRDefault="005B3060" w:rsidP="005B3060">
      <w:pPr>
        <w:spacing w:after="240"/>
      </w:pPr>
      <w:r w:rsidRPr="001F0414">
        <w:t>A decision to refuse an application under regulation 497 is a reviewable decision (regulation 676).</w:t>
      </w:r>
    </w:p>
    <w:p w:rsidR="005B3060" w:rsidRDefault="005B3060" w:rsidP="00086CFC">
      <w:pPr>
        <w:spacing w:after="240"/>
      </w:pPr>
    </w:p>
    <w:p w:rsidR="00086CFC" w:rsidRDefault="00086CFC" w:rsidP="00086CFC">
      <w:pPr>
        <w:spacing w:after="240"/>
      </w:pPr>
      <w:r>
        <w:rPr>
          <w:b/>
        </w:rPr>
        <w:t>Regulation 498 Class A asbestos removal licence—regulator to be satisfied about additional matters</w:t>
      </w:r>
    </w:p>
    <w:p w:rsidR="00086CFC" w:rsidRDefault="00086CFC" w:rsidP="00086CFC">
      <w:pPr>
        <w:spacing w:after="240"/>
      </w:pPr>
      <w:r>
        <w:t xml:space="preserve">Regulation 498 sets out the additional matters Comcare must be satisfied about </w:t>
      </w:r>
      <w:r w:rsidR="009522FA">
        <w:t xml:space="preserve">before </w:t>
      </w:r>
      <w:r>
        <w:t>a Class</w:t>
      </w:r>
      <w:r w:rsidR="00701229">
        <w:t> </w:t>
      </w:r>
      <w:r>
        <w:t>A asbestos removal licence</w:t>
      </w:r>
      <w:r w:rsidR="009522FA">
        <w:t xml:space="preserve"> may be granted</w:t>
      </w:r>
      <w:r>
        <w:t>.</w:t>
      </w:r>
    </w:p>
    <w:p w:rsidR="009522FA" w:rsidRDefault="009522FA" w:rsidP="00086CFC">
      <w:pPr>
        <w:spacing w:after="240"/>
      </w:pPr>
      <w:r>
        <w:t>Paragraph 498(a) sets out age, qualification and experience requirements for supervisors named in relation to a Class A asbestos removal licence.</w:t>
      </w:r>
    </w:p>
    <w:p w:rsidR="009522FA" w:rsidRDefault="009522FA" w:rsidP="00086CFC">
      <w:pPr>
        <w:spacing w:after="240"/>
      </w:pPr>
      <w:r w:rsidRPr="001F0414">
        <w:t>Paragraph 498(b) sets out requirements for a ‘certified safety management system’, which is defined by regulation 4.</w:t>
      </w:r>
    </w:p>
    <w:p w:rsidR="00086CFC" w:rsidRDefault="00086CFC" w:rsidP="00086CFC">
      <w:pPr>
        <w:keepNext/>
        <w:spacing w:after="240"/>
      </w:pPr>
      <w:r>
        <w:rPr>
          <w:b/>
        </w:rPr>
        <w:t>Regulation 499 Class B asbestos removal licence—regulator to be satisfied about additional matters</w:t>
      </w:r>
    </w:p>
    <w:p w:rsidR="009522FA" w:rsidRDefault="00086CFC" w:rsidP="00086CFC">
      <w:pPr>
        <w:spacing w:after="240"/>
      </w:pPr>
      <w:r>
        <w:t xml:space="preserve">Regulation 499 sets out the additional matters Comcare must be satisfied about </w:t>
      </w:r>
      <w:r w:rsidR="009522FA">
        <w:t>before</w:t>
      </w:r>
      <w:r>
        <w:t xml:space="preserve"> a Class</w:t>
      </w:r>
      <w:r w:rsidR="009522FA">
        <w:t> </w:t>
      </w:r>
      <w:r>
        <w:t>B asbestos removal licence</w:t>
      </w:r>
      <w:r w:rsidR="009522FA">
        <w:t xml:space="preserve"> may be granted</w:t>
      </w:r>
      <w:r>
        <w:t>.</w:t>
      </w:r>
      <w:r w:rsidR="009522FA">
        <w:t xml:space="preserve"> It sets out age, qualification and experience requirements for supervisors named in relation to a Class B asbestos removal licence.</w:t>
      </w:r>
    </w:p>
    <w:p w:rsidR="00086CFC" w:rsidRDefault="00086CFC" w:rsidP="00086CFC">
      <w:pPr>
        <w:spacing w:after="240"/>
      </w:pPr>
      <w:r>
        <w:rPr>
          <w:b/>
        </w:rPr>
        <w:t>Regulation 500 Matters to be taken into account</w:t>
      </w:r>
    </w:p>
    <w:p w:rsidR="00DA73A8" w:rsidRDefault="00086CFC" w:rsidP="00086CFC">
      <w:pPr>
        <w:spacing w:after="240"/>
      </w:pPr>
      <w:r>
        <w:t xml:space="preserve">Regulation 500 </w:t>
      </w:r>
      <w:r w:rsidR="00DA73A8">
        <w:t>requires Comcare to take the applicant’s prior history into account in determining a licence application, as specified in the section. The legislative note makes it clear the provision is subject to the Commonwealth’s spent conviction</w:t>
      </w:r>
      <w:r w:rsidR="00953A22">
        <w:t>s</w:t>
      </w:r>
      <w:r w:rsidR="00DA73A8">
        <w:t xml:space="preserve"> scheme.</w:t>
      </w:r>
    </w:p>
    <w:p w:rsidR="00086CFC" w:rsidRDefault="00086CFC" w:rsidP="00086CFC">
      <w:pPr>
        <w:spacing w:after="240"/>
      </w:pPr>
      <w:r>
        <w:rPr>
          <w:b/>
        </w:rPr>
        <w:t>Regulation 501 Refusal to grant licence—process</w:t>
      </w:r>
    </w:p>
    <w:p w:rsidR="00086CFC" w:rsidRDefault="00086CFC" w:rsidP="00086CFC">
      <w:pPr>
        <w:spacing w:after="240"/>
      </w:pPr>
      <w:r>
        <w:t xml:space="preserve">Regulation 501 sets out </w:t>
      </w:r>
      <w:r w:rsidR="00DA73A8">
        <w:t>the process for refusing</w:t>
      </w:r>
      <w:r>
        <w:t xml:space="preserve"> a</w:t>
      </w:r>
      <w:r w:rsidR="00953A22">
        <w:t xml:space="preserve"> licence</w:t>
      </w:r>
      <w:r>
        <w:t xml:space="preserve"> application. A decision to refuse </w:t>
      </w:r>
      <w:r w:rsidR="00DA73A8">
        <w:t>a</w:t>
      </w:r>
      <w:r>
        <w:t xml:space="preserve"> licence </w:t>
      </w:r>
      <w:r w:rsidR="00DA73A8">
        <w:t xml:space="preserve">application </w:t>
      </w:r>
      <w:r>
        <w:t xml:space="preserve">is a reviewable decision </w:t>
      </w:r>
      <w:r w:rsidR="00953A22">
        <w:t>(</w:t>
      </w:r>
      <w:r>
        <w:t>regulation 676</w:t>
      </w:r>
      <w:r w:rsidR="00953A22">
        <w:t>)</w:t>
      </w:r>
      <w:r>
        <w:t>.</w:t>
      </w:r>
    </w:p>
    <w:p w:rsidR="00086CFC" w:rsidRDefault="00086CFC" w:rsidP="00086CFC">
      <w:pPr>
        <w:spacing w:after="240"/>
        <w:rPr>
          <w:b/>
        </w:rPr>
      </w:pPr>
      <w:r>
        <w:rPr>
          <w:b/>
        </w:rPr>
        <w:t>Regulation 502 Conditions of licence</w:t>
      </w:r>
    </w:p>
    <w:p w:rsidR="00086CFC" w:rsidRDefault="00086CFC" w:rsidP="00086CFC">
      <w:pPr>
        <w:spacing w:after="240"/>
      </w:pPr>
      <w:r>
        <w:t xml:space="preserve">Regulation 502 </w:t>
      </w:r>
      <w:r w:rsidR="00953A22">
        <w:t>empowers</w:t>
      </w:r>
      <w:r>
        <w:t xml:space="preserve"> Comcare to impose any condition</w:t>
      </w:r>
      <w:r w:rsidR="00953A22">
        <w:t xml:space="preserve"> on a licence</w:t>
      </w:r>
      <w:r>
        <w:t xml:space="preserve">, including </w:t>
      </w:r>
      <w:r w:rsidR="00953A22">
        <w:t xml:space="preserve">those </w:t>
      </w:r>
      <w:r>
        <w:t>listed</w:t>
      </w:r>
      <w:r w:rsidR="00953A22">
        <w:t xml:space="preserve"> in subregulation 502(2).</w:t>
      </w:r>
    </w:p>
    <w:p w:rsidR="00953A22" w:rsidRDefault="00953A22" w:rsidP="00086CFC">
      <w:pPr>
        <w:spacing w:after="240"/>
      </w:pPr>
      <w:r>
        <w:t>The legislative note</w:t>
      </w:r>
      <w:r w:rsidR="00086CFC">
        <w:t xml:space="preserve"> </w:t>
      </w:r>
      <w:r>
        <w:t xml:space="preserve">refers </w:t>
      </w:r>
      <w:r w:rsidR="00F25629">
        <w:t xml:space="preserve">to </w:t>
      </w:r>
      <w:r w:rsidR="00086CFC">
        <w:t>section 45 of the Act</w:t>
      </w:r>
      <w:r>
        <w:t>, which establishes the duty to meet licensing requirements, including any conditions attaching to the licence.</w:t>
      </w:r>
    </w:p>
    <w:p w:rsidR="00086CFC" w:rsidRDefault="00953A22" w:rsidP="00086CFC">
      <w:pPr>
        <w:spacing w:after="240"/>
      </w:pPr>
      <w:r>
        <w:t>A</w:t>
      </w:r>
      <w:r w:rsidR="00086CFC">
        <w:t xml:space="preserve"> decision to impose a condition on a licence is a reviewable decision (regulation 676).</w:t>
      </w:r>
    </w:p>
    <w:p w:rsidR="00086CFC" w:rsidRDefault="00086CFC" w:rsidP="00086CFC">
      <w:pPr>
        <w:spacing w:after="240"/>
      </w:pPr>
      <w:r>
        <w:rPr>
          <w:b/>
        </w:rPr>
        <w:t>Regulation 503</w:t>
      </w:r>
      <w:r w:rsidR="00953A22">
        <w:rPr>
          <w:b/>
        </w:rPr>
        <w:t xml:space="preserve"> Duration of licence</w:t>
      </w:r>
    </w:p>
    <w:p w:rsidR="00086CFC" w:rsidRDefault="00086CFC" w:rsidP="00086CFC">
      <w:pPr>
        <w:spacing w:after="240"/>
      </w:pPr>
      <w:r>
        <w:t>Regulation 503 provides that an asbestos removal licence takes effect on the day it is granted and, unless cancelled earlier, expires five years after that day.</w:t>
      </w:r>
    </w:p>
    <w:p w:rsidR="00086CFC" w:rsidRDefault="00086CFC" w:rsidP="00086CFC">
      <w:pPr>
        <w:spacing w:after="240"/>
        <w:rPr>
          <w:b/>
        </w:rPr>
      </w:pPr>
      <w:r>
        <w:rPr>
          <w:b/>
        </w:rPr>
        <w:t>Regulation 504 Licence document</w:t>
      </w:r>
    </w:p>
    <w:p w:rsidR="00953A22" w:rsidRDefault="00086CFC" w:rsidP="00086CFC">
      <w:pPr>
        <w:spacing w:after="240"/>
      </w:pPr>
      <w:r>
        <w:t xml:space="preserve">Regulation 504 </w:t>
      </w:r>
      <w:r w:rsidR="00953A22">
        <w:t>requires Comcare to issue a licence document in accordance with the section, if it grants a licence application.</w:t>
      </w:r>
    </w:p>
    <w:p w:rsidR="00086CFC" w:rsidRPr="00E6078F" w:rsidRDefault="00086CFC" w:rsidP="00FB0880">
      <w:pPr>
        <w:keepNext/>
        <w:keepLines/>
        <w:spacing w:after="240"/>
        <w:rPr>
          <w:b/>
        </w:rPr>
      </w:pPr>
      <w:r w:rsidRPr="00E6078F">
        <w:rPr>
          <w:b/>
        </w:rPr>
        <w:lastRenderedPageBreak/>
        <w:t>Regulation 505 Licence document available</w:t>
      </w:r>
    </w:p>
    <w:p w:rsidR="002A1854" w:rsidRDefault="00086CFC" w:rsidP="00FB0880">
      <w:pPr>
        <w:keepNext/>
        <w:keepLines/>
        <w:spacing w:after="240"/>
      </w:pPr>
      <w:r>
        <w:t>Regulation 505 requires a licence holder to keep the licence document available for inspection under the WHS Act</w:t>
      </w:r>
      <w:r w:rsidR="002A1854">
        <w:t>. Subregulation 505(2) excuses the licence holder from complying with this requirement in the prescribed circumstances.</w:t>
      </w:r>
    </w:p>
    <w:p w:rsidR="00086CFC" w:rsidRDefault="00086CFC" w:rsidP="00086CFC">
      <w:pPr>
        <w:spacing w:after="240"/>
      </w:pPr>
      <w:r>
        <w:t xml:space="preserve">Failure to comply with this provision can result in a </w:t>
      </w:r>
      <w:r w:rsidR="002A1854">
        <w:t xml:space="preserve">maximum </w:t>
      </w:r>
      <w:r>
        <w:t>penalty of $1,250 for an individual or $6,000 for a body corporate.</w:t>
      </w:r>
    </w:p>
    <w:p w:rsidR="00086CFC" w:rsidRDefault="00086CFC" w:rsidP="00086CFC">
      <w:pPr>
        <w:spacing w:after="240"/>
        <w:rPr>
          <w:b/>
        </w:rPr>
      </w:pPr>
      <w:r>
        <w:rPr>
          <w:b/>
        </w:rPr>
        <w:t>Division 4—Amendment of licence and licence document</w:t>
      </w:r>
    </w:p>
    <w:p w:rsidR="00086CFC" w:rsidRDefault="00086CFC" w:rsidP="00086CFC">
      <w:pPr>
        <w:spacing w:after="240"/>
      </w:pPr>
      <w:r>
        <w:rPr>
          <w:b/>
        </w:rPr>
        <w:t>Regulation 506 Changes to information</w:t>
      </w:r>
    </w:p>
    <w:p w:rsidR="00086CFC" w:rsidRDefault="00086CFC" w:rsidP="00086CFC">
      <w:pPr>
        <w:spacing w:after="240"/>
      </w:pPr>
      <w:r>
        <w:t>Regulation 506 requires licence holder</w:t>
      </w:r>
      <w:r w:rsidR="00A77CC2">
        <w:t>s</w:t>
      </w:r>
      <w:r>
        <w:t xml:space="preserve"> to notify Comcare in writing about a</w:t>
      </w:r>
      <w:r w:rsidR="00A77CC2">
        <w:t>ny</w:t>
      </w:r>
      <w:r>
        <w:t xml:space="preserve"> change to any </w:t>
      </w:r>
      <w:r w:rsidR="00A77CC2">
        <w:t xml:space="preserve">material particular in any </w:t>
      </w:r>
      <w:r>
        <w:t>information given to Comcare within 14 days of becoming aware of the change.</w:t>
      </w:r>
    </w:p>
    <w:p w:rsidR="00086CFC" w:rsidRDefault="00086CFC" w:rsidP="00086CFC">
      <w:pPr>
        <w:spacing w:after="240"/>
      </w:pPr>
      <w:r>
        <w:t xml:space="preserve">Failure to comply with this provision can result in a </w:t>
      </w:r>
      <w:r w:rsidR="00A77CC2">
        <w:t xml:space="preserve">maximum </w:t>
      </w:r>
      <w:r>
        <w:t>penalty of $1,250 for an individual or $6,000 for a body corporate.</w:t>
      </w:r>
    </w:p>
    <w:p w:rsidR="00086CFC" w:rsidRDefault="00086CFC" w:rsidP="00086CFC">
      <w:pPr>
        <w:spacing w:after="240"/>
        <w:rPr>
          <w:b/>
        </w:rPr>
      </w:pPr>
      <w:r>
        <w:rPr>
          <w:b/>
        </w:rPr>
        <w:t>Regulation 507 Change to nominated supervisor</w:t>
      </w:r>
    </w:p>
    <w:p w:rsidR="00086CFC" w:rsidRDefault="00086CFC" w:rsidP="00086CFC">
      <w:pPr>
        <w:spacing w:after="240"/>
      </w:pPr>
      <w:r>
        <w:t xml:space="preserve">Regulation 507 sets out the </w:t>
      </w:r>
      <w:r w:rsidR="00A77CC2">
        <w:t>process for nominating a new supervisor, or removing a nominated supervisor, for purposes of an asbestos removal licence.</w:t>
      </w:r>
    </w:p>
    <w:p w:rsidR="00086CFC" w:rsidRDefault="00086CFC" w:rsidP="00086CFC">
      <w:pPr>
        <w:spacing w:after="240"/>
      </w:pPr>
      <w:r>
        <w:t xml:space="preserve">Subregulation 507(2) provides that </w:t>
      </w:r>
      <w:r w:rsidR="00EB5E2A">
        <w:t xml:space="preserve">the nomination of a new </w:t>
      </w:r>
      <w:r w:rsidR="00A77CC2">
        <w:t xml:space="preserve">supervisor </w:t>
      </w:r>
      <w:r w:rsidR="00EB5E2A">
        <w:t xml:space="preserve">does not take effect until approved by </w:t>
      </w:r>
      <w:r>
        <w:t>Comcare.</w:t>
      </w:r>
    </w:p>
    <w:p w:rsidR="00086CFC" w:rsidRDefault="00086CFC" w:rsidP="00086CFC">
      <w:pPr>
        <w:spacing w:after="240"/>
      </w:pPr>
      <w:r>
        <w:t xml:space="preserve">Failure to comply with this provision can result in a </w:t>
      </w:r>
      <w:r w:rsidR="00EB5E2A">
        <w:t xml:space="preserve">maximum </w:t>
      </w:r>
      <w:r>
        <w:t>penalty of $1,250 for an individual or $6,000 for a body corporate.</w:t>
      </w:r>
    </w:p>
    <w:p w:rsidR="00086CFC" w:rsidRDefault="00086CFC" w:rsidP="00086CFC">
      <w:pPr>
        <w:spacing w:after="240"/>
        <w:rPr>
          <w:b/>
        </w:rPr>
      </w:pPr>
      <w:r>
        <w:rPr>
          <w:b/>
        </w:rPr>
        <w:t>Regulation 508 Amendment imposed by regulator</w:t>
      </w:r>
    </w:p>
    <w:p w:rsidR="00086CFC" w:rsidRDefault="00086CFC" w:rsidP="00086CFC">
      <w:pPr>
        <w:spacing w:after="240"/>
      </w:pPr>
      <w:r>
        <w:t>Regulation 508 enables Comcare to amend an asbestos removal licence on its own initiative</w:t>
      </w:r>
      <w:r w:rsidR="00EC4A7E">
        <w:t>, for example by varying or deleting a licence condition or imposing a new condition</w:t>
      </w:r>
      <w:r>
        <w:t>.</w:t>
      </w:r>
    </w:p>
    <w:p w:rsidR="00EC4A7E" w:rsidRDefault="00EC4A7E" w:rsidP="00086CFC">
      <w:pPr>
        <w:spacing w:after="240"/>
      </w:pPr>
      <w:r>
        <w:t>Subregulations 508(2) and (3) set out the pre-requisites to exercising this power.</w:t>
      </w:r>
    </w:p>
    <w:p w:rsidR="00086CFC" w:rsidRDefault="00086CFC" w:rsidP="00086CFC">
      <w:pPr>
        <w:spacing w:after="240"/>
      </w:pPr>
      <w:r>
        <w:t xml:space="preserve">A decision to amend a licence is a reviewable decision </w:t>
      </w:r>
      <w:r w:rsidR="00EC4A7E">
        <w:t>(</w:t>
      </w:r>
      <w:r>
        <w:t>regulation 676</w:t>
      </w:r>
      <w:r w:rsidR="00EC4A7E">
        <w:t>)</w:t>
      </w:r>
      <w:r>
        <w:t>.</w:t>
      </w:r>
    </w:p>
    <w:p w:rsidR="00086CFC" w:rsidRDefault="00086CFC" w:rsidP="00086CFC">
      <w:pPr>
        <w:spacing w:after="240"/>
        <w:rPr>
          <w:b/>
        </w:rPr>
      </w:pPr>
      <w:r>
        <w:rPr>
          <w:b/>
        </w:rPr>
        <w:t>Regulation 509 Amendment on application by licence holder</w:t>
      </w:r>
    </w:p>
    <w:p w:rsidR="00086CFC" w:rsidRDefault="00086CFC" w:rsidP="00086CFC">
      <w:pPr>
        <w:spacing w:after="240"/>
      </w:pPr>
      <w:r>
        <w:t xml:space="preserve">Regulation 509 </w:t>
      </w:r>
      <w:r w:rsidR="00EC4A7E">
        <w:t>enables</w:t>
      </w:r>
      <w:r>
        <w:t xml:space="preserve"> Comcare to amend an asbestos removal licence on request of the licence holder.</w:t>
      </w:r>
      <w:r w:rsidR="001F4E48">
        <w:t xml:space="preserve"> Subregulations 509(2) to (5) set out the process for refusing or granting a request.</w:t>
      </w:r>
    </w:p>
    <w:p w:rsidR="001F4E48" w:rsidRDefault="001F4E48" w:rsidP="001F4E48">
      <w:pPr>
        <w:spacing w:after="240"/>
      </w:pPr>
      <w:r>
        <w:t>A decision to refuse an application to amend a licence is a reviewable decision (regulation 676).</w:t>
      </w:r>
    </w:p>
    <w:p w:rsidR="00086CFC" w:rsidRDefault="00086CFC" w:rsidP="00086CFC">
      <w:pPr>
        <w:spacing w:after="240"/>
      </w:pPr>
      <w:r>
        <w:rPr>
          <w:b/>
        </w:rPr>
        <w:t>Regulation 510 Minor corrections to licence</w:t>
      </w:r>
    </w:p>
    <w:p w:rsidR="00086CFC" w:rsidRDefault="00086CFC" w:rsidP="00086CFC">
      <w:pPr>
        <w:spacing w:after="240"/>
      </w:pPr>
      <w:r>
        <w:t>Regulation 510 allows Comcare to make minor amendments to a</w:t>
      </w:r>
      <w:r w:rsidR="001F4E48">
        <w:t>n asbestos removal</w:t>
      </w:r>
      <w:r>
        <w:t xml:space="preserve"> licence</w:t>
      </w:r>
      <w:r w:rsidR="001F4E48">
        <w:t>, like</w:t>
      </w:r>
      <w:r>
        <w:t xml:space="preserve"> correcting an obvious error or </w:t>
      </w:r>
      <w:r w:rsidR="001F4E48">
        <w:t>updating an</w:t>
      </w:r>
      <w:r>
        <w:t xml:space="preserve"> address.</w:t>
      </w:r>
    </w:p>
    <w:p w:rsidR="00086CFC" w:rsidRDefault="00086CFC" w:rsidP="00086CFC">
      <w:pPr>
        <w:spacing w:after="240"/>
      </w:pPr>
      <w:r>
        <w:rPr>
          <w:b/>
        </w:rPr>
        <w:lastRenderedPageBreak/>
        <w:t>Regulation 511 Regulator to give amended licence to the holder</w:t>
      </w:r>
    </w:p>
    <w:p w:rsidR="00086CFC" w:rsidRDefault="00086CFC" w:rsidP="00086CFC">
      <w:pPr>
        <w:spacing w:after="240"/>
      </w:pPr>
      <w:r>
        <w:t xml:space="preserve">Regulation 511 </w:t>
      </w:r>
      <w:r w:rsidR="00B303DB">
        <w:t xml:space="preserve">applies if Comcare amends a licence and considers the licence document should be up-dated to reflect the change. In these circumstances </w:t>
      </w:r>
      <w:r>
        <w:t xml:space="preserve">Comcare </w:t>
      </w:r>
      <w:r w:rsidR="00B303DB">
        <w:t>must provide the updated licence document to the licence holder within 14 days of deciding to make the change.</w:t>
      </w:r>
    </w:p>
    <w:p w:rsidR="00086CFC" w:rsidRDefault="00086CFC" w:rsidP="00086CFC">
      <w:pPr>
        <w:spacing w:after="240"/>
      </w:pPr>
      <w:r>
        <w:rPr>
          <w:b/>
        </w:rPr>
        <w:t>Regulation 512 Licence holder to return licence</w:t>
      </w:r>
    </w:p>
    <w:p w:rsidR="00B303DB" w:rsidRDefault="00086CFC" w:rsidP="00086CFC">
      <w:pPr>
        <w:spacing w:after="240"/>
      </w:pPr>
      <w:r>
        <w:t xml:space="preserve">Regulation 512 </w:t>
      </w:r>
      <w:r w:rsidR="00B303DB">
        <w:t>enables Comcare to recall a licence document in order to make changes to the document, following an amendment.</w:t>
      </w:r>
    </w:p>
    <w:p w:rsidR="00086CFC" w:rsidRDefault="00086CFC" w:rsidP="00086CFC">
      <w:pPr>
        <w:spacing w:after="240"/>
      </w:pPr>
      <w:r>
        <w:t xml:space="preserve">Failure to comply with </w:t>
      </w:r>
      <w:r w:rsidR="00B303DB">
        <w:t>a request to return the licence document within the time specified</w:t>
      </w:r>
      <w:r>
        <w:t xml:space="preserve"> can result in a </w:t>
      </w:r>
      <w:r w:rsidR="00B303DB">
        <w:t xml:space="preserve">maximum </w:t>
      </w:r>
      <w:r>
        <w:t>penalty of $1,250 for an individual or $6,000 for a body corporate.</w:t>
      </w:r>
    </w:p>
    <w:p w:rsidR="00086CFC" w:rsidRDefault="00086CFC" w:rsidP="00086CFC">
      <w:pPr>
        <w:spacing w:after="240"/>
      </w:pPr>
      <w:r>
        <w:rPr>
          <w:b/>
        </w:rPr>
        <w:t>Regulation 513 Replacement licence document</w:t>
      </w:r>
    </w:p>
    <w:p w:rsidR="00086CFC" w:rsidRDefault="00086CFC" w:rsidP="00086CFC">
      <w:pPr>
        <w:spacing w:after="240"/>
      </w:pPr>
      <w:r>
        <w:t xml:space="preserve">Regulation 513 </w:t>
      </w:r>
      <w:r w:rsidR="00CC7590">
        <w:t xml:space="preserve">requires the licence holder to notify Comcare as soon as practicable if the licence document is lost, stolen or destroyed. It also </w:t>
      </w:r>
      <w:r>
        <w:t xml:space="preserve">sets out </w:t>
      </w:r>
      <w:r w:rsidR="00CC7590">
        <w:t xml:space="preserve">the </w:t>
      </w:r>
      <w:r w:rsidR="002A1FE5">
        <w:t xml:space="preserve">process for replacing </w:t>
      </w:r>
      <w:r w:rsidR="00CC7590">
        <w:t>the</w:t>
      </w:r>
      <w:r w:rsidR="002A1FE5">
        <w:t xml:space="preserve"> licence document</w:t>
      </w:r>
      <w:r>
        <w:t>.</w:t>
      </w:r>
    </w:p>
    <w:p w:rsidR="00086CFC" w:rsidRDefault="00086CFC" w:rsidP="00086CFC">
      <w:pPr>
        <w:spacing w:after="240"/>
        <w:ind w:right="-188"/>
      </w:pPr>
      <w:r>
        <w:t>A refusal to issue a replacement licence document is a reviewable decision (regulation 676).</w:t>
      </w:r>
    </w:p>
    <w:p w:rsidR="00086CFC" w:rsidRDefault="00086CFC" w:rsidP="00086CFC">
      <w:pPr>
        <w:spacing w:after="240"/>
        <w:rPr>
          <w:b/>
        </w:rPr>
      </w:pPr>
      <w:r>
        <w:rPr>
          <w:b/>
        </w:rPr>
        <w:t>Regulation 514 Voluntary surrender of licence</w:t>
      </w:r>
    </w:p>
    <w:p w:rsidR="00086CFC" w:rsidRDefault="00086CFC" w:rsidP="00086CFC">
      <w:pPr>
        <w:spacing w:after="240"/>
      </w:pPr>
      <w:r>
        <w:t>Regulation 514 provides that a licence holder may voluntarily surrender the licence document to Comcare.</w:t>
      </w:r>
      <w:r w:rsidR="00CC7590">
        <w:t xml:space="preserve"> </w:t>
      </w:r>
      <w:r>
        <w:t>Subregulation 514(2) stipulates that the licence expires on the surrender of the licence document.</w:t>
      </w:r>
    </w:p>
    <w:p w:rsidR="00086CFC" w:rsidRDefault="00086CFC" w:rsidP="00086CFC">
      <w:pPr>
        <w:spacing w:after="240"/>
        <w:rPr>
          <w:b/>
        </w:rPr>
      </w:pPr>
      <w:r>
        <w:rPr>
          <w:b/>
        </w:rPr>
        <w:t>Division 5—Renewal of licence</w:t>
      </w:r>
    </w:p>
    <w:p w:rsidR="00086CFC" w:rsidRDefault="00086CFC" w:rsidP="00086CFC">
      <w:pPr>
        <w:spacing w:after="240"/>
        <w:rPr>
          <w:b/>
        </w:rPr>
      </w:pPr>
      <w:r>
        <w:rPr>
          <w:b/>
        </w:rPr>
        <w:t>Regulation 515 Regulator may renew licence</w:t>
      </w:r>
    </w:p>
    <w:p w:rsidR="00086CFC" w:rsidRDefault="00086CFC" w:rsidP="00086CFC">
      <w:pPr>
        <w:spacing w:after="240"/>
      </w:pPr>
      <w:r>
        <w:t>Regulation 515 enables Comcare to renew an asbestos removal licence on application by the licence holder.</w:t>
      </w:r>
      <w:r w:rsidR="0085513F">
        <w:t xml:space="preserve"> The application </w:t>
      </w:r>
      <w:r w:rsidR="00000600">
        <w:t xml:space="preserve">must be made before the licence </w:t>
      </w:r>
      <w:r w:rsidR="0085513F">
        <w:t>expires</w:t>
      </w:r>
      <w:r w:rsidR="002C7273">
        <w:t> </w:t>
      </w:r>
      <w:r w:rsidR="0085513F">
        <w:t>(subregulation 516(4)).</w:t>
      </w:r>
    </w:p>
    <w:p w:rsidR="00086CFC" w:rsidRDefault="00086CFC" w:rsidP="00086CFC">
      <w:pPr>
        <w:spacing w:after="240"/>
      </w:pPr>
      <w:r>
        <w:rPr>
          <w:b/>
        </w:rPr>
        <w:t>Regulation 516 Application for renewal</w:t>
      </w:r>
    </w:p>
    <w:p w:rsidR="00086CFC" w:rsidRDefault="00086CFC" w:rsidP="00086CFC">
      <w:pPr>
        <w:spacing w:after="240"/>
      </w:pPr>
      <w:r>
        <w:t>Regulation 516 sets out the requirements for renewing an asbestos removal licence.</w:t>
      </w:r>
    </w:p>
    <w:p w:rsidR="00086CFC" w:rsidRDefault="00086CFC" w:rsidP="00086CFC">
      <w:pPr>
        <w:keepNext/>
        <w:spacing w:after="240"/>
      </w:pPr>
      <w:r>
        <w:rPr>
          <w:b/>
        </w:rPr>
        <w:t>Regulation 517 Provisions relating to renewal of licence</w:t>
      </w:r>
    </w:p>
    <w:p w:rsidR="00086CFC" w:rsidRDefault="008504AB" w:rsidP="00086CFC">
      <w:pPr>
        <w:spacing w:after="240"/>
      </w:pPr>
      <w:r>
        <w:t>Regulation 517 extends the rules for applying for an asbestos removal licence to renewing a licence, with appropriate modifications. The rules prevent an asbestos removal licence holder from holding more than one licence (i.e. by obtaining another one from another jurisdiction).</w:t>
      </w:r>
    </w:p>
    <w:p w:rsidR="00B0512E" w:rsidRDefault="00B0512E" w:rsidP="00086CFC">
      <w:pPr>
        <w:spacing w:after="240"/>
      </w:pPr>
      <w:r>
        <w:t xml:space="preserve">Subregulation 517(4) ensures the </w:t>
      </w:r>
      <w:r w:rsidR="00D92B44">
        <w:t xml:space="preserve">old </w:t>
      </w:r>
      <w:r>
        <w:t>licence does not expire while a decision on the application is being made.</w:t>
      </w:r>
    </w:p>
    <w:p w:rsidR="00B0512E" w:rsidRDefault="00B0512E" w:rsidP="00086CFC">
      <w:pPr>
        <w:spacing w:after="240"/>
      </w:pPr>
      <w:r>
        <w:t>A refusal to renew a licence is a reviewable decision (regulation 676).</w:t>
      </w:r>
    </w:p>
    <w:p w:rsidR="00086CFC" w:rsidRDefault="00086CFC" w:rsidP="00086CFC">
      <w:pPr>
        <w:spacing w:after="240"/>
      </w:pPr>
      <w:r>
        <w:rPr>
          <w:b/>
        </w:rPr>
        <w:lastRenderedPageBreak/>
        <w:t>Regulation 518 Renewal of asbestos removal licence—regulator to be satisfied about certain matters</w:t>
      </w:r>
    </w:p>
    <w:p w:rsidR="00086CFC" w:rsidRDefault="00086CFC" w:rsidP="00086CFC">
      <w:pPr>
        <w:spacing w:after="240"/>
      </w:pPr>
      <w:r>
        <w:t xml:space="preserve">Regulation 518 requires Comcare to be satisfied about </w:t>
      </w:r>
      <w:r w:rsidR="00D92B44">
        <w:t>additional matters before an asbestos removal licence may be renewed, relating to supervisors’ qualifications and experience. Comcare must also be satisfied that the applicant carried out the relevant licensed asbestos removal work during the term of the licence.</w:t>
      </w:r>
    </w:p>
    <w:p w:rsidR="00086CFC" w:rsidRDefault="00086CFC" w:rsidP="00086CFC">
      <w:pPr>
        <w:spacing w:after="240"/>
      </w:pPr>
      <w:r>
        <w:rPr>
          <w:b/>
        </w:rPr>
        <w:t>Regulation 519 Status of licence during review</w:t>
      </w:r>
    </w:p>
    <w:p w:rsidR="00D92B44" w:rsidRDefault="00086CFC" w:rsidP="00086CFC">
      <w:pPr>
        <w:spacing w:after="240"/>
      </w:pPr>
      <w:r>
        <w:t xml:space="preserve">Regulation 519 </w:t>
      </w:r>
      <w:r w:rsidR="00D92B44">
        <w:t xml:space="preserve">applies if Comcare gives the licence holder notice of its decision to refuse to renew the licence. It </w:t>
      </w:r>
      <w:r w:rsidR="00F41239">
        <w:t>allo</w:t>
      </w:r>
      <w:r w:rsidR="00770DB9">
        <w:t>ws for internal review to run its course</w:t>
      </w:r>
      <w:r w:rsidR="00F41239">
        <w:t>, by keeping the licence on foot (even if it notionally expires) until the matter is finally resolved</w:t>
      </w:r>
      <w:r w:rsidR="00701229">
        <w:t>,</w:t>
      </w:r>
      <w:r w:rsidR="00F41239">
        <w:t xml:space="preserve"> as set out in the section.</w:t>
      </w:r>
    </w:p>
    <w:p w:rsidR="00086CFC" w:rsidRDefault="00086CFC" w:rsidP="00086CFC">
      <w:pPr>
        <w:spacing w:after="240"/>
        <w:rPr>
          <w:b/>
        </w:rPr>
      </w:pPr>
      <w:r>
        <w:rPr>
          <w:b/>
        </w:rPr>
        <w:t>Regulation 520 Suspension or cancellation of licence</w:t>
      </w:r>
    </w:p>
    <w:p w:rsidR="00770DB9" w:rsidRDefault="00086CFC" w:rsidP="00086CFC">
      <w:pPr>
        <w:spacing w:after="240"/>
      </w:pPr>
      <w:r>
        <w:t>Regulation 520 sets out the grounds on which Comcare may suspend or cancel an asbestos removal licence.</w:t>
      </w:r>
    </w:p>
    <w:p w:rsidR="00770DB9" w:rsidRDefault="00770DB9" w:rsidP="00086CFC">
      <w:pPr>
        <w:spacing w:after="240"/>
      </w:pPr>
      <w:r>
        <w:t xml:space="preserve">Subregulation 520(2) clarifies </w:t>
      </w:r>
      <w:r w:rsidR="00DC0717">
        <w:t xml:space="preserve">that </w:t>
      </w:r>
      <w:r>
        <w:t>a licence may be suspended or cancelled if the licence holder does not have a qualified nominated asbestos removal supervisor.</w:t>
      </w:r>
    </w:p>
    <w:p w:rsidR="00F37AFC" w:rsidRDefault="00F37AFC" w:rsidP="00086CFC">
      <w:pPr>
        <w:spacing w:after="240"/>
      </w:pPr>
      <w:r>
        <w:t>Subregulation 520(4) applies if Comcare suspends or cancels a licence. It allows Comcare to disqualify the licence holder from applying for another licence of the same or similar type.</w:t>
      </w:r>
    </w:p>
    <w:p w:rsidR="00086CFC" w:rsidRPr="00211FCF" w:rsidRDefault="00086CFC" w:rsidP="00086CFC">
      <w:pPr>
        <w:spacing w:after="240"/>
      </w:pPr>
      <w:r>
        <w:t xml:space="preserve">A decision to suspend or cancel a licence or disqualify the licence holder from applying for a further licence is a reviewable decision </w:t>
      </w:r>
      <w:r w:rsidR="00F37AFC">
        <w:t>(</w:t>
      </w:r>
      <w:r>
        <w:t>regulation 676</w:t>
      </w:r>
      <w:r w:rsidR="00F37AFC">
        <w:t>)</w:t>
      </w:r>
      <w:r>
        <w:t>.</w:t>
      </w:r>
    </w:p>
    <w:p w:rsidR="00086CFC" w:rsidRDefault="00086CFC" w:rsidP="00086CFC">
      <w:pPr>
        <w:spacing w:after="240"/>
      </w:pPr>
      <w:r>
        <w:rPr>
          <w:b/>
        </w:rPr>
        <w:t>Regulation 521 Matters taken into account</w:t>
      </w:r>
    </w:p>
    <w:p w:rsidR="00086CFC" w:rsidRDefault="00086CFC" w:rsidP="00086CFC">
      <w:pPr>
        <w:spacing w:after="240"/>
      </w:pPr>
      <w:r>
        <w:t>Regulation 521 specifies the matters that Comcare must take into account</w:t>
      </w:r>
      <w:r w:rsidR="00F37AFC">
        <w:t xml:space="preserve"> in making a decision under regulation 520</w:t>
      </w:r>
      <w:r>
        <w:t>, including any submissions made by the licence holder and any advice received from a corresponding regulator.</w:t>
      </w:r>
    </w:p>
    <w:p w:rsidR="00F37AFC" w:rsidRDefault="008504AB" w:rsidP="00F37AFC">
      <w:pPr>
        <w:spacing w:after="240"/>
      </w:pPr>
      <w:r>
        <w:t xml:space="preserve">Subregulations 521(2) and (3) require Comcare to take the applicant’s prior history into account in making the decision. </w:t>
      </w:r>
      <w:r w:rsidR="00F37AFC">
        <w:t>The legislative note makes it clear the provision is subject to the Commonwealth’s spent convictions scheme.</w:t>
      </w:r>
    </w:p>
    <w:p w:rsidR="00086CFC" w:rsidRDefault="00086CFC" w:rsidP="00086CFC">
      <w:pPr>
        <w:spacing w:after="240"/>
        <w:rPr>
          <w:b/>
        </w:rPr>
      </w:pPr>
      <w:r>
        <w:rPr>
          <w:b/>
        </w:rPr>
        <w:t>Regulation 522 Notice to and submissions by licence holder</w:t>
      </w:r>
    </w:p>
    <w:p w:rsidR="00086CFC" w:rsidRDefault="00086CFC" w:rsidP="00086CFC">
      <w:pPr>
        <w:spacing w:after="240"/>
      </w:pPr>
      <w:r>
        <w:t>Regulation 522 requires Comcare to give written notice to the licence holder before suspending or cancelling an asbestos removal licence</w:t>
      </w:r>
      <w:r w:rsidR="004A0841">
        <w:t>, or disqualifying the licence holder f</w:t>
      </w:r>
      <w:r w:rsidR="005B0956">
        <w:t>rom</w:t>
      </w:r>
      <w:r w:rsidR="004A0841">
        <w:t xml:space="preserve"> re-applying</w:t>
      </w:r>
      <w:r>
        <w:t>.</w:t>
      </w:r>
    </w:p>
    <w:p w:rsidR="00086CFC" w:rsidRDefault="00086CFC" w:rsidP="00086CFC">
      <w:pPr>
        <w:spacing w:after="240"/>
      </w:pPr>
      <w:r>
        <w:t xml:space="preserve">Paragraph 522(b) requires the regulator to give the licence holder </w:t>
      </w:r>
      <w:r w:rsidR="00457C75">
        <w:t xml:space="preserve">at least </w:t>
      </w:r>
      <w:r>
        <w:t xml:space="preserve">28 days to </w:t>
      </w:r>
      <w:r w:rsidR="00457C75">
        <w:t>respond in writing.</w:t>
      </w:r>
    </w:p>
    <w:p w:rsidR="00086CFC" w:rsidRDefault="00086CFC" w:rsidP="00086CFC">
      <w:pPr>
        <w:keepNext/>
        <w:spacing w:after="240"/>
        <w:rPr>
          <w:b/>
        </w:rPr>
      </w:pPr>
      <w:r>
        <w:rPr>
          <w:b/>
        </w:rPr>
        <w:t>Regulation 523 Notice of decision</w:t>
      </w:r>
    </w:p>
    <w:p w:rsidR="00086CFC" w:rsidRDefault="00086CFC" w:rsidP="00086CFC">
      <w:pPr>
        <w:spacing w:after="240"/>
      </w:pPr>
      <w:r>
        <w:t xml:space="preserve">Regulation 523 sets out </w:t>
      </w:r>
      <w:r w:rsidR="005B0956">
        <w:t>the process for suspending or cancelling an asbestos removal licence after the decision has been made, including notice requirements.</w:t>
      </w:r>
    </w:p>
    <w:p w:rsidR="00086CFC" w:rsidRDefault="00086CFC" w:rsidP="00086CFC">
      <w:pPr>
        <w:spacing w:after="240"/>
        <w:rPr>
          <w:b/>
        </w:rPr>
      </w:pPr>
      <w:r>
        <w:rPr>
          <w:b/>
        </w:rPr>
        <w:lastRenderedPageBreak/>
        <w:t>Regulation 524 Immediate suspension</w:t>
      </w:r>
    </w:p>
    <w:p w:rsidR="00086CFC" w:rsidRDefault="00086CFC" w:rsidP="00086CFC">
      <w:pPr>
        <w:spacing w:after="240"/>
      </w:pPr>
      <w:r>
        <w:t xml:space="preserve">Regulation 524 </w:t>
      </w:r>
      <w:r w:rsidR="005B0956">
        <w:t>empowers Comcare to suspend</w:t>
      </w:r>
      <w:r>
        <w:t xml:space="preserve"> an asbestos removal licence </w:t>
      </w:r>
      <w:r w:rsidR="005B0956">
        <w:t>immediately and without notice if any of the serious circumstances described in the section exist. This is a</w:t>
      </w:r>
      <w:r w:rsidR="000520E9">
        <w:t xml:space="preserve">n </w:t>
      </w:r>
      <w:r w:rsidR="005B0956">
        <w:t xml:space="preserve">important power, designed to ensure work health and safety where concerns about immediate risks to health or safety have been raised. </w:t>
      </w:r>
      <w:r w:rsidR="00DA1F7F">
        <w:t>P</w:t>
      </w:r>
      <w:r w:rsidR="005B0956">
        <w:t xml:space="preserve">rocedural safeguards </w:t>
      </w:r>
      <w:r w:rsidR="00DA1F7F">
        <w:t xml:space="preserve">are </w:t>
      </w:r>
      <w:r w:rsidR="005B0956">
        <w:t xml:space="preserve">provided for in </w:t>
      </w:r>
      <w:r>
        <w:t>subregulations 524(2)</w:t>
      </w:r>
      <w:r w:rsidR="000520E9">
        <w:t xml:space="preserve"> to </w:t>
      </w:r>
      <w:r>
        <w:t>(5).</w:t>
      </w:r>
    </w:p>
    <w:p w:rsidR="00086CFC" w:rsidRDefault="00086CFC" w:rsidP="00086CFC">
      <w:pPr>
        <w:spacing w:after="240"/>
        <w:rPr>
          <w:b/>
        </w:rPr>
      </w:pPr>
      <w:r>
        <w:rPr>
          <w:b/>
        </w:rPr>
        <w:t>Regulation 525 Licence holder to return licence document</w:t>
      </w:r>
    </w:p>
    <w:p w:rsidR="00086CFC" w:rsidRDefault="00086CFC" w:rsidP="00086CFC">
      <w:pPr>
        <w:spacing w:after="240"/>
      </w:pPr>
      <w:r>
        <w:t xml:space="preserve">Regulation 525 </w:t>
      </w:r>
      <w:r w:rsidR="005B0956">
        <w:t>applies if an asbestos removal licence has been cancelled or suspended. It requires the licence holder to return the licence document to Comcare in accordance with the notice</w:t>
      </w:r>
      <w:r w:rsidR="00DA1F7F">
        <w:t xml:space="preserve"> of the decision</w:t>
      </w:r>
      <w:r w:rsidR="005B0956">
        <w:t>.</w:t>
      </w:r>
    </w:p>
    <w:p w:rsidR="00086CFC" w:rsidRDefault="00086CFC" w:rsidP="00086CFC">
      <w:pPr>
        <w:spacing w:after="240"/>
      </w:pPr>
      <w:r>
        <w:t xml:space="preserve">Failure to comply with this provision can result in a </w:t>
      </w:r>
      <w:r w:rsidR="00DA1F7F">
        <w:t xml:space="preserve">maximum </w:t>
      </w:r>
      <w:r>
        <w:t>penalty of $1,250 for an individual or $6,000 for a body corporate.</w:t>
      </w:r>
    </w:p>
    <w:p w:rsidR="00086CFC" w:rsidRDefault="00086CFC" w:rsidP="00086CFC">
      <w:pPr>
        <w:spacing w:after="240"/>
      </w:pPr>
      <w:r>
        <w:rPr>
          <w:b/>
        </w:rPr>
        <w:t>Regulation 526 Regulator to return licence document after suspension</w:t>
      </w:r>
    </w:p>
    <w:p w:rsidR="00086CFC" w:rsidRDefault="00086CFC" w:rsidP="00086CFC">
      <w:pPr>
        <w:spacing w:after="240"/>
      </w:pPr>
      <w:r>
        <w:t>Regulation 526 requires Comcare to return the licence document to the licence holder within 14 days after the suspension of a licence ends.</w:t>
      </w:r>
    </w:p>
    <w:p w:rsidR="00086CFC" w:rsidRPr="007F2AB8" w:rsidRDefault="00086CFC" w:rsidP="00086CFC">
      <w:pPr>
        <w:spacing w:after="240"/>
        <w:rPr>
          <w:rFonts w:eastAsia="Calibri"/>
          <w:b/>
          <w:u w:val="single"/>
          <w:lang w:eastAsia="en-US"/>
        </w:rPr>
      </w:pPr>
      <w:r>
        <w:rPr>
          <w:rFonts w:eastAsia="Calibri"/>
          <w:b/>
          <w:u w:val="single"/>
          <w:lang w:eastAsia="en-US"/>
        </w:rPr>
        <w:t>Item [3</w:t>
      </w:r>
      <w:r w:rsidRPr="007F2AB8">
        <w:rPr>
          <w:rFonts w:eastAsia="Calibri"/>
          <w:b/>
          <w:u w:val="single"/>
          <w:lang w:eastAsia="en-US"/>
        </w:rPr>
        <w:t xml:space="preserve">] – </w:t>
      </w:r>
      <w:r>
        <w:rPr>
          <w:rFonts w:eastAsia="Calibri"/>
          <w:b/>
          <w:u w:val="single"/>
          <w:lang w:eastAsia="en-US"/>
        </w:rPr>
        <w:t>Before regulation 529</w:t>
      </w:r>
    </w:p>
    <w:p w:rsidR="002B1F3B" w:rsidRPr="002B1F3B" w:rsidRDefault="002B1F3B" w:rsidP="00086CFC">
      <w:pPr>
        <w:spacing w:after="240"/>
        <w:rPr>
          <w:b/>
        </w:rPr>
      </w:pPr>
      <w:r>
        <w:rPr>
          <w:b/>
        </w:rPr>
        <w:t>Regulation 527 Asbestos removal licence register</w:t>
      </w:r>
    </w:p>
    <w:p w:rsidR="00086CFC" w:rsidRDefault="002B1F3B" w:rsidP="00086CFC">
      <w:pPr>
        <w:spacing w:after="240"/>
      </w:pPr>
      <w:r>
        <w:t>R</w:t>
      </w:r>
      <w:r w:rsidR="00086CFC">
        <w:t xml:space="preserve">egulation 527 </w:t>
      </w:r>
      <w:r w:rsidR="00DA1F7F">
        <w:t xml:space="preserve">requires </w:t>
      </w:r>
      <w:r w:rsidR="00086CFC">
        <w:t xml:space="preserve">Comcare </w:t>
      </w:r>
      <w:r w:rsidR="00DA1F7F">
        <w:t>to</w:t>
      </w:r>
      <w:r w:rsidR="00086CFC">
        <w:t xml:space="preserve"> keep a register </w:t>
      </w:r>
      <w:r w:rsidR="000520E9">
        <w:t xml:space="preserve">of </w:t>
      </w:r>
      <w:r w:rsidR="00086CFC">
        <w:t xml:space="preserve">asbestos removal licence </w:t>
      </w:r>
      <w:r w:rsidR="00DA1F7F">
        <w:t xml:space="preserve">holders, including details of nominated </w:t>
      </w:r>
      <w:r w:rsidR="00086CFC">
        <w:t>supervisors</w:t>
      </w:r>
      <w:r w:rsidR="00DA1F7F">
        <w:t xml:space="preserve"> for each licence</w:t>
      </w:r>
      <w:r w:rsidR="00086CFC">
        <w:t>.</w:t>
      </w:r>
    </w:p>
    <w:p w:rsidR="00DA1F7F" w:rsidRDefault="00DA1F7F" w:rsidP="00DA1F7F">
      <w:pPr>
        <w:spacing w:after="240"/>
      </w:pPr>
      <w:r w:rsidRPr="001F0414">
        <w:t xml:space="preserve">Regulation 428 </w:t>
      </w:r>
      <w:r w:rsidR="0023342A" w:rsidRPr="001F0414">
        <w:t xml:space="preserve">of the model regulations </w:t>
      </w:r>
      <w:r w:rsidRPr="001F0414">
        <w:t>is deliberately omitted. In the model provisions, regulation 428 requires the regulator to keep a publicly available register of asbestos assessor licence holders. No provision is made for the Commonwealth regulator to issue these kinds of licences.</w:t>
      </w:r>
    </w:p>
    <w:p w:rsidR="00086CFC" w:rsidRDefault="00086CFC" w:rsidP="00086CFC">
      <w:pPr>
        <w:spacing w:after="240"/>
        <w:rPr>
          <w:rFonts w:eastAsia="Calibri"/>
          <w:u w:val="single"/>
          <w:lang w:eastAsia="en-US"/>
        </w:rPr>
      </w:pPr>
      <w:r>
        <w:rPr>
          <w:rFonts w:eastAsia="Calibri"/>
          <w:b/>
          <w:u w:val="single"/>
          <w:lang w:eastAsia="en-US"/>
        </w:rPr>
        <w:t>Item [4</w:t>
      </w:r>
      <w:r w:rsidRPr="007F2AB8">
        <w:rPr>
          <w:rFonts w:eastAsia="Calibri"/>
          <w:b/>
          <w:u w:val="single"/>
          <w:lang w:eastAsia="en-US"/>
        </w:rPr>
        <w:t xml:space="preserve">] – </w:t>
      </w:r>
      <w:r>
        <w:rPr>
          <w:rFonts w:eastAsia="Calibri"/>
          <w:b/>
          <w:u w:val="single"/>
          <w:lang w:eastAsia="en-US"/>
        </w:rPr>
        <w:t>Clause 1 of Schedule 2 (at the end of the table)</w:t>
      </w:r>
    </w:p>
    <w:p w:rsidR="00086CFC" w:rsidRDefault="00086CFC" w:rsidP="00086CFC">
      <w:pPr>
        <w:spacing w:after="240"/>
        <w:rPr>
          <w:rFonts w:eastAsia="Calibri"/>
          <w:lang w:eastAsia="en-US"/>
        </w:rPr>
      </w:pPr>
      <w:r>
        <w:rPr>
          <w:rFonts w:eastAsia="Calibri"/>
          <w:lang w:eastAsia="en-US"/>
        </w:rPr>
        <w:t>This item inserts new provisions in the table of prescribed fees to allow Comcare to charge a fee for the purposes of:</w:t>
      </w:r>
    </w:p>
    <w:p w:rsidR="00086CFC" w:rsidRDefault="00086CFC" w:rsidP="00086CFC">
      <w:pPr>
        <w:pStyle w:val="ListParagraph"/>
        <w:numPr>
          <w:ilvl w:val="0"/>
          <w:numId w:val="22"/>
        </w:numPr>
        <w:spacing w:after="240"/>
        <w:rPr>
          <w:rFonts w:eastAsia="Calibri"/>
          <w:lang w:eastAsia="en-US"/>
        </w:rPr>
      </w:pPr>
      <w:r w:rsidRPr="003D2E93">
        <w:rPr>
          <w:rFonts w:eastAsia="Calibri"/>
          <w:lang w:eastAsia="en-US"/>
        </w:rPr>
        <w:t>subregulation 492(3)</w:t>
      </w:r>
      <w:r>
        <w:rPr>
          <w:rFonts w:eastAsia="Calibri"/>
          <w:lang w:eastAsia="en-US"/>
        </w:rPr>
        <w:t xml:space="preserve"> (application for asbestos removal licence);</w:t>
      </w:r>
    </w:p>
    <w:p w:rsidR="00086CFC" w:rsidRDefault="00086CFC" w:rsidP="00086CFC">
      <w:pPr>
        <w:pStyle w:val="ListParagraph"/>
        <w:numPr>
          <w:ilvl w:val="0"/>
          <w:numId w:val="22"/>
        </w:numPr>
        <w:spacing w:after="240"/>
        <w:rPr>
          <w:rFonts w:eastAsia="Calibri"/>
          <w:lang w:eastAsia="en-US"/>
        </w:rPr>
      </w:pPr>
      <w:r>
        <w:rPr>
          <w:rFonts w:eastAsia="Calibri"/>
          <w:lang w:eastAsia="en-US"/>
        </w:rPr>
        <w:t>paragraph 513(4)(b) (application for replacement licence document); and</w:t>
      </w:r>
    </w:p>
    <w:p w:rsidR="00086CFC" w:rsidRDefault="00086CFC" w:rsidP="00086CFC">
      <w:pPr>
        <w:pStyle w:val="ListParagraph"/>
        <w:numPr>
          <w:ilvl w:val="0"/>
          <w:numId w:val="22"/>
        </w:numPr>
        <w:spacing w:after="240"/>
        <w:rPr>
          <w:rFonts w:eastAsia="Calibri"/>
          <w:lang w:eastAsia="en-US"/>
        </w:rPr>
      </w:pPr>
      <w:proofErr w:type="gramStart"/>
      <w:r>
        <w:rPr>
          <w:rFonts w:eastAsia="Calibri"/>
          <w:lang w:eastAsia="en-US"/>
        </w:rPr>
        <w:t>subregulation</w:t>
      </w:r>
      <w:proofErr w:type="gramEnd"/>
      <w:r>
        <w:rPr>
          <w:rFonts w:eastAsia="Calibri"/>
          <w:lang w:eastAsia="en-US"/>
        </w:rPr>
        <w:t xml:space="preserve"> 516(3) (application for renewal of asbestos removal licence).</w:t>
      </w:r>
    </w:p>
    <w:p w:rsidR="00086CFC" w:rsidRPr="0084445A" w:rsidRDefault="00086CFC" w:rsidP="00086CFC">
      <w:pPr>
        <w:keepNext/>
        <w:spacing w:after="240"/>
        <w:outlineLvl w:val="1"/>
        <w:rPr>
          <w:rFonts w:eastAsia="Calibri"/>
          <w:i/>
          <w:u w:val="single"/>
          <w:lang w:eastAsia="en-US"/>
        </w:rPr>
      </w:pPr>
      <w:r>
        <w:rPr>
          <w:rFonts w:eastAsia="Calibri"/>
          <w:i/>
          <w:u w:val="single"/>
          <w:lang w:eastAsia="en-US"/>
        </w:rPr>
        <w:t>Part 2—Amendments relating to reach stacker licensing</w:t>
      </w:r>
    </w:p>
    <w:p w:rsidR="00086CFC" w:rsidRPr="0084445A" w:rsidRDefault="00086CFC" w:rsidP="00086CFC">
      <w:pPr>
        <w:keepNext/>
        <w:spacing w:after="240"/>
        <w:outlineLvl w:val="1"/>
        <w:rPr>
          <w:rFonts w:eastAsia="Calibri"/>
          <w:i/>
          <w:lang w:eastAsia="en-US"/>
        </w:rPr>
      </w:pPr>
      <w:r w:rsidRPr="0084445A">
        <w:rPr>
          <w:rFonts w:eastAsia="Calibri"/>
          <w:i/>
          <w:lang w:eastAsia="en-US"/>
        </w:rPr>
        <w:t>Work Health and Safety Regulations 2011</w:t>
      </w:r>
    </w:p>
    <w:p w:rsidR="00086CFC" w:rsidRDefault="00086CFC" w:rsidP="00086CFC">
      <w:pPr>
        <w:keepNext/>
        <w:spacing w:after="240"/>
        <w:rPr>
          <w:rFonts w:eastAsia="Calibri"/>
          <w:lang w:eastAsia="en-US"/>
        </w:rPr>
      </w:pPr>
      <w:r>
        <w:rPr>
          <w:rFonts w:eastAsia="Calibri"/>
          <w:b/>
          <w:u w:val="single"/>
          <w:lang w:eastAsia="en-US"/>
        </w:rPr>
        <w:t xml:space="preserve">Item [1] – </w:t>
      </w:r>
      <w:r w:rsidR="002B1F3B">
        <w:rPr>
          <w:rFonts w:eastAsia="Calibri"/>
          <w:b/>
          <w:u w:val="single"/>
          <w:lang w:eastAsia="en-US"/>
        </w:rPr>
        <w:t>After subregulation 83(1)</w:t>
      </w:r>
    </w:p>
    <w:p w:rsidR="00B55886" w:rsidRDefault="00086CFC" w:rsidP="00086CFC">
      <w:pPr>
        <w:spacing w:after="240"/>
        <w:rPr>
          <w:rFonts w:eastAsia="Calibri"/>
          <w:lang w:eastAsia="en-US"/>
        </w:rPr>
      </w:pPr>
      <w:r>
        <w:rPr>
          <w:rFonts w:eastAsia="Calibri"/>
          <w:lang w:eastAsia="en-US"/>
        </w:rPr>
        <w:t xml:space="preserve">This item </w:t>
      </w:r>
      <w:r w:rsidR="00B55886">
        <w:rPr>
          <w:rFonts w:eastAsia="Calibri"/>
          <w:lang w:eastAsia="en-US"/>
        </w:rPr>
        <w:t>extends mutual recognition arrangements for reach stacker licences in certain circumstances.</w:t>
      </w:r>
      <w:r w:rsidR="000F7AE0">
        <w:rPr>
          <w:rFonts w:eastAsia="Calibri"/>
          <w:lang w:eastAsia="en-US"/>
        </w:rPr>
        <w:t xml:space="preserve"> It replaces transitional arrangements in regulation 727 which expire on 1 January 2017 with permanent arrangements.</w:t>
      </w:r>
    </w:p>
    <w:p w:rsidR="009623C3" w:rsidRPr="001F0414" w:rsidRDefault="000F7AE0" w:rsidP="000F7AE0">
      <w:pPr>
        <w:spacing w:after="240"/>
        <w:rPr>
          <w:rFonts w:eastAsia="Calibri"/>
          <w:lang w:eastAsia="en-US"/>
        </w:rPr>
      </w:pPr>
      <w:r>
        <w:rPr>
          <w:rFonts w:eastAsia="Calibri"/>
          <w:lang w:eastAsia="en-US"/>
        </w:rPr>
        <w:lastRenderedPageBreak/>
        <w:t xml:space="preserve">New subregulation </w:t>
      </w:r>
      <w:r w:rsidRPr="0023342A">
        <w:rPr>
          <w:rFonts w:eastAsia="Calibri"/>
          <w:lang w:eastAsia="en-US"/>
        </w:rPr>
        <w:t>83</w:t>
      </w:r>
      <w:r w:rsidRPr="001F0414">
        <w:rPr>
          <w:rFonts w:eastAsia="Calibri"/>
          <w:lang w:eastAsia="en-US"/>
        </w:rPr>
        <w:t>(</w:t>
      </w:r>
      <w:proofErr w:type="spellStart"/>
      <w:r w:rsidRPr="001F0414">
        <w:rPr>
          <w:rFonts w:eastAsia="Calibri"/>
          <w:lang w:eastAsia="en-US"/>
        </w:rPr>
        <w:t>1A</w:t>
      </w:r>
      <w:proofErr w:type="spellEnd"/>
      <w:r w:rsidRPr="001F0414">
        <w:rPr>
          <w:rFonts w:eastAsia="Calibri"/>
          <w:lang w:eastAsia="en-US"/>
        </w:rPr>
        <w:t>)</w:t>
      </w:r>
      <w:r w:rsidRPr="0023342A">
        <w:rPr>
          <w:rFonts w:eastAsia="Calibri"/>
          <w:lang w:eastAsia="en-US"/>
        </w:rPr>
        <w:t xml:space="preserve"> </w:t>
      </w:r>
      <w:r w:rsidR="009623C3" w:rsidRPr="0023342A">
        <w:rPr>
          <w:rFonts w:eastAsia="Calibri"/>
          <w:lang w:eastAsia="en-US"/>
        </w:rPr>
        <w:t>means that a non-slewing crane licence is acceptable for high risk work involving a reach stacker for purposes of the Commonwealth laws—but on</w:t>
      </w:r>
      <w:r w:rsidR="009623C3" w:rsidRPr="001F0414">
        <w:rPr>
          <w:rFonts w:eastAsia="Calibri"/>
          <w:lang w:eastAsia="en-US"/>
        </w:rPr>
        <w:t>ly if the relevant state or territory authorises this, and the licence is being used in accordance with the terms and conditions under which it was granted.</w:t>
      </w:r>
    </w:p>
    <w:p w:rsidR="002B1F3B" w:rsidRPr="0023342A" w:rsidRDefault="002B1F3B" w:rsidP="00086CFC">
      <w:pPr>
        <w:spacing w:after="240"/>
        <w:rPr>
          <w:rFonts w:eastAsia="Calibri"/>
          <w:lang w:eastAsia="en-US"/>
        </w:rPr>
      </w:pPr>
      <w:r w:rsidRPr="001F0414">
        <w:rPr>
          <w:rFonts w:eastAsia="Calibri"/>
          <w:b/>
          <w:u w:val="single"/>
          <w:lang w:eastAsia="en-US"/>
        </w:rPr>
        <w:t>Item [2] – Subregulation 83(2)</w:t>
      </w:r>
    </w:p>
    <w:p w:rsidR="002B1F3B" w:rsidRPr="0023342A" w:rsidRDefault="002B1F3B" w:rsidP="00086CFC">
      <w:pPr>
        <w:spacing w:after="240"/>
        <w:rPr>
          <w:rFonts w:eastAsia="Calibri"/>
          <w:lang w:eastAsia="en-US"/>
        </w:rPr>
      </w:pPr>
      <w:r w:rsidRPr="0023342A">
        <w:rPr>
          <w:rFonts w:eastAsia="Calibri"/>
          <w:lang w:eastAsia="en-US"/>
        </w:rPr>
        <w:t xml:space="preserve">This </w:t>
      </w:r>
      <w:r w:rsidR="00B55886" w:rsidRPr="001F0414">
        <w:rPr>
          <w:rFonts w:eastAsia="Calibri"/>
          <w:lang w:eastAsia="en-US"/>
        </w:rPr>
        <w:t>item is consequential upon the inclusion of new subregulation 83(</w:t>
      </w:r>
      <w:proofErr w:type="spellStart"/>
      <w:r w:rsidR="00B55886" w:rsidRPr="001F0414">
        <w:rPr>
          <w:rFonts w:eastAsia="Calibri"/>
          <w:lang w:eastAsia="en-US"/>
        </w:rPr>
        <w:t>1A</w:t>
      </w:r>
      <w:proofErr w:type="spellEnd"/>
      <w:r w:rsidR="00B55886" w:rsidRPr="001F0414">
        <w:rPr>
          <w:rFonts w:eastAsia="Calibri"/>
          <w:lang w:eastAsia="en-US"/>
        </w:rPr>
        <w:t>).</w:t>
      </w:r>
    </w:p>
    <w:p w:rsidR="002B1F3B" w:rsidRPr="002B1F3B" w:rsidRDefault="002B1F3B" w:rsidP="00086CFC">
      <w:pPr>
        <w:spacing w:after="240"/>
        <w:rPr>
          <w:rFonts w:eastAsia="Calibri"/>
          <w:u w:val="single"/>
          <w:lang w:eastAsia="en-US"/>
        </w:rPr>
      </w:pPr>
      <w:r w:rsidRPr="001F0414">
        <w:rPr>
          <w:rFonts w:eastAsia="Calibri"/>
          <w:b/>
          <w:u w:val="single"/>
          <w:lang w:eastAsia="en-US"/>
        </w:rPr>
        <w:t>Item [3] – Division 4.5 of Part 4 of Chapter 12</w:t>
      </w:r>
    </w:p>
    <w:p w:rsidR="002B1F3B" w:rsidRPr="002B1F3B" w:rsidRDefault="002B1F3B" w:rsidP="00086CFC">
      <w:pPr>
        <w:spacing w:after="240"/>
        <w:rPr>
          <w:rFonts w:eastAsia="Calibri"/>
          <w:lang w:eastAsia="en-US"/>
        </w:rPr>
      </w:pPr>
      <w:r>
        <w:rPr>
          <w:rFonts w:eastAsia="Calibri"/>
          <w:lang w:eastAsia="en-US"/>
        </w:rPr>
        <w:t>This item repeals the existing transitional arrangements relating to reach stacker licences</w:t>
      </w:r>
      <w:r w:rsidR="00B55886">
        <w:rPr>
          <w:rFonts w:eastAsia="Calibri"/>
          <w:lang w:eastAsia="en-US"/>
        </w:rPr>
        <w:t xml:space="preserve"> on 1 January 2017, which coincides with the expiry of the transitional arrangements.</w:t>
      </w:r>
    </w:p>
    <w:p w:rsidR="00086CFC" w:rsidRPr="0084445A" w:rsidRDefault="00086CFC" w:rsidP="00086CFC">
      <w:pPr>
        <w:keepNext/>
        <w:spacing w:after="240"/>
        <w:outlineLvl w:val="1"/>
        <w:rPr>
          <w:rFonts w:eastAsia="Calibri"/>
          <w:i/>
          <w:u w:val="single"/>
          <w:lang w:eastAsia="en-US"/>
        </w:rPr>
      </w:pPr>
      <w:r>
        <w:rPr>
          <w:rFonts w:eastAsia="Calibri"/>
          <w:i/>
          <w:u w:val="single"/>
          <w:lang w:eastAsia="en-US"/>
        </w:rPr>
        <w:t>Part 3—</w:t>
      </w:r>
      <w:proofErr w:type="gramStart"/>
      <w:r>
        <w:rPr>
          <w:rFonts w:eastAsia="Calibri"/>
          <w:i/>
          <w:u w:val="single"/>
          <w:lang w:eastAsia="en-US"/>
        </w:rPr>
        <w:t>Other</w:t>
      </w:r>
      <w:proofErr w:type="gramEnd"/>
      <w:r>
        <w:rPr>
          <w:rFonts w:eastAsia="Calibri"/>
          <w:i/>
          <w:u w:val="single"/>
          <w:lang w:eastAsia="en-US"/>
        </w:rPr>
        <w:t xml:space="preserve"> amendments</w:t>
      </w:r>
    </w:p>
    <w:p w:rsidR="00086CFC" w:rsidRPr="0084445A" w:rsidRDefault="00086CFC" w:rsidP="00086CFC">
      <w:pPr>
        <w:keepNext/>
        <w:spacing w:after="240"/>
        <w:outlineLvl w:val="1"/>
        <w:rPr>
          <w:rFonts w:eastAsia="Calibri"/>
          <w:i/>
          <w:lang w:eastAsia="en-US"/>
        </w:rPr>
      </w:pPr>
      <w:r w:rsidRPr="0084445A">
        <w:rPr>
          <w:rFonts w:eastAsia="Calibri"/>
          <w:i/>
          <w:lang w:eastAsia="en-US"/>
        </w:rPr>
        <w:t>Work Health and Safety Regulations 2011</w:t>
      </w:r>
    </w:p>
    <w:p w:rsidR="00086CFC" w:rsidRPr="00696B09" w:rsidRDefault="00086CFC" w:rsidP="00086CFC">
      <w:pPr>
        <w:spacing w:after="240"/>
        <w:rPr>
          <w:rFonts w:eastAsia="Calibri"/>
          <w:b/>
          <w:u w:val="single"/>
          <w:lang w:eastAsia="en-US"/>
        </w:rPr>
      </w:pPr>
      <w:r>
        <w:rPr>
          <w:rFonts w:eastAsia="Calibri"/>
          <w:b/>
          <w:u w:val="single"/>
          <w:lang w:eastAsia="en-US"/>
        </w:rPr>
        <w:t>Item [1] Amendments of listed provisions—repeals</w:t>
      </w:r>
    </w:p>
    <w:p w:rsidR="00BB7E2C" w:rsidRDefault="00086CFC" w:rsidP="00B303DB">
      <w:r>
        <w:t>This item repeals spent transitional provisions. These amendments no longer operate and their repeal does not alter the operation of the WHS Regulations.</w:t>
      </w:r>
    </w:p>
    <w:p w:rsidR="00BB7E2C" w:rsidRDefault="00BB7E2C">
      <w:r>
        <w:br w:type="page"/>
      </w:r>
    </w:p>
    <w:p w:rsidR="006831FD" w:rsidRPr="00BB7E2C" w:rsidRDefault="00BB7E2C" w:rsidP="00BB7E2C">
      <w:pPr>
        <w:jc w:val="right"/>
        <w:rPr>
          <w:u w:val="single"/>
        </w:rPr>
      </w:pPr>
      <w:r w:rsidRPr="00BB7E2C">
        <w:rPr>
          <w:u w:val="single"/>
        </w:rPr>
        <w:lastRenderedPageBreak/>
        <w:t>ATTACHMENT B</w:t>
      </w:r>
    </w:p>
    <w:p w:rsidR="0053260D" w:rsidRDefault="0053260D" w:rsidP="00B303DB"/>
    <w:p w:rsidR="0053260D" w:rsidRPr="00DB7146" w:rsidRDefault="0053260D" w:rsidP="0053260D">
      <w:pPr>
        <w:autoSpaceDE w:val="0"/>
        <w:autoSpaceDN w:val="0"/>
        <w:adjustRightInd w:val="0"/>
        <w:jc w:val="center"/>
        <w:rPr>
          <w:color w:val="000000"/>
          <w:sz w:val="28"/>
          <w:szCs w:val="28"/>
        </w:rPr>
      </w:pPr>
      <w:r w:rsidRPr="00DB7146">
        <w:rPr>
          <w:b/>
          <w:bCs/>
          <w:color w:val="000000"/>
          <w:sz w:val="28"/>
          <w:szCs w:val="28"/>
        </w:rPr>
        <w:t>Statement of Compatibility with Human Rights</w:t>
      </w:r>
    </w:p>
    <w:p w:rsidR="0053260D" w:rsidRDefault="0053260D" w:rsidP="0053260D">
      <w:pPr>
        <w:autoSpaceDE w:val="0"/>
        <w:autoSpaceDN w:val="0"/>
        <w:adjustRightInd w:val="0"/>
        <w:rPr>
          <w:i/>
          <w:iCs/>
          <w:color w:val="000000"/>
          <w:sz w:val="23"/>
          <w:szCs w:val="23"/>
        </w:rPr>
      </w:pPr>
    </w:p>
    <w:p w:rsidR="0053260D" w:rsidRPr="00DB7146" w:rsidRDefault="0053260D" w:rsidP="0053260D">
      <w:pPr>
        <w:autoSpaceDE w:val="0"/>
        <w:autoSpaceDN w:val="0"/>
        <w:adjustRightInd w:val="0"/>
        <w:rPr>
          <w:color w:val="000000"/>
          <w:sz w:val="23"/>
          <w:szCs w:val="23"/>
        </w:rPr>
      </w:pPr>
      <w:r w:rsidRPr="00DB7146">
        <w:rPr>
          <w:i/>
          <w:iCs/>
          <w:color w:val="000000"/>
          <w:sz w:val="23"/>
          <w:szCs w:val="23"/>
        </w:rPr>
        <w:t xml:space="preserve">Prepared in accordance with Part 3 of the Human Rights (Parliamentary Scrutiny) Act 2011 </w:t>
      </w:r>
    </w:p>
    <w:p w:rsidR="0053260D" w:rsidRDefault="0053260D" w:rsidP="0053260D">
      <w:pPr>
        <w:autoSpaceDE w:val="0"/>
        <w:autoSpaceDN w:val="0"/>
        <w:adjustRightInd w:val="0"/>
        <w:rPr>
          <w:b/>
          <w:bCs/>
          <w:color w:val="000000"/>
          <w:sz w:val="23"/>
          <w:szCs w:val="23"/>
        </w:rPr>
      </w:pPr>
    </w:p>
    <w:p w:rsidR="0053260D" w:rsidRPr="00DB7146" w:rsidRDefault="0053260D" w:rsidP="0053260D">
      <w:pPr>
        <w:autoSpaceDE w:val="0"/>
        <w:autoSpaceDN w:val="0"/>
        <w:adjustRightInd w:val="0"/>
        <w:jc w:val="center"/>
        <w:rPr>
          <w:b/>
          <w:bCs/>
          <w:color w:val="000000"/>
          <w:sz w:val="23"/>
          <w:szCs w:val="23"/>
        </w:rPr>
      </w:pPr>
      <w:r w:rsidRPr="00DB7146">
        <w:rPr>
          <w:b/>
        </w:rPr>
        <w:t>Work Health and Safety Amendment (Licensing of Asbestos Removalists and Other Measures) Regulation 2016</w:t>
      </w:r>
    </w:p>
    <w:p w:rsidR="0053260D" w:rsidRDefault="0053260D" w:rsidP="0053260D">
      <w:pPr>
        <w:autoSpaceDE w:val="0"/>
        <w:autoSpaceDN w:val="0"/>
        <w:adjustRightInd w:val="0"/>
        <w:rPr>
          <w:b/>
          <w:bCs/>
          <w:color w:val="000000"/>
          <w:sz w:val="23"/>
          <w:szCs w:val="23"/>
        </w:rPr>
      </w:pPr>
    </w:p>
    <w:p w:rsidR="0053260D" w:rsidRDefault="0053260D" w:rsidP="0053260D">
      <w:pPr>
        <w:autoSpaceDE w:val="0"/>
        <w:autoSpaceDN w:val="0"/>
        <w:adjustRightInd w:val="0"/>
        <w:rPr>
          <w:color w:val="000000"/>
          <w:sz w:val="23"/>
          <w:szCs w:val="23"/>
        </w:rPr>
      </w:pPr>
      <w:r>
        <w:rPr>
          <w:color w:val="000000"/>
          <w:sz w:val="23"/>
          <w:szCs w:val="23"/>
        </w:rPr>
        <w:t xml:space="preserve">This </w:t>
      </w:r>
      <w:r w:rsidRPr="00DB7146">
        <w:rPr>
          <w:color w:val="000000"/>
          <w:sz w:val="23"/>
          <w:szCs w:val="23"/>
        </w:rPr>
        <w:t xml:space="preserve">Disallowable Legislative Instrument is compatible with the human rights and freedoms recognised or declared in the international instruments listed in section 3 of the </w:t>
      </w:r>
      <w:r w:rsidRPr="00DB7146">
        <w:rPr>
          <w:i/>
          <w:iCs/>
          <w:color w:val="000000"/>
          <w:sz w:val="23"/>
          <w:szCs w:val="23"/>
        </w:rPr>
        <w:t>Human Rights (Parliamentary Scrutiny) Act 2011</w:t>
      </w:r>
      <w:r w:rsidRPr="00DB7146">
        <w:rPr>
          <w:color w:val="000000"/>
          <w:sz w:val="23"/>
          <w:szCs w:val="23"/>
        </w:rPr>
        <w:t xml:space="preserve">. </w:t>
      </w:r>
    </w:p>
    <w:p w:rsidR="0053260D" w:rsidRPr="00DB7146" w:rsidRDefault="0053260D" w:rsidP="0053260D">
      <w:pPr>
        <w:autoSpaceDE w:val="0"/>
        <w:autoSpaceDN w:val="0"/>
        <w:adjustRightInd w:val="0"/>
        <w:rPr>
          <w:color w:val="000000"/>
          <w:sz w:val="23"/>
          <w:szCs w:val="23"/>
        </w:rPr>
      </w:pPr>
    </w:p>
    <w:p w:rsidR="0053260D" w:rsidRPr="00DB7146" w:rsidRDefault="00086E7A" w:rsidP="0053260D">
      <w:pPr>
        <w:autoSpaceDE w:val="0"/>
        <w:autoSpaceDN w:val="0"/>
        <w:adjustRightInd w:val="0"/>
        <w:rPr>
          <w:color w:val="000000"/>
          <w:sz w:val="23"/>
          <w:szCs w:val="23"/>
        </w:rPr>
      </w:pPr>
      <w:r>
        <w:rPr>
          <w:b/>
          <w:bCs/>
          <w:color w:val="000000"/>
          <w:sz w:val="23"/>
          <w:szCs w:val="23"/>
        </w:rPr>
        <w:t xml:space="preserve">Overview of the </w:t>
      </w:r>
      <w:r w:rsidR="0053260D" w:rsidRPr="00DB7146">
        <w:rPr>
          <w:b/>
          <w:bCs/>
          <w:color w:val="000000"/>
          <w:sz w:val="23"/>
          <w:szCs w:val="23"/>
        </w:rPr>
        <w:t xml:space="preserve">Disallowable Legislative Instrument </w:t>
      </w:r>
    </w:p>
    <w:p w:rsidR="0053260D" w:rsidRDefault="0053260D" w:rsidP="0053260D">
      <w:pPr>
        <w:autoSpaceDE w:val="0"/>
        <w:autoSpaceDN w:val="0"/>
        <w:adjustRightInd w:val="0"/>
        <w:rPr>
          <w:color w:val="000000"/>
          <w:sz w:val="23"/>
          <w:szCs w:val="23"/>
        </w:rPr>
      </w:pPr>
    </w:p>
    <w:p w:rsidR="0053260D" w:rsidRPr="00DB7146" w:rsidRDefault="0053260D" w:rsidP="0053260D">
      <w:pPr>
        <w:spacing w:after="240"/>
      </w:pPr>
      <w:r w:rsidRPr="00585A24">
        <w:rPr>
          <w:rFonts w:cstheme="minorHAnsi"/>
        </w:rPr>
        <w:t xml:space="preserve">The </w:t>
      </w:r>
      <w:r w:rsidRPr="00972830">
        <w:rPr>
          <w:i/>
        </w:rPr>
        <w:t>Work Health and Safety Amendment (Licensing of Asbestos Removalists and Other Measures) Regulation 2016</w:t>
      </w:r>
      <w:r>
        <w:rPr>
          <w:i/>
        </w:rPr>
        <w:t xml:space="preserve"> </w:t>
      </w:r>
      <w:r w:rsidRPr="00376785">
        <w:t xml:space="preserve">(the </w:t>
      </w:r>
      <w:r>
        <w:rPr>
          <w:rFonts w:cstheme="minorHAnsi"/>
        </w:rPr>
        <w:t>Amendment</w:t>
      </w:r>
      <w:r w:rsidRPr="00B32BDA">
        <w:rPr>
          <w:rFonts w:cstheme="minorHAnsi"/>
        </w:rPr>
        <w:t xml:space="preserve"> </w:t>
      </w:r>
      <w:r>
        <w:rPr>
          <w:rFonts w:cstheme="minorHAnsi"/>
        </w:rPr>
        <w:t>R</w:t>
      </w:r>
      <w:r w:rsidRPr="00585A24">
        <w:rPr>
          <w:rFonts w:cstheme="minorHAnsi"/>
        </w:rPr>
        <w:t>egulation</w:t>
      </w:r>
      <w:r>
        <w:rPr>
          <w:rFonts w:cstheme="minorHAnsi"/>
        </w:rPr>
        <w:t xml:space="preserve">) empowers the Commonwealth WHS regulator, Comcare, to administer asbestos removal licences within the Comcare scheme and recognise appropriate state and territory high risk work licenses for reach stacker operators. The Amendment Regulation also repeals spent transitional provisions. </w:t>
      </w:r>
    </w:p>
    <w:p w:rsidR="0053260D" w:rsidRPr="000F1BB1" w:rsidRDefault="0053260D" w:rsidP="0053260D">
      <w:pPr>
        <w:spacing w:after="240"/>
        <w:rPr>
          <w:rFonts w:cstheme="minorHAnsi"/>
          <w:i/>
        </w:rPr>
      </w:pPr>
      <w:r w:rsidRPr="000F1BB1">
        <w:rPr>
          <w:rFonts w:cstheme="minorHAnsi"/>
          <w:i/>
        </w:rPr>
        <w:t>Licensing asbestos removal work</w:t>
      </w:r>
    </w:p>
    <w:p w:rsidR="0053260D" w:rsidRDefault="0053260D" w:rsidP="0053260D">
      <w:pPr>
        <w:spacing w:after="240"/>
        <w:rPr>
          <w:rFonts w:cstheme="minorHAnsi"/>
        </w:rPr>
      </w:pPr>
      <w:r>
        <w:rPr>
          <w:rFonts w:cstheme="minorHAnsi"/>
        </w:rPr>
        <w:t>Chapter 8 of the Work Health and Safety Regulations (WHS Regulations) deals with asbestos. Unlike the model laws, however, the Commonwealth’s Regulations do not have a licensing scheme for asbestos removal work. That is because under current arrangements states and territories—but not the Commonwealth—administer licensing schemes for asbestos removal.</w:t>
      </w:r>
    </w:p>
    <w:p w:rsidR="0053260D" w:rsidRDefault="0053260D" w:rsidP="0053260D">
      <w:pPr>
        <w:spacing w:after="240"/>
        <w:rPr>
          <w:rFonts w:cstheme="minorHAnsi"/>
        </w:rPr>
      </w:pPr>
      <w:r w:rsidRPr="00B32BDA">
        <w:rPr>
          <w:rFonts w:cstheme="minorHAnsi"/>
        </w:rPr>
        <w:t xml:space="preserve">These arrangements worked well until </w:t>
      </w:r>
      <w:r w:rsidRPr="00585A24">
        <w:rPr>
          <w:rFonts w:cstheme="minorHAnsi"/>
        </w:rPr>
        <w:t>some private businesses covered by the Comcare scheme sou</w:t>
      </w:r>
      <w:r>
        <w:rPr>
          <w:rFonts w:cstheme="minorHAnsi"/>
        </w:rPr>
        <w:t>ght to carry out this work. The Amendment R</w:t>
      </w:r>
      <w:r w:rsidRPr="00585A24">
        <w:rPr>
          <w:rFonts w:cstheme="minorHAnsi"/>
        </w:rPr>
        <w:t xml:space="preserve">egulation </w:t>
      </w:r>
      <w:r w:rsidRPr="00B32BDA">
        <w:rPr>
          <w:rFonts w:cstheme="minorHAnsi"/>
        </w:rPr>
        <w:t>include</w:t>
      </w:r>
      <w:r>
        <w:rPr>
          <w:rFonts w:cstheme="minorHAnsi"/>
        </w:rPr>
        <w:t>s the model licensing provisions for asbestos removal work in the WHS Regulations. The amendments enable the Commonwealth’s regulator, Comcare, to administer an asbestos removal licensing scheme for the Commonwealth jurisdiction.</w:t>
      </w:r>
    </w:p>
    <w:p w:rsidR="0053260D" w:rsidRPr="000F1BB1" w:rsidRDefault="0053260D" w:rsidP="0053260D">
      <w:pPr>
        <w:spacing w:after="240"/>
        <w:rPr>
          <w:rFonts w:cstheme="minorHAnsi"/>
          <w:i/>
        </w:rPr>
      </w:pPr>
      <w:r w:rsidRPr="000F1BB1">
        <w:rPr>
          <w:rFonts w:cstheme="minorHAnsi"/>
          <w:i/>
        </w:rPr>
        <w:t>Reach stacker licences</w:t>
      </w:r>
    </w:p>
    <w:p w:rsidR="0053260D" w:rsidRDefault="0053260D" w:rsidP="0053260D">
      <w:pPr>
        <w:spacing w:after="240"/>
        <w:rPr>
          <w:rFonts w:cstheme="minorHAnsi"/>
        </w:rPr>
      </w:pPr>
      <w:r>
        <w:rPr>
          <w:rFonts w:cstheme="minorHAnsi"/>
        </w:rPr>
        <w:t>Operating a reach stacker—a vehicle used to handle cargo containers at ports—is a class of high risk work under the WHS laws: see section 43 of the Act and Part 4.5 of the WHS Regulations.</w:t>
      </w:r>
    </w:p>
    <w:p w:rsidR="0053260D" w:rsidRDefault="0053260D" w:rsidP="0053260D">
      <w:pPr>
        <w:spacing w:after="240"/>
        <w:rPr>
          <w:rFonts w:cstheme="minorHAnsi"/>
        </w:rPr>
      </w:pPr>
      <w:r>
        <w:rPr>
          <w:rFonts w:cstheme="minorHAnsi"/>
        </w:rPr>
        <w:t>Most, but not all, state and territory jurisdictions require reach stacker operators to hold a reach stacker licence under their WHS laws, subject to any transitional arrangements. Victoria and Western Australia require persons operating a reach stacker to hold a different class of licence.</w:t>
      </w:r>
    </w:p>
    <w:p w:rsidR="0053260D" w:rsidRDefault="0053260D" w:rsidP="0053260D">
      <w:pPr>
        <w:spacing w:after="240"/>
        <w:rPr>
          <w:rFonts w:cstheme="minorHAnsi"/>
        </w:rPr>
      </w:pPr>
      <w:r>
        <w:rPr>
          <w:rFonts w:cstheme="minorHAnsi"/>
        </w:rPr>
        <w:t xml:space="preserve">Employees in the Comcare </w:t>
      </w:r>
      <w:r w:rsidRPr="00B32BDA">
        <w:rPr>
          <w:rFonts w:cstheme="minorHAnsi"/>
        </w:rPr>
        <w:t>scheme</w:t>
      </w:r>
      <w:r w:rsidRPr="009D1B10">
        <w:rPr>
          <w:rFonts w:cstheme="minorHAnsi"/>
        </w:rPr>
        <w:t xml:space="preserve"> </w:t>
      </w:r>
      <w:r w:rsidRPr="00585A24">
        <w:rPr>
          <w:rFonts w:cstheme="minorHAnsi"/>
        </w:rPr>
        <w:t>mostly</w:t>
      </w:r>
      <w:r w:rsidRPr="00B32BDA">
        <w:rPr>
          <w:rFonts w:cstheme="minorHAnsi"/>
        </w:rPr>
        <w:t xml:space="preserve"> </w:t>
      </w:r>
      <w:r w:rsidRPr="009D1B10">
        <w:rPr>
          <w:rFonts w:cstheme="minorHAnsi"/>
        </w:rPr>
        <w:t>obtain</w:t>
      </w:r>
      <w:r>
        <w:rPr>
          <w:rFonts w:cstheme="minorHAnsi"/>
        </w:rPr>
        <w:t xml:space="preserve"> their high risk licences from the state or territory in which those employees reside. This presents difficulties for employees operating reach stackers in Victoria or Western Australia, who are required under the Commonwealth WHS Regulations to hold a reach stacker licence but cannot obtain one from their state WHS regulator.</w:t>
      </w:r>
    </w:p>
    <w:p w:rsidR="0053260D" w:rsidRDefault="0053260D" w:rsidP="0053260D">
      <w:pPr>
        <w:spacing w:after="240"/>
        <w:rPr>
          <w:rFonts w:cstheme="minorHAnsi"/>
        </w:rPr>
      </w:pPr>
      <w:r>
        <w:rPr>
          <w:rFonts w:cstheme="minorHAnsi"/>
        </w:rPr>
        <w:lastRenderedPageBreak/>
        <w:t xml:space="preserve">Transitional arrangements for reach stacker licences expire on 1 January 2017:  </w:t>
      </w:r>
      <w:proofErr w:type="spellStart"/>
      <w:r>
        <w:rPr>
          <w:rFonts w:cstheme="minorHAnsi"/>
        </w:rPr>
        <w:t>reg</w:t>
      </w:r>
      <w:proofErr w:type="spellEnd"/>
      <w:r>
        <w:rPr>
          <w:rFonts w:cstheme="minorHAnsi"/>
        </w:rPr>
        <w:t> 727 of the WHS Regulations. From then, all reach stacker operators covered by the Comcare scheme will be required to hold a reach stacker licence, no matter where they are based across Australia.</w:t>
      </w:r>
    </w:p>
    <w:p w:rsidR="0053260D" w:rsidRDefault="0053260D" w:rsidP="0053260D">
      <w:pPr>
        <w:spacing w:after="240"/>
        <w:rPr>
          <w:rFonts w:cstheme="minorHAnsi"/>
        </w:rPr>
      </w:pPr>
      <w:r>
        <w:rPr>
          <w:rFonts w:cstheme="minorHAnsi"/>
        </w:rPr>
        <w:t xml:space="preserve">The Amendment Regulation accommodates state-based differences in the licensing scheme. It means that reach stacker operators in the Comcare scheme will be required to hold the licence required to operate a reach stacker under the corresponding WHS laws and regulations in the state or territory in which they are working. </w:t>
      </w:r>
    </w:p>
    <w:p w:rsidR="0053260D" w:rsidRPr="000F1BB1" w:rsidRDefault="0053260D" w:rsidP="0053260D">
      <w:pPr>
        <w:spacing w:after="200"/>
        <w:rPr>
          <w:rFonts w:eastAsia="Calibri"/>
          <w:i/>
          <w:lang w:eastAsia="en-US"/>
        </w:rPr>
      </w:pPr>
      <w:r w:rsidRPr="000F1BB1">
        <w:rPr>
          <w:rFonts w:eastAsia="Calibri"/>
          <w:i/>
          <w:lang w:eastAsia="en-US"/>
        </w:rPr>
        <w:t>Spent transitional provisions</w:t>
      </w:r>
    </w:p>
    <w:p w:rsidR="0053260D" w:rsidRPr="00DB7146" w:rsidRDefault="0053260D" w:rsidP="0053260D">
      <w:pPr>
        <w:spacing w:after="200"/>
        <w:rPr>
          <w:rFonts w:eastAsia="Calibri"/>
          <w:lang w:eastAsia="en-US"/>
        </w:rPr>
      </w:pPr>
      <w:r>
        <w:rPr>
          <w:rFonts w:eastAsia="Calibri"/>
          <w:lang w:eastAsia="en-US"/>
        </w:rPr>
        <w:t xml:space="preserve">Chapter 12 of the WHS Regulations contains a range of transitional provisions that facilitated the implementation of the model WHS laws. </w:t>
      </w:r>
      <w:r>
        <w:rPr>
          <w:rFonts w:cstheme="minorHAnsi"/>
        </w:rPr>
        <w:t>The Amendment Regulation repeals transitional provisions that have ceased to have effect due to the passage of time</w:t>
      </w:r>
      <w:r>
        <w:rPr>
          <w:rFonts w:eastAsia="Calibri"/>
          <w:lang w:eastAsia="en-US"/>
        </w:rPr>
        <w:t xml:space="preserve">. </w:t>
      </w:r>
    </w:p>
    <w:p w:rsidR="0053260D" w:rsidRPr="00DB7146" w:rsidRDefault="0053260D" w:rsidP="0053260D">
      <w:pPr>
        <w:autoSpaceDE w:val="0"/>
        <w:autoSpaceDN w:val="0"/>
        <w:adjustRightInd w:val="0"/>
        <w:rPr>
          <w:color w:val="000000"/>
          <w:sz w:val="23"/>
          <w:szCs w:val="23"/>
        </w:rPr>
      </w:pPr>
      <w:r w:rsidRPr="00DB7146">
        <w:rPr>
          <w:b/>
          <w:bCs/>
          <w:color w:val="000000"/>
          <w:sz w:val="23"/>
          <w:szCs w:val="23"/>
        </w:rPr>
        <w:t xml:space="preserve">Human rights implications </w:t>
      </w:r>
    </w:p>
    <w:p w:rsidR="0053260D" w:rsidRDefault="0053260D" w:rsidP="0053260D">
      <w:pPr>
        <w:autoSpaceDE w:val="0"/>
        <w:autoSpaceDN w:val="0"/>
        <w:adjustRightInd w:val="0"/>
        <w:rPr>
          <w:color w:val="000000"/>
          <w:sz w:val="23"/>
          <w:szCs w:val="23"/>
        </w:rPr>
      </w:pPr>
    </w:p>
    <w:p w:rsidR="0053260D" w:rsidRDefault="0053260D" w:rsidP="0053260D">
      <w:pPr>
        <w:autoSpaceDE w:val="0"/>
        <w:autoSpaceDN w:val="0"/>
        <w:adjustRightInd w:val="0"/>
        <w:rPr>
          <w:color w:val="000000"/>
          <w:sz w:val="23"/>
          <w:szCs w:val="23"/>
        </w:rPr>
      </w:pPr>
      <w:r>
        <w:rPr>
          <w:color w:val="000000"/>
          <w:sz w:val="23"/>
          <w:szCs w:val="23"/>
        </w:rPr>
        <w:t xml:space="preserve">This </w:t>
      </w:r>
      <w:r w:rsidRPr="00DB7146">
        <w:rPr>
          <w:color w:val="000000"/>
          <w:sz w:val="23"/>
          <w:szCs w:val="23"/>
        </w:rPr>
        <w:t xml:space="preserve">Disallowable Legislative Instrument does not engage any of the applicable rights or freedoms. </w:t>
      </w:r>
    </w:p>
    <w:p w:rsidR="0053260D" w:rsidRDefault="0053260D" w:rsidP="0053260D">
      <w:pPr>
        <w:autoSpaceDE w:val="0"/>
        <w:autoSpaceDN w:val="0"/>
        <w:adjustRightInd w:val="0"/>
        <w:rPr>
          <w:color w:val="000000"/>
          <w:sz w:val="23"/>
          <w:szCs w:val="23"/>
        </w:rPr>
      </w:pPr>
    </w:p>
    <w:p w:rsidR="0053260D" w:rsidRPr="00DB7146" w:rsidRDefault="0053260D" w:rsidP="0053260D">
      <w:pPr>
        <w:autoSpaceDE w:val="0"/>
        <w:autoSpaceDN w:val="0"/>
        <w:adjustRightInd w:val="0"/>
        <w:rPr>
          <w:color w:val="000000"/>
          <w:sz w:val="23"/>
          <w:szCs w:val="23"/>
        </w:rPr>
      </w:pPr>
      <w:r>
        <w:rPr>
          <w:rFonts w:eastAsia="Calibri"/>
        </w:rPr>
        <w:t>The amendments to insert licensing provisions for asbestos removal do not affect any pre</w:t>
      </w:r>
      <w:r>
        <w:rPr>
          <w:rFonts w:eastAsia="Calibri"/>
        </w:rPr>
        <w:noBreakHyphen/>
        <w:t>existing licensing requirements around the country. They enable Comcare to issue asbestos removal licences to businesses within its scheme, which are currently unable to obtain licences that would enable them to perform asbestos removal work from Comcare or elsewhere.</w:t>
      </w:r>
    </w:p>
    <w:p w:rsidR="0053260D" w:rsidRDefault="0053260D" w:rsidP="0053260D">
      <w:pPr>
        <w:spacing w:before="100" w:beforeAutospacing="1" w:after="240"/>
        <w:rPr>
          <w:rFonts w:eastAsia="Calibri"/>
        </w:rPr>
      </w:pPr>
      <w:r>
        <w:rPr>
          <w:rFonts w:eastAsia="Calibri"/>
        </w:rPr>
        <w:t>The amendments for reach stacker licences are administrative in nature. They accommodate differences in reach stacker licensing arrangements in Victoria and Western Australia, enabling reach stacker operators in the Comcare scheme to operate reach stackers in all states and territories with an appropriate high risk work licence.</w:t>
      </w:r>
    </w:p>
    <w:p w:rsidR="0053260D" w:rsidRDefault="0053260D" w:rsidP="0053260D">
      <w:pPr>
        <w:spacing w:before="100" w:beforeAutospacing="1" w:after="240"/>
        <w:rPr>
          <w:rFonts w:eastAsia="Calibri"/>
        </w:rPr>
      </w:pPr>
      <w:r>
        <w:rPr>
          <w:rFonts w:eastAsia="Calibri"/>
        </w:rPr>
        <w:t>The amendments to remove spent transitional regulations are administrative in nature.</w:t>
      </w:r>
    </w:p>
    <w:p w:rsidR="0053260D" w:rsidRPr="00DB7146" w:rsidRDefault="0053260D" w:rsidP="0053260D">
      <w:pPr>
        <w:spacing w:before="100" w:beforeAutospacing="1" w:after="240"/>
        <w:rPr>
          <w:rFonts w:eastAsia="Calibri"/>
          <w:b/>
        </w:rPr>
      </w:pPr>
      <w:r w:rsidRPr="00DB7146">
        <w:rPr>
          <w:rFonts w:eastAsia="Calibri"/>
          <w:b/>
        </w:rPr>
        <w:t>Conclusion</w:t>
      </w:r>
    </w:p>
    <w:p w:rsidR="0053260D" w:rsidRPr="00DB7146" w:rsidRDefault="0053260D" w:rsidP="0053260D">
      <w:pPr>
        <w:spacing w:before="100" w:beforeAutospacing="1" w:after="240"/>
        <w:rPr>
          <w:rFonts w:eastAsia="Calibri"/>
        </w:rPr>
      </w:pPr>
      <w:r>
        <w:rPr>
          <w:rFonts w:eastAsia="Calibri"/>
        </w:rPr>
        <w:t>This Disallowable Legislative Instrument is compatible with human rights as it does not raise any human rights issues.</w:t>
      </w:r>
    </w:p>
    <w:p w:rsidR="0053260D" w:rsidRPr="00086CFC" w:rsidRDefault="0053260D" w:rsidP="00B303DB">
      <w:pPr>
        <w:rPr>
          <w:rFonts w:eastAsia="Calibri"/>
        </w:rPr>
      </w:pPr>
    </w:p>
    <w:sectPr w:rsidR="0053260D" w:rsidRPr="00086CFC" w:rsidSect="00C92D0F">
      <w:headerReference w:type="default" r:id="rId18"/>
      <w:footerReference w:type="default" r:id="rId19"/>
      <w:headerReference w:type="first" r:id="rId20"/>
      <w:footerReference w:type="first" r:id="rId21"/>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EB" w:rsidRDefault="00B124EB">
      <w:r>
        <w:separator/>
      </w:r>
    </w:p>
  </w:endnote>
  <w:endnote w:type="continuationSeparator" w:id="0">
    <w:p w:rsidR="00B124EB" w:rsidRDefault="00B1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FC" w:rsidRDefault="00086CFC" w:rsidP="003021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CFC" w:rsidRDefault="00086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67617"/>
      <w:docPartObj>
        <w:docPartGallery w:val="Page Numbers (Bottom of Page)"/>
        <w:docPartUnique/>
      </w:docPartObj>
    </w:sdtPr>
    <w:sdtEndPr>
      <w:rPr>
        <w:noProof/>
      </w:rPr>
    </w:sdtEndPr>
    <w:sdtContent>
      <w:p w:rsidR="00086CFC" w:rsidRDefault="00086CFC">
        <w:pPr>
          <w:pStyle w:val="Footer"/>
          <w:jc w:val="center"/>
        </w:pPr>
        <w:r>
          <w:fldChar w:fldCharType="begin"/>
        </w:r>
        <w:r>
          <w:instrText xml:space="preserve"> PAGE   \* MERGEFORMAT </w:instrText>
        </w:r>
        <w:r>
          <w:fldChar w:fldCharType="separate"/>
        </w:r>
        <w:r w:rsidR="004775D5">
          <w:rPr>
            <w:noProof/>
          </w:rPr>
          <w:t>ii</w:t>
        </w:r>
        <w:r>
          <w:rPr>
            <w:noProof/>
          </w:rPr>
          <w:fldChar w:fldCharType="end"/>
        </w:r>
      </w:p>
    </w:sdtContent>
  </w:sdt>
  <w:p w:rsidR="00086CFC" w:rsidRDefault="00086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527619"/>
      <w:docPartObj>
        <w:docPartGallery w:val="Page Numbers (Bottom of Page)"/>
        <w:docPartUnique/>
      </w:docPartObj>
    </w:sdtPr>
    <w:sdtEndPr>
      <w:rPr>
        <w:noProof/>
      </w:rPr>
    </w:sdtEndPr>
    <w:sdtContent>
      <w:p w:rsidR="00086CFC" w:rsidRDefault="00086CFC">
        <w:pPr>
          <w:pStyle w:val="Footer"/>
          <w:jc w:val="center"/>
        </w:pPr>
        <w:r>
          <w:fldChar w:fldCharType="begin"/>
        </w:r>
        <w:r>
          <w:instrText xml:space="preserve"> PAGE   \* MERGEFORMAT </w:instrText>
        </w:r>
        <w:r>
          <w:fldChar w:fldCharType="separate"/>
        </w:r>
        <w:r w:rsidR="004775D5">
          <w:rPr>
            <w:noProof/>
          </w:rPr>
          <w:t>i</w:t>
        </w:r>
        <w:r>
          <w:rPr>
            <w:noProof/>
          </w:rPr>
          <w:fldChar w:fldCharType="end"/>
        </w:r>
      </w:p>
    </w:sdtContent>
  </w:sdt>
  <w:p w:rsidR="00086CFC" w:rsidRDefault="00086C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52384"/>
      <w:docPartObj>
        <w:docPartGallery w:val="Page Numbers (Bottom of Page)"/>
        <w:docPartUnique/>
      </w:docPartObj>
    </w:sdtPr>
    <w:sdtEndPr>
      <w:rPr>
        <w:noProof/>
      </w:rPr>
    </w:sdtEndPr>
    <w:sdtContent>
      <w:p w:rsidR="004C0F9A" w:rsidRDefault="004C0F9A">
        <w:pPr>
          <w:pStyle w:val="Footer"/>
          <w:jc w:val="center"/>
        </w:pPr>
        <w:r>
          <w:fldChar w:fldCharType="begin"/>
        </w:r>
        <w:r>
          <w:instrText xml:space="preserve"> PAGE   \* MERGEFORMAT </w:instrText>
        </w:r>
        <w:r>
          <w:fldChar w:fldCharType="separate"/>
        </w:r>
        <w:r w:rsidR="004775D5">
          <w:rPr>
            <w:noProof/>
          </w:rPr>
          <w:t>10</w:t>
        </w:r>
        <w:r>
          <w:rPr>
            <w:noProof/>
          </w:rPr>
          <w:fldChar w:fldCharType="end"/>
        </w:r>
      </w:p>
    </w:sdtContent>
  </w:sdt>
  <w:p w:rsidR="004C0F9A" w:rsidRDefault="004C0F9A" w:rsidP="00010CA7">
    <w:pPr>
      <w:pStyle w:val="Footer"/>
    </w:pPr>
  </w:p>
  <w:p w:rsidR="00052A5E" w:rsidRDefault="00052A5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6225"/>
      <w:docPartObj>
        <w:docPartGallery w:val="Page Numbers (Bottom of Page)"/>
        <w:docPartUnique/>
      </w:docPartObj>
    </w:sdtPr>
    <w:sdtEndPr>
      <w:rPr>
        <w:noProof/>
      </w:rPr>
    </w:sdtEndPr>
    <w:sdtContent>
      <w:p w:rsidR="004C0F9A" w:rsidRDefault="004C0F9A">
        <w:pPr>
          <w:pStyle w:val="Footer"/>
          <w:jc w:val="center"/>
        </w:pPr>
        <w:r>
          <w:fldChar w:fldCharType="begin"/>
        </w:r>
        <w:r>
          <w:instrText xml:space="preserve"> PAGE   \* MERGEFORMAT </w:instrText>
        </w:r>
        <w:r>
          <w:fldChar w:fldCharType="separate"/>
        </w:r>
        <w:r w:rsidR="004775D5">
          <w:rPr>
            <w:noProof/>
          </w:rPr>
          <w:t>1</w:t>
        </w:r>
        <w:r>
          <w:rPr>
            <w:noProof/>
          </w:rPr>
          <w:fldChar w:fldCharType="end"/>
        </w:r>
      </w:p>
    </w:sdtContent>
  </w:sdt>
  <w:p w:rsidR="004C0F9A" w:rsidRDefault="004C0F9A">
    <w:pPr>
      <w:pStyle w:val="Footer"/>
    </w:pPr>
  </w:p>
  <w:p w:rsidR="00052A5E" w:rsidRDefault="00052A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EB" w:rsidRDefault="00B124EB">
      <w:r>
        <w:separator/>
      </w:r>
    </w:p>
  </w:footnote>
  <w:footnote w:type="continuationSeparator" w:id="0">
    <w:p w:rsidR="00B124EB" w:rsidRDefault="00B1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FC" w:rsidRDefault="00086CFC" w:rsidP="009870F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FC" w:rsidRDefault="00086CFC" w:rsidP="009870F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9A" w:rsidRDefault="004C0F9A">
    <w:pPr>
      <w:pStyle w:val="Header"/>
      <w:jc w:val="center"/>
    </w:pPr>
  </w:p>
  <w:p w:rsidR="004C0F9A" w:rsidRDefault="004C0F9A" w:rsidP="009870F6">
    <w:pPr>
      <w:pStyle w:val="Header"/>
      <w:jc w:val="center"/>
    </w:pPr>
  </w:p>
  <w:p w:rsidR="00052A5E" w:rsidRDefault="00052A5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9A" w:rsidRPr="00CB6B61" w:rsidRDefault="004C0F9A" w:rsidP="00CB6B61">
    <w:pPr>
      <w:pStyle w:val="Header"/>
    </w:pPr>
  </w:p>
  <w:p w:rsidR="00052A5E" w:rsidRDefault="00052A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17B"/>
    <w:multiLevelType w:val="hybridMultilevel"/>
    <w:tmpl w:val="0F2C6A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C571556"/>
    <w:multiLevelType w:val="multilevel"/>
    <w:tmpl w:val="6B1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C5053"/>
    <w:multiLevelType w:val="multilevel"/>
    <w:tmpl w:val="7280248E"/>
    <w:lvl w:ilvl="0">
      <w:start w:val="1"/>
      <w:numFmt w:val="bullet"/>
      <w:lvlText w:val=""/>
      <w:lvlJc w:val="left"/>
      <w:pPr>
        <w:tabs>
          <w:tab w:val="num" w:pos="-2040"/>
        </w:tabs>
        <w:ind w:left="-204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600"/>
        </w:tabs>
        <w:ind w:left="-600" w:hanging="360"/>
      </w:pPr>
      <w:rPr>
        <w:rFonts w:ascii="Wingdings" w:hAnsi="Wingdings" w:hint="default"/>
        <w:sz w:val="20"/>
      </w:rPr>
    </w:lvl>
    <w:lvl w:ilvl="3" w:tentative="1">
      <w:start w:val="1"/>
      <w:numFmt w:val="bullet"/>
      <w:lvlText w:val=""/>
      <w:lvlJc w:val="left"/>
      <w:pPr>
        <w:tabs>
          <w:tab w:val="num" w:pos="120"/>
        </w:tabs>
        <w:ind w:left="120" w:hanging="360"/>
      </w:pPr>
      <w:rPr>
        <w:rFonts w:ascii="Wingdings" w:hAnsi="Wingdings" w:hint="default"/>
        <w:sz w:val="20"/>
      </w:rPr>
    </w:lvl>
    <w:lvl w:ilvl="4" w:tentative="1">
      <w:start w:val="1"/>
      <w:numFmt w:val="bullet"/>
      <w:lvlText w:val=""/>
      <w:lvlJc w:val="left"/>
      <w:pPr>
        <w:tabs>
          <w:tab w:val="num" w:pos="840"/>
        </w:tabs>
        <w:ind w:left="840" w:hanging="360"/>
      </w:pPr>
      <w:rPr>
        <w:rFonts w:ascii="Wingdings" w:hAnsi="Wingdings" w:hint="default"/>
        <w:sz w:val="20"/>
      </w:rPr>
    </w:lvl>
    <w:lvl w:ilvl="5" w:tentative="1">
      <w:start w:val="1"/>
      <w:numFmt w:val="bullet"/>
      <w:lvlText w:val=""/>
      <w:lvlJc w:val="left"/>
      <w:pPr>
        <w:tabs>
          <w:tab w:val="num" w:pos="1560"/>
        </w:tabs>
        <w:ind w:left="1560" w:hanging="360"/>
      </w:pPr>
      <w:rPr>
        <w:rFonts w:ascii="Wingdings" w:hAnsi="Wingdings" w:hint="default"/>
        <w:sz w:val="20"/>
      </w:rPr>
    </w:lvl>
    <w:lvl w:ilvl="6" w:tentative="1">
      <w:start w:val="1"/>
      <w:numFmt w:val="bullet"/>
      <w:lvlText w:val=""/>
      <w:lvlJc w:val="left"/>
      <w:pPr>
        <w:tabs>
          <w:tab w:val="num" w:pos="2280"/>
        </w:tabs>
        <w:ind w:left="2280" w:hanging="360"/>
      </w:pPr>
      <w:rPr>
        <w:rFonts w:ascii="Wingdings" w:hAnsi="Wingdings" w:hint="default"/>
        <w:sz w:val="20"/>
      </w:rPr>
    </w:lvl>
    <w:lvl w:ilvl="7" w:tentative="1">
      <w:start w:val="1"/>
      <w:numFmt w:val="bullet"/>
      <w:lvlText w:val=""/>
      <w:lvlJc w:val="left"/>
      <w:pPr>
        <w:tabs>
          <w:tab w:val="num" w:pos="3000"/>
        </w:tabs>
        <w:ind w:left="3000" w:hanging="360"/>
      </w:pPr>
      <w:rPr>
        <w:rFonts w:ascii="Wingdings" w:hAnsi="Wingdings" w:hint="default"/>
        <w:sz w:val="20"/>
      </w:rPr>
    </w:lvl>
    <w:lvl w:ilvl="8" w:tentative="1">
      <w:start w:val="1"/>
      <w:numFmt w:val="bullet"/>
      <w:lvlText w:val=""/>
      <w:lvlJc w:val="left"/>
      <w:pPr>
        <w:tabs>
          <w:tab w:val="num" w:pos="3720"/>
        </w:tabs>
        <w:ind w:left="3720" w:hanging="360"/>
      </w:pPr>
      <w:rPr>
        <w:rFonts w:ascii="Wingdings" w:hAnsi="Wingdings" w:hint="default"/>
        <w:sz w:val="20"/>
      </w:rPr>
    </w:lvl>
  </w:abstractNum>
  <w:abstractNum w:abstractNumId="3">
    <w:nsid w:val="18327664"/>
    <w:multiLevelType w:val="multilevel"/>
    <w:tmpl w:val="7A7A0DF4"/>
    <w:lvl w:ilvl="0">
      <w:start w:val="1"/>
      <w:numFmt w:val="decimal"/>
      <w:pStyle w:val="NumberLevel1"/>
      <w:lvlText w:val="%1."/>
      <w:lvlJc w:val="left"/>
      <w:pPr>
        <w:tabs>
          <w:tab w:val="num" w:pos="709"/>
        </w:tabs>
        <w:ind w:left="0" w:hanging="709"/>
      </w:pPr>
      <w:rPr>
        <w:b w:val="0"/>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4">
    <w:nsid w:val="1DF03C0C"/>
    <w:multiLevelType w:val="hybridMultilevel"/>
    <w:tmpl w:val="7B3652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F217CF9"/>
    <w:multiLevelType w:val="hybridMultilevel"/>
    <w:tmpl w:val="554CC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7660C9"/>
    <w:multiLevelType w:val="hybridMultilevel"/>
    <w:tmpl w:val="A07C4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D07FA"/>
    <w:multiLevelType w:val="hybridMultilevel"/>
    <w:tmpl w:val="5694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956D6B"/>
    <w:multiLevelType w:val="hybridMultilevel"/>
    <w:tmpl w:val="08108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E20FC5"/>
    <w:multiLevelType w:val="hybridMultilevel"/>
    <w:tmpl w:val="6AD87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4F1817"/>
    <w:multiLevelType w:val="hybridMultilevel"/>
    <w:tmpl w:val="39FC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E55D77"/>
    <w:multiLevelType w:val="hybridMultilevel"/>
    <w:tmpl w:val="5CF69CC8"/>
    <w:lvl w:ilvl="0" w:tplc="34E6C390">
      <w:start w:val="1"/>
      <w:numFmt w:val="decimal"/>
      <w:lvlText w:val="%1."/>
      <w:lvlJc w:val="left"/>
      <w:pPr>
        <w:ind w:left="502" w:hanging="360"/>
      </w:pPr>
      <w:rPr>
        <w:rFonts w:ascii="Times New Roman" w:hAnsi="Times New Roman" w:cs="Times New Roman" w:hint="default"/>
        <w:b w:val="0"/>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CC6A9C"/>
    <w:multiLevelType w:val="hybridMultilevel"/>
    <w:tmpl w:val="5672A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C8675C"/>
    <w:multiLevelType w:val="hybridMultilevel"/>
    <w:tmpl w:val="A19E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C82465"/>
    <w:multiLevelType w:val="hybridMultilevel"/>
    <w:tmpl w:val="66A06C84"/>
    <w:lvl w:ilvl="0" w:tplc="87101A68">
      <w:start w:val="1"/>
      <w:numFmt w:val="bullet"/>
      <w:pStyle w:val="Dotpointparagraph"/>
      <w:lvlText w:val=""/>
      <w:lvlJc w:val="left"/>
      <w:pPr>
        <w:ind w:left="720" w:hanging="360"/>
      </w:pPr>
      <w:rPr>
        <w:rFonts w:ascii="Symbol" w:hAnsi="Symbol" w:hint="default"/>
      </w:rPr>
    </w:lvl>
    <w:lvl w:ilvl="1" w:tplc="8A36AC1E">
      <w:start w:val="1"/>
      <w:numFmt w:val="bullet"/>
      <w:pStyle w:val="Squarepointparagraph"/>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4F3097"/>
    <w:multiLevelType w:val="hybridMultilevel"/>
    <w:tmpl w:val="82C6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B73C01"/>
    <w:multiLevelType w:val="hybridMultilevel"/>
    <w:tmpl w:val="4DB47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502FA5"/>
    <w:multiLevelType w:val="hybridMultilevel"/>
    <w:tmpl w:val="27F8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0AA7E86"/>
    <w:multiLevelType w:val="multilevel"/>
    <w:tmpl w:val="D1BCC71C"/>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nsid w:val="786348CF"/>
    <w:multiLevelType w:val="hybridMultilevel"/>
    <w:tmpl w:val="D10A1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D2129D9"/>
    <w:multiLevelType w:val="hybridMultilevel"/>
    <w:tmpl w:val="3DEE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7"/>
  </w:num>
  <w:num w:numId="5">
    <w:abstractNumId w:val="11"/>
  </w:num>
  <w:num w:numId="6">
    <w:abstractNumId w:val="16"/>
  </w:num>
  <w:num w:numId="7">
    <w:abstractNumId w:val="7"/>
  </w:num>
  <w:num w:numId="8">
    <w:abstractNumId w:val="14"/>
  </w:num>
  <w:num w:numId="9">
    <w:abstractNumId w:val="14"/>
  </w:num>
  <w:num w:numId="10">
    <w:abstractNumId w:val="19"/>
  </w:num>
  <w:num w:numId="11">
    <w:abstractNumId w:val="13"/>
  </w:num>
  <w:num w:numId="12">
    <w:abstractNumId w:val="8"/>
  </w:num>
  <w:num w:numId="13">
    <w:abstractNumId w:val="6"/>
  </w:num>
  <w:num w:numId="14">
    <w:abstractNumId w:val="9"/>
  </w:num>
  <w:num w:numId="15">
    <w:abstractNumId w:val="1"/>
  </w:num>
  <w:num w:numId="16">
    <w:abstractNumId w:val="2"/>
  </w:num>
  <w:num w:numId="17">
    <w:abstractNumId w:val="5"/>
  </w:num>
  <w:num w:numId="18">
    <w:abstractNumId w:val="15"/>
  </w:num>
  <w:num w:numId="1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9adf676-fad6-48e5-8bb4-e4f6042a90d9"/>
  </w:docVars>
  <w:rsids>
    <w:rsidRoot w:val="003021F7"/>
    <w:rsid w:val="00000600"/>
    <w:rsid w:val="00002FC9"/>
    <w:rsid w:val="000047B6"/>
    <w:rsid w:val="00006275"/>
    <w:rsid w:val="00010CA7"/>
    <w:rsid w:val="00020B49"/>
    <w:rsid w:val="00034601"/>
    <w:rsid w:val="00036FAA"/>
    <w:rsid w:val="00047BD0"/>
    <w:rsid w:val="000520E9"/>
    <w:rsid w:val="00052A5E"/>
    <w:rsid w:val="00053573"/>
    <w:rsid w:val="00053614"/>
    <w:rsid w:val="0005525B"/>
    <w:rsid w:val="00060A3D"/>
    <w:rsid w:val="00066103"/>
    <w:rsid w:val="000670FE"/>
    <w:rsid w:val="00073870"/>
    <w:rsid w:val="00074839"/>
    <w:rsid w:val="00077993"/>
    <w:rsid w:val="00082803"/>
    <w:rsid w:val="00086CFC"/>
    <w:rsid w:val="00086E7A"/>
    <w:rsid w:val="000907A5"/>
    <w:rsid w:val="00091333"/>
    <w:rsid w:val="00091F90"/>
    <w:rsid w:val="00095187"/>
    <w:rsid w:val="00095923"/>
    <w:rsid w:val="000965C0"/>
    <w:rsid w:val="000A2B4A"/>
    <w:rsid w:val="000D283F"/>
    <w:rsid w:val="000D44F7"/>
    <w:rsid w:val="000D5DFC"/>
    <w:rsid w:val="000E0CD0"/>
    <w:rsid w:val="000E5E3B"/>
    <w:rsid w:val="000F1BB1"/>
    <w:rsid w:val="000F2066"/>
    <w:rsid w:val="000F3D00"/>
    <w:rsid w:val="000F7AE0"/>
    <w:rsid w:val="00104522"/>
    <w:rsid w:val="001108D3"/>
    <w:rsid w:val="00117F12"/>
    <w:rsid w:val="00120251"/>
    <w:rsid w:val="0012181C"/>
    <w:rsid w:val="0012742E"/>
    <w:rsid w:val="00127FA4"/>
    <w:rsid w:val="00131498"/>
    <w:rsid w:val="00136B7C"/>
    <w:rsid w:val="00137248"/>
    <w:rsid w:val="00141B76"/>
    <w:rsid w:val="001538A7"/>
    <w:rsid w:val="00154F83"/>
    <w:rsid w:val="00157377"/>
    <w:rsid w:val="00160588"/>
    <w:rsid w:val="0016146E"/>
    <w:rsid w:val="00164282"/>
    <w:rsid w:val="00171304"/>
    <w:rsid w:val="0017330E"/>
    <w:rsid w:val="00185988"/>
    <w:rsid w:val="00186280"/>
    <w:rsid w:val="001964D0"/>
    <w:rsid w:val="00197FCB"/>
    <w:rsid w:val="001A0F79"/>
    <w:rsid w:val="001A568E"/>
    <w:rsid w:val="001B2EC7"/>
    <w:rsid w:val="001B5225"/>
    <w:rsid w:val="001C69E7"/>
    <w:rsid w:val="001D511B"/>
    <w:rsid w:val="001E1E3C"/>
    <w:rsid w:val="001E4C79"/>
    <w:rsid w:val="001E5EF3"/>
    <w:rsid w:val="001F0414"/>
    <w:rsid w:val="001F32AC"/>
    <w:rsid w:val="001F4E48"/>
    <w:rsid w:val="001F7178"/>
    <w:rsid w:val="00211FCF"/>
    <w:rsid w:val="00213802"/>
    <w:rsid w:val="00214570"/>
    <w:rsid w:val="00215BDA"/>
    <w:rsid w:val="00221719"/>
    <w:rsid w:val="00222FD9"/>
    <w:rsid w:val="00224CAD"/>
    <w:rsid w:val="00227314"/>
    <w:rsid w:val="0023342A"/>
    <w:rsid w:val="00234889"/>
    <w:rsid w:val="00235FEC"/>
    <w:rsid w:val="00236426"/>
    <w:rsid w:val="002375A4"/>
    <w:rsid w:val="0024607A"/>
    <w:rsid w:val="00253150"/>
    <w:rsid w:val="00255A99"/>
    <w:rsid w:val="00256F82"/>
    <w:rsid w:val="00262436"/>
    <w:rsid w:val="002667FC"/>
    <w:rsid w:val="00272DFA"/>
    <w:rsid w:val="0027748C"/>
    <w:rsid w:val="00286BD2"/>
    <w:rsid w:val="00290E8A"/>
    <w:rsid w:val="002910D4"/>
    <w:rsid w:val="00292EB8"/>
    <w:rsid w:val="00296442"/>
    <w:rsid w:val="002A0069"/>
    <w:rsid w:val="002A1854"/>
    <w:rsid w:val="002A1FE5"/>
    <w:rsid w:val="002A51AB"/>
    <w:rsid w:val="002A7429"/>
    <w:rsid w:val="002B0656"/>
    <w:rsid w:val="002B1E70"/>
    <w:rsid w:val="002B1F3B"/>
    <w:rsid w:val="002C6918"/>
    <w:rsid w:val="002C7273"/>
    <w:rsid w:val="002D06C7"/>
    <w:rsid w:val="002E12A4"/>
    <w:rsid w:val="002F43F0"/>
    <w:rsid w:val="003021F7"/>
    <w:rsid w:val="00302960"/>
    <w:rsid w:val="0031396E"/>
    <w:rsid w:val="003145D7"/>
    <w:rsid w:val="00323159"/>
    <w:rsid w:val="003322BE"/>
    <w:rsid w:val="00332488"/>
    <w:rsid w:val="00352A16"/>
    <w:rsid w:val="00354553"/>
    <w:rsid w:val="00372A9D"/>
    <w:rsid w:val="00377447"/>
    <w:rsid w:val="0038441A"/>
    <w:rsid w:val="00387BCC"/>
    <w:rsid w:val="003904C5"/>
    <w:rsid w:val="00393972"/>
    <w:rsid w:val="00394B64"/>
    <w:rsid w:val="003A0956"/>
    <w:rsid w:val="003A1B79"/>
    <w:rsid w:val="003A4B16"/>
    <w:rsid w:val="003A7DDA"/>
    <w:rsid w:val="003B2D72"/>
    <w:rsid w:val="003C0040"/>
    <w:rsid w:val="003C09A4"/>
    <w:rsid w:val="003C2071"/>
    <w:rsid w:val="003C2975"/>
    <w:rsid w:val="003C561A"/>
    <w:rsid w:val="003C71AA"/>
    <w:rsid w:val="003D119B"/>
    <w:rsid w:val="003D2B9D"/>
    <w:rsid w:val="003D2E93"/>
    <w:rsid w:val="003E6421"/>
    <w:rsid w:val="003F007C"/>
    <w:rsid w:val="003F1C60"/>
    <w:rsid w:val="003F4CD7"/>
    <w:rsid w:val="003F798D"/>
    <w:rsid w:val="003F7B8E"/>
    <w:rsid w:val="0040258B"/>
    <w:rsid w:val="00406346"/>
    <w:rsid w:val="00407554"/>
    <w:rsid w:val="00420CE8"/>
    <w:rsid w:val="00422570"/>
    <w:rsid w:val="00422BEB"/>
    <w:rsid w:val="00423AAE"/>
    <w:rsid w:val="004244B7"/>
    <w:rsid w:val="00426D4E"/>
    <w:rsid w:val="00427177"/>
    <w:rsid w:val="0043533A"/>
    <w:rsid w:val="00437E99"/>
    <w:rsid w:val="0044203F"/>
    <w:rsid w:val="00455E0D"/>
    <w:rsid w:val="00456347"/>
    <w:rsid w:val="004569DD"/>
    <w:rsid w:val="00457C75"/>
    <w:rsid w:val="00462825"/>
    <w:rsid w:val="004659BC"/>
    <w:rsid w:val="00471B6F"/>
    <w:rsid w:val="00471EF0"/>
    <w:rsid w:val="00472B4D"/>
    <w:rsid w:val="004775D5"/>
    <w:rsid w:val="004852FD"/>
    <w:rsid w:val="0048571C"/>
    <w:rsid w:val="004878E3"/>
    <w:rsid w:val="00487A4D"/>
    <w:rsid w:val="004A0841"/>
    <w:rsid w:val="004A17B0"/>
    <w:rsid w:val="004A45D3"/>
    <w:rsid w:val="004A60BC"/>
    <w:rsid w:val="004A7FAC"/>
    <w:rsid w:val="004B49E6"/>
    <w:rsid w:val="004C0F9A"/>
    <w:rsid w:val="004D26AE"/>
    <w:rsid w:val="004D3471"/>
    <w:rsid w:val="004D59CF"/>
    <w:rsid w:val="004E79DE"/>
    <w:rsid w:val="004F390C"/>
    <w:rsid w:val="004F46DA"/>
    <w:rsid w:val="00501A22"/>
    <w:rsid w:val="0051392F"/>
    <w:rsid w:val="00515084"/>
    <w:rsid w:val="00522B8B"/>
    <w:rsid w:val="00524934"/>
    <w:rsid w:val="00524A45"/>
    <w:rsid w:val="0052602F"/>
    <w:rsid w:val="0053260D"/>
    <w:rsid w:val="00533028"/>
    <w:rsid w:val="005356C4"/>
    <w:rsid w:val="005419DC"/>
    <w:rsid w:val="0054474B"/>
    <w:rsid w:val="0054550D"/>
    <w:rsid w:val="00551059"/>
    <w:rsid w:val="00553573"/>
    <w:rsid w:val="00554954"/>
    <w:rsid w:val="00563D8F"/>
    <w:rsid w:val="005656B9"/>
    <w:rsid w:val="00573D91"/>
    <w:rsid w:val="00574475"/>
    <w:rsid w:val="00582D6C"/>
    <w:rsid w:val="00586F5F"/>
    <w:rsid w:val="00591A4A"/>
    <w:rsid w:val="00595CE0"/>
    <w:rsid w:val="00597B5B"/>
    <w:rsid w:val="005A145C"/>
    <w:rsid w:val="005A1BD8"/>
    <w:rsid w:val="005B0956"/>
    <w:rsid w:val="005B0BAC"/>
    <w:rsid w:val="005B3060"/>
    <w:rsid w:val="005C26D6"/>
    <w:rsid w:val="005C33AD"/>
    <w:rsid w:val="005C419B"/>
    <w:rsid w:val="005D2992"/>
    <w:rsid w:val="005E50F9"/>
    <w:rsid w:val="005F11BB"/>
    <w:rsid w:val="005F4CD7"/>
    <w:rsid w:val="00601F54"/>
    <w:rsid w:val="0062514B"/>
    <w:rsid w:val="0062616A"/>
    <w:rsid w:val="00626D2A"/>
    <w:rsid w:val="00630C9D"/>
    <w:rsid w:val="006355DD"/>
    <w:rsid w:val="0064710A"/>
    <w:rsid w:val="00654CF6"/>
    <w:rsid w:val="00660BC3"/>
    <w:rsid w:val="006633B8"/>
    <w:rsid w:val="0067189B"/>
    <w:rsid w:val="00673906"/>
    <w:rsid w:val="00674C35"/>
    <w:rsid w:val="00680C31"/>
    <w:rsid w:val="006831FD"/>
    <w:rsid w:val="00694C45"/>
    <w:rsid w:val="00696B09"/>
    <w:rsid w:val="006A1174"/>
    <w:rsid w:val="006B2F5F"/>
    <w:rsid w:val="006B5BC7"/>
    <w:rsid w:val="006C27C4"/>
    <w:rsid w:val="006C2EA3"/>
    <w:rsid w:val="006C5B13"/>
    <w:rsid w:val="006E5468"/>
    <w:rsid w:val="006E5536"/>
    <w:rsid w:val="006F3251"/>
    <w:rsid w:val="006F6204"/>
    <w:rsid w:val="00701229"/>
    <w:rsid w:val="00706911"/>
    <w:rsid w:val="00711516"/>
    <w:rsid w:val="00726BD0"/>
    <w:rsid w:val="00734916"/>
    <w:rsid w:val="0074061C"/>
    <w:rsid w:val="00741A7F"/>
    <w:rsid w:val="007445E5"/>
    <w:rsid w:val="00744F26"/>
    <w:rsid w:val="007457E9"/>
    <w:rsid w:val="007459EF"/>
    <w:rsid w:val="0075115A"/>
    <w:rsid w:val="00757A7E"/>
    <w:rsid w:val="0076321C"/>
    <w:rsid w:val="00767420"/>
    <w:rsid w:val="00770DB9"/>
    <w:rsid w:val="00782DE4"/>
    <w:rsid w:val="00784FBE"/>
    <w:rsid w:val="00796704"/>
    <w:rsid w:val="007B038A"/>
    <w:rsid w:val="007B13E8"/>
    <w:rsid w:val="007B60E1"/>
    <w:rsid w:val="007B6753"/>
    <w:rsid w:val="007C40DB"/>
    <w:rsid w:val="007C58A8"/>
    <w:rsid w:val="007C65F6"/>
    <w:rsid w:val="007D051E"/>
    <w:rsid w:val="007D1C83"/>
    <w:rsid w:val="007D31C5"/>
    <w:rsid w:val="007D476E"/>
    <w:rsid w:val="007E3A0D"/>
    <w:rsid w:val="007E6411"/>
    <w:rsid w:val="007F2AB8"/>
    <w:rsid w:val="007F348F"/>
    <w:rsid w:val="007F39F4"/>
    <w:rsid w:val="0080305A"/>
    <w:rsid w:val="00804A47"/>
    <w:rsid w:val="00810644"/>
    <w:rsid w:val="00816602"/>
    <w:rsid w:val="008252EB"/>
    <w:rsid w:val="00834196"/>
    <w:rsid w:val="00834C7D"/>
    <w:rsid w:val="008433E6"/>
    <w:rsid w:val="008442FA"/>
    <w:rsid w:val="0084482D"/>
    <w:rsid w:val="008473BC"/>
    <w:rsid w:val="008474BA"/>
    <w:rsid w:val="008504AB"/>
    <w:rsid w:val="00853CF1"/>
    <w:rsid w:val="0085513F"/>
    <w:rsid w:val="00855AEA"/>
    <w:rsid w:val="0087090D"/>
    <w:rsid w:val="008824C2"/>
    <w:rsid w:val="00894442"/>
    <w:rsid w:val="00894A92"/>
    <w:rsid w:val="008A548F"/>
    <w:rsid w:val="008A7C5B"/>
    <w:rsid w:val="008B2AA3"/>
    <w:rsid w:val="008B3059"/>
    <w:rsid w:val="008B433B"/>
    <w:rsid w:val="008B51EC"/>
    <w:rsid w:val="008D243D"/>
    <w:rsid w:val="008E0D2F"/>
    <w:rsid w:val="008E1CB3"/>
    <w:rsid w:val="008E2372"/>
    <w:rsid w:val="008E3298"/>
    <w:rsid w:val="00910675"/>
    <w:rsid w:val="009108B3"/>
    <w:rsid w:val="00910F71"/>
    <w:rsid w:val="00916BEC"/>
    <w:rsid w:val="00931DEE"/>
    <w:rsid w:val="00937C92"/>
    <w:rsid w:val="009459BB"/>
    <w:rsid w:val="009522FA"/>
    <w:rsid w:val="00953A22"/>
    <w:rsid w:val="00955AF0"/>
    <w:rsid w:val="009623C3"/>
    <w:rsid w:val="009643CB"/>
    <w:rsid w:val="00973E53"/>
    <w:rsid w:val="00975C6D"/>
    <w:rsid w:val="00983873"/>
    <w:rsid w:val="009851E1"/>
    <w:rsid w:val="009855C2"/>
    <w:rsid w:val="00985F9A"/>
    <w:rsid w:val="009870F6"/>
    <w:rsid w:val="00993F79"/>
    <w:rsid w:val="00995E2A"/>
    <w:rsid w:val="0099604B"/>
    <w:rsid w:val="009973BE"/>
    <w:rsid w:val="009B288A"/>
    <w:rsid w:val="009B5863"/>
    <w:rsid w:val="009C1055"/>
    <w:rsid w:val="009D5B73"/>
    <w:rsid w:val="009E0A38"/>
    <w:rsid w:val="009E1098"/>
    <w:rsid w:val="009E17ED"/>
    <w:rsid w:val="009E4DC0"/>
    <w:rsid w:val="009F4DA8"/>
    <w:rsid w:val="009F77EC"/>
    <w:rsid w:val="00A06C02"/>
    <w:rsid w:val="00A11969"/>
    <w:rsid w:val="00A17567"/>
    <w:rsid w:val="00A178AF"/>
    <w:rsid w:val="00A22AE1"/>
    <w:rsid w:val="00A408E2"/>
    <w:rsid w:val="00A45AF8"/>
    <w:rsid w:val="00A6001B"/>
    <w:rsid w:val="00A61B2B"/>
    <w:rsid w:val="00A635A4"/>
    <w:rsid w:val="00A63EE8"/>
    <w:rsid w:val="00A66A11"/>
    <w:rsid w:val="00A77CC2"/>
    <w:rsid w:val="00A82ABD"/>
    <w:rsid w:val="00A8308A"/>
    <w:rsid w:val="00A8627D"/>
    <w:rsid w:val="00A91581"/>
    <w:rsid w:val="00A9486F"/>
    <w:rsid w:val="00A9511E"/>
    <w:rsid w:val="00AA3116"/>
    <w:rsid w:val="00AB2BAE"/>
    <w:rsid w:val="00AC7A62"/>
    <w:rsid w:val="00AD09B3"/>
    <w:rsid w:val="00AD0AC0"/>
    <w:rsid w:val="00AD4583"/>
    <w:rsid w:val="00AD62C6"/>
    <w:rsid w:val="00AE01F1"/>
    <w:rsid w:val="00AE30AB"/>
    <w:rsid w:val="00AE423B"/>
    <w:rsid w:val="00AF1BA9"/>
    <w:rsid w:val="00AF4A8F"/>
    <w:rsid w:val="00AF4AE8"/>
    <w:rsid w:val="00AF4C26"/>
    <w:rsid w:val="00AF5DA6"/>
    <w:rsid w:val="00B0512E"/>
    <w:rsid w:val="00B072C1"/>
    <w:rsid w:val="00B11C26"/>
    <w:rsid w:val="00B124EB"/>
    <w:rsid w:val="00B12A22"/>
    <w:rsid w:val="00B22F5D"/>
    <w:rsid w:val="00B26CE2"/>
    <w:rsid w:val="00B27052"/>
    <w:rsid w:val="00B303DB"/>
    <w:rsid w:val="00B31979"/>
    <w:rsid w:val="00B32F1C"/>
    <w:rsid w:val="00B41974"/>
    <w:rsid w:val="00B45601"/>
    <w:rsid w:val="00B45905"/>
    <w:rsid w:val="00B45983"/>
    <w:rsid w:val="00B4680B"/>
    <w:rsid w:val="00B504EF"/>
    <w:rsid w:val="00B53BE8"/>
    <w:rsid w:val="00B55886"/>
    <w:rsid w:val="00B60468"/>
    <w:rsid w:val="00B678F5"/>
    <w:rsid w:val="00B74AB0"/>
    <w:rsid w:val="00B76A98"/>
    <w:rsid w:val="00B77AE7"/>
    <w:rsid w:val="00B86A8F"/>
    <w:rsid w:val="00B919A3"/>
    <w:rsid w:val="00B92A56"/>
    <w:rsid w:val="00B94E9F"/>
    <w:rsid w:val="00B968D0"/>
    <w:rsid w:val="00BA0304"/>
    <w:rsid w:val="00BB3DD1"/>
    <w:rsid w:val="00BB43C4"/>
    <w:rsid w:val="00BB7169"/>
    <w:rsid w:val="00BB7E2C"/>
    <w:rsid w:val="00BC09CC"/>
    <w:rsid w:val="00BC21DD"/>
    <w:rsid w:val="00BD1C6C"/>
    <w:rsid w:val="00BD1D15"/>
    <w:rsid w:val="00BE2F1A"/>
    <w:rsid w:val="00BF0EA3"/>
    <w:rsid w:val="00BF1FB4"/>
    <w:rsid w:val="00BF4374"/>
    <w:rsid w:val="00C0637A"/>
    <w:rsid w:val="00C15129"/>
    <w:rsid w:val="00C22714"/>
    <w:rsid w:val="00C22F7E"/>
    <w:rsid w:val="00C23074"/>
    <w:rsid w:val="00C232CE"/>
    <w:rsid w:val="00C4131E"/>
    <w:rsid w:val="00C4329F"/>
    <w:rsid w:val="00C51622"/>
    <w:rsid w:val="00C55AFA"/>
    <w:rsid w:val="00C62423"/>
    <w:rsid w:val="00C65412"/>
    <w:rsid w:val="00C8686E"/>
    <w:rsid w:val="00C91EE5"/>
    <w:rsid w:val="00C92D0F"/>
    <w:rsid w:val="00CA0598"/>
    <w:rsid w:val="00CB3784"/>
    <w:rsid w:val="00CB54DE"/>
    <w:rsid w:val="00CB63D7"/>
    <w:rsid w:val="00CB6B61"/>
    <w:rsid w:val="00CC7590"/>
    <w:rsid w:val="00CD0220"/>
    <w:rsid w:val="00CD60C2"/>
    <w:rsid w:val="00CE78A9"/>
    <w:rsid w:val="00CF3105"/>
    <w:rsid w:val="00CF3675"/>
    <w:rsid w:val="00D06FFD"/>
    <w:rsid w:val="00D116CC"/>
    <w:rsid w:val="00D12311"/>
    <w:rsid w:val="00D15F75"/>
    <w:rsid w:val="00D16FCF"/>
    <w:rsid w:val="00D1730B"/>
    <w:rsid w:val="00D24B05"/>
    <w:rsid w:val="00D26894"/>
    <w:rsid w:val="00D343ED"/>
    <w:rsid w:val="00D41E82"/>
    <w:rsid w:val="00D50789"/>
    <w:rsid w:val="00D5495E"/>
    <w:rsid w:val="00D63FF1"/>
    <w:rsid w:val="00D716AE"/>
    <w:rsid w:val="00D7573F"/>
    <w:rsid w:val="00D77266"/>
    <w:rsid w:val="00D80104"/>
    <w:rsid w:val="00D85A2A"/>
    <w:rsid w:val="00D92636"/>
    <w:rsid w:val="00D92B44"/>
    <w:rsid w:val="00D96C54"/>
    <w:rsid w:val="00DA1F7F"/>
    <w:rsid w:val="00DA73A8"/>
    <w:rsid w:val="00DB7146"/>
    <w:rsid w:val="00DC0717"/>
    <w:rsid w:val="00DC628F"/>
    <w:rsid w:val="00DC6BEC"/>
    <w:rsid w:val="00DC6FCF"/>
    <w:rsid w:val="00DD500E"/>
    <w:rsid w:val="00DE05DB"/>
    <w:rsid w:val="00DE0AF6"/>
    <w:rsid w:val="00DE62CE"/>
    <w:rsid w:val="00DF47BC"/>
    <w:rsid w:val="00DF6F83"/>
    <w:rsid w:val="00DF6FC1"/>
    <w:rsid w:val="00E0016E"/>
    <w:rsid w:val="00E00BDE"/>
    <w:rsid w:val="00E02F71"/>
    <w:rsid w:val="00E04981"/>
    <w:rsid w:val="00E1466F"/>
    <w:rsid w:val="00E1739A"/>
    <w:rsid w:val="00E2265A"/>
    <w:rsid w:val="00E2491A"/>
    <w:rsid w:val="00E255F9"/>
    <w:rsid w:val="00E27EEB"/>
    <w:rsid w:val="00E30D94"/>
    <w:rsid w:val="00E3606B"/>
    <w:rsid w:val="00E36B1A"/>
    <w:rsid w:val="00E475E4"/>
    <w:rsid w:val="00E57FD9"/>
    <w:rsid w:val="00E6078F"/>
    <w:rsid w:val="00E60A84"/>
    <w:rsid w:val="00E60FB6"/>
    <w:rsid w:val="00E65F9D"/>
    <w:rsid w:val="00E67992"/>
    <w:rsid w:val="00E73008"/>
    <w:rsid w:val="00E7406A"/>
    <w:rsid w:val="00E77208"/>
    <w:rsid w:val="00E82524"/>
    <w:rsid w:val="00E92E4A"/>
    <w:rsid w:val="00EA186E"/>
    <w:rsid w:val="00EA1E38"/>
    <w:rsid w:val="00EB5E2A"/>
    <w:rsid w:val="00EC43CC"/>
    <w:rsid w:val="00EC4A7E"/>
    <w:rsid w:val="00ED66A3"/>
    <w:rsid w:val="00EE23A2"/>
    <w:rsid w:val="00EF2177"/>
    <w:rsid w:val="00EF44EA"/>
    <w:rsid w:val="00EF51E3"/>
    <w:rsid w:val="00F07E0E"/>
    <w:rsid w:val="00F141ED"/>
    <w:rsid w:val="00F22E47"/>
    <w:rsid w:val="00F25629"/>
    <w:rsid w:val="00F30B61"/>
    <w:rsid w:val="00F30C73"/>
    <w:rsid w:val="00F30E64"/>
    <w:rsid w:val="00F3682D"/>
    <w:rsid w:val="00F37AFC"/>
    <w:rsid w:val="00F40B18"/>
    <w:rsid w:val="00F410AE"/>
    <w:rsid w:val="00F41239"/>
    <w:rsid w:val="00F422A2"/>
    <w:rsid w:val="00F44D3B"/>
    <w:rsid w:val="00F468FD"/>
    <w:rsid w:val="00F479C9"/>
    <w:rsid w:val="00F50070"/>
    <w:rsid w:val="00F514AF"/>
    <w:rsid w:val="00F51FE9"/>
    <w:rsid w:val="00F56B92"/>
    <w:rsid w:val="00F62689"/>
    <w:rsid w:val="00F912B0"/>
    <w:rsid w:val="00F93A6E"/>
    <w:rsid w:val="00F94F1A"/>
    <w:rsid w:val="00FA4E65"/>
    <w:rsid w:val="00FB0880"/>
    <w:rsid w:val="00FC1AAA"/>
    <w:rsid w:val="00FC2513"/>
    <w:rsid w:val="00FC48BB"/>
    <w:rsid w:val="00FC57FA"/>
    <w:rsid w:val="00FC6E3D"/>
    <w:rsid w:val="00FD00D1"/>
    <w:rsid w:val="00FE1AB5"/>
    <w:rsid w:val="00FE7E6B"/>
    <w:rsid w:val="00FF1824"/>
    <w:rsid w:val="00FF1930"/>
    <w:rsid w:val="00FF1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CF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A45D3"/>
    <w:pPr>
      <w:spacing w:before="120" w:after="120"/>
      <w:jc w:val="both"/>
      <w:outlineLvl w:val="2"/>
    </w:pPr>
    <w:rPr>
      <w:rFonts w:eastAsiaTheme="minorHAnsi" w:cstheme="minorBidi"/>
      <w:b/>
      <w:lang w:eastAsia="en-US"/>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uiPriority w:val="34"/>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 w:type="character" w:customStyle="1" w:styleId="charsectno">
    <w:name w:val="charsectno"/>
    <w:basedOn w:val="DefaultParagraphFont"/>
    <w:rsid w:val="00DE62CE"/>
  </w:style>
  <w:style w:type="paragraph" w:customStyle="1" w:styleId="dot1">
    <w:name w:val="dot1"/>
    <w:basedOn w:val="Normal"/>
    <w:rsid w:val="00FE7E6B"/>
    <w:pPr>
      <w:spacing w:before="100" w:beforeAutospacing="1" w:after="100" w:afterAutospacing="1"/>
    </w:pPr>
  </w:style>
  <w:style w:type="character" w:customStyle="1" w:styleId="bold">
    <w:name w:val="bold"/>
    <w:basedOn w:val="DefaultParagraphFont"/>
    <w:rsid w:val="00D77266"/>
  </w:style>
  <w:style w:type="character" w:styleId="Hyperlink">
    <w:name w:val="Hyperlink"/>
    <w:basedOn w:val="DefaultParagraphFont"/>
    <w:uiPriority w:val="99"/>
    <w:rsid w:val="004A45D3"/>
    <w:rPr>
      <w:color w:val="0000FF" w:themeColor="hyperlink"/>
      <w:u w:val="single"/>
    </w:rPr>
  </w:style>
  <w:style w:type="character" w:customStyle="1" w:styleId="Heading3Char">
    <w:name w:val="Heading 3 Char"/>
    <w:basedOn w:val="DefaultParagraphFont"/>
    <w:link w:val="Heading3"/>
    <w:uiPriority w:val="9"/>
    <w:rsid w:val="004A45D3"/>
    <w:rPr>
      <w:rFonts w:eastAsiaTheme="minorHAnsi" w:cstheme="minorBidi"/>
      <w:b/>
      <w:sz w:val="24"/>
      <w:szCs w:val="24"/>
      <w:lang w:eastAsia="en-US"/>
    </w:rPr>
  </w:style>
  <w:style w:type="paragraph" w:customStyle="1" w:styleId="NumberLevel1">
    <w:name w:val="Number Level 1"/>
    <w:aliases w:val="N1"/>
    <w:basedOn w:val="Normal"/>
    <w:uiPriority w:val="1"/>
    <w:qFormat/>
    <w:rsid w:val="00E7406A"/>
    <w:pPr>
      <w:numPr>
        <w:numId w:val="19"/>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E7406A"/>
    <w:pPr>
      <w:numPr>
        <w:ilvl w:val="1"/>
        <w:numId w:val="19"/>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E7406A"/>
    <w:pPr>
      <w:numPr>
        <w:ilvl w:val="2"/>
        <w:numId w:val="19"/>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E7406A"/>
    <w:pPr>
      <w:numPr>
        <w:ilvl w:val="3"/>
        <w:numId w:val="19"/>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E7406A"/>
    <w:pPr>
      <w:numPr>
        <w:ilvl w:val="4"/>
        <w:numId w:val="19"/>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E7406A"/>
    <w:pPr>
      <w:numPr>
        <w:ilvl w:val="5"/>
      </w:numPr>
    </w:pPr>
  </w:style>
  <w:style w:type="paragraph" w:customStyle="1" w:styleId="NumberLevel7">
    <w:name w:val="Number Level 7"/>
    <w:basedOn w:val="NumberLevel6"/>
    <w:uiPriority w:val="1"/>
    <w:semiHidden/>
    <w:rsid w:val="00E7406A"/>
    <w:pPr>
      <w:numPr>
        <w:ilvl w:val="6"/>
      </w:numPr>
    </w:pPr>
  </w:style>
  <w:style w:type="paragraph" w:customStyle="1" w:styleId="NumberLevel8">
    <w:name w:val="Number Level 8"/>
    <w:basedOn w:val="NumberLevel7"/>
    <w:uiPriority w:val="1"/>
    <w:semiHidden/>
    <w:rsid w:val="00E7406A"/>
    <w:pPr>
      <w:numPr>
        <w:ilvl w:val="7"/>
      </w:numPr>
    </w:pPr>
  </w:style>
  <w:style w:type="paragraph" w:customStyle="1" w:styleId="NumberLevel9">
    <w:name w:val="Number Level 9"/>
    <w:basedOn w:val="NumberLevel8"/>
    <w:uiPriority w:val="1"/>
    <w:semiHidden/>
    <w:rsid w:val="00E7406A"/>
    <w:pPr>
      <w:numPr>
        <w:ilvl w:val="8"/>
      </w:numPr>
    </w:pPr>
  </w:style>
  <w:style w:type="paragraph" w:customStyle="1" w:styleId="DashEm">
    <w:name w:val="Dash: Em"/>
    <w:basedOn w:val="Normal"/>
    <w:uiPriority w:val="3"/>
    <w:semiHidden/>
    <w:rsid w:val="00E7406A"/>
    <w:pPr>
      <w:numPr>
        <w:ilvl w:val="1"/>
        <w:numId w:val="20"/>
      </w:numPr>
      <w:spacing w:after="140" w:line="280" w:lineRule="atLeast"/>
    </w:pPr>
    <w:rPr>
      <w:rFonts w:ascii="Arial" w:hAnsi="Arial" w:cs="Arial"/>
      <w:sz w:val="22"/>
      <w:szCs w:val="22"/>
    </w:rPr>
  </w:style>
  <w:style w:type="paragraph" w:customStyle="1" w:styleId="DashEm1">
    <w:name w:val="Dash: Em 1"/>
    <w:aliases w:val="-EM"/>
    <w:basedOn w:val="Normal"/>
    <w:uiPriority w:val="3"/>
    <w:semiHidden/>
    <w:rsid w:val="00E7406A"/>
    <w:pPr>
      <w:numPr>
        <w:numId w:val="20"/>
      </w:numPr>
      <w:spacing w:after="140" w:line="280" w:lineRule="atLeast"/>
    </w:pPr>
    <w:rPr>
      <w:rFonts w:ascii="Arial" w:hAnsi="Arial" w:cs="Arial"/>
      <w:sz w:val="22"/>
      <w:szCs w:val="22"/>
    </w:rPr>
  </w:style>
  <w:style w:type="character" w:customStyle="1" w:styleId="DashEn1Char">
    <w:name w:val="Dash: En 1 Char"/>
    <w:aliases w:val="-EN Char"/>
    <w:basedOn w:val="DefaultParagraphFont"/>
    <w:link w:val="DashEn1"/>
    <w:uiPriority w:val="3"/>
    <w:locked/>
    <w:rsid w:val="00E7406A"/>
    <w:rPr>
      <w:rFonts w:ascii="Arial" w:hAnsi="Arial" w:cs="Arial"/>
    </w:rPr>
  </w:style>
  <w:style w:type="paragraph" w:customStyle="1" w:styleId="DashEn1">
    <w:name w:val="Dash: En 1"/>
    <w:aliases w:val="-EN"/>
    <w:basedOn w:val="DashEm"/>
    <w:link w:val="DashEn1Char"/>
    <w:uiPriority w:val="3"/>
    <w:qFormat/>
    <w:rsid w:val="00E7406A"/>
    <w:pPr>
      <w:numPr>
        <w:ilvl w:val="2"/>
      </w:numPr>
    </w:pPr>
    <w:rPr>
      <w:sz w:val="20"/>
      <w:szCs w:val="20"/>
    </w:rPr>
  </w:style>
  <w:style w:type="paragraph" w:customStyle="1" w:styleId="DashEn2">
    <w:name w:val="Dash: En 2"/>
    <w:basedOn w:val="DashEn1"/>
    <w:uiPriority w:val="3"/>
    <w:semiHidden/>
    <w:rsid w:val="00E7406A"/>
    <w:pPr>
      <w:numPr>
        <w:ilvl w:val="3"/>
      </w:numPr>
      <w:tabs>
        <w:tab w:val="clear" w:pos="1276"/>
        <w:tab w:val="num" w:pos="360"/>
        <w:tab w:val="num" w:pos="2880"/>
      </w:tabs>
      <w:ind w:left="2880" w:hanging="360"/>
    </w:pPr>
  </w:style>
  <w:style w:type="paragraph" w:customStyle="1" w:styleId="DashEn3">
    <w:name w:val="Dash: En 3"/>
    <w:basedOn w:val="DashEn2"/>
    <w:uiPriority w:val="3"/>
    <w:semiHidden/>
    <w:rsid w:val="00E7406A"/>
    <w:pPr>
      <w:numPr>
        <w:ilvl w:val="4"/>
      </w:numPr>
      <w:tabs>
        <w:tab w:val="clear" w:pos="1701"/>
        <w:tab w:val="num" w:pos="360"/>
        <w:tab w:val="num" w:pos="3600"/>
      </w:tabs>
      <w:ind w:left="3600" w:hanging="360"/>
    </w:pPr>
  </w:style>
  <w:style w:type="paragraph" w:customStyle="1" w:styleId="DashEn4">
    <w:name w:val="Dash: En 4"/>
    <w:basedOn w:val="DashEn3"/>
    <w:uiPriority w:val="3"/>
    <w:semiHidden/>
    <w:rsid w:val="00E7406A"/>
    <w:pPr>
      <w:numPr>
        <w:ilvl w:val="5"/>
      </w:numPr>
      <w:tabs>
        <w:tab w:val="clear" w:pos="2126"/>
        <w:tab w:val="num" w:pos="360"/>
        <w:tab w:val="num" w:pos="4320"/>
      </w:tabs>
      <w:ind w:left="4320" w:hanging="360"/>
    </w:pPr>
  </w:style>
  <w:style w:type="paragraph" w:customStyle="1" w:styleId="DashEn5">
    <w:name w:val="Dash: En 5"/>
    <w:basedOn w:val="DashEn4"/>
    <w:uiPriority w:val="3"/>
    <w:semiHidden/>
    <w:rsid w:val="00E7406A"/>
    <w:pPr>
      <w:numPr>
        <w:ilvl w:val="6"/>
      </w:numPr>
      <w:tabs>
        <w:tab w:val="clear" w:pos="2551"/>
        <w:tab w:val="num" w:pos="360"/>
        <w:tab w:val="num" w:pos="5040"/>
      </w:tabs>
      <w:ind w:left="5040" w:hanging="360"/>
    </w:pPr>
  </w:style>
  <w:style w:type="paragraph" w:customStyle="1" w:styleId="DashEn6">
    <w:name w:val="Dash: En 6"/>
    <w:basedOn w:val="DashEn5"/>
    <w:uiPriority w:val="3"/>
    <w:semiHidden/>
    <w:rsid w:val="00E7406A"/>
    <w:pPr>
      <w:numPr>
        <w:ilvl w:val="7"/>
      </w:numPr>
      <w:tabs>
        <w:tab w:val="clear" w:pos="2976"/>
        <w:tab w:val="num" w:pos="360"/>
        <w:tab w:val="num" w:pos="2880"/>
        <w:tab w:val="num" w:pos="5760"/>
      </w:tabs>
      <w:ind w:left="5760" w:hanging="360"/>
    </w:pPr>
  </w:style>
  <w:style w:type="paragraph" w:customStyle="1" w:styleId="DashEn7">
    <w:name w:val="Dash: En 7"/>
    <w:basedOn w:val="DashEn6"/>
    <w:uiPriority w:val="3"/>
    <w:semiHidden/>
    <w:rsid w:val="00E7406A"/>
    <w:pPr>
      <w:numPr>
        <w:ilvl w:val="8"/>
      </w:numPr>
      <w:tabs>
        <w:tab w:val="clear" w:pos="3402"/>
        <w:tab w:val="num" w:pos="360"/>
        <w:tab w:val="num" w:pos="2880"/>
        <w:tab w:val="num" w:pos="6480"/>
      </w:tabs>
      <w:ind w:left="648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CFC"/>
    <w:rPr>
      <w:sz w:val="24"/>
      <w:szCs w:val="24"/>
    </w:rPr>
  </w:style>
  <w:style w:type="paragraph" w:styleId="Heading1">
    <w:name w:val="heading 1"/>
    <w:basedOn w:val="Normal"/>
    <w:next w:val="Normal"/>
    <w:link w:val="Heading1Char"/>
    <w:qFormat/>
    <w:rsid w:val="007C40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4A45D3"/>
    <w:pPr>
      <w:spacing w:before="120" w:after="120"/>
      <w:jc w:val="both"/>
      <w:outlineLvl w:val="2"/>
    </w:pPr>
    <w:rPr>
      <w:rFonts w:eastAsiaTheme="minorHAnsi" w:cstheme="minorBidi"/>
      <w:b/>
      <w:lang w:eastAsia="en-US"/>
    </w:rPr>
  </w:style>
  <w:style w:type="paragraph" w:styleId="Heading4">
    <w:name w:val="heading 4"/>
    <w:basedOn w:val="Normal"/>
    <w:next w:val="Normal"/>
    <w:qFormat/>
    <w:rsid w:val="003021F7"/>
    <w:pPr>
      <w:keepNext/>
      <w:widowControl w:val="0"/>
      <w:autoSpaceDE w:val="0"/>
      <w:autoSpaceDN w:val="0"/>
      <w:outlineLvl w:val="3"/>
    </w:pPr>
    <w:rPr>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21F7"/>
    <w:pPr>
      <w:tabs>
        <w:tab w:val="center" w:pos="4153"/>
        <w:tab w:val="right" w:pos="8306"/>
      </w:tabs>
    </w:pPr>
  </w:style>
  <w:style w:type="character" w:styleId="PageNumber">
    <w:name w:val="page number"/>
    <w:basedOn w:val="DefaultParagraphFont"/>
    <w:rsid w:val="003021F7"/>
  </w:style>
  <w:style w:type="table" w:styleId="TableGrid">
    <w:name w:val="Table Grid"/>
    <w:basedOn w:val="TableNormal"/>
    <w:rsid w:val="0030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64282"/>
    <w:rPr>
      <w:rFonts w:ascii="Tahoma" w:hAnsi="Tahoma" w:cs="Tahoma"/>
      <w:sz w:val="16"/>
      <w:szCs w:val="16"/>
    </w:rPr>
  </w:style>
  <w:style w:type="character" w:customStyle="1" w:styleId="BalloonTextChar">
    <w:name w:val="Balloon Text Char"/>
    <w:basedOn w:val="DefaultParagraphFont"/>
    <w:link w:val="BalloonText"/>
    <w:rsid w:val="00164282"/>
    <w:rPr>
      <w:rFonts w:ascii="Tahoma" w:hAnsi="Tahoma" w:cs="Tahoma"/>
      <w:sz w:val="16"/>
      <w:szCs w:val="16"/>
    </w:rPr>
  </w:style>
  <w:style w:type="character" w:styleId="CommentReference">
    <w:name w:val="annotation reference"/>
    <w:basedOn w:val="DefaultParagraphFont"/>
    <w:uiPriority w:val="99"/>
    <w:rsid w:val="00164282"/>
    <w:rPr>
      <w:sz w:val="16"/>
      <w:szCs w:val="16"/>
    </w:rPr>
  </w:style>
  <w:style w:type="paragraph" w:styleId="CommentText">
    <w:name w:val="annotation text"/>
    <w:basedOn w:val="Normal"/>
    <w:link w:val="CommentTextChar"/>
    <w:uiPriority w:val="99"/>
    <w:rsid w:val="00164282"/>
    <w:rPr>
      <w:sz w:val="20"/>
      <w:szCs w:val="20"/>
    </w:rPr>
  </w:style>
  <w:style w:type="character" w:customStyle="1" w:styleId="CommentTextChar">
    <w:name w:val="Comment Text Char"/>
    <w:basedOn w:val="DefaultParagraphFont"/>
    <w:link w:val="CommentText"/>
    <w:uiPriority w:val="99"/>
    <w:rsid w:val="00164282"/>
  </w:style>
  <w:style w:type="paragraph" w:styleId="CommentSubject">
    <w:name w:val="annotation subject"/>
    <w:basedOn w:val="CommentText"/>
    <w:next w:val="CommentText"/>
    <w:link w:val="CommentSubjectChar"/>
    <w:rsid w:val="00164282"/>
    <w:rPr>
      <w:b/>
      <w:bCs/>
    </w:rPr>
  </w:style>
  <w:style w:type="character" w:customStyle="1" w:styleId="CommentSubjectChar">
    <w:name w:val="Comment Subject Char"/>
    <w:basedOn w:val="CommentTextChar"/>
    <w:link w:val="CommentSubject"/>
    <w:rsid w:val="00164282"/>
    <w:rPr>
      <w:b/>
      <w:bCs/>
    </w:rPr>
  </w:style>
  <w:style w:type="paragraph" w:styleId="Header">
    <w:name w:val="header"/>
    <w:basedOn w:val="Normal"/>
    <w:link w:val="HeaderChar"/>
    <w:uiPriority w:val="99"/>
    <w:rsid w:val="009870F6"/>
    <w:pPr>
      <w:tabs>
        <w:tab w:val="center" w:pos="4513"/>
        <w:tab w:val="right" w:pos="9026"/>
      </w:tabs>
    </w:pPr>
  </w:style>
  <w:style w:type="character" w:customStyle="1" w:styleId="HeaderChar">
    <w:name w:val="Header Char"/>
    <w:basedOn w:val="DefaultParagraphFont"/>
    <w:link w:val="Header"/>
    <w:uiPriority w:val="99"/>
    <w:rsid w:val="009870F6"/>
    <w:rPr>
      <w:sz w:val="24"/>
      <w:szCs w:val="24"/>
    </w:rPr>
  </w:style>
  <w:style w:type="paragraph" w:styleId="ListParagraph">
    <w:name w:val="List Paragraph"/>
    <w:aliases w:val="Numbered paragraph"/>
    <w:basedOn w:val="Normal"/>
    <w:link w:val="ListParagraphChar"/>
    <w:uiPriority w:val="34"/>
    <w:qFormat/>
    <w:rsid w:val="00FA4E65"/>
    <w:pPr>
      <w:ind w:left="720"/>
      <w:contextualSpacing/>
    </w:pPr>
  </w:style>
  <w:style w:type="character" w:customStyle="1" w:styleId="ListParagraphChar">
    <w:name w:val="List Paragraph Char"/>
    <w:aliases w:val="Numbered paragraph Char"/>
    <w:basedOn w:val="DefaultParagraphFont"/>
    <w:link w:val="ListParagraph"/>
    <w:uiPriority w:val="34"/>
    <w:locked/>
    <w:rsid w:val="00B31979"/>
    <w:rPr>
      <w:sz w:val="24"/>
      <w:szCs w:val="24"/>
    </w:rPr>
  </w:style>
  <w:style w:type="character" w:customStyle="1" w:styleId="Heading1Char">
    <w:name w:val="Heading 1 Char"/>
    <w:basedOn w:val="DefaultParagraphFont"/>
    <w:link w:val="Heading1"/>
    <w:rsid w:val="007C40DB"/>
    <w:rPr>
      <w:rFonts w:asciiTheme="majorHAnsi" w:eastAsiaTheme="majorEastAsia" w:hAnsiTheme="majorHAnsi" w:cstheme="majorBidi"/>
      <w:b/>
      <w:bCs/>
      <w:color w:val="365F91" w:themeColor="accent1" w:themeShade="BF"/>
      <w:sz w:val="28"/>
      <w:szCs w:val="28"/>
    </w:rPr>
  </w:style>
  <w:style w:type="paragraph" w:styleId="Caption">
    <w:name w:val="caption"/>
    <w:aliases w:val="Division (heading)"/>
    <w:basedOn w:val="Normal"/>
    <w:next w:val="Normal"/>
    <w:uiPriority w:val="99"/>
    <w:qFormat/>
    <w:rsid w:val="007C40DB"/>
    <w:pPr>
      <w:spacing w:after="200" w:line="276" w:lineRule="auto"/>
    </w:pPr>
    <w:rPr>
      <w:rFonts w:eastAsiaTheme="minorHAnsi"/>
      <w:b/>
      <w:sz w:val="28"/>
      <w:szCs w:val="28"/>
      <w:lang w:eastAsia="en-US"/>
    </w:rPr>
  </w:style>
  <w:style w:type="paragraph" w:styleId="FootnoteText">
    <w:name w:val="footnote text"/>
    <w:basedOn w:val="Normal"/>
    <w:link w:val="FootnoteTextChar"/>
    <w:uiPriority w:val="99"/>
    <w:rsid w:val="007C40DB"/>
    <w:pPr>
      <w:tabs>
        <w:tab w:val="left" w:pos="284"/>
      </w:tabs>
      <w:kinsoku w:val="0"/>
      <w:overflowPunct w:val="0"/>
      <w:autoSpaceDE w:val="0"/>
      <w:autoSpaceDN w:val="0"/>
      <w:adjustRightInd w:val="0"/>
      <w:snapToGrid w:val="0"/>
      <w:spacing w:before="80" w:after="80"/>
      <w:ind w:left="227" w:hanging="227"/>
    </w:pPr>
    <w:rPr>
      <w:rFonts w:ascii="Arial" w:hAnsi="Arial" w:cs="Arial"/>
      <w:sz w:val="14"/>
      <w:szCs w:val="21"/>
      <w:lang w:eastAsia="en-US"/>
    </w:rPr>
  </w:style>
  <w:style w:type="character" w:customStyle="1" w:styleId="FootnoteTextChar">
    <w:name w:val="Footnote Text Char"/>
    <w:basedOn w:val="DefaultParagraphFont"/>
    <w:link w:val="FootnoteText"/>
    <w:uiPriority w:val="99"/>
    <w:rsid w:val="007C40DB"/>
    <w:rPr>
      <w:rFonts w:ascii="Arial" w:hAnsi="Arial" w:cs="Arial"/>
      <w:sz w:val="14"/>
      <w:szCs w:val="21"/>
      <w:lang w:eastAsia="en-US"/>
    </w:rPr>
  </w:style>
  <w:style w:type="character" w:styleId="FootnoteReference">
    <w:name w:val="footnote reference"/>
    <w:basedOn w:val="DefaultParagraphFont"/>
    <w:uiPriority w:val="99"/>
    <w:rsid w:val="007C40DB"/>
    <w:rPr>
      <w:rFonts w:ascii="Arial" w:hAnsi="Arial" w:cs="Arial"/>
      <w:sz w:val="21"/>
      <w:vertAlign w:val="superscript"/>
    </w:rPr>
  </w:style>
  <w:style w:type="paragraph" w:customStyle="1" w:styleId="OverviewNotesheading">
    <w:name w:val="Overview/Notes (heading)"/>
    <w:basedOn w:val="Normal"/>
    <w:link w:val="OverviewNotesheadingChar"/>
    <w:uiPriority w:val="99"/>
    <w:qFormat/>
    <w:rsid w:val="007C40DB"/>
    <w:pPr>
      <w:spacing w:after="200" w:line="276" w:lineRule="auto"/>
    </w:pPr>
    <w:rPr>
      <w:rFonts w:eastAsiaTheme="minorHAnsi"/>
      <w:b/>
      <w:sz w:val="28"/>
      <w:szCs w:val="28"/>
      <w:u w:val="single"/>
      <w:lang w:eastAsia="en-US"/>
    </w:rPr>
  </w:style>
  <w:style w:type="character" w:customStyle="1" w:styleId="OverviewNotesheadingChar">
    <w:name w:val="Overview/Notes (heading) Char"/>
    <w:basedOn w:val="DefaultParagraphFont"/>
    <w:link w:val="OverviewNotesheading"/>
    <w:uiPriority w:val="99"/>
    <w:rsid w:val="007C40DB"/>
    <w:rPr>
      <w:rFonts w:eastAsiaTheme="minorHAnsi"/>
      <w:b/>
      <w:sz w:val="28"/>
      <w:szCs w:val="28"/>
      <w:u w:val="single"/>
      <w:lang w:eastAsia="en-US"/>
    </w:rPr>
  </w:style>
  <w:style w:type="paragraph" w:customStyle="1" w:styleId="Dotpointparagraph">
    <w:name w:val="Dot point paragraph"/>
    <w:basedOn w:val="ListParagraph"/>
    <w:link w:val="DotpointparagraphChar"/>
    <w:qFormat/>
    <w:rsid w:val="007C40DB"/>
    <w:pPr>
      <w:numPr>
        <w:numId w:val="8"/>
      </w:numPr>
      <w:spacing w:after="200" w:line="276" w:lineRule="auto"/>
      <w:contextualSpacing w:val="0"/>
    </w:pPr>
    <w:rPr>
      <w:rFonts w:eastAsiaTheme="minorHAnsi"/>
      <w:lang w:eastAsia="en-US"/>
    </w:rPr>
  </w:style>
  <w:style w:type="paragraph" w:customStyle="1" w:styleId="Squarepointparagraph">
    <w:name w:val="Square point paragraph"/>
    <w:basedOn w:val="Dotpointparagraph"/>
    <w:link w:val="SquarepointparagraphChar"/>
    <w:qFormat/>
    <w:rsid w:val="007C40DB"/>
    <w:pPr>
      <w:numPr>
        <w:ilvl w:val="1"/>
      </w:numPr>
      <w:ind w:left="1701" w:hanging="567"/>
    </w:pPr>
  </w:style>
  <w:style w:type="character" w:customStyle="1" w:styleId="DotpointparagraphChar">
    <w:name w:val="Dot point paragraph Char"/>
    <w:basedOn w:val="DefaultParagraphFont"/>
    <w:link w:val="Dotpointparagraph"/>
    <w:rsid w:val="007C40DB"/>
    <w:rPr>
      <w:rFonts w:eastAsiaTheme="minorHAnsi"/>
      <w:sz w:val="24"/>
      <w:szCs w:val="24"/>
      <w:lang w:eastAsia="en-US"/>
    </w:rPr>
  </w:style>
  <w:style w:type="character" w:customStyle="1" w:styleId="SquarepointparagraphChar">
    <w:name w:val="Square point paragraph Char"/>
    <w:basedOn w:val="DotpointparagraphChar"/>
    <w:link w:val="Squarepointparagraph"/>
    <w:rsid w:val="007C40DB"/>
    <w:rPr>
      <w:rFonts w:eastAsiaTheme="minorHAnsi"/>
      <w:sz w:val="24"/>
      <w:szCs w:val="24"/>
      <w:lang w:eastAsia="en-US"/>
    </w:rPr>
  </w:style>
  <w:style w:type="paragraph" w:customStyle="1" w:styleId="R2">
    <w:name w:val="R2"/>
    <w:aliases w:val="(2)"/>
    <w:basedOn w:val="Normal"/>
    <w:rsid w:val="007C40DB"/>
    <w:pPr>
      <w:keepLines/>
      <w:tabs>
        <w:tab w:val="right" w:pos="794"/>
      </w:tabs>
      <w:spacing w:before="180" w:line="260" w:lineRule="exact"/>
      <w:ind w:left="964" w:hanging="964"/>
      <w:jc w:val="both"/>
    </w:pPr>
    <w:rPr>
      <w:lang w:eastAsia="en-US"/>
    </w:rPr>
  </w:style>
  <w:style w:type="paragraph" w:customStyle="1" w:styleId="Default">
    <w:name w:val="Default"/>
    <w:rsid w:val="007C40DB"/>
    <w:pPr>
      <w:autoSpaceDE w:val="0"/>
      <w:autoSpaceDN w:val="0"/>
      <w:adjustRightInd w:val="0"/>
    </w:pPr>
    <w:rPr>
      <w:rFonts w:eastAsia="Calibri"/>
      <w:color w:val="000000"/>
      <w:sz w:val="24"/>
      <w:szCs w:val="24"/>
    </w:rPr>
  </w:style>
  <w:style w:type="paragraph" w:customStyle="1" w:styleId="Definition">
    <w:name w:val="Definition"/>
    <w:aliases w:val="dd"/>
    <w:basedOn w:val="Normal"/>
    <w:rsid w:val="00236426"/>
    <w:pPr>
      <w:spacing w:before="180"/>
      <w:ind w:left="1134"/>
    </w:pPr>
    <w:rPr>
      <w:sz w:val="22"/>
      <w:szCs w:val="20"/>
    </w:rPr>
  </w:style>
  <w:style w:type="character" w:customStyle="1" w:styleId="FooterChar">
    <w:name w:val="Footer Char"/>
    <w:basedOn w:val="DefaultParagraphFont"/>
    <w:link w:val="Footer"/>
    <w:uiPriority w:val="99"/>
    <w:rsid w:val="00141B76"/>
    <w:rPr>
      <w:sz w:val="24"/>
      <w:szCs w:val="24"/>
    </w:rPr>
  </w:style>
  <w:style w:type="character" w:styleId="Strong">
    <w:name w:val="Strong"/>
    <w:basedOn w:val="DefaultParagraphFont"/>
    <w:uiPriority w:val="22"/>
    <w:qFormat/>
    <w:rsid w:val="008B3059"/>
    <w:rPr>
      <w:b/>
      <w:bCs/>
    </w:rPr>
  </w:style>
  <w:style w:type="paragraph" w:styleId="NormalWeb">
    <w:name w:val="Normal (Web)"/>
    <w:basedOn w:val="Normal"/>
    <w:uiPriority w:val="99"/>
    <w:unhideWhenUsed/>
    <w:rsid w:val="003E6421"/>
    <w:pPr>
      <w:spacing w:before="180" w:after="100" w:afterAutospacing="1"/>
    </w:pPr>
    <w:rPr>
      <w:rFonts w:eastAsiaTheme="minorHAnsi"/>
    </w:rPr>
  </w:style>
  <w:style w:type="character" w:customStyle="1" w:styleId="charsectno">
    <w:name w:val="charsectno"/>
    <w:basedOn w:val="DefaultParagraphFont"/>
    <w:rsid w:val="00DE62CE"/>
  </w:style>
  <w:style w:type="paragraph" w:customStyle="1" w:styleId="dot1">
    <w:name w:val="dot1"/>
    <w:basedOn w:val="Normal"/>
    <w:rsid w:val="00FE7E6B"/>
    <w:pPr>
      <w:spacing w:before="100" w:beforeAutospacing="1" w:after="100" w:afterAutospacing="1"/>
    </w:pPr>
  </w:style>
  <w:style w:type="character" w:customStyle="1" w:styleId="bold">
    <w:name w:val="bold"/>
    <w:basedOn w:val="DefaultParagraphFont"/>
    <w:rsid w:val="00D77266"/>
  </w:style>
  <w:style w:type="character" w:styleId="Hyperlink">
    <w:name w:val="Hyperlink"/>
    <w:basedOn w:val="DefaultParagraphFont"/>
    <w:uiPriority w:val="99"/>
    <w:rsid w:val="004A45D3"/>
    <w:rPr>
      <w:color w:val="0000FF" w:themeColor="hyperlink"/>
      <w:u w:val="single"/>
    </w:rPr>
  </w:style>
  <w:style w:type="character" w:customStyle="1" w:styleId="Heading3Char">
    <w:name w:val="Heading 3 Char"/>
    <w:basedOn w:val="DefaultParagraphFont"/>
    <w:link w:val="Heading3"/>
    <w:uiPriority w:val="9"/>
    <w:rsid w:val="004A45D3"/>
    <w:rPr>
      <w:rFonts w:eastAsiaTheme="minorHAnsi" w:cstheme="minorBidi"/>
      <w:b/>
      <w:sz w:val="24"/>
      <w:szCs w:val="24"/>
      <w:lang w:eastAsia="en-US"/>
    </w:rPr>
  </w:style>
  <w:style w:type="paragraph" w:customStyle="1" w:styleId="NumberLevel1">
    <w:name w:val="Number Level 1"/>
    <w:aliases w:val="N1"/>
    <w:basedOn w:val="Normal"/>
    <w:uiPriority w:val="1"/>
    <w:qFormat/>
    <w:rsid w:val="00E7406A"/>
    <w:pPr>
      <w:numPr>
        <w:numId w:val="19"/>
      </w:numPr>
      <w:spacing w:before="140" w:after="140" w:line="280" w:lineRule="atLeast"/>
    </w:pPr>
    <w:rPr>
      <w:rFonts w:ascii="Arial" w:hAnsi="Arial" w:cs="Arial"/>
      <w:sz w:val="22"/>
      <w:szCs w:val="22"/>
    </w:rPr>
  </w:style>
  <w:style w:type="paragraph" w:customStyle="1" w:styleId="NumberLevel2">
    <w:name w:val="Number Level 2"/>
    <w:aliases w:val="N2"/>
    <w:basedOn w:val="Normal"/>
    <w:uiPriority w:val="1"/>
    <w:qFormat/>
    <w:rsid w:val="00E7406A"/>
    <w:pPr>
      <w:numPr>
        <w:ilvl w:val="1"/>
        <w:numId w:val="19"/>
      </w:numPr>
      <w:spacing w:before="140" w:after="140" w:line="280" w:lineRule="atLeast"/>
    </w:pPr>
    <w:rPr>
      <w:rFonts w:ascii="Arial" w:hAnsi="Arial" w:cs="Arial"/>
      <w:sz w:val="22"/>
      <w:szCs w:val="22"/>
    </w:rPr>
  </w:style>
  <w:style w:type="paragraph" w:customStyle="1" w:styleId="NumberLevel3">
    <w:name w:val="Number Level 3"/>
    <w:aliases w:val="N3"/>
    <w:basedOn w:val="Normal"/>
    <w:uiPriority w:val="1"/>
    <w:qFormat/>
    <w:rsid w:val="00E7406A"/>
    <w:pPr>
      <w:numPr>
        <w:ilvl w:val="2"/>
        <w:numId w:val="19"/>
      </w:numPr>
      <w:spacing w:before="140" w:after="140" w:line="280" w:lineRule="atLeast"/>
    </w:pPr>
    <w:rPr>
      <w:rFonts w:ascii="Arial" w:hAnsi="Arial" w:cs="Arial"/>
      <w:sz w:val="22"/>
      <w:szCs w:val="22"/>
    </w:rPr>
  </w:style>
  <w:style w:type="paragraph" w:customStyle="1" w:styleId="NumberLevel4">
    <w:name w:val="Number Level 4"/>
    <w:aliases w:val="N4"/>
    <w:basedOn w:val="Normal"/>
    <w:uiPriority w:val="1"/>
    <w:qFormat/>
    <w:rsid w:val="00E7406A"/>
    <w:pPr>
      <w:numPr>
        <w:ilvl w:val="3"/>
        <w:numId w:val="19"/>
      </w:numPr>
      <w:spacing w:after="140" w:line="280" w:lineRule="atLeast"/>
    </w:pPr>
    <w:rPr>
      <w:rFonts w:ascii="Arial" w:hAnsi="Arial" w:cs="Arial"/>
      <w:sz w:val="22"/>
      <w:szCs w:val="22"/>
    </w:rPr>
  </w:style>
  <w:style w:type="paragraph" w:customStyle="1" w:styleId="NumberLevel5">
    <w:name w:val="Number Level 5"/>
    <w:aliases w:val="N5"/>
    <w:basedOn w:val="Normal"/>
    <w:uiPriority w:val="1"/>
    <w:semiHidden/>
    <w:rsid w:val="00E7406A"/>
    <w:pPr>
      <w:numPr>
        <w:ilvl w:val="4"/>
        <w:numId w:val="19"/>
      </w:numPr>
      <w:spacing w:after="140" w:line="280" w:lineRule="atLeast"/>
    </w:pPr>
    <w:rPr>
      <w:rFonts w:ascii="Arial" w:hAnsi="Arial" w:cs="Arial"/>
      <w:sz w:val="22"/>
      <w:szCs w:val="22"/>
    </w:rPr>
  </w:style>
  <w:style w:type="paragraph" w:customStyle="1" w:styleId="NumberLevel6">
    <w:name w:val="Number Level 6"/>
    <w:basedOn w:val="NumberLevel5"/>
    <w:uiPriority w:val="1"/>
    <w:semiHidden/>
    <w:rsid w:val="00E7406A"/>
    <w:pPr>
      <w:numPr>
        <w:ilvl w:val="5"/>
      </w:numPr>
    </w:pPr>
  </w:style>
  <w:style w:type="paragraph" w:customStyle="1" w:styleId="NumberLevel7">
    <w:name w:val="Number Level 7"/>
    <w:basedOn w:val="NumberLevel6"/>
    <w:uiPriority w:val="1"/>
    <w:semiHidden/>
    <w:rsid w:val="00E7406A"/>
    <w:pPr>
      <w:numPr>
        <w:ilvl w:val="6"/>
      </w:numPr>
    </w:pPr>
  </w:style>
  <w:style w:type="paragraph" w:customStyle="1" w:styleId="NumberLevel8">
    <w:name w:val="Number Level 8"/>
    <w:basedOn w:val="NumberLevel7"/>
    <w:uiPriority w:val="1"/>
    <w:semiHidden/>
    <w:rsid w:val="00E7406A"/>
    <w:pPr>
      <w:numPr>
        <w:ilvl w:val="7"/>
      </w:numPr>
    </w:pPr>
  </w:style>
  <w:style w:type="paragraph" w:customStyle="1" w:styleId="NumberLevel9">
    <w:name w:val="Number Level 9"/>
    <w:basedOn w:val="NumberLevel8"/>
    <w:uiPriority w:val="1"/>
    <w:semiHidden/>
    <w:rsid w:val="00E7406A"/>
    <w:pPr>
      <w:numPr>
        <w:ilvl w:val="8"/>
      </w:numPr>
    </w:pPr>
  </w:style>
  <w:style w:type="paragraph" w:customStyle="1" w:styleId="DashEm">
    <w:name w:val="Dash: Em"/>
    <w:basedOn w:val="Normal"/>
    <w:uiPriority w:val="3"/>
    <w:semiHidden/>
    <w:rsid w:val="00E7406A"/>
    <w:pPr>
      <w:numPr>
        <w:ilvl w:val="1"/>
        <w:numId w:val="20"/>
      </w:numPr>
      <w:spacing w:after="140" w:line="280" w:lineRule="atLeast"/>
    </w:pPr>
    <w:rPr>
      <w:rFonts w:ascii="Arial" w:hAnsi="Arial" w:cs="Arial"/>
      <w:sz w:val="22"/>
      <w:szCs w:val="22"/>
    </w:rPr>
  </w:style>
  <w:style w:type="paragraph" w:customStyle="1" w:styleId="DashEm1">
    <w:name w:val="Dash: Em 1"/>
    <w:aliases w:val="-EM"/>
    <w:basedOn w:val="Normal"/>
    <w:uiPriority w:val="3"/>
    <w:semiHidden/>
    <w:rsid w:val="00E7406A"/>
    <w:pPr>
      <w:numPr>
        <w:numId w:val="20"/>
      </w:numPr>
      <w:spacing w:after="140" w:line="280" w:lineRule="atLeast"/>
    </w:pPr>
    <w:rPr>
      <w:rFonts w:ascii="Arial" w:hAnsi="Arial" w:cs="Arial"/>
      <w:sz w:val="22"/>
      <w:szCs w:val="22"/>
    </w:rPr>
  </w:style>
  <w:style w:type="character" w:customStyle="1" w:styleId="DashEn1Char">
    <w:name w:val="Dash: En 1 Char"/>
    <w:aliases w:val="-EN Char"/>
    <w:basedOn w:val="DefaultParagraphFont"/>
    <w:link w:val="DashEn1"/>
    <w:uiPriority w:val="3"/>
    <w:locked/>
    <w:rsid w:val="00E7406A"/>
    <w:rPr>
      <w:rFonts w:ascii="Arial" w:hAnsi="Arial" w:cs="Arial"/>
    </w:rPr>
  </w:style>
  <w:style w:type="paragraph" w:customStyle="1" w:styleId="DashEn1">
    <w:name w:val="Dash: En 1"/>
    <w:aliases w:val="-EN"/>
    <w:basedOn w:val="DashEm"/>
    <w:link w:val="DashEn1Char"/>
    <w:uiPriority w:val="3"/>
    <w:qFormat/>
    <w:rsid w:val="00E7406A"/>
    <w:pPr>
      <w:numPr>
        <w:ilvl w:val="2"/>
      </w:numPr>
    </w:pPr>
    <w:rPr>
      <w:sz w:val="20"/>
      <w:szCs w:val="20"/>
    </w:rPr>
  </w:style>
  <w:style w:type="paragraph" w:customStyle="1" w:styleId="DashEn2">
    <w:name w:val="Dash: En 2"/>
    <w:basedOn w:val="DashEn1"/>
    <w:uiPriority w:val="3"/>
    <w:semiHidden/>
    <w:rsid w:val="00E7406A"/>
    <w:pPr>
      <w:numPr>
        <w:ilvl w:val="3"/>
      </w:numPr>
      <w:tabs>
        <w:tab w:val="clear" w:pos="1276"/>
        <w:tab w:val="num" w:pos="360"/>
        <w:tab w:val="num" w:pos="2880"/>
      </w:tabs>
      <w:ind w:left="2880" w:hanging="360"/>
    </w:pPr>
  </w:style>
  <w:style w:type="paragraph" w:customStyle="1" w:styleId="DashEn3">
    <w:name w:val="Dash: En 3"/>
    <w:basedOn w:val="DashEn2"/>
    <w:uiPriority w:val="3"/>
    <w:semiHidden/>
    <w:rsid w:val="00E7406A"/>
    <w:pPr>
      <w:numPr>
        <w:ilvl w:val="4"/>
      </w:numPr>
      <w:tabs>
        <w:tab w:val="clear" w:pos="1701"/>
        <w:tab w:val="num" w:pos="360"/>
        <w:tab w:val="num" w:pos="3600"/>
      </w:tabs>
      <w:ind w:left="3600" w:hanging="360"/>
    </w:pPr>
  </w:style>
  <w:style w:type="paragraph" w:customStyle="1" w:styleId="DashEn4">
    <w:name w:val="Dash: En 4"/>
    <w:basedOn w:val="DashEn3"/>
    <w:uiPriority w:val="3"/>
    <w:semiHidden/>
    <w:rsid w:val="00E7406A"/>
    <w:pPr>
      <w:numPr>
        <w:ilvl w:val="5"/>
      </w:numPr>
      <w:tabs>
        <w:tab w:val="clear" w:pos="2126"/>
        <w:tab w:val="num" w:pos="360"/>
        <w:tab w:val="num" w:pos="4320"/>
      </w:tabs>
      <w:ind w:left="4320" w:hanging="360"/>
    </w:pPr>
  </w:style>
  <w:style w:type="paragraph" w:customStyle="1" w:styleId="DashEn5">
    <w:name w:val="Dash: En 5"/>
    <w:basedOn w:val="DashEn4"/>
    <w:uiPriority w:val="3"/>
    <w:semiHidden/>
    <w:rsid w:val="00E7406A"/>
    <w:pPr>
      <w:numPr>
        <w:ilvl w:val="6"/>
      </w:numPr>
      <w:tabs>
        <w:tab w:val="clear" w:pos="2551"/>
        <w:tab w:val="num" w:pos="360"/>
        <w:tab w:val="num" w:pos="5040"/>
      </w:tabs>
      <w:ind w:left="5040" w:hanging="360"/>
    </w:pPr>
  </w:style>
  <w:style w:type="paragraph" w:customStyle="1" w:styleId="DashEn6">
    <w:name w:val="Dash: En 6"/>
    <w:basedOn w:val="DashEn5"/>
    <w:uiPriority w:val="3"/>
    <w:semiHidden/>
    <w:rsid w:val="00E7406A"/>
    <w:pPr>
      <w:numPr>
        <w:ilvl w:val="7"/>
      </w:numPr>
      <w:tabs>
        <w:tab w:val="clear" w:pos="2976"/>
        <w:tab w:val="num" w:pos="360"/>
        <w:tab w:val="num" w:pos="2880"/>
        <w:tab w:val="num" w:pos="5760"/>
      </w:tabs>
      <w:ind w:left="5760" w:hanging="360"/>
    </w:pPr>
  </w:style>
  <w:style w:type="paragraph" w:customStyle="1" w:styleId="DashEn7">
    <w:name w:val="Dash: En 7"/>
    <w:basedOn w:val="DashEn6"/>
    <w:uiPriority w:val="3"/>
    <w:semiHidden/>
    <w:rsid w:val="00E7406A"/>
    <w:pPr>
      <w:numPr>
        <w:ilvl w:val="8"/>
      </w:numPr>
      <w:tabs>
        <w:tab w:val="clear" w:pos="3402"/>
        <w:tab w:val="num" w:pos="360"/>
        <w:tab w:val="num" w:pos="2880"/>
        <w:tab w:val="num" w:pos="6480"/>
      </w:tabs>
      <w:ind w:left="64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4591">
      <w:bodyDiv w:val="1"/>
      <w:marLeft w:val="0"/>
      <w:marRight w:val="0"/>
      <w:marTop w:val="0"/>
      <w:marBottom w:val="0"/>
      <w:divBdr>
        <w:top w:val="none" w:sz="0" w:space="0" w:color="auto"/>
        <w:left w:val="none" w:sz="0" w:space="0" w:color="auto"/>
        <w:bottom w:val="none" w:sz="0" w:space="0" w:color="auto"/>
        <w:right w:val="none" w:sz="0" w:space="0" w:color="auto"/>
      </w:divBdr>
    </w:div>
    <w:div w:id="27798176">
      <w:bodyDiv w:val="1"/>
      <w:marLeft w:val="0"/>
      <w:marRight w:val="0"/>
      <w:marTop w:val="0"/>
      <w:marBottom w:val="0"/>
      <w:divBdr>
        <w:top w:val="none" w:sz="0" w:space="0" w:color="auto"/>
        <w:left w:val="none" w:sz="0" w:space="0" w:color="auto"/>
        <w:bottom w:val="none" w:sz="0" w:space="0" w:color="auto"/>
        <w:right w:val="none" w:sz="0" w:space="0" w:color="auto"/>
      </w:divBdr>
      <w:divsChild>
        <w:div w:id="1896428748">
          <w:marLeft w:val="0"/>
          <w:marRight w:val="0"/>
          <w:marTop w:val="0"/>
          <w:marBottom w:val="0"/>
          <w:divBdr>
            <w:top w:val="none" w:sz="0" w:space="0" w:color="auto"/>
            <w:left w:val="none" w:sz="0" w:space="0" w:color="auto"/>
            <w:bottom w:val="none" w:sz="0" w:space="0" w:color="auto"/>
            <w:right w:val="none" w:sz="0" w:space="0" w:color="auto"/>
          </w:divBdr>
          <w:divsChild>
            <w:div w:id="1532718007">
              <w:marLeft w:val="0"/>
              <w:marRight w:val="0"/>
              <w:marTop w:val="0"/>
              <w:marBottom w:val="0"/>
              <w:divBdr>
                <w:top w:val="none" w:sz="0" w:space="0" w:color="auto"/>
                <w:left w:val="none" w:sz="0" w:space="0" w:color="auto"/>
                <w:bottom w:val="none" w:sz="0" w:space="0" w:color="auto"/>
                <w:right w:val="none" w:sz="0" w:space="0" w:color="auto"/>
              </w:divBdr>
              <w:divsChild>
                <w:div w:id="1729835217">
                  <w:marLeft w:val="0"/>
                  <w:marRight w:val="0"/>
                  <w:marTop w:val="100"/>
                  <w:marBottom w:val="100"/>
                  <w:divBdr>
                    <w:top w:val="none" w:sz="0" w:space="0" w:color="auto"/>
                    <w:left w:val="none" w:sz="0" w:space="0" w:color="auto"/>
                    <w:bottom w:val="none" w:sz="0" w:space="0" w:color="auto"/>
                    <w:right w:val="none" w:sz="0" w:space="0" w:color="auto"/>
                  </w:divBdr>
                  <w:divsChild>
                    <w:div w:id="978145835">
                      <w:marLeft w:val="0"/>
                      <w:marRight w:val="0"/>
                      <w:marTop w:val="0"/>
                      <w:marBottom w:val="0"/>
                      <w:divBdr>
                        <w:top w:val="none" w:sz="0" w:space="0" w:color="auto"/>
                        <w:left w:val="none" w:sz="0" w:space="0" w:color="auto"/>
                        <w:bottom w:val="none" w:sz="0" w:space="0" w:color="auto"/>
                        <w:right w:val="none" w:sz="0" w:space="0" w:color="auto"/>
                      </w:divBdr>
                      <w:divsChild>
                        <w:div w:id="2000965616">
                          <w:marLeft w:val="0"/>
                          <w:marRight w:val="0"/>
                          <w:marTop w:val="0"/>
                          <w:marBottom w:val="0"/>
                          <w:divBdr>
                            <w:top w:val="none" w:sz="0" w:space="0" w:color="auto"/>
                            <w:left w:val="none" w:sz="0" w:space="0" w:color="auto"/>
                            <w:bottom w:val="none" w:sz="0" w:space="0" w:color="auto"/>
                            <w:right w:val="none" w:sz="0" w:space="0" w:color="auto"/>
                          </w:divBdr>
                          <w:divsChild>
                            <w:div w:id="1522278836">
                              <w:marLeft w:val="0"/>
                              <w:marRight w:val="0"/>
                              <w:marTop w:val="0"/>
                              <w:marBottom w:val="0"/>
                              <w:divBdr>
                                <w:top w:val="none" w:sz="0" w:space="0" w:color="auto"/>
                                <w:left w:val="none" w:sz="0" w:space="0" w:color="auto"/>
                                <w:bottom w:val="none" w:sz="0" w:space="0" w:color="auto"/>
                                <w:right w:val="none" w:sz="0" w:space="0" w:color="auto"/>
                              </w:divBdr>
                              <w:divsChild>
                                <w:div w:id="181671890">
                                  <w:marLeft w:val="0"/>
                                  <w:marRight w:val="0"/>
                                  <w:marTop w:val="0"/>
                                  <w:marBottom w:val="0"/>
                                  <w:divBdr>
                                    <w:top w:val="none" w:sz="0" w:space="0" w:color="auto"/>
                                    <w:left w:val="none" w:sz="0" w:space="0" w:color="auto"/>
                                    <w:bottom w:val="none" w:sz="0" w:space="0" w:color="auto"/>
                                    <w:right w:val="none" w:sz="0" w:space="0" w:color="auto"/>
                                  </w:divBdr>
                                  <w:divsChild>
                                    <w:div w:id="1512522900">
                                      <w:marLeft w:val="0"/>
                                      <w:marRight w:val="0"/>
                                      <w:marTop w:val="0"/>
                                      <w:marBottom w:val="0"/>
                                      <w:divBdr>
                                        <w:top w:val="none" w:sz="0" w:space="0" w:color="auto"/>
                                        <w:left w:val="none" w:sz="0" w:space="0" w:color="auto"/>
                                        <w:bottom w:val="none" w:sz="0" w:space="0" w:color="auto"/>
                                        <w:right w:val="none" w:sz="0" w:space="0" w:color="auto"/>
                                      </w:divBdr>
                                      <w:divsChild>
                                        <w:div w:id="501699445">
                                          <w:marLeft w:val="0"/>
                                          <w:marRight w:val="0"/>
                                          <w:marTop w:val="0"/>
                                          <w:marBottom w:val="360"/>
                                          <w:divBdr>
                                            <w:top w:val="none" w:sz="0" w:space="0" w:color="auto"/>
                                            <w:left w:val="none" w:sz="0" w:space="0" w:color="auto"/>
                                            <w:bottom w:val="none" w:sz="0" w:space="0" w:color="auto"/>
                                            <w:right w:val="none" w:sz="0" w:space="0" w:color="auto"/>
                                          </w:divBdr>
                                          <w:divsChild>
                                            <w:div w:id="10225578">
                                              <w:marLeft w:val="0"/>
                                              <w:marRight w:val="0"/>
                                              <w:marTop w:val="0"/>
                                              <w:marBottom w:val="0"/>
                                              <w:divBdr>
                                                <w:top w:val="none" w:sz="0" w:space="0" w:color="auto"/>
                                                <w:left w:val="none" w:sz="0" w:space="0" w:color="auto"/>
                                                <w:bottom w:val="none" w:sz="0" w:space="0" w:color="auto"/>
                                                <w:right w:val="none" w:sz="0" w:space="0" w:color="auto"/>
                                              </w:divBdr>
                                              <w:divsChild>
                                                <w:div w:id="1732077021">
                                                  <w:marLeft w:val="0"/>
                                                  <w:marRight w:val="0"/>
                                                  <w:marTop w:val="0"/>
                                                  <w:marBottom w:val="0"/>
                                                  <w:divBdr>
                                                    <w:top w:val="none" w:sz="0" w:space="0" w:color="auto"/>
                                                    <w:left w:val="none" w:sz="0" w:space="0" w:color="auto"/>
                                                    <w:bottom w:val="none" w:sz="0" w:space="0" w:color="auto"/>
                                                    <w:right w:val="none" w:sz="0" w:space="0" w:color="auto"/>
                                                  </w:divBdr>
                                                  <w:divsChild>
                                                    <w:div w:id="2123910839">
                                                      <w:marLeft w:val="5370"/>
                                                      <w:marRight w:val="0"/>
                                                      <w:marTop w:val="120"/>
                                                      <w:marBottom w:val="0"/>
                                                      <w:divBdr>
                                                        <w:top w:val="none" w:sz="0" w:space="0" w:color="auto"/>
                                                        <w:left w:val="none" w:sz="0" w:space="0" w:color="auto"/>
                                                        <w:bottom w:val="none" w:sz="0" w:space="0" w:color="auto"/>
                                                        <w:right w:val="none" w:sz="0" w:space="0" w:color="auto"/>
                                                      </w:divBdr>
                                                      <w:divsChild>
                                                        <w:div w:id="18323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220036">
      <w:bodyDiv w:val="1"/>
      <w:marLeft w:val="0"/>
      <w:marRight w:val="0"/>
      <w:marTop w:val="0"/>
      <w:marBottom w:val="0"/>
      <w:divBdr>
        <w:top w:val="none" w:sz="0" w:space="0" w:color="auto"/>
        <w:left w:val="none" w:sz="0" w:space="0" w:color="auto"/>
        <w:bottom w:val="none" w:sz="0" w:space="0" w:color="auto"/>
        <w:right w:val="none" w:sz="0" w:space="0" w:color="auto"/>
      </w:divBdr>
    </w:div>
    <w:div w:id="205798097">
      <w:bodyDiv w:val="1"/>
      <w:marLeft w:val="0"/>
      <w:marRight w:val="0"/>
      <w:marTop w:val="0"/>
      <w:marBottom w:val="0"/>
      <w:divBdr>
        <w:top w:val="none" w:sz="0" w:space="0" w:color="auto"/>
        <w:left w:val="none" w:sz="0" w:space="0" w:color="auto"/>
        <w:bottom w:val="none" w:sz="0" w:space="0" w:color="auto"/>
        <w:right w:val="none" w:sz="0" w:space="0" w:color="auto"/>
      </w:divBdr>
    </w:div>
    <w:div w:id="273095908">
      <w:bodyDiv w:val="1"/>
      <w:marLeft w:val="0"/>
      <w:marRight w:val="0"/>
      <w:marTop w:val="0"/>
      <w:marBottom w:val="0"/>
      <w:divBdr>
        <w:top w:val="none" w:sz="0" w:space="0" w:color="auto"/>
        <w:left w:val="none" w:sz="0" w:space="0" w:color="auto"/>
        <w:bottom w:val="none" w:sz="0" w:space="0" w:color="auto"/>
        <w:right w:val="none" w:sz="0" w:space="0" w:color="auto"/>
      </w:divBdr>
      <w:divsChild>
        <w:div w:id="466239913">
          <w:marLeft w:val="0"/>
          <w:marRight w:val="0"/>
          <w:marTop w:val="0"/>
          <w:marBottom w:val="0"/>
          <w:divBdr>
            <w:top w:val="none" w:sz="0" w:space="0" w:color="auto"/>
            <w:left w:val="none" w:sz="0" w:space="0" w:color="auto"/>
            <w:bottom w:val="none" w:sz="0" w:space="0" w:color="auto"/>
            <w:right w:val="none" w:sz="0" w:space="0" w:color="auto"/>
          </w:divBdr>
          <w:divsChild>
            <w:div w:id="1414398413">
              <w:marLeft w:val="0"/>
              <w:marRight w:val="0"/>
              <w:marTop w:val="0"/>
              <w:marBottom w:val="0"/>
              <w:divBdr>
                <w:top w:val="none" w:sz="0" w:space="0" w:color="auto"/>
                <w:left w:val="none" w:sz="0" w:space="0" w:color="auto"/>
                <w:bottom w:val="none" w:sz="0" w:space="0" w:color="auto"/>
                <w:right w:val="none" w:sz="0" w:space="0" w:color="auto"/>
              </w:divBdr>
              <w:divsChild>
                <w:div w:id="2105219449">
                  <w:marLeft w:val="0"/>
                  <w:marRight w:val="0"/>
                  <w:marTop w:val="0"/>
                  <w:marBottom w:val="0"/>
                  <w:divBdr>
                    <w:top w:val="none" w:sz="0" w:space="0" w:color="auto"/>
                    <w:left w:val="none" w:sz="0" w:space="0" w:color="auto"/>
                    <w:bottom w:val="none" w:sz="0" w:space="0" w:color="auto"/>
                    <w:right w:val="none" w:sz="0" w:space="0" w:color="auto"/>
                  </w:divBdr>
                  <w:divsChild>
                    <w:div w:id="618684236">
                      <w:marLeft w:val="0"/>
                      <w:marRight w:val="0"/>
                      <w:marTop w:val="0"/>
                      <w:marBottom w:val="0"/>
                      <w:divBdr>
                        <w:top w:val="none" w:sz="0" w:space="0" w:color="auto"/>
                        <w:left w:val="none" w:sz="0" w:space="0" w:color="auto"/>
                        <w:bottom w:val="none" w:sz="0" w:space="0" w:color="auto"/>
                        <w:right w:val="none" w:sz="0" w:space="0" w:color="auto"/>
                      </w:divBdr>
                      <w:divsChild>
                        <w:div w:id="1365670581">
                          <w:marLeft w:val="0"/>
                          <w:marRight w:val="0"/>
                          <w:marTop w:val="0"/>
                          <w:marBottom w:val="0"/>
                          <w:divBdr>
                            <w:top w:val="single" w:sz="6" w:space="0" w:color="828282"/>
                            <w:left w:val="single" w:sz="6" w:space="0" w:color="828282"/>
                            <w:bottom w:val="single" w:sz="6" w:space="0" w:color="828282"/>
                            <w:right w:val="single" w:sz="6" w:space="0" w:color="828282"/>
                          </w:divBdr>
                          <w:divsChild>
                            <w:div w:id="1892691456">
                              <w:marLeft w:val="0"/>
                              <w:marRight w:val="0"/>
                              <w:marTop w:val="0"/>
                              <w:marBottom w:val="0"/>
                              <w:divBdr>
                                <w:top w:val="none" w:sz="0" w:space="0" w:color="auto"/>
                                <w:left w:val="none" w:sz="0" w:space="0" w:color="auto"/>
                                <w:bottom w:val="none" w:sz="0" w:space="0" w:color="auto"/>
                                <w:right w:val="none" w:sz="0" w:space="0" w:color="auto"/>
                              </w:divBdr>
                              <w:divsChild>
                                <w:div w:id="1974091763">
                                  <w:marLeft w:val="0"/>
                                  <w:marRight w:val="0"/>
                                  <w:marTop w:val="0"/>
                                  <w:marBottom w:val="0"/>
                                  <w:divBdr>
                                    <w:top w:val="none" w:sz="0" w:space="0" w:color="auto"/>
                                    <w:left w:val="none" w:sz="0" w:space="0" w:color="auto"/>
                                    <w:bottom w:val="none" w:sz="0" w:space="0" w:color="auto"/>
                                    <w:right w:val="none" w:sz="0" w:space="0" w:color="auto"/>
                                  </w:divBdr>
                                  <w:divsChild>
                                    <w:div w:id="2049640791">
                                      <w:marLeft w:val="0"/>
                                      <w:marRight w:val="0"/>
                                      <w:marTop w:val="0"/>
                                      <w:marBottom w:val="0"/>
                                      <w:divBdr>
                                        <w:top w:val="none" w:sz="0" w:space="0" w:color="auto"/>
                                        <w:left w:val="none" w:sz="0" w:space="0" w:color="auto"/>
                                        <w:bottom w:val="none" w:sz="0" w:space="0" w:color="auto"/>
                                        <w:right w:val="none" w:sz="0" w:space="0" w:color="auto"/>
                                      </w:divBdr>
                                      <w:divsChild>
                                        <w:div w:id="2082017131">
                                          <w:marLeft w:val="0"/>
                                          <w:marRight w:val="0"/>
                                          <w:marTop w:val="0"/>
                                          <w:marBottom w:val="0"/>
                                          <w:divBdr>
                                            <w:top w:val="none" w:sz="0" w:space="0" w:color="auto"/>
                                            <w:left w:val="none" w:sz="0" w:space="0" w:color="auto"/>
                                            <w:bottom w:val="none" w:sz="0" w:space="0" w:color="auto"/>
                                            <w:right w:val="none" w:sz="0" w:space="0" w:color="auto"/>
                                          </w:divBdr>
                                          <w:divsChild>
                                            <w:div w:id="703100319">
                                              <w:marLeft w:val="0"/>
                                              <w:marRight w:val="0"/>
                                              <w:marTop w:val="0"/>
                                              <w:marBottom w:val="0"/>
                                              <w:divBdr>
                                                <w:top w:val="none" w:sz="0" w:space="0" w:color="auto"/>
                                                <w:left w:val="none" w:sz="0" w:space="0" w:color="auto"/>
                                                <w:bottom w:val="none" w:sz="0" w:space="0" w:color="auto"/>
                                                <w:right w:val="none" w:sz="0" w:space="0" w:color="auto"/>
                                              </w:divBdr>
                                              <w:divsChild>
                                                <w:div w:id="1312952709">
                                                  <w:marLeft w:val="0"/>
                                                  <w:marRight w:val="0"/>
                                                  <w:marTop w:val="0"/>
                                                  <w:marBottom w:val="0"/>
                                                  <w:divBdr>
                                                    <w:top w:val="none" w:sz="0" w:space="0" w:color="auto"/>
                                                    <w:left w:val="none" w:sz="0" w:space="0" w:color="auto"/>
                                                    <w:bottom w:val="none" w:sz="0" w:space="0" w:color="auto"/>
                                                    <w:right w:val="none" w:sz="0" w:space="0" w:color="auto"/>
                                                  </w:divBdr>
                                                  <w:divsChild>
                                                    <w:div w:id="13817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8389516">
      <w:bodyDiv w:val="1"/>
      <w:marLeft w:val="0"/>
      <w:marRight w:val="0"/>
      <w:marTop w:val="0"/>
      <w:marBottom w:val="0"/>
      <w:divBdr>
        <w:top w:val="none" w:sz="0" w:space="0" w:color="auto"/>
        <w:left w:val="none" w:sz="0" w:space="0" w:color="auto"/>
        <w:bottom w:val="none" w:sz="0" w:space="0" w:color="auto"/>
        <w:right w:val="none" w:sz="0" w:space="0" w:color="auto"/>
      </w:divBdr>
      <w:divsChild>
        <w:div w:id="1312514362">
          <w:marLeft w:val="0"/>
          <w:marRight w:val="0"/>
          <w:marTop w:val="0"/>
          <w:marBottom w:val="0"/>
          <w:divBdr>
            <w:top w:val="none" w:sz="0" w:space="0" w:color="auto"/>
            <w:left w:val="none" w:sz="0" w:space="0" w:color="auto"/>
            <w:bottom w:val="none" w:sz="0" w:space="0" w:color="auto"/>
            <w:right w:val="none" w:sz="0" w:space="0" w:color="auto"/>
          </w:divBdr>
          <w:divsChild>
            <w:div w:id="1604651144">
              <w:marLeft w:val="0"/>
              <w:marRight w:val="0"/>
              <w:marTop w:val="0"/>
              <w:marBottom w:val="0"/>
              <w:divBdr>
                <w:top w:val="none" w:sz="0" w:space="0" w:color="auto"/>
                <w:left w:val="none" w:sz="0" w:space="0" w:color="auto"/>
                <w:bottom w:val="none" w:sz="0" w:space="0" w:color="auto"/>
                <w:right w:val="none" w:sz="0" w:space="0" w:color="auto"/>
              </w:divBdr>
              <w:divsChild>
                <w:div w:id="1388143031">
                  <w:marLeft w:val="0"/>
                  <w:marRight w:val="0"/>
                  <w:marTop w:val="100"/>
                  <w:marBottom w:val="100"/>
                  <w:divBdr>
                    <w:top w:val="none" w:sz="0" w:space="0" w:color="auto"/>
                    <w:left w:val="none" w:sz="0" w:space="0" w:color="auto"/>
                    <w:bottom w:val="none" w:sz="0" w:space="0" w:color="auto"/>
                    <w:right w:val="none" w:sz="0" w:space="0" w:color="auto"/>
                  </w:divBdr>
                  <w:divsChild>
                    <w:div w:id="975254270">
                      <w:marLeft w:val="0"/>
                      <w:marRight w:val="0"/>
                      <w:marTop w:val="0"/>
                      <w:marBottom w:val="0"/>
                      <w:divBdr>
                        <w:top w:val="none" w:sz="0" w:space="0" w:color="auto"/>
                        <w:left w:val="none" w:sz="0" w:space="0" w:color="auto"/>
                        <w:bottom w:val="none" w:sz="0" w:space="0" w:color="auto"/>
                        <w:right w:val="none" w:sz="0" w:space="0" w:color="auto"/>
                      </w:divBdr>
                      <w:divsChild>
                        <w:div w:id="1354726043">
                          <w:marLeft w:val="0"/>
                          <w:marRight w:val="0"/>
                          <w:marTop w:val="0"/>
                          <w:marBottom w:val="0"/>
                          <w:divBdr>
                            <w:top w:val="none" w:sz="0" w:space="0" w:color="auto"/>
                            <w:left w:val="none" w:sz="0" w:space="0" w:color="auto"/>
                            <w:bottom w:val="none" w:sz="0" w:space="0" w:color="auto"/>
                            <w:right w:val="none" w:sz="0" w:space="0" w:color="auto"/>
                          </w:divBdr>
                          <w:divsChild>
                            <w:div w:id="553594">
                              <w:marLeft w:val="0"/>
                              <w:marRight w:val="0"/>
                              <w:marTop w:val="0"/>
                              <w:marBottom w:val="0"/>
                              <w:divBdr>
                                <w:top w:val="none" w:sz="0" w:space="0" w:color="auto"/>
                                <w:left w:val="none" w:sz="0" w:space="0" w:color="auto"/>
                                <w:bottom w:val="none" w:sz="0" w:space="0" w:color="auto"/>
                                <w:right w:val="none" w:sz="0" w:space="0" w:color="auto"/>
                              </w:divBdr>
                              <w:divsChild>
                                <w:div w:id="1965385642">
                                  <w:marLeft w:val="0"/>
                                  <w:marRight w:val="0"/>
                                  <w:marTop w:val="0"/>
                                  <w:marBottom w:val="0"/>
                                  <w:divBdr>
                                    <w:top w:val="none" w:sz="0" w:space="0" w:color="auto"/>
                                    <w:left w:val="none" w:sz="0" w:space="0" w:color="auto"/>
                                    <w:bottom w:val="none" w:sz="0" w:space="0" w:color="auto"/>
                                    <w:right w:val="none" w:sz="0" w:space="0" w:color="auto"/>
                                  </w:divBdr>
                                  <w:divsChild>
                                    <w:div w:id="270670953">
                                      <w:marLeft w:val="0"/>
                                      <w:marRight w:val="0"/>
                                      <w:marTop w:val="0"/>
                                      <w:marBottom w:val="0"/>
                                      <w:divBdr>
                                        <w:top w:val="none" w:sz="0" w:space="0" w:color="auto"/>
                                        <w:left w:val="none" w:sz="0" w:space="0" w:color="auto"/>
                                        <w:bottom w:val="none" w:sz="0" w:space="0" w:color="auto"/>
                                        <w:right w:val="none" w:sz="0" w:space="0" w:color="auto"/>
                                      </w:divBdr>
                                      <w:divsChild>
                                        <w:div w:id="1344893056">
                                          <w:marLeft w:val="0"/>
                                          <w:marRight w:val="0"/>
                                          <w:marTop w:val="0"/>
                                          <w:marBottom w:val="360"/>
                                          <w:divBdr>
                                            <w:top w:val="none" w:sz="0" w:space="0" w:color="auto"/>
                                            <w:left w:val="none" w:sz="0" w:space="0" w:color="auto"/>
                                            <w:bottom w:val="none" w:sz="0" w:space="0" w:color="auto"/>
                                            <w:right w:val="none" w:sz="0" w:space="0" w:color="auto"/>
                                          </w:divBdr>
                                          <w:divsChild>
                                            <w:div w:id="489564332">
                                              <w:marLeft w:val="0"/>
                                              <w:marRight w:val="0"/>
                                              <w:marTop w:val="0"/>
                                              <w:marBottom w:val="0"/>
                                              <w:divBdr>
                                                <w:top w:val="none" w:sz="0" w:space="0" w:color="auto"/>
                                                <w:left w:val="none" w:sz="0" w:space="0" w:color="auto"/>
                                                <w:bottom w:val="none" w:sz="0" w:space="0" w:color="auto"/>
                                                <w:right w:val="none" w:sz="0" w:space="0" w:color="auto"/>
                                              </w:divBdr>
                                              <w:divsChild>
                                                <w:div w:id="1515917030">
                                                  <w:marLeft w:val="0"/>
                                                  <w:marRight w:val="0"/>
                                                  <w:marTop w:val="0"/>
                                                  <w:marBottom w:val="0"/>
                                                  <w:divBdr>
                                                    <w:top w:val="none" w:sz="0" w:space="0" w:color="auto"/>
                                                    <w:left w:val="none" w:sz="0" w:space="0" w:color="auto"/>
                                                    <w:bottom w:val="none" w:sz="0" w:space="0" w:color="auto"/>
                                                    <w:right w:val="none" w:sz="0" w:space="0" w:color="auto"/>
                                                  </w:divBdr>
                                                  <w:divsChild>
                                                    <w:div w:id="747309336">
                                                      <w:marLeft w:val="5370"/>
                                                      <w:marRight w:val="0"/>
                                                      <w:marTop w:val="120"/>
                                                      <w:marBottom w:val="0"/>
                                                      <w:divBdr>
                                                        <w:top w:val="none" w:sz="0" w:space="0" w:color="auto"/>
                                                        <w:left w:val="none" w:sz="0" w:space="0" w:color="auto"/>
                                                        <w:bottom w:val="none" w:sz="0" w:space="0" w:color="auto"/>
                                                        <w:right w:val="none" w:sz="0" w:space="0" w:color="auto"/>
                                                      </w:divBdr>
                                                      <w:divsChild>
                                                        <w:div w:id="1487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349249">
      <w:bodyDiv w:val="1"/>
      <w:marLeft w:val="0"/>
      <w:marRight w:val="0"/>
      <w:marTop w:val="0"/>
      <w:marBottom w:val="0"/>
      <w:divBdr>
        <w:top w:val="none" w:sz="0" w:space="0" w:color="auto"/>
        <w:left w:val="none" w:sz="0" w:space="0" w:color="auto"/>
        <w:bottom w:val="none" w:sz="0" w:space="0" w:color="auto"/>
        <w:right w:val="none" w:sz="0" w:space="0" w:color="auto"/>
      </w:divBdr>
    </w:div>
    <w:div w:id="611787483">
      <w:bodyDiv w:val="1"/>
      <w:marLeft w:val="0"/>
      <w:marRight w:val="0"/>
      <w:marTop w:val="0"/>
      <w:marBottom w:val="0"/>
      <w:divBdr>
        <w:top w:val="none" w:sz="0" w:space="0" w:color="auto"/>
        <w:left w:val="none" w:sz="0" w:space="0" w:color="auto"/>
        <w:bottom w:val="none" w:sz="0" w:space="0" w:color="auto"/>
        <w:right w:val="none" w:sz="0" w:space="0" w:color="auto"/>
      </w:divBdr>
      <w:divsChild>
        <w:div w:id="1554923729">
          <w:marLeft w:val="0"/>
          <w:marRight w:val="0"/>
          <w:marTop w:val="0"/>
          <w:marBottom w:val="0"/>
          <w:divBdr>
            <w:top w:val="none" w:sz="0" w:space="0" w:color="auto"/>
            <w:left w:val="none" w:sz="0" w:space="0" w:color="auto"/>
            <w:bottom w:val="none" w:sz="0" w:space="0" w:color="auto"/>
            <w:right w:val="none" w:sz="0" w:space="0" w:color="auto"/>
          </w:divBdr>
          <w:divsChild>
            <w:div w:id="2020158232">
              <w:marLeft w:val="0"/>
              <w:marRight w:val="0"/>
              <w:marTop w:val="0"/>
              <w:marBottom w:val="0"/>
              <w:divBdr>
                <w:top w:val="none" w:sz="0" w:space="0" w:color="auto"/>
                <w:left w:val="none" w:sz="0" w:space="0" w:color="auto"/>
                <w:bottom w:val="none" w:sz="0" w:space="0" w:color="auto"/>
                <w:right w:val="none" w:sz="0" w:space="0" w:color="auto"/>
              </w:divBdr>
              <w:divsChild>
                <w:div w:id="277178562">
                  <w:marLeft w:val="0"/>
                  <w:marRight w:val="0"/>
                  <w:marTop w:val="0"/>
                  <w:marBottom w:val="0"/>
                  <w:divBdr>
                    <w:top w:val="none" w:sz="0" w:space="0" w:color="auto"/>
                    <w:left w:val="none" w:sz="0" w:space="0" w:color="auto"/>
                    <w:bottom w:val="none" w:sz="0" w:space="0" w:color="auto"/>
                    <w:right w:val="none" w:sz="0" w:space="0" w:color="auto"/>
                  </w:divBdr>
                  <w:divsChild>
                    <w:div w:id="435760515">
                      <w:marLeft w:val="0"/>
                      <w:marRight w:val="0"/>
                      <w:marTop w:val="0"/>
                      <w:marBottom w:val="0"/>
                      <w:divBdr>
                        <w:top w:val="none" w:sz="0" w:space="0" w:color="auto"/>
                        <w:left w:val="none" w:sz="0" w:space="0" w:color="auto"/>
                        <w:bottom w:val="none" w:sz="0" w:space="0" w:color="auto"/>
                        <w:right w:val="none" w:sz="0" w:space="0" w:color="auto"/>
                      </w:divBdr>
                      <w:divsChild>
                        <w:div w:id="1395660659">
                          <w:marLeft w:val="0"/>
                          <w:marRight w:val="0"/>
                          <w:marTop w:val="0"/>
                          <w:marBottom w:val="0"/>
                          <w:divBdr>
                            <w:top w:val="single" w:sz="6" w:space="0" w:color="828282"/>
                            <w:left w:val="single" w:sz="6" w:space="0" w:color="828282"/>
                            <w:bottom w:val="single" w:sz="6" w:space="0" w:color="828282"/>
                            <w:right w:val="single" w:sz="6" w:space="0" w:color="828282"/>
                          </w:divBdr>
                          <w:divsChild>
                            <w:div w:id="1138493005">
                              <w:marLeft w:val="0"/>
                              <w:marRight w:val="0"/>
                              <w:marTop w:val="0"/>
                              <w:marBottom w:val="0"/>
                              <w:divBdr>
                                <w:top w:val="none" w:sz="0" w:space="0" w:color="auto"/>
                                <w:left w:val="none" w:sz="0" w:space="0" w:color="auto"/>
                                <w:bottom w:val="none" w:sz="0" w:space="0" w:color="auto"/>
                                <w:right w:val="none" w:sz="0" w:space="0" w:color="auto"/>
                              </w:divBdr>
                              <w:divsChild>
                                <w:div w:id="929316563">
                                  <w:marLeft w:val="0"/>
                                  <w:marRight w:val="0"/>
                                  <w:marTop w:val="0"/>
                                  <w:marBottom w:val="0"/>
                                  <w:divBdr>
                                    <w:top w:val="none" w:sz="0" w:space="0" w:color="auto"/>
                                    <w:left w:val="none" w:sz="0" w:space="0" w:color="auto"/>
                                    <w:bottom w:val="none" w:sz="0" w:space="0" w:color="auto"/>
                                    <w:right w:val="none" w:sz="0" w:space="0" w:color="auto"/>
                                  </w:divBdr>
                                  <w:divsChild>
                                    <w:div w:id="1202979110">
                                      <w:marLeft w:val="0"/>
                                      <w:marRight w:val="0"/>
                                      <w:marTop w:val="0"/>
                                      <w:marBottom w:val="0"/>
                                      <w:divBdr>
                                        <w:top w:val="none" w:sz="0" w:space="0" w:color="auto"/>
                                        <w:left w:val="none" w:sz="0" w:space="0" w:color="auto"/>
                                        <w:bottom w:val="none" w:sz="0" w:space="0" w:color="auto"/>
                                        <w:right w:val="none" w:sz="0" w:space="0" w:color="auto"/>
                                      </w:divBdr>
                                      <w:divsChild>
                                        <w:div w:id="972902544">
                                          <w:marLeft w:val="0"/>
                                          <w:marRight w:val="0"/>
                                          <w:marTop w:val="0"/>
                                          <w:marBottom w:val="0"/>
                                          <w:divBdr>
                                            <w:top w:val="none" w:sz="0" w:space="0" w:color="auto"/>
                                            <w:left w:val="none" w:sz="0" w:space="0" w:color="auto"/>
                                            <w:bottom w:val="none" w:sz="0" w:space="0" w:color="auto"/>
                                            <w:right w:val="none" w:sz="0" w:space="0" w:color="auto"/>
                                          </w:divBdr>
                                          <w:divsChild>
                                            <w:div w:id="987248235">
                                              <w:marLeft w:val="0"/>
                                              <w:marRight w:val="0"/>
                                              <w:marTop w:val="0"/>
                                              <w:marBottom w:val="0"/>
                                              <w:divBdr>
                                                <w:top w:val="none" w:sz="0" w:space="0" w:color="auto"/>
                                                <w:left w:val="none" w:sz="0" w:space="0" w:color="auto"/>
                                                <w:bottom w:val="none" w:sz="0" w:space="0" w:color="auto"/>
                                                <w:right w:val="none" w:sz="0" w:space="0" w:color="auto"/>
                                              </w:divBdr>
                                              <w:divsChild>
                                                <w:div w:id="3889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039355">
      <w:bodyDiv w:val="1"/>
      <w:marLeft w:val="0"/>
      <w:marRight w:val="0"/>
      <w:marTop w:val="0"/>
      <w:marBottom w:val="0"/>
      <w:divBdr>
        <w:top w:val="none" w:sz="0" w:space="0" w:color="auto"/>
        <w:left w:val="none" w:sz="0" w:space="0" w:color="auto"/>
        <w:bottom w:val="none" w:sz="0" w:space="0" w:color="auto"/>
        <w:right w:val="none" w:sz="0" w:space="0" w:color="auto"/>
      </w:divBdr>
    </w:div>
    <w:div w:id="1071200233">
      <w:bodyDiv w:val="1"/>
      <w:marLeft w:val="0"/>
      <w:marRight w:val="0"/>
      <w:marTop w:val="0"/>
      <w:marBottom w:val="0"/>
      <w:divBdr>
        <w:top w:val="none" w:sz="0" w:space="0" w:color="auto"/>
        <w:left w:val="none" w:sz="0" w:space="0" w:color="auto"/>
        <w:bottom w:val="none" w:sz="0" w:space="0" w:color="auto"/>
        <w:right w:val="none" w:sz="0" w:space="0" w:color="auto"/>
      </w:divBdr>
    </w:div>
    <w:div w:id="1100029549">
      <w:bodyDiv w:val="1"/>
      <w:marLeft w:val="0"/>
      <w:marRight w:val="0"/>
      <w:marTop w:val="0"/>
      <w:marBottom w:val="0"/>
      <w:divBdr>
        <w:top w:val="none" w:sz="0" w:space="0" w:color="auto"/>
        <w:left w:val="none" w:sz="0" w:space="0" w:color="auto"/>
        <w:bottom w:val="none" w:sz="0" w:space="0" w:color="auto"/>
        <w:right w:val="none" w:sz="0" w:space="0" w:color="auto"/>
      </w:divBdr>
    </w:div>
    <w:div w:id="1122192646">
      <w:bodyDiv w:val="1"/>
      <w:marLeft w:val="0"/>
      <w:marRight w:val="0"/>
      <w:marTop w:val="0"/>
      <w:marBottom w:val="0"/>
      <w:divBdr>
        <w:top w:val="none" w:sz="0" w:space="0" w:color="auto"/>
        <w:left w:val="none" w:sz="0" w:space="0" w:color="auto"/>
        <w:bottom w:val="none" w:sz="0" w:space="0" w:color="auto"/>
        <w:right w:val="none" w:sz="0" w:space="0" w:color="auto"/>
      </w:divBdr>
    </w:div>
    <w:div w:id="1130248385">
      <w:bodyDiv w:val="1"/>
      <w:marLeft w:val="0"/>
      <w:marRight w:val="0"/>
      <w:marTop w:val="0"/>
      <w:marBottom w:val="0"/>
      <w:divBdr>
        <w:top w:val="none" w:sz="0" w:space="0" w:color="auto"/>
        <w:left w:val="none" w:sz="0" w:space="0" w:color="auto"/>
        <w:bottom w:val="none" w:sz="0" w:space="0" w:color="auto"/>
        <w:right w:val="none" w:sz="0" w:space="0" w:color="auto"/>
      </w:divBdr>
    </w:div>
    <w:div w:id="1230076575">
      <w:bodyDiv w:val="1"/>
      <w:marLeft w:val="0"/>
      <w:marRight w:val="0"/>
      <w:marTop w:val="0"/>
      <w:marBottom w:val="0"/>
      <w:divBdr>
        <w:top w:val="none" w:sz="0" w:space="0" w:color="auto"/>
        <w:left w:val="none" w:sz="0" w:space="0" w:color="auto"/>
        <w:bottom w:val="none" w:sz="0" w:space="0" w:color="auto"/>
        <w:right w:val="none" w:sz="0" w:space="0" w:color="auto"/>
      </w:divBdr>
    </w:div>
    <w:div w:id="1285771054">
      <w:bodyDiv w:val="1"/>
      <w:marLeft w:val="0"/>
      <w:marRight w:val="0"/>
      <w:marTop w:val="0"/>
      <w:marBottom w:val="0"/>
      <w:divBdr>
        <w:top w:val="none" w:sz="0" w:space="0" w:color="auto"/>
        <w:left w:val="none" w:sz="0" w:space="0" w:color="auto"/>
        <w:bottom w:val="none" w:sz="0" w:space="0" w:color="auto"/>
        <w:right w:val="none" w:sz="0" w:space="0" w:color="auto"/>
      </w:divBdr>
    </w:div>
    <w:div w:id="1335767225">
      <w:bodyDiv w:val="1"/>
      <w:marLeft w:val="0"/>
      <w:marRight w:val="0"/>
      <w:marTop w:val="0"/>
      <w:marBottom w:val="0"/>
      <w:divBdr>
        <w:top w:val="none" w:sz="0" w:space="0" w:color="auto"/>
        <w:left w:val="none" w:sz="0" w:space="0" w:color="auto"/>
        <w:bottom w:val="none" w:sz="0" w:space="0" w:color="auto"/>
        <w:right w:val="none" w:sz="0" w:space="0" w:color="auto"/>
      </w:divBdr>
      <w:divsChild>
        <w:div w:id="1770855651">
          <w:marLeft w:val="0"/>
          <w:marRight w:val="0"/>
          <w:marTop w:val="0"/>
          <w:marBottom w:val="0"/>
          <w:divBdr>
            <w:top w:val="none" w:sz="0" w:space="0" w:color="auto"/>
            <w:left w:val="none" w:sz="0" w:space="0" w:color="auto"/>
            <w:bottom w:val="none" w:sz="0" w:space="0" w:color="auto"/>
            <w:right w:val="none" w:sz="0" w:space="0" w:color="auto"/>
          </w:divBdr>
          <w:divsChild>
            <w:div w:id="986863281">
              <w:marLeft w:val="0"/>
              <w:marRight w:val="0"/>
              <w:marTop w:val="0"/>
              <w:marBottom w:val="0"/>
              <w:divBdr>
                <w:top w:val="none" w:sz="0" w:space="0" w:color="auto"/>
                <w:left w:val="none" w:sz="0" w:space="0" w:color="auto"/>
                <w:bottom w:val="none" w:sz="0" w:space="0" w:color="auto"/>
                <w:right w:val="none" w:sz="0" w:space="0" w:color="auto"/>
              </w:divBdr>
              <w:divsChild>
                <w:div w:id="1189417233">
                  <w:marLeft w:val="0"/>
                  <w:marRight w:val="0"/>
                  <w:marTop w:val="0"/>
                  <w:marBottom w:val="0"/>
                  <w:divBdr>
                    <w:top w:val="none" w:sz="0" w:space="0" w:color="auto"/>
                    <w:left w:val="none" w:sz="0" w:space="0" w:color="auto"/>
                    <w:bottom w:val="none" w:sz="0" w:space="0" w:color="auto"/>
                    <w:right w:val="none" w:sz="0" w:space="0" w:color="auto"/>
                  </w:divBdr>
                  <w:divsChild>
                    <w:div w:id="753863479">
                      <w:marLeft w:val="0"/>
                      <w:marRight w:val="0"/>
                      <w:marTop w:val="0"/>
                      <w:marBottom w:val="0"/>
                      <w:divBdr>
                        <w:top w:val="none" w:sz="0" w:space="0" w:color="auto"/>
                        <w:left w:val="none" w:sz="0" w:space="0" w:color="auto"/>
                        <w:bottom w:val="none" w:sz="0" w:space="0" w:color="auto"/>
                        <w:right w:val="none" w:sz="0" w:space="0" w:color="auto"/>
                      </w:divBdr>
                      <w:divsChild>
                        <w:div w:id="1583371214">
                          <w:marLeft w:val="0"/>
                          <w:marRight w:val="0"/>
                          <w:marTop w:val="0"/>
                          <w:marBottom w:val="0"/>
                          <w:divBdr>
                            <w:top w:val="single" w:sz="6" w:space="0" w:color="828282"/>
                            <w:left w:val="single" w:sz="6" w:space="0" w:color="828282"/>
                            <w:bottom w:val="single" w:sz="6" w:space="0" w:color="828282"/>
                            <w:right w:val="single" w:sz="6" w:space="0" w:color="828282"/>
                          </w:divBdr>
                          <w:divsChild>
                            <w:div w:id="206189807">
                              <w:marLeft w:val="0"/>
                              <w:marRight w:val="0"/>
                              <w:marTop w:val="0"/>
                              <w:marBottom w:val="0"/>
                              <w:divBdr>
                                <w:top w:val="none" w:sz="0" w:space="0" w:color="auto"/>
                                <w:left w:val="none" w:sz="0" w:space="0" w:color="auto"/>
                                <w:bottom w:val="none" w:sz="0" w:space="0" w:color="auto"/>
                                <w:right w:val="none" w:sz="0" w:space="0" w:color="auto"/>
                              </w:divBdr>
                              <w:divsChild>
                                <w:div w:id="1109007549">
                                  <w:marLeft w:val="0"/>
                                  <w:marRight w:val="0"/>
                                  <w:marTop w:val="0"/>
                                  <w:marBottom w:val="0"/>
                                  <w:divBdr>
                                    <w:top w:val="none" w:sz="0" w:space="0" w:color="auto"/>
                                    <w:left w:val="none" w:sz="0" w:space="0" w:color="auto"/>
                                    <w:bottom w:val="none" w:sz="0" w:space="0" w:color="auto"/>
                                    <w:right w:val="none" w:sz="0" w:space="0" w:color="auto"/>
                                  </w:divBdr>
                                  <w:divsChild>
                                    <w:div w:id="531918281">
                                      <w:marLeft w:val="0"/>
                                      <w:marRight w:val="0"/>
                                      <w:marTop w:val="0"/>
                                      <w:marBottom w:val="0"/>
                                      <w:divBdr>
                                        <w:top w:val="none" w:sz="0" w:space="0" w:color="auto"/>
                                        <w:left w:val="none" w:sz="0" w:space="0" w:color="auto"/>
                                        <w:bottom w:val="none" w:sz="0" w:space="0" w:color="auto"/>
                                        <w:right w:val="none" w:sz="0" w:space="0" w:color="auto"/>
                                      </w:divBdr>
                                      <w:divsChild>
                                        <w:div w:id="1851328723">
                                          <w:marLeft w:val="0"/>
                                          <w:marRight w:val="0"/>
                                          <w:marTop w:val="0"/>
                                          <w:marBottom w:val="0"/>
                                          <w:divBdr>
                                            <w:top w:val="none" w:sz="0" w:space="0" w:color="auto"/>
                                            <w:left w:val="none" w:sz="0" w:space="0" w:color="auto"/>
                                            <w:bottom w:val="none" w:sz="0" w:space="0" w:color="auto"/>
                                            <w:right w:val="none" w:sz="0" w:space="0" w:color="auto"/>
                                          </w:divBdr>
                                          <w:divsChild>
                                            <w:div w:id="929388109">
                                              <w:marLeft w:val="0"/>
                                              <w:marRight w:val="0"/>
                                              <w:marTop w:val="0"/>
                                              <w:marBottom w:val="0"/>
                                              <w:divBdr>
                                                <w:top w:val="none" w:sz="0" w:space="0" w:color="auto"/>
                                                <w:left w:val="none" w:sz="0" w:space="0" w:color="auto"/>
                                                <w:bottom w:val="none" w:sz="0" w:space="0" w:color="auto"/>
                                                <w:right w:val="none" w:sz="0" w:space="0" w:color="auto"/>
                                              </w:divBdr>
                                              <w:divsChild>
                                                <w:div w:id="18447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17768">
      <w:bodyDiv w:val="1"/>
      <w:marLeft w:val="0"/>
      <w:marRight w:val="0"/>
      <w:marTop w:val="0"/>
      <w:marBottom w:val="0"/>
      <w:divBdr>
        <w:top w:val="none" w:sz="0" w:space="0" w:color="auto"/>
        <w:left w:val="none" w:sz="0" w:space="0" w:color="auto"/>
        <w:bottom w:val="none" w:sz="0" w:space="0" w:color="auto"/>
        <w:right w:val="none" w:sz="0" w:space="0" w:color="auto"/>
      </w:divBdr>
      <w:divsChild>
        <w:div w:id="1697267054">
          <w:marLeft w:val="0"/>
          <w:marRight w:val="0"/>
          <w:marTop w:val="0"/>
          <w:marBottom w:val="0"/>
          <w:divBdr>
            <w:top w:val="none" w:sz="0" w:space="0" w:color="auto"/>
            <w:left w:val="none" w:sz="0" w:space="0" w:color="auto"/>
            <w:bottom w:val="none" w:sz="0" w:space="0" w:color="auto"/>
            <w:right w:val="none" w:sz="0" w:space="0" w:color="auto"/>
          </w:divBdr>
        </w:div>
      </w:divsChild>
    </w:div>
    <w:div w:id="1586692923">
      <w:bodyDiv w:val="1"/>
      <w:marLeft w:val="0"/>
      <w:marRight w:val="0"/>
      <w:marTop w:val="0"/>
      <w:marBottom w:val="0"/>
      <w:divBdr>
        <w:top w:val="none" w:sz="0" w:space="0" w:color="auto"/>
        <w:left w:val="none" w:sz="0" w:space="0" w:color="auto"/>
        <w:bottom w:val="none" w:sz="0" w:space="0" w:color="auto"/>
        <w:right w:val="none" w:sz="0" w:space="0" w:color="auto"/>
      </w:divBdr>
    </w:div>
    <w:div w:id="1677339902">
      <w:bodyDiv w:val="1"/>
      <w:marLeft w:val="0"/>
      <w:marRight w:val="0"/>
      <w:marTop w:val="0"/>
      <w:marBottom w:val="0"/>
      <w:divBdr>
        <w:top w:val="none" w:sz="0" w:space="0" w:color="auto"/>
        <w:left w:val="none" w:sz="0" w:space="0" w:color="auto"/>
        <w:bottom w:val="none" w:sz="0" w:space="0" w:color="auto"/>
        <w:right w:val="none" w:sz="0" w:space="0" w:color="auto"/>
      </w:divBdr>
    </w:div>
    <w:div w:id="1729307269">
      <w:bodyDiv w:val="1"/>
      <w:marLeft w:val="0"/>
      <w:marRight w:val="0"/>
      <w:marTop w:val="0"/>
      <w:marBottom w:val="0"/>
      <w:divBdr>
        <w:top w:val="none" w:sz="0" w:space="0" w:color="auto"/>
        <w:left w:val="none" w:sz="0" w:space="0" w:color="auto"/>
        <w:bottom w:val="none" w:sz="0" w:space="0" w:color="auto"/>
        <w:right w:val="none" w:sz="0" w:space="0" w:color="auto"/>
      </w:divBdr>
    </w:div>
    <w:div w:id="21077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dms_DocumentType xmlns="BA7ACD50-44BA-498C-A9F4-B5362C3E7D20" xsi:nil="true"/>
    <pdms_AttachedBy xmlns="BA7ACD50-44BA-498C-A9F4-B5362C3E7D20" xsi:nil="true"/>
    <pdms_SecurityClassification xmlns="BA7ACD50-44BA-498C-A9F4-B5362C3E7D20" xsi:nil="true"/>
    <pdms_Reason xmlns="BA7ACD50-44BA-498C-A9F4-B5362C3E7D20" xsi:nil="true"/>
    <SecurityClassification xmlns="BA7ACD50-44BA-498C-A9F4-B5362C3E7D20"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92C235478A6B544E9B05B309E846B57B" ma:contentTypeVersion="" ma:contentTypeDescription="PDMS Documentation Content Type" ma:contentTypeScope="" ma:versionID="dde451ad4da06d74f54c9b33299c4c89">
  <xsd:schema xmlns:xsd="http://www.w3.org/2001/XMLSchema" xmlns:xs="http://www.w3.org/2001/XMLSchema" xmlns:p="http://schemas.microsoft.com/office/2006/metadata/properties" xmlns:ns2="BA7ACD50-44BA-498C-A9F4-B5362C3E7D20" targetNamespace="http://schemas.microsoft.com/office/2006/metadata/properties" ma:root="true" ma:fieldsID="a87d9394f438f9b631f3c208f9027352" ns2:_="">
    <xsd:import namespace="BA7ACD50-44BA-498C-A9F4-B5362C3E7D2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ACD50-44BA-498C-A9F4-B5362C3E7D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1200-F322-49AA-A245-27114FB46BB6}">
  <ds:schemaRefs>
    <ds:schemaRef ds:uri="http://schemas.microsoft.com/office/2006/documentManagement/types"/>
    <ds:schemaRef ds:uri="http://purl.org/dc/elements/1.1/"/>
    <ds:schemaRef ds:uri="http://purl.org/dc/dcmitype/"/>
    <ds:schemaRef ds:uri="BA7ACD50-44BA-498C-A9F4-B5362C3E7D20"/>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72ABCBB9-4956-4AAE-8402-6FB98ADCF43B}">
  <ds:schemaRefs>
    <ds:schemaRef ds:uri="http://schemas.microsoft.com/office/2006/metadata/longProperties"/>
  </ds:schemaRefs>
</ds:datastoreItem>
</file>

<file path=customXml/itemProps3.xml><?xml version="1.0" encoding="utf-8"?>
<ds:datastoreItem xmlns:ds="http://schemas.openxmlformats.org/officeDocument/2006/customXml" ds:itemID="{3C8B15C6-7AAD-4D2F-A237-2FB439FB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ACD50-44BA-498C-A9F4-B5362C3E7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BE831-BFC6-4F9B-BFBC-0A52F222437F}">
  <ds:schemaRefs>
    <ds:schemaRef ds:uri="http://schemas.microsoft.com/sharepoint/v3/contenttype/forms"/>
  </ds:schemaRefs>
</ds:datastoreItem>
</file>

<file path=customXml/itemProps5.xml><?xml version="1.0" encoding="utf-8"?>
<ds:datastoreItem xmlns:ds="http://schemas.openxmlformats.org/officeDocument/2006/customXml" ds:itemID="{97503F0F-2DA6-43DA-92BE-BC8BCB36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D24B538.dotm</Template>
  <TotalTime>2</TotalTime>
  <Pages>13</Pages>
  <Words>3993</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Australian Government</Company>
  <LinksUpToDate>false</LinksUpToDate>
  <CharactersWithSpaces>26545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David McLaren</dc:creator>
  <cp:lastModifiedBy>Matt Bankins</cp:lastModifiedBy>
  <cp:revision>3</cp:revision>
  <cp:lastPrinted>2016-11-01T06:55:00Z</cp:lastPrinted>
  <dcterms:created xsi:type="dcterms:W3CDTF">2016-11-22T03:10:00Z</dcterms:created>
  <dcterms:modified xsi:type="dcterms:W3CDTF">2016-11-22T03:12:00Z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2016-06-14T10:49:14Z</vt:lpwstr>
  </property>
  <property fmtid="{D5CDD505-2E9C-101B-9397-08002B2CF9AE}" pid="3" name="ContentType">
    <vt:lpwstr>Ddocs Word Document</vt:lpwstr>
  </property>
  <property fmtid="{D5CDD505-2E9C-101B-9397-08002B2CF9AE}" pid="4" name="DNetUniqueId">
    <vt:lpwstr>D08-9029381</vt:lpwstr>
  </property>
  <property fmtid="{D5CDD505-2E9C-101B-9397-08002B2CF9AE}" pid="5" name="ContentTypeId">
    <vt:lpwstr>0x010100266966F133664895A6EE3632470D45F5010092C235478A6B544E9B05B309E846B57B</vt:lpwstr>
  </property>
  <property fmtid="{D5CDD505-2E9C-101B-9397-08002B2CF9AE}" pid="6" name="_dlc_policyId">
    <vt:lpwstr/>
  </property>
  <property fmtid="{D5CDD505-2E9C-101B-9397-08002B2CF9AE}" pid="7" name="ItemRetentionFormula">
    <vt:lpwstr/>
  </property>
</Properties>
</file>