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45767" w14:textId="21048169" w:rsidR="00F04010" w:rsidRPr="00A94C87" w:rsidRDefault="0085704F" w:rsidP="00D22F27">
      <w:pPr>
        <w:spacing w:before="120" w:after="120"/>
        <w:jc w:val="center"/>
        <w:rPr>
          <w:rFonts w:cs="Arial"/>
          <w:b/>
          <w:i/>
        </w:rPr>
      </w:pPr>
      <w:r w:rsidRPr="00A94C87">
        <w:rPr>
          <w:rFonts w:cs="Arial"/>
          <w:b/>
          <w:i/>
        </w:rPr>
        <w:t>Legislati</w:t>
      </w:r>
      <w:r w:rsidR="00AD4C43">
        <w:rPr>
          <w:rFonts w:cs="Arial"/>
          <w:b/>
          <w:i/>
        </w:rPr>
        <w:t>on</w:t>
      </w:r>
      <w:r w:rsidRPr="00A94C87">
        <w:rPr>
          <w:rFonts w:cs="Arial"/>
          <w:b/>
          <w:i/>
        </w:rPr>
        <w:t xml:space="preserve"> Act 2003</w:t>
      </w:r>
    </w:p>
    <w:p w14:paraId="0AC9FA4A" w14:textId="77777777" w:rsidR="00F74683" w:rsidRDefault="00F04010" w:rsidP="00D22F27">
      <w:pPr>
        <w:spacing w:before="120" w:after="120"/>
        <w:jc w:val="center"/>
        <w:rPr>
          <w:rFonts w:cs="Arial"/>
          <w:b/>
        </w:rPr>
      </w:pPr>
      <w:r w:rsidRPr="00A94C87">
        <w:rPr>
          <w:rFonts w:cs="Arial"/>
          <w:b/>
        </w:rPr>
        <w:t xml:space="preserve">Section 26 </w:t>
      </w:r>
      <w:r w:rsidR="00E66F7A">
        <w:rPr>
          <w:rFonts w:cs="Arial"/>
          <w:b/>
        </w:rPr>
        <w:t>–</w:t>
      </w:r>
      <w:r w:rsidRPr="00A94C87">
        <w:rPr>
          <w:rFonts w:cs="Arial"/>
          <w:b/>
        </w:rPr>
        <w:t xml:space="preserve"> </w:t>
      </w:r>
      <w:r w:rsidR="00F74683" w:rsidRPr="00A94C87">
        <w:rPr>
          <w:rFonts w:cs="Arial"/>
          <w:b/>
        </w:rPr>
        <w:t>Explanatory Statement</w:t>
      </w:r>
    </w:p>
    <w:p w14:paraId="0193A3B5" w14:textId="77777777" w:rsidR="00397E21" w:rsidRPr="00A94C87" w:rsidRDefault="00397E21" w:rsidP="00D22F27">
      <w:pPr>
        <w:spacing w:before="120" w:after="120"/>
        <w:jc w:val="center"/>
        <w:rPr>
          <w:rFonts w:cs="Arial"/>
          <w:b/>
        </w:rPr>
      </w:pPr>
    </w:p>
    <w:p w14:paraId="17FBFA6C" w14:textId="2E70EDA4" w:rsidR="00F74683" w:rsidRPr="00A94C87" w:rsidRDefault="00127690" w:rsidP="00D22F27">
      <w:pPr>
        <w:spacing w:before="120" w:after="120"/>
        <w:jc w:val="center"/>
        <w:rPr>
          <w:rFonts w:cs="Arial"/>
          <w:b/>
          <w:i/>
        </w:rPr>
      </w:pPr>
      <w:r w:rsidRPr="00127690">
        <w:rPr>
          <w:rFonts w:cs="Arial"/>
          <w:b/>
          <w:i/>
        </w:rPr>
        <w:t xml:space="preserve">Broadcasting Services (Regional Commercial Radio – </w:t>
      </w:r>
      <w:r w:rsidR="003C4BAE">
        <w:rPr>
          <w:rFonts w:cs="Arial"/>
          <w:b/>
          <w:i/>
        </w:rPr>
        <w:t>S</w:t>
      </w:r>
      <w:r w:rsidRPr="00127690">
        <w:rPr>
          <w:rFonts w:cs="Arial"/>
          <w:b/>
          <w:i/>
        </w:rPr>
        <w:t xml:space="preserve">pecification of </w:t>
      </w:r>
      <w:r w:rsidR="003C4BAE">
        <w:rPr>
          <w:rFonts w:cs="Arial"/>
          <w:b/>
          <w:i/>
        </w:rPr>
        <w:t>P</w:t>
      </w:r>
      <w:r w:rsidRPr="00127690">
        <w:rPr>
          <w:rFonts w:cs="Arial"/>
          <w:b/>
          <w:i/>
        </w:rPr>
        <w:t>eriod</w:t>
      </w:r>
      <w:r w:rsidR="003C4BAE">
        <w:rPr>
          <w:rFonts w:cs="Arial"/>
          <w:b/>
          <w:i/>
        </w:rPr>
        <w:t>s for S</w:t>
      </w:r>
      <w:r w:rsidRPr="00127690">
        <w:rPr>
          <w:rFonts w:cs="Arial"/>
          <w:b/>
          <w:i/>
        </w:rPr>
        <w:t xml:space="preserve">ubsections </w:t>
      </w:r>
      <w:proofErr w:type="gramStart"/>
      <w:r w:rsidRPr="00127690">
        <w:rPr>
          <w:rFonts w:cs="Arial"/>
          <w:b/>
          <w:i/>
        </w:rPr>
        <w:t>43C(</w:t>
      </w:r>
      <w:proofErr w:type="gramEnd"/>
      <w:r w:rsidRPr="00127690">
        <w:rPr>
          <w:rFonts w:cs="Arial"/>
          <w:b/>
          <w:i/>
        </w:rPr>
        <w:t xml:space="preserve">1A) and 61CD(2)) </w:t>
      </w:r>
      <w:r w:rsidR="00232F5B">
        <w:rPr>
          <w:rFonts w:cs="Arial"/>
          <w:b/>
          <w:i/>
        </w:rPr>
        <w:t xml:space="preserve">Variation </w:t>
      </w:r>
      <w:r w:rsidRPr="00127690">
        <w:rPr>
          <w:rFonts w:cs="Arial"/>
          <w:b/>
          <w:i/>
        </w:rPr>
        <w:t>Instrument 201</w:t>
      </w:r>
      <w:r w:rsidR="00AD4C43">
        <w:rPr>
          <w:rFonts w:cs="Arial"/>
          <w:b/>
          <w:i/>
        </w:rPr>
        <w:t>6</w:t>
      </w:r>
      <w:r w:rsidR="00232F5B">
        <w:rPr>
          <w:rFonts w:cs="Arial"/>
          <w:b/>
          <w:i/>
        </w:rPr>
        <w:t xml:space="preserve"> (No. 1) </w:t>
      </w:r>
      <w:r w:rsidR="00F74683" w:rsidRPr="00A94C87">
        <w:rPr>
          <w:rFonts w:cs="Arial"/>
          <w:b/>
        </w:rPr>
        <w:t xml:space="preserve">made under the </w:t>
      </w:r>
      <w:r w:rsidR="00F74683" w:rsidRPr="00A94C87">
        <w:rPr>
          <w:rFonts w:cs="Arial"/>
          <w:b/>
          <w:i/>
        </w:rPr>
        <w:t>Broadcasting Services Act 1992</w:t>
      </w:r>
    </w:p>
    <w:p w14:paraId="38C2C665" w14:textId="77777777" w:rsidR="00F74683" w:rsidRPr="00A94C87" w:rsidRDefault="00F74683" w:rsidP="00D22F27">
      <w:pPr>
        <w:spacing w:before="120" w:after="120"/>
        <w:jc w:val="center"/>
        <w:rPr>
          <w:rFonts w:cs="Arial"/>
          <w:b/>
        </w:rPr>
      </w:pPr>
    </w:p>
    <w:p w14:paraId="2341E8C6" w14:textId="77777777" w:rsidR="00F74683" w:rsidRPr="00A94C87" w:rsidRDefault="00F74683" w:rsidP="00D22F27">
      <w:pPr>
        <w:spacing w:before="120" w:after="120"/>
        <w:jc w:val="center"/>
        <w:rPr>
          <w:rFonts w:cs="Arial"/>
          <w:b/>
        </w:rPr>
      </w:pPr>
      <w:r w:rsidRPr="00A94C87">
        <w:rPr>
          <w:rFonts w:cs="Arial"/>
          <w:b/>
        </w:rPr>
        <w:t>Issued by the Australian Communications and Media Authority</w:t>
      </w:r>
    </w:p>
    <w:p w14:paraId="328BA815" w14:textId="77777777" w:rsidR="00F04010" w:rsidRPr="00625363" w:rsidRDefault="00625363" w:rsidP="00D22F27">
      <w:pPr>
        <w:spacing w:before="240" w:after="120" w:line="240" w:lineRule="atLeast"/>
        <w:rPr>
          <w:rFonts w:cs="Arial"/>
          <w:b/>
        </w:rPr>
      </w:pPr>
      <w:r w:rsidRPr="00625363">
        <w:rPr>
          <w:b/>
        </w:rPr>
        <w:t>Purpose</w:t>
      </w:r>
      <w:r>
        <w:rPr>
          <w:b/>
        </w:rPr>
        <w:t xml:space="preserve"> and legislative basis</w:t>
      </w:r>
    </w:p>
    <w:p w14:paraId="32BBF14A" w14:textId="61D9DEE2" w:rsidR="00AD259F" w:rsidRPr="007102EF" w:rsidRDefault="00232F5B" w:rsidP="00AD259F">
      <w:pPr>
        <w:spacing w:before="120" w:after="120" w:line="240" w:lineRule="atLeast"/>
        <w:rPr>
          <w:rFonts w:cs="Arial"/>
          <w:spacing w:val="-2"/>
        </w:rPr>
      </w:pPr>
      <w:r w:rsidRPr="007102EF">
        <w:rPr>
          <w:rFonts w:cs="Arial"/>
          <w:spacing w:val="-2"/>
        </w:rPr>
        <w:t xml:space="preserve">On </w:t>
      </w:r>
      <w:r w:rsidR="00531E64">
        <w:rPr>
          <w:rFonts w:cs="Arial"/>
          <w:spacing w:val="-2"/>
        </w:rPr>
        <w:t>29</w:t>
      </w:r>
      <w:bookmarkStart w:id="0" w:name="_GoBack"/>
      <w:bookmarkEnd w:id="0"/>
      <w:r w:rsidR="00951BC6" w:rsidRPr="007102EF">
        <w:rPr>
          <w:rFonts w:cs="Arial"/>
          <w:spacing w:val="-2"/>
        </w:rPr>
        <w:t xml:space="preserve"> November 2016</w:t>
      </w:r>
      <w:r w:rsidRPr="007102EF">
        <w:rPr>
          <w:rFonts w:cs="Arial"/>
          <w:spacing w:val="-2"/>
        </w:rPr>
        <w:t xml:space="preserve"> </w:t>
      </w:r>
      <w:r w:rsidR="00AD4C43" w:rsidRPr="007102EF">
        <w:rPr>
          <w:rFonts w:cs="Arial"/>
          <w:spacing w:val="-2"/>
        </w:rPr>
        <w:t>the Australian Communications and Media Authority</w:t>
      </w:r>
      <w:r w:rsidRPr="007102EF">
        <w:rPr>
          <w:rFonts w:cs="Arial"/>
          <w:spacing w:val="-2"/>
        </w:rPr>
        <w:t xml:space="preserve"> </w:t>
      </w:r>
      <w:r w:rsidR="00AD4C43" w:rsidRPr="007102EF">
        <w:rPr>
          <w:rFonts w:cs="Arial"/>
          <w:spacing w:val="-2"/>
        </w:rPr>
        <w:t xml:space="preserve">(the ACMA) </w:t>
      </w:r>
      <w:r w:rsidRPr="007102EF">
        <w:rPr>
          <w:rFonts w:cs="Arial"/>
          <w:spacing w:val="-2"/>
        </w:rPr>
        <w:t xml:space="preserve">made the </w:t>
      </w:r>
      <w:r w:rsidRPr="007102EF">
        <w:rPr>
          <w:rFonts w:cs="Arial"/>
          <w:i/>
          <w:spacing w:val="-2"/>
        </w:rPr>
        <w:t xml:space="preserve">Broadcasting Services (Regional Commercial Radio – Specification of Periods for Subsections </w:t>
      </w:r>
      <w:proofErr w:type="gramStart"/>
      <w:r w:rsidRPr="007102EF">
        <w:rPr>
          <w:rFonts w:cs="Arial"/>
          <w:i/>
          <w:spacing w:val="-2"/>
        </w:rPr>
        <w:t>43C(</w:t>
      </w:r>
      <w:proofErr w:type="gramEnd"/>
      <w:r w:rsidRPr="007102EF">
        <w:rPr>
          <w:rFonts w:cs="Arial"/>
          <w:i/>
          <w:spacing w:val="-2"/>
        </w:rPr>
        <w:t>1A) and 61CD(2)) Variation Instrument 201</w:t>
      </w:r>
      <w:r w:rsidR="00AD4C43" w:rsidRPr="007102EF">
        <w:rPr>
          <w:rFonts w:cs="Arial"/>
          <w:i/>
          <w:spacing w:val="-2"/>
        </w:rPr>
        <w:t>6</w:t>
      </w:r>
      <w:r w:rsidRPr="007102EF">
        <w:rPr>
          <w:rFonts w:cs="Arial"/>
          <w:i/>
          <w:spacing w:val="-2"/>
        </w:rPr>
        <w:t xml:space="preserve"> (No. 1)</w:t>
      </w:r>
      <w:r w:rsidRPr="007102EF">
        <w:rPr>
          <w:rFonts w:cs="Arial"/>
          <w:spacing w:val="-2"/>
        </w:rPr>
        <w:t xml:space="preserve"> (the Instrument). </w:t>
      </w:r>
      <w:r w:rsidR="00AD259F" w:rsidRPr="007102EF">
        <w:rPr>
          <w:rFonts w:cs="Arial"/>
          <w:spacing w:val="-2"/>
        </w:rPr>
        <w:t xml:space="preserve">The Instrument has been made by the </w:t>
      </w:r>
      <w:r w:rsidR="00AD4C43" w:rsidRPr="007102EF">
        <w:rPr>
          <w:rFonts w:cs="Arial"/>
          <w:spacing w:val="-2"/>
        </w:rPr>
        <w:t>ACMA</w:t>
      </w:r>
      <w:r w:rsidR="00AD259F" w:rsidRPr="007102EF">
        <w:rPr>
          <w:rFonts w:cs="Arial"/>
          <w:spacing w:val="-2"/>
        </w:rPr>
        <w:t xml:space="preserve"> in accordance with subsections </w:t>
      </w:r>
      <w:proofErr w:type="gramStart"/>
      <w:r w:rsidR="00AD259F" w:rsidRPr="007102EF">
        <w:rPr>
          <w:rFonts w:cs="Arial"/>
          <w:spacing w:val="-2"/>
        </w:rPr>
        <w:t>43C(</w:t>
      </w:r>
      <w:proofErr w:type="gramEnd"/>
      <w:r w:rsidR="00AD259F" w:rsidRPr="007102EF">
        <w:rPr>
          <w:rFonts w:cs="Arial"/>
          <w:spacing w:val="-2"/>
        </w:rPr>
        <w:t xml:space="preserve">1A) and 61CD(2) of the </w:t>
      </w:r>
      <w:r w:rsidR="00AD259F" w:rsidRPr="007102EF">
        <w:rPr>
          <w:rFonts w:cs="Arial"/>
          <w:i/>
          <w:spacing w:val="-2"/>
        </w:rPr>
        <w:t>Broadcasting Services Act 1992</w:t>
      </w:r>
      <w:r w:rsidR="00AD259F" w:rsidRPr="007102EF">
        <w:rPr>
          <w:rFonts w:cs="Arial"/>
          <w:spacing w:val="-2"/>
        </w:rPr>
        <w:t xml:space="preserve"> (the </w:t>
      </w:r>
      <w:r w:rsidR="00C81519" w:rsidRPr="007102EF">
        <w:rPr>
          <w:rFonts w:cs="Arial"/>
          <w:spacing w:val="-2"/>
        </w:rPr>
        <w:t>BSA</w:t>
      </w:r>
      <w:r w:rsidR="00AD259F" w:rsidRPr="007102EF">
        <w:rPr>
          <w:rFonts w:cs="Arial"/>
          <w:spacing w:val="-2"/>
        </w:rPr>
        <w:t xml:space="preserve">), and in accordance with subsection 33(3) of the </w:t>
      </w:r>
      <w:r w:rsidR="00AD259F" w:rsidRPr="007102EF">
        <w:rPr>
          <w:rFonts w:cs="Arial"/>
          <w:i/>
          <w:spacing w:val="-2"/>
        </w:rPr>
        <w:t>Acts Interpretation Act 1901</w:t>
      </w:r>
      <w:r w:rsidR="00AD259F" w:rsidRPr="007102EF">
        <w:rPr>
          <w:rFonts w:cs="Arial"/>
          <w:spacing w:val="-2"/>
        </w:rPr>
        <w:t xml:space="preserve"> (the AIA).</w:t>
      </w:r>
    </w:p>
    <w:p w14:paraId="66179274" w14:textId="058FD989" w:rsidR="00AD259F" w:rsidRDefault="00AD259F" w:rsidP="00A528EF">
      <w:pPr>
        <w:spacing w:before="120" w:after="120" w:line="240" w:lineRule="atLeast"/>
        <w:rPr>
          <w:rFonts w:cs="Arial"/>
        </w:rPr>
      </w:pPr>
      <w:r>
        <w:rPr>
          <w:rFonts w:cs="Arial"/>
        </w:rPr>
        <w:t>S</w:t>
      </w:r>
      <w:r w:rsidRPr="000437A8">
        <w:rPr>
          <w:rFonts w:cs="Arial"/>
        </w:rPr>
        <w:t>ubsection</w:t>
      </w:r>
      <w:r>
        <w:rPr>
          <w:rFonts w:cs="Arial"/>
        </w:rPr>
        <w:t>s</w:t>
      </w:r>
      <w:r w:rsidRPr="000437A8">
        <w:rPr>
          <w:rFonts w:cs="Arial"/>
        </w:rPr>
        <w:t xml:space="preserve"> 43</w:t>
      </w:r>
      <w:r>
        <w:rPr>
          <w:rFonts w:cs="Arial"/>
        </w:rPr>
        <w:t>C</w:t>
      </w:r>
      <w:r w:rsidRPr="000437A8">
        <w:rPr>
          <w:rFonts w:cs="Arial"/>
        </w:rPr>
        <w:t>(1</w:t>
      </w:r>
      <w:r>
        <w:rPr>
          <w:rFonts w:cs="Arial"/>
        </w:rPr>
        <w:t>A</w:t>
      </w:r>
      <w:r w:rsidRPr="000437A8">
        <w:rPr>
          <w:rFonts w:cs="Arial"/>
        </w:rPr>
        <w:t>)</w:t>
      </w:r>
      <w:r>
        <w:rPr>
          <w:rFonts w:cs="Arial"/>
        </w:rPr>
        <w:t xml:space="preserve"> and 61CD(2)</w:t>
      </w:r>
      <w:r w:rsidRPr="000437A8">
        <w:rPr>
          <w:rFonts w:cs="Arial"/>
        </w:rPr>
        <w:t xml:space="preserve"> of the </w:t>
      </w:r>
      <w:r w:rsidR="00C81519">
        <w:rPr>
          <w:rFonts w:cs="Arial"/>
        </w:rPr>
        <w:t>BSA</w:t>
      </w:r>
      <w:r>
        <w:rPr>
          <w:rFonts w:cs="Arial"/>
        </w:rPr>
        <w:t xml:space="preserve"> </w:t>
      </w:r>
      <w:r w:rsidRPr="00A94C87">
        <w:rPr>
          <w:rFonts w:cs="Arial"/>
        </w:rPr>
        <w:t>provide that</w:t>
      </w:r>
      <w:r>
        <w:rPr>
          <w:rFonts w:cs="Arial"/>
        </w:rPr>
        <w:t xml:space="preserve"> t</w:t>
      </w:r>
      <w:r w:rsidRPr="008F35BD">
        <w:rPr>
          <w:rFonts w:cs="Arial"/>
        </w:rPr>
        <w:t xml:space="preserve">he ACMA may, </w:t>
      </w:r>
      <w:r>
        <w:rPr>
          <w:rFonts w:cs="Arial"/>
        </w:rPr>
        <w:t>by legislative instrument, specify a five</w:t>
      </w:r>
      <w:r w:rsidR="00E911FF">
        <w:rPr>
          <w:rFonts w:cs="Arial"/>
        </w:rPr>
        <w:t>-</w:t>
      </w:r>
      <w:r>
        <w:rPr>
          <w:rFonts w:cs="Arial"/>
        </w:rPr>
        <w:t xml:space="preserve">week period during which the obligations on regional commercial radio broadcasting licensees to provide required amounts of ‘material of local significance’ and to comply with the </w:t>
      </w:r>
      <w:r w:rsidR="001B4C0D">
        <w:rPr>
          <w:rFonts w:cs="Arial"/>
        </w:rPr>
        <w:t>‘</w:t>
      </w:r>
      <w:r>
        <w:rPr>
          <w:rFonts w:cs="Arial"/>
        </w:rPr>
        <w:t>minimum service standards</w:t>
      </w:r>
      <w:r w:rsidR="001B4C0D">
        <w:rPr>
          <w:rFonts w:cs="Arial"/>
        </w:rPr>
        <w:t>’</w:t>
      </w:r>
      <w:r>
        <w:rPr>
          <w:rFonts w:cs="Arial"/>
        </w:rPr>
        <w:t xml:space="preserve"> </w:t>
      </w:r>
      <w:r w:rsidR="00E532F0">
        <w:rPr>
          <w:rFonts w:cs="Arial"/>
        </w:rPr>
        <w:t xml:space="preserve">for </w:t>
      </w:r>
      <w:r>
        <w:rPr>
          <w:rFonts w:cs="Arial"/>
        </w:rPr>
        <w:t xml:space="preserve">local news and information (together, </w:t>
      </w:r>
      <w:r w:rsidRPr="00A528EF">
        <w:rPr>
          <w:rFonts w:cs="Arial"/>
        </w:rPr>
        <w:t>local content</w:t>
      </w:r>
      <w:r>
        <w:rPr>
          <w:rFonts w:cs="Arial"/>
        </w:rPr>
        <w:t xml:space="preserve">) do not apply. </w:t>
      </w:r>
    </w:p>
    <w:p w14:paraId="73E18A50" w14:textId="77777777" w:rsidR="00AD259F" w:rsidRPr="00A528EF" w:rsidRDefault="00AD259F" w:rsidP="00A528EF">
      <w:pPr>
        <w:spacing w:before="120" w:after="120" w:line="240" w:lineRule="atLeast"/>
        <w:rPr>
          <w:rFonts w:cs="Arial"/>
          <w:spacing w:val="-2"/>
        </w:rPr>
      </w:pPr>
      <w:r w:rsidRPr="00A528EF">
        <w:rPr>
          <w:rFonts w:cs="Arial"/>
          <w:spacing w:val="-2"/>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1AE76586" w14:textId="77777777" w:rsidR="00F74683" w:rsidRPr="00BA26F6" w:rsidRDefault="00F74683" w:rsidP="00D22F27">
      <w:pPr>
        <w:spacing w:before="120" w:after="120" w:line="240" w:lineRule="atLeast"/>
        <w:rPr>
          <w:rFonts w:cs="Arial"/>
          <w:b/>
        </w:rPr>
      </w:pPr>
      <w:r w:rsidRPr="00BA26F6">
        <w:rPr>
          <w:rFonts w:cs="Arial"/>
          <w:b/>
        </w:rPr>
        <w:t>Background</w:t>
      </w:r>
    </w:p>
    <w:p w14:paraId="6EFFF320" w14:textId="4C067D2C" w:rsidR="00AD4C43" w:rsidRPr="007102EF" w:rsidRDefault="00852FAE" w:rsidP="00AA4434">
      <w:pPr>
        <w:spacing w:before="120" w:after="120" w:line="240" w:lineRule="atLeast"/>
        <w:rPr>
          <w:rFonts w:cs="Arial"/>
        </w:rPr>
      </w:pPr>
      <w:r w:rsidRPr="007102EF">
        <w:rPr>
          <w:rFonts w:cs="Arial"/>
        </w:rPr>
        <w:t xml:space="preserve">In 2012 the </w:t>
      </w:r>
      <w:r w:rsidRPr="007102EF">
        <w:rPr>
          <w:rFonts w:cs="Arial"/>
          <w:i/>
        </w:rPr>
        <w:t xml:space="preserve">Broadcasting Services Amendment (Regional Commercial Radio) Act 2012 </w:t>
      </w:r>
      <w:r w:rsidRPr="007102EF">
        <w:rPr>
          <w:rFonts w:cs="Arial"/>
        </w:rPr>
        <w:t xml:space="preserve">amended the </w:t>
      </w:r>
      <w:r w:rsidR="00C81519" w:rsidRPr="007102EF">
        <w:rPr>
          <w:rFonts w:cs="Arial"/>
        </w:rPr>
        <w:t>BSA</w:t>
      </w:r>
      <w:r w:rsidR="00D8430D" w:rsidRPr="007102EF">
        <w:rPr>
          <w:rFonts w:cs="Arial"/>
        </w:rPr>
        <w:t xml:space="preserve"> to provide five-</w:t>
      </w:r>
      <w:r w:rsidRPr="007102EF">
        <w:rPr>
          <w:rFonts w:cs="Arial"/>
        </w:rPr>
        <w:t>week exemption period</w:t>
      </w:r>
      <w:r w:rsidR="00D8430D" w:rsidRPr="007102EF">
        <w:rPr>
          <w:rFonts w:cs="Arial"/>
        </w:rPr>
        <w:t>s</w:t>
      </w:r>
      <w:r w:rsidRPr="007102EF">
        <w:rPr>
          <w:rFonts w:cs="Arial"/>
        </w:rPr>
        <w:t xml:space="preserve"> for regional commercial radio broadcasting licensees</w:t>
      </w:r>
      <w:r w:rsidR="00D8430D" w:rsidRPr="007102EF">
        <w:rPr>
          <w:rFonts w:cs="Arial"/>
        </w:rPr>
        <w:t>. During the five-week</w:t>
      </w:r>
      <w:r w:rsidRPr="007102EF">
        <w:rPr>
          <w:rFonts w:cs="Arial"/>
        </w:rPr>
        <w:t xml:space="preserve"> </w:t>
      </w:r>
      <w:r w:rsidR="00D8430D" w:rsidRPr="007102EF">
        <w:rPr>
          <w:rFonts w:cs="Arial"/>
        </w:rPr>
        <w:t xml:space="preserve">periods a licensee is exempted </w:t>
      </w:r>
      <w:r w:rsidRPr="007102EF">
        <w:rPr>
          <w:rFonts w:cs="Arial"/>
        </w:rPr>
        <w:t>from obligation</w:t>
      </w:r>
      <w:r w:rsidR="007C6C29" w:rsidRPr="007102EF">
        <w:rPr>
          <w:rFonts w:cs="Arial"/>
        </w:rPr>
        <w:t>s</w:t>
      </w:r>
      <w:r w:rsidRPr="007102EF">
        <w:rPr>
          <w:rFonts w:cs="Arial"/>
        </w:rPr>
        <w:t xml:space="preserve"> to broadcast specified amounts of local content. The default exemption period commences on the second Monday in December (</w:t>
      </w:r>
      <w:r w:rsidR="00951BC6" w:rsidRPr="007102EF">
        <w:rPr>
          <w:rFonts w:cs="Arial"/>
        </w:rPr>
        <w:t xml:space="preserve">in relation to </w:t>
      </w:r>
      <w:r w:rsidRPr="007102EF">
        <w:rPr>
          <w:rFonts w:cs="Arial"/>
        </w:rPr>
        <w:t>material of local significance) and the second Sunday in December (</w:t>
      </w:r>
      <w:r w:rsidR="00951BC6" w:rsidRPr="007102EF">
        <w:rPr>
          <w:rFonts w:cs="Arial"/>
        </w:rPr>
        <w:t xml:space="preserve">in relation to </w:t>
      </w:r>
      <w:r w:rsidRPr="007102EF">
        <w:rPr>
          <w:rFonts w:cs="Arial"/>
        </w:rPr>
        <w:t xml:space="preserve">minimum service standards) each year. </w:t>
      </w:r>
    </w:p>
    <w:p w14:paraId="3A2E9840" w14:textId="1297877B" w:rsidR="00232F5B" w:rsidRDefault="00852FAE" w:rsidP="00AA4434">
      <w:pPr>
        <w:spacing w:before="120" w:after="120" w:line="240" w:lineRule="atLeast"/>
        <w:rPr>
          <w:rFonts w:cs="Arial"/>
        </w:rPr>
      </w:pPr>
      <w:r w:rsidRPr="00220014">
        <w:rPr>
          <w:rFonts w:cs="Arial"/>
        </w:rPr>
        <w:t xml:space="preserve">The ACMA may, by legislative instrument, </w:t>
      </w:r>
      <w:r w:rsidR="00AD4C43">
        <w:rPr>
          <w:rFonts w:cs="Arial"/>
        </w:rPr>
        <w:t>determine</w:t>
      </w:r>
      <w:r w:rsidRPr="00220014">
        <w:rPr>
          <w:rFonts w:cs="Arial"/>
        </w:rPr>
        <w:t xml:space="preserve"> a different five</w:t>
      </w:r>
      <w:r w:rsidR="00E95BC9">
        <w:rPr>
          <w:rFonts w:cs="Arial"/>
        </w:rPr>
        <w:t>-</w:t>
      </w:r>
      <w:r w:rsidRPr="00220014">
        <w:rPr>
          <w:rFonts w:cs="Arial"/>
        </w:rPr>
        <w:t>week period in relation to one or more specified regional commercial radio broadcasting licensees.</w:t>
      </w:r>
      <w:r w:rsidR="00C81519">
        <w:rPr>
          <w:rFonts w:cs="Arial"/>
        </w:rPr>
        <w:t xml:space="preserve"> In 2012</w:t>
      </w:r>
      <w:r w:rsidR="00AD4C43">
        <w:rPr>
          <w:rFonts w:cs="Arial"/>
        </w:rPr>
        <w:t xml:space="preserve"> </w:t>
      </w:r>
      <w:r w:rsidR="00C81519">
        <w:rPr>
          <w:rFonts w:cs="Arial"/>
        </w:rPr>
        <w:t>the ACMA made t</w:t>
      </w:r>
      <w:r w:rsidR="00232F5B">
        <w:rPr>
          <w:rFonts w:cs="Arial"/>
        </w:rPr>
        <w:t xml:space="preserve">he </w:t>
      </w:r>
      <w:r w:rsidR="00AD259F" w:rsidRPr="00AD259F">
        <w:rPr>
          <w:rFonts w:cs="Arial"/>
          <w:i/>
        </w:rPr>
        <w:t>Broadcasting Services (Regional Commercial Radio – Specification of Periods for Subsections 43C(1A) and 61CD(2</w:t>
      </w:r>
      <w:r w:rsidR="00AD259F">
        <w:rPr>
          <w:rFonts w:cs="Arial"/>
          <w:i/>
        </w:rPr>
        <w:t>)</w:t>
      </w:r>
      <w:r w:rsidR="00AD259F" w:rsidRPr="00AD259F">
        <w:rPr>
          <w:rFonts w:cs="Arial"/>
          <w:i/>
        </w:rPr>
        <w:t xml:space="preserve">) </w:t>
      </w:r>
      <w:r w:rsidR="00232F5B" w:rsidRPr="00AD259F">
        <w:rPr>
          <w:rFonts w:cs="Arial"/>
          <w:i/>
        </w:rPr>
        <w:t xml:space="preserve">Instrument </w:t>
      </w:r>
      <w:r w:rsidR="00AD259F" w:rsidRPr="00AD259F">
        <w:rPr>
          <w:rFonts w:cs="Arial"/>
          <w:i/>
        </w:rPr>
        <w:t>2012</w:t>
      </w:r>
      <w:r w:rsidR="00AD259F">
        <w:rPr>
          <w:rFonts w:cs="Arial"/>
        </w:rPr>
        <w:t xml:space="preserve"> </w:t>
      </w:r>
      <w:r w:rsidR="00232F5B">
        <w:rPr>
          <w:rFonts w:cs="Arial"/>
        </w:rPr>
        <w:t>to specify a different five</w:t>
      </w:r>
      <w:r w:rsidR="00E911FF">
        <w:rPr>
          <w:rFonts w:cs="Arial"/>
        </w:rPr>
        <w:t>-</w:t>
      </w:r>
      <w:r w:rsidR="00232F5B">
        <w:rPr>
          <w:rFonts w:cs="Arial"/>
        </w:rPr>
        <w:t xml:space="preserve">week period in relation to two </w:t>
      </w:r>
      <w:r w:rsidRPr="00220014">
        <w:rPr>
          <w:rFonts w:cs="Arial"/>
        </w:rPr>
        <w:t>licences in the Bathurst RA1 licence area</w:t>
      </w:r>
      <w:r w:rsidR="00C81519">
        <w:rPr>
          <w:rFonts w:cs="Arial"/>
        </w:rPr>
        <w:t>.</w:t>
      </w:r>
      <w:r w:rsidR="00AD4C43">
        <w:rPr>
          <w:rFonts w:cs="Arial"/>
        </w:rPr>
        <w:t xml:space="preserve"> </w:t>
      </w:r>
      <w:r w:rsidR="00AD4C43" w:rsidRPr="00AD4C43">
        <w:rPr>
          <w:rFonts w:cs="Arial"/>
        </w:rPr>
        <w:t xml:space="preserve">The ACMA varied the Instrument in 2015 to include alternative exemption periods for </w:t>
      </w:r>
      <w:r w:rsidR="003A2751">
        <w:rPr>
          <w:rFonts w:cs="Arial"/>
        </w:rPr>
        <w:t>a</w:t>
      </w:r>
      <w:r w:rsidR="00AD4C43" w:rsidRPr="00AD4C43">
        <w:rPr>
          <w:rFonts w:cs="Arial"/>
        </w:rPr>
        <w:t xml:space="preserve"> licence held by Radio Gippsland Pty Ltd.</w:t>
      </w:r>
    </w:p>
    <w:p w14:paraId="5289644C" w14:textId="304289B5" w:rsidR="00A528EF" w:rsidRDefault="00C81519" w:rsidP="00A528EF">
      <w:pPr>
        <w:spacing w:before="120" w:after="120" w:line="240" w:lineRule="atLeast"/>
        <w:rPr>
          <w:rFonts w:cs="Arial"/>
          <w:b/>
        </w:rPr>
      </w:pPr>
      <w:r w:rsidRPr="001B4C0D">
        <w:rPr>
          <w:rFonts w:cs="Arial"/>
        </w:rPr>
        <w:t xml:space="preserve">In </w:t>
      </w:r>
      <w:r w:rsidR="00AD4C43" w:rsidRPr="001B4C0D">
        <w:rPr>
          <w:rFonts w:cs="Arial"/>
        </w:rPr>
        <w:t>August</w:t>
      </w:r>
      <w:r w:rsidRPr="001B4C0D">
        <w:rPr>
          <w:rFonts w:cs="Arial"/>
        </w:rPr>
        <w:t xml:space="preserve"> 201</w:t>
      </w:r>
      <w:r w:rsidR="00AD4C43" w:rsidRPr="001B4C0D">
        <w:rPr>
          <w:rFonts w:cs="Arial"/>
        </w:rPr>
        <w:t>6</w:t>
      </w:r>
      <w:r w:rsidRPr="001B4C0D">
        <w:rPr>
          <w:rFonts w:cs="Arial"/>
        </w:rPr>
        <w:t>, t</w:t>
      </w:r>
      <w:r w:rsidR="00852FAE" w:rsidRPr="001B4C0D">
        <w:rPr>
          <w:rFonts w:cs="Arial"/>
        </w:rPr>
        <w:t xml:space="preserve">he </w:t>
      </w:r>
      <w:r w:rsidR="00232F5B" w:rsidRPr="001B4C0D">
        <w:rPr>
          <w:rFonts w:cs="Arial"/>
        </w:rPr>
        <w:t>ACMA received a</w:t>
      </w:r>
      <w:r w:rsidR="003A2751" w:rsidRPr="001B4C0D">
        <w:rPr>
          <w:rFonts w:cs="Arial"/>
        </w:rPr>
        <w:t>n application</w:t>
      </w:r>
      <w:r w:rsidR="00232F5B" w:rsidRPr="001B4C0D">
        <w:rPr>
          <w:rFonts w:cs="Arial"/>
        </w:rPr>
        <w:t xml:space="preserve"> from</w:t>
      </w:r>
      <w:r w:rsidR="00D32D7A" w:rsidRPr="00D32D7A">
        <w:rPr>
          <w:rFonts w:cs="Arial"/>
        </w:rPr>
        <w:t xml:space="preserve"> </w:t>
      </w:r>
      <w:r w:rsidR="00D32D7A" w:rsidRPr="001B4C0D">
        <w:rPr>
          <w:rFonts w:cs="Arial"/>
        </w:rPr>
        <w:t>Ace Radio Broadcasters Pty Limited</w:t>
      </w:r>
      <w:r w:rsidR="00D32D7A">
        <w:rPr>
          <w:rFonts w:cs="Arial"/>
        </w:rPr>
        <w:t>,</w:t>
      </w:r>
      <w:r w:rsidR="00AD4C43" w:rsidRPr="001B4C0D">
        <w:rPr>
          <w:rFonts w:cs="Arial"/>
        </w:rPr>
        <w:t xml:space="preserve"> </w:t>
      </w:r>
      <w:r w:rsidR="00D32D7A">
        <w:rPr>
          <w:rFonts w:cs="Arial"/>
        </w:rPr>
        <w:t xml:space="preserve">requesting that the ACMA </w:t>
      </w:r>
      <w:r w:rsidR="003A2751" w:rsidRPr="001B4C0D">
        <w:rPr>
          <w:rFonts w:cs="Arial"/>
        </w:rPr>
        <w:t xml:space="preserve">determine </w:t>
      </w:r>
      <w:r w:rsidRPr="001B4C0D">
        <w:rPr>
          <w:rFonts w:cs="Arial"/>
        </w:rPr>
        <w:t>alternative</w:t>
      </w:r>
      <w:r w:rsidR="00D8430D" w:rsidRPr="001B4C0D">
        <w:rPr>
          <w:rFonts w:cs="Arial"/>
        </w:rPr>
        <w:t xml:space="preserve"> </w:t>
      </w:r>
      <w:r w:rsidR="00852FAE" w:rsidRPr="001B4C0D">
        <w:rPr>
          <w:rFonts w:cs="Arial"/>
        </w:rPr>
        <w:t>exemption period</w:t>
      </w:r>
      <w:r w:rsidRPr="001B4C0D">
        <w:rPr>
          <w:rFonts w:cs="Arial"/>
        </w:rPr>
        <w:t>s</w:t>
      </w:r>
      <w:r w:rsidR="00852FAE" w:rsidRPr="001B4C0D">
        <w:rPr>
          <w:rFonts w:cs="Arial"/>
        </w:rPr>
        <w:t xml:space="preserve"> </w:t>
      </w:r>
      <w:r w:rsidR="00232F5B" w:rsidRPr="001B4C0D">
        <w:rPr>
          <w:rFonts w:cs="Arial"/>
        </w:rPr>
        <w:t xml:space="preserve">for </w:t>
      </w:r>
      <w:r w:rsidR="003A2751" w:rsidRPr="001B4C0D">
        <w:rPr>
          <w:rFonts w:cs="Arial"/>
        </w:rPr>
        <w:t>13 regional commercial radio licences held by</w:t>
      </w:r>
      <w:r w:rsidR="001B4C0D" w:rsidRPr="001B4C0D">
        <w:rPr>
          <w:rFonts w:cs="Arial"/>
        </w:rPr>
        <w:t xml:space="preserve"> Ace Radio Broadcasters Pty Limited or its subsidiary, Regional Communications Pty Ltd.</w:t>
      </w:r>
      <w:r w:rsidR="003A2751" w:rsidRPr="001B4C0D">
        <w:rPr>
          <w:rFonts w:cs="Arial"/>
        </w:rPr>
        <w:t xml:space="preserve"> </w:t>
      </w:r>
      <w:r w:rsidR="00D32D7A">
        <w:rPr>
          <w:rFonts w:cs="Arial"/>
        </w:rPr>
        <w:t xml:space="preserve">It was requested </w:t>
      </w:r>
      <w:r w:rsidR="00D8430D" w:rsidRPr="001B4C0D">
        <w:rPr>
          <w:rFonts w:cs="Arial"/>
        </w:rPr>
        <w:t>that the exemption periods</w:t>
      </w:r>
      <w:r w:rsidR="00852FAE" w:rsidRPr="001B4C0D">
        <w:rPr>
          <w:rFonts w:cs="Arial"/>
        </w:rPr>
        <w:t xml:space="preserve"> </w:t>
      </w:r>
      <w:r w:rsidR="006862E3" w:rsidRPr="001B4C0D">
        <w:rPr>
          <w:rFonts w:cs="Arial"/>
        </w:rPr>
        <w:t xml:space="preserve">relevant to </w:t>
      </w:r>
      <w:r w:rsidR="00D32D7A">
        <w:rPr>
          <w:rFonts w:cs="Arial"/>
        </w:rPr>
        <w:t xml:space="preserve">those licences </w:t>
      </w:r>
      <w:r w:rsidR="00852FAE" w:rsidRPr="001B4C0D">
        <w:rPr>
          <w:rFonts w:cs="Arial"/>
        </w:rPr>
        <w:t xml:space="preserve">start in the </w:t>
      </w:r>
      <w:r w:rsidR="00232F5B" w:rsidRPr="001B4C0D">
        <w:rPr>
          <w:rFonts w:cs="Arial"/>
        </w:rPr>
        <w:t xml:space="preserve">third </w:t>
      </w:r>
      <w:r w:rsidR="006862E3" w:rsidRPr="001B4C0D">
        <w:rPr>
          <w:rFonts w:cs="Arial"/>
        </w:rPr>
        <w:t>week of December</w:t>
      </w:r>
      <w:r w:rsidR="00852FAE" w:rsidRPr="001B4C0D">
        <w:rPr>
          <w:rFonts w:cs="Arial"/>
        </w:rPr>
        <w:t>.</w:t>
      </w:r>
      <w:r w:rsidR="00852FAE" w:rsidRPr="00220014">
        <w:rPr>
          <w:rFonts w:cs="Arial"/>
        </w:rPr>
        <w:t xml:space="preserve"> </w:t>
      </w:r>
      <w:bookmarkStart w:id="1" w:name="OLE_LINK23"/>
    </w:p>
    <w:p w14:paraId="44C1DDE8" w14:textId="2D8D05B8" w:rsidR="00852FAE" w:rsidRPr="00BA26F6" w:rsidRDefault="00852FAE" w:rsidP="00852FAE">
      <w:pPr>
        <w:spacing w:before="120" w:after="120" w:line="240" w:lineRule="atLeast"/>
        <w:rPr>
          <w:rFonts w:cs="Arial"/>
          <w:b/>
        </w:rPr>
      </w:pPr>
      <w:r w:rsidRPr="00BA26F6">
        <w:rPr>
          <w:rFonts w:cs="Arial"/>
          <w:b/>
        </w:rPr>
        <w:t xml:space="preserve">Intended </w:t>
      </w:r>
      <w:r w:rsidR="00951BC6">
        <w:rPr>
          <w:rFonts w:cs="Arial"/>
          <w:b/>
        </w:rPr>
        <w:t>operation</w:t>
      </w:r>
      <w:r w:rsidR="00951BC6" w:rsidRPr="00BA26F6">
        <w:rPr>
          <w:rFonts w:cs="Arial"/>
          <w:b/>
        </w:rPr>
        <w:t xml:space="preserve"> </w:t>
      </w:r>
      <w:r>
        <w:rPr>
          <w:rFonts w:cs="Arial"/>
          <w:b/>
        </w:rPr>
        <w:t>of the Instrument</w:t>
      </w:r>
    </w:p>
    <w:p w14:paraId="7A991304" w14:textId="033FE9AD" w:rsidR="001B4C0D" w:rsidRDefault="00852FAE" w:rsidP="00852FAE">
      <w:pPr>
        <w:pStyle w:val="Default"/>
        <w:spacing w:after="120"/>
        <w:rPr>
          <w:sz w:val="20"/>
          <w:szCs w:val="20"/>
        </w:rPr>
      </w:pPr>
      <w:r>
        <w:rPr>
          <w:sz w:val="20"/>
          <w:szCs w:val="20"/>
        </w:rPr>
        <w:t xml:space="preserve">The Instrument </w:t>
      </w:r>
      <w:r w:rsidR="00AD259F" w:rsidRPr="00AD259F">
        <w:rPr>
          <w:sz w:val="20"/>
          <w:szCs w:val="20"/>
        </w:rPr>
        <w:t>varies the</w:t>
      </w:r>
      <w:r w:rsidR="00AD259F" w:rsidRPr="00AD259F">
        <w:rPr>
          <w:i/>
          <w:sz w:val="20"/>
          <w:szCs w:val="20"/>
        </w:rPr>
        <w:t xml:space="preserve"> Broadcasting Services (Regional Commercial Radio – Specification of Periods for Subsections </w:t>
      </w:r>
      <w:proofErr w:type="gramStart"/>
      <w:r w:rsidR="00AD259F" w:rsidRPr="00AD259F">
        <w:rPr>
          <w:i/>
          <w:sz w:val="20"/>
          <w:szCs w:val="20"/>
        </w:rPr>
        <w:t>43C(</w:t>
      </w:r>
      <w:proofErr w:type="gramEnd"/>
      <w:r w:rsidR="00AD259F" w:rsidRPr="00AD259F">
        <w:rPr>
          <w:i/>
          <w:sz w:val="20"/>
          <w:szCs w:val="20"/>
        </w:rPr>
        <w:t>1A) and 61CD(2)) Instrument 2012</w:t>
      </w:r>
      <w:r w:rsidR="00AD259F" w:rsidRPr="00AD259F">
        <w:rPr>
          <w:sz w:val="20"/>
          <w:szCs w:val="20"/>
        </w:rPr>
        <w:t xml:space="preserve"> </w:t>
      </w:r>
      <w:r w:rsidR="00AD259F">
        <w:rPr>
          <w:sz w:val="20"/>
          <w:szCs w:val="20"/>
        </w:rPr>
        <w:t>to specify</w:t>
      </w:r>
      <w:r w:rsidRPr="00AD259F">
        <w:rPr>
          <w:sz w:val="20"/>
          <w:szCs w:val="20"/>
        </w:rPr>
        <w:t xml:space="preserve"> five</w:t>
      </w:r>
      <w:r w:rsidR="00E911FF">
        <w:rPr>
          <w:sz w:val="20"/>
          <w:szCs w:val="20"/>
        </w:rPr>
        <w:t>-</w:t>
      </w:r>
      <w:r w:rsidRPr="00AD259F">
        <w:rPr>
          <w:sz w:val="20"/>
          <w:szCs w:val="20"/>
        </w:rPr>
        <w:t xml:space="preserve">week exemption periods for </w:t>
      </w:r>
      <w:r w:rsidR="001B4C0D">
        <w:rPr>
          <w:sz w:val="20"/>
          <w:szCs w:val="20"/>
        </w:rPr>
        <w:t>13 additional licences, as</w:t>
      </w:r>
      <w:r w:rsidR="00A528EF">
        <w:rPr>
          <w:sz w:val="20"/>
          <w:szCs w:val="20"/>
        </w:rPr>
        <w:t xml:space="preserve"> set out in the table below.</w:t>
      </w:r>
    </w:p>
    <w:p w14:paraId="4F49DB16" w14:textId="77777777" w:rsidR="00A528EF" w:rsidRDefault="00A528EF" w:rsidP="00A528EF">
      <w:pPr>
        <w:pStyle w:val="Default"/>
        <w:spacing w:after="120"/>
        <w:rPr>
          <w:sz w:val="20"/>
          <w:szCs w:val="20"/>
        </w:rPr>
      </w:pPr>
      <w:r>
        <w:rPr>
          <w:sz w:val="20"/>
          <w:szCs w:val="20"/>
        </w:rPr>
        <w:t>During the exemption periods specified in the Instrument, the licensee for each licence is exempted from the obligation to broadcast specified amounts of material of local significance and to comply with the minimum service standards for local news and information. The five-week periods for which the licensee is exempted from each of those obligations commence and finish on dates that are one week later than those specified for the default exemption periods in the BSA.</w:t>
      </w:r>
    </w:p>
    <w:tbl>
      <w:tblPr>
        <w:tblStyle w:val="TableGrid"/>
        <w:tblW w:w="5983" w:type="dxa"/>
        <w:tblInd w:w="108" w:type="dxa"/>
        <w:tblLayout w:type="fixed"/>
        <w:tblLook w:val="04A0" w:firstRow="1" w:lastRow="0" w:firstColumn="1" w:lastColumn="0" w:noHBand="0" w:noVBand="1"/>
      </w:tblPr>
      <w:tblGrid>
        <w:gridCol w:w="1021"/>
        <w:gridCol w:w="3261"/>
        <w:gridCol w:w="1701"/>
      </w:tblGrid>
      <w:tr w:rsidR="00A528EF" w:rsidRPr="00A528EF" w14:paraId="3F628B0A" w14:textId="77777777" w:rsidTr="00A528EF">
        <w:trPr>
          <w:trHeight w:val="247"/>
        </w:trPr>
        <w:tc>
          <w:tcPr>
            <w:tcW w:w="1021" w:type="dxa"/>
            <w:vMerge w:val="restart"/>
            <w:vAlign w:val="center"/>
          </w:tcPr>
          <w:p w14:paraId="127D7716" w14:textId="1B5805F9" w:rsidR="00A528EF" w:rsidRPr="00A528EF" w:rsidRDefault="00D32D7A" w:rsidP="00A528EF">
            <w:pPr>
              <w:keepNext/>
              <w:suppressAutoHyphens/>
              <w:spacing w:before="40" w:after="40"/>
              <w:rPr>
                <w:rFonts w:cs="Arial"/>
                <w:b/>
                <w:snapToGrid w:val="0"/>
                <w:sz w:val="18"/>
                <w:szCs w:val="18"/>
              </w:rPr>
            </w:pPr>
            <w:r>
              <w:rPr>
                <w:rFonts w:cs="Arial"/>
                <w:b/>
                <w:snapToGrid w:val="0"/>
                <w:sz w:val="18"/>
                <w:szCs w:val="18"/>
              </w:rPr>
              <w:lastRenderedPageBreak/>
              <w:t xml:space="preserve">Service </w:t>
            </w:r>
            <w:r w:rsidR="00A528EF" w:rsidRPr="00A528EF">
              <w:rPr>
                <w:rFonts w:cs="Arial"/>
                <w:b/>
                <w:snapToGrid w:val="0"/>
                <w:sz w:val="18"/>
                <w:szCs w:val="18"/>
              </w:rPr>
              <w:t>Licence</w:t>
            </w:r>
            <w:r>
              <w:rPr>
                <w:rFonts w:cs="Arial"/>
                <w:b/>
                <w:snapToGrid w:val="0"/>
                <w:sz w:val="18"/>
                <w:szCs w:val="18"/>
              </w:rPr>
              <w:t xml:space="preserve"> No.</w:t>
            </w:r>
          </w:p>
        </w:tc>
        <w:tc>
          <w:tcPr>
            <w:tcW w:w="3261" w:type="dxa"/>
            <w:vMerge w:val="restart"/>
            <w:vAlign w:val="center"/>
          </w:tcPr>
          <w:p w14:paraId="724E464E" w14:textId="77777777" w:rsidR="00A528EF" w:rsidRPr="00A528EF" w:rsidRDefault="00A528EF" w:rsidP="00A528EF">
            <w:pPr>
              <w:keepNext/>
              <w:suppressAutoHyphens/>
              <w:spacing w:before="40" w:after="40"/>
              <w:rPr>
                <w:rFonts w:cs="Arial"/>
                <w:b/>
                <w:snapToGrid w:val="0"/>
                <w:sz w:val="18"/>
                <w:szCs w:val="18"/>
              </w:rPr>
            </w:pPr>
            <w:r w:rsidRPr="00A528EF">
              <w:rPr>
                <w:rFonts w:cs="Arial"/>
                <w:b/>
                <w:snapToGrid w:val="0"/>
                <w:sz w:val="18"/>
                <w:szCs w:val="18"/>
              </w:rPr>
              <w:t>Licensee</w:t>
            </w:r>
          </w:p>
        </w:tc>
        <w:tc>
          <w:tcPr>
            <w:tcW w:w="1701" w:type="dxa"/>
            <w:vMerge w:val="restart"/>
            <w:vAlign w:val="center"/>
          </w:tcPr>
          <w:p w14:paraId="3FEC1655" w14:textId="77777777" w:rsidR="00A528EF" w:rsidRPr="00A528EF" w:rsidRDefault="00A528EF" w:rsidP="00A528EF">
            <w:pPr>
              <w:keepNext/>
              <w:suppressAutoHyphens/>
              <w:spacing w:before="40" w:after="40"/>
              <w:rPr>
                <w:rFonts w:cs="Arial"/>
                <w:b/>
                <w:snapToGrid w:val="0"/>
                <w:sz w:val="18"/>
                <w:szCs w:val="18"/>
              </w:rPr>
            </w:pPr>
            <w:r w:rsidRPr="00A528EF">
              <w:rPr>
                <w:rFonts w:cs="Arial"/>
                <w:b/>
                <w:snapToGrid w:val="0"/>
                <w:sz w:val="18"/>
                <w:szCs w:val="18"/>
              </w:rPr>
              <w:t>Licence Area</w:t>
            </w:r>
          </w:p>
        </w:tc>
      </w:tr>
      <w:tr w:rsidR="00A528EF" w:rsidRPr="00A528EF" w14:paraId="2913F4D0" w14:textId="77777777" w:rsidTr="00A528EF">
        <w:trPr>
          <w:trHeight w:val="287"/>
        </w:trPr>
        <w:tc>
          <w:tcPr>
            <w:tcW w:w="1021" w:type="dxa"/>
            <w:vMerge/>
          </w:tcPr>
          <w:p w14:paraId="427CCC8F" w14:textId="77777777" w:rsidR="00A528EF" w:rsidRPr="00A528EF" w:rsidRDefault="00A528EF" w:rsidP="00A528EF">
            <w:pPr>
              <w:keepNext/>
              <w:suppressAutoHyphens/>
              <w:spacing w:before="40" w:after="40"/>
              <w:rPr>
                <w:rFonts w:cs="Arial"/>
                <w:b/>
                <w:snapToGrid w:val="0"/>
                <w:sz w:val="18"/>
                <w:szCs w:val="18"/>
              </w:rPr>
            </w:pPr>
          </w:p>
        </w:tc>
        <w:tc>
          <w:tcPr>
            <w:tcW w:w="3261" w:type="dxa"/>
            <w:vMerge/>
          </w:tcPr>
          <w:p w14:paraId="48C06031" w14:textId="77777777" w:rsidR="00A528EF" w:rsidRPr="00A528EF" w:rsidRDefault="00A528EF" w:rsidP="00A528EF">
            <w:pPr>
              <w:keepNext/>
              <w:suppressAutoHyphens/>
              <w:spacing w:before="40" w:after="40"/>
              <w:rPr>
                <w:rFonts w:cs="Arial"/>
                <w:b/>
                <w:snapToGrid w:val="0"/>
                <w:sz w:val="18"/>
                <w:szCs w:val="18"/>
              </w:rPr>
            </w:pPr>
          </w:p>
        </w:tc>
        <w:tc>
          <w:tcPr>
            <w:tcW w:w="1701" w:type="dxa"/>
            <w:vMerge/>
          </w:tcPr>
          <w:p w14:paraId="17371444" w14:textId="77777777" w:rsidR="00A528EF" w:rsidRPr="00A528EF" w:rsidRDefault="00A528EF" w:rsidP="00A528EF">
            <w:pPr>
              <w:keepNext/>
              <w:suppressAutoHyphens/>
              <w:spacing w:before="40" w:after="40"/>
              <w:rPr>
                <w:rFonts w:cs="Arial"/>
                <w:b/>
                <w:snapToGrid w:val="0"/>
                <w:sz w:val="18"/>
                <w:szCs w:val="18"/>
              </w:rPr>
            </w:pPr>
          </w:p>
        </w:tc>
      </w:tr>
      <w:tr w:rsidR="00A528EF" w:rsidRPr="00A528EF" w14:paraId="57DF47E5" w14:textId="77777777" w:rsidTr="00A528EF">
        <w:tc>
          <w:tcPr>
            <w:tcW w:w="1021" w:type="dxa"/>
          </w:tcPr>
          <w:p w14:paraId="7DA3AAE6" w14:textId="77777777" w:rsidR="00A528EF" w:rsidRPr="00A528EF" w:rsidRDefault="00A528EF" w:rsidP="00A528EF">
            <w:pPr>
              <w:keepNext/>
              <w:suppressAutoHyphens/>
              <w:spacing w:before="40" w:after="40"/>
              <w:rPr>
                <w:rFonts w:cs="Arial"/>
                <w:snapToGrid w:val="0"/>
                <w:sz w:val="18"/>
                <w:szCs w:val="18"/>
              </w:rPr>
            </w:pPr>
            <w:r w:rsidRPr="00A528EF">
              <w:rPr>
                <w:rFonts w:cs="Arial"/>
                <w:snapToGrid w:val="0"/>
                <w:sz w:val="18"/>
                <w:szCs w:val="18"/>
              </w:rPr>
              <w:t>10387</w:t>
            </w:r>
          </w:p>
        </w:tc>
        <w:tc>
          <w:tcPr>
            <w:tcW w:w="3261" w:type="dxa"/>
          </w:tcPr>
          <w:p w14:paraId="0AE02382" w14:textId="77777777" w:rsidR="00A528EF" w:rsidRPr="00A528EF" w:rsidRDefault="00A528EF" w:rsidP="00A528EF">
            <w:pPr>
              <w:keepNext/>
              <w:suppressAutoHyphens/>
              <w:spacing w:before="40" w:after="40"/>
              <w:rPr>
                <w:rFonts w:cs="Arial"/>
                <w:snapToGrid w:val="0"/>
                <w:sz w:val="18"/>
                <w:szCs w:val="18"/>
              </w:rPr>
            </w:pPr>
            <w:r w:rsidRPr="00A528EF">
              <w:rPr>
                <w:rFonts w:cs="Arial"/>
                <w:snapToGrid w:val="0"/>
                <w:sz w:val="18"/>
                <w:szCs w:val="18"/>
              </w:rPr>
              <w:t>Ace Radio Broadcasters Pty Limited</w:t>
            </w:r>
          </w:p>
        </w:tc>
        <w:tc>
          <w:tcPr>
            <w:tcW w:w="1701" w:type="dxa"/>
          </w:tcPr>
          <w:p w14:paraId="53BEDFB5" w14:textId="77777777" w:rsidR="00A528EF" w:rsidRPr="00A528EF" w:rsidRDefault="00A528EF" w:rsidP="00A528EF">
            <w:pPr>
              <w:keepNext/>
              <w:suppressAutoHyphens/>
              <w:spacing w:before="40" w:after="40"/>
              <w:rPr>
                <w:rFonts w:cs="Arial"/>
                <w:snapToGrid w:val="0"/>
                <w:sz w:val="18"/>
                <w:szCs w:val="18"/>
              </w:rPr>
            </w:pPr>
            <w:r w:rsidRPr="00A528EF">
              <w:rPr>
                <w:rFonts w:cs="Arial"/>
                <w:snapToGrid w:val="0"/>
                <w:sz w:val="18"/>
                <w:szCs w:val="18"/>
              </w:rPr>
              <w:t>Albury RA1</w:t>
            </w:r>
          </w:p>
        </w:tc>
      </w:tr>
      <w:tr w:rsidR="00A528EF" w:rsidRPr="00A528EF" w14:paraId="6FC37788" w14:textId="77777777" w:rsidTr="00A528EF">
        <w:tc>
          <w:tcPr>
            <w:tcW w:w="1021" w:type="dxa"/>
          </w:tcPr>
          <w:p w14:paraId="2BD5F522" w14:textId="77777777" w:rsidR="00A528EF" w:rsidRPr="00A528EF" w:rsidRDefault="00A528EF" w:rsidP="0015772F">
            <w:pPr>
              <w:suppressAutoHyphens/>
              <w:spacing w:before="40" w:after="40"/>
              <w:rPr>
                <w:rFonts w:cs="Arial"/>
                <w:snapToGrid w:val="0"/>
                <w:sz w:val="18"/>
                <w:szCs w:val="18"/>
              </w:rPr>
            </w:pPr>
            <w:r w:rsidRPr="00A528EF">
              <w:rPr>
                <w:rFonts w:cs="Arial"/>
                <w:snapToGrid w:val="0"/>
                <w:sz w:val="18"/>
                <w:szCs w:val="18"/>
              </w:rPr>
              <w:t>4149</w:t>
            </w:r>
          </w:p>
        </w:tc>
        <w:tc>
          <w:tcPr>
            <w:tcW w:w="3261" w:type="dxa"/>
          </w:tcPr>
          <w:p w14:paraId="4A29E421" w14:textId="77777777" w:rsidR="00A528EF" w:rsidRPr="00A528EF" w:rsidRDefault="00A528EF" w:rsidP="0015772F">
            <w:pPr>
              <w:suppressAutoHyphens/>
              <w:spacing w:before="40" w:after="40"/>
              <w:rPr>
                <w:rFonts w:cs="Arial"/>
                <w:snapToGrid w:val="0"/>
                <w:sz w:val="18"/>
                <w:szCs w:val="18"/>
              </w:rPr>
            </w:pPr>
            <w:r w:rsidRPr="00A528EF">
              <w:rPr>
                <w:rFonts w:cs="Arial"/>
                <w:snapToGrid w:val="0"/>
                <w:sz w:val="18"/>
                <w:szCs w:val="18"/>
              </w:rPr>
              <w:t>Ace Radio Broadcasters Pty Limited</w:t>
            </w:r>
          </w:p>
        </w:tc>
        <w:tc>
          <w:tcPr>
            <w:tcW w:w="1701" w:type="dxa"/>
          </w:tcPr>
          <w:p w14:paraId="4421AA78" w14:textId="77777777" w:rsidR="00A528EF" w:rsidRPr="00A528EF" w:rsidRDefault="00A528EF" w:rsidP="0015772F">
            <w:pPr>
              <w:suppressAutoHyphens/>
              <w:spacing w:before="40" w:after="40"/>
              <w:rPr>
                <w:rFonts w:cs="Arial"/>
                <w:snapToGrid w:val="0"/>
                <w:sz w:val="18"/>
                <w:szCs w:val="18"/>
              </w:rPr>
            </w:pPr>
            <w:r w:rsidRPr="00A528EF">
              <w:rPr>
                <w:rFonts w:cs="Arial"/>
                <w:snapToGrid w:val="0"/>
                <w:sz w:val="18"/>
                <w:szCs w:val="18"/>
              </w:rPr>
              <w:t>Colac RA1</w:t>
            </w:r>
          </w:p>
        </w:tc>
      </w:tr>
      <w:tr w:rsidR="00A528EF" w:rsidRPr="00A528EF" w14:paraId="45178212" w14:textId="77777777" w:rsidTr="00A528EF">
        <w:tc>
          <w:tcPr>
            <w:tcW w:w="1021" w:type="dxa"/>
          </w:tcPr>
          <w:p w14:paraId="38CD8D2D" w14:textId="77777777" w:rsidR="00A528EF" w:rsidRPr="00A528EF" w:rsidRDefault="00A528EF" w:rsidP="0015772F">
            <w:pPr>
              <w:suppressAutoHyphens/>
              <w:spacing w:before="40" w:after="40"/>
              <w:rPr>
                <w:rFonts w:cs="Arial"/>
                <w:snapToGrid w:val="0"/>
                <w:sz w:val="18"/>
                <w:szCs w:val="18"/>
              </w:rPr>
            </w:pPr>
            <w:r w:rsidRPr="00A528EF">
              <w:rPr>
                <w:rFonts w:cs="Arial"/>
                <w:snapToGrid w:val="0"/>
                <w:sz w:val="18"/>
                <w:szCs w:val="18"/>
              </w:rPr>
              <w:t>10309</w:t>
            </w:r>
          </w:p>
        </w:tc>
        <w:tc>
          <w:tcPr>
            <w:tcW w:w="3261" w:type="dxa"/>
          </w:tcPr>
          <w:p w14:paraId="40ADB90F" w14:textId="77777777" w:rsidR="00A528EF" w:rsidRPr="00A528EF" w:rsidRDefault="00A528EF" w:rsidP="0015772F">
            <w:pPr>
              <w:suppressAutoHyphens/>
              <w:spacing w:before="40" w:after="40"/>
              <w:rPr>
                <w:rFonts w:cs="Arial"/>
                <w:snapToGrid w:val="0"/>
                <w:sz w:val="18"/>
                <w:szCs w:val="18"/>
              </w:rPr>
            </w:pPr>
            <w:r w:rsidRPr="00A528EF">
              <w:rPr>
                <w:rFonts w:cs="Arial"/>
                <w:snapToGrid w:val="0"/>
                <w:sz w:val="18"/>
                <w:szCs w:val="18"/>
              </w:rPr>
              <w:t>Ace Radio Broadcasters Pty Limited</w:t>
            </w:r>
          </w:p>
        </w:tc>
        <w:tc>
          <w:tcPr>
            <w:tcW w:w="1701" w:type="dxa"/>
          </w:tcPr>
          <w:p w14:paraId="63A159C0" w14:textId="77777777" w:rsidR="00A528EF" w:rsidRPr="00A528EF" w:rsidRDefault="00A528EF" w:rsidP="0015772F">
            <w:pPr>
              <w:suppressAutoHyphens/>
              <w:spacing w:before="40" w:after="40"/>
              <w:rPr>
                <w:rFonts w:cs="Arial"/>
                <w:snapToGrid w:val="0"/>
                <w:sz w:val="18"/>
                <w:szCs w:val="18"/>
              </w:rPr>
            </w:pPr>
            <w:r w:rsidRPr="00A528EF">
              <w:rPr>
                <w:rFonts w:cs="Arial"/>
                <w:snapToGrid w:val="0"/>
                <w:sz w:val="18"/>
                <w:szCs w:val="18"/>
              </w:rPr>
              <w:t>Colac RA1</w:t>
            </w:r>
          </w:p>
        </w:tc>
      </w:tr>
      <w:tr w:rsidR="00A528EF" w:rsidRPr="00A528EF" w14:paraId="1768B38D" w14:textId="77777777" w:rsidTr="00A528EF">
        <w:tc>
          <w:tcPr>
            <w:tcW w:w="1021" w:type="dxa"/>
          </w:tcPr>
          <w:p w14:paraId="31E5B692" w14:textId="77777777" w:rsidR="00A528EF" w:rsidRPr="00A528EF" w:rsidRDefault="00A528EF" w:rsidP="0015772F">
            <w:pPr>
              <w:suppressAutoHyphens/>
              <w:spacing w:before="40" w:after="40"/>
              <w:rPr>
                <w:rFonts w:cs="Arial"/>
                <w:snapToGrid w:val="0"/>
                <w:sz w:val="18"/>
                <w:szCs w:val="18"/>
              </w:rPr>
            </w:pPr>
            <w:r w:rsidRPr="00A528EF">
              <w:rPr>
                <w:rFonts w:cs="Arial"/>
                <w:snapToGrid w:val="0"/>
                <w:sz w:val="18"/>
                <w:szCs w:val="18"/>
              </w:rPr>
              <w:t>4152</w:t>
            </w:r>
          </w:p>
        </w:tc>
        <w:tc>
          <w:tcPr>
            <w:tcW w:w="3261" w:type="dxa"/>
          </w:tcPr>
          <w:p w14:paraId="5499C432" w14:textId="77777777" w:rsidR="00A528EF" w:rsidRPr="00A528EF" w:rsidRDefault="00A528EF" w:rsidP="0015772F">
            <w:pPr>
              <w:suppressAutoHyphens/>
              <w:spacing w:before="40" w:after="40"/>
              <w:rPr>
                <w:rFonts w:cs="Arial"/>
                <w:snapToGrid w:val="0"/>
                <w:sz w:val="18"/>
                <w:szCs w:val="18"/>
              </w:rPr>
            </w:pPr>
            <w:r w:rsidRPr="00A528EF">
              <w:rPr>
                <w:rFonts w:cs="Arial"/>
                <w:snapToGrid w:val="0"/>
                <w:sz w:val="18"/>
                <w:szCs w:val="18"/>
              </w:rPr>
              <w:t>Ace Radio Broadcasters Pty Limited</w:t>
            </w:r>
          </w:p>
        </w:tc>
        <w:tc>
          <w:tcPr>
            <w:tcW w:w="1701" w:type="dxa"/>
          </w:tcPr>
          <w:p w14:paraId="2A08A51B" w14:textId="77777777" w:rsidR="00A528EF" w:rsidRPr="00A528EF" w:rsidRDefault="00A528EF" w:rsidP="0015772F">
            <w:pPr>
              <w:suppressAutoHyphens/>
              <w:spacing w:before="40" w:after="40"/>
              <w:rPr>
                <w:rFonts w:cs="Arial"/>
                <w:snapToGrid w:val="0"/>
                <w:sz w:val="18"/>
                <w:szCs w:val="18"/>
              </w:rPr>
            </w:pPr>
            <w:r w:rsidRPr="00A528EF">
              <w:rPr>
                <w:rFonts w:cs="Arial"/>
                <w:snapToGrid w:val="0"/>
                <w:sz w:val="18"/>
                <w:szCs w:val="18"/>
              </w:rPr>
              <w:t>Hamilton RA1</w:t>
            </w:r>
          </w:p>
        </w:tc>
      </w:tr>
      <w:tr w:rsidR="00A528EF" w:rsidRPr="00A528EF" w14:paraId="3A3D1F55" w14:textId="77777777" w:rsidTr="00A528EF">
        <w:tc>
          <w:tcPr>
            <w:tcW w:w="1021" w:type="dxa"/>
          </w:tcPr>
          <w:p w14:paraId="26BCD734" w14:textId="77777777" w:rsidR="00A528EF" w:rsidRPr="00A528EF" w:rsidRDefault="00A528EF" w:rsidP="0015772F">
            <w:pPr>
              <w:suppressAutoHyphens/>
              <w:spacing w:before="40" w:after="40"/>
              <w:rPr>
                <w:rFonts w:cs="Arial"/>
                <w:snapToGrid w:val="0"/>
                <w:sz w:val="18"/>
                <w:szCs w:val="18"/>
              </w:rPr>
            </w:pPr>
            <w:r w:rsidRPr="00A528EF">
              <w:rPr>
                <w:rFonts w:cs="Arial"/>
                <w:snapToGrid w:val="0"/>
                <w:sz w:val="18"/>
                <w:szCs w:val="18"/>
              </w:rPr>
              <w:t>1150773</w:t>
            </w:r>
          </w:p>
        </w:tc>
        <w:tc>
          <w:tcPr>
            <w:tcW w:w="3261" w:type="dxa"/>
          </w:tcPr>
          <w:p w14:paraId="3598BB76" w14:textId="77777777" w:rsidR="00A528EF" w:rsidRPr="00A528EF" w:rsidRDefault="00A528EF" w:rsidP="0015772F">
            <w:pPr>
              <w:suppressAutoHyphens/>
              <w:spacing w:before="40" w:after="40"/>
              <w:rPr>
                <w:rFonts w:cs="Arial"/>
                <w:snapToGrid w:val="0"/>
                <w:sz w:val="18"/>
                <w:szCs w:val="18"/>
              </w:rPr>
            </w:pPr>
            <w:r w:rsidRPr="00A528EF">
              <w:rPr>
                <w:rFonts w:cs="Arial"/>
                <w:snapToGrid w:val="0"/>
                <w:sz w:val="18"/>
                <w:szCs w:val="18"/>
              </w:rPr>
              <w:t>Ace Radio Broadcasters Pty Limited</w:t>
            </w:r>
          </w:p>
        </w:tc>
        <w:tc>
          <w:tcPr>
            <w:tcW w:w="1701" w:type="dxa"/>
          </w:tcPr>
          <w:p w14:paraId="3F5C61FA" w14:textId="77777777" w:rsidR="00A528EF" w:rsidRPr="00A528EF" w:rsidRDefault="00A528EF" w:rsidP="0015772F">
            <w:pPr>
              <w:suppressAutoHyphens/>
              <w:spacing w:before="40" w:after="40"/>
              <w:rPr>
                <w:rFonts w:cs="Arial"/>
                <w:snapToGrid w:val="0"/>
                <w:sz w:val="18"/>
                <w:szCs w:val="18"/>
              </w:rPr>
            </w:pPr>
            <w:r w:rsidRPr="00A528EF">
              <w:rPr>
                <w:rFonts w:cs="Arial"/>
                <w:snapToGrid w:val="0"/>
                <w:sz w:val="18"/>
                <w:szCs w:val="18"/>
              </w:rPr>
              <w:t>Hamilton RA1</w:t>
            </w:r>
          </w:p>
        </w:tc>
      </w:tr>
      <w:tr w:rsidR="00A528EF" w:rsidRPr="00A528EF" w14:paraId="1FE75DEE" w14:textId="77777777" w:rsidTr="00A528EF">
        <w:tc>
          <w:tcPr>
            <w:tcW w:w="1021" w:type="dxa"/>
          </w:tcPr>
          <w:p w14:paraId="55E7E375" w14:textId="77777777" w:rsidR="00A528EF" w:rsidRPr="00A528EF" w:rsidRDefault="00A528EF" w:rsidP="0015772F">
            <w:pPr>
              <w:suppressAutoHyphens/>
              <w:spacing w:before="40" w:after="40"/>
              <w:rPr>
                <w:rFonts w:cs="Arial"/>
                <w:snapToGrid w:val="0"/>
                <w:sz w:val="18"/>
                <w:szCs w:val="18"/>
              </w:rPr>
            </w:pPr>
            <w:r w:rsidRPr="00A528EF">
              <w:rPr>
                <w:rFonts w:cs="Arial"/>
                <w:snapToGrid w:val="0"/>
                <w:sz w:val="18"/>
                <w:szCs w:val="18"/>
              </w:rPr>
              <w:t>4159</w:t>
            </w:r>
          </w:p>
        </w:tc>
        <w:tc>
          <w:tcPr>
            <w:tcW w:w="3261" w:type="dxa"/>
          </w:tcPr>
          <w:p w14:paraId="3C0DE8B4" w14:textId="77777777" w:rsidR="00A528EF" w:rsidRPr="00A528EF" w:rsidRDefault="00A528EF" w:rsidP="0015772F">
            <w:pPr>
              <w:suppressAutoHyphens/>
              <w:spacing w:before="40" w:after="40"/>
              <w:rPr>
                <w:rFonts w:cs="Arial"/>
                <w:snapToGrid w:val="0"/>
                <w:sz w:val="18"/>
                <w:szCs w:val="18"/>
              </w:rPr>
            </w:pPr>
            <w:r w:rsidRPr="00A528EF">
              <w:rPr>
                <w:rFonts w:cs="Arial"/>
                <w:snapToGrid w:val="0"/>
                <w:sz w:val="18"/>
                <w:szCs w:val="18"/>
              </w:rPr>
              <w:t>Ace Radio Broadcasters Pty Limited</w:t>
            </w:r>
          </w:p>
        </w:tc>
        <w:tc>
          <w:tcPr>
            <w:tcW w:w="1701" w:type="dxa"/>
          </w:tcPr>
          <w:p w14:paraId="7CA51C20" w14:textId="77777777" w:rsidR="00A528EF" w:rsidRPr="00A528EF" w:rsidRDefault="00A528EF" w:rsidP="0015772F">
            <w:pPr>
              <w:suppressAutoHyphens/>
              <w:spacing w:before="40" w:after="40"/>
              <w:rPr>
                <w:rFonts w:cs="Arial"/>
                <w:snapToGrid w:val="0"/>
                <w:sz w:val="18"/>
                <w:szCs w:val="18"/>
              </w:rPr>
            </w:pPr>
            <w:r w:rsidRPr="00A528EF">
              <w:rPr>
                <w:rFonts w:cs="Arial"/>
                <w:snapToGrid w:val="0"/>
                <w:sz w:val="18"/>
                <w:szCs w:val="18"/>
              </w:rPr>
              <w:t>Horsham RA1</w:t>
            </w:r>
          </w:p>
        </w:tc>
      </w:tr>
      <w:tr w:rsidR="00A528EF" w:rsidRPr="00A528EF" w14:paraId="122357C8" w14:textId="77777777" w:rsidTr="00A528EF">
        <w:tc>
          <w:tcPr>
            <w:tcW w:w="1021" w:type="dxa"/>
          </w:tcPr>
          <w:p w14:paraId="0A0B3314" w14:textId="77777777" w:rsidR="00A528EF" w:rsidRPr="00A528EF" w:rsidRDefault="00A528EF" w:rsidP="0015772F">
            <w:pPr>
              <w:suppressAutoHyphens/>
              <w:spacing w:before="40" w:after="40"/>
              <w:rPr>
                <w:rFonts w:cs="Arial"/>
                <w:snapToGrid w:val="0"/>
                <w:sz w:val="18"/>
                <w:szCs w:val="18"/>
              </w:rPr>
            </w:pPr>
            <w:r w:rsidRPr="00A528EF">
              <w:rPr>
                <w:rFonts w:cs="Arial"/>
                <w:snapToGrid w:val="0"/>
                <w:sz w:val="18"/>
                <w:szCs w:val="18"/>
              </w:rPr>
              <w:t>10308</w:t>
            </w:r>
          </w:p>
        </w:tc>
        <w:tc>
          <w:tcPr>
            <w:tcW w:w="3261" w:type="dxa"/>
          </w:tcPr>
          <w:p w14:paraId="6AB341E8" w14:textId="77777777" w:rsidR="00A528EF" w:rsidRPr="00A528EF" w:rsidRDefault="00A528EF" w:rsidP="0015772F">
            <w:pPr>
              <w:suppressAutoHyphens/>
              <w:spacing w:before="40" w:after="40"/>
              <w:rPr>
                <w:rFonts w:cs="Arial"/>
                <w:snapToGrid w:val="0"/>
                <w:sz w:val="18"/>
                <w:szCs w:val="18"/>
              </w:rPr>
            </w:pPr>
            <w:r w:rsidRPr="00A528EF">
              <w:rPr>
                <w:rFonts w:cs="Arial"/>
                <w:snapToGrid w:val="0"/>
                <w:sz w:val="18"/>
                <w:szCs w:val="18"/>
              </w:rPr>
              <w:t>Ace Radio Broadcasters Pty Limited</w:t>
            </w:r>
          </w:p>
        </w:tc>
        <w:tc>
          <w:tcPr>
            <w:tcW w:w="1701" w:type="dxa"/>
          </w:tcPr>
          <w:p w14:paraId="79F45198" w14:textId="77777777" w:rsidR="00A528EF" w:rsidRPr="00A528EF" w:rsidRDefault="00A528EF" w:rsidP="0015772F">
            <w:pPr>
              <w:suppressAutoHyphens/>
              <w:spacing w:before="40" w:after="40"/>
              <w:rPr>
                <w:rFonts w:cs="Arial"/>
                <w:snapToGrid w:val="0"/>
                <w:sz w:val="18"/>
                <w:szCs w:val="18"/>
              </w:rPr>
            </w:pPr>
            <w:r w:rsidRPr="00A528EF">
              <w:rPr>
                <w:rFonts w:cs="Arial"/>
                <w:snapToGrid w:val="0"/>
                <w:sz w:val="18"/>
                <w:szCs w:val="18"/>
              </w:rPr>
              <w:t>Horsham RA1</w:t>
            </w:r>
          </w:p>
        </w:tc>
      </w:tr>
      <w:tr w:rsidR="00A528EF" w:rsidRPr="00A528EF" w14:paraId="21C19349" w14:textId="77777777" w:rsidTr="00A528EF">
        <w:tc>
          <w:tcPr>
            <w:tcW w:w="1021" w:type="dxa"/>
          </w:tcPr>
          <w:p w14:paraId="70EB427C" w14:textId="77777777" w:rsidR="00A528EF" w:rsidRPr="00A528EF" w:rsidRDefault="00A528EF" w:rsidP="0015772F">
            <w:pPr>
              <w:suppressAutoHyphens/>
              <w:spacing w:before="40" w:after="40"/>
              <w:rPr>
                <w:rFonts w:cs="Arial"/>
                <w:snapToGrid w:val="0"/>
                <w:sz w:val="18"/>
                <w:szCs w:val="18"/>
              </w:rPr>
            </w:pPr>
            <w:r w:rsidRPr="00A528EF">
              <w:rPr>
                <w:rFonts w:cs="Arial"/>
                <w:snapToGrid w:val="0"/>
                <w:sz w:val="18"/>
                <w:szCs w:val="18"/>
              </w:rPr>
              <w:t>4157</w:t>
            </w:r>
          </w:p>
        </w:tc>
        <w:tc>
          <w:tcPr>
            <w:tcW w:w="3261" w:type="dxa"/>
          </w:tcPr>
          <w:p w14:paraId="0C627D0C" w14:textId="77777777" w:rsidR="00A528EF" w:rsidRPr="00A528EF" w:rsidRDefault="00A528EF" w:rsidP="0015772F">
            <w:pPr>
              <w:suppressAutoHyphens/>
              <w:spacing w:before="40" w:after="40"/>
              <w:rPr>
                <w:rFonts w:cs="Arial"/>
                <w:snapToGrid w:val="0"/>
                <w:sz w:val="18"/>
                <w:szCs w:val="18"/>
              </w:rPr>
            </w:pPr>
            <w:r w:rsidRPr="00A528EF">
              <w:rPr>
                <w:rFonts w:cs="Arial"/>
                <w:snapToGrid w:val="0"/>
                <w:sz w:val="18"/>
                <w:szCs w:val="18"/>
              </w:rPr>
              <w:t>Ace Radio Broadcasters Pty Limited</w:t>
            </w:r>
          </w:p>
        </w:tc>
        <w:tc>
          <w:tcPr>
            <w:tcW w:w="1701" w:type="dxa"/>
          </w:tcPr>
          <w:p w14:paraId="3963DB59" w14:textId="77777777" w:rsidR="00A528EF" w:rsidRPr="00A528EF" w:rsidRDefault="00A528EF" w:rsidP="0015772F">
            <w:pPr>
              <w:suppressAutoHyphens/>
              <w:spacing w:before="40" w:after="40"/>
              <w:rPr>
                <w:rFonts w:cs="Arial"/>
                <w:snapToGrid w:val="0"/>
                <w:sz w:val="18"/>
                <w:szCs w:val="18"/>
              </w:rPr>
            </w:pPr>
            <w:r w:rsidRPr="00A528EF">
              <w:rPr>
                <w:rFonts w:cs="Arial"/>
                <w:snapToGrid w:val="0"/>
                <w:sz w:val="18"/>
                <w:szCs w:val="18"/>
              </w:rPr>
              <w:t>Sale RA1</w:t>
            </w:r>
          </w:p>
        </w:tc>
      </w:tr>
      <w:tr w:rsidR="00A528EF" w:rsidRPr="00A528EF" w14:paraId="174C4F99" w14:textId="77777777" w:rsidTr="00A528EF">
        <w:tc>
          <w:tcPr>
            <w:tcW w:w="1021" w:type="dxa"/>
          </w:tcPr>
          <w:p w14:paraId="1A3C10FE" w14:textId="77777777" w:rsidR="00A528EF" w:rsidRPr="00A528EF" w:rsidRDefault="00A528EF" w:rsidP="0015772F">
            <w:pPr>
              <w:suppressAutoHyphens/>
              <w:spacing w:before="40" w:after="40"/>
              <w:rPr>
                <w:rFonts w:cs="Arial"/>
                <w:snapToGrid w:val="0"/>
                <w:sz w:val="18"/>
                <w:szCs w:val="18"/>
              </w:rPr>
            </w:pPr>
            <w:r w:rsidRPr="00A528EF">
              <w:rPr>
                <w:rFonts w:cs="Arial"/>
                <w:snapToGrid w:val="0"/>
                <w:sz w:val="18"/>
                <w:szCs w:val="18"/>
              </w:rPr>
              <w:t>1150756</w:t>
            </w:r>
          </w:p>
        </w:tc>
        <w:tc>
          <w:tcPr>
            <w:tcW w:w="3261" w:type="dxa"/>
          </w:tcPr>
          <w:p w14:paraId="0D649FF7" w14:textId="77777777" w:rsidR="00A528EF" w:rsidRPr="00A528EF" w:rsidRDefault="00A528EF" w:rsidP="0015772F">
            <w:pPr>
              <w:suppressAutoHyphens/>
              <w:spacing w:before="40" w:after="40"/>
              <w:rPr>
                <w:rFonts w:cs="Arial"/>
                <w:snapToGrid w:val="0"/>
                <w:sz w:val="18"/>
                <w:szCs w:val="18"/>
              </w:rPr>
            </w:pPr>
            <w:r w:rsidRPr="00A528EF">
              <w:rPr>
                <w:rFonts w:cs="Arial"/>
                <w:snapToGrid w:val="0"/>
                <w:sz w:val="18"/>
                <w:szCs w:val="18"/>
              </w:rPr>
              <w:t>Ace Radio Broadcasters Pty Limited</w:t>
            </w:r>
          </w:p>
        </w:tc>
        <w:tc>
          <w:tcPr>
            <w:tcW w:w="1701" w:type="dxa"/>
          </w:tcPr>
          <w:p w14:paraId="68598957" w14:textId="77777777" w:rsidR="00A528EF" w:rsidRPr="00A528EF" w:rsidRDefault="00A528EF" w:rsidP="0015772F">
            <w:pPr>
              <w:suppressAutoHyphens/>
              <w:spacing w:before="40" w:after="40"/>
              <w:rPr>
                <w:rFonts w:cs="Arial"/>
                <w:snapToGrid w:val="0"/>
                <w:sz w:val="18"/>
                <w:szCs w:val="18"/>
              </w:rPr>
            </w:pPr>
            <w:r w:rsidRPr="00A528EF">
              <w:rPr>
                <w:rFonts w:cs="Arial"/>
                <w:snapToGrid w:val="0"/>
                <w:sz w:val="18"/>
                <w:szCs w:val="18"/>
              </w:rPr>
              <w:t>Sale RA1</w:t>
            </w:r>
          </w:p>
        </w:tc>
      </w:tr>
      <w:tr w:rsidR="00A528EF" w:rsidRPr="00A528EF" w14:paraId="42D4D096" w14:textId="77777777" w:rsidTr="00A528EF">
        <w:tc>
          <w:tcPr>
            <w:tcW w:w="1021" w:type="dxa"/>
          </w:tcPr>
          <w:p w14:paraId="65965781" w14:textId="77777777" w:rsidR="00A528EF" w:rsidRPr="00A528EF" w:rsidRDefault="00A528EF" w:rsidP="0015772F">
            <w:pPr>
              <w:suppressAutoHyphens/>
              <w:spacing w:before="40" w:after="40"/>
              <w:rPr>
                <w:rFonts w:cs="Arial"/>
                <w:snapToGrid w:val="0"/>
                <w:sz w:val="18"/>
                <w:szCs w:val="18"/>
              </w:rPr>
            </w:pPr>
            <w:r w:rsidRPr="00A528EF">
              <w:rPr>
                <w:rFonts w:cs="Arial"/>
                <w:snapToGrid w:val="0"/>
                <w:sz w:val="18"/>
                <w:szCs w:val="18"/>
              </w:rPr>
              <w:t>10294</w:t>
            </w:r>
          </w:p>
        </w:tc>
        <w:tc>
          <w:tcPr>
            <w:tcW w:w="3261" w:type="dxa"/>
          </w:tcPr>
          <w:p w14:paraId="53A7CF2C" w14:textId="77777777" w:rsidR="00A528EF" w:rsidRPr="00A528EF" w:rsidRDefault="00A528EF" w:rsidP="0015772F">
            <w:pPr>
              <w:suppressAutoHyphens/>
              <w:spacing w:before="40" w:after="40"/>
              <w:rPr>
                <w:rFonts w:cs="Arial"/>
                <w:snapToGrid w:val="0"/>
                <w:sz w:val="18"/>
                <w:szCs w:val="18"/>
              </w:rPr>
            </w:pPr>
            <w:r w:rsidRPr="00A528EF">
              <w:rPr>
                <w:rFonts w:cs="Arial"/>
                <w:snapToGrid w:val="0"/>
                <w:sz w:val="18"/>
                <w:szCs w:val="18"/>
              </w:rPr>
              <w:t>Ace Radio Broadcasters Pty Limited</w:t>
            </w:r>
          </w:p>
        </w:tc>
        <w:tc>
          <w:tcPr>
            <w:tcW w:w="1701" w:type="dxa"/>
          </w:tcPr>
          <w:p w14:paraId="67C3A69F" w14:textId="77777777" w:rsidR="00A528EF" w:rsidRPr="00A528EF" w:rsidRDefault="00A528EF" w:rsidP="0015772F">
            <w:pPr>
              <w:suppressAutoHyphens/>
              <w:spacing w:before="40" w:after="40"/>
              <w:rPr>
                <w:rFonts w:cs="Arial"/>
                <w:snapToGrid w:val="0"/>
                <w:sz w:val="18"/>
                <w:szCs w:val="18"/>
              </w:rPr>
            </w:pPr>
            <w:r w:rsidRPr="00A528EF">
              <w:rPr>
                <w:rFonts w:cs="Arial"/>
                <w:snapToGrid w:val="0"/>
                <w:sz w:val="18"/>
                <w:szCs w:val="18"/>
              </w:rPr>
              <w:t>Swan Hill RA1</w:t>
            </w:r>
          </w:p>
        </w:tc>
      </w:tr>
      <w:tr w:rsidR="00A528EF" w:rsidRPr="00A528EF" w14:paraId="024E4D90" w14:textId="77777777" w:rsidTr="00A528EF">
        <w:tc>
          <w:tcPr>
            <w:tcW w:w="1021" w:type="dxa"/>
          </w:tcPr>
          <w:p w14:paraId="7952F4D0" w14:textId="77777777" w:rsidR="00A528EF" w:rsidRPr="00A528EF" w:rsidRDefault="00A528EF" w:rsidP="0015772F">
            <w:pPr>
              <w:suppressAutoHyphens/>
              <w:spacing w:before="40" w:after="40"/>
              <w:rPr>
                <w:rFonts w:cs="Arial"/>
                <w:snapToGrid w:val="0"/>
                <w:sz w:val="18"/>
                <w:szCs w:val="18"/>
              </w:rPr>
            </w:pPr>
            <w:r w:rsidRPr="00A528EF">
              <w:rPr>
                <w:rFonts w:cs="Arial"/>
                <w:snapToGrid w:val="0"/>
                <w:sz w:val="18"/>
                <w:szCs w:val="18"/>
              </w:rPr>
              <w:t>10380</w:t>
            </w:r>
          </w:p>
        </w:tc>
        <w:tc>
          <w:tcPr>
            <w:tcW w:w="3261" w:type="dxa"/>
          </w:tcPr>
          <w:p w14:paraId="7E86C618" w14:textId="77777777" w:rsidR="00A528EF" w:rsidRPr="00A528EF" w:rsidRDefault="00A528EF" w:rsidP="0015772F">
            <w:pPr>
              <w:suppressAutoHyphens/>
              <w:spacing w:before="40" w:after="40"/>
              <w:rPr>
                <w:rFonts w:cs="Arial"/>
                <w:snapToGrid w:val="0"/>
                <w:sz w:val="18"/>
                <w:szCs w:val="18"/>
              </w:rPr>
            </w:pPr>
            <w:r w:rsidRPr="00A528EF">
              <w:rPr>
                <w:rFonts w:cs="Arial"/>
                <w:snapToGrid w:val="0"/>
                <w:sz w:val="18"/>
                <w:szCs w:val="18"/>
              </w:rPr>
              <w:t>Ace Radio Broadcasters Pty Limited</w:t>
            </w:r>
          </w:p>
        </w:tc>
        <w:tc>
          <w:tcPr>
            <w:tcW w:w="1701" w:type="dxa"/>
          </w:tcPr>
          <w:p w14:paraId="136A94B6" w14:textId="77777777" w:rsidR="00A528EF" w:rsidRPr="00A528EF" w:rsidRDefault="00A528EF" w:rsidP="0015772F">
            <w:pPr>
              <w:suppressAutoHyphens/>
              <w:spacing w:before="40" w:after="40"/>
              <w:rPr>
                <w:rFonts w:cs="Arial"/>
                <w:snapToGrid w:val="0"/>
                <w:sz w:val="18"/>
                <w:szCs w:val="18"/>
              </w:rPr>
            </w:pPr>
            <w:r w:rsidRPr="00A528EF">
              <w:rPr>
                <w:rFonts w:cs="Arial"/>
                <w:snapToGrid w:val="0"/>
                <w:sz w:val="18"/>
                <w:szCs w:val="18"/>
              </w:rPr>
              <w:t>Swan Hill RA1</w:t>
            </w:r>
          </w:p>
        </w:tc>
      </w:tr>
      <w:tr w:rsidR="00A528EF" w:rsidRPr="00A528EF" w14:paraId="3B67E1BE" w14:textId="77777777" w:rsidTr="00A528EF">
        <w:tc>
          <w:tcPr>
            <w:tcW w:w="1021" w:type="dxa"/>
          </w:tcPr>
          <w:p w14:paraId="11024536" w14:textId="77777777" w:rsidR="00A528EF" w:rsidRPr="00A528EF" w:rsidRDefault="00A528EF" w:rsidP="0015772F">
            <w:pPr>
              <w:suppressAutoHyphens/>
              <w:spacing w:before="40" w:after="40"/>
              <w:rPr>
                <w:rFonts w:cs="Arial"/>
                <w:snapToGrid w:val="0"/>
                <w:sz w:val="18"/>
                <w:szCs w:val="18"/>
              </w:rPr>
            </w:pPr>
            <w:r w:rsidRPr="00A528EF">
              <w:rPr>
                <w:rFonts w:cs="Arial"/>
                <w:snapToGrid w:val="0"/>
                <w:sz w:val="18"/>
                <w:szCs w:val="18"/>
              </w:rPr>
              <w:t>4160</w:t>
            </w:r>
          </w:p>
        </w:tc>
        <w:tc>
          <w:tcPr>
            <w:tcW w:w="3261" w:type="dxa"/>
          </w:tcPr>
          <w:p w14:paraId="1F25EF6E" w14:textId="77777777" w:rsidR="00A528EF" w:rsidRPr="00A528EF" w:rsidRDefault="00A528EF" w:rsidP="0015772F">
            <w:pPr>
              <w:suppressAutoHyphens/>
              <w:spacing w:before="40" w:after="40"/>
              <w:rPr>
                <w:rFonts w:cs="Arial"/>
                <w:snapToGrid w:val="0"/>
                <w:sz w:val="18"/>
                <w:szCs w:val="18"/>
              </w:rPr>
            </w:pPr>
            <w:r w:rsidRPr="00A528EF">
              <w:rPr>
                <w:rFonts w:cs="Arial"/>
                <w:snapToGrid w:val="0"/>
                <w:sz w:val="18"/>
                <w:szCs w:val="18"/>
              </w:rPr>
              <w:t>Regional Communications Pty Ltd</w:t>
            </w:r>
          </w:p>
        </w:tc>
        <w:tc>
          <w:tcPr>
            <w:tcW w:w="1701" w:type="dxa"/>
          </w:tcPr>
          <w:p w14:paraId="0D5F0C08" w14:textId="77777777" w:rsidR="00A528EF" w:rsidRPr="00A528EF" w:rsidRDefault="00A528EF" w:rsidP="0015772F">
            <w:pPr>
              <w:suppressAutoHyphens/>
              <w:spacing w:before="40" w:after="40"/>
              <w:rPr>
                <w:rFonts w:cs="Arial"/>
                <w:snapToGrid w:val="0"/>
                <w:sz w:val="18"/>
                <w:szCs w:val="18"/>
              </w:rPr>
            </w:pPr>
            <w:r w:rsidRPr="00A528EF">
              <w:rPr>
                <w:rFonts w:cs="Arial"/>
                <w:snapToGrid w:val="0"/>
                <w:sz w:val="18"/>
                <w:szCs w:val="18"/>
              </w:rPr>
              <w:t>Warrnambool RA1</w:t>
            </w:r>
          </w:p>
        </w:tc>
      </w:tr>
      <w:tr w:rsidR="00A528EF" w:rsidRPr="00A528EF" w14:paraId="6BAB424A" w14:textId="77777777" w:rsidTr="00A528EF">
        <w:tc>
          <w:tcPr>
            <w:tcW w:w="1021" w:type="dxa"/>
          </w:tcPr>
          <w:p w14:paraId="1B4C0B5F" w14:textId="77777777" w:rsidR="00A528EF" w:rsidRPr="00A528EF" w:rsidRDefault="00A528EF" w:rsidP="0015772F">
            <w:pPr>
              <w:suppressAutoHyphens/>
              <w:spacing w:before="40" w:after="40"/>
              <w:rPr>
                <w:rFonts w:cs="Arial"/>
                <w:snapToGrid w:val="0"/>
                <w:sz w:val="18"/>
                <w:szCs w:val="18"/>
              </w:rPr>
            </w:pPr>
            <w:r w:rsidRPr="00A528EF">
              <w:rPr>
                <w:rFonts w:cs="Arial"/>
                <w:snapToGrid w:val="0"/>
                <w:sz w:val="18"/>
                <w:szCs w:val="18"/>
              </w:rPr>
              <w:t>1150778</w:t>
            </w:r>
          </w:p>
        </w:tc>
        <w:tc>
          <w:tcPr>
            <w:tcW w:w="3261" w:type="dxa"/>
          </w:tcPr>
          <w:p w14:paraId="4F5CEAB7" w14:textId="77777777" w:rsidR="00A528EF" w:rsidRPr="00A528EF" w:rsidRDefault="00A528EF" w:rsidP="0015772F">
            <w:pPr>
              <w:suppressAutoHyphens/>
              <w:spacing w:before="40" w:after="40"/>
              <w:rPr>
                <w:rFonts w:cs="Arial"/>
                <w:snapToGrid w:val="0"/>
                <w:sz w:val="18"/>
                <w:szCs w:val="18"/>
              </w:rPr>
            </w:pPr>
            <w:r w:rsidRPr="00A528EF">
              <w:rPr>
                <w:rFonts w:cs="Arial"/>
                <w:snapToGrid w:val="0"/>
                <w:sz w:val="18"/>
                <w:szCs w:val="18"/>
              </w:rPr>
              <w:t>Regional Communications Pty Ltd</w:t>
            </w:r>
          </w:p>
        </w:tc>
        <w:tc>
          <w:tcPr>
            <w:tcW w:w="1701" w:type="dxa"/>
          </w:tcPr>
          <w:p w14:paraId="3AA558F4" w14:textId="77777777" w:rsidR="00A528EF" w:rsidRPr="00A528EF" w:rsidRDefault="00A528EF" w:rsidP="0015772F">
            <w:pPr>
              <w:suppressAutoHyphens/>
              <w:spacing w:before="40" w:after="40"/>
              <w:rPr>
                <w:rFonts w:cs="Arial"/>
                <w:snapToGrid w:val="0"/>
                <w:sz w:val="18"/>
                <w:szCs w:val="18"/>
              </w:rPr>
            </w:pPr>
            <w:r w:rsidRPr="00A528EF">
              <w:rPr>
                <w:rFonts w:cs="Arial"/>
                <w:snapToGrid w:val="0"/>
                <w:sz w:val="18"/>
                <w:szCs w:val="18"/>
              </w:rPr>
              <w:t>Warrnambool RA1</w:t>
            </w:r>
          </w:p>
        </w:tc>
      </w:tr>
    </w:tbl>
    <w:p w14:paraId="0AC1727E" w14:textId="77777777" w:rsidR="00852FAE" w:rsidRPr="001457DF" w:rsidRDefault="00852FAE" w:rsidP="00852FAE">
      <w:pPr>
        <w:keepNext/>
        <w:widowControl w:val="0"/>
        <w:autoSpaceDE w:val="0"/>
        <w:autoSpaceDN w:val="0"/>
        <w:adjustRightInd w:val="0"/>
        <w:spacing w:before="120" w:after="120" w:line="240" w:lineRule="atLeast"/>
        <w:rPr>
          <w:rFonts w:cs="Arial"/>
          <w:b/>
        </w:rPr>
      </w:pPr>
      <w:bookmarkStart w:id="2" w:name="OLE_LINK34"/>
      <w:r w:rsidRPr="001457DF">
        <w:rPr>
          <w:rFonts w:cs="Arial"/>
          <w:b/>
        </w:rPr>
        <w:t>Consultation</w:t>
      </w:r>
    </w:p>
    <w:p w14:paraId="3A51F536" w14:textId="3B272A9E" w:rsidR="00852FAE" w:rsidRPr="005B5778" w:rsidRDefault="00852FAE" w:rsidP="00852FAE">
      <w:pPr>
        <w:pStyle w:val="ListParagraph"/>
        <w:spacing w:before="120" w:after="120" w:line="240" w:lineRule="atLeast"/>
        <w:ind w:left="0"/>
        <w:contextualSpacing w:val="0"/>
        <w:rPr>
          <w:rFonts w:cs="Arial"/>
          <w:spacing w:val="-2"/>
        </w:rPr>
      </w:pPr>
      <w:r w:rsidRPr="005B5778">
        <w:rPr>
          <w:rFonts w:cs="Arial"/>
          <w:spacing w:val="-2"/>
        </w:rPr>
        <w:t>On</w:t>
      </w:r>
      <w:r w:rsidR="00F302A3" w:rsidRPr="005B5778">
        <w:rPr>
          <w:rFonts w:cs="Arial"/>
          <w:spacing w:val="-2"/>
        </w:rPr>
        <w:t xml:space="preserve"> </w:t>
      </w:r>
      <w:r w:rsidR="001B4C0D" w:rsidRPr="005B5778">
        <w:rPr>
          <w:rFonts w:cs="Arial"/>
          <w:spacing w:val="-2"/>
        </w:rPr>
        <w:t>17</w:t>
      </w:r>
      <w:r w:rsidR="00F302A3" w:rsidRPr="005B5778">
        <w:rPr>
          <w:rFonts w:cs="Arial"/>
          <w:spacing w:val="-2"/>
        </w:rPr>
        <w:t xml:space="preserve"> </w:t>
      </w:r>
      <w:r w:rsidR="001B4C0D" w:rsidRPr="005B5778">
        <w:rPr>
          <w:rFonts w:cs="Arial"/>
          <w:spacing w:val="-2"/>
        </w:rPr>
        <w:t>Octo</w:t>
      </w:r>
      <w:r w:rsidR="00F302A3" w:rsidRPr="005B5778">
        <w:rPr>
          <w:rFonts w:cs="Arial"/>
          <w:spacing w:val="-2"/>
        </w:rPr>
        <w:t>ber 201</w:t>
      </w:r>
      <w:r w:rsidR="001B4C0D" w:rsidRPr="005B5778">
        <w:rPr>
          <w:rFonts w:cs="Arial"/>
          <w:spacing w:val="-2"/>
        </w:rPr>
        <w:t>6</w:t>
      </w:r>
      <w:r w:rsidRPr="005B5778">
        <w:rPr>
          <w:rFonts w:cs="Arial"/>
          <w:spacing w:val="-2"/>
        </w:rPr>
        <w:t xml:space="preserve">, the ACMA placed a copy of the draft Instrument on the ACMA's website for public comment. </w:t>
      </w:r>
      <w:r w:rsidR="001B4C0D" w:rsidRPr="005B5778">
        <w:rPr>
          <w:rFonts w:cs="Arial"/>
          <w:spacing w:val="-2"/>
        </w:rPr>
        <w:t>One</w:t>
      </w:r>
      <w:r w:rsidR="00AE6C86" w:rsidRPr="005B5778">
        <w:rPr>
          <w:rFonts w:cs="Arial"/>
          <w:spacing w:val="-2"/>
        </w:rPr>
        <w:t xml:space="preserve"> comment</w:t>
      </w:r>
      <w:r w:rsidR="001B4C0D" w:rsidRPr="005B5778">
        <w:rPr>
          <w:rFonts w:cs="Arial"/>
          <w:spacing w:val="-2"/>
        </w:rPr>
        <w:t>, from Commercial Radio Australia, was</w:t>
      </w:r>
      <w:r w:rsidR="00AE6C86" w:rsidRPr="005B5778">
        <w:rPr>
          <w:rFonts w:cs="Arial"/>
          <w:spacing w:val="-2"/>
        </w:rPr>
        <w:t xml:space="preserve"> received</w:t>
      </w:r>
      <w:r w:rsidR="001B4C0D" w:rsidRPr="005B5778">
        <w:rPr>
          <w:rFonts w:cs="Arial"/>
          <w:spacing w:val="-2"/>
        </w:rPr>
        <w:t xml:space="preserve"> in support of the </w:t>
      </w:r>
      <w:r w:rsidR="00450D4D" w:rsidRPr="005B5778">
        <w:rPr>
          <w:rFonts w:cs="Arial"/>
          <w:spacing w:val="-2"/>
        </w:rPr>
        <w:t>variation</w:t>
      </w:r>
      <w:r w:rsidR="00AE6C86" w:rsidRPr="005B5778">
        <w:rPr>
          <w:rFonts w:cs="Arial"/>
          <w:spacing w:val="-2"/>
        </w:rPr>
        <w:t>.</w:t>
      </w:r>
    </w:p>
    <w:p w14:paraId="7538DD40" w14:textId="77777777" w:rsidR="00F74683" w:rsidRPr="00F05F36" w:rsidRDefault="00F74683" w:rsidP="00D22F27">
      <w:pPr>
        <w:autoSpaceDE w:val="0"/>
        <w:autoSpaceDN w:val="0"/>
        <w:adjustRightInd w:val="0"/>
        <w:spacing w:before="120" w:after="120" w:line="240" w:lineRule="atLeast"/>
        <w:rPr>
          <w:rFonts w:cs="Arial"/>
          <w:b/>
        </w:rPr>
      </w:pPr>
      <w:r w:rsidRPr="00F05F36">
        <w:rPr>
          <w:rFonts w:cs="Arial"/>
          <w:b/>
        </w:rPr>
        <w:t>Regulatory Impact</w:t>
      </w:r>
    </w:p>
    <w:bookmarkEnd w:id="1"/>
    <w:bookmarkEnd w:id="2"/>
    <w:p w14:paraId="218CC8C7" w14:textId="56647312" w:rsidR="00544E0A" w:rsidRPr="001F0A23" w:rsidRDefault="00907297" w:rsidP="00D22F27">
      <w:pPr>
        <w:autoSpaceDE w:val="0"/>
        <w:autoSpaceDN w:val="0"/>
        <w:adjustRightInd w:val="0"/>
        <w:spacing w:before="120" w:after="120" w:line="240" w:lineRule="atLeast"/>
        <w:rPr>
          <w:rFonts w:cs="Arial"/>
          <w:highlight w:val="yellow"/>
        </w:rPr>
      </w:pPr>
      <w:r>
        <w:rPr>
          <w:rFonts w:cs="Arial"/>
        </w:rPr>
        <w:t>T</w:t>
      </w:r>
      <w:r w:rsidR="00617B56" w:rsidRPr="00890A69">
        <w:rPr>
          <w:rFonts w:cs="Arial"/>
        </w:rPr>
        <w:t xml:space="preserve">he ACMA prepared a preliminary assessment </w:t>
      </w:r>
      <w:r w:rsidR="00544E0A" w:rsidRPr="00890A69">
        <w:rPr>
          <w:rFonts w:cs="Arial"/>
        </w:rPr>
        <w:t xml:space="preserve">on </w:t>
      </w:r>
      <w:r w:rsidR="006A10DB">
        <w:rPr>
          <w:rFonts w:cs="Arial"/>
        </w:rPr>
        <w:t>6 September 201</w:t>
      </w:r>
      <w:r w:rsidR="001B4C0D">
        <w:rPr>
          <w:rFonts w:cs="Arial"/>
        </w:rPr>
        <w:t>6</w:t>
      </w:r>
      <w:r w:rsidR="006A10DB">
        <w:rPr>
          <w:rFonts w:cs="Arial"/>
        </w:rPr>
        <w:t xml:space="preserve"> </w:t>
      </w:r>
      <w:r w:rsidR="00625363" w:rsidRPr="00890A69">
        <w:rPr>
          <w:rFonts w:cs="Arial"/>
        </w:rPr>
        <w:t xml:space="preserve">for the purposes of making the </w:t>
      </w:r>
      <w:r w:rsidR="00852FAE">
        <w:rPr>
          <w:rFonts w:cs="Arial"/>
        </w:rPr>
        <w:t>I</w:t>
      </w:r>
      <w:r w:rsidR="00F05F36" w:rsidRPr="001E7A01">
        <w:rPr>
          <w:rFonts w:cs="Arial"/>
        </w:rPr>
        <w:t>nstrument</w:t>
      </w:r>
      <w:r w:rsidR="00625363" w:rsidRPr="001E7A01">
        <w:rPr>
          <w:rFonts w:cs="Arial"/>
        </w:rPr>
        <w:t>.</w:t>
      </w:r>
      <w:r w:rsidR="00617B56" w:rsidRPr="001E7A01">
        <w:rPr>
          <w:rFonts w:cs="Arial"/>
        </w:rPr>
        <w:t xml:space="preserve"> </w:t>
      </w:r>
      <w:r w:rsidR="00544E0A" w:rsidRPr="001E7A01">
        <w:rPr>
          <w:rFonts w:cs="Arial"/>
        </w:rPr>
        <w:t xml:space="preserve">On </w:t>
      </w:r>
      <w:r w:rsidR="001B4C0D">
        <w:rPr>
          <w:rFonts w:cs="Arial"/>
        </w:rPr>
        <w:t>8</w:t>
      </w:r>
      <w:r w:rsidR="006A10DB">
        <w:rPr>
          <w:rFonts w:cs="Arial"/>
        </w:rPr>
        <w:t xml:space="preserve"> September 201</w:t>
      </w:r>
      <w:r w:rsidR="001B4C0D">
        <w:rPr>
          <w:rFonts w:cs="Arial"/>
        </w:rPr>
        <w:t>6</w:t>
      </w:r>
      <w:r w:rsidR="00544E0A" w:rsidRPr="001E7A01">
        <w:rPr>
          <w:rFonts w:cs="Arial"/>
        </w:rPr>
        <w:t xml:space="preserve">, the </w:t>
      </w:r>
      <w:r w:rsidR="006A10DB">
        <w:rPr>
          <w:rFonts w:cs="Arial"/>
        </w:rPr>
        <w:t>Office of Best Practice Regulation (OBPR)</w:t>
      </w:r>
      <w:r w:rsidR="00544E0A" w:rsidRPr="001E7A01">
        <w:rPr>
          <w:rFonts w:cs="Arial"/>
        </w:rPr>
        <w:t xml:space="preserve"> considered that </w:t>
      </w:r>
      <w:r w:rsidR="006A10DB" w:rsidRPr="006A10DB">
        <w:rPr>
          <w:rFonts w:cs="Arial"/>
        </w:rPr>
        <w:t>the changes have a minor regulatory impact</w:t>
      </w:r>
      <w:r w:rsidR="006A10DB">
        <w:rPr>
          <w:rFonts w:cs="Arial"/>
        </w:rPr>
        <w:t xml:space="preserve"> and that no formal regulatory impact statement is required</w:t>
      </w:r>
      <w:r w:rsidR="006A10DB" w:rsidRPr="006A10DB">
        <w:rPr>
          <w:rFonts w:cs="Arial"/>
        </w:rPr>
        <w:t xml:space="preserve">. Therefore no formal RIS assessed by the OBPR is required. The OBPR reference number for this matter is </w:t>
      </w:r>
      <w:r w:rsidR="001B4C0D">
        <w:rPr>
          <w:rFonts w:cs="Arial"/>
        </w:rPr>
        <w:t>21223</w:t>
      </w:r>
      <w:r w:rsidR="006A10DB" w:rsidRPr="006A10DB">
        <w:rPr>
          <w:rFonts w:cs="Arial"/>
        </w:rPr>
        <w:t>.</w:t>
      </w:r>
    </w:p>
    <w:p w14:paraId="30FF3CC1" w14:textId="4569588E" w:rsidR="00A528EF" w:rsidRDefault="005B4C90" w:rsidP="00D22F27">
      <w:pPr>
        <w:autoSpaceDE w:val="0"/>
        <w:autoSpaceDN w:val="0"/>
        <w:adjustRightInd w:val="0"/>
        <w:spacing w:before="120" w:after="120" w:line="240" w:lineRule="atLeast"/>
        <w:rPr>
          <w:rFonts w:cs="Arial"/>
        </w:rPr>
      </w:pPr>
      <w:r w:rsidRPr="00890A69">
        <w:rPr>
          <w:rFonts w:cs="Arial"/>
        </w:rPr>
        <w:t xml:space="preserve">As required under the </w:t>
      </w:r>
      <w:r w:rsidRPr="00890A69">
        <w:rPr>
          <w:rFonts w:cs="Arial"/>
          <w:i/>
        </w:rPr>
        <w:t>Human Rights (Parliamentary Scrutiny) Act 2011</w:t>
      </w:r>
      <w:r w:rsidR="00DF7E4F" w:rsidRPr="00890A69">
        <w:rPr>
          <w:rFonts w:cs="Arial"/>
          <w:i/>
        </w:rPr>
        <w:t>,</w:t>
      </w:r>
      <w:r w:rsidRPr="00890A69">
        <w:rPr>
          <w:rFonts w:cs="Arial"/>
        </w:rPr>
        <w:t xml:space="preserve"> a human rights compatibility statement has been prepared</w:t>
      </w:r>
      <w:r w:rsidR="00625363" w:rsidRPr="00890A69">
        <w:rPr>
          <w:rFonts w:cs="Arial"/>
        </w:rPr>
        <w:t xml:space="preserve"> by the ACMA</w:t>
      </w:r>
      <w:r w:rsidRPr="00890A69">
        <w:rPr>
          <w:rFonts w:cs="Arial"/>
        </w:rPr>
        <w:t xml:space="preserve"> </w:t>
      </w:r>
      <w:r w:rsidR="00DF7E4F" w:rsidRPr="00890A69">
        <w:rPr>
          <w:rFonts w:cs="Arial"/>
        </w:rPr>
        <w:t>and is attached.</w:t>
      </w:r>
      <w:r w:rsidRPr="00890A69">
        <w:rPr>
          <w:rFonts w:cs="Arial"/>
        </w:rPr>
        <w:t xml:space="preserve"> </w:t>
      </w:r>
    </w:p>
    <w:p w14:paraId="351CFC08" w14:textId="77777777" w:rsidR="00951BC6" w:rsidRDefault="00951BC6" w:rsidP="00D22F27">
      <w:pPr>
        <w:spacing w:after="200" w:line="276" w:lineRule="auto"/>
        <w:rPr>
          <w:rFonts w:cs="Arial"/>
          <w:b/>
        </w:rPr>
      </w:pPr>
    </w:p>
    <w:p w14:paraId="4ACA965F" w14:textId="2D13A950" w:rsidR="00F74683" w:rsidRPr="00890A69" w:rsidRDefault="00F74683" w:rsidP="00D22F27">
      <w:pPr>
        <w:spacing w:after="200" w:line="276" w:lineRule="auto"/>
        <w:rPr>
          <w:rFonts w:cs="Arial"/>
          <w:b/>
        </w:rPr>
      </w:pPr>
      <w:r w:rsidRPr="00890A69">
        <w:rPr>
          <w:rFonts w:cs="Arial"/>
          <w:b/>
        </w:rPr>
        <w:t xml:space="preserve">NOTES ON </w:t>
      </w:r>
      <w:r w:rsidR="006862E3">
        <w:rPr>
          <w:rFonts w:cs="Arial"/>
          <w:b/>
        </w:rPr>
        <w:t>THE</w:t>
      </w:r>
      <w:r w:rsidR="00232F5B">
        <w:rPr>
          <w:rFonts w:cs="Arial"/>
          <w:b/>
        </w:rPr>
        <w:t xml:space="preserve"> </w:t>
      </w:r>
      <w:r w:rsidRPr="00890A69">
        <w:rPr>
          <w:rFonts w:cs="Arial"/>
          <w:b/>
        </w:rPr>
        <w:t>INSTRUMENT</w:t>
      </w:r>
    </w:p>
    <w:p w14:paraId="58F7A7AE" w14:textId="51B82541" w:rsidR="00852FAE" w:rsidRPr="00890A69" w:rsidRDefault="00AC3F85" w:rsidP="00852FAE">
      <w:pPr>
        <w:autoSpaceDE w:val="0"/>
        <w:autoSpaceDN w:val="0"/>
        <w:adjustRightInd w:val="0"/>
        <w:spacing w:before="120" w:after="120" w:line="240" w:lineRule="atLeast"/>
        <w:rPr>
          <w:rFonts w:cs="Arial"/>
          <w:b/>
          <w:bCs/>
        </w:rPr>
      </w:pPr>
      <w:bookmarkStart w:id="3" w:name="OLE_LINK1"/>
      <w:bookmarkStart w:id="4" w:name="OLE_LINK2"/>
      <w:r>
        <w:rPr>
          <w:rFonts w:cs="Arial"/>
          <w:b/>
          <w:bCs/>
        </w:rPr>
        <w:t>Section 1 – Name</w:t>
      </w:r>
    </w:p>
    <w:p w14:paraId="2FE8B101" w14:textId="0D1CF612" w:rsidR="00852FAE" w:rsidRDefault="00852FAE" w:rsidP="00852FAE">
      <w:pPr>
        <w:spacing w:before="120" w:after="120" w:line="240" w:lineRule="atLeast"/>
        <w:rPr>
          <w:i/>
        </w:rPr>
      </w:pPr>
      <w:r w:rsidRPr="00890A69">
        <w:rPr>
          <w:rFonts w:cs="Arial"/>
        </w:rPr>
        <w:t xml:space="preserve">Section 1 provides that the name of the </w:t>
      </w:r>
      <w:r>
        <w:rPr>
          <w:rFonts w:cs="Arial"/>
        </w:rPr>
        <w:t>I</w:t>
      </w:r>
      <w:r w:rsidRPr="00890A69">
        <w:rPr>
          <w:rFonts w:cs="Arial"/>
        </w:rPr>
        <w:t>nstrument is the</w:t>
      </w:r>
      <w:r>
        <w:rPr>
          <w:rFonts w:cs="Arial"/>
        </w:rPr>
        <w:t xml:space="preserve"> </w:t>
      </w:r>
      <w:r w:rsidRPr="003D0ED4">
        <w:rPr>
          <w:rFonts w:cs="Arial"/>
          <w:i/>
        </w:rPr>
        <w:t xml:space="preserve">Broadcasting Services (Regional Commercial Radio – </w:t>
      </w:r>
      <w:r>
        <w:rPr>
          <w:rFonts w:cs="Arial"/>
          <w:i/>
        </w:rPr>
        <w:t>S</w:t>
      </w:r>
      <w:r w:rsidRPr="003D0ED4">
        <w:rPr>
          <w:rFonts w:cs="Arial"/>
          <w:i/>
        </w:rPr>
        <w:t xml:space="preserve">pecification of </w:t>
      </w:r>
      <w:r>
        <w:rPr>
          <w:rFonts w:cs="Arial"/>
          <w:i/>
        </w:rPr>
        <w:t>P</w:t>
      </w:r>
      <w:r w:rsidRPr="003D0ED4">
        <w:rPr>
          <w:rFonts w:cs="Arial"/>
          <w:i/>
        </w:rPr>
        <w:t>eriod</w:t>
      </w:r>
      <w:r>
        <w:rPr>
          <w:rFonts w:cs="Arial"/>
          <w:i/>
        </w:rPr>
        <w:t>s</w:t>
      </w:r>
      <w:r w:rsidRPr="003D0ED4">
        <w:rPr>
          <w:rFonts w:cs="Arial"/>
          <w:i/>
        </w:rPr>
        <w:t xml:space="preserve"> for </w:t>
      </w:r>
      <w:r>
        <w:rPr>
          <w:rFonts w:cs="Arial"/>
          <w:i/>
        </w:rPr>
        <w:t>S</w:t>
      </w:r>
      <w:r w:rsidRPr="003D0ED4">
        <w:rPr>
          <w:rFonts w:cs="Arial"/>
          <w:i/>
        </w:rPr>
        <w:t xml:space="preserve">ubsections </w:t>
      </w:r>
      <w:proofErr w:type="gramStart"/>
      <w:r w:rsidRPr="003D0ED4">
        <w:rPr>
          <w:rFonts w:cs="Arial"/>
          <w:i/>
        </w:rPr>
        <w:t>43C(</w:t>
      </w:r>
      <w:proofErr w:type="gramEnd"/>
      <w:r w:rsidRPr="003D0ED4">
        <w:rPr>
          <w:rFonts w:cs="Arial"/>
          <w:i/>
        </w:rPr>
        <w:t xml:space="preserve">1A) and 61CD(2)) </w:t>
      </w:r>
      <w:r w:rsidR="00232F5B">
        <w:rPr>
          <w:rFonts w:cs="Arial"/>
          <w:i/>
        </w:rPr>
        <w:t xml:space="preserve">Variation </w:t>
      </w:r>
      <w:r w:rsidRPr="003D0ED4">
        <w:rPr>
          <w:rFonts w:cs="Arial"/>
          <w:i/>
        </w:rPr>
        <w:t>Instrument 201</w:t>
      </w:r>
      <w:r w:rsidR="001B4C0D">
        <w:rPr>
          <w:rFonts w:cs="Arial"/>
          <w:i/>
        </w:rPr>
        <w:t>6</w:t>
      </w:r>
      <w:r w:rsidR="00232F5B">
        <w:rPr>
          <w:rFonts w:cs="Arial"/>
          <w:i/>
        </w:rPr>
        <w:t xml:space="preserve"> (No 1)</w:t>
      </w:r>
      <w:r>
        <w:rPr>
          <w:rFonts w:cs="Arial"/>
          <w:i/>
        </w:rPr>
        <w:t>.</w:t>
      </w:r>
      <w:r w:rsidRPr="00890A69">
        <w:rPr>
          <w:rFonts w:cs="Arial"/>
        </w:rPr>
        <w:t xml:space="preserve"> </w:t>
      </w:r>
    </w:p>
    <w:p w14:paraId="0CDB3155" w14:textId="77777777" w:rsidR="00852FAE" w:rsidRPr="00890A69" w:rsidRDefault="00852FAE" w:rsidP="00852FAE">
      <w:pPr>
        <w:spacing w:before="120" w:after="120" w:line="240" w:lineRule="atLeast"/>
        <w:rPr>
          <w:rFonts w:cs="Arial"/>
          <w:b/>
          <w:bCs/>
        </w:rPr>
      </w:pPr>
      <w:r w:rsidRPr="00890A69">
        <w:rPr>
          <w:rFonts w:cs="Arial"/>
          <w:b/>
          <w:bCs/>
        </w:rPr>
        <w:t>Section 2 – Commencement</w:t>
      </w:r>
    </w:p>
    <w:p w14:paraId="500045AC" w14:textId="12F9217D" w:rsidR="00852FAE" w:rsidRPr="00890A69" w:rsidRDefault="00852FAE" w:rsidP="00852FAE">
      <w:pPr>
        <w:spacing w:before="120" w:after="120" w:line="240" w:lineRule="atLeast"/>
        <w:rPr>
          <w:rFonts w:cs="Arial"/>
        </w:rPr>
      </w:pPr>
      <w:r w:rsidRPr="00890A69">
        <w:rPr>
          <w:rFonts w:cs="Arial"/>
        </w:rPr>
        <w:t xml:space="preserve">This section provides that the </w:t>
      </w:r>
      <w:r>
        <w:rPr>
          <w:rFonts w:cs="Arial"/>
        </w:rPr>
        <w:t>I</w:t>
      </w:r>
      <w:r w:rsidRPr="00890A69">
        <w:rPr>
          <w:rFonts w:cs="Arial"/>
        </w:rPr>
        <w:t xml:space="preserve">nstrument commences on the day </w:t>
      </w:r>
      <w:r>
        <w:t>after it is registered on the Federal Register of Legislati</w:t>
      </w:r>
      <w:r w:rsidR="001B4C0D">
        <w:t>on</w:t>
      </w:r>
      <w:r>
        <w:rPr>
          <w:rFonts w:cs="Arial"/>
        </w:rPr>
        <w:t>.</w:t>
      </w:r>
    </w:p>
    <w:bookmarkEnd w:id="3"/>
    <w:bookmarkEnd w:id="4"/>
    <w:p w14:paraId="35A81034" w14:textId="5CBB7528" w:rsidR="0007367F" w:rsidRPr="00890A69" w:rsidRDefault="0007367F" w:rsidP="0007367F">
      <w:pPr>
        <w:spacing w:before="120" w:after="120" w:line="240" w:lineRule="atLeast"/>
        <w:rPr>
          <w:rFonts w:cs="Arial"/>
          <w:b/>
          <w:bCs/>
        </w:rPr>
      </w:pPr>
      <w:r w:rsidRPr="00890A69">
        <w:rPr>
          <w:rFonts w:cs="Arial"/>
          <w:b/>
          <w:bCs/>
        </w:rPr>
        <w:t xml:space="preserve">Section </w:t>
      </w:r>
      <w:r>
        <w:rPr>
          <w:rFonts w:cs="Arial"/>
          <w:b/>
          <w:bCs/>
        </w:rPr>
        <w:t>3</w:t>
      </w:r>
      <w:r w:rsidRPr="00890A69">
        <w:rPr>
          <w:rFonts w:cs="Arial"/>
          <w:b/>
          <w:bCs/>
        </w:rPr>
        <w:t xml:space="preserve"> – </w:t>
      </w:r>
      <w:r>
        <w:rPr>
          <w:rFonts w:cs="Arial"/>
          <w:b/>
          <w:bCs/>
        </w:rPr>
        <w:t>Authority</w:t>
      </w:r>
    </w:p>
    <w:p w14:paraId="0B825CAE" w14:textId="3C3923DD" w:rsidR="0007367F" w:rsidRPr="005B5778" w:rsidRDefault="0007367F" w:rsidP="0007367F">
      <w:pPr>
        <w:spacing w:before="120" w:after="120" w:line="240" w:lineRule="atLeast"/>
        <w:rPr>
          <w:rFonts w:cs="Arial"/>
          <w:spacing w:val="-2"/>
        </w:rPr>
      </w:pPr>
      <w:r w:rsidRPr="005B5778">
        <w:rPr>
          <w:rFonts w:cs="Arial"/>
          <w:spacing w:val="-2"/>
        </w:rPr>
        <w:t xml:space="preserve">This section provides that the Instrument is made under subsections </w:t>
      </w:r>
      <w:proofErr w:type="gramStart"/>
      <w:r w:rsidRPr="005B5778">
        <w:rPr>
          <w:rFonts w:cs="Arial"/>
          <w:spacing w:val="-2"/>
        </w:rPr>
        <w:t>43C(</w:t>
      </w:r>
      <w:proofErr w:type="gramEnd"/>
      <w:r w:rsidRPr="005B5778">
        <w:rPr>
          <w:rFonts w:cs="Arial"/>
          <w:spacing w:val="-2"/>
        </w:rPr>
        <w:t>1A) and 61CD(2) of the BSA.</w:t>
      </w:r>
    </w:p>
    <w:p w14:paraId="357DAF60" w14:textId="6B1AD0ED" w:rsidR="00852FAE" w:rsidRPr="0059708A" w:rsidRDefault="00852FAE" w:rsidP="00852FAE">
      <w:pPr>
        <w:autoSpaceDE w:val="0"/>
        <w:autoSpaceDN w:val="0"/>
        <w:adjustRightInd w:val="0"/>
        <w:spacing w:before="120" w:after="120" w:line="240" w:lineRule="atLeast"/>
        <w:rPr>
          <w:rFonts w:cs="Arial"/>
          <w:b/>
          <w:bCs/>
        </w:rPr>
      </w:pPr>
      <w:r w:rsidRPr="0059708A">
        <w:rPr>
          <w:rFonts w:cs="Arial"/>
          <w:b/>
          <w:bCs/>
        </w:rPr>
        <w:t xml:space="preserve">Section </w:t>
      </w:r>
      <w:r w:rsidR="001B4C0D">
        <w:rPr>
          <w:rFonts w:cs="Arial"/>
          <w:b/>
          <w:bCs/>
        </w:rPr>
        <w:t>4</w:t>
      </w:r>
      <w:r>
        <w:rPr>
          <w:rFonts w:cs="Arial"/>
          <w:b/>
          <w:bCs/>
        </w:rPr>
        <w:t xml:space="preserve"> </w:t>
      </w:r>
      <w:r w:rsidRPr="0059708A">
        <w:rPr>
          <w:rFonts w:cs="Arial"/>
          <w:b/>
          <w:bCs/>
        </w:rPr>
        <w:t xml:space="preserve">– </w:t>
      </w:r>
      <w:r w:rsidR="0007367F">
        <w:rPr>
          <w:rFonts w:cs="Arial"/>
          <w:b/>
          <w:bCs/>
        </w:rPr>
        <w:t>Amendments</w:t>
      </w:r>
    </w:p>
    <w:p w14:paraId="31BDD230" w14:textId="17290059" w:rsidR="00852FAE" w:rsidRPr="0059708A" w:rsidRDefault="00907297" w:rsidP="00852FAE">
      <w:pPr>
        <w:autoSpaceDE w:val="0"/>
        <w:autoSpaceDN w:val="0"/>
        <w:adjustRightInd w:val="0"/>
        <w:spacing w:before="120" w:after="120" w:line="240" w:lineRule="atLeast"/>
        <w:rPr>
          <w:rFonts w:cs="Arial"/>
          <w:bCs/>
        </w:rPr>
      </w:pPr>
      <w:r>
        <w:rPr>
          <w:rFonts w:cs="Arial"/>
          <w:bCs/>
        </w:rPr>
        <w:t xml:space="preserve">Section </w:t>
      </w:r>
      <w:r w:rsidR="00951BC6">
        <w:rPr>
          <w:rFonts w:cs="Arial"/>
          <w:bCs/>
        </w:rPr>
        <w:t>4</w:t>
      </w:r>
      <w:r>
        <w:rPr>
          <w:rFonts w:cs="Arial"/>
          <w:bCs/>
        </w:rPr>
        <w:t xml:space="preserve"> provides that Schedule 1 </w:t>
      </w:r>
      <w:r w:rsidR="0007367F">
        <w:rPr>
          <w:rFonts w:cs="Arial"/>
          <w:bCs/>
        </w:rPr>
        <w:t xml:space="preserve">to the Instrument </w:t>
      </w:r>
      <w:r>
        <w:rPr>
          <w:rFonts w:cs="Arial"/>
          <w:bCs/>
        </w:rPr>
        <w:t xml:space="preserve">amends the </w:t>
      </w:r>
      <w:r w:rsidRPr="00907297">
        <w:rPr>
          <w:rFonts w:cs="Arial"/>
          <w:bCs/>
          <w:i/>
        </w:rPr>
        <w:t xml:space="preserve">Broadcasting Services (Regional Commercial Radio – Specification of Periods for Subsections </w:t>
      </w:r>
      <w:proofErr w:type="gramStart"/>
      <w:r w:rsidRPr="00907297">
        <w:rPr>
          <w:rFonts w:cs="Arial"/>
          <w:bCs/>
          <w:i/>
        </w:rPr>
        <w:t>43C(</w:t>
      </w:r>
      <w:proofErr w:type="gramEnd"/>
      <w:r w:rsidRPr="00907297">
        <w:rPr>
          <w:rFonts w:cs="Arial"/>
          <w:bCs/>
          <w:i/>
        </w:rPr>
        <w:t>1A) and 61CD(2)) Instrument 2012</w:t>
      </w:r>
      <w:r w:rsidR="00852FAE" w:rsidRPr="0059708A">
        <w:rPr>
          <w:rFonts w:cs="Arial"/>
          <w:bCs/>
        </w:rPr>
        <w:t>.</w:t>
      </w:r>
    </w:p>
    <w:p w14:paraId="5A354CE2" w14:textId="77777777" w:rsidR="00907297" w:rsidRDefault="00852FAE" w:rsidP="005B5778">
      <w:pPr>
        <w:keepNext/>
        <w:autoSpaceDE w:val="0"/>
        <w:autoSpaceDN w:val="0"/>
        <w:adjustRightInd w:val="0"/>
        <w:spacing w:before="120" w:after="120" w:line="240" w:lineRule="atLeast"/>
        <w:rPr>
          <w:rFonts w:cs="Arial"/>
          <w:b/>
        </w:rPr>
      </w:pPr>
      <w:r w:rsidRPr="0059708A">
        <w:rPr>
          <w:rFonts w:cs="Arial"/>
          <w:b/>
        </w:rPr>
        <w:t xml:space="preserve">Schedule 1 </w:t>
      </w:r>
    </w:p>
    <w:p w14:paraId="759A0C9B" w14:textId="31E29889" w:rsidR="0012099D" w:rsidRDefault="0012099D" w:rsidP="005B5778">
      <w:pPr>
        <w:keepNext/>
        <w:autoSpaceDE w:val="0"/>
        <w:autoSpaceDN w:val="0"/>
        <w:adjustRightInd w:val="0"/>
        <w:spacing w:before="120" w:after="120" w:line="240" w:lineRule="atLeast"/>
        <w:rPr>
          <w:rFonts w:cs="Arial"/>
          <w:b/>
        </w:rPr>
      </w:pPr>
      <w:r>
        <w:rPr>
          <w:rFonts w:cs="Arial"/>
          <w:b/>
        </w:rPr>
        <w:t>Item 1</w:t>
      </w:r>
    </w:p>
    <w:p w14:paraId="5D028DEB" w14:textId="7240003E" w:rsidR="0012099D" w:rsidRPr="00951BC6" w:rsidRDefault="0012099D" w:rsidP="00852FAE">
      <w:pPr>
        <w:autoSpaceDE w:val="0"/>
        <w:autoSpaceDN w:val="0"/>
        <w:adjustRightInd w:val="0"/>
        <w:spacing w:before="120" w:after="120" w:line="240" w:lineRule="atLeast"/>
        <w:rPr>
          <w:rFonts w:cs="Arial"/>
        </w:rPr>
      </w:pPr>
      <w:r>
        <w:rPr>
          <w:rFonts w:cs="Arial"/>
        </w:rPr>
        <w:t xml:space="preserve">Item 1 repeals the note immediately before Schedule 1 to the </w:t>
      </w:r>
      <w:r w:rsidRPr="00907297">
        <w:rPr>
          <w:rFonts w:cs="Arial"/>
          <w:bCs/>
          <w:i/>
        </w:rPr>
        <w:t xml:space="preserve">Broadcasting Services (Regional Commercial Radio – Specification of Periods for Subsections </w:t>
      </w:r>
      <w:proofErr w:type="gramStart"/>
      <w:r w:rsidRPr="00907297">
        <w:rPr>
          <w:rFonts w:cs="Arial"/>
          <w:bCs/>
          <w:i/>
        </w:rPr>
        <w:t>43C(</w:t>
      </w:r>
      <w:proofErr w:type="gramEnd"/>
      <w:r w:rsidRPr="00907297">
        <w:rPr>
          <w:rFonts w:cs="Arial"/>
          <w:bCs/>
          <w:i/>
        </w:rPr>
        <w:t xml:space="preserve">1A) and 61CD(2)) </w:t>
      </w:r>
      <w:r w:rsidRPr="00AD259F">
        <w:rPr>
          <w:rFonts w:cs="Arial"/>
          <w:bCs/>
          <w:i/>
        </w:rPr>
        <w:t>Instrument 2012</w:t>
      </w:r>
      <w:r>
        <w:rPr>
          <w:rFonts w:cs="Arial"/>
          <w:bCs/>
        </w:rPr>
        <w:t xml:space="preserve">, </w:t>
      </w:r>
      <w:r>
        <w:rPr>
          <w:rFonts w:cs="Arial"/>
          <w:bCs/>
        </w:rPr>
        <w:lastRenderedPageBreak/>
        <w:t xml:space="preserve">which contained outdated references, and substitutes text with updated references to the Federal Register of Legislation and the website </w:t>
      </w:r>
      <w:hyperlink r:id="rId13" w:history="1">
        <w:r w:rsidRPr="000F7094">
          <w:rPr>
            <w:rStyle w:val="Hyperlink"/>
            <w:rFonts w:cs="Arial"/>
            <w:bCs/>
          </w:rPr>
          <w:t>www.legislation.gov.au</w:t>
        </w:r>
      </w:hyperlink>
      <w:r>
        <w:rPr>
          <w:rFonts w:cs="Arial"/>
          <w:bCs/>
        </w:rPr>
        <w:t xml:space="preserve">. </w:t>
      </w:r>
    </w:p>
    <w:p w14:paraId="49D364F3" w14:textId="689AC185" w:rsidR="00907297" w:rsidRDefault="00907297" w:rsidP="00852FAE">
      <w:pPr>
        <w:autoSpaceDE w:val="0"/>
        <w:autoSpaceDN w:val="0"/>
        <w:adjustRightInd w:val="0"/>
        <w:spacing w:before="120" w:after="120" w:line="240" w:lineRule="atLeast"/>
        <w:rPr>
          <w:rFonts w:cs="Arial"/>
          <w:b/>
        </w:rPr>
      </w:pPr>
      <w:r>
        <w:rPr>
          <w:rFonts w:cs="Arial"/>
          <w:b/>
        </w:rPr>
        <w:t xml:space="preserve">Item </w:t>
      </w:r>
      <w:r w:rsidR="0012099D">
        <w:rPr>
          <w:rFonts w:cs="Arial"/>
          <w:b/>
        </w:rPr>
        <w:t>2</w:t>
      </w:r>
    </w:p>
    <w:p w14:paraId="4DD498DD" w14:textId="13FEE828" w:rsidR="00852FAE" w:rsidRDefault="00907297" w:rsidP="00852FAE">
      <w:pPr>
        <w:rPr>
          <w:rFonts w:cs="Arial"/>
        </w:rPr>
      </w:pPr>
      <w:r>
        <w:rPr>
          <w:rFonts w:cs="Arial"/>
        </w:rPr>
        <w:t xml:space="preserve">Item </w:t>
      </w:r>
      <w:r w:rsidR="0012099D">
        <w:rPr>
          <w:rFonts w:cs="Arial"/>
        </w:rPr>
        <w:t>2</w:t>
      </w:r>
      <w:r>
        <w:rPr>
          <w:rFonts w:cs="Arial"/>
        </w:rPr>
        <w:t xml:space="preserve"> adds </w:t>
      </w:r>
      <w:r w:rsidR="0007367F">
        <w:rPr>
          <w:rFonts w:cs="Arial"/>
        </w:rPr>
        <w:t>rows 4 to 17</w:t>
      </w:r>
      <w:r>
        <w:rPr>
          <w:rFonts w:cs="Arial"/>
        </w:rPr>
        <w:t xml:space="preserve"> to the </w:t>
      </w:r>
      <w:r w:rsidR="00852FAE" w:rsidRPr="0059708A">
        <w:rPr>
          <w:rFonts w:cs="Arial"/>
        </w:rPr>
        <w:t xml:space="preserve">table </w:t>
      </w:r>
      <w:r>
        <w:rPr>
          <w:rFonts w:cs="Arial"/>
        </w:rPr>
        <w:t xml:space="preserve">in Schedule 1 </w:t>
      </w:r>
      <w:r w:rsidR="00F302A3">
        <w:rPr>
          <w:rFonts w:cs="Arial"/>
        </w:rPr>
        <w:t>to</w:t>
      </w:r>
      <w:r>
        <w:rPr>
          <w:rFonts w:cs="Arial"/>
        </w:rPr>
        <w:t xml:space="preserve"> the </w:t>
      </w:r>
      <w:r w:rsidRPr="00907297">
        <w:rPr>
          <w:rFonts w:cs="Arial"/>
          <w:bCs/>
          <w:i/>
        </w:rPr>
        <w:t xml:space="preserve">Broadcasting Services (Regional Commercial Radio – Specification of Periods for Subsections </w:t>
      </w:r>
      <w:proofErr w:type="gramStart"/>
      <w:r w:rsidRPr="00907297">
        <w:rPr>
          <w:rFonts w:cs="Arial"/>
          <w:bCs/>
          <w:i/>
        </w:rPr>
        <w:t>43C(</w:t>
      </w:r>
      <w:proofErr w:type="gramEnd"/>
      <w:r w:rsidRPr="00907297">
        <w:rPr>
          <w:rFonts w:cs="Arial"/>
          <w:bCs/>
          <w:i/>
        </w:rPr>
        <w:t xml:space="preserve">1A) and 61CD(2)) </w:t>
      </w:r>
      <w:r w:rsidRPr="00AD259F">
        <w:rPr>
          <w:rFonts w:cs="Arial"/>
          <w:bCs/>
          <w:i/>
        </w:rPr>
        <w:t>Instrument 2012</w:t>
      </w:r>
      <w:r w:rsidR="00D8430D">
        <w:rPr>
          <w:rFonts w:cs="Arial"/>
          <w:bCs/>
        </w:rPr>
        <w:t xml:space="preserve">. </w:t>
      </w:r>
      <w:r w:rsidR="0007367F">
        <w:rPr>
          <w:rFonts w:cs="Arial"/>
          <w:bCs/>
        </w:rPr>
        <w:t xml:space="preserve">Each new </w:t>
      </w:r>
      <w:r w:rsidR="00A45541">
        <w:rPr>
          <w:rFonts w:cs="Arial"/>
          <w:bCs/>
        </w:rPr>
        <w:t>row</w:t>
      </w:r>
      <w:r w:rsidR="0007367F">
        <w:rPr>
          <w:rFonts w:cs="Arial"/>
          <w:bCs/>
        </w:rPr>
        <w:t xml:space="preserve"> is</w:t>
      </w:r>
      <w:r w:rsidR="00A45541">
        <w:rPr>
          <w:rFonts w:cs="Arial"/>
          <w:bCs/>
        </w:rPr>
        <w:t xml:space="preserve"> inserted to specify,</w:t>
      </w:r>
      <w:r>
        <w:rPr>
          <w:rFonts w:cs="Arial"/>
          <w:bCs/>
        </w:rPr>
        <w:t xml:space="preserve"> for </w:t>
      </w:r>
      <w:r w:rsidRPr="00907297">
        <w:rPr>
          <w:rFonts w:cs="Arial"/>
          <w:bCs/>
        </w:rPr>
        <w:t xml:space="preserve">the purposes of subsection </w:t>
      </w:r>
      <w:proofErr w:type="gramStart"/>
      <w:r w:rsidRPr="00907297">
        <w:rPr>
          <w:rFonts w:cs="Arial"/>
          <w:bCs/>
        </w:rPr>
        <w:t>43C(</w:t>
      </w:r>
      <w:proofErr w:type="gramEnd"/>
      <w:r w:rsidRPr="00907297">
        <w:rPr>
          <w:rFonts w:cs="Arial"/>
          <w:bCs/>
        </w:rPr>
        <w:t xml:space="preserve">1A) of the </w:t>
      </w:r>
      <w:r w:rsidR="00D8430D">
        <w:rPr>
          <w:rFonts w:cs="Arial"/>
          <w:bCs/>
        </w:rPr>
        <w:t>BSA</w:t>
      </w:r>
      <w:r w:rsidRPr="00907297">
        <w:rPr>
          <w:rFonts w:cs="Arial"/>
          <w:bCs/>
        </w:rPr>
        <w:t>, a</w:t>
      </w:r>
      <w:r>
        <w:rPr>
          <w:rFonts w:cs="Arial"/>
          <w:bCs/>
        </w:rPr>
        <w:t xml:space="preserve"> </w:t>
      </w:r>
      <w:r w:rsidR="00AE6C86">
        <w:rPr>
          <w:rFonts w:cs="Arial"/>
          <w:bCs/>
        </w:rPr>
        <w:t>s</w:t>
      </w:r>
      <w:r w:rsidR="00852FAE" w:rsidRPr="000769DF">
        <w:rPr>
          <w:rFonts w:cs="Arial"/>
          <w:bCs/>
        </w:rPr>
        <w:t>ervice</w:t>
      </w:r>
      <w:r w:rsidR="00AE6C86">
        <w:rPr>
          <w:rFonts w:cs="Arial"/>
          <w:bCs/>
        </w:rPr>
        <w:t xml:space="preserve"> l</w:t>
      </w:r>
      <w:r w:rsidR="00852FAE" w:rsidRPr="000769DF">
        <w:rPr>
          <w:rFonts w:cs="Arial"/>
          <w:bCs/>
        </w:rPr>
        <w:t>icence number</w:t>
      </w:r>
      <w:r w:rsidR="00852FAE">
        <w:rPr>
          <w:rFonts w:cs="Arial"/>
          <w:bCs/>
        </w:rPr>
        <w:t>,</w:t>
      </w:r>
      <w:r w:rsidR="00852FAE" w:rsidRPr="000769DF">
        <w:rPr>
          <w:rFonts w:cs="Arial"/>
          <w:bCs/>
        </w:rPr>
        <w:t xml:space="preserve"> </w:t>
      </w:r>
      <w:r w:rsidR="0007367F">
        <w:rPr>
          <w:rFonts w:cs="Arial"/>
          <w:bCs/>
        </w:rPr>
        <w:t>its</w:t>
      </w:r>
      <w:r w:rsidR="00E532F0">
        <w:rPr>
          <w:rFonts w:cs="Arial"/>
          <w:bCs/>
        </w:rPr>
        <w:t xml:space="preserve"> </w:t>
      </w:r>
      <w:r w:rsidR="00852FAE" w:rsidRPr="000769DF">
        <w:rPr>
          <w:rFonts w:cs="Arial"/>
          <w:bCs/>
        </w:rPr>
        <w:t>radio licence area</w:t>
      </w:r>
      <w:r w:rsidR="00852FAE" w:rsidRPr="00520712">
        <w:rPr>
          <w:rFonts w:cs="Arial"/>
        </w:rPr>
        <w:t xml:space="preserve"> and</w:t>
      </w:r>
      <w:r w:rsidR="00852FAE">
        <w:rPr>
          <w:rFonts w:cs="Arial"/>
        </w:rPr>
        <w:t xml:space="preserve"> </w:t>
      </w:r>
      <w:r w:rsidR="00E532F0">
        <w:rPr>
          <w:rFonts w:cs="Arial"/>
        </w:rPr>
        <w:t xml:space="preserve">the </w:t>
      </w:r>
      <w:r w:rsidR="00A45541">
        <w:rPr>
          <w:rFonts w:cs="Arial"/>
        </w:rPr>
        <w:t xml:space="preserve">period </w:t>
      </w:r>
      <w:r w:rsidR="00AD259F">
        <w:rPr>
          <w:rFonts w:cs="Arial"/>
        </w:rPr>
        <w:t xml:space="preserve">of exemption </w:t>
      </w:r>
      <w:r w:rsidR="00A45541">
        <w:rPr>
          <w:rFonts w:cs="Arial"/>
        </w:rPr>
        <w:t xml:space="preserve">from the </w:t>
      </w:r>
      <w:r w:rsidR="00852FAE">
        <w:rPr>
          <w:rFonts w:cs="Arial"/>
        </w:rPr>
        <w:t>require</w:t>
      </w:r>
      <w:r w:rsidR="00A45541">
        <w:rPr>
          <w:rFonts w:cs="Arial"/>
        </w:rPr>
        <w:t xml:space="preserve">ment </w:t>
      </w:r>
      <w:r w:rsidR="00852FAE">
        <w:rPr>
          <w:rFonts w:cs="Arial"/>
        </w:rPr>
        <w:t>to broadcast material of local significance</w:t>
      </w:r>
      <w:r w:rsidR="00852FAE" w:rsidRPr="0059708A">
        <w:rPr>
          <w:rFonts w:cs="Arial"/>
        </w:rPr>
        <w:t xml:space="preserve">. </w:t>
      </w:r>
    </w:p>
    <w:p w14:paraId="6FF94746" w14:textId="77777777" w:rsidR="00A45541" w:rsidRDefault="00A45541" w:rsidP="00852FAE">
      <w:pPr>
        <w:rPr>
          <w:rFonts w:cs="Arial"/>
        </w:rPr>
      </w:pPr>
    </w:p>
    <w:p w14:paraId="49304556" w14:textId="21137D7F" w:rsidR="00A45541" w:rsidRPr="00A45541" w:rsidRDefault="00A45541" w:rsidP="00852FAE">
      <w:pPr>
        <w:rPr>
          <w:rFonts w:cs="Arial"/>
          <w:b/>
        </w:rPr>
      </w:pPr>
      <w:r w:rsidRPr="00A45541">
        <w:rPr>
          <w:rFonts w:cs="Arial"/>
          <w:b/>
        </w:rPr>
        <w:t xml:space="preserve">Item </w:t>
      </w:r>
      <w:r w:rsidR="0012099D">
        <w:rPr>
          <w:rFonts w:cs="Arial"/>
          <w:b/>
        </w:rPr>
        <w:t>3</w:t>
      </w:r>
    </w:p>
    <w:p w14:paraId="5BE0C64A" w14:textId="77777777" w:rsidR="00A45541" w:rsidRDefault="00A45541" w:rsidP="00A45541">
      <w:pPr>
        <w:rPr>
          <w:rFonts w:cs="Arial"/>
        </w:rPr>
      </w:pPr>
    </w:p>
    <w:p w14:paraId="5923DAC0" w14:textId="5D03569C" w:rsidR="00A84FA8" w:rsidRPr="0059708A" w:rsidRDefault="00A45541" w:rsidP="00852FAE">
      <w:pPr>
        <w:rPr>
          <w:rFonts w:cs="Arial"/>
        </w:rPr>
      </w:pPr>
      <w:r>
        <w:rPr>
          <w:rFonts w:cs="Arial"/>
        </w:rPr>
        <w:t xml:space="preserve">Item </w:t>
      </w:r>
      <w:r w:rsidR="00951BC6">
        <w:rPr>
          <w:rFonts w:cs="Arial"/>
        </w:rPr>
        <w:t>3</w:t>
      </w:r>
      <w:r>
        <w:rPr>
          <w:rFonts w:cs="Arial"/>
        </w:rPr>
        <w:t xml:space="preserve"> adds </w:t>
      </w:r>
      <w:r w:rsidR="0007367F">
        <w:rPr>
          <w:rFonts w:cs="Arial"/>
        </w:rPr>
        <w:t xml:space="preserve">rows 4 to 17 to the </w:t>
      </w:r>
      <w:r w:rsidR="0007367F" w:rsidRPr="0059708A">
        <w:rPr>
          <w:rFonts w:cs="Arial"/>
        </w:rPr>
        <w:t xml:space="preserve">table </w:t>
      </w:r>
      <w:r w:rsidR="0007367F">
        <w:rPr>
          <w:rFonts w:cs="Arial"/>
        </w:rPr>
        <w:t xml:space="preserve">in </w:t>
      </w:r>
      <w:r>
        <w:rPr>
          <w:rFonts w:cs="Arial"/>
        </w:rPr>
        <w:t xml:space="preserve">Schedule 2 </w:t>
      </w:r>
      <w:r w:rsidR="00F302A3">
        <w:rPr>
          <w:rFonts w:cs="Arial"/>
        </w:rPr>
        <w:t>to</w:t>
      </w:r>
      <w:r>
        <w:rPr>
          <w:rFonts w:cs="Arial"/>
        </w:rPr>
        <w:t xml:space="preserve"> the </w:t>
      </w:r>
      <w:r w:rsidRPr="00907297">
        <w:rPr>
          <w:rFonts w:cs="Arial"/>
          <w:bCs/>
          <w:i/>
        </w:rPr>
        <w:t xml:space="preserve">Broadcasting Services (Regional Commercial Radio – Specification of Periods for Subsections </w:t>
      </w:r>
      <w:proofErr w:type="gramStart"/>
      <w:r w:rsidRPr="00907297">
        <w:rPr>
          <w:rFonts w:cs="Arial"/>
          <w:bCs/>
          <w:i/>
        </w:rPr>
        <w:t>43C(</w:t>
      </w:r>
      <w:proofErr w:type="gramEnd"/>
      <w:r w:rsidRPr="00907297">
        <w:rPr>
          <w:rFonts w:cs="Arial"/>
          <w:bCs/>
          <w:i/>
        </w:rPr>
        <w:t xml:space="preserve">1A) and 61CD(2)) Instrument </w:t>
      </w:r>
      <w:r w:rsidRPr="00AC3F85">
        <w:rPr>
          <w:rFonts w:cs="Arial"/>
          <w:bCs/>
          <w:i/>
        </w:rPr>
        <w:t>2012</w:t>
      </w:r>
      <w:r w:rsidR="00D8430D">
        <w:rPr>
          <w:rFonts w:cs="Arial"/>
          <w:bCs/>
        </w:rPr>
        <w:t xml:space="preserve">. </w:t>
      </w:r>
      <w:r w:rsidR="00AC3F85">
        <w:rPr>
          <w:rFonts w:cs="Arial"/>
          <w:bCs/>
        </w:rPr>
        <w:t xml:space="preserve">Each new row is </w:t>
      </w:r>
      <w:r>
        <w:rPr>
          <w:rFonts w:cs="Arial"/>
          <w:bCs/>
        </w:rPr>
        <w:t xml:space="preserve">inserted to specify, for </w:t>
      </w:r>
      <w:r w:rsidRPr="00907297">
        <w:rPr>
          <w:rFonts w:cs="Arial"/>
          <w:bCs/>
        </w:rPr>
        <w:t xml:space="preserve">the purposes of subsection </w:t>
      </w:r>
      <w:proofErr w:type="gramStart"/>
      <w:r>
        <w:rPr>
          <w:rFonts w:cs="Arial"/>
          <w:bCs/>
        </w:rPr>
        <w:t>61CD(</w:t>
      </w:r>
      <w:proofErr w:type="gramEnd"/>
      <w:r>
        <w:rPr>
          <w:rFonts w:cs="Arial"/>
          <w:bCs/>
        </w:rPr>
        <w:t>2)</w:t>
      </w:r>
      <w:r w:rsidRPr="00907297">
        <w:rPr>
          <w:rFonts w:cs="Arial"/>
          <w:bCs/>
        </w:rPr>
        <w:t xml:space="preserve"> of the </w:t>
      </w:r>
      <w:r w:rsidR="00D8430D">
        <w:rPr>
          <w:rFonts w:cs="Arial"/>
          <w:bCs/>
        </w:rPr>
        <w:t>BSA</w:t>
      </w:r>
      <w:r w:rsidRPr="00907297">
        <w:rPr>
          <w:rFonts w:cs="Arial"/>
          <w:bCs/>
        </w:rPr>
        <w:t>, a</w:t>
      </w:r>
      <w:r>
        <w:rPr>
          <w:rFonts w:cs="Arial"/>
          <w:bCs/>
        </w:rPr>
        <w:t xml:space="preserve"> s</w:t>
      </w:r>
      <w:r w:rsidRPr="000769DF">
        <w:rPr>
          <w:rFonts w:cs="Arial"/>
          <w:bCs/>
        </w:rPr>
        <w:t>ervice</w:t>
      </w:r>
      <w:r>
        <w:rPr>
          <w:rFonts w:cs="Arial"/>
          <w:bCs/>
        </w:rPr>
        <w:t xml:space="preserve"> l</w:t>
      </w:r>
      <w:r w:rsidRPr="000769DF">
        <w:rPr>
          <w:rFonts w:cs="Arial"/>
          <w:bCs/>
        </w:rPr>
        <w:t>icence number</w:t>
      </w:r>
      <w:r>
        <w:rPr>
          <w:rFonts w:cs="Arial"/>
          <w:bCs/>
        </w:rPr>
        <w:t>,</w:t>
      </w:r>
      <w:r w:rsidRPr="000769DF">
        <w:rPr>
          <w:rFonts w:cs="Arial"/>
          <w:bCs/>
        </w:rPr>
        <w:t xml:space="preserve"> </w:t>
      </w:r>
      <w:r w:rsidR="00AC3F85">
        <w:rPr>
          <w:rFonts w:cs="Arial"/>
          <w:bCs/>
        </w:rPr>
        <w:t>its</w:t>
      </w:r>
      <w:r w:rsidR="00E532F0">
        <w:rPr>
          <w:rFonts w:cs="Arial"/>
          <w:bCs/>
        </w:rPr>
        <w:t xml:space="preserve"> </w:t>
      </w:r>
      <w:r w:rsidRPr="000769DF">
        <w:rPr>
          <w:rFonts w:cs="Arial"/>
          <w:bCs/>
        </w:rPr>
        <w:t>radio licence area</w:t>
      </w:r>
      <w:r w:rsidRPr="00520712">
        <w:rPr>
          <w:rFonts w:cs="Arial"/>
        </w:rPr>
        <w:t xml:space="preserve"> and</w:t>
      </w:r>
      <w:r w:rsidR="00E532F0">
        <w:rPr>
          <w:rFonts w:cs="Arial"/>
        </w:rPr>
        <w:t xml:space="preserve"> the</w:t>
      </w:r>
      <w:r>
        <w:rPr>
          <w:rFonts w:cs="Arial"/>
        </w:rPr>
        <w:t xml:space="preserve"> </w:t>
      </w:r>
      <w:r w:rsidRPr="0059708A">
        <w:rPr>
          <w:rFonts w:cs="Arial"/>
        </w:rPr>
        <w:t xml:space="preserve">period </w:t>
      </w:r>
      <w:r w:rsidR="00AD259F">
        <w:rPr>
          <w:rFonts w:cs="Arial"/>
        </w:rPr>
        <w:t xml:space="preserve">of exemption </w:t>
      </w:r>
      <w:r>
        <w:rPr>
          <w:rFonts w:cs="Arial"/>
        </w:rPr>
        <w:t xml:space="preserve">from the requirement </w:t>
      </w:r>
      <w:r w:rsidR="00852FAE">
        <w:rPr>
          <w:rFonts w:cs="Arial"/>
        </w:rPr>
        <w:t xml:space="preserve">to meet </w:t>
      </w:r>
      <w:r w:rsidR="00852FAE" w:rsidRPr="0059708A">
        <w:rPr>
          <w:rFonts w:cs="Arial"/>
        </w:rPr>
        <w:t>the minimum service standard</w:t>
      </w:r>
      <w:r w:rsidR="00852FAE">
        <w:rPr>
          <w:rFonts w:cs="Arial"/>
        </w:rPr>
        <w:t>s for local news and information.</w:t>
      </w:r>
    </w:p>
    <w:p w14:paraId="4F8BD7BC" w14:textId="77777777" w:rsidR="009052F3" w:rsidRPr="0019068D" w:rsidRDefault="009052F3" w:rsidP="00D22F27">
      <w:pPr>
        <w:spacing w:after="200" w:line="276" w:lineRule="auto"/>
        <w:jc w:val="center"/>
      </w:pPr>
      <w:r w:rsidRPr="001F0A23">
        <w:rPr>
          <w:rFonts w:cs="Arial"/>
          <w:highlight w:val="yellow"/>
        </w:rPr>
        <w:br w:type="page"/>
      </w:r>
      <w:bookmarkStart w:id="5" w:name="_Toc290210739"/>
      <w:r w:rsidRPr="0019068D">
        <w:rPr>
          <w:b/>
          <w:bCs/>
        </w:rPr>
        <w:t>Statement of Compatibility with Human Rights</w:t>
      </w:r>
    </w:p>
    <w:p w14:paraId="42E014EC" w14:textId="77777777" w:rsidR="009052F3" w:rsidRPr="0019068D" w:rsidRDefault="009052F3" w:rsidP="00D22F27">
      <w:pPr>
        <w:pStyle w:val="Default"/>
        <w:spacing w:before="120" w:after="120"/>
        <w:jc w:val="center"/>
        <w:rPr>
          <w:sz w:val="20"/>
          <w:szCs w:val="20"/>
        </w:rPr>
      </w:pPr>
      <w:r w:rsidRPr="0019068D">
        <w:rPr>
          <w:i/>
          <w:iCs/>
          <w:sz w:val="20"/>
          <w:szCs w:val="20"/>
        </w:rPr>
        <w:t>Prepared in accordance with Part 3 of the Human Rights (Parliamentary Scrutiny) Act 2011</w:t>
      </w:r>
    </w:p>
    <w:p w14:paraId="298F8278" w14:textId="77777777" w:rsidR="009052F3" w:rsidRDefault="009052F3" w:rsidP="00D22F27">
      <w:pPr>
        <w:pStyle w:val="Default"/>
        <w:spacing w:before="120" w:after="120"/>
        <w:jc w:val="center"/>
        <w:rPr>
          <w:b/>
          <w:bCs/>
          <w:sz w:val="20"/>
          <w:szCs w:val="20"/>
        </w:rPr>
      </w:pPr>
    </w:p>
    <w:p w14:paraId="018CFC2E" w14:textId="38468315" w:rsidR="005726AF" w:rsidRPr="0019068D" w:rsidRDefault="005726AF" w:rsidP="00D22F27">
      <w:pPr>
        <w:pStyle w:val="Default"/>
        <w:spacing w:before="120" w:after="120"/>
        <w:jc w:val="center"/>
        <w:rPr>
          <w:b/>
          <w:bCs/>
          <w:sz w:val="20"/>
          <w:szCs w:val="20"/>
        </w:rPr>
      </w:pPr>
      <w:r>
        <w:rPr>
          <w:b/>
          <w:bCs/>
          <w:i/>
          <w:sz w:val="20"/>
          <w:szCs w:val="20"/>
        </w:rPr>
        <w:t>Broad</w:t>
      </w:r>
      <w:r w:rsidRPr="003C4BAE">
        <w:rPr>
          <w:b/>
          <w:bCs/>
          <w:i/>
          <w:sz w:val="20"/>
          <w:szCs w:val="20"/>
        </w:rPr>
        <w:t xml:space="preserve">casting Services (Regional Commercial Radio — Specification of Periods for Subsections </w:t>
      </w:r>
      <w:proofErr w:type="gramStart"/>
      <w:r w:rsidRPr="003C4BAE">
        <w:rPr>
          <w:b/>
          <w:bCs/>
          <w:i/>
          <w:sz w:val="20"/>
          <w:szCs w:val="20"/>
        </w:rPr>
        <w:t>43C(</w:t>
      </w:r>
      <w:proofErr w:type="gramEnd"/>
      <w:r w:rsidRPr="003C4BAE">
        <w:rPr>
          <w:b/>
          <w:bCs/>
          <w:i/>
          <w:sz w:val="20"/>
          <w:szCs w:val="20"/>
        </w:rPr>
        <w:t xml:space="preserve">1A) and 61CD(2)) </w:t>
      </w:r>
      <w:r w:rsidR="00A45541">
        <w:rPr>
          <w:b/>
          <w:bCs/>
          <w:i/>
          <w:sz w:val="20"/>
          <w:szCs w:val="20"/>
        </w:rPr>
        <w:t>Variation Instrument 201</w:t>
      </w:r>
      <w:r w:rsidR="00AC3F85">
        <w:rPr>
          <w:b/>
          <w:bCs/>
          <w:i/>
          <w:sz w:val="20"/>
          <w:szCs w:val="20"/>
        </w:rPr>
        <w:t>6</w:t>
      </w:r>
      <w:r w:rsidR="00A45541">
        <w:rPr>
          <w:b/>
          <w:bCs/>
          <w:i/>
          <w:sz w:val="20"/>
          <w:szCs w:val="20"/>
        </w:rPr>
        <w:t xml:space="preserve"> (No. 1)</w:t>
      </w:r>
    </w:p>
    <w:p w14:paraId="18B3283C" w14:textId="77777777" w:rsidR="00852FAE" w:rsidRPr="0019068D" w:rsidRDefault="00852FAE" w:rsidP="00852FAE">
      <w:pPr>
        <w:pStyle w:val="Default"/>
        <w:spacing w:before="120" w:after="120" w:line="240" w:lineRule="atLeast"/>
        <w:rPr>
          <w:sz w:val="20"/>
          <w:szCs w:val="20"/>
        </w:rPr>
      </w:pPr>
      <w:r w:rsidRPr="0019068D">
        <w:rPr>
          <w:sz w:val="20"/>
          <w:szCs w:val="20"/>
        </w:rPr>
        <w:t xml:space="preserve">This </w:t>
      </w:r>
      <w:r>
        <w:rPr>
          <w:sz w:val="20"/>
          <w:szCs w:val="20"/>
        </w:rPr>
        <w:t>L</w:t>
      </w:r>
      <w:r w:rsidRPr="0019068D">
        <w:rPr>
          <w:sz w:val="20"/>
          <w:szCs w:val="20"/>
        </w:rPr>
        <w:t xml:space="preserve">egislative </w:t>
      </w:r>
      <w:r>
        <w:rPr>
          <w:sz w:val="20"/>
          <w:szCs w:val="20"/>
        </w:rPr>
        <w:t>I</w:t>
      </w:r>
      <w:r w:rsidRPr="0019068D">
        <w:rPr>
          <w:sz w:val="20"/>
          <w:szCs w:val="20"/>
        </w:rPr>
        <w:t xml:space="preserve">nstrument is compatible with the human rights and freedoms recognised or declared in the international instruments listed in section 3 of the </w:t>
      </w:r>
      <w:r w:rsidRPr="0019068D">
        <w:rPr>
          <w:i/>
          <w:iCs/>
          <w:sz w:val="20"/>
          <w:szCs w:val="20"/>
        </w:rPr>
        <w:t>Human Rights (Parliamentary Scrutiny) Act 2011</w:t>
      </w:r>
      <w:r w:rsidRPr="0019068D">
        <w:rPr>
          <w:sz w:val="20"/>
          <w:szCs w:val="20"/>
        </w:rPr>
        <w:t xml:space="preserve">. </w:t>
      </w:r>
    </w:p>
    <w:p w14:paraId="2C1B5021" w14:textId="77777777" w:rsidR="00852FAE" w:rsidRPr="0019068D" w:rsidRDefault="00852FAE" w:rsidP="00852FAE">
      <w:pPr>
        <w:pStyle w:val="Default"/>
        <w:spacing w:before="120" w:after="120" w:line="240" w:lineRule="atLeast"/>
        <w:rPr>
          <w:sz w:val="20"/>
          <w:szCs w:val="20"/>
        </w:rPr>
      </w:pPr>
      <w:r w:rsidRPr="0019068D">
        <w:rPr>
          <w:b/>
          <w:bCs/>
          <w:sz w:val="20"/>
          <w:szCs w:val="20"/>
        </w:rPr>
        <w:t xml:space="preserve">Overview of the Legislative Instrument </w:t>
      </w:r>
    </w:p>
    <w:p w14:paraId="4A70B8F1" w14:textId="6BE7BD4E" w:rsidR="007C6C29" w:rsidRDefault="00852FAE" w:rsidP="00852FAE">
      <w:pPr>
        <w:pStyle w:val="Default"/>
        <w:spacing w:before="120" w:after="120" w:line="240" w:lineRule="atLeast"/>
        <w:rPr>
          <w:sz w:val="20"/>
          <w:szCs w:val="20"/>
        </w:rPr>
      </w:pPr>
      <w:r>
        <w:rPr>
          <w:sz w:val="20"/>
          <w:szCs w:val="20"/>
        </w:rPr>
        <w:t>A</w:t>
      </w:r>
      <w:r w:rsidRPr="001E7A01">
        <w:rPr>
          <w:sz w:val="20"/>
          <w:szCs w:val="20"/>
        </w:rPr>
        <w:t xml:space="preserve">mendments to the </w:t>
      </w:r>
      <w:r w:rsidRPr="002F5118">
        <w:rPr>
          <w:bCs/>
          <w:i/>
          <w:sz w:val="20"/>
          <w:szCs w:val="20"/>
        </w:rPr>
        <w:t xml:space="preserve">Broadcasting Services Act 1992 </w:t>
      </w:r>
      <w:r w:rsidR="007C6C29">
        <w:rPr>
          <w:bCs/>
          <w:sz w:val="20"/>
          <w:szCs w:val="20"/>
        </w:rPr>
        <w:t xml:space="preserve">(the </w:t>
      </w:r>
      <w:r w:rsidR="007C6C29" w:rsidRPr="00181EEE">
        <w:rPr>
          <w:bCs/>
          <w:sz w:val="20"/>
          <w:szCs w:val="20"/>
        </w:rPr>
        <w:t>BSA</w:t>
      </w:r>
      <w:r w:rsidR="007C6C29">
        <w:rPr>
          <w:bCs/>
          <w:sz w:val="20"/>
          <w:szCs w:val="20"/>
        </w:rPr>
        <w:t xml:space="preserve">) </w:t>
      </w:r>
      <w:r w:rsidR="00181EEE">
        <w:rPr>
          <w:bCs/>
          <w:sz w:val="20"/>
          <w:szCs w:val="20"/>
        </w:rPr>
        <w:t xml:space="preserve">that </w:t>
      </w:r>
      <w:r>
        <w:rPr>
          <w:bCs/>
          <w:sz w:val="20"/>
          <w:szCs w:val="20"/>
        </w:rPr>
        <w:t xml:space="preserve">commenced </w:t>
      </w:r>
      <w:r w:rsidR="00951BC6">
        <w:rPr>
          <w:bCs/>
          <w:sz w:val="20"/>
          <w:szCs w:val="20"/>
        </w:rPr>
        <w:t>in</w:t>
      </w:r>
      <w:r>
        <w:rPr>
          <w:bCs/>
          <w:sz w:val="20"/>
          <w:szCs w:val="20"/>
        </w:rPr>
        <w:t xml:space="preserve"> April 2012</w:t>
      </w:r>
      <w:r w:rsidRPr="001E7A01">
        <w:rPr>
          <w:sz w:val="20"/>
          <w:szCs w:val="20"/>
        </w:rPr>
        <w:t xml:space="preserve"> relax</w:t>
      </w:r>
      <w:r>
        <w:rPr>
          <w:sz w:val="20"/>
          <w:szCs w:val="20"/>
        </w:rPr>
        <w:t>ed</w:t>
      </w:r>
      <w:r w:rsidRPr="001E7A01">
        <w:rPr>
          <w:sz w:val="20"/>
          <w:szCs w:val="20"/>
        </w:rPr>
        <w:t xml:space="preserve"> some of the local</w:t>
      </w:r>
      <w:r>
        <w:rPr>
          <w:sz w:val="20"/>
          <w:szCs w:val="20"/>
        </w:rPr>
        <w:t xml:space="preserve"> content</w:t>
      </w:r>
      <w:r w:rsidRPr="001E7A01">
        <w:rPr>
          <w:sz w:val="20"/>
          <w:szCs w:val="20"/>
        </w:rPr>
        <w:t xml:space="preserve"> obligations </w:t>
      </w:r>
      <w:r>
        <w:rPr>
          <w:sz w:val="20"/>
          <w:szCs w:val="20"/>
        </w:rPr>
        <w:t>which apply to</w:t>
      </w:r>
      <w:r w:rsidRPr="001E7A01">
        <w:rPr>
          <w:sz w:val="20"/>
          <w:szCs w:val="20"/>
        </w:rPr>
        <w:t xml:space="preserve"> regional commercial radio broadcasters. The </w:t>
      </w:r>
      <w:r>
        <w:rPr>
          <w:sz w:val="20"/>
          <w:szCs w:val="20"/>
        </w:rPr>
        <w:t>amendments</w:t>
      </w:r>
      <w:r w:rsidRPr="001E7A01">
        <w:rPr>
          <w:sz w:val="20"/>
          <w:szCs w:val="20"/>
        </w:rPr>
        <w:t xml:space="preserve"> </w:t>
      </w:r>
      <w:r>
        <w:rPr>
          <w:sz w:val="20"/>
          <w:szCs w:val="20"/>
        </w:rPr>
        <w:t>have the effect</w:t>
      </w:r>
      <w:r w:rsidRPr="001E7A01">
        <w:rPr>
          <w:sz w:val="20"/>
          <w:szCs w:val="20"/>
        </w:rPr>
        <w:t xml:space="preserve"> </w:t>
      </w:r>
      <w:r>
        <w:rPr>
          <w:sz w:val="20"/>
          <w:szCs w:val="20"/>
        </w:rPr>
        <w:t xml:space="preserve">that, </w:t>
      </w:r>
      <w:r w:rsidRPr="001E7A01">
        <w:rPr>
          <w:sz w:val="20"/>
          <w:szCs w:val="20"/>
        </w:rPr>
        <w:t>for a five-week period each year</w:t>
      </w:r>
      <w:r>
        <w:rPr>
          <w:sz w:val="20"/>
          <w:szCs w:val="20"/>
        </w:rPr>
        <w:t xml:space="preserve">, a regional commercial radio broadcasting licensee is not required to comply with the obligation to provide specified amounts of material of local significance and </w:t>
      </w:r>
      <w:r w:rsidR="007C6C29">
        <w:rPr>
          <w:sz w:val="20"/>
          <w:szCs w:val="20"/>
        </w:rPr>
        <w:t xml:space="preserve">the obligation to meet minimum service standards for </w:t>
      </w:r>
      <w:r>
        <w:rPr>
          <w:sz w:val="20"/>
          <w:szCs w:val="20"/>
        </w:rPr>
        <w:t>local news and information</w:t>
      </w:r>
      <w:r w:rsidRPr="001E7A01">
        <w:rPr>
          <w:sz w:val="20"/>
          <w:szCs w:val="20"/>
        </w:rPr>
        <w:t xml:space="preserve">. </w:t>
      </w:r>
    </w:p>
    <w:p w14:paraId="2EDDC829" w14:textId="66533275" w:rsidR="00852FAE" w:rsidRDefault="00852FAE" w:rsidP="00852FAE">
      <w:pPr>
        <w:pStyle w:val="Default"/>
        <w:spacing w:before="120" w:after="120" w:line="240" w:lineRule="atLeast"/>
        <w:rPr>
          <w:sz w:val="20"/>
          <w:szCs w:val="20"/>
        </w:rPr>
      </w:pPr>
      <w:r w:rsidRPr="001E7A01">
        <w:rPr>
          <w:sz w:val="20"/>
          <w:szCs w:val="20"/>
        </w:rPr>
        <w:t xml:space="preserve">The </w:t>
      </w:r>
      <w:r w:rsidR="007C6C29">
        <w:rPr>
          <w:sz w:val="20"/>
          <w:szCs w:val="20"/>
        </w:rPr>
        <w:t xml:space="preserve">BSA specifies </w:t>
      </w:r>
      <w:r w:rsidRPr="001E7A01">
        <w:rPr>
          <w:sz w:val="20"/>
          <w:szCs w:val="20"/>
        </w:rPr>
        <w:t xml:space="preserve">default </w:t>
      </w:r>
      <w:r w:rsidR="007C6C29">
        <w:rPr>
          <w:sz w:val="20"/>
          <w:szCs w:val="20"/>
        </w:rPr>
        <w:t>five-week period</w:t>
      </w:r>
      <w:r w:rsidR="006862E3">
        <w:rPr>
          <w:sz w:val="20"/>
          <w:szCs w:val="20"/>
        </w:rPr>
        <w:t>s</w:t>
      </w:r>
      <w:r w:rsidR="007C6C29">
        <w:rPr>
          <w:sz w:val="20"/>
          <w:szCs w:val="20"/>
        </w:rPr>
        <w:t xml:space="preserve"> for both obligations,</w:t>
      </w:r>
      <w:r w:rsidR="007C6C29" w:rsidRPr="001E7A01">
        <w:rPr>
          <w:sz w:val="20"/>
          <w:szCs w:val="20"/>
        </w:rPr>
        <w:t xml:space="preserve"> but the ACMA </w:t>
      </w:r>
      <w:r w:rsidR="007C6C29">
        <w:rPr>
          <w:sz w:val="20"/>
          <w:szCs w:val="20"/>
        </w:rPr>
        <w:t>may</w:t>
      </w:r>
      <w:r w:rsidR="007C6C29" w:rsidRPr="001E7A01">
        <w:rPr>
          <w:sz w:val="20"/>
          <w:szCs w:val="20"/>
        </w:rPr>
        <w:t>, by legislative instrument, specify different period</w:t>
      </w:r>
      <w:r w:rsidR="007C6C29">
        <w:rPr>
          <w:sz w:val="20"/>
          <w:szCs w:val="20"/>
        </w:rPr>
        <w:t>s</w:t>
      </w:r>
      <w:r w:rsidR="007C6C29" w:rsidRPr="001E7A01">
        <w:rPr>
          <w:sz w:val="20"/>
          <w:szCs w:val="20"/>
        </w:rPr>
        <w:t xml:space="preserve"> for </w:t>
      </w:r>
      <w:r w:rsidR="007C6C29">
        <w:rPr>
          <w:sz w:val="20"/>
          <w:szCs w:val="20"/>
        </w:rPr>
        <w:t xml:space="preserve">one </w:t>
      </w:r>
      <w:r w:rsidR="007C6C29" w:rsidRPr="001E7A01">
        <w:rPr>
          <w:sz w:val="20"/>
          <w:szCs w:val="20"/>
        </w:rPr>
        <w:t xml:space="preserve">or </w:t>
      </w:r>
      <w:r w:rsidR="007C6C29">
        <w:rPr>
          <w:sz w:val="20"/>
          <w:szCs w:val="20"/>
        </w:rPr>
        <w:t xml:space="preserve">more specified licensees. The default </w:t>
      </w:r>
      <w:r w:rsidRPr="001E7A01">
        <w:rPr>
          <w:sz w:val="20"/>
          <w:szCs w:val="20"/>
        </w:rPr>
        <w:t xml:space="preserve">period </w:t>
      </w:r>
      <w:r w:rsidR="007C6C29">
        <w:rPr>
          <w:sz w:val="20"/>
          <w:szCs w:val="20"/>
        </w:rPr>
        <w:t>exempting licensees from the obligation to provide specified amounts of material of local significance starts o</w:t>
      </w:r>
      <w:r w:rsidRPr="001E7A01">
        <w:rPr>
          <w:sz w:val="20"/>
          <w:szCs w:val="20"/>
        </w:rPr>
        <w:t xml:space="preserve">n the </w:t>
      </w:r>
      <w:r w:rsidR="007C6C29">
        <w:rPr>
          <w:sz w:val="20"/>
          <w:szCs w:val="20"/>
        </w:rPr>
        <w:t xml:space="preserve">second Monday in December each year. The default </w:t>
      </w:r>
      <w:r w:rsidR="007C6C29" w:rsidRPr="001E7A01">
        <w:rPr>
          <w:sz w:val="20"/>
          <w:szCs w:val="20"/>
        </w:rPr>
        <w:t xml:space="preserve">period </w:t>
      </w:r>
      <w:r w:rsidR="007C6C29">
        <w:rPr>
          <w:sz w:val="20"/>
          <w:szCs w:val="20"/>
        </w:rPr>
        <w:t>exempting licensees from the obligation to meet minimum service standards for local news and information starts o</w:t>
      </w:r>
      <w:r w:rsidR="007C6C29" w:rsidRPr="001E7A01">
        <w:rPr>
          <w:sz w:val="20"/>
          <w:szCs w:val="20"/>
        </w:rPr>
        <w:t xml:space="preserve">n the </w:t>
      </w:r>
      <w:r w:rsidR="007C6C29">
        <w:rPr>
          <w:sz w:val="20"/>
          <w:szCs w:val="20"/>
        </w:rPr>
        <w:t>second Sunday in December each year.</w:t>
      </w:r>
    </w:p>
    <w:p w14:paraId="0D5497A4" w14:textId="75E04CBA" w:rsidR="001E7A01" w:rsidRPr="001E7A01" w:rsidRDefault="00AE6C86" w:rsidP="00852FAE">
      <w:pPr>
        <w:pStyle w:val="Default"/>
        <w:spacing w:before="120" w:after="120" w:line="240" w:lineRule="atLeast"/>
        <w:rPr>
          <w:sz w:val="20"/>
          <w:szCs w:val="20"/>
        </w:rPr>
      </w:pPr>
      <w:r>
        <w:rPr>
          <w:sz w:val="20"/>
          <w:szCs w:val="20"/>
        </w:rPr>
        <w:t xml:space="preserve">This Legislative Instrument </w:t>
      </w:r>
      <w:r w:rsidR="00852FAE">
        <w:rPr>
          <w:bCs/>
          <w:sz w:val="20"/>
          <w:szCs w:val="20"/>
        </w:rPr>
        <w:t xml:space="preserve">specifies </w:t>
      </w:r>
      <w:r w:rsidR="009E7AD1">
        <w:rPr>
          <w:bCs/>
          <w:sz w:val="20"/>
          <w:szCs w:val="20"/>
        </w:rPr>
        <w:t xml:space="preserve">different </w:t>
      </w:r>
      <w:r w:rsidR="007C6C29">
        <w:rPr>
          <w:bCs/>
          <w:sz w:val="20"/>
          <w:szCs w:val="20"/>
        </w:rPr>
        <w:t>five-</w:t>
      </w:r>
      <w:r w:rsidR="00852FAE">
        <w:rPr>
          <w:bCs/>
          <w:sz w:val="20"/>
          <w:szCs w:val="20"/>
        </w:rPr>
        <w:t xml:space="preserve">week </w:t>
      </w:r>
      <w:r w:rsidR="007C6C29">
        <w:rPr>
          <w:bCs/>
          <w:sz w:val="20"/>
          <w:szCs w:val="20"/>
        </w:rPr>
        <w:t xml:space="preserve">exemption </w:t>
      </w:r>
      <w:r w:rsidR="00852FAE">
        <w:rPr>
          <w:bCs/>
          <w:sz w:val="20"/>
          <w:szCs w:val="20"/>
        </w:rPr>
        <w:t>period</w:t>
      </w:r>
      <w:r w:rsidR="007C6C29">
        <w:rPr>
          <w:bCs/>
          <w:sz w:val="20"/>
          <w:szCs w:val="20"/>
        </w:rPr>
        <w:t>s</w:t>
      </w:r>
      <w:r w:rsidR="00852FAE">
        <w:rPr>
          <w:bCs/>
          <w:sz w:val="20"/>
          <w:szCs w:val="20"/>
        </w:rPr>
        <w:t xml:space="preserve"> for the </w:t>
      </w:r>
      <w:r w:rsidR="00AC3F85">
        <w:rPr>
          <w:bCs/>
          <w:sz w:val="20"/>
          <w:szCs w:val="20"/>
        </w:rPr>
        <w:t xml:space="preserve">13 </w:t>
      </w:r>
      <w:r w:rsidR="00852FAE">
        <w:rPr>
          <w:sz w:val="20"/>
          <w:szCs w:val="20"/>
        </w:rPr>
        <w:t>regional commerc</w:t>
      </w:r>
      <w:r w:rsidR="00AD259F">
        <w:rPr>
          <w:sz w:val="20"/>
          <w:szCs w:val="20"/>
        </w:rPr>
        <w:t>ial radio broadcasting licence</w:t>
      </w:r>
      <w:r w:rsidR="00AC3F85">
        <w:rPr>
          <w:sz w:val="20"/>
          <w:szCs w:val="20"/>
        </w:rPr>
        <w:t>s</w:t>
      </w:r>
      <w:r w:rsidR="00852FAE">
        <w:rPr>
          <w:sz w:val="20"/>
          <w:szCs w:val="20"/>
        </w:rPr>
        <w:t xml:space="preserve"> identified in the </w:t>
      </w:r>
      <w:r>
        <w:rPr>
          <w:sz w:val="20"/>
          <w:szCs w:val="20"/>
        </w:rPr>
        <w:t xml:space="preserve">Legislative </w:t>
      </w:r>
      <w:r w:rsidR="00852FAE">
        <w:rPr>
          <w:sz w:val="20"/>
          <w:szCs w:val="20"/>
        </w:rPr>
        <w:t>Instrument</w:t>
      </w:r>
      <w:r w:rsidR="009E7AD1">
        <w:rPr>
          <w:sz w:val="20"/>
          <w:szCs w:val="20"/>
        </w:rPr>
        <w:t xml:space="preserve">, </w:t>
      </w:r>
      <w:r w:rsidR="007C6C29">
        <w:rPr>
          <w:sz w:val="20"/>
          <w:szCs w:val="20"/>
        </w:rPr>
        <w:t>commenc</w:t>
      </w:r>
      <w:r w:rsidR="009E7AD1">
        <w:rPr>
          <w:sz w:val="20"/>
          <w:szCs w:val="20"/>
        </w:rPr>
        <w:t>ing</w:t>
      </w:r>
      <w:r w:rsidR="007C6C29">
        <w:rPr>
          <w:sz w:val="20"/>
          <w:szCs w:val="20"/>
        </w:rPr>
        <w:t xml:space="preserve"> on the third Monday </w:t>
      </w:r>
      <w:r w:rsidR="00E532F0">
        <w:rPr>
          <w:sz w:val="20"/>
          <w:szCs w:val="20"/>
        </w:rPr>
        <w:t xml:space="preserve">in December each year </w:t>
      </w:r>
      <w:r w:rsidR="007C6C29">
        <w:rPr>
          <w:sz w:val="20"/>
          <w:szCs w:val="20"/>
        </w:rPr>
        <w:t xml:space="preserve">and </w:t>
      </w:r>
      <w:r w:rsidR="00E532F0">
        <w:rPr>
          <w:sz w:val="20"/>
          <w:szCs w:val="20"/>
        </w:rPr>
        <w:t xml:space="preserve">the third </w:t>
      </w:r>
      <w:r w:rsidR="007C6C29">
        <w:rPr>
          <w:sz w:val="20"/>
          <w:szCs w:val="20"/>
        </w:rPr>
        <w:t>Sunday in December each year</w:t>
      </w:r>
      <w:r w:rsidR="00852FAE">
        <w:rPr>
          <w:sz w:val="20"/>
          <w:szCs w:val="20"/>
        </w:rPr>
        <w:t>.</w:t>
      </w:r>
    </w:p>
    <w:p w14:paraId="014A1608" w14:textId="77777777" w:rsidR="009052F3" w:rsidRPr="001E7A01" w:rsidRDefault="009052F3" w:rsidP="00593B39">
      <w:pPr>
        <w:pStyle w:val="Default"/>
        <w:spacing w:before="120" w:after="120" w:line="240" w:lineRule="atLeast"/>
        <w:rPr>
          <w:b/>
          <w:bCs/>
          <w:sz w:val="20"/>
          <w:szCs w:val="20"/>
        </w:rPr>
      </w:pPr>
      <w:r w:rsidRPr="001E7A01">
        <w:rPr>
          <w:b/>
          <w:bCs/>
          <w:sz w:val="20"/>
          <w:szCs w:val="20"/>
        </w:rPr>
        <w:t xml:space="preserve">Human Rights Implications </w:t>
      </w:r>
    </w:p>
    <w:p w14:paraId="123BE985" w14:textId="77777777" w:rsidR="00852FAE" w:rsidRPr="00852FAE" w:rsidRDefault="00852FAE" w:rsidP="00852FAE">
      <w:pPr>
        <w:spacing w:before="120" w:after="120"/>
        <w:rPr>
          <w:rFonts w:cs="Arial"/>
        </w:rPr>
      </w:pPr>
      <w:r w:rsidRPr="00852FAE">
        <w:rPr>
          <w:rFonts w:cs="Arial"/>
        </w:rPr>
        <w:t>This Legislative Instrument does not engage any of the applicable rights or freedoms.</w:t>
      </w:r>
    </w:p>
    <w:p w14:paraId="1F7A3C6B" w14:textId="77777777" w:rsidR="009052F3" w:rsidRPr="0036640D" w:rsidRDefault="009052F3" w:rsidP="00593B39">
      <w:pPr>
        <w:pStyle w:val="Default"/>
        <w:spacing w:before="120" w:after="120" w:line="240" w:lineRule="atLeast"/>
        <w:rPr>
          <w:b/>
          <w:bCs/>
          <w:sz w:val="20"/>
          <w:szCs w:val="20"/>
        </w:rPr>
      </w:pPr>
      <w:r w:rsidRPr="0036640D">
        <w:rPr>
          <w:b/>
          <w:bCs/>
          <w:sz w:val="20"/>
          <w:szCs w:val="20"/>
        </w:rPr>
        <w:t xml:space="preserve">Conclusion </w:t>
      </w:r>
    </w:p>
    <w:p w14:paraId="2F6C98D5" w14:textId="77777777" w:rsidR="009052F3" w:rsidRPr="00A94C87" w:rsidRDefault="009052F3" w:rsidP="00593B39">
      <w:pPr>
        <w:pStyle w:val="Default"/>
        <w:spacing w:before="120" w:after="120" w:line="240" w:lineRule="atLeast"/>
        <w:rPr>
          <w:sz w:val="20"/>
          <w:szCs w:val="20"/>
        </w:rPr>
      </w:pPr>
      <w:r w:rsidRPr="0036640D">
        <w:rPr>
          <w:sz w:val="20"/>
          <w:szCs w:val="20"/>
        </w:rPr>
        <w:t xml:space="preserve">The </w:t>
      </w:r>
      <w:r w:rsidR="00852FAE">
        <w:rPr>
          <w:sz w:val="20"/>
          <w:szCs w:val="20"/>
        </w:rPr>
        <w:t>Legislative I</w:t>
      </w:r>
      <w:r w:rsidR="0036640D" w:rsidRPr="0036640D">
        <w:rPr>
          <w:sz w:val="20"/>
          <w:szCs w:val="20"/>
        </w:rPr>
        <w:t xml:space="preserve">nstrument is </w:t>
      </w:r>
      <w:r w:rsidRPr="0036640D">
        <w:rPr>
          <w:sz w:val="20"/>
          <w:szCs w:val="20"/>
        </w:rPr>
        <w:t xml:space="preserve">compatible with human rights </w:t>
      </w:r>
      <w:r w:rsidR="00852FAE">
        <w:rPr>
          <w:sz w:val="20"/>
          <w:szCs w:val="20"/>
        </w:rPr>
        <w:t>as it does not raise any human rights issues</w:t>
      </w:r>
      <w:r w:rsidRPr="0036640D">
        <w:rPr>
          <w:sz w:val="20"/>
          <w:szCs w:val="20"/>
        </w:rPr>
        <w:t>.</w:t>
      </w:r>
      <w:r w:rsidRPr="00A94C87">
        <w:rPr>
          <w:sz w:val="20"/>
          <w:szCs w:val="20"/>
        </w:rPr>
        <w:t xml:space="preserve"> </w:t>
      </w:r>
      <w:bookmarkEnd w:id="5"/>
    </w:p>
    <w:sectPr w:rsidR="009052F3" w:rsidRPr="00A94C87" w:rsidSect="00711C89">
      <w:headerReference w:type="default" r:id="rId14"/>
      <w:footerReference w:type="default" r:id="rId15"/>
      <w:pgSz w:w="11906" w:h="16838"/>
      <w:pgMar w:top="1440" w:right="1440" w:bottom="1440" w:left="1440" w:header="4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920AB" w14:textId="77777777" w:rsidR="005646C0" w:rsidRDefault="005646C0" w:rsidP="009238CA">
      <w:r>
        <w:separator/>
      </w:r>
    </w:p>
  </w:endnote>
  <w:endnote w:type="continuationSeparator" w:id="0">
    <w:p w14:paraId="3B3A955F" w14:textId="77777777" w:rsidR="005646C0" w:rsidRDefault="005646C0" w:rsidP="00923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LT Std Lt">
    <w:altName w:val="Franklin Gothic Dem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71387"/>
      <w:docPartObj>
        <w:docPartGallery w:val="Page Numbers (Bottom of Page)"/>
        <w:docPartUnique/>
      </w:docPartObj>
    </w:sdtPr>
    <w:sdtEndPr/>
    <w:sdtContent>
      <w:p w14:paraId="7D951114" w14:textId="77777777" w:rsidR="00AE6C86" w:rsidRDefault="00446769">
        <w:pPr>
          <w:pStyle w:val="Footer"/>
          <w:jc w:val="right"/>
        </w:pPr>
        <w:r>
          <w:fldChar w:fldCharType="begin"/>
        </w:r>
        <w:r>
          <w:instrText xml:space="preserve"> PAGE   \* MERGEFORMAT </w:instrText>
        </w:r>
        <w:r>
          <w:fldChar w:fldCharType="separate"/>
        </w:r>
        <w:r w:rsidR="00531E64">
          <w:rPr>
            <w:noProof/>
          </w:rPr>
          <w:t>1</w:t>
        </w:r>
        <w:r>
          <w:rPr>
            <w:noProof/>
          </w:rPr>
          <w:fldChar w:fldCharType="end"/>
        </w:r>
      </w:p>
    </w:sdtContent>
  </w:sdt>
  <w:p w14:paraId="5ABD2D97" w14:textId="77777777" w:rsidR="00AE6C86" w:rsidRDefault="00AE6C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C0D8D" w14:textId="77777777" w:rsidR="005646C0" w:rsidRDefault="005646C0" w:rsidP="009238CA">
      <w:r>
        <w:separator/>
      </w:r>
    </w:p>
  </w:footnote>
  <w:footnote w:type="continuationSeparator" w:id="0">
    <w:p w14:paraId="5165AB0F" w14:textId="77777777" w:rsidR="005646C0" w:rsidRDefault="005646C0" w:rsidP="00923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D4992" w14:textId="77777777" w:rsidR="00AE6C86" w:rsidRPr="00250E73" w:rsidRDefault="00AE6C86" w:rsidP="00250E73">
    <w:pPr>
      <w:pStyle w:val="Header"/>
      <w:jc w:val="right"/>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0122C"/>
    <w:multiLevelType w:val="hybridMultilevel"/>
    <w:tmpl w:val="B63CD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9E06AB"/>
    <w:multiLevelType w:val="hybridMultilevel"/>
    <w:tmpl w:val="F092CDA0"/>
    <w:lvl w:ilvl="0" w:tplc="62B67F5C">
      <w:start w:val="1"/>
      <w:numFmt w:val="lowerLetter"/>
      <w:lvlText w:val="(%1)"/>
      <w:lvlJc w:val="left"/>
      <w:pPr>
        <w:ind w:left="720" w:hanging="360"/>
      </w:pPr>
      <w:rPr>
        <w:rFonts w:hint="default"/>
      </w:rPr>
    </w:lvl>
    <w:lvl w:ilvl="1" w:tplc="948E8DD4" w:tentative="1">
      <w:start w:val="1"/>
      <w:numFmt w:val="bullet"/>
      <w:lvlText w:val="o"/>
      <w:lvlJc w:val="left"/>
      <w:pPr>
        <w:ind w:left="1440" w:hanging="360"/>
      </w:pPr>
      <w:rPr>
        <w:rFonts w:ascii="Courier New" w:hAnsi="Courier New" w:cs="Courier New" w:hint="default"/>
      </w:rPr>
    </w:lvl>
    <w:lvl w:ilvl="2" w:tplc="9A2CF14E" w:tentative="1">
      <w:start w:val="1"/>
      <w:numFmt w:val="bullet"/>
      <w:lvlText w:val=""/>
      <w:lvlJc w:val="left"/>
      <w:pPr>
        <w:ind w:left="2160" w:hanging="360"/>
      </w:pPr>
      <w:rPr>
        <w:rFonts w:ascii="Wingdings" w:hAnsi="Wingdings" w:hint="default"/>
      </w:rPr>
    </w:lvl>
    <w:lvl w:ilvl="3" w:tplc="FFBA1D48" w:tentative="1">
      <w:start w:val="1"/>
      <w:numFmt w:val="bullet"/>
      <w:lvlText w:val=""/>
      <w:lvlJc w:val="left"/>
      <w:pPr>
        <w:ind w:left="2880" w:hanging="360"/>
      </w:pPr>
      <w:rPr>
        <w:rFonts w:ascii="Symbol" w:hAnsi="Symbol" w:hint="default"/>
      </w:rPr>
    </w:lvl>
    <w:lvl w:ilvl="4" w:tplc="A8181454" w:tentative="1">
      <w:start w:val="1"/>
      <w:numFmt w:val="bullet"/>
      <w:lvlText w:val="o"/>
      <w:lvlJc w:val="left"/>
      <w:pPr>
        <w:ind w:left="3600" w:hanging="360"/>
      </w:pPr>
      <w:rPr>
        <w:rFonts w:ascii="Courier New" w:hAnsi="Courier New" w:cs="Courier New" w:hint="default"/>
      </w:rPr>
    </w:lvl>
    <w:lvl w:ilvl="5" w:tplc="351CC866" w:tentative="1">
      <w:start w:val="1"/>
      <w:numFmt w:val="bullet"/>
      <w:lvlText w:val=""/>
      <w:lvlJc w:val="left"/>
      <w:pPr>
        <w:ind w:left="4320" w:hanging="360"/>
      </w:pPr>
      <w:rPr>
        <w:rFonts w:ascii="Wingdings" w:hAnsi="Wingdings" w:hint="default"/>
      </w:rPr>
    </w:lvl>
    <w:lvl w:ilvl="6" w:tplc="8A00B03C" w:tentative="1">
      <w:start w:val="1"/>
      <w:numFmt w:val="bullet"/>
      <w:lvlText w:val=""/>
      <w:lvlJc w:val="left"/>
      <w:pPr>
        <w:ind w:left="5040" w:hanging="360"/>
      </w:pPr>
      <w:rPr>
        <w:rFonts w:ascii="Symbol" w:hAnsi="Symbol" w:hint="default"/>
      </w:rPr>
    </w:lvl>
    <w:lvl w:ilvl="7" w:tplc="9DAE8F4E" w:tentative="1">
      <w:start w:val="1"/>
      <w:numFmt w:val="bullet"/>
      <w:lvlText w:val="o"/>
      <w:lvlJc w:val="left"/>
      <w:pPr>
        <w:ind w:left="5760" w:hanging="360"/>
      </w:pPr>
      <w:rPr>
        <w:rFonts w:ascii="Courier New" w:hAnsi="Courier New" w:cs="Courier New" w:hint="default"/>
      </w:rPr>
    </w:lvl>
    <w:lvl w:ilvl="8" w:tplc="46D01728" w:tentative="1">
      <w:start w:val="1"/>
      <w:numFmt w:val="bullet"/>
      <w:lvlText w:val=""/>
      <w:lvlJc w:val="left"/>
      <w:pPr>
        <w:ind w:left="6480" w:hanging="360"/>
      </w:pPr>
      <w:rPr>
        <w:rFonts w:ascii="Wingdings" w:hAnsi="Wingdings" w:hint="default"/>
      </w:rPr>
    </w:lvl>
  </w:abstractNum>
  <w:abstractNum w:abstractNumId="2">
    <w:nsid w:val="14B62D5B"/>
    <w:multiLevelType w:val="hybridMultilevel"/>
    <w:tmpl w:val="920A1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E8F1758"/>
    <w:multiLevelType w:val="hybridMultilevel"/>
    <w:tmpl w:val="782A72C6"/>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4">
    <w:nsid w:val="2A245AE9"/>
    <w:multiLevelType w:val="hybridMultilevel"/>
    <w:tmpl w:val="E9F272DE"/>
    <w:lvl w:ilvl="0" w:tplc="12826C4A">
      <w:start w:val="1"/>
      <w:numFmt w:val="decimal"/>
      <w:lvlText w:val="(%1)"/>
      <w:lvlJc w:val="right"/>
      <w:pPr>
        <w:ind w:left="1930" w:hanging="360"/>
      </w:pPr>
      <w:rPr>
        <w:rFonts w:hint="default"/>
      </w:rPr>
    </w:lvl>
    <w:lvl w:ilvl="1" w:tplc="0C090019">
      <w:start w:val="1"/>
      <w:numFmt w:val="lowerLetter"/>
      <w:lvlText w:val="%2."/>
      <w:lvlJc w:val="left"/>
      <w:pPr>
        <w:ind w:left="2650" w:hanging="360"/>
      </w:pPr>
    </w:lvl>
    <w:lvl w:ilvl="2" w:tplc="0C09001B" w:tentative="1">
      <w:start w:val="1"/>
      <w:numFmt w:val="lowerRoman"/>
      <w:lvlText w:val="%3."/>
      <w:lvlJc w:val="right"/>
      <w:pPr>
        <w:ind w:left="3370" w:hanging="180"/>
      </w:pPr>
    </w:lvl>
    <w:lvl w:ilvl="3" w:tplc="0C09000F" w:tentative="1">
      <w:start w:val="1"/>
      <w:numFmt w:val="decimal"/>
      <w:lvlText w:val="%4."/>
      <w:lvlJc w:val="left"/>
      <w:pPr>
        <w:ind w:left="4090" w:hanging="360"/>
      </w:pPr>
    </w:lvl>
    <w:lvl w:ilvl="4" w:tplc="0C090019" w:tentative="1">
      <w:start w:val="1"/>
      <w:numFmt w:val="lowerLetter"/>
      <w:lvlText w:val="%5."/>
      <w:lvlJc w:val="left"/>
      <w:pPr>
        <w:ind w:left="4810" w:hanging="360"/>
      </w:pPr>
    </w:lvl>
    <w:lvl w:ilvl="5" w:tplc="0C09001B" w:tentative="1">
      <w:start w:val="1"/>
      <w:numFmt w:val="lowerRoman"/>
      <w:lvlText w:val="%6."/>
      <w:lvlJc w:val="right"/>
      <w:pPr>
        <w:ind w:left="5530" w:hanging="180"/>
      </w:pPr>
    </w:lvl>
    <w:lvl w:ilvl="6" w:tplc="0C09000F" w:tentative="1">
      <w:start w:val="1"/>
      <w:numFmt w:val="decimal"/>
      <w:lvlText w:val="%7."/>
      <w:lvlJc w:val="left"/>
      <w:pPr>
        <w:ind w:left="6250" w:hanging="360"/>
      </w:pPr>
    </w:lvl>
    <w:lvl w:ilvl="7" w:tplc="0C090019" w:tentative="1">
      <w:start w:val="1"/>
      <w:numFmt w:val="lowerLetter"/>
      <w:lvlText w:val="%8."/>
      <w:lvlJc w:val="left"/>
      <w:pPr>
        <w:ind w:left="6970" w:hanging="360"/>
      </w:pPr>
    </w:lvl>
    <w:lvl w:ilvl="8" w:tplc="0C09001B" w:tentative="1">
      <w:start w:val="1"/>
      <w:numFmt w:val="lowerRoman"/>
      <w:lvlText w:val="%9."/>
      <w:lvlJc w:val="right"/>
      <w:pPr>
        <w:ind w:left="7690" w:hanging="180"/>
      </w:pPr>
    </w:lvl>
  </w:abstractNum>
  <w:abstractNum w:abstractNumId="5">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nsid w:val="3EDE145E"/>
    <w:multiLevelType w:val="hybridMultilevel"/>
    <w:tmpl w:val="3CBA1EA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nsid w:val="44B34EEE"/>
    <w:multiLevelType w:val="hybridMultilevel"/>
    <w:tmpl w:val="98DE286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nsid w:val="4EE3242D"/>
    <w:multiLevelType w:val="hybridMultilevel"/>
    <w:tmpl w:val="2ACC2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68458A7"/>
    <w:multiLevelType w:val="hybridMultilevel"/>
    <w:tmpl w:val="AA2E5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A287DF4"/>
    <w:multiLevelType w:val="hybridMultilevel"/>
    <w:tmpl w:val="8632A0D0"/>
    <w:lvl w:ilvl="0" w:tplc="1C5C52DE">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11">
    <w:nsid w:val="687D5D95"/>
    <w:multiLevelType w:val="hybridMultilevel"/>
    <w:tmpl w:val="08C2417A"/>
    <w:lvl w:ilvl="0" w:tplc="62B67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88B71FA"/>
    <w:multiLevelType w:val="hybridMultilevel"/>
    <w:tmpl w:val="5B901B00"/>
    <w:lvl w:ilvl="0" w:tplc="DA045E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6590F38"/>
    <w:multiLevelType w:val="hybridMultilevel"/>
    <w:tmpl w:val="9B0CB798"/>
    <w:lvl w:ilvl="0" w:tplc="1C5C52DE">
      <w:start w:val="1"/>
      <w:numFmt w:val="bullet"/>
      <w:lvlText w:val=""/>
      <w:lvlJc w:val="left"/>
      <w:pPr>
        <w:ind w:left="720" w:hanging="360"/>
      </w:pPr>
      <w:rPr>
        <w:rFonts w:ascii="Symbol" w:hAnsi="Symbol" w:hint="default"/>
      </w:rPr>
    </w:lvl>
    <w:lvl w:ilvl="1" w:tplc="948E8DD4" w:tentative="1">
      <w:start w:val="1"/>
      <w:numFmt w:val="bullet"/>
      <w:lvlText w:val="o"/>
      <w:lvlJc w:val="left"/>
      <w:pPr>
        <w:ind w:left="1440" w:hanging="360"/>
      </w:pPr>
      <w:rPr>
        <w:rFonts w:ascii="Courier New" w:hAnsi="Courier New" w:cs="Courier New" w:hint="default"/>
      </w:rPr>
    </w:lvl>
    <w:lvl w:ilvl="2" w:tplc="9A2CF14E" w:tentative="1">
      <w:start w:val="1"/>
      <w:numFmt w:val="bullet"/>
      <w:lvlText w:val=""/>
      <w:lvlJc w:val="left"/>
      <w:pPr>
        <w:ind w:left="2160" w:hanging="360"/>
      </w:pPr>
      <w:rPr>
        <w:rFonts w:ascii="Wingdings" w:hAnsi="Wingdings" w:hint="default"/>
      </w:rPr>
    </w:lvl>
    <w:lvl w:ilvl="3" w:tplc="FFBA1D48" w:tentative="1">
      <w:start w:val="1"/>
      <w:numFmt w:val="bullet"/>
      <w:lvlText w:val=""/>
      <w:lvlJc w:val="left"/>
      <w:pPr>
        <w:ind w:left="2880" w:hanging="360"/>
      </w:pPr>
      <w:rPr>
        <w:rFonts w:ascii="Symbol" w:hAnsi="Symbol" w:hint="default"/>
      </w:rPr>
    </w:lvl>
    <w:lvl w:ilvl="4" w:tplc="A8181454" w:tentative="1">
      <w:start w:val="1"/>
      <w:numFmt w:val="bullet"/>
      <w:lvlText w:val="o"/>
      <w:lvlJc w:val="left"/>
      <w:pPr>
        <w:ind w:left="3600" w:hanging="360"/>
      </w:pPr>
      <w:rPr>
        <w:rFonts w:ascii="Courier New" w:hAnsi="Courier New" w:cs="Courier New" w:hint="default"/>
      </w:rPr>
    </w:lvl>
    <w:lvl w:ilvl="5" w:tplc="351CC866" w:tentative="1">
      <w:start w:val="1"/>
      <w:numFmt w:val="bullet"/>
      <w:lvlText w:val=""/>
      <w:lvlJc w:val="left"/>
      <w:pPr>
        <w:ind w:left="4320" w:hanging="360"/>
      </w:pPr>
      <w:rPr>
        <w:rFonts w:ascii="Wingdings" w:hAnsi="Wingdings" w:hint="default"/>
      </w:rPr>
    </w:lvl>
    <w:lvl w:ilvl="6" w:tplc="8A00B03C" w:tentative="1">
      <w:start w:val="1"/>
      <w:numFmt w:val="bullet"/>
      <w:lvlText w:val=""/>
      <w:lvlJc w:val="left"/>
      <w:pPr>
        <w:ind w:left="5040" w:hanging="360"/>
      </w:pPr>
      <w:rPr>
        <w:rFonts w:ascii="Symbol" w:hAnsi="Symbol" w:hint="default"/>
      </w:rPr>
    </w:lvl>
    <w:lvl w:ilvl="7" w:tplc="9DAE8F4E" w:tentative="1">
      <w:start w:val="1"/>
      <w:numFmt w:val="bullet"/>
      <w:lvlText w:val="o"/>
      <w:lvlJc w:val="left"/>
      <w:pPr>
        <w:ind w:left="5760" w:hanging="360"/>
      </w:pPr>
      <w:rPr>
        <w:rFonts w:ascii="Courier New" w:hAnsi="Courier New" w:cs="Courier New" w:hint="default"/>
      </w:rPr>
    </w:lvl>
    <w:lvl w:ilvl="8" w:tplc="46D01728"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7"/>
  </w:num>
  <w:num w:numId="4">
    <w:abstractNumId w:val="6"/>
  </w:num>
  <w:num w:numId="5">
    <w:abstractNumId w:val="2"/>
  </w:num>
  <w:num w:numId="6">
    <w:abstractNumId w:val="8"/>
  </w:num>
  <w:num w:numId="7">
    <w:abstractNumId w:val="9"/>
  </w:num>
  <w:num w:numId="8">
    <w:abstractNumId w:val="0"/>
  </w:num>
  <w:num w:numId="9">
    <w:abstractNumId w:val="3"/>
  </w:num>
  <w:num w:numId="10">
    <w:abstractNumId w:val="11"/>
  </w:num>
  <w:num w:numId="11">
    <w:abstractNumId w:val="12"/>
  </w:num>
  <w:num w:numId="12">
    <w:abstractNumId w:val="10"/>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8CA"/>
    <w:rsid w:val="00004866"/>
    <w:rsid w:val="00005139"/>
    <w:rsid w:val="00015326"/>
    <w:rsid w:val="000206A4"/>
    <w:rsid w:val="00040D3A"/>
    <w:rsid w:val="000437A8"/>
    <w:rsid w:val="0005193C"/>
    <w:rsid w:val="000551E3"/>
    <w:rsid w:val="0007367F"/>
    <w:rsid w:val="000769DF"/>
    <w:rsid w:val="00092F64"/>
    <w:rsid w:val="000B1AB0"/>
    <w:rsid w:val="000B4AF6"/>
    <w:rsid w:val="000B6CBE"/>
    <w:rsid w:val="000C0686"/>
    <w:rsid w:val="000C42A0"/>
    <w:rsid w:val="000C6521"/>
    <w:rsid w:val="000C6980"/>
    <w:rsid w:val="000F51F6"/>
    <w:rsid w:val="000F7F21"/>
    <w:rsid w:val="00102100"/>
    <w:rsid w:val="001074E6"/>
    <w:rsid w:val="00115AE9"/>
    <w:rsid w:val="0012099D"/>
    <w:rsid w:val="00121967"/>
    <w:rsid w:val="001223A8"/>
    <w:rsid w:val="001247A9"/>
    <w:rsid w:val="00124A96"/>
    <w:rsid w:val="00127690"/>
    <w:rsid w:val="00130FB0"/>
    <w:rsid w:val="001372E0"/>
    <w:rsid w:val="00142579"/>
    <w:rsid w:val="001457DF"/>
    <w:rsid w:val="00152351"/>
    <w:rsid w:val="00155B0E"/>
    <w:rsid w:val="00156B82"/>
    <w:rsid w:val="00163260"/>
    <w:rsid w:val="001634FB"/>
    <w:rsid w:val="0017709F"/>
    <w:rsid w:val="00177EC8"/>
    <w:rsid w:val="00181EEE"/>
    <w:rsid w:val="00183FD6"/>
    <w:rsid w:val="0019068D"/>
    <w:rsid w:val="00190BD2"/>
    <w:rsid w:val="001A1C22"/>
    <w:rsid w:val="001A65D9"/>
    <w:rsid w:val="001B4C0D"/>
    <w:rsid w:val="001B51B8"/>
    <w:rsid w:val="001B7CE5"/>
    <w:rsid w:val="001C62DD"/>
    <w:rsid w:val="001D54B7"/>
    <w:rsid w:val="001E3D1A"/>
    <w:rsid w:val="001E7A01"/>
    <w:rsid w:val="001F0A23"/>
    <w:rsid w:val="001F5960"/>
    <w:rsid w:val="001F5C92"/>
    <w:rsid w:val="00206B53"/>
    <w:rsid w:val="00207E3E"/>
    <w:rsid w:val="00223680"/>
    <w:rsid w:val="00227803"/>
    <w:rsid w:val="00227F1F"/>
    <w:rsid w:val="00231590"/>
    <w:rsid w:val="002319CF"/>
    <w:rsid w:val="00232F15"/>
    <w:rsid w:val="00232F5B"/>
    <w:rsid w:val="00233086"/>
    <w:rsid w:val="00234DCC"/>
    <w:rsid w:val="0023700A"/>
    <w:rsid w:val="00241B46"/>
    <w:rsid w:val="0024249E"/>
    <w:rsid w:val="00250E73"/>
    <w:rsid w:val="00251808"/>
    <w:rsid w:val="00252698"/>
    <w:rsid w:val="0025782A"/>
    <w:rsid w:val="00267718"/>
    <w:rsid w:val="00275907"/>
    <w:rsid w:val="00276312"/>
    <w:rsid w:val="002764E2"/>
    <w:rsid w:val="00284553"/>
    <w:rsid w:val="002874D8"/>
    <w:rsid w:val="002A0CCA"/>
    <w:rsid w:val="002A7C4E"/>
    <w:rsid w:val="002B1B84"/>
    <w:rsid w:val="002B298B"/>
    <w:rsid w:val="002B57E9"/>
    <w:rsid w:val="002B7820"/>
    <w:rsid w:val="002C0720"/>
    <w:rsid w:val="002D5CD2"/>
    <w:rsid w:val="002E524A"/>
    <w:rsid w:val="002F5118"/>
    <w:rsid w:val="002F689D"/>
    <w:rsid w:val="003041FD"/>
    <w:rsid w:val="00304287"/>
    <w:rsid w:val="003057BB"/>
    <w:rsid w:val="00323B2F"/>
    <w:rsid w:val="00324C63"/>
    <w:rsid w:val="00325000"/>
    <w:rsid w:val="003277FA"/>
    <w:rsid w:val="00331129"/>
    <w:rsid w:val="0033769A"/>
    <w:rsid w:val="00345EF4"/>
    <w:rsid w:val="00346432"/>
    <w:rsid w:val="003466C9"/>
    <w:rsid w:val="00350547"/>
    <w:rsid w:val="00353A5E"/>
    <w:rsid w:val="003622FD"/>
    <w:rsid w:val="0036640D"/>
    <w:rsid w:val="00377A0B"/>
    <w:rsid w:val="00381E7A"/>
    <w:rsid w:val="00382EE0"/>
    <w:rsid w:val="003852AE"/>
    <w:rsid w:val="00390508"/>
    <w:rsid w:val="00391D24"/>
    <w:rsid w:val="00396CC0"/>
    <w:rsid w:val="00397E21"/>
    <w:rsid w:val="003A1E3F"/>
    <w:rsid w:val="003A2751"/>
    <w:rsid w:val="003A2C4D"/>
    <w:rsid w:val="003B1400"/>
    <w:rsid w:val="003B2C2D"/>
    <w:rsid w:val="003B62A7"/>
    <w:rsid w:val="003C28C5"/>
    <w:rsid w:val="003C2CBB"/>
    <w:rsid w:val="003C4BAE"/>
    <w:rsid w:val="003D0129"/>
    <w:rsid w:val="003D0ED4"/>
    <w:rsid w:val="003D1F32"/>
    <w:rsid w:val="003D5CCB"/>
    <w:rsid w:val="003D65A3"/>
    <w:rsid w:val="003D6A50"/>
    <w:rsid w:val="003E1C97"/>
    <w:rsid w:val="003E1DB4"/>
    <w:rsid w:val="003E3CB6"/>
    <w:rsid w:val="003F034D"/>
    <w:rsid w:val="003F1988"/>
    <w:rsid w:val="003F34FB"/>
    <w:rsid w:val="003F3A9F"/>
    <w:rsid w:val="003F4A44"/>
    <w:rsid w:val="003F6AEC"/>
    <w:rsid w:val="00402347"/>
    <w:rsid w:val="00411753"/>
    <w:rsid w:val="00411FC8"/>
    <w:rsid w:val="00412A07"/>
    <w:rsid w:val="00412B4B"/>
    <w:rsid w:val="00432CC3"/>
    <w:rsid w:val="004353E3"/>
    <w:rsid w:val="00437BCD"/>
    <w:rsid w:val="00440D97"/>
    <w:rsid w:val="00446769"/>
    <w:rsid w:val="00446A36"/>
    <w:rsid w:val="00450D4D"/>
    <w:rsid w:val="00451EBA"/>
    <w:rsid w:val="00453BB9"/>
    <w:rsid w:val="004543C7"/>
    <w:rsid w:val="004637F6"/>
    <w:rsid w:val="00467839"/>
    <w:rsid w:val="0047334B"/>
    <w:rsid w:val="00477EA0"/>
    <w:rsid w:val="004974A1"/>
    <w:rsid w:val="004979EE"/>
    <w:rsid w:val="004B2A8D"/>
    <w:rsid w:val="004B4CF2"/>
    <w:rsid w:val="004B714D"/>
    <w:rsid w:val="004C68E1"/>
    <w:rsid w:val="004C6F04"/>
    <w:rsid w:val="004D0D35"/>
    <w:rsid w:val="004D57C6"/>
    <w:rsid w:val="004E09C5"/>
    <w:rsid w:val="004F039A"/>
    <w:rsid w:val="004F5FC2"/>
    <w:rsid w:val="004F7738"/>
    <w:rsid w:val="005111C6"/>
    <w:rsid w:val="00520712"/>
    <w:rsid w:val="0052182D"/>
    <w:rsid w:val="00522929"/>
    <w:rsid w:val="0052525C"/>
    <w:rsid w:val="00530569"/>
    <w:rsid w:val="00531E64"/>
    <w:rsid w:val="00534396"/>
    <w:rsid w:val="005409BA"/>
    <w:rsid w:val="00541FD9"/>
    <w:rsid w:val="00542B56"/>
    <w:rsid w:val="0054456A"/>
    <w:rsid w:val="00544E0A"/>
    <w:rsid w:val="005501A4"/>
    <w:rsid w:val="005508D3"/>
    <w:rsid w:val="005515EA"/>
    <w:rsid w:val="00552965"/>
    <w:rsid w:val="00557630"/>
    <w:rsid w:val="00564582"/>
    <w:rsid w:val="005646C0"/>
    <w:rsid w:val="00565256"/>
    <w:rsid w:val="005726AF"/>
    <w:rsid w:val="005744E2"/>
    <w:rsid w:val="00574DB1"/>
    <w:rsid w:val="005774E5"/>
    <w:rsid w:val="00580712"/>
    <w:rsid w:val="00582483"/>
    <w:rsid w:val="005846B2"/>
    <w:rsid w:val="00587F76"/>
    <w:rsid w:val="00590DC2"/>
    <w:rsid w:val="00590EB9"/>
    <w:rsid w:val="00593B39"/>
    <w:rsid w:val="0059708A"/>
    <w:rsid w:val="005A39FC"/>
    <w:rsid w:val="005A504C"/>
    <w:rsid w:val="005B295C"/>
    <w:rsid w:val="005B4726"/>
    <w:rsid w:val="005B4AC5"/>
    <w:rsid w:val="005B4C90"/>
    <w:rsid w:val="005B5778"/>
    <w:rsid w:val="005D25F7"/>
    <w:rsid w:val="005D5214"/>
    <w:rsid w:val="005D5BEA"/>
    <w:rsid w:val="005E3320"/>
    <w:rsid w:val="005E4372"/>
    <w:rsid w:val="005E7B8D"/>
    <w:rsid w:val="005F1AC6"/>
    <w:rsid w:val="005F2DB1"/>
    <w:rsid w:val="00600715"/>
    <w:rsid w:val="00601D85"/>
    <w:rsid w:val="006030E2"/>
    <w:rsid w:val="00603B9F"/>
    <w:rsid w:val="0060433E"/>
    <w:rsid w:val="00606260"/>
    <w:rsid w:val="00607DDF"/>
    <w:rsid w:val="006153DF"/>
    <w:rsid w:val="00617B56"/>
    <w:rsid w:val="00623371"/>
    <w:rsid w:val="00625363"/>
    <w:rsid w:val="00626F70"/>
    <w:rsid w:val="00627F8C"/>
    <w:rsid w:val="00637A2E"/>
    <w:rsid w:val="00640D5B"/>
    <w:rsid w:val="0064516C"/>
    <w:rsid w:val="00645F12"/>
    <w:rsid w:val="0064676A"/>
    <w:rsid w:val="006567EC"/>
    <w:rsid w:val="0065754F"/>
    <w:rsid w:val="00660AAB"/>
    <w:rsid w:val="0066104D"/>
    <w:rsid w:val="006613F6"/>
    <w:rsid w:val="00662FE9"/>
    <w:rsid w:val="006651F8"/>
    <w:rsid w:val="00667CCF"/>
    <w:rsid w:val="00671765"/>
    <w:rsid w:val="0067550B"/>
    <w:rsid w:val="00676449"/>
    <w:rsid w:val="0067663A"/>
    <w:rsid w:val="00677A7E"/>
    <w:rsid w:val="00681DE9"/>
    <w:rsid w:val="00683893"/>
    <w:rsid w:val="006862E3"/>
    <w:rsid w:val="006962F0"/>
    <w:rsid w:val="006A10DB"/>
    <w:rsid w:val="006B0826"/>
    <w:rsid w:val="006B1735"/>
    <w:rsid w:val="006B6B93"/>
    <w:rsid w:val="006B6FB5"/>
    <w:rsid w:val="006C0020"/>
    <w:rsid w:val="006C14E1"/>
    <w:rsid w:val="006C19C7"/>
    <w:rsid w:val="006D25B9"/>
    <w:rsid w:val="006D361B"/>
    <w:rsid w:val="006D5377"/>
    <w:rsid w:val="006E7AC2"/>
    <w:rsid w:val="006F19D0"/>
    <w:rsid w:val="007102EF"/>
    <w:rsid w:val="00711C89"/>
    <w:rsid w:val="00714E05"/>
    <w:rsid w:val="007205C5"/>
    <w:rsid w:val="00730295"/>
    <w:rsid w:val="00731872"/>
    <w:rsid w:val="00736F76"/>
    <w:rsid w:val="007403C3"/>
    <w:rsid w:val="00743969"/>
    <w:rsid w:val="007518B5"/>
    <w:rsid w:val="0075492C"/>
    <w:rsid w:val="00756170"/>
    <w:rsid w:val="00760695"/>
    <w:rsid w:val="00760799"/>
    <w:rsid w:val="007609A0"/>
    <w:rsid w:val="007647EC"/>
    <w:rsid w:val="00772E9C"/>
    <w:rsid w:val="00780018"/>
    <w:rsid w:val="00781C86"/>
    <w:rsid w:val="00783F0A"/>
    <w:rsid w:val="00796444"/>
    <w:rsid w:val="00796BC2"/>
    <w:rsid w:val="00797481"/>
    <w:rsid w:val="007A371B"/>
    <w:rsid w:val="007B3132"/>
    <w:rsid w:val="007B3A8A"/>
    <w:rsid w:val="007B57C0"/>
    <w:rsid w:val="007B66D7"/>
    <w:rsid w:val="007B70A4"/>
    <w:rsid w:val="007C3A5C"/>
    <w:rsid w:val="007C6C29"/>
    <w:rsid w:val="007D71BA"/>
    <w:rsid w:val="007D740E"/>
    <w:rsid w:val="007E163B"/>
    <w:rsid w:val="007E3862"/>
    <w:rsid w:val="007E6B7E"/>
    <w:rsid w:val="00802833"/>
    <w:rsid w:val="00811362"/>
    <w:rsid w:val="0081624B"/>
    <w:rsid w:val="00817020"/>
    <w:rsid w:val="00817366"/>
    <w:rsid w:val="008228A4"/>
    <w:rsid w:val="00835BDD"/>
    <w:rsid w:val="00841360"/>
    <w:rsid w:val="00843395"/>
    <w:rsid w:val="008459CC"/>
    <w:rsid w:val="0085000D"/>
    <w:rsid w:val="00852FAE"/>
    <w:rsid w:val="00854A4F"/>
    <w:rsid w:val="0085704F"/>
    <w:rsid w:val="00865959"/>
    <w:rsid w:val="008722AE"/>
    <w:rsid w:val="00885084"/>
    <w:rsid w:val="00890A69"/>
    <w:rsid w:val="00893AB7"/>
    <w:rsid w:val="008A01A0"/>
    <w:rsid w:val="008A1A57"/>
    <w:rsid w:val="008A280E"/>
    <w:rsid w:val="008A43A0"/>
    <w:rsid w:val="008A5A1E"/>
    <w:rsid w:val="008A5B67"/>
    <w:rsid w:val="008B10C0"/>
    <w:rsid w:val="008B430D"/>
    <w:rsid w:val="008C1C7B"/>
    <w:rsid w:val="008C474A"/>
    <w:rsid w:val="008C6508"/>
    <w:rsid w:val="008D384E"/>
    <w:rsid w:val="008D4459"/>
    <w:rsid w:val="008D6455"/>
    <w:rsid w:val="008E27A2"/>
    <w:rsid w:val="008F35BD"/>
    <w:rsid w:val="009026CA"/>
    <w:rsid w:val="009052F3"/>
    <w:rsid w:val="00907297"/>
    <w:rsid w:val="00911617"/>
    <w:rsid w:val="00911DA5"/>
    <w:rsid w:val="00917EEC"/>
    <w:rsid w:val="009216A4"/>
    <w:rsid w:val="009238CA"/>
    <w:rsid w:val="00924C90"/>
    <w:rsid w:val="00936C38"/>
    <w:rsid w:val="009401B3"/>
    <w:rsid w:val="00945404"/>
    <w:rsid w:val="00945F17"/>
    <w:rsid w:val="009473A6"/>
    <w:rsid w:val="00951BC6"/>
    <w:rsid w:val="00957F5D"/>
    <w:rsid w:val="00965CCB"/>
    <w:rsid w:val="009710A3"/>
    <w:rsid w:val="00980528"/>
    <w:rsid w:val="00984432"/>
    <w:rsid w:val="00987955"/>
    <w:rsid w:val="009A237F"/>
    <w:rsid w:val="009B22B9"/>
    <w:rsid w:val="009B26F5"/>
    <w:rsid w:val="009B5994"/>
    <w:rsid w:val="009B789B"/>
    <w:rsid w:val="009C0541"/>
    <w:rsid w:val="009D07AC"/>
    <w:rsid w:val="009D7A6A"/>
    <w:rsid w:val="009E7AD1"/>
    <w:rsid w:val="00A02D51"/>
    <w:rsid w:val="00A03A23"/>
    <w:rsid w:val="00A05772"/>
    <w:rsid w:val="00A15D18"/>
    <w:rsid w:val="00A161F8"/>
    <w:rsid w:val="00A17AD7"/>
    <w:rsid w:val="00A221D1"/>
    <w:rsid w:val="00A245DC"/>
    <w:rsid w:val="00A3006E"/>
    <w:rsid w:val="00A30EBD"/>
    <w:rsid w:val="00A37540"/>
    <w:rsid w:val="00A41C08"/>
    <w:rsid w:val="00A43755"/>
    <w:rsid w:val="00A45541"/>
    <w:rsid w:val="00A475B6"/>
    <w:rsid w:val="00A476AD"/>
    <w:rsid w:val="00A528EF"/>
    <w:rsid w:val="00A67BF1"/>
    <w:rsid w:val="00A67FE3"/>
    <w:rsid w:val="00A723FC"/>
    <w:rsid w:val="00A76A87"/>
    <w:rsid w:val="00A80F70"/>
    <w:rsid w:val="00A82601"/>
    <w:rsid w:val="00A84070"/>
    <w:rsid w:val="00A84FA8"/>
    <w:rsid w:val="00A92E42"/>
    <w:rsid w:val="00A94C87"/>
    <w:rsid w:val="00A94D76"/>
    <w:rsid w:val="00A95595"/>
    <w:rsid w:val="00A958D3"/>
    <w:rsid w:val="00A970B9"/>
    <w:rsid w:val="00AA1235"/>
    <w:rsid w:val="00AA4434"/>
    <w:rsid w:val="00AB79D0"/>
    <w:rsid w:val="00AC09DB"/>
    <w:rsid w:val="00AC3537"/>
    <w:rsid w:val="00AC3F85"/>
    <w:rsid w:val="00AD10D0"/>
    <w:rsid w:val="00AD259F"/>
    <w:rsid w:val="00AD3A6E"/>
    <w:rsid w:val="00AD4C43"/>
    <w:rsid w:val="00AE4D9C"/>
    <w:rsid w:val="00AE5800"/>
    <w:rsid w:val="00AE6C86"/>
    <w:rsid w:val="00AE73D7"/>
    <w:rsid w:val="00AF21C1"/>
    <w:rsid w:val="00AF5C1A"/>
    <w:rsid w:val="00AF62B2"/>
    <w:rsid w:val="00B0099A"/>
    <w:rsid w:val="00B05246"/>
    <w:rsid w:val="00B07631"/>
    <w:rsid w:val="00B10CF1"/>
    <w:rsid w:val="00B23C48"/>
    <w:rsid w:val="00B35A23"/>
    <w:rsid w:val="00B35E72"/>
    <w:rsid w:val="00B36A8A"/>
    <w:rsid w:val="00B43633"/>
    <w:rsid w:val="00B50266"/>
    <w:rsid w:val="00B65B61"/>
    <w:rsid w:val="00B70CFB"/>
    <w:rsid w:val="00B71FF2"/>
    <w:rsid w:val="00B73484"/>
    <w:rsid w:val="00B73C68"/>
    <w:rsid w:val="00B87B63"/>
    <w:rsid w:val="00BA26F6"/>
    <w:rsid w:val="00BB1EE3"/>
    <w:rsid w:val="00BB2C81"/>
    <w:rsid w:val="00BB6FB5"/>
    <w:rsid w:val="00BC093F"/>
    <w:rsid w:val="00BC3843"/>
    <w:rsid w:val="00BC42E4"/>
    <w:rsid w:val="00BD1332"/>
    <w:rsid w:val="00BD1E58"/>
    <w:rsid w:val="00BD4C80"/>
    <w:rsid w:val="00BE1E6F"/>
    <w:rsid w:val="00BF1509"/>
    <w:rsid w:val="00BF461C"/>
    <w:rsid w:val="00C005BB"/>
    <w:rsid w:val="00C04466"/>
    <w:rsid w:val="00C04F53"/>
    <w:rsid w:val="00C117B2"/>
    <w:rsid w:val="00C11F3B"/>
    <w:rsid w:val="00C14662"/>
    <w:rsid w:val="00C2076D"/>
    <w:rsid w:val="00C24A76"/>
    <w:rsid w:val="00C27801"/>
    <w:rsid w:val="00C27BD2"/>
    <w:rsid w:val="00C34E4E"/>
    <w:rsid w:val="00C36F68"/>
    <w:rsid w:val="00C41E2F"/>
    <w:rsid w:val="00C45D03"/>
    <w:rsid w:val="00C50867"/>
    <w:rsid w:val="00C60CA9"/>
    <w:rsid w:val="00C63BF1"/>
    <w:rsid w:val="00C65A4B"/>
    <w:rsid w:val="00C65DA9"/>
    <w:rsid w:val="00C71FA8"/>
    <w:rsid w:val="00C766EA"/>
    <w:rsid w:val="00C80474"/>
    <w:rsid w:val="00C80B8B"/>
    <w:rsid w:val="00C81337"/>
    <w:rsid w:val="00C81519"/>
    <w:rsid w:val="00C851DB"/>
    <w:rsid w:val="00C954E3"/>
    <w:rsid w:val="00CA3A15"/>
    <w:rsid w:val="00CB6424"/>
    <w:rsid w:val="00CB7741"/>
    <w:rsid w:val="00CC2EF2"/>
    <w:rsid w:val="00CC4416"/>
    <w:rsid w:val="00CC62DC"/>
    <w:rsid w:val="00CC6742"/>
    <w:rsid w:val="00CC6768"/>
    <w:rsid w:val="00CC710C"/>
    <w:rsid w:val="00CD2D78"/>
    <w:rsid w:val="00CE2CEC"/>
    <w:rsid w:val="00CE6F47"/>
    <w:rsid w:val="00D13140"/>
    <w:rsid w:val="00D1524A"/>
    <w:rsid w:val="00D22DD8"/>
    <w:rsid w:val="00D22F27"/>
    <w:rsid w:val="00D2714C"/>
    <w:rsid w:val="00D30E11"/>
    <w:rsid w:val="00D31517"/>
    <w:rsid w:val="00D32D7A"/>
    <w:rsid w:val="00D341CE"/>
    <w:rsid w:val="00D370DD"/>
    <w:rsid w:val="00D44DE3"/>
    <w:rsid w:val="00D506B8"/>
    <w:rsid w:val="00D50CF4"/>
    <w:rsid w:val="00D51060"/>
    <w:rsid w:val="00D534A1"/>
    <w:rsid w:val="00D53A71"/>
    <w:rsid w:val="00D54DDC"/>
    <w:rsid w:val="00D61826"/>
    <w:rsid w:val="00D61BAF"/>
    <w:rsid w:val="00D6775B"/>
    <w:rsid w:val="00D73F5F"/>
    <w:rsid w:val="00D8430D"/>
    <w:rsid w:val="00D85B6B"/>
    <w:rsid w:val="00D87670"/>
    <w:rsid w:val="00D90754"/>
    <w:rsid w:val="00D93AAC"/>
    <w:rsid w:val="00D968F7"/>
    <w:rsid w:val="00DA23DD"/>
    <w:rsid w:val="00DA4DC6"/>
    <w:rsid w:val="00DB3EE0"/>
    <w:rsid w:val="00DB6D71"/>
    <w:rsid w:val="00DC157C"/>
    <w:rsid w:val="00DC2B11"/>
    <w:rsid w:val="00DC4549"/>
    <w:rsid w:val="00DC4F10"/>
    <w:rsid w:val="00DC7DC3"/>
    <w:rsid w:val="00DC7DD0"/>
    <w:rsid w:val="00DD3567"/>
    <w:rsid w:val="00DD4782"/>
    <w:rsid w:val="00DD512D"/>
    <w:rsid w:val="00DD5E73"/>
    <w:rsid w:val="00DE178C"/>
    <w:rsid w:val="00DE228C"/>
    <w:rsid w:val="00DE3987"/>
    <w:rsid w:val="00DF65F4"/>
    <w:rsid w:val="00DF7E4F"/>
    <w:rsid w:val="00E10F60"/>
    <w:rsid w:val="00E10F86"/>
    <w:rsid w:val="00E148E6"/>
    <w:rsid w:val="00E17912"/>
    <w:rsid w:val="00E2088F"/>
    <w:rsid w:val="00E209B7"/>
    <w:rsid w:val="00E3129E"/>
    <w:rsid w:val="00E44114"/>
    <w:rsid w:val="00E45F8D"/>
    <w:rsid w:val="00E47CC3"/>
    <w:rsid w:val="00E51E14"/>
    <w:rsid w:val="00E532F0"/>
    <w:rsid w:val="00E60BC3"/>
    <w:rsid w:val="00E60DD7"/>
    <w:rsid w:val="00E64C6E"/>
    <w:rsid w:val="00E65F5A"/>
    <w:rsid w:val="00E66F7A"/>
    <w:rsid w:val="00E73319"/>
    <w:rsid w:val="00E75378"/>
    <w:rsid w:val="00E84F5F"/>
    <w:rsid w:val="00E8509E"/>
    <w:rsid w:val="00E911FF"/>
    <w:rsid w:val="00E95BC9"/>
    <w:rsid w:val="00E967D5"/>
    <w:rsid w:val="00E97563"/>
    <w:rsid w:val="00EA7CFC"/>
    <w:rsid w:val="00EC065B"/>
    <w:rsid w:val="00EC44B6"/>
    <w:rsid w:val="00ED54AD"/>
    <w:rsid w:val="00ED785D"/>
    <w:rsid w:val="00F04010"/>
    <w:rsid w:val="00F05006"/>
    <w:rsid w:val="00F05010"/>
    <w:rsid w:val="00F05F36"/>
    <w:rsid w:val="00F1373B"/>
    <w:rsid w:val="00F15E74"/>
    <w:rsid w:val="00F22C3D"/>
    <w:rsid w:val="00F23C3A"/>
    <w:rsid w:val="00F23CA2"/>
    <w:rsid w:val="00F302A3"/>
    <w:rsid w:val="00F34595"/>
    <w:rsid w:val="00F37D65"/>
    <w:rsid w:val="00F43A5D"/>
    <w:rsid w:val="00F62684"/>
    <w:rsid w:val="00F6335D"/>
    <w:rsid w:val="00F66351"/>
    <w:rsid w:val="00F66DDA"/>
    <w:rsid w:val="00F7014F"/>
    <w:rsid w:val="00F72071"/>
    <w:rsid w:val="00F72FB1"/>
    <w:rsid w:val="00F74683"/>
    <w:rsid w:val="00F857AE"/>
    <w:rsid w:val="00F87565"/>
    <w:rsid w:val="00F87FA6"/>
    <w:rsid w:val="00F96C26"/>
    <w:rsid w:val="00FA6FE4"/>
    <w:rsid w:val="00FB28E8"/>
    <w:rsid w:val="00FB2934"/>
    <w:rsid w:val="00FC0876"/>
    <w:rsid w:val="00FC4B2C"/>
    <w:rsid w:val="00FD04CE"/>
    <w:rsid w:val="00FD4671"/>
    <w:rsid w:val="00FE3BE5"/>
    <w:rsid w:val="00FF23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F239B"/>
  <w15:docId w15:val="{5D323A64-F8A9-46B4-85BC-33BD6B31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8CA"/>
    <w:pPr>
      <w:spacing w:after="0" w:line="240" w:lineRule="auto"/>
    </w:pPr>
    <w:rPr>
      <w:rFonts w:ascii="Arial" w:eastAsia="Times New Roman" w:hAnsi="Arial" w:cs="Times New Roman"/>
      <w:sz w:val="20"/>
      <w:szCs w:val="20"/>
      <w:lang w:bidi="he-IL"/>
    </w:rPr>
  </w:style>
  <w:style w:type="paragraph" w:styleId="Heading1">
    <w:name w:val="heading 1"/>
    <w:basedOn w:val="Normal"/>
    <w:next w:val="Normal"/>
    <w:link w:val="Heading1Char"/>
    <w:qFormat/>
    <w:rsid w:val="009238CA"/>
    <w:pPr>
      <w:keepNext/>
      <w:suppressAutoHyphens/>
      <w:spacing w:before="320"/>
      <w:outlineLvl w:val="0"/>
    </w:pPr>
    <w:rPr>
      <w:rFonts w:cs="Arial"/>
      <w:b/>
      <w:bCs/>
      <w:sz w:val="32"/>
      <w:szCs w:val="3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38CA"/>
    <w:rPr>
      <w:rFonts w:ascii="Arial" w:eastAsia="Times New Roman" w:hAnsi="Arial" w:cs="Arial"/>
      <w:b/>
      <w:bCs/>
      <w:sz w:val="32"/>
      <w:szCs w:val="32"/>
      <w:lang w:val="en-US"/>
    </w:rPr>
  </w:style>
  <w:style w:type="character" w:styleId="FootnoteReference">
    <w:name w:val="footnote reference"/>
    <w:aliases w:val="(NECG) Footnote Reference,(NECG) Footnote Reference1,(NECG) Footnote Reference2,o"/>
    <w:basedOn w:val="DefaultParagraphFont"/>
    <w:rsid w:val="009238CA"/>
    <w:rPr>
      <w:rFonts w:ascii="Arial" w:hAnsi="Arial"/>
      <w:vertAlign w:val="superscript"/>
    </w:rPr>
  </w:style>
  <w:style w:type="paragraph" w:styleId="FootnoteText">
    <w:name w:val="footnote text"/>
    <w:aliases w:val="ACMA Footnote Text,ABA Footnote Text,ALTS FOOTNOTE,(NECG) Footnote Text,Footnote text,AR Footnote Text,AR Footnote Text Char Char Char Char Char,Footnote Text Char1 Char Char,Footnote Text Char Char Char Char Char Char,footnote text"/>
    <w:basedOn w:val="Normal"/>
    <w:link w:val="FootnoteTextChar"/>
    <w:rsid w:val="009238CA"/>
    <w:pPr>
      <w:spacing w:line="240" w:lineRule="atLeast"/>
    </w:pPr>
    <w:rPr>
      <w:rFonts w:ascii="HelveticaNeueLT Std Lt" w:hAnsi="HelveticaNeueLT Std Lt"/>
      <w:sz w:val="16"/>
      <w:szCs w:val="16"/>
      <w:lang w:eastAsia="en-AU" w:bidi="ar-SA"/>
    </w:rPr>
  </w:style>
  <w:style w:type="character" w:customStyle="1" w:styleId="FootnoteTextChar">
    <w:name w:val="Footnote Text Char"/>
    <w:aliases w:val="ACMA Footnote Text Char,ABA Footnote Text Char,ALTS FOOTNOTE Char,(NECG) Footnote Text Char,Footnote text Char,AR Footnote Text Char,AR Footnote Text Char Char Char Char Char Char,Footnote Text Char1 Char Char Char,footnote text Char"/>
    <w:basedOn w:val="DefaultParagraphFont"/>
    <w:link w:val="FootnoteText"/>
    <w:rsid w:val="009238CA"/>
    <w:rPr>
      <w:rFonts w:ascii="HelveticaNeueLT Std Lt" w:eastAsia="Times New Roman" w:hAnsi="HelveticaNeueLT Std Lt" w:cs="Times New Roman"/>
      <w:sz w:val="16"/>
      <w:szCs w:val="16"/>
      <w:lang w:eastAsia="en-AU"/>
    </w:rPr>
  </w:style>
  <w:style w:type="paragraph" w:styleId="BalloonText">
    <w:name w:val="Balloon Text"/>
    <w:basedOn w:val="Normal"/>
    <w:link w:val="BalloonTextChar"/>
    <w:uiPriority w:val="99"/>
    <w:semiHidden/>
    <w:unhideWhenUsed/>
    <w:rsid w:val="00EA7CFC"/>
    <w:rPr>
      <w:rFonts w:ascii="Tahoma" w:hAnsi="Tahoma" w:cs="Tahoma"/>
      <w:sz w:val="16"/>
      <w:szCs w:val="16"/>
    </w:rPr>
  </w:style>
  <w:style w:type="character" w:customStyle="1" w:styleId="BalloonTextChar">
    <w:name w:val="Balloon Text Char"/>
    <w:basedOn w:val="DefaultParagraphFont"/>
    <w:link w:val="BalloonText"/>
    <w:uiPriority w:val="99"/>
    <w:semiHidden/>
    <w:rsid w:val="00EA7CFC"/>
    <w:rPr>
      <w:rFonts w:ascii="Tahoma" w:eastAsia="Times New Roman" w:hAnsi="Tahoma" w:cs="Tahoma"/>
      <w:sz w:val="16"/>
      <w:szCs w:val="16"/>
      <w:lang w:bidi="he-IL"/>
    </w:rPr>
  </w:style>
  <w:style w:type="character" w:styleId="Hyperlink">
    <w:name w:val="Hyperlink"/>
    <w:basedOn w:val="DefaultParagraphFont"/>
    <w:uiPriority w:val="99"/>
    <w:unhideWhenUsed/>
    <w:rsid w:val="0065754F"/>
    <w:rPr>
      <w:color w:val="0000FF" w:themeColor="hyperlink"/>
      <w:u w:val="single"/>
    </w:rPr>
  </w:style>
  <w:style w:type="character" w:styleId="CommentReference">
    <w:name w:val="annotation reference"/>
    <w:basedOn w:val="DefaultParagraphFont"/>
    <w:semiHidden/>
    <w:unhideWhenUsed/>
    <w:rsid w:val="0065754F"/>
    <w:rPr>
      <w:sz w:val="16"/>
      <w:szCs w:val="16"/>
    </w:rPr>
  </w:style>
  <w:style w:type="paragraph" w:styleId="CommentText">
    <w:name w:val="annotation text"/>
    <w:basedOn w:val="Normal"/>
    <w:link w:val="CommentTextChar"/>
    <w:semiHidden/>
    <w:unhideWhenUsed/>
    <w:rsid w:val="0065754F"/>
  </w:style>
  <w:style w:type="character" w:customStyle="1" w:styleId="CommentTextChar">
    <w:name w:val="Comment Text Char"/>
    <w:basedOn w:val="DefaultParagraphFont"/>
    <w:link w:val="CommentText"/>
    <w:uiPriority w:val="99"/>
    <w:semiHidden/>
    <w:rsid w:val="0065754F"/>
    <w:rPr>
      <w:rFonts w:ascii="Arial" w:eastAsia="Times New Roman" w:hAnsi="Arial" w:cs="Times New Roman"/>
      <w:sz w:val="20"/>
      <w:szCs w:val="20"/>
      <w:lang w:bidi="he-IL"/>
    </w:rPr>
  </w:style>
  <w:style w:type="paragraph" w:styleId="CommentSubject">
    <w:name w:val="annotation subject"/>
    <w:basedOn w:val="CommentText"/>
    <w:next w:val="CommentText"/>
    <w:link w:val="CommentSubjectChar"/>
    <w:uiPriority w:val="99"/>
    <w:semiHidden/>
    <w:unhideWhenUsed/>
    <w:rsid w:val="0065754F"/>
    <w:rPr>
      <w:b/>
      <w:bCs/>
    </w:rPr>
  </w:style>
  <w:style w:type="character" w:customStyle="1" w:styleId="CommentSubjectChar">
    <w:name w:val="Comment Subject Char"/>
    <w:basedOn w:val="CommentTextChar"/>
    <w:link w:val="CommentSubject"/>
    <w:uiPriority w:val="99"/>
    <w:semiHidden/>
    <w:rsid w:val="0065754F"/>
    <w:rPr>
      <w:rFonts w:ascii="Arial" w:eastAsia="Times New Roman" w:hAnsi="Arial" w:cs="Times New Roman"/>
      <w:b/>
      <w:bCs/>
      <w:sz w:val="20"/>
      <w:szCs w:val="20"/>
      <w:lang w:bidi="he-IL"/>
    </w:rPr>
  </w:style>
  <w:style w:type="paragraph" w:customStyle="1" w:styleId="Default">
    <w:name w:val="Default"/>
    <w:rsid w:val="006651F8"/>
    <w:pPr>
      <w:autoSpaceDE w:val="0"/>
      <w:autoSpaceDN w:val="0"/>
      <w:adjustRightInd w:val="0"/>
      <w:spacing w:after="0" w:line="240" w:lineRule="auto"/>
    </w:pPr>
    <w:rPr>
      <w:rFonts w:ascii="Arial" w:hAnsi="Arial" w:cs="Arial"/>
      <w:color w:val="000000"/>
      <w:sz w:val="24"/>
      <w:szCs w:val="24"/>
    </w:rPr>
  </w:style>
  <w:style w:type="paragraph" w:customStyle="1" w:styleId="definition">
    <w:name w:val="definition"/>
    <w:basedOn w:val="Normal"/>
    <w:rsid w:val="00F96C26"/>
    <w:pPr>
      <w:spacing w:before="80" w:line="260" w:lineRule="exact"/>
      <w:ind w:left="964"/>
      <w:jc w:val="both"/>
    </w:pPr>
    <w:rPr>
      <w:rFonts w:ascii="Times New Roman" w:hAnsi="Times New Roman"/>
      <w:sz w:val="24"/>
      <w:szCs w:val="24"/>
      <w:lang w:bidi="ar-SA"/>
    </w:rPr>
  </w:style>
  <w:style w:type="paragraph" w:customStyle="1" w:styleId="P1">
    <w:name w:val="P1"/>
    <w:aliases w:val="(a)"/>
    <w:basedOn w:val="Normal"/>
    <w:rsid w:val="00F96C26"/>
    <w:pPr>
      <w:tabs>
        <w:tab w:val="right" w:pos="1191"/>
      </w:tabs>
      <w:spacing w:before="60" w:line="260" w:lineRule="exact"/>
      <w:ind w:left="1418" w:hanging="1418"/>
      <w:jc w:val="both"/>
    </w:pPr>
    <w:rPr>
      <w:rFonts w:ascii="Times New Roman" w:hAnsi="Times New Roman"/>
      <w:sz w:val="24"/>
      <w:szCs w:val="24"/>
      <w:lang w:bidi="ar-SA"/>
    </w:rPr>
  </w:style>
  <w:style w:type="paragraph" w:styleId="ListParagraph">
    <w:name w:val="List Paragraph"/>
    <w:basedOn w:val="Normal"/>
    <w:uiPriority w:val="34"/>
    <w:qFormat/>
    <w:rsid w:val="00F96C26"/>
    <w:pPr>
      <w:ind w:left="720"/>
      <w:contextualSpacing/>
    </w:pPr>
  </w:style>
  <w:style w:type="paragraph" w:styleId="Header">
    <w:name w:val="header"/>
    <w:basedOn w:val="Normal"/>
    <w:link w:val="HeaderChar"/>
    <w:uiPriority w:val="99"/>
    <w:semiHidden/>
    <w:unhideWhenUsed/>
    <w:rsid w:val="005B4AC5"/>
    <w:pPr>
      <w:tabs>
        <w:tab w:val="center" w:pos="4513"/>
        <w:tab w:val="right" w:pos="9026"/>
      </w:tabs>
    </w:pPr>
  </w:style>
  <w:style w:type="character" w:customStyle="1" w:styleId="HeaderChar">
    <w:name w:val="Header Char"/>
    <w:basedOn w:val="DefaultParagraphFont"/>
    <w:link w:val="Header"/>
    <w:uiPriority w:val="99"/>
    <w:semiHidden/>
    <w:rsid w:val="005B4AC5"/>
    <w:rPr>
      <w:rFonts w:ascii="Arial" w:eastAsia="Times New Roman" w:hAnsi="Arial" w:cs="Times New Roman"/>
      <w:sz w:val="20"/>
      <w:szCs w:val="20"/>
      <w:lang w:bidi="he-IL"/>
    </w:rPr>
  </w:style>
  <w:style w:type="paragraph" w:styleId="Footer">
    <w:name w:val="footer"/>
    <w:basedOn w:val="Normal"/>
    <w:link w:val="FooterChar"/>
    <w:uiPriority w:val="99"/>
    <w:unhideWhenUsed/>
    <w:rsid w:val="005B4AC5"/>
    <w:pPr>
      <w:tabs>
        <w:tab w:val="center" w:pos="4513"/>
        <w:tab w:val="right" w:pos="9026"/>
      </w:tabs>
    </w:pPr>
  </w:style>
  <w:style w:type="character" w:customStyle="1" w:styleId="FooterChar">
    <w:name w:val="Footer Char"/>
    <w:basedOn w:val="DefaultParagraphFont"/>
    <w:link w:val="Footer"/>
    <w:uiPriority w:val="99"/>
    <w:rsid w:val="005B4AC5"/>
    <w:rPr>
      <w:rFonts w:ascii="Arial" w:eastAsia="Times New Roman" w:hAnsi="Arial" w:cs="Times New Roman"/>
      <w:sz w:val="20"/>
      <w:szCs w:val="20"/>
      <w:lang w:bidi="he-IL"/>
    </w:rPr>
  </w:style>
  <w:style w:type="paragraph" w:customStyle="1" w:styleId="Normalspace">
    <w:name w:val="Normal + space"/>
    <w:basedOn w:val="Normal"/>
    <w:uiPriority w:val="99"/>
    <w:rsid w:val="00660AAB"/>
    <w:pPr>
      <w:autoSpaceDE w:val="0"/>
      <w:autoSpaceDN w:val="0"/>
      <w:spacing w:after="240"/>
      <w:ind w:right="288"/>
    </w:pPr>
    <w:rPr>
      <w:rFonts w:ascii="CG Times (W1)" w:eastAsiaTheme="minorEastAsia" w:hAnsi="CG Times (W1)" w:cs="CG Times (W1)"/>
      <w:sz w:val="24"/>
      <w:szCs w:val="24"/>
      <w:lang w:bidi="ar-SA"/>
    </w:rPr>
  </w:style>
  <w:style w:type="paragraph" w:styleId="Revision">
    <w:name w:val="Revision"/>
    <w:hidden/>
    <w:uiPriority w:val="99"/>
    <w:semiHidden/>
    <w:rsid w:val="00660AAB"/>
    <w:pPr>
      <w:spacing w:after="0" w:line="240" w:lineRule="auto"/>
    </w:pPr>
    <w:rPr>
      <w:rFonts w:ascii="Arial" w:eastAsia="Times New Roman" w:hAnsi="Arial" w:cs="Times New Roman"/>
      <w:sz w:val="20"/>
      <w:szCs w:val="20"/>
      <w:lang w:bidi="he-IL"/>
    </w:rPr>
  </w:style>
  <w:style w:type="paragraph" w:customStyle="1" w:styleId="ACMABulletLevel1">
    <w:name w:val="ACMA Bullet Level 1"/>
    <w:rsid w:val="00852FAE"/>
    <w:pPr>
      <w:numPr>
        <w:numId w:val="14"/>
      </w:numPr>
      <w:spacing w:after="120" w:line="240" w:lineRule="auto"/>
    </w:pPr>
    <w:rPr>
      <w:rFonts w:ascii="Times New Roman" w:eastAsia="Times New Roman" w:hAnsi="Times New Roman" w:cs="Times New Roman"/>
      <w:sz w:val="24"/>
      <w:szCs w:val="20"/>
    </w:rPr>
  </w:style>
  <w:style w:type="table" w:styleId="TableGrid">
    <w:name w:val="Table Grid"/>
    <w:basedOn w:val="TableNormal"/>
    <w:rsid w:val="00A528EF"/>
    <w:pPr>
      <w:spacing w:before="80" w:after="120" w:line="280" w:lineRule="atLeast"/>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25137">
      <w:bodyDiv w:val="1"/>
      <w:marLeft w:val="0"/>
      <w:marRight w:val="0"/>
      <w:marTop w:val="0"/>
      <w:marBottom w:val="0"/>
      <w:divBdr>
        <w:top w:val="none" w:sz="0" w:space="0" w:color="auto"/>
        <w:left w:val="none" w:sz="0" w:space="0" w:color="auto"/>
        <w:bottom w:val="none" w:sz="0" w:space="0" w:color="auto"/>
        <w:right w:val="none" w:sz="0" w:space="0" w:color="auto"/>
      </w:divBdr>
    </w:div>
    <w:div w:id="205262214">
      <w:bodyDiv w:val="1"/>
      <w:marLeft w:val="0"/>
      <w:marRight w:val="0"/>
      <w:marTop w:val="0"/>
      <w:marBottom w:val="0"/>
      <w:divBdr>
        <w:top w:val="none" w:sz="0" w:space="0" w:color="auto"/>
        <w:left w:val="none" w:sz="0" w:space="0" w:color="auto"/>
        <w:bottom w:val="none" w:sz="0" w:space="0" w:color="auto"/>
        <w:right w:val="none" w:sz="0" w:space="0" w:color="auto"/>
      </w:divBdr>
    </w:div>
    <w:div w:id="353843262">
      <w:bodyDiv w:val="1"/>
      <w:marLeft w:val="0"/>
      <w:marRight w:val="0"/>
      <w:marTop w:val="0"/>
      <w:marBottom w:val="0"/>
      <w:divBdr>
        <w:top w:val="none" w:sz="0" w:space="0" w:color="auto"/>
        <w:left w:val="none" w:sz="0" w:space="0" w:color="auto"/>
        <w:bottom w:val="none" w:sz="0" w:space="0" w:color="auto"/>
        <w:right w:val="none" w:sz="0" w:space="0" w:color="auto"/>
      </w:divBdr>
      <w:divsChild>
        <w:div w:id="873545606">
          <w:marLeft w:val="0"/>
          <w:marRight w:val="0"/>
          <w:marTop w:val="0"/>
          <w:marBottom w:val="0"/>
          <w:divBdr>
            <w:top w:val="none" w:sz="0" w:space="0" w:color="auto"/>
            <w:left w:val="none" w:sz="0" w:space="0" w:color="auto"/>
            <w:bottom w:val="none" w:sz="0" w:space="0" w:color="auto"/>
            <w:right w:val="none" w:sz="0" w:space="0" w:color="auto"/>
          </w:divBdr>
          <w:divsChild>
            <w:div w:id="1262296267">
              <w:marLeft w:val="0"/>
              <w:marRight w:val="0"/>
              <w:marTop w:val="0"/>
              <w:marBottom w:val="0"/>
              <w:divBdr>
                <w:top w:val="none" w:sz="0" w:space="0" w:color="auto"/>
                <w:left w:val="none" w:sz="0" w:space="0" w:color="auto"/>
                <w:bottom w:val="none" w:sz="0" w:space="0" w:color="auto"/>
                <w:right w:val="none" w:sz="0" w:space="0" w:color="auto"/>
              </w:divBdr>
              <w:divsChild>
                <w:div w:id="1296571102">
                  <w:marLeft w:val="0"/>
                  <w:marRight w:val="0"/>
                  <w:marTop w:val="0"/>
                  <w:marBottom w:val="0"/>
                  <w:divBdr>
                    <w:top w:val="none" w:sz="0" w:space="0" w:color="auto"/>
                    <w:left w:val="none" w:sz="0" w:space="0" w:color="auto"/>
                    <w:bottom w:val="none" w:sz="0" w:space="0" w:color="auto"/>
                    <w:right w:val="none" w:sz="0" w:space="0" w:color="auto"/>
                  </w:divBdr>
                  <w:divsChild>
                    <w:div w:id="2083870374">
                      <w:marLeft w:val="0"/>
                      <w:marRight w:val="0"/>
                      <w:marTop w:val="0"/>
                      <w:marBottom w:val="0"/>
                      <w:divBdr>
                        <w:top w:val="none" w:sz="0" w:space="0" w:color="auto"/>
                        <w:left w:val="none" w:sz="0" w:space="0" w:color="auto"/>
                        <w:bottom w:val="none" w:sz="0" w:space="0" w:color="auto"/>
                        <w:right w:val="none" w:sz="0" w:space="0" w:color="auto"/>
                      </w:divBdr>
                      <w:divsChild>
                        <w:div w:id="376662270">
                          <w:marLeft w:val="0"/>
                          <w:marRight w:val="0"/>
                          <w:marTop w:val="0"/>
                          <w:marBottom w:val="0"/>
                          <w:divBdr>
                            <w:top w:val="single" w:sz="6" w:space="0" w:color="828282"/>
                            <w:left w:val="single" w:sz="6" w:space="0" w:color="828282"/>
                            <w:bottom w:val="single" w:sz="6" w:space="0" w:color="828282"/>
                            <w:right w:val="single" w:sz="6" w:space="0" w:color="828282"/>
                          </w:divBdr>
                          <w:divsChild>
                            <w:div w:id="725492475">
                              <w:marLeft w:val="0"/>
                              <w:marRight w:val="0"/>
                              <w:marTop w:val="0"/>
                              <w:marBottom w:val="0"/>
                              <w:divBdr>
                                <w:top w:val="none" w:sz="0" w:space="0" w:color="auto"/>
                                <w:left w:val="none" w:sz="0" w:space="0" w:color="auto"/>
                                <w:bottom w:val="none" w:sz="0" w:space="0" w:color="auto"/>
                                <w:right w:val="none" w:sz="0" w:space="0" w:color="auto"/>
                              </w:divBdr>
                              <w:divsChild>
                                <w:div w:id="988633082">
                                  <w:marLeft w:val="0"/>
                                  <w:marRight w:val="0"/>
                                  <w:marTop w:val="0"/>
                                  <w:marBottom w:val="0"/>
                                  <w:divBdr>
                                    <w:top w:val="none" w:sz="0" w:space="0" w:color="auto"/>
                                    <w:left w:val="none" w:sz="0" w:space="0" w:color="auto"/>
                                    <w:bottom w:val="none" w:sz="0" w:space="0" w:color="auto"/>
                                    <w:right w:val="none" w:sz="0" w:space="0" w:color="auto"/>
                                  </w:divBdr>
                                  <w:divsChild>
                                    <w:div w:id="1583837273">
                                      <w:marLeft w:val="0"/>
                                      <w:marRight w:val="0"/>
                                      <w:marTop w:val="0"/>
                                      <w:marBottom w:val="0"/>
                                      <w:divBdr>
                                        <w:top w:val="none" w:sz="0" w:space="0" w:color="auto"/>
                                        <w:left w:val="none" w:sz="0" w:space="0" w:color="auto"/>
                                        <w:bottom w:val="none" w:sz="0" w:space="0" w:color="auto"/>
                                        <w:right w:val="none" w:sz="0" w:space="0" w:color="auto"/>
                                      </w:divBdr>
                                      <w:divsChild>
                                        <w:div w:id="1164055739">
                                          <w:marLeft w:val="0"/>
                                          <w:marRight w:val="0"/>
                                          <w:marTop w:val="0"/>
                                          <w:marBottom w:val="0"/>
                                          <w:divBdr>
                                            <w:top w:val="none" w:sz="0" w:space="0" w:color="auto"/>
                                            <w:left w:val="none" w:sz="0" w:space="0" w:color="auto"/>
                                            <w:bottom w:val="none" w:sz="0" w:space="0" w:color="auto"/>
                                            <w:right w:val="none" w:sz="0" w:space="0" w:color="auto"/>
                                          </w:divBdr>
                                          <w:divsChild>
                                            <w:div w:id="1179275668">
                                              <w:marLeft w:val="0"/>
                                              <w:marRight w:val="0"/>
                                              <w:marTop w:val="0"/>
                                              <w:marBottom w:val="0"/>
                                              <w:divBdr>
                                                <w:top w:val="none" w:sz="0" w:space="0" w:color="auto"/>
                                                <w:left w:val="none" w:sz="0" w:space="0" w:color="auto"/>
                                                <w:bottom w:val="none" w:sz="0" w:space="0" w:color="auto"/>
                                                <w:right w:val="none" w:sz="0" w:space="0" w:color="auto"/>
                                              </w:divBdr>
                                              <w:divsChild>
                                                <w:div w:id="3415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572120">
      <w:bodyDiv w:val="1"/>
      <w:marLeft w:val="0"/>
      <w:marRight w:val="0"/>
      <w:marTop w:val="0"/>
      <w:marBottom w:val="0"/>
      <w:divBdr>
        <w:top w:val="none" w:sz="0" w:space="0" w:color="auto"/>
        <w:left w:val="none" w:sz="0" w:space="0" w:color="auto"/>
        <w:bottom w:val="none" w:sz="0" w:space="0" w:color="auto"/>
        <w:right w:val="none" w:sz="0" w:space="0" w:color="auto"/>
      </w:divBdr>
    </w:div>
    <w:div w:id="114073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6F1EABB264184B8D1787B13307763A" ma:contentTypeVersion="3" ma:contentTypeDescription="Create a new document." ma:contentTypeScope="" ma:versionID="832d649fb40ccf5ed7f79c95df0a3743">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AM7W7QW6R7VW-163216048-1506</_dlc_DocId>
    <_dlc_DocIdUrl xmlns="d71819ef-55b9-420a-86a4-d36bc037540e">
      <Url>http://collaboration/organisation/cccd/CCB/MOD/_layouts/15/DocIdRedir.aspx?ID=AM7W7QW6R7VW-163216048-1506</Url>
      <Description>AM7W7QW6R7VW-163216048-1506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7BFBC-6815-48AA-A790-F328B518F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2540DF-8A58-40E7-8510-CE1689BD36A4}">
  <ds:schemaRefs>
    <ds:schemaRef ds:uri="http://schemas.microsoft.com/sharepoint/events"/>
  </ds:schemaRefs>
</ds:datastoreItem>
</file>

<file path=customXml/itemProps3.xml><?xml version="1.0" encoding="utf-8"?>
<ds:datastoreItem xmlns:ds="http://schemas.openxmlformats.org/officeDocument/2006/customXml" ds:itemID="{4CDE335B-7BF3-4C76-BBEF-DF826D4659AC}">
  <ds:schemaRefs>
    <ds:schemaRef ds:uri="http://schemas.microsoft.com/sharepoint/v3/contenttype/forms"/>
  </ds:schemaRefs>
</ds:datastoreItem>
</file>

<file path=customXml/itemProps4.xml><?xml version="1.0" encoding="utf-8"?>
<ds:datastoreItem xmlns:ds="http://schemas.openxmlformats.org/officeDocument/2006/customXml" ds:itemID="{A50C91FA-5386-43FF-B78A-484EA848544F}">
  <ds:schemaRefs>
    <ds:schemaRef ds:uri="http://purl.org/dc/dcmitype/"/>
    <ds:schemaRef ds:uri="d71819ef-55b9-420a-86a4-d36bc037540e"/>
    <ds:schemaRef ds:uri="http://schemas.microsoft.com/office/2006/documentManagement/types"/>
    <ds:schemaRef ds:uri="http://purl.org/dc/terms/"/>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E6870C4F-B7AC-40E3-9D3B-CBBA6BFF7BE1}">
  <ds:schemaRefs>
    <ds:schemaRef ds:uri="http://schemas.openxmlformats.org/officeDocument/2006/bibliography"/>
  </ds:schemaRefs>
</ds:datastoreItem>
</file>

<file path=customXml/itemProps6.xml><?xml version="1.0" encoding="utf-8"?>
<ds:datastoreItem xmlns:ds="http://schemas.openxmlformats.org/officeDocument/2006/customXml" ds:itemID="{ED53A05A-4D44-465A-B2C4-4717E5DDC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ahenson</dc:creator>
  <cp:keywords/>
  <dc:description/>
  <cp:lastModifiedBy>Helen Turnbull</cp:lastModifiedBy>
  <cp:revision>6</cp:revision>
  <cp:lastPrinted>2012-02-27T07:00:00Z</cp:lastPrinted>
  <dcterms:created xsi:type="dcterms:W3CDTF">2016-11-17T03:44:00Z</dcterms:created>
  <dcterms:modified xsi:type="dcterms:W3CDTF">2016-11-29T04:35:00Z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0x010100786F1EABB264184B8D1787B13307763A</vt:lpwstr>
  </property>
  <property fmtid="{D5CDD505-2E9C-101B-9397-08002B2CF9AE}" pid="4" name="_dlc_DocIdItemGuid">
    <vt:lpwstr>50fdb032-de03-465c-b125-5d59810f8caf</vt:lpwstr>
  </property>
</Properties>
</file>