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CE" w:rsidRPr="00526FB8" w:rsidRDefault="000134CE" w:rsidP="000134CE">
      <w:pPr>
        <w:jc w:val="center"/>
        <w:rPr>
          <w:rFonts w:cs="Arial"/>
          <w:b/>
          <w:sz w:val="24"/>
          <w:szCs w:val="24"/>
        </w:rPr>
      </w:pPr>
      <w:r w:rsidRPr="00526FB8">
        <w:rPr>
          <w:rFonts w:cs="Arial"/>
          <w:b/>
          <w:sz w:val="24"/>
          <w:szCs w:val="24"/>
        </w:rPr>
        <w:t>EXPLANATORY STATEMENT</w:t>
      </w:r>
    </w:p>
    <w:p w:rsidR="00D804BA" w:rsidRPr="00D804BA" w:rsidRDefault="00D804BA" w:rsidP="00D804BA">
      <w:pPr>
        <w:rPr>
          <w:rFonts w:cs="Arial"/>
          <w:b/>
          <w:sz w:val="24"/>
          <w:szCs w:val="24"/>
        </w:rPr>
      </w:pPr>
      <w:r w:rsidRPr="00D804BA">
        <w:rPr>
          <w:rFonts w:cs="Arial"/>
          <w:b/>
          <w:sz w:val="24"/>
          <w:szCs w:val="24"/>
        </w:rPr>
        <w:t>Social Security (Class of Visas – Qualifying Residence Exemption) Determination 2016</w:t>
      </w:r>
    </w:p>
    <w:p w:rsidR="000134CE" w:rsidRDefault="006A669C" w:rsidP="000134CE">
      <w:pPr>
        <w:rPr>
          <w:rFonts w:cs="Arial"/>
          <w:b/>
          <w:sz w:val="24"/>
          <w:szCs w:val="24"/>
        </w:rPr>
      </w:pPr>
      <w:r>
        <w:rPr>
          <w:rFonts w:cs="Arial"/>
          <w:b/>
          <w:sz w:val="24"/>
          <w:szCs w:val="24"/>
        </w:rPr>
        <w:t>Purpose</w:t>
      </w:r>
    </w:p>
    <w:p w:rsidR="006A669C" w:rsidRPr="006A669C" w:rsidRDefault="006A669C" w:rsidP="006A669C">
      <w:pPr>
        <w:rPr>
          <w:rFonts w:cs="Arial"/>
          <w:sz w:val="24"/>
          <w:szCs w:val="24"/>
        </w:rPr>
      </w:pPr>
      <w:r w:rsidRPr="006A669C">
        <w:rPr>
          <w:sz w:val="24"/>
          <w:szCs w:val="24"/>
        </w:rPr>
        <w:t xml:space="preserve">The purpose of this Determination is to determine classes of visas, such that a person who holds or was the former holder of a visa in a determined class has a qualifying residence exemption under subsection 7(6AA) of the </w:t>
      </w:r>
      <w:r w:rsidRPr="006A669C">
        <w:rPr>
          <w:i/>
          <w:iCs/>
          <w:sz w:val="24"/>
          <w:szCs w:val="24"/>
        </w:rPr>
        <w:t xml:space="preserve">Social Security Act 1991 </w:t>
      </w:r>
      <w:r w:rsidRPr="006A669C">
        <w:rPr>
          <w:sz w:val="24"/>
          <w:szCs w:val="24"/>
        </w:rPr>
        <w:t>(the Act) for a social security benefit (other than a special benefit), a pension P</w:t>
      </w:r>
      <w:r w:rsidR="000323B3">
        <w:rPr>
          <w:sz w:val="24"/>
          <w:szCs w:val="24"/>
        </w:rPr>
        <w:t xml:space="preserve">arenting </w:t>
      </w:r>
      <w:r w:rsidRPr="006A669C">
        <w:rPr>
          <w:sz w:val="24"/>
          <w:szCs w:val="24"/>
        </w:rPr>
        <w:t>P</w:t>
      </w:r>
      <w:r w:rsidR="000323B3">
        <w:rPr>
          <w:sz w:val="24"/>
          <w:szCs w:val="24"/>
        </w:rPr>
        <w:t>ayment</w:t>
      </w:r>
      <w:r w:rsidRPr="006A669C">
        <w:rPr>
          <w:sz w:val="24"/>
          <w:szCs w:val="24"/>
        </w:rPr>
        <w:t xml:space="preserve"> (single), care</w:t>
      </w:r>
      <w:r w:rsidR="007E65FC">
        <w:rPr>
          <w:sz w:val="24"/>
          <w:szCs w:val="24"/>
        </w:rPr>
        <w:t xml:space="preserve">r payment, a mobility allowance, a </w:t>
      </w:r>
      <w:r w:rsidRPr="006A669C">
        <w:rPr>
          <w:sz w:val="24"/>
          <w:szCs w:val="24"/>
        </w:rPr>
        <w:t>seniors health card</w:t>
      </w:r>
      <w:r w:rsidR="007E65FC">
        <w:rPr>
          <w:sz w:val="24"/>
          <w:szCs w:val="24"/>
        </w:rPr>
        <w:t xml:space="preserve"> or a health care card</w:t>
      </w:r>
      <w:r w:rsidRPr="006A669C">
        <w:rPr>
          <w:sz w:val="24"/>
          <w:szCs w:val="24"/>
        </w:rPr>
        <w:t>.</w:t>
      </w:r>
    </w:p>
    <w:p w:rsidR="006A669C" w:rsidRPr="006A669C" w:rsidRDefault="006A669C" w:rsidP="006A669C">
      <w:pPr>
        <w:rPr>
          <w:rFonts w:cs="Arial"/>
          <w:sz w:val="24"/>
          <w:szCs w:val="24"/>
        </w:rPr>
      </w:pPr>
      <w:r w:rsidRPr="006A669C">
        <w:rPr>
          <w:b/>
          <w:bCs/>
          <w:sz w:val="24"/>
          <w:szCs w:val="24"/>
        </w:rPr>
        <w:t>Background</w:t>
      </w:r>
    </w:p>
    <w:p w:rsidR="006A669C" w:rsidRPr="006A669C" w:rsidRDefault="006A669C" w:rsidP="006A669C">
      <w:pPr>
        <w:pStyle w:val="Default"/>
        <w:spacing w:line="276" w:lineRule="auto"/>
      </w:pPr>
      <w:r w:rsidRPr="006A669C">
        <w:t xml:space="preserve">In general, a person is subject to a newly arrived resident’s waiting period for a social security benefit (other than </w:t>
      </w:r>
      <w:r w:rsidR="00956744">
        <w:t xml:space="preserve">a </w:t>
      </w:r>
      <w:r w:rsidRPr="006A669C">
        <w:t>special benefit), a pension P</w:t>
      </w:r>
      <w:r w:rsidR="000323B3">
        <w:t xml:space="preserve">arenting </w:t>
      </w:r>
      <w:r w:rsidRPr="006A669C">
        <w:t>P</w:t>
      </w:r>
      <w:r w:rsidR="000323B3">
        <w:t>ayment</w:t>
      </w:r>
      <w:r w:rsidRPr="006A669C">
        <w:t xml:space="preserve"> (single), care</w:t>
      </w:r>
      <w:r w:rsidR="00956744">
        <w:t>r payme</w:t>
      </w:r>
      <w:bookmarkStart w:id="0" w:name="_GoBack"/>
      <w:bookmarkEnd w:id="0"/>
      <w:r w:rsidR="00956744">
        <w:t>nt, a mobility allowance,</w:t>
      </w:r>
      <w:r w:rsidRPr="006A669C">
        <w:t xml:space="preserve"> a seniors health card</w:t>
      </w:r>
      <w:r w:rsidR="00956744">
        <w:t xml:space="preserve"> or a health care card</w:t>
      </w:r>
      <w:r w:rsidRPr="006A669C">
        <w:t xml:space="preserve">. No such waiting period applies if a person has a qualifying residence exemption. </w:t>
      </w:r>
    </w:p>
    <w:p w:rsidR="006A669C" w:rsidRDefault="006A669C" w:rsidP="006A669C">
      <w:pPr>
        <w:spacing w:after="0"/>
        <w:rPr>
          <w:sz w:val="24"/>
          <w:szCs w:val="24"/>
        </w:rPr>
      </w:pPr>
    </w:p>
    <w:p w:rsidR="006A669C" w:rsidRDefault="006A669C" w:rsidP="006A669C">
      <w:pPr>
        <w:spacing w:after="0"/>
        <w:rPr>
          <w:sz w:val="24"/>
          <w:szCs w:val="24"/>
        </w:rPr>
      </w:pPr>
      <w:r w:rsidRPr="006A669C">
        <w:rPr>
          <w:sz w:val="24"/>
          <w:szCs w:val="24"/>
        </w:rPr>
        <w:t>Paragraph 7(6AA)(f) of the Act provides that a person has a qualifying residence exemption if the person holds, or was the former holder of, a visa that is in a class of visas determined, by legislative instrument, by the Minister for the purposes of that paragraph.</w:t>
      </w:r>
    </w:p>
    <w:p w:rsidR="006A669C" w:rsidRDefault="006A669C" w:rsidP="006A669C">
      <w:pPr>
        <w:spacing w:after="0"/>
        <w:rPr>
          <w:sz w:val="24"/>
          <w:szCs w:val="24"/>
        </w:rPr>
      </w:pPr>
    </w:p>
    <w:p w:rsidR="006F44E9" w:rsidRDefault="006A669C" w:rsidP="00C35F0E">
      <w:pPr>
        <w:pStyle w:val="Default"/>
        <w:spacing w:line="276" w:lineRule="auto"/>
      </w:pPr>
      <w:r>
        <w:t xml:space="preserve">The </w:t>
      </w:r>
      <w:r>
        <w:rPr>
          <w:i/>
        </w:rPr>
        <w:t xml:space="preserve">Social Security (Class of Visas – Qualifying Residence Exemption) Determination 2015 </w:t>
      </w:r>
      <w:r>
        <w:t>(2015 Determination) currently determines visas for the purposes of paragraph 7(6AA</w:t>
      </w:r>
      <w:proofErr w:type="gramStart"/>
      <w:r>
        <w:t>)(</w:t>
      </w:r>
      <w:proofErr w:type="gramEnd"/>
      <w:r>
        <w:t>f) of the Act.</w:t>
      </w:r>
      <w:r w:rsidR="00C35F0E">
        <w:t xml:space="preserve"> This Determination revokes and replaces the 2015 Determination to retain the Subclass 852 (Referred Stay (Permanent)) visa and remove visa classes</w:t>
      </w:r>
      <w:r w:rsidR="00956744">
        <w:t xml:space="preserve"> that are no longer eligible for exemption under the </w:t>
      </w:r>
      <w:r w:rsidR="00956744">
        <w:rPr>
          <w:i/>
        </w:rPr>
        <w:t>Social Security Legislation Amendment (Newly Arrived Resident’s Waiting Peri</w:t>
      </w:r>
      <w:r w:rsidR="006F44E9">
        <w:rPr>
          <w:i/>
        </w:rPr>
        <w:t>ods and Other Measures) Act 1997</w:t>
      </w:r>
      <w:r w:rsidR="006F44E9">
        <w:t>. The exemption for family members of Australian citizens and permanent residents no longer applies.</w:t>
      </w:r>
    </w:p>
    <w:p w:rsidR="006F44E9" w:rsidRDefault="006F44E9" w:rsidP="00C35F0E">
      <w:pPr>
        <w:pStyle w:val="Default"/>
        <w:spacing w:line="276" w:lineRule="auto"/>
      </w:pPr>
    </w:p>
    <w:p w:rsidR="006A669C" w:rsidRDefault="00C35F0E" w:rsidP="00C35F0E">
      <w:pPr>
        <w:pStyle w:val="Default"/>
        <w:spacing w:line="276" w:lineRule="auto"/>
      </w:pPr>
      <w:r w:rsidRPr="00C35F0E">
        <w:t>A Subclass 852 (Referred Stay (Permanent)) visa may be granted to a person who made a contribution to, and cooperated closely with, an investigation or prosecution of a person who was alleged to have engaged in human trafficking, slavery or slavery-like practices, and would be in danger if he or she returned to his or her home country.</w:t>
      </w:r>
    </w:p>
    <w:p w:rsidR="008924F6" w:rsidRDefault="008924F6" w:rsidP="008924F6">
      <w:pPr>
        <w:pStyle w:val="Default"/>
        <w:spacing w:line="276" w:lineRule="auto"/>
        <w:rPr>
          <w:color w:val="auto"/>
        </w:rPr>
      </w:pPr>
      <w:r>
        <w:rPr>
          <w:color w:val="auto"/>
        </w:rPr>
        <w:lastRenderedPageBreak/>
        <w:t>Access to Special Benefit will still be available for a newly arrived permanent resident who has suffered a substantial change in their circumstances, beyond their control, and are in financial hardship, after arrival. There remains no waiting period for family assistance payments for families with children, such as Family Tax Benefit.</w:t>
      </w:r>
    </w:p>
    <w:p w:rsidR="00C35F0E" w:rsidRPr="00C35F0E" w:rsidRDefault="00C35F0E" w:rsidP="00C35F0E">
      <w:pPr>
        <w:pStyle w:val="Default"/>
      </w:pPr>
    </w:p>
    <w:p w:rsidR="000134CE" w:rsidRDefault="000134CE" w:rsidP="000134CE">
      <w:pPr>
        <w:rPr>
          <w:rStyle w:val="BookTitle"/>
          <w:rFonts w:cs="Arial"/>
          <w:i w:val="0"/>
          <w:iCs w:val="0"/>
          <w:smallCaps w:val="0"/>
          <w:spacing w:val="0"/>
          <w:sz w:val="24"/>
          <w:szCs w:val="24"/>
        </w:rPr>
      </w:pPr>
      <w:r>
        <w:rPr>
          <w:rStyle w:val="BookTitle"/>
          <w:rFonts w:cs="Arial"/>
          <w:b/>
          <w:i w:val="0"/>
          <w:iCs w:val="0"/>
          <w:smallCaps w:val="0"/>
          <w:spacing w:val="0"/>
          <w:sz w:val="24"/>
          <w:szCs w:val="24"/>
        </w:rPr>
        <w:t xml:space="preserve">Section 1 </w:t>
      </w:r>
      <w:r>
        <w:rPr>
          <w:rStyle w:val="BookTitle"/>
          <w:rFonts w:cs="Arial"/>
          <w:i w:val="0"/>
          <w:iCs w:val="0"/>
          <w:smallCaps w:val="0"/>
          <w:spacing w:val="0"/>
          <w:sz w:val="24"/>
          <w:szCs w:val="24"/>
        </w:rPr>
        <w:t>of the Determination states the name of the Determination.</w:t>
      </w:r>
    </w:p>
    <w:p w:rsidR="000134CE" w:rsidRDefault="000134CE" w:rsidP="000134CE">
      <w:pPr>
        <w:rPr>
          <w:rStyle w:val="BookTitle"/>
          <w:rFonts w:cs="Arial"/>
          <w:i w:val="0"/>
          <w:iCs w:val="0"/>
          <w:smallCaps w:val="0"/>
          <w:spacing w:val="0"/>
          <w:sz w:val="24"/>
          <w:szCs w:val="24"/>
        </w:rPr>
      </w:pPr>
      <w:r>
        <w:rPr>
          <w:rStyle w:val="BookTitle"/>
          <w:rFonts w:cs="Arial"/>
          <w:b/>
          <w:i w:val="0"/>
          <w:iCs w:val="0"/>
          <w:smallCaps w:val="0"/>
          <w:spacing w:val="0"/>
          <w:sz w:val="24"/>
          <w:szCs w:val="24"/>
        </w:rPr>
        <w:t xml:space="preserve">Section 2 </w:t>
      </w:r>
      <w:r>
        <w:rPr>
          <w:rStyle w:val="BookTitle"/>
          <w:rFonts w:cs="Arial"/>
          <w:i w:val="0"/>
          <w:iCs w:val="0"/>
          <w:smallCaps w:val="0"/>
          <w:spacing w:val="0"/>
          <w:sz w:val="24"/>
          <w:szCs w:val="24"/>
        </w:rPr>
        <w:t xml:space="preserve">provides that the Determination commences </w:t>
      </w:r>
      <w:r w:rsidR="006A669C">
        <w:rPr>
          <w:rStyle w:val="BookTitle"/>
          <w:rFonts w:cs="Arial"/>
          <w:i w:val="0"/>
          <w:iCs w:val="0"/>
          <w:smallCaps w:val="0"/>
          <w:spacing w:val="0"/>
          <w:sz w:val="24"/>
          <w:szCs w:val="24"/>
        </w:rPr>
        <w:t>on 1 January 2017.</w:t>
      </w:r>
    </w:p>
    <w:p w:rsidR="006A669C" w:rsidRPr="006A669C" w:rsidRDefault="000134CE" w:rsidP="000134CE">
      <w:pPr>
        <w:rPr>
          <w:rStyle w:val="BookTitle"/>
          <w:rFonts w:cs="Arial"/>
          <w:i w:val="0"/>
          <w:iCs w:val="0"/>
          <w:smallCaps w:val="0"/>
          <w:spacing w:val="0"/>
          <w:sz w:val="24"/>
          <w:szCs w:val="24"/>
        </w:rPr>
      </w:pPr>
      <w:r>
        <w:rPr>
          <w:rStyle w:val="BookTitle"/>
          <w:rFonts w:cs="Arial"/>
          <w:b/>
          <w:i w:val="0"/>
          <w:iCs w:val="0"/>
          <w:smallCaps w:val="0"/>
          <w:spacing w:val="0"/>
          <w:sz w:val="24"/>
          <w:szCs w:val="24"/>
        </w:rPr>
        <w:t>Section 3</w:t>
      </w:r>
      <w:r w:rsidR="006A669C">
        <w:rPr>
          <w:rStyle w:val="BookTitle"/>
          <w:rFonts w:cs="Arial"/>
          <w:b/>
          <w:i w:val="0"/>
          <w:iCs w:val="0"/>
          <w:smallCaps w:val="0"/>
          <w:spacing w:val="0"/>
          <w:sz w:val="24"/>
          <w:szCs w:val="24"/>
        </w:rPr>
        <w:t xml:space="preserve"> </w:t>
      </w:r>
      <w:r w:rsidR="006A669C">
        <w:rPr>
          <w:rStyle w:val="BookTitle"/>
          <w:rFonts w:cs="Arial"/>
          <w:i w:val="0"/>
          <w:iCs w:val="0"/>
          <w:smallCaps w:val="0"/>
          <w:spacing w:val="0"/>
          <w:sz w:val="24"/>
          <w:szCs w:val="24"/>
        </w:rPr>
        <w:t>revokes the 2015 Determination</w:t>
      </w:r>
      <w:r w:rsidR="00556306">
        <w:rPr>
          <w:rStyle w:val="BookTitle"/>
          <w:rFonts w:cs="Arial"/>
          <w:i w:val="0"/>
          <w:iCs w:val="0"/>
          <w:smallCaps w:val="0"/>
          <w:spacing w:val="0"/>
          <w:sz w:val="24"/>
          <w:szCs w:val="24"/>
        </w:rPr>
        <w:t>.</w:t>
      </w:r>
    </w:p>
    <w:p w:rsidR="000134CE" w:rsidRPr="002F76AF" w:rsidRDefault="006A669C" w:rsidP="000134CE">
      <w:pPr>
        <w:rPr>
          <w:rStyle w:val="BookTitle"/>
          <w:rFonts w:cs="Arial"/>
          <w:i w:val="0"/>
          <w:iCs w:val="0"/>
          <w:smallCaps w:val="0"/>
          <w:spacing w:val="0"/>
          <w:sz w:val="24"/>
          <w:szCs w:val="24"/>
        </w:rPr>
      </w:pPr>
      <w:r>
        <w:rPr>
          <w:rStyle w:val="BookTitle"/>
          <w:rFonts w:cs="Arial"/>
          <w:b/>
          <w:i w:val="0"/>
          <w:iCs w:val="0"/>
          <w:smallCaps w:val="0"/>
          <w:spacing w:val="0"/>
          <w:sz w:val="24"/>
          <w:szCs w:val="24"/>
        </w:rPr>
        <w:t xml:space="preserve">Section 4 </w:t>
      </w:r>
      <w:r w:rsidR="000134CE">
        <w:rPr>
          <w:rStyle w:val="BookTitle"/>
          <w:rFonts w:cs="Arial"/>
          <w:i w:val="0"/>
          <w:iCs w:val="0"/>
          <w:smallCaps w:val="0"/>
          <w:spacing w:val="0"/>
          <w:sz w:val="24"/>
          <w:szCs w:val="24"/>
        </w:rPr>
        <w:t xml:space="preserve">provides that the authority for making this Determination is paragraph </w:t>
      </w:r>
      <w:r>
        <w:rPr>
          <w:rStyle w:val="BookTitle"/>
          <w:rFonts w:cs="Arial"/>
          <w:i w:val="0"/>
          <w:iCs w:val="0"/>
          <w:smallCaps w:val="0"/>
          <w:spacing w:val="0"/>
          <w:sz w:val="24"/>
          <w:szCs w:val="24"/>
        </w:rPr>
        <w:t>7(6AA</w:t>
      </w:r>
      <w:proofErr w:type="gramStart"/>
      <w:r>
        <w:rPr>
          <w:rStyle w:val="BookTitle"/>
          <w:rFonts w:cs="Arial"/>
          <w:i w:val="0"/>
          <w:iCs w:val="0"/>
          <w:smallCaps w:val="0"/>
          <w:spacing w:val="0"/>
          <w:sz w:val="24"/>
          <w:szCs w:val="24"/>
        </w:rPr>
        <w:t>)(</w:t>
      </w:r>
      <w:proofErr w:type="gramEnd"/>
      <w:r>
        <w:rPr>
          <w:rStyle w:val="BookTitle"/>
          <w:rFonts w:cs="Arial"/>
          <w:i w:val="0"/>
          <w:iCs w:val="0"/>
          <w:smallCaps w:val="0"/>
          <w:spacing w:val="0"/>
          <w:sz w:val="24"/>
          <w:szCs w:val="24"/>
        </w:rPr>
        <w:t>f)</w:t>
      </w:r>
      <w:r w:rsidR="000134CE">
        <w:rPr>
          <w:rStyle w:val="BookTitle"/>
          <w:rFonts w:cs="Arial"/>
          <w:i w:val="0"/>
          <w:iCs w:val="0"/>
          <w:smallCaps w:val="0"/>
          <w:spacing w:val="0"/>
          <w:sz w:val="24"/>
          <w:szCs w:val="24"/>
        </w:rPr>
        <w:t xml:space="preserve"> of the Act.</w:t>
      </w:r>
      <w:r w:rsidR="000134CE" w:rsidRPr="002F76AF">
        <w:rPr>
          <w:rStyle w:val="BookTitle"/>
          <w:rFonts w:cs="Arial"/>
          <w:i w:val="0"/>
          <w:iCs w:val="0"/>
          <w:smallCaps w:val="0"/>
          <w:spacing w:val="0"/>
          <w:sz w:val="24"/>
          <w:szCs w:val="24"/>
        </w:rPr>
        <w:t xml:space="preserve"> </w:t>
      </w:r>
    </w:p>
    <w:p w:rsidR="000134CE" w:rsidRPr="00996D16" w:rsidRDefault="000134CE" w:rsidP="000134CE">
      <w:pPr>
        <w:rPr>
          <w:rStyle w:val="BookTitle"/>
          <w:rFonts w:cs="Arial"/>
          <w:i w:val="0"/>
          <w:iCs w:val="0"/>
          <w:smallCaps w:val="0"/>
          <w:spacing w:val="0"/>
          <w:sz w:val="24"/>
          <w:szCs w:val="24"/>
        </w:rPr>
      </w:pPr>
      <w:r>
        <w:rPr>
          <w:rStyle w:val="BookTitle"/>
          <w:rFonts w:cs="Arial"/>
          <w:b/>
          <w:i w:val="0"/>
          <w:iCs w:val="0"/>
          <w:smallCaps w:val="0"/>
          <w:spacing w:val="0"/>
          <w:sz w:val="24"/>
          <w:szCs w:val="24"/>
        </w:rPr>
        <w:t xml:space="preserve">Section </w:t>
      </w:r>
      <w:r w:rsidR="00FC4980">
        <w:rPr>
          <w:rStyle w:val="BookTitle"/>
          <w:rFonts w:cs="Arial"/>
          <w:b/>
          <w:i w:val="0"/>
          <w:iCs w:val="0"/>
          <w:smallCaps w:val="0"/>
          <w:spacing w:val="0"/>
          <w:sz w:val="24"/>
          <w:szCs w:val="24"/>
        </w:rPr>
        <w:t>5</w:t>
      </w:r>
      <w:r>
        <w:rPr>
          <w:rStyle w:val="BookTitle"/>
          <w:rFonts w:cs="Arial"/>
          <w:b/>
          <w:i w:val="0"/>
          <w:iCs w:val="0"/>
          <w:smallCaps w:val="0"/>
          <w:spacing w:val="0"/>
          <w:sz w:val="24"/>
          <w:szCs w:val="24"/>
        </w:rPr>
        <w:t xml:space="preserve"> </w:t>
      </w:r>
      <w:r w:rsidR="006A669C">
        <w:rPr>
          <w:rStyle w:val="BookTitle"/>
          <w:rFonts w:cs="Arial"/>
          <w:i w:val="0"/>
          <w:iCs w:val="0"/>
          <w:smallCaps w:val="0"/>
          <w:spacing w:val="0"/>
          <w:sz w:val="24"/>
          <w:szCs w:val="24"/>
        </w:rPr>
        <w:t>determines classes of visas for the purposes of paragraph 7(6AA) (f) of the Act. The class</w:t>
      </w:r>
      <w:r w:rsidR="007E65FC">
        <w:rPr>
          <w:rStyle w:val="BookTitle"/>
          <w:rFonts w:cs="Arial"/>
          <w:i w:val="0"/>
          <w:iCs w:val="0"/>
          <w:smallCaps w:val="0"/>
          <w:spacing w:val="0"/>
          <w:sz w:val="24"/>
          <w:szCs w:val="24"/>
        </w:rPr>
        <w:t xml:space="preserve"> </w:t>
      </w:r>
      <w:r w:rsidR="006A669C">
        <w:rPr>
          <w:rStyle w:val="BookTitle"/>
          <w:rFonts w:cs="Arial"/>
          <w:i w:val="0"/>
          <w:iCs w:val="0"/>
          <w:smallCaps w:val="0"/>
          <w:spacing w:val="0"/>
          <w:sz w:val="24"/>
          <w:szCs w:val="24"/>
        </w:rPr>
        <w:t>of visa</w:t>
      </w:r>
      <w:r w:rsidR="007E65FC">
        <w:rPr>
          <w:rStyle w:val="BookTitle"/>
          <w:rFonts w:cs="Arial"/>
          <w:i w:val="0"/>
          <w:iCs w:val="0"/>
          <w:smallCaps w:val="0"/>
          <w:spacing w:val="0"/>
          <w:sz w:val="24"/>
          <w:szCs w:val="24"/>
        </w:rPr>
        <w:t>s</w:t>
      </w:r>
      <w:r w:rsidR="006A669C">
        <w:rPr>
          <w:rStyle w:val="BookTitle"/>
          <w:rFonts w:cs="Arial"/>
          <w:i w:val="0"/>
          <w:iCs w:val="0"/>
          <w:smallCaps w:val="0"/>
          <w:spacing w:val="0"/>
          <w:sz w:val="24"/>
          <w:szCs w:val="24"/>
        </w:rPr>
        <w:t xml:space="preserve"> </w:t>
      </w:r>
      <w:r w:rsidR="007E65FC">
        <w:rPr>
          <w:rStyle w:val="BookTitle"/>
          <w:rFonts w:cs="Arial"/>
          <w:i w:val="0"/>
          <w:iCs w:val="0"/>
          <w:smallCaps w:val="0"/>
          <w:spacing w:val="0"/>
          <w:sz w:val="24"/>
          <w:szCs w:val="24"/>
        </w:rPr>
        <w:t>is</w:t>
      </w:r>
      <w:r w:rsidR="006A669C">
        <w:rPr>
          <w:rStyle w:val="BookTitle"/>
          <w:rFonts w:cs="Arial"/>
          <w:i w:val="0"/>
          <w:iCs w:val="0"/>
          <w:smallCaps w:val="0"/>
          <w:spacing w:val="0"/>
          <w:sz w:val="24"/>
          <w:szCs w:val="24"/>
        </w:rPr>
        <w:t xml:space="preserve"> Subclass 852 (Referred Stay (Permanent))</w:t>
      </w:r>
      <w:r>
        <w:rPr>
          <w:rStyle w:val="BookTitle"/>
          <w:rFonts w:cs="Arial"/>
          <w:i w:val="0"/>
          <w:iCs w:val="0"/>
          <w:smallCaps w:val="0"/>
          <w:spacing w:val="0"/>
          <w:sz w:val="24"/>
          <w:szCs w:val="24"/>
        </w:rPr>
        <w:t xml:space="preserve">. </w:t>
      </w:r>
    </w:p>
    <w:p w:rsidR="000134CE" w:rsidRDefault="000134CE" w:rsidP="000134CE">
      <w:pPr>
        <w:rPr>
          <w:rStyle w:val="BookTitle"/>
          <w:rFonts w:cs="Arial"/>
          <w:b/>
          <w:i w:val="0"/>
          <w:iCs w:val="0"/>
          <w:smallCaps w:val="0"/>
          <w:spacing w:val="0"/>
          <w:sz w:val="24"/>
          <w:szCs w:val="24"/>
        </w:rPr>
      </w:pPr>
      <w:r>
        <w:rPr>
          <w:rStyle w:val="BookTitle"/>
          <w:rFonts w:cs="Arial"/>
          <w:b/>
          <w:i w:val="0"/>
          <w:iCs w:val="0"/>
          <w:smallCaps w:val="0"/>
          <w:spacing w:val="0"/>
          <w:sz w:val="24"/>
          <w:szCs w:val="24"/>
        </w:rPr>
        <w:t>Consultation</w:t>
      </w:r>
    </w:p>
    <w:p w:rsidR="0069595D" w:rsidRDefault="00E1120A" w:rsidP="000134CE">
      <w:pPr>
        <w:rPr>
          <w:rStyle w:val="BookTitle"/>
          <w:rFonts w:cs="Arial"/>
          <w:i w:val="0"/>
          <w:iCs w:val="0"/>
          <w:smallCaps w:val="0"/>
          <w:spacing w:val="0"/>
          <w:sz w:val="24"/>
          <w:szCs w:val="24"/>
        </w:rPr>
      </w:pPr>
      <w:r>
        <w:rPr>
          <w:rFonts w:eastAsia="Times New Roman" w:cs="Arial"/>
          <w:spacing w:val="5"/>
          <w:sz w:val="24"/>
          <w:szCs w:val="24"/>
        </w:rPr>
        <w:t xml:space="preserve">The Department of Human Services was consulted as part of preparing this Determination. </w:t>
      </w:r>
      <w:r w:rsidR="0069595D">
        <w:rPr>
          <w:rStyle w:val="BookTitle"/>
          <w:rFonts w:cs="Arial"/>
          <w:i w:val="0"/>
          <w:iCs w:val="0"/>
          <w:smallCaps w:val="0"/>
          <w:spacing w:val="0"/>
          <w:sz w:val="24"/>
          <w:szCs w:val="24"/>
        </w:rPr>
        <w:t>The Department of Immigration and Border Protection was consulted to assist with ensuring that the visa classes determined by this Determination are correct and current.</w:t>
      </w:r>
    </w:p>
    <w:p w:rsidR="000134CE" w:rsidRDefault="000134CE" w:rsidP="000134CE">
      <w:pPr>
        <w:rPr>
          <w:rStyle w:val="BookTitle"/>
          <w:rFonts w:cs="Arial"/>
          <w:b/>
          <w:i w:val="0"/>
          <w:iCs w:val="0"/>
          <w:smallCaps w:val="0"/>
          <w:spacing w:val="0"/>
          <w:sz w:val="24"/>
          <w:szCs w:val="24"/>
        </w:rPr>
      </w:pPr>
      <w:r>
        <w:rPr>
          <w:rStyle w:val="BookTitle"/>
          <w:rFonts w:cs="Arial"/>
          <w:b/>
          <w:i w:val="0"/>
          <w:iCs w:val="0"/>
          <w:smallCaps w:val="0"/>
          <w:spacing w:val="0"/>
          <w:sz w:val="24"/>
          <w:szCs w:val="24"/>
        </w:rPr>
        <w:t>Regulatory Impact Analysis</w:t>
      </w:r>
    </w:p>
    <w:p w:rsidR="000134CE" w:rsidRDefault="000134CE" w:rsidP="000134CE">
      <w:pPr>
        <w:rPr>
          <w:rFonts w:cs="Arial"/>
          <w:sz w:val="24"/>
          <w:szCs w:val="24"/>
        </w:rPr>
      </w:pPr>
      <w:r w:rsidRPr="001374F0">
        <w:rPr>
          <w:rFonts w:cs="Arial"/>
          <w:sz w:val="24"/>
          <w:szCs w:val="24"/>
        </w:rPr>
        <w:t xml:space="preserve">The Determination does not require a Regulatory Impact Statement. The Determination is not regulatory in nature, will </w:t>
      </w:r>
      <w:r w:rsidRPr="001374F0">
        <w:rPr>
          <w:rFonts w:cs="Arial"/>
          <w:bCs/>
          <w:sz w:val="24"/>
          <w:szCs w:val="24"/>
        </w:rPr>
        <w:t>not</w:t>
      </w:r>
      <w:r w:rsidRPr="001374F0">
        <w:rPr>
          <w:rFonts w:cs="Arial"/>
          <w:sz w:val="24"/>
          <w:szCs w:val="24"/>
        </w:rPr>
        <w:t xml:space="preserve"> impact on business activity and will have no, or minimal, compliance costs or competition impact</w:t>
      </w:r>
      <w:r>
        <w:rPr>
          <w:rFonts w:cs="Arial"/>
          <w:sz w:val="24"/>
          <w:szCs w:val="24"/>
        </w:rPr>
        <w:t xml:space="preserve">. </w:t>
      </w:r>
    </w:p>
    <w:p w:rsidR="000134CE" w:rsidRPr="001374F0" w:rsidRDefault="000134CE" w:rsidP="000134CE">
      <w:pPr>
        <w:rPr>
          <w:rStyle w:val="BookTitle"/>
          <w:rFonts w:cs="Arial"/>
          <w:i w:val="0"/>
          <w:iCs w:val="0"/>
          <w:smallCaps w:val="0"/>
          <w:spacing w:val="0"/>
          <w:sz w:val="24"/>
          <w:szCs w:val="24"/>
        </w:rPr>
      </w:pPr>
      <w:r>
        <w:rPr>
          <w:rFonts w:cs="Arial"/>
          <w:sz w:val="24"/>
          <w:szCs w:val="24"/>
        </w:rPr>
        <w:br w:type="page"/>
      </w:r>
    </w:p>
    <w:p w:rsidR="000134CE" w:rsidRPr="001374F0" w:rsidRDefault="000134CE" w:rsidP="000134CE">
      <w:pPr>
        <w:keepNext/>
        <w:jc w:val="center"/>
        <w:outlineLvl w:val="2"/>
        <w:rPr>
          <w:b/>
          <w:bCs/>
          <w:sz w:val="24"/>
          <w:szCs w:val="24"/>
        </w:rPr>
      </w:pPr>
      <w:r w:rsidRPr="00D57741">
        <w:rPr>
          <w:b/>
          <w:bCs/>
          <w:sz w:val="24"/>
          <w:szCs w:val="24"/>
        </w:rPr>
        <w:lastRenderedPageBreak/>
        <w:t>Statement of Compatibility with Human Rights</w:t>
      </w:r>
    </w:p>
    <w:p w:rsidR="000134CE" w:rsidRPr="00D57741" w:rsidRDefault="000134CE" w:rsidP="001D6C75">
      <w:pPr>
        <w:jc w:val="center"/>
        <w:rPr>
          <w:i/>
          <w:sz w:val="24"/>
          <w:szCs w:val="24"/>
        </w:rPr>
      </w:pPr>
      <w:r w:rsidRPr="00D57741">
        <w:rPr>
          <w:sz w:val="24"/>
          <w:szCs w:val="24"/>
        </w:rPr>
        <w:t>Prepared in accordance with Part 3 of the</w:t>
      </w:r>
      <w:r w:rsidRPr="00D57741">
        <w:rPr>
          <w:i/>
          <w:sz w:val="24"/>
          <w:szCs w:val="24"/>
        </w:rPr>
        <w:t xml:space="preserve"> Human Rights (Parliamentary Scrutiny) Act 2011</w:t>
      </w:r>
    </w:p>
    <w:p w:rsidR="00D804BA" w:rsidRPr="00D804BA" w:rsidRDefault="00D804BA" w:rsidP="00D804BA">
      <w:pPr>
        <w:jc w:val="center"/>
        <w:rPr>
          <w:rFonts w:cs="Arial"/>
          <w:b/>
          <w:i/>
          <w:sz w:val="24"/>
          <w:szCs w:val="24"/>
        </w:rPr>
      </w:pPr>
      <w:r w:rsidRPr="00D804BA">
        <w:rPr>
          <w:rFonts w:cs="Arial"/>
          <w:b/>
          <w:i/>
          <w:sz w:val="24"/>
          <w:szCs w:val="24"/>
        </w:rPr>
        <w:t>Social Security (Class of Visas – Qualifying Residence Exemption) Determination 2016</w:t>
      </w:r>
    </w:p>
    <w:p w:rsidR="00556306" w:rsidRDefault="00556306" w:rsidP="00556306">
      <w:pPr>
        <w:outlineLvl w:val="2"/>
        <w:rPr>
          <w:sz w:val="24"/>
          <w:szCs w:val="24"/>
        </w:rPr>
      </w:pPr>
      <w:r w:rsidRPr="00556306">
        <w:rPr>
          <w:sz w:val="24"/>
          <w:szCs w:val="24"/>
        </w:rPr>
        <w:t xml:space="preserve">The </w:t>
      </w:r>
      <w:r w:rsidRPr="00556306">
        <w:rPr>
          <w:i/>
          <w:iCs/>
          <w:sz w:val="24"/>
          <w:szCs w:val="24"/>
        </w:rPr>
        <w:t xml:space="preserve">Social Security (Class of Visas – Qualifying Residence Exemption) Determination 2015 </w:t>
      </w:r>
      <w:r w:rsidRPr="00556306">
        <w:rPr>
          <w:sz w:val="24"/>
          <w:szCs w:val="24"/>
        </w:rPr>
        <w:t xml:space="preserve">is compatible with the human rights and freedoms recognised or declared in the international instruments listed in section 3 of the </w:t>
      </w:r>
      <w:r w:rsidRPr="00556306">
        <w:rPr>
          <w:i/>
          <w:iCs/>
          <w:sz w:val="24"/>
          <w:szCs w:val="24"/>
        </w:rPr>
        <w:t>Human Rights (Parliamentary Scrutiny) Act 2011</w:t>
      </w:r>
      <w:r w:rsidRPr="00556306">
        <w:rPr>
          <w:sz w:val="24"/>
          <w:szCs w:val="24"/>
        </w:rPr>
        <w:t xml:space="preserve">. </w:t>
      </w:r>
    </w:p>
    <w:p w:rsidR="00556306" w:rsidRPr="00556306" w:rsidRDefault="00556306" w:rsidP="00556306">
      <w:pPr>
        <w:outlineLvl w:val="2"/>
        <w:rPr>
          <w:sz w:val="24"/>
          <w:szCs w:val="24"/>
        </w:rPr>
      </w:pPr>
      <w:r w:rsidRPr="00556306">
        <w:rPr>
          <w:sz w:val="24"/>
          <w:szCs w:val="24"/>
        </w:rPr>
        <w:t>The effect of this Determination is to grant a qualifying residence exemption for a social security benefit (other than a special benefit), a pension PP (single), carer payment, a mobility allowance, a seniors health card or a health care card to the holders o</w:t>
      </w:r>
      <w:r w:rsidR="006F44E9">
        <w:rPr>
          <w:sz w:val="24"/>
          <w:szCs w:val="24"/>
        </w:rPr>
        <w:t>f a Subclass 852 (Referred Stay</w:t>
      </w:r>
      <w:r w:rsidRPr="00556306">
        <w:rPr>
          <w:sz w:val="24"/>
          <w:szCs w:val="24"/>
        </w:rPr>
        <w:t xml:space="preserve"> (Permanent)</w:t>
      </w:r>
      <w:r w:rsidR="006F44E9">
        <w:rPr>
          <w:sz w:val="24"/>
          <w:szCs w:val="24"/>
        </w:rPr>
        <w:t>)</w:t>
      </w:r>
      <w:r w:rsidRPr="00556306">
        <w:rPr>
          <w:sz w:val="24"/>
          <w:szCs w:val="24"/>
        </w:rPr>
        <w:t xml:space="preserve"> visa.</w:t>
      </w:r>
    </w:p>
    <w:p w:rsidR="000134CE" w:rsidRPr="00956744" w:rsidRDefault="000134CE" w:rsidP="00956744">
      <w:pPr>
        <w:outlineLvl w:val="2"/>
        <w:rPr>
          <w:b/>
          <w:sz w:val="24"/>
          <w:szCs w:val="24"/>
        </w:rPr>
      </w:pPr>
      <w:r w:rsidRPr="00956744">
        <w:rPr>
          <w:b/>
          <w:sz w:val="24"/>
          <w:szCs w:val="24"/>
        </w:rPr>
        <w:t>Human rights implications</w:t>
      </w:r>
    </w:p>
    <w:p w:rsidR="00556306" w:rsidRDefault="00556306" w:rsidP="00556306">
      <w:pPr>
        <w:autoSpaceDE w:val="0"/>
        <w:autoSpaceDN w:val="0"/>
        <w:adjustRightInd w:val="0"/>
        <w:spacing w:after="0" w:line="240" w:lineRule="auto"/>
        <w:rPr>
          <w:rFonts w:cs="Arial"/>
          <w:sz w:val="24"/>
          <w:szCs w:val="24"/>
        </w:rPr>
      </w:pPr>
      <w:r>
        <w:rPr>
          <w:rFonts w:cs="Arial"/>
          <w:sz w:val="24"/>
          <w:szCs w:val="24"/>
        </w:rPr>
        <w:t>This Determination engages or gives effect to the following human rights:</w:t>
      </w:r>
    </w:p>
    <w:p w:rsidR="00556306" w:rsidRDefault="00556306" w:rsidP="00556306">
      <w:pPr>
        <w:autoSpaceDE w:val="0"/>
        <w:autoSpaceDN w:val="0"/>
        <w:adjustRightInd w:val="0"/>
        <w:spacing w:after="0" w:line="240" w:lineRule="auto"/>
        <w:rPr>
          <w:rFonts w:cs="Arial"/>
          <w:sz w:val="24"/>
          <w:szCs w:val="24"/>
        </w:rPr>
      </w:pPr>
    </w:p>
    <w:p w:rsidR="00556306" w:rsidRPr="00956744" w:rsidRDefault="00556306" w:rsidP="00956744">
      <w:pPr>
        <w:pStyle w:val="ListParagraph"/>
        <w:numPr>
          <w:ilvl w:val="0"/>
          <w:numId w:val="2"/>
        </w:numPr>
        <w:autoSpaceDE w:val="0"/>
        <w:autoSpaceDN w:val="0"/>
        <w:adjustRightInd w:val="0"/>
        <w:spacing w:after="0"/>
        <w:rPr>
          <w:rFonts w:cs="Arial"/>
          <w:sz w:val="24"/>
          <w:szCs w:val="24"/>
        </w:rPr>
      </w:pPr>
      <w:r w:rsidRPr="00956744">
        <w:rPr>
          <w:rFonts w:cs="Arial"/>
          <w:sz w:val="24"/>
          <w:szCs w:val="24"/>
        </w:rPr>
        <w:t>the right to social security contained in Article 9 of the International Covenant on Economic, Social and Cultural Rights (</w:t>
      </w:r>
      <w:proofErr w:type="spellStart"/>
      <w:r w:rsidRPr="00956744">
        <w:rPr>
          <w:rFonts w:cs="Arial"/>
          <w:sz w:val="24"/>
          <w:szCs w:val="24"/>
        </w:rPr>
        <w:t>ICESCR</w:t>
      </w:r>
      <w:proofErr w:type="spellEnd"/>
      <w:r w:rsidRPr="00956744">
        <w:rPr>
          <w:rFonts w:cs="Arial"/>
          <w:sz w:val="24"/>
          <w:szCs w:val="24"/>
        </w:rPr>
        <w:t>), Articles 11(1)(e) and 14(2)(c) of the Convention on the Elimination of All Forms of Discrimination Against Women (</w:t>
      </w:r>
      <w:proofErr w:type="spellStart"/>
      <w:r w:rsidRPr="00956744">
        <w:rPr>
          <w:rFonts w:cs="Arial"/>
          <w:sz w:val="24"/>
          <w:szCs w:val="24"/>
        </w:rPr>
        <w:t>CEDAW</w:t>
      </w:r>
      <w:proofErr w:type="spellEnd"/>
      <w:r w:rsidRPr="00956744">
        <w:rPr>
          <w:rFonts w:cs="Arial"/>
          <w:sz w:val="24"/>
          <w:szCs w:val="24"/>
        </w:rPr>
        <w:t>), and Article 28 of the Convention on the Rights of Persons with Disabilities (</w:t>
      </w:r>
      <w:proofErr w:type="spellStart"/>
      <w:r w:rsidRPr="00956744">
        <w:rPr>
          <w:rFonts w:cs="Arial"/>
          <w:sz w:val="24"/>
          <w:szCs w:val="24"/>
        </w:rPr>
        <w:t>CRPD</w:t>
      </w:r>
      <w:proofErr w:type="spellEnd"/>
      <w:r w:rsidRPr="00956744">
        <w:rPr>
          <w:rFonts w:cs="Arial"/>
          <w:sz w:val="24"/>
          <w:szCs w:val="24"/>
        </w:rPr>
        <w:t>); and</w:t>
      </w:r>
    </w:p>
    <w:p w:rsidR="00556306" w:rsidRPr="00956744" w:rsidRDefault="00556306" w:rsidP="00956744">
      <w:pPr>
        <w:pStyle w:val="ListParagraph"/>
        <w:numPr>
          <w:ilvl w:val="0"/>
          <w:numId w:val="2"/>
        </w:numPr>
        <w:autoSpaceDE w:val="0"/>
        <w:autoSpaceDN w:val="0"/>
        <w:adjustRightInd w:val="0"/>
        <w:spacing w:after="0"/>
        <w:rPr>
          <w:rFonts w:cs="Arial"/>
          <w:sz w:val="24"/>
          <w:szCs w:val="24"/>
        </w:rPr>
      </w:pPr>
      <w:r w:rsidRPr="00956744">
        <w:rPr>
          <w:rFonts w:cs="Arial"/>
          <w:sz w:val="24"/>
          <w:szCs w:val="24"/>
        </w:rPr>
        <w:t xml:space="preserve">the right to an adequate standard of living contained in Article 11(1) of the </w:t>
      </w:r>
      <w:proofErr w:type="spellStart"/>
      <w:r w:rsidRPr="00956744">
        <w:rPr>
          <w:rFonts w:cs="Arial"/>
          <w:sz w:val="24"/>
          <w:szCs w:val="24"/>
        </w:rPr>
        <w:t>ICESCR</w:t>
      </w:r>
      <w:proofErr w:type="spellEnd"/>
      <w:r w:rsidRPr="00956744">
        <w:rPr>
          <w:rFonts w:cs="Arial"/>
          <w:sz w:val="24"/>
          <w:szCs w:val="24"/>
        </w:rPr>
        <w:t xml:space="preserve">, Article 14(2)(h) of the </w:t>
      </w:r>
      <w:proofErr w:type="spellStart"/>
      <w:r w:rsidRPr="00956744">
        <w:rPr>
          <w:rFonts w:cs="Arial"/>
          <w:sz w:val="24"/>
          <w:szCs w:val="24"/>
        </w:rPr>
        <w:t>CEDAW</w:t>
      </w:r>
      <w:proofErr w:type="spellEnd"/>
      <w:r w:rsidRPr="00956744">
        <w:rPr>
          <w:rFonts w:cs="Arial"/>
          <w:sz w:val="24"/>
          <w:szCs w:val="24"/>
        </w:rPr>
        <w:t xml:space="preserve"> and Article 28 of the </w:t>
      </w:r>
      <w:proofErr w:type="spellStart"/>
      <w:r w:rsidRPr="00956744">
        <w:rPr>
          <w:rFonts w:cs="Arial"/>
          <w:sz w:val="24"/>
          <w:szCs w:val="24"/>
        </w:rPr>
        <w:t>CRPD</w:t>
      </w:r>
      <w:proofErr w:type="spellEnd"/>
      <w:r w:rsidRPr="00956744">
        <w:rPr>
          <w:rFonts w:cs="Arial"/>
          <w:sz w:val="24"/>
          <w:szCs w:val="24"/>
        </w:rPr>
        <w:t>.</w:t>
      </w:r>
    </w:p>
    <w:p w:rsidR="00556306" w:rsidRDefault="00556306" w:rsidP="00556306">
      <w:pPr>
        <w:autoSpaceDE w:val="0"/>
        <w:autoSpaceDN w:val="0"/>
        <w:adjustRightInd w:val="0"/>
        <w:spacing w:after="0" w:line="240" w:lineRule="auto"/>
        <w:rPr>
          <w:rFonts w:cs="Arial"/>
          <w:sz w:val="24"/>
          <w:szCs w:val="24"/>
        </w:rPr>
      </w:pPr>
    </w:p>
    <w:p w:rsidR="00556306" w:rsidRDefault="00556306" w:rsidP="00956744">
      <w:pPr>
        <w:autoSpaceDE w:val="0"/>
        <w:autoSpaceDN w:val="0"/>
        <w:adjustRightInd w:val="0"/>
        <w:spacing w:after="0"/>
        <w:rPr>
          <w:rFonts w:cs="Arial"/>
          <w:sz w:val="24"/>
          <w:szCs w:val="24"/>
        </w:rPr>
      </w:pPr>
      <w:r>
        <w:rPr>
          <w:rFonts w:cs="Arial"/>
          <w:sz w:val="24"/>
          <w:szCs w:val="24"/>
        </w:rPr>
        <w:t xml:space="preserve">The Determination will assist Australia to meet its international obligations under the </w:t>
      </w:r>
      <w:proofErr w:type="spellStart"/>
      <w:r>
        <w:rPr>
          <w:rFonts w:cs="Arial"/>
          <w:sz w:val="24"/>
          <w:szCs w:val="24"/>
        </w:rPr>
        <w:t>ICESCR</w:t>
      </w:r>
      <w:proofErr w:type="spellEnd"/>
      <w:r>
        <w:rPr>
          <w:rFonts w:cs="Arial"/>
          <w:sz w:val="24"/>
          <w:szCs w:val="24"/>
        </w:rPr>
        <w:t xml:space="preserve">, the </w:t>
      </w:r>
      <w:proofErr w:type="spellStart"/>
      <w:r>
        <w:rPr>
          <w:rFonts w:cs="Arial"/>
          <w:sz w:val="24"/>
          <w:szCs w:val="24"/>
        </w:rPr>
        <w:t>CEDAW</w:t>
      </w:r>
      <w:proofErr w:type="spellEnd"/>
      <w:r>
        <w:rPr>
          <w:rFonts w:cs="Arial"/>
          <w:sz w:val="24"/>
          <w:szCs w:val="24"/>
        </w:rPr>
        <w:t xml:space="preserve"> and the </w:t>
      </w:r>
      <w:proofErr w:type="spellStart"/>
      <w:r>
        <w:rPr>
          <w:rFonts w:cs="Arial"/>
          <w:sz w:val="24"/>
          <w:szCs w:val="24"/>
        </w:rPr>
        <w:t>CRPD</w:t>
      </w:r>
      <w:proofErr w:type="spellEnd"/>
      <w:r>
        <w:rPr>
          <w:rFonts w:cs="Arial"/>
          <w:sz w:val="24"/>
          <w:szCs w:val="24"/>
        </w:rPr>
        <w:t xml:space="preserve"> by providing a qualifying residence exemption for a range of social security payments</w:t>
      </w:r>
      <w:r w:rsidR="006F44E9">
        <w:rPr>
          <w:rFonts w:cs="Arial"/>
          <w:sz w:val="24"/>
          <w:szCs w:val="24"/>
        </w:rPr>
        <w:t xml:space="preserve"> to Subclass 852 (Referred Stay (Permanent)) </w:t>
      </w:r>
      <w:r>
        <w:rPr>
          <w:rFonts w:cs="Arial"/>
          <w:sz w:val="24"/>
          <w:szCs w:val="24"/>
        </w:rPr>
        <w:t>visa holders. The Determination will also ensure an adequate standard of living for those who are granted</w:t>
      </w:r>
      <w:r w:rsidR="006F44E9">
        <w:rPr>
          <w:rFonts w:cs="Arial"/>
          <w:sz w:val="24"/>
          <w:szCs w:val="24"/>
        </w:rPr>
        <w:t xml:space="preserve"> a Subclass 852 (Referred Stay </w:t>
      </w:r>
      <w:r>
        <w:rPr>
          <w:rFonts w:cs="Arial"/>
          <w:sz w:val="24"/>
          <w:szCs w:val="24"/>
        </w:rPr>
        <w:t>(Permanent)</w:t>
      </w:r>
      <w:r w:rsidR="006F44E9">
        <w:rPr>
          <w:rFonts w:cs="Arial"/>
          <w:sz w:val="24"/>
          <w:szCs w:val="24"/>
        </w:rPr>
        <w:t>)</w:t>
      </w:r>
      <w:r>
        <w:rPr>
          <w:rFonts w:cs="Arial"/>
          <w:sz w:val="24"/>
          <w:szCs w:val="24"/>
        </w:rPr>
        <w:t xml:space="preserve"> visa and require appropriate financial assistance by providing more immediate access to social security payments.</w:t>
      </w:r>
    </w:p>
    <w:p w:rsidR="00E1120A" w:rsidRDefault="00E1120A" w:rsidP="00956744">
      <w:pPr>
        <w:autoSpaceDE w:val="0"/>
        <w:autoSpaceDN w:val="0"/>
        <w:adjustRightInd w:val="0"/>
        <w:spacing w:after="0"/>
        <w:rPr>
          <w:rFonts w:cs="Arial"/>
          <w:sz w:val="24"/>
          <w:szCs w:val="24"/>
        </w:rPr>
      </w:pPr>
    </w:p>
    <w:p w:rsidR="00E1120A" w:rsidRDefault="00E1120A" w:rsidP="00956744">
      <w:pPr>
        <w:autoSpaceDE w:val="0"/>
        <w:autoSpaceDN w:val="0"/>
        <w:adjustRightInd w:val="0"/>
        <w:spacing w:after="0"/>
        <w:rPr>
          <w:rFonts w:cs="Arial"/>
          <w:sz w:val="24"/>
          <w:szCs w:val="24"/>
        </w:rPr>
      </w:pPr>
    </w:p>
    <w:p w:rsidR="00E1120A" w:rsidRDefault="00E1120A" w:rsidP="00956744">
      <w:pPr>
        <w:autoSpaceDE w:val="0"/>
        <w:autoSpaceDN w:val="0"/>
        <w:adjustRightInd w:val="0"/>
        <w:spacing w:after="0"/>
        <w:rPr>
          <w:rFonts w:cs="Arial"/>
          <w:sz w:val="24"/>
          <w:szCs w:val="24"/>
        </w:rPr>
      </w:pPr>
    </w:p>
    <w:p w:rsidR="00E1120A" w:rsidRDefault="00E1120A" w:rsidP="00E1120A">
      <w:pPr>
        <w:pStyle w:val="Default"/>
        <w:spacing w:line="276" w:lineRule="auto"/>
        <w:rPr>
          <w:color w:val="auto"/>
        </w:rPr>
      </w:pPr>
      <w:r>
        <w:rPr>
          <w:color w:val="auto"/>
        </w:rPr>
        <w:lastRenderedPageBreak/>
        <w:t>Access to Special Benefit will still be available for a newly arrived permanent resident who has suffered a substantial change in their circumstances, beyond their control, and are in financial hardship, after arrival. There remains no waiting period for family assistance payments for families with children, such as Family Tax Benefit.</w:t>
      </w:r>
    </w:p>
    <w:p w:rsidR="00E1120A" w:rsidRPr="00E1120A" w:rsidRDefault="00E1120A" w:rsidP="00E1120A">
      <w:pPr>
        <w:pStyle w:val="Default"/>
        <w:spacing w:line="276" w:lineRule="auto"/>
        <w:rPr>
          <w:color w:val="auto"/>
        </w:rPr>
      </w:pPr>
    </w:p>
    <w:p w:rsidR="00556306" w:rsidRDefault="00556306" w:rsidP="00E1120A">
      <w:pPr>
        <w:pStyle w:val="Default"/>
        <w:rPr>
          <w:rFonts w:ascii="Arial,Bold" w:hAnsi="Arial,Bold" w:cs="Arial,Bold"/>
          <w:b/>
          <w:bCs/>
        </w:rPr>
      </w:pPr>
      <w:r>
        <w:rPr>
          <w:rFonts w:ascii="Arial,Bold" w:hAnsi="Arial,Bold" w:cs="Arial,Bold"/>
          <w:b/>
          <w:bCs/>
        </w:rPr>
        <w:t>Conclusion</w:t>
      </w:r>
    </w:p>
    <w:p w:rsidR="00956744" w:rsidRDefault="00956744" w:rsidP="00956744">
      <w:pPr>
        <w:spacing w:after="0" w:line="240" w:lineRule="auto"/>
        <w:rPr>
          <w:rFonts w:cs="Arial"/>
          <w:sz w:val="24"/>
          <w:szCs w:val="24"/>
        </w:rPr>
      </w:pPr>
    </w:p>
    <w:p w:rsidR="00556306" w:rsidRDefault="00556306" w:rsidP="00955370">
      <w:pPr>
        <w:spacing w:after="0"/>
        <w:rPr>
          <w:rFonts w:cs="Arial"/>
          <w:sz w:val="24"/>
          <w:szCs w:val="24"/>
        </w:rPr>
      </w:pPr>
      <w:r>
        <w:rPr>
          <w:rFonts w:cs="Arial"/>
          <w:sz w:val="24"/>
          <w:szCs w:val="24"/>
        </w:rPr>
        <w:t>This Determination is compatible with human rights as it promotes the right to social security and an adequate standard of living fo</w:t>
      </w:r>
      <w:r w:rsidR="006F44E9">
        <w:rPr>
          <w:rFonts w:cs="Arial"/>
          <w:sz w:val="24"/>
          <w:szCs w:val="24"/>
        </w:rPr>
        <w:t>r Subclass 852 (Referred Stay (</w:t>
      </w:r>
      <w:r>
        <w:rPr>
          <w:rFonts w:cs="Arial"/>
          <w:sz w:val="24"/>
          <w:szCs w:val="24"/>
        </w:rPr>
        <w:t>Permanent)</w:t>
      </w:r>
      <w:r w:rsidR="006F44E9">
        <w:rPr>
          <w:rFonts w:cs="Arial"/>
          <w:sz w:val="24"/>
          <w:szCs w:val="24"/>
        </w:rPr>
        <w:t>)</w:t>
      </w:r>
      <w:r>
        <w:rPr>
          <w:rFonts w:cs="Arial"/>
          <w:sz w:val="24"/>
          <w:szCs w:val="24"/>
        </w:rPr>
        <w:t xml:space="preserve"> visa holders.</w:t>
      </w:r>
    </w:p>
    <w:p w:rsidR="00956744" w:rsidRDefault="00956744" w:rsidP="00956744">
      <w:pPr>
        <w:spacing w:after="0" w:line="240" w:lineRule="auto"/>
        <w:rPr>
          <w:rFonts w:cs="Arial"/>
          <w:sz w:val="24"/>
          <w:szCs w:val="24"/>
        </w:rPr>
      </w:pPr>
    </w:p>
    <w:p w:rsidR="007B0256" w:rsidRPr="005C3AA9" w:rsidRDefault="00556306" w:rsidP="00556306">
      <w:pPr>
        <w:jc w:val="center"/>
        <w:rPr>
          <w:rStyle w:val="BookTitle"/>
          <w:i w:val="0"/>
          <w:iCs w:val="0"/>
          <w:smallCaps w:val="0"/>
          <w:spacing w:val="0"/>
        </w:rPr>
      </w:pPr>
      <w:r>
        <w:rPr>
          <w:rFonts w:cs="Arial"/>
          <w:b/>
          <w:sz w:val="24"/>
          <w:szCs w:val="24"/>
        </w:rPr>
        <w:t>The Hon Christian Porter MP, Minister for Social Services</w:t>
      </w:r>
    </w:p>
    <w:sectPr w:rsidR="007B0256" w:rsidRPr="005C3A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01" w:rsidRDefault="00863201">
      <w:pPr>
        <w:spacing w:after="0" w:line="240" w:lineRule="auto"/>
      </w:pPr>
      <w:r>
        <w:separator/>
      </w:r>
    </w:p>
  </w:endnote>
  <w:endnote w:type="continuationSeparator" w:id="0">
    <w:p w:rsidR="00863201" w:rsidRDefault="0086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7200"/>
      <w:gridCol w:w="674"/>
    </w:tblGrid>
    <w:tr w:rsidR="00DA494E" w:rsidRPr="00B812EE" w:rsidTr="007818E8">
      <w:tc>
        <w:tcPr>
          <w:tcW w:w="7200" w:type="dxa"/>
        </w:tcPr>
        <w:p w:rsidR="00D804BA" w:rsidRDefault="000134CE" w:rsidP="00D804BA">
          <w:pPr>
            <w:jc w:val="center"/>
            <w:rPr>
              <w:rFonts w:cs="Arial"/>
              <w:b/>
              <w:sz w:val="40"/>
              <w:szCs w:val="40"/>
            </w:rPr>
          </w:pPr>
          <w:r>
            <w:rPr>
              <w:rFonts w:cs="Arial"/>
              <w:iCs/>
              <w:sz w:val="20"/>
            </w:rPr>
            <w:t xml:space="preserve">Explanatory Statement - </w:t>
          </w:r>
          <w:r w:rsidR="00D804BA" w:rsidRPr="00D804BA">
            <w:rPr>
              <w:rFonts w:cs="Arial"/>
              <w:i/>
              <w:sz w:val="20"/>
              <w:szCs w:val="20"/>
            </w:rPr>
            <w:t>Social Security (Class of Visas – Qualifying Residence Exemption) Determination 2016</w:t>
          </w:r>
        </w:p>
        <w:p w:rsidR="001D6C75" w:rsidRPr="000720F4" w:rsidRDefault="001D6C75" w:rsidP="001D6C75">
          <w:pPr>
            <w:jc w:val="center"/>
            <w:rPr>
              <w:rFonts w:cs="Arial"/>
              <w:b/>
              <w:sz w:val="24"/>
              <w:szCs w:val="24"/>
            </w:rPr>
          </w:pPr>
        </w:p>
        <w:p w:rsidR="00EA7FF5" w:rsidRPr="004D3337" w:rsidRDefault="00EA7FF5" w:rsidP="00EA7FF5">
          <w:pPr>
            <w:jc w:val="center"/>
            <w:rPr>
              <w:rFonts w:cs="Arial"/>
              <w:b/>
              <w:i/>
              <w:sz w:val="24"/>
              <w:szCs w:val="24"/>
            </w:rPr>
          </w:pPr>
        </w:p>
        <w:p w:rsidR="00DA494E" w:rsidRPr="00B812EE" w:rsidRDefault="00937865" w:rsidP="00DC1503">
          <w:pPr>
            <w:spacing w:before="240"/>
            <w:jc w:val="center"/>
            <w:rPr>
              <w:rFonts w:cs="Arial"/>
              <w:sz w:val="20"/>
            </w:rPr>
          </w:pPr>
        </w:p>
      </w:tc>
      <w:tc>
        <w:tcPr>
          <w:tcW w:w="674" w:type="dxa"/>
        </w:tcPr>
        <w:p w:rsidR="00DA494E" w:rsidRPr="00B812EE" w:rsidRDefault="00937865" w:rsidP="007818E8">
          <w:pPr>
            <w:pStyle w:val="Header"/>
            <w:tabs>
              <w:tab w:val="left" w:pos="7920"/>
            </w:tabs>
            <w:rPr>
              <w:rStyle w:val="PageNumber"/>
              <w:rFonts w:cs="Arial"/>
              <w:sz w:val="20"/>
              <w:szCs w:val="20"/>
            </w:rPr>
          </w:pPr>
        </w:p>
        <w:p w:rsidR="00DA494E" w:rsidRPr="00B812EE" w:rsidRDefault="000134CE" w:rsidP="007818E8">
          <w:pPr>
            <w:pStyle w:val="Header"/>
            <w:tabs>
              <w:tab w:val="left" w:pos="7920"/>
            </w:tabs>
            <w:jc w:val="center"/>
            <w:rPr>
              <w:rFonts w:cs="Arial"/>
              <w:sz w:val="20"/>
              <w:szCs w:val="20"/>
            </w:rPr>
          </w:pPr>
          <w:r w:rsidRPr="00B812EE">
            <w:rPr>
              <w:rStyle w:val="PageNumber"/>
              <w:rFonts w:cs="Arial"/>
              <w:sz w:val="20"/>
              <w:szCs w:val="20"/>
            </w:rPr>
            <w:fldChar w:fldCharType="begin"/>
          </w:r>
          <w:r w:rsidRPr="00B812EE">
            <w:rPr>
              <w:rStyle w:val="PageNumber"/>
              <w:rFonts w:cs="Arial"/>
              <w:sz w:val="20"/>
              <w:szCs w:val="20"/>
            </w:rPr>
            <w:instrText xml:space="preserve"> PAGE </w:instrText>
          </w:r>
          <w:r w:rsidRPr="00B812EE">
            <w:rPr>
              <w:rStyle w:val="PageNumber"/>
              <w:rFonts w:cs="Arial"/>
              <w:sz w:val="20"/>
              <w:szCs w:val="20"/>
            </w:rPr>
            <w:fldChar w:fldCharType="separate"/>
          </w:r>
          <w:r w:rsidR="00937865">
            <w:rPr>
              <w:rStyle w:val="PageNumber"/>
              <w:rFonts w:cs="Arial"/>
              <w:noProof/>
              <w:sz w:val="20"/>
              <w:szCs w:val="20"/>
            </w:rPr>
            <w:t>1</w:t>
          </w:r>
          <w:r w:rsidRPr="00B812EE">
            <w:rPr>
              <w:rStyle w:val="PageNumber"/>
              <w:rFonts w:cs="Arial"/>
              <w:sz w:val="20"/>
              <w:szCs w:val="20"/>
            </w:rPr>
            <w:fldChar w:fldCharType="end"/>
          </w:r>
        </w:p>
      </w:tc>
    </w:tr>
  </w:tbl>
  <w:p w:rsidR="00DA494E" w:rsidRPr="00DA494E" w:rsidRDefault="00937865" w:rsidP="00DA4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01" w:rsidRDefault="00863201">
      <w:pPr>
        <w:spacing w:after="0" w:line="240" w:lineRule="auto"/>
      </w:pPr>
      <w:r>
        <w:separator/>
      </w:r>
    </w:p>
  </w:footnote>
  <w:footnote w:type="continuationSeparator" w:id="0">
    <w:p w:rsidR="00863201" w:rsidRDefault="008632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E0611"/>
    <w:multiLevelType w:val="singleLevel"/>
    <w:tmpl w:val="DD162334"/>
    <w:lvl w:ilvl="0">
      <w:start w:val="2"/>
      <w:numFmt w:val="decimal"/>
      <w:pStyle w:val="numberlist"/>
      <w:lvlText w:val="%1."/>
      <w:lvlJc w:val="left"/>
      <w:pPr>
        <w:tabs>
          <w:tab w:val="num" w:pos="360"/>
        </w:tabs>
        <w:ind w:left="360" w:hanging="360"/>
      </w:pPr>
      <w:rPr>
        <w:b w:val="0"/>
      </w:rPr>
    </w:lvl>
  </w:abstractNum>
  <w:abstractNum w:abstractNumId="1">
    <w:nsid w:val="669B0E6F"/>
    <w:multiLevelType w:val="hybridMultilevel"/>
    <w:tmpl w:val="DEEC8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CE"/>
    <w:rsid w:val="000134CE"/>
    <w:rsid w:val="000323B3"/>
    <w:rsid w:val="000720F4"/>
    <w:rsid w:val="001D6C75"/>
    <w:rsid w:val="001E630D"/>
    <w:rsid w:val="0029251B"/>
    <w:rsid w:val="0032625D"/>
    <w:rsid w:val="00371327"/>
    <w:rsid w:val="00396DA3"/>
    <w:rsid w:val="003A6A45"/>
    <w:rsid w:val="003B2BB8"/>
    <w:rsid w:val="003D34FF"/>
    <w:rsid w:val="00454644"/>
    <w:rsid w:val="004631A8"/>
    <w:rsid w:val="004B54CA"/>
    <w:rsid w:val="004E5CBF"/>
    <w:rsid w:val="00556306"/>
    <w:rsid w:val="00563A1B"/>
    <w:rsid w:val="005C3AA9"/>
    <w:rsid w:val="0069595D"/>
    <w:rsid w:val="006A4CE7"/>
    <w:rsid w:val="006A669C"/>
    <w:rsid w:val="006F44E9"/>
    <w:rsid w:val="00785261"/>
    <w:rsid w:val="007A121A"/>
    <w:rsid w:val="007B0256"/>
    <w:rsid w:val="007E65FC"/>
    <w:rsid w:val="008210BF"/>
    <w:rsid w:val="00863201"/>
    <w:rsid w:val="008924F6"/>
    <w:rsid w:val="009225F0"/>
    <w:rsid w:val="00937865"/>
    <w:rsid w:val="00955370"/>
    <w:rsid w:val="00956744"/>
    <w:rsid w:val="00BA2DB9"/>
    <w:rsid w:val="00BE7148"/>
    <w:rsid w:val="00C240BF"/>
    <w:rsid w:val="00C35F0E"/>
    <w:rsid w:val="00D50CFF"/>
    <w:rsid w:val="00D804BA"/>
    <w:rsid w:val="00D87DCC"/>
    <w:rsid w:val="00DD4C23"/>
    <w:rsid w:val="00E1120A"/>
    <w:rsid w:val="00EA7FF5"/>
    <w:rsid w:val="00FC4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CE"/>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0134CE"/>
    <w:pPr>
      <w:tabs>
        <w:tab w:val="center" w:pos="4513"/>
        <w:tab w:val="right" w:pos="9026"/>
      </w:tabs>
      <w:spacing w:after="0" w:line="240" w:lineRule="auto"/>
    </w:pPr>
  </w:style>
  <w:style w:type="character" w:customStyle="1" w:styleId="HeaderChar">
    <w:name w:val="Header Char"/>
    <w:basedOn w:val="DefaultParagraphFont"/>
    <w:link w:val="Header"/>
    <w:rsid w:val="000134CE"/>
    <w:rPr>
      <w:rFonts w:ascii="Arial" w:hAnsi="Arial"/>
    </w:rPr>
  </w:style>
  <w:style w:type="paragraph" w:styleId="Footer">
    <w:name w:val="footer"/>
    <w:basedOn w:val="Normal"/>
    <w:link w:val="FooterChar"/>
    <w:uiPriority w:val="99"/>
    <w:unhideWhenUsed/>
    <w:rsid w:val="00013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4CE"/>
    <w:rPr>
      <w:rFonts w:ascii="Arial" w:hAnsi="Arial"/>
    </w:rPr>
  </w:style>
  <w:style w:type="character" w:styleId="PageNumber">
    <w:name w:val="page number"/>
    <w:basedOn w:val="DefaultParagraphFont"/>
    <w:rsid w:val="000134CE"/>
  </w:style>
  <w:style w:type="character" w:styleId="CommentReference">
    <w:name w:val="annotation reference"/>
    <w:basedOn w:val="DefaultParagraphFont"/>
    <w:uiPriority w:val="99"/>
    <w:semiHidden/>
    <w:unhideWhenUsed/>
    <w:rsid w:val="000134CE"/>
    <w:rPr>
      <w:sz w:val="16"/>
      <w:szCs w:val="16"/>
    </w:rPr>
  </w:style>
  <w:style w:type="paragraph" w:styleId="CommentText">
    <w:name w:val="annotation text"/>
    <w:basedOn w:val="Normal"/>
    <w:link w:val="CommentTextChar"/>
    <w:uiPriority w:val="99"/>
    <w:semiHidden/>
    <w:unhideWhenUsed/>
    <w:rsid w:val="000134CE"/>
    <w:pPr>
      <w:spacing w:line="240" w:lineRule="auto"/>
    </w:pPr>
    <w:rPr>
      <w:sz w:val="20"/>
      <w:szCs w:val="20"/>
    </w:rPr>
  </w:style>
  <w:style w:type="character" w:customStyle="1" w:styleId="CommentTextChar">
    <w:name w:val="Comment Text Char"/>
    <w:basedOn w:val="DefaultParagraphFont"/>
    <w:link w:val="CommentText"/>
    <w:uiPriority w:val="99"/>
    <w:semiHidden/>
    <w:rsid w:val="000134CE"/>
    <w:rPr>
      <w:rFonts w:ascii="Arial" w:hAnsi="Arial"/>
      <w:sz w:val="20"/>
      <w:szCs w:val="20"/>
    </w:rPr>
  </w:style>
  <w:style w:type="paragraph" w:styleId="BalloonText">
    <w:name w:val="Balloon Text"/>
    <w:basedOn w:val="Normal"/>
    <w:link w:val="BalloonTextChar"/>
    <w:uiPriority w:val="99"/>
    <w:semiHidden/>
    <w:unhideWhenUsed/>
    <w:rsid w:val="00013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C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A7FF5"/>
    <w:rPr>
      <w:b/>
      <w:bCs/>
    </w:rPr>
  </w:style>
  <w:style w:type="character" w:customStyle="1" w:styleId="CommentSubjectChar">
    <w:name w:val="Comment Subject Char"/>
    <w:basedOn w:val="CommentTextChar"/>
    <w:link w:val="CommentSubject"/>
    <w:uiPriority w:val="99"/>
    <w:semiHidden/>
    <w:rsid w:val="00EA7FF5"/>
    <w:rPr>
      <w:rFonts w:ascii="Arial" w:hAnsi="Arial"/>
      <w:b/>
      <w:bCs/>
      <w:sz w:val="20"/>
      <w:szCs w:val="20"/>
    </w:rPr>
  </w:style>
  <w:style w:type="paragraph" w:customStyle="1" w:styleId="numberlist">
    <w:name w:val="number_list"/>
    <w:basedOn w:val="Normal"/>
    <w:rsid w:val="00D87DCC"/>
    <w:pPr>
      <w:numPr>
        <w:numId w:val="1"/>
      </w:numPr>
      <w:spacing w:after="120" w:line="240" w:lineRule="auto"/>
    </w:pPr>
    <w:rPr>
      <w:rFonts w:ascii="Times New Roman" w:eastAsia="Times New Roman" w:hAnsi="Times New Roman" w:cs="Times New Roman"/>
      <w:sz w:val="24"/>
      <w:szCs w:val="20"/>
    </w:rPr>
  </w:style>
  <w:style w:type="paragraph" w:customStyle="1" w:styleId="Default">
    <w:name w:val="Default"/>
    <w:rsid w:val="006A669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CE"/>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0134CE"/>
    <w:pPr>
      <w:tabs>
        <w:tab w:val="center" w:pos="4513"/>
        <w:tab w:val="right" w:pos="9026"/>
      </w:tabs>
      <w:spacing w:after="0" w:line="240" w:lineRule="auto"/>
    </w:pPr>
  </w:style>
  <w:style w:type="character" w:customStyle="1" w:styleId="HeaderChar">
    <w:name w:val="Header Char"/>
    <w:basedOn w:val="DefaultParagraphFont"/>
    <w:link w:val="Header"/>
    <w:rsid w:val="000134CE"/>
    <w:rPr>
      <w:rFonts w:ascii="Arial" w:hAnsi="Arial"/>
    </w:rPr>
  </w:style>
  <w:style w:type="paragraph" w:styleId="Footer">
    <w:name w:val="footer"/>
    <w:basedOn w:val="Normal"/>
    <w:link w:val="FooterChar"/>
    <w:uiPriority w:val="99"/>
    <w:unhideWhenUsed/>
    <w:rsid w:val="00013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4CE"/>
    <w:rPr>
      <w:rFonts w:ascii="Arial" w:hAnsi="Arial"/>
    </w:rPr>
  </w:style>
  <w:style w:type="character" w:styleId="PageNumber">
    <w:name w:val="page number"/>
    <w:basedOn w:val="DefaultParagraphFont"/>
    <w:rsid w:val="000134CE"/>
  </w:style>
  <w:style w:type="character" w:styleId="CommentReference">
    <w:name w:val="annotation reference"/>
    <w:basedOn w:val="DefaultParagraphFont"/>
    <w:uiPriority w:val="99"/>
    <w:semiHidden/>
    <w:unhideWhenUsed/>
    <w:rsid w:val="000134CE"/>
    <w:rPr>
      <w:sz w:val="16"/>
      <w:szCs w:val="16"/>
    </w:rPr>
  </w:style>
  <w:style w:type="paragraph" w:styleId="CommentText">
    <w:name w:val="annotation text"/>
    <w:basedOn w:val="Normal"/>
    <w:link w:val="CommentTextChar"/>
    <w:uiPriority w:val="99"/>
    <w:semiHidden/>
    <w:unhideWhenUsed/>
    <w:rsid w:val="000134CE"/>
    <w:pPr>
      <w:spacing w:line="240" w:lineRule="auto"/>
    </w:pPr>
    <w:rPr>
      <w:sz w:val="20"/>
      <w:szCs w:val="20"/>
    </w:rPr>
  </w:style>
  <w:style w:type="character" w:customStyle="1" w:styleId="CommentTextChar">
    <w:name w:val="Comment Text Char"/>
    <w:basedOn w:val="DefaultParagraphFont"/>
    <w:link w:val="CommentText"/>
    <w:uiPriority w:val="99"/>
    <w:semiHidden/>
    <w:rsid w:val="000134CE"/>
    <w:rPr>
      <w:rFonts w:ascii="Arial" w:hAnsi="Arial"/>
      <w:sz w:val="20"/>
      <w:szCs w:val="20"/>
    </w:rPr>
  </w:style>
  <w:style w:type="paragraph" w:styleId="BalloonText">
    <w:name w:val="Balloon Text"/>
    <w:basedOn w:val="Normal"/>
    <w:link w:val="BalloonTextChar"/>
    <w:uiPriority w:val="99"/>
    <w:semiHidden/>
    <w:unhideWhenUsed/>
    <w:rsid w:val="00013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C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A7FF5"/>
    <w:rPr>
      <w:b/>
      <w:bCs/>
    </w:rPr>
  </w:style>
  <w:style w:type="character" w:customStyle="1" w:styleId="CommentSubjectChar">
    <w:name w:val="Comment Subject Char"/>
    <w:basedOn w:val="CommentTextChar"/>
    <w:link w:val="CommentSubject"/>
    <w:uiPriority w:val="99"/>
    <w:semiHidden/>
    <w:rsid w:val="00EA7FF5"/>
    <w:rPr>
      <w:rFonts w:ascii="Arial" w:hAnsi="Arial"/>
      <w:b/>
      <w:bCs/>
      <w:sz w:val="20"/>
      <w:szCs w:val="20"/>
    </w:rPr>
  </w:style>
  <w:style w:type="paragraph" w:customStyle="1" w:styleId="numberlist">
    <w:name w:val="number_list"/>
    <w:basedOn w:val="Normal"/>
    <w:rsid w:val="00D87DCC"/>
    <w:pPr>
      <w:numPr>
        <w:numId w:val="1"/>
      </w:numPr>
      <w:spacing w:after="120" w:line="240" w:lineRule="auto"/>
    </w:pPr>
    <w:rPr>
      <w:rFonts w:ascii="Times New Roman" w:eastAsia="Times New Roman" w:hAnsi="Times New Roman" w:cs="Times New Roman"/>
      <w:sz w:val="24"/>
      <w:szCs w:val="20"/>
    </w:rPr>
  </w:style>
  <w:style w:type="paragraph" w:customStyle="1" w:styleId="Default">
    <w:name w:val="Default"/>
    <w:rsid w:val="006A66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588">
      <w:bodyDiv w:val="1"/>
      <w:marLeft w:val="0"/>
      <w:marRight w:val="0"/>
      <w:marTop w:val="0"/>
      <w:marBottom w:val="0"/>
      <w:divBdr>
        <w:top w:val="none" w:sz="0" w:space="0" w:color="auto"/>
        <w:left w:val="none" w:sz="0" w:space="0" w:color="auto"/>
        <w:bottom w:val="none" w:sz="0" w:space="0" w:color="auto"/>
        <w:right w:val="none" w:sz="0" w:space="0" w:color="auto"/>
      </w:divBdr>
    </w:div>
    <w:div w:id="1849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4724185E-8818-4A91-80AE-D701644D71C0" xsi:nil="true"/>
    <pdms_SecurityClassification xmlns="4724185E-8818-4A91-80AE-D701644D71C0" xsi:nil="true"/>
    <pdms_Reason xmlns="4724185E-8818-4A91-80AE-D701644D71C0" xsi:nil="true"/>
    <SecurityClassification xmlns="4724185E-8818-4A91-80AE-D701644D71C0" xsi:nil="true"/>
    <pdms_AttachedBy xmlns="4724185E-8818-4A91-80AE-D701644D71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5D013D25F042145976F5285E5B090BE" ma:contentTypeVersion="" ma:contentTypeDescription="PDMS Documentation Content Type" ma:contentTypeScope="" ma:versionID="c9a9feb041365204ac649c13230b802c">
  <xsd:schema xmlns:xsd="http://www.w3.org/2001/XMLSchema" xmlns:xs="http://www.w3.org/2001/XMLSchema" xmlns:p="http://schemas.microsoft.com/office/2006/metadata/properties" xmlns:ns2="4724185E-8818-4A91-80AE-D701644D71C0" targetNamespace="http://schemas.microsoft.com/office/2006/metadata/properties" ma:root="true" ma:fieldsID="428ad5c77195be0e0b02acb639b4c3bf" ns2:_="">
    <xsd:import namespace="4724185E-8818-4A91-80AE-D701644D71C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4185E-8818-4A91-80AE-D701644D71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04D44-BD17-4D81-B93B-81DE81D79C73}">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4724185E-8818-4A91-80AE-D701644D71C0"/>
  </ds:schemaRefs>
</ds:datastoreItem>
</file>

<file path=customXml/itemProps2.xml><?xml version="1.0" encoding="utf-8"?>
<ds:datastoreItem xmlns:ds="http://schemas.openxmlformats.org/officeDocument/2006/customXml" ds:itemID="{7F9FE198-0859-475C-BF68-732DEDC53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4185E-8818-4A91-80AE-D701644D7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BB022-FEEF-4A5C-96E8-4167EC4D1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4991</Characters>
  <Application>Microsoft Office Word</Application>
  <DocSecurity>4</DocSecurity>
  <Lines>103</Lines>
  <Paragraphs>33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ARROWSMITH, Naomi</dc:creator>
  <cp:lastModifiedBy>MCLAUCHLAN, Rory</cp:lastModifiedBy>
  <cp:revision>2</cp:revision>
  <cp:lastPrinted>2016-10-17T21:38:00Z</cp:lastPrinted>
  <dcterms:created xsi:type="dcterms:W3CDTF">2016-11-30T22:03:00Z</dcterms:created>
  <dcterms:modified xsi:type="dcterms:W3CDTF">2016-11-30T22:03:00Z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0x010100266966F133664895A6EE3632470D45F5010075D013D25F042145976F5285E5B090BE</vt:lpwstr>
  </property>
</Properties>
</file>