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C8A27" w14:textId="77777777" w:rsidR="00B76969" w:rsidRDefault="005B0E3A" w:rsidP="00B76969">
      <w:pPr>
        <w:spacing w:before="63"/>
        <w:contextualSpacing/>
        <w:jc w:val="center"/>
        <w:rPr>
          <w:b/>
          <w:color w:val="000000"/>
          <w:spacing w:val="-1"/>
          <w:sz w:val="28"/>
        </w:rPr>
      </w:pPr>
      <w:bookmarkStart w:id="0" w:name="_GoBack"/>
      <w:bookmarkEnd w:id="0"/>
      <w:r>
        <w:rPr>
          <w:b/>
          <w:color w:val="000000"/>
          <w:sz w:val="28"/>
        </w:rPr>
        <w:t>EXPLANATORY</w:t>
      </w:r>
      <w:r>
        <w:rPr>
          <w:b/>
          <w:color w:val="000000"/>
          <w:spacing w:val="-39"/>
          <w:sz w:val="28"/>
        </w:rPr>
        <w:t xml:space="preserve"> </w:t>
      </w:r>
      <w:r w:rsidR="00B76969">
        <w:rPr>
          <w:b/>
          <w:color w:val="000000"/>
          <w:spacing w:val="-1"/>
          <w:sz w:val="28"/>
        </w:rPr>
        <w:t xml:space="preserve">STATEMENT for </w:t>
      </w:r>
    </w:p>
    <w:p w14:paraId="7E5CE89C" w14:textId="090EA1A2" w:rsidR="005B0E3A" w:rsidRDefault="00B76969" w:rsidP="00B76969">
      <w:pPr>
        <w:spacing w:before="63"/>
        <w:contextualSpacing/>
        <w:jc w:val="center"/>
        <w:rPr>
          <w:sz w:val="28"/>
          <w:szCs w:val="28"/>
        </w:rPr>
      </w:pPr>
      <w:r>
        <w:rPr>
          <w:b/>
          <w:color w:val="000000"/>
          <w:spacing w:val="-1"/>
          <w:sz w:val="28"/>
        </w:rPr>
        <w:br/>
        <w:t>ASIC Corporations (Recognised Accountants: Exempt Services) Instrument 2016/</w:t>
      </w:r>
      <w:r w:rsidR="00FA7962">
        <w:rPr>
          <w:b/>
          <w:color w:val="000000"/>
          <w:spacing w:val="-1"/>
          <w:sz w:val="28"/>
        </w:rPr>
        <w:t>1151</w:t>
      </w:r>
      <w:r w:rsidR="005B0E3A">
        <w:rPr>
          <w:b/>
          <w:color w:val="000000"/>
          <w:spacing w:val="-1"/>
          <w:sz w:val="28"/>
        </w:rPr>
        <w:t xml:space="preserve"> </w:t>
      </w:r>
    </w:p>
    <w:p w14:paraId="4D549ED5" w14:textId="77777777" w:rsidR="005B0E3A" w:rsidRDefault="005B0E3A" w:rsidP="005B0E3A">
      <w:pPr>
        <w:pStyle w:val="BodyText"/>
        <w:jc w:val="center"/>
      </w:pPr>
      <w:r>
        <w:t>Prepared by the Australian Securities and Investments Commission</w:t>
      </w:r>
    </w:p>
    <w:p w14:paraId="425E3C74" w14:textId="77777777" w:rsidR="005B0E3A" w:rsidRDefault="005B0E3A" w:rsidP="005B0E3A">
      <w:pPr>
        <w:spacing w:before="4" w:line="220" w:lineRule="exact"/>
        <w:jc w:val="center"/>
      </w:pPr>
    </w:p>
    <w:p w14:paraId="3441F746" w14:textId="77777777" w:rsidR="005B0E3A" w:rsidRDefault="005B0E3A" w:rsidP="005B0E3A">
      <w:pPr>
        <w:jc w:val="center"/>
        <w:rPr>
          <w:sz w:val="24"/>
          <w:szCs w:val="24"/>
        </w:rPr>
      </w:pPr>
      <w:r>
        <w:rPr>
          <w:i/>
          <w:sz w:val="24"/>
        </w:rPr>
        <w:t>Corporations Act 2001</w:t>
      </w:r>
    </w:p>
    <w:p w14:paraId="61B7F6B2" w14:textId="5327B027" w:rsidR="00B76969" w:rsidRDefault="005B0E3A" w:rsidP="00E761D6">
      <w:pPr>
        <w:pStyle w:val="BodyText"/>
        <w:spacing w:line="320" w:lineRule="atLeast"/>
        <w:jc w:val="both"/>
      </w:pPr>
      <w:r>
        <w:t xml:space="preserve">The Australian Securities and </w:t>
      </w:r>
      <w:r>
        <w:rPr>
          <w:spacing w:val="-1"/>
        </w:rPr>
        <w:t>Investments</w:t>
      </w:r>
      <w:r>
        <w:t xml:space="preserve"> </w:t>
      </w:r>
      <w:r>
        <w:rPr>
          <w:spacing w:val="-1"/>
        </w:rPr>
        <w:t>Commission</w:t>
      </w:r>
      <w:r>
        <w:t xml:space="preserve"> (</w:t>
      </w:r>
      <w:r w:rsidRPr="00793DCF">
        <w:rPr>
          <w:b/>
          <w:i/>
        </w:rPr>
        <w:t>ASIC</w:t>
      </w:r>
      <w:r>
        <w:t xml:space="preserve">) </w:t>
      </w:r>
      <w:r>
        <w:rPr>
          <w:spacing w:val="-1"/>
        </w:rPr>
        <w:t>makes</w:t>
      </w:r>
      <w:r>
        <w:t xml:space="preserve"> </w:t>
      </w:r>
      <w:r w:rsidR="00B76969" w:rsidRPr="00691CD2">
        <w:rPr>
          <w:i/>
        </w:rPr>
        <w:t>ASIC Corporations (Recognised Accountants: Exempt Services) Instrument 2016/</w:t>
      </w:r>
      <w:r w:rsidR="00FA7962">
        <w:rPr>
          <w:i/>
        </w:rPr>
        <w:t>1151</w:t>
      </w:r>
      <w:r w:rsidR="007E6C49">
        <w:t xml:space="preserve"> </w:t>
      </w:r>
      <w:r w:rsidR="00B76969">
        <w:t xml:space="preserve">under subsection 926A(2) of the </w:t>
      </w:r>
      <w:r w:rsidR="00B76969" w:rsidRPr="00F31C3A">
        <w:rPr>
          <w:i/>
        </w:rPr>
        <w:t>Corporations Act 2001</w:t>
      </w:r>
      <w:r w:rsidR="00B76969">
        <w:t xml:space="preserve"> (</w:t>
      </w:r>
      <w:r w:rsidR="00B76969" w:rsidRPr="00793DCF">
        <w:rPr>
          <w:b/>
          <w:i/>
        </w:rPr>
        <w:t>the Act</w:t>
      </w:r>
      <w:r w:rsidR="00B76969">
        <w:t xml:space="preserve">). This </w:t>
      </w:r>
      <w:r w:rsidR="00D91AE1">
        <w:t xml:space="preserve">paragraph </w:t>
      </w:r>
      <w:r w:rsidR="00B76969">
        <w:t xml:space="preserve">of the Act provides that ASIC may declare that the provisions in Part 7.6 (other than Divisions 4 and 8) of the Act apply in relation to a person or financial product, or a class of persons or financial products, as if the specified provisions were omitted, modified or varied as specified in the declaration. </w:t>
      </w:r>
    </w:p>
    <w:p w14:paraId="697FE254" w14:textId="77777777" w:rsidR="005B0E3A" w:rsidRDefault="005B0E3A" w:rsidP="005B0E3A">
      <w:pPr>
        <w:spacing w:before="6" w:line="220" w:lineRule="exact"/>
      </w:pPr>
    </w:p>
    <w:p w14:paraId="6A1A9E49" w14:textId="77777777" w:rsidR="005B0E3A" w:rsidRDefault="005B0E3A" w:rsidP="00B3342A">
      <w:pPr>
        <w:widowControl w:val="0"/>
        <w:numPr>
          <w:ilvl w:val="0"/>
          <w:numId w:val="7"/>
        </w:numPr>
        <w:tabs>
          <w:tab w:val="left" w:pos="1592"/>
        </w:tabs>
        <w:spacing w:before="145" w:after="0"/>
        <w:ind w:left="0" w:firstLine="0"/>
        <w:rPr>
          <w:rFonts w:eastAsia="Arial"/>
          <w:sz w:val="24"/>
          <w:szCs w:val="24"/>
        </w:rPr>
      </w:pPr>
      <w:bookmarkStart w:id="1" w:name="1._Background"/>
      <w:bookmarkEnd w:id="1"/>
      <w:r w:rsidRPr="00944B20">
        <w:rPr>
          <w:b/>
          <w:spacing w:val="-1"/>
          <w:sz w:val="24"/>
        </w:rPr>
        <w:t>Background</w:t>
      </w:r>
    </w:p>
    <w:p w14:paraId="1A373455" w14:textId="77777777" w:rsidR="00B3342A" w:rsidRPr="00B3342A" w:rsidRDefault="00B3342A" w:rsidP="00C3210C">
      <w:pPr>
        <w:widowControl w:val="0"/>
        <w:tabs>
          <w:tab w:val="left" w:pos="1592"/>
        </w:tabs>
        <w:spacing w:after="0"/>
        <w:rPr>
          <w:rFonts w:eastAsia="Arial"/>
          <w:sz w:val="24"/>
          <w:szCs w:val="24"/>
        </w:rPr>
      </w:pPr>
    </w:p>
    <w:p w14:paraId="52DF643D" w14:textId="381891E2" w:rsidR="00BF5E21" w:rsidRDefault="007258B9" w:rsidP="00C61369">
      <w:pPr>
        <w:spacing w:line="320" w:lineRule="atLeast"/>
        <w:jc w:val="both"/>
        <w:rPr>
          <w:sz w:val="24"/>
          <w:szCs w:val="24"/>
        </w:rPr>
      </w:pPr>
      <w:r>
        <w:rPr>
          <w:sz w:val="24"/>
          <w:szCs w:val="24"/>
        </w:rPr>
        <w:t>Under the</w:t>
      </w:r>
      <w:r w:rsidR="00F31C3A" w:rsidRPr="00E761D6">
        <w:rPr>
          <w:sz w:val="24"/>
          <w:szCs w:val="24"/>
        </w:rPr>
        <w:t xml:space="preserve"> </w:t>
      </w:r>
      <w:r w:rsidR="00F31C3A" w:rsidRPr="00E761D6">
        <w:rPr>
          <w:i/>
          <w:sz w:val="24"/>
          <w:szCs w:val="24"/>
        </w:rPr>
        <w:t>Corporations Amendment Regulation 2013 (No 3)</w:t>
      </w:r>
      <w:r w:rsidR="00C61369">
        <w:rPr>
          <w:sz w:val="24"/>
          <w:szCs w:val="24"/>
        </w:rPr>
        <w:t xml:space="preserve"> (</w:t>
      </w:r>
      <w:r w:rsidR="00793DCF">
        <w:rPr>
          <w:b/>
          <w:i/>
          <w:sz w:val="24"/>
          <w:szCs w:val="24"/>
        </w:rPr>
        <w:t>the A</w:t>
      </w:r>
      <w:r w:rsidR="00C61369" w:rsidRPr="00793DCF">
        <w:rPr>
          <w:b/>
          <w:i/>
          <w:sz w:val="24"/>
          <w:szCs w:val="24"/>
        </w:rPr>
        <w:t>mending</w:t>
      </w:r>
      <w:r w:rsidR="00793DCF">
        <w:rPr>
          <w:b/>
          <w:i/>
          <w:sz w:val="24"/>
          <w:szCs w:val="24"/>
        </w:rPr>
        <w:t xml:space="preserve"> R</w:t>
      </w:r>
      <w:r w:rsidR="00C61369" w:rsidRPr="00793DCF">
        <w:rPr>
          <w:b/>
          <w:i/>
          <w:sz w:val="24"/>
          <w:szCs w:val="24"/>
        </w:rPr>
        <w:t>egulation</w:t>
      </w:r>
      <w:r w:rsidR="00C61369">
        <w:rPr>
          <w:sz w:val="24"/>
          <w:szCs w:val="24"/>
        </w:rPr>
        <w:t>)</w:t>
      </w:r>
      <w:r w:rsidR="00793DCF">
        <w:rPr>
          <w:sz w:val="24"/>
          <w:szCs w:val="24"/>
        </w:rPr>
        <w:t>,</w:t>
      </w:r>
      <w:r w:rsidR="00F31C3A" w:rsidRPr="00E761D6">
        <w:rPr>
          <w:i/>
          <w:sz w:val="24"/>
          <w:szCs w:val="24"/>
        </w:rPr>
        <w:t xml:space="preserve"> </w:t>
      </w:r>
      <w:r w:rsidR="00D77653" w:rsidRPr="00E761D6">
        <w:rPr>
          <w:sz w:val="24"/>
          <w:szCs w:val="24"/>
        </w:rPr>
        <w:t xml:space="preserve">regulation </w:t>
      </w:r>
      <w:r w:rsidR="00F31C3A" w:rsidRPr="00E761D6">
        <w:rPr>
          <w:sz w:val="24"/>
          <w:szCs w:val="24"/>
        </w:rPr>
        <w:t>7.1.2</w:t>
      </w:r>
      <w:r w:rsidR="00D91AE1">
        <w:rPr>
          <w:sz w:val="24"/>
          <w:szCs w:val="24"/>
        </w:rPr>
        <w:t>9</w:t>
      </w:r>
      <w:r w:rsidR="00F31C3A" w:rsidRPr="00E761D6">
        <w:rPr>
          <w:sz w:val="24"/>
          <w:szCs w:val="24"/>
        </w:rPr>
        <w:t xml:space="preserve">A of the </w:t>
      </w:r>
      <w:r w:rsidR="00F31C3A" w:rsidRPr="00E761D6">
        <w:rPr>
          <w:i/>
          <w:sz w:val="24"/>
          <w:szCs w:val="24"/>
        </w:rPr>
        <w:t>Corporations Regulations 2001</w:t>
      </w:r>
      <w:r w:rsidR="00C61369">
        <w:rPr>
          <w:i/>
          <w:sz w:val="24"/>
          <w:szCs w:val="24"/>
        </w:rPr>
        <w:t xml:space="preserve"> </w:t>
      </w:r>
      <w:r w:rsidR="00C61369">
        <w:rPr>
          <w:sz w:val="24"/>
          <w:szCs w:val="24"/>
        </w:rPr>
        <w:t>(</w:t>
      </w:r>
      <w:r w:rsidR="00793DCF">
        <w:rPr>
          <w:b/>
          <w:i/>
          <w:sz w:val="24"/>
          <w:szCs w:val="24"/>
        </w:rPr>
        <w:t>the R</w:t>
      </w:r>
      <w:r w:rsidR="00C61369" w:rsidRPr="00793DCF">
        <w:rPr>
          <w:b/>
          <w:i/>
          <w:sz w:val="24"/>
          <w:szCs w:val="24"/>
        </w:rPr>
        <w:t>egulations</w:t>
      </w:r>
      <w:r w:rsidR="00C61369">
        <w:rPr>
          <w:sz w:val="24"/>
          <w:szCs w:val="24"/>
        </w:rPr>
        <w:t>)</w:t>
      </w:r>
      <w:r w:rsidR="00741BB5">
        <w:rPr>
          <w:sz w:val="24"/>
          <w:szCs w:val="24"/>
        </w:rPr>
        <w:t xml:space="preserve">, </w:t>
      </w:r>
      <w:r w:rsidR="00B805D6">
        <w:rPr>
          <w:sz w:val="24"/>
          <w:szCs w:val="24"/>
        </w:rPr>
        <w:t xml:space="preserve">which allowed </w:t>
      </w:r>
      <w:r w:rsidR="00B805D6" w:rsidRPr="00E761D6">
        <w:rPr>
          <w:sz w:val="24"/>
          <w:szCs w:val="24"/>
        </w:rPr>
        <w:t xml:space="preserve">recognised accountants </w:t>
      </w:r>
      <w:r w:rsidR="00B805D6">
        <w:rPr>
          <w:sz w:val="24"/>
          <w:szCs w:val="24"/>
        </w:rPr>
        <w:t xml:space="preserve">to provide </w:t>
      </w:r>
      <w:r w:rsidR="00B805D6" w:rsidRPr="00E761D6">
        <w:rPr>
          <w:sz w:val="24"/>
          <w:szCs w:val="24"/>
        </w:rPr>
        <w:t xml:space="preserve">advice relating to the acquisition or disposal of interests in </w:t>
      </w:r>
      <w:r w:rsidR="00B805D6">
        <w:rPr>
          <w:sz w:val="24"/>
          <w:szCs w:val="24"/>
        </w:rPr>
        <w:t xml:space="preserve">a </w:t>
      </w:r>
      <w:r w:rsidR="00B805D6" w:rsidRPr="00E761D6">
        <w:rPr>
          <w:sz w:val="24"/>
          <w:szCs w:val="24"/>
        </w:rPr>
        <w:t>self-managed superannuation fund (</w:t>
      </w:r>
      <w:r w:rsidR="00B805D6" w:rsidRPr="00793DCF">
        <w:rPr>
          <w:b/>
          <w:i/>
          <w:sz w:val="24"/>
          <w:szCs w:val="24"/>
        </w:rPr>
        <w:t>SMSF</w:t>
      </w:r>
      <w:r w:rsidR="00B805D6">
        <w:rPr>
          <w:sz w:val="24"/>
          <w:szCs w:val="24"/>
        </w:rPr>
        <w:t>)</w:t>
      </w:r>
      <w:r w:rsidR="00161556">
        <w:rPr>
          <w:sz w:val="24"/>
          <w:szCs w:val="24"/>
        </w:rPr>
        <w:t xml:space="preserve"> </w:t>
      </w:r>
      <w:r w:rsidR="00B805D6">
        <w:rPr>
          <w:sz w:val="24"/>
          <w:szCs w:val="24"/>
        </w:rPr>
        <w:t>without being covered by an Australian financial services (</w:t>
      </w:r>
      <w:r w:rsidR="00B805D6" w:rsidRPr="00793DCF">
        <w:rPr>
          <w:b/>
          <w:i/>
          <w:sz w:val="24"/>
          <w:szCs w:val="24"/>
        </w:rPr>
        <w:t>AFS</w:t>
      </w:r>
      <w:r w:rsidR="00B805D6">
        <w:rPr>
          <w:sz w:val="24"/>
          <w:szCs w:val="24"/>
        </w:rPr>
        <w:t>) licence</w:t>
      </w:r>
      <w:r w:rsidR="00BF43DF">
        <w:rPr>
          <w:sz w:val="24"/>
          <w:szCs w:val="24"/>
        </w:rPr>
        <w:t xml:space="preserve"> (accountants' exemption)</w:t>
      </w:r>
      <w:r w:rsidR="00B805D6">
        <w:rPr>
          <w:sz w:val="24"/>
          <w:szCs w:val="24"/>
        </w:rPr>
        <w:t xml:space="preserve">, </w:t>
      </w:r>
      <w:r w:rsidR="00B61D45">
        <w:rPr>
          <w:sz w:val="24"/>
          <w:szCs w:val="24"/>
        </w:rPr>
        <w:t>was repealed on 1 July 201</w:t>
      </w:r>
      <w:r w:rsidR="00B805D6">
        <w:rPr>
          <w:sz w:val="24"/>
          <w:szCs w:val="24"/>
        </w:rPr>
        <w:t xml:space="preserve">6. </w:t>
      </w:r>
      <w:r w:rsidR="008B5FCC">
        <w:rPr>
          <w:sz w:val="24"/>
          <w:szCs w:val="24"/>
        </w:rPr>
        <w:t xml:space="preserve"> A recognised accountant </w:t>
      </w:r>
      <w:r w:rsidR="00867676">
        <w:rPr>
          <w:sz w:val="24"/>
          <w:szCs w:val="24"/>
        </w:rPr>
        <w:t>was defined as</w:t>
      </w:r>
      <w:r w:rsidR="008B5FCC">
        <w:rPr>
          <w:sz w:val="24"/>
          <w:szCs w:val="24"/>
        </w:rPr>
        <w:t>:</w:t>
      </w:r>
    </w:p>
    <w:p w14:paraId="0B3B56D8" w14:textId="4FB122B8" w:rsidR="008B5FCC" w:rsidRDefault="008B5FCC" w:rsidP="00867676">
      <w:pPr>
        <w:pStyle w:val="ListParagraph"/>
        <w:numPr>
          <w:ilvl w:val="0"/>
          <w:numId w:val="26"/>
        </w:numPr>
        <w:spacing w:line="320" w:lineRule="atLeast"/>
        <w:jc w:val="both"/>
        <w:rPr>
          <w:sz w:val="24"/>
          <w:szCs w:val="24"/>
        </w:rPr>
      </w:pPr>
      <w:r>
        <w:rPr>
          <w:sz w:val="24"/>
          <w:szCs w:val="24"/>
        </w:rPr>
        <w:t>a member of CPA Australia who:</w:t>
      </w:r>
    </w:p>
    <w:p w14:paraId="66374899" w14:textId="77777777" w:rsidR="008B5FCC" w:rsidRDefault="008B5FCC" w:rsidP="00867676">
      <w:pPr>
        <w:pStyle w:val="ListParagraph"/>
        <w:numPr>
          <w:ilvl w:val="0"/>
          <w:numId w:val="27"/>
        </w:numPr>
        <w:spacing w:line="320" w:lineRule="atLeast"/>
        <w:jc w:val="both"/>
        <w:rPr>
          <w:sz w:val="24"/>
          <w:szCs w:val="24"/>
        </w:rPr>
      </w:pPr>
      <w:r>
        <w:rPr>
          <w:sz w:val="24"/>
          <w:szCs w:val="24"/>
        </w:rPr>
        <w:t>is entitled to use the letters "CPA" or "FCPA"; and</w:t>
      </w:r>
    </w:p>
    <w:p w14:paraId="5756B00C" w14:textId="1FA3918C" w:rsidR="008B5FCC" w:rsidRDefault="008B5FCC" w:rsidP="009133D2">
      <w:pPr>
        <w:pStyle w:val="ListParagraph"/>
        <w:numPr>
          <w:ilvl w:val="0"/>
          <w:numId w:val="27"/>
        </w:numPr>
        <w:spacing w:line="320" w:lineRule="atLeast"/>
        <w:contextualSpacing w:val="0"/>
        <w:jc w:val="both"/>
        <w:rPr>
          <w:sz w:val="24"/>
          <w:szCs w:val="24"/>
        </w:rPr>
      </w:pPr>
      <w:r>
        <w:rPr>
          <w:sz w:val="24"/>
          <w:szCs w:val="24"/>
        </w:rPr>
        <w:t xml:space="preserve">is subject to, and complies with, CPA's continuing professional education requirements; or </w:t>
      </w:r>
    </w:p>
    <w:p w14:paraId="57EBB5CF" w14:textId="7661BF0B" w:rsidR="008B5FCC" w:rsidRDefault="008B5FCC" w:rsidP="009133D2">
      <w:pPr>
        <w:pStyle w:val="ListParagraph"/>
        <w:numPr>
          <w:ilvl w:val="0"/>
          <w:numId w:val="26"/>
        </w:numPr>
        <w:spacing w:line="320" w:lineRule="atLeast"/>
        <w:jc w:val="both"/>
        <w:rPr>
          <w:sz w:val="24"/>
          <w:szCs w:val="24"/>
        </w:rPr>
      </w:pPr>
      <w:r w:rsidRPr="008B5FCC">
        <w:rPr>
          <w:sz w:val="24"/>
          <w:szCs w:val="24"/>
        </w:rPr>
        <w:t xml:space="preserve">a member of the Institute of Chartered Accountants in Australia </w:t>
      </w:r>
      <w:r>
        <w:rPr>
          <w:sz w:val="24"/>
          <w:szCs w:val="24"/>
        </w:rPr>
        <w:t>(</w:t>
      </w:r>
      <w:r w:rsidRPr="00867676">
        <w:rPr>
          <w:b/>
          <w:i/>
          <w:sz w:val="24"/>
          <w:szCs w:val="24"/>
        </w:rPr>
        <w:t>ICAA</w:t>
      </w:r>
      <w:r>
        <w:rPr>
          <w:sz w:val="24"/>
          <w:szCs w:val="24"/>
        </w:rPr>
        <w:t xml:space="preserve">) </w:t>
      </w:r>
      <w:r w:rsidRPr="008B5FCC">
        <w:rPr>
          <w:sz w:val="24"/>
          <w:szCs w:val="24"/>
        </w:rPr>
        <w:t>who:</w:t>
      </w:r>
    </w:p>
    <w:p w14:paraId="18CCA323" w14:textId="2B11C632" w:rsidR="008B5FCC" w:rsidRDefault="008B5FCC" w:rsidP="009133D2">
      <w:pPr>
        <w:pStyle w:val="ListParagraph"/>
        <w:numPr>
          <w:ilvl w:val="0"/>
          <w:numId w:val="28"/>
        </w:numPr>
        <w:spacing w:line="320" w:lineRule="atLeast"/>
        <w:jc w:val="both"/>
        <w:rPr>
          <w:sz w:val="24"/>
          <w:szCs w:val="24"/>
        </w:rPr>
      </w:pPr>
      <w:r>
        <w:rPr>
          <w:sz w:val="24"/>
          <w:szCs w:val="24"/>
        </w:rPr>
        <w:t xml:space="preserve">is entitled to use the letters "ACA", "CA" or "FCA"; and </w:t>
      </w:r>
    </w:p>
    <w:p w14:paraId="110294C3" w14:textId="61137063" w:rsidR="008B5FCC" w:rsidRDefault="008B5FCC" w:rsidP="009133D2">
      <w:pPr>
        <w:pStyle w:val="ListParagraph"/>
        <w:numPr>
          <w:ilvl w:val="0"/>
          <w:numId w:val="28"/>
        </w:numPr>
        <w:spacing w:line="320" w:lineRule="atLeast"/>
        <w:contextualSpacing w:val="0"/>
        <w:jc w:val="both"/>
        <w:rPr>
          <w:sz w:val="24"/>
          <w:szCs w:val="24"/>
        </w:rPr>
      </w:pPr>
      <w:r>
        <w:rPr>
          <w:sz w:val="24"/>
          <w:szCs w:val="24"/>
        </w:rPr>
        <w:t>is subject to, and complies with, ICAA's continuing professional education requirements; or</w:t>
      </w:r>
    </w:p>
    <w:p w14:paraId="598DDB5D" w14:textId="2EA52196" w:rsidR="008B5FCC" w:rsidRDefault="008B5FCC" w:rsidP="00867676">
      <w:pPr>
        <w:pStyle w:val="ListParagraph"/>
        <w:numPr>
          <w:ilvl w:val="0"/>
          <w:numId w:val="26"/>
        </w:numPr>
        <w:spacing w:line="320" w:lineRule="atLeast"/>
        <w:jc w:val="both"/>
        <w:rPr>
          <w:sz w:val="24"/>
          <w:szCs w:val="24"/>
        </w:rPr>
      </w:pPr>
      <w:r>
        <w:rPr>
          <w:sz w:val="24"/>
          <w:szCs w:val="24"/>
        </w:rPr>
        <w:t>a member of the Institute of Public Accountants (</w:t>
      </w:r>
      <w:r w:rsidRPr="00867676">
        <w:rPr>
          <w:b/>
          <w:i/>
          <w:sz w:val="24"/>
          <w:szCs w:val="24"/>
        </w:rPr>
        <w:t>IPA</w:t>
      </w:r>
      <w:r>
        <w:rPr>
          <w:sz w:val="24"/>
          <w:szCs w:val="24"/>
        </w:rPr>
        <w:t>)</w:t>
      </w:r>
      <w:r w:rsidR="002E5C0D">
        <w:rPr>
          <w:sz w:val="24"/>
          <w:szCs w:val="24"/>
        </w:rPr>
        <w:t xml:space="preserve"> who:</w:t>
      </w:r>
    </w:p>
    <w:p w14:paraId="31769E56" w14:textId="183C9D0B" w:rsidR="002E5C0D" w:rsidRDefault="002E5C0D" w:rsidP="00867676">
      <w:pPr>
        <w:pStyle w:val="ListParagraph"/>
        <w:numPr>
          <w:ilvl w:val="0"/>
          <w:numId w:val="29"/>
        </w:numPr>
        <w:spacing w:line="320" w:lineRule="atLeast"/>
        <w:jc w:val="both"/>
        <w:rPr>
          <w:sz w:val="24"/>
          <w:szCs w:val="24"/>
        </w:rPr>
      </w:pPr>
      <w:r>
        <w:rPr>
          <w:sz w:val="24"/>
          <w:szCs w:val="24"/>
        </w:rPr>
        <w:t xml:space="preserve">is entitled to use the letters "MIPA" or "FIPA"; and </w:t>
      </w:r>
    </w:p>
    <w:p w14:paraId="2E1289C9" w14:textId="68616B3C" w:rsidR="002E5C0D" w:rsidRPr="00867676" w:rsidRDefault="002E5C0D" w:rsidP="00867676">
      <w:pPr>
        <w:pStyle w:val="ListParagraph"/>
        <w:numPr>
          <w:ilvl w:val="0"/>
          <w:numId w:val="29"/>
        </w:numPr>
        <w:spacing w:line="320" w:lineRule="atLeast"/>
        <w:jc w:val="both"/>
        <w:rPr>
          <w:sz w:val="24"/>
          <w:szCs w:val="24"/>
        </w:rPr>
      </w:pPr>
      <w:r>
        <w:rPr>
          <w:sz w:val="24"/>
          <w:szCs w:val="24"/>
        </w:rPr>
        <w:t xml:space="preserve">is subject to, and complies with, IPA's continuing professional education requirements. </w:t>
      </w:r>
    </w:p>
    <w:p w14:paraId="0EDF9806" w14:textId="022B6CBF" w:rsidR="0013483C" w:rsidRDefault="00161556" w:rsidP="009133D2">
      <w:pPr>
        <w:spacing w:line="320" w:lineRule="atLeast"/>
        <w:jc w:val="both"/>
        <w:rPr>
          <w:sz w:val="24"/>
          <w:szCs w:val="24"/>
        </w:rPr>
      </w:pPr>
      <w:r>
        <w:rPr>
          <w:sz w:val="24"/>
          <w:szCs w:val="24"/>
        </w:rPr>
        <w:t>T</w:t>
      </w:r>
      <w:r w:rsidR="007258B9">
        <w:rPr>
          <w:sz w:val="24"/>
          <w:szCs w:val="24"/>
        </w:rPr>
        <w:t>o</w:t>
      </w:r>
      <w:r w:rsidR="00846768" w:rsidRPr="00B7651B">
        <w:rPr>
          <w:sz w:val="24"/>
          <w:szCs w:val="24"/>
        </w:rPr>
        <w:t xml:space="preserve"> facilitate accountants moving to the AFS licensing regime, the </w:t>
      </w:r>
      <w:r w:rsidR="009B4BFF">
        <w:rPr>
          <w:sz w:val="24"/>
          <w:szCs w:val="24"/>
        </w:rPr>
        <w:t>Amending R</w:t>
      </w:r>
      <w:r w:rsidR="00C61369" w:rsidRPr="00B7651B">
        <w:rPr>
          <w:sz w:val="24"/>
          <w:szCs w:val="24"/>
        </w:rPr>
        <w:t xml:space="preserve">egulation </w:t>
      </w:r>
      <w:r w:rsidR="00846768" w:rsidRPr="00B7651B">
        <w:rPr>
          <w:sz w:val="24"/>
          <w:szCs w:val="24"/>
        </w:rPr>
        <w:t xml:space="preserve">created </w:t>
      </w:r>
      <w:r w:rsidR="00D91AE1">
        <w:rPr>
          <w:sz w:val="24"/>
          <w:szCs w:val="24"/>
        </w:rPr>
        <w:t xml:space="preserve">an alternative </w:t>
      </w:r>
      <w:r w:rsidR="00846768" w:rsidRPr="00B7651B">
        <w:rPr>
          <w:sz w:val="24"/>
          <w:szCs w:val="24"/>
        </w:rPr>
        <w:t xml:space="preserve">form of licence, </w:t>
      </w:r>
      <w:r>
        <w:rPr>
          <w:sz w:val="24"/>
          <w:szCs w:val="24"/>
        </w:rPr>
        <w:t xml:space="preserve">known as a limited AFS licence. </w:t>
      </w:r>
      <w:r w:rsidR="0013483C">
        <w:rPr>
          <w:sz w:val="24"/>
          <w:szCs w:val="24"/>
        </w:rPr>
        <w:t xml:space="preserve">Accountants (and other advisers) have been able to apply for a limited AFS licence from 1 July 2013. </w:t>
      </w:r>
    </w:p>
    <w:p w14:paraId="1D73219E" w14:textId="19CDEB76" w:rsidR="0013483C" w:rsidRDefault="0013483C" w:rsidP="009133D2">
      <w:pPr>
        <w:spacing w:line="320" w:lineRule="atLeast"/>
        <w:jc w:val="both"/>
        <w:rPr>
          <w:sz w:val="24"/>
          <w:szCs w:val="24"/>
        </w:rPr>
      </w:pPr>
      <w:r>
        <w:rPr>
          <w:sz w:val="24"/>
          <w:szCs w:val="24"/>
        </w:rPr>
        <w:lastRenderedPageBreak/>
        <w:t>A limited AFS licensee can be authorise</w:t>
      </w:r>
      <w:r w:rsidR="00636F74">
        <w:rPr>
          <w:sz w:val="24"/>
          <w:szCs w:val="24"/>
        </w:rPr>
        <w:t>d</w:t>
      </w:r>
      <w:r>
        <w:rPr>
          <w:sz w:val="24"/>
          <w:szCs w:val="24"/>
        </w:rPr>
        <w:t xml:space="preserve"> to provide the following services:</w:t>
      </w:r>
    </w:p>
    <w:p w14:paraId="743978C5" w14:textId="39546ADD" w:rsidR="0013483C" w:rsidRDefault="0013483C" w:rsidP="009133D2">
      <w:pPr>
        <w:pStyle w:val="ListParagraph"/>
        <w:numPr>
          <w:ilvl w:val="0"/>
          <w:numId w:val="30"/>
        </w:numPr>
        <w:spacing w:line="320" w:lineRule="atLeast"/>
        <w:ind w:left="714" w:hanging="357"/>
        <w:contextualSpacing w:val="0"/>
        <w:jc w:val="both"/>
        <w:rPr>
          <w:sz w:val="24"/>
          <w:szCs w:val="24"/>
        </w:rPr>
      </w:pPr>
      <w:r>
        <w:rPr>
          <w:sz w:val="24"/>
          <w:szCs w:val="24"/>
        </w:rPr>
        <w:t>financial produce advice on SMSFs including, but not limited to, advice to acquire (or not to acquire) or dispose of an SMSF</w:t>
      </w:r>
    </w:p>
    <w:p w14:paraId="40AC5AE2" w14:textId="77777777" w:rsidR="0013483C" w:rsidRDefault="0013483C" w:rsidP="009D6628">
      <w:pPr>
        <w:pStyle w:val="ListParagraph"/>
        <w:numPr>
          <w:ilvl w:val="0"/>
          <w:numId w:val="30"/>
        </w:numPr>
        <w:spacing w:line="320" w:lineRule="atLeast"/>
        <w:ind w:left="714" w:hanging="357"/>
        <w:jc w:val="both"/>
        <w:rPr>
          <w:sz w:val="24"/>
          <w:szCs w:val="24"/>
        </w:rPr>
      </w:pPr>
      <w:r>
        <w:rPr>
          <w:sz w:val="24"/>
          <w:szCs w:val="24"/>
        </w:rPr>
        <w:t>financial product advice on superannuation products in relation to a person's existing holding in superannuation products but only to the extent required for:</w:t>
      </w:r>
    </w:p>
    <w:p w14:paraId="658E1DAA" w14:textId="77777777" w:rsidR="00636F74" w:rsidRDefault="00636F74" w:rsidP="009D6628">
      <w:pPr>
        <w:pStyle w:val="ListParagraph"/>
        <w:numPr>
          <w:ilvl w:val="0"/>
          <w:numId w:val="35"/>
        </w:numPr>
        <w:spacing w:line="320" w:lineRule="atLeast"/>
        <w:jc w:val="both"/>
        <w:rPr>
          <w:sz w:val="24"/>
          <w:szCs w:val="24"/>
        </w:rPr>
      </w:pPr>
      <w:r>
        <w:rPr>
          <w:sz w:val="24"/>
          <w:szCs w:val="24"/>
        </w:rPr>
        <w:t>making a recommendation that a person establish an SMSF; or</w:t>
      </w:r>
    </w:p>
    <w:p w14:paraId="7D99497D" w14:textId="719172B3" w:rsidR="00161556" w:rsidRDefault="0045183F" w:rsidP="009D6628">
      <w:pPr>
        <w:pStyle w:val="ListParagraph"/>
        <w:numPr>
          <w:ilvl w:val="0"/>
          <w:numId w:val="35"/>
        </w:numPr>
        <w:spacing w:line="320" w:lineRule="atLeast"/>
        <w:contextualSpacing w:val="0"/>
        <w:jc w:val="both"/>
        <w:rPr>
          <w:sz w:val="24"/>
          <w:szCs w:val="24"/>
        </w:rPr>
      </w:pPr>
      <w:r>
        <w:rPr>
          <w:sz w:val="24"/>
          <w:szCs w:val="24"/>
        </w:rPr>
        <w:t>providing advice to the person on contributions or pensions under a superannuation product</w:t>
      </w:r>
    </w:p>
    <w:p w14:paraId="34E66C82" w14:textId="27F99B0E" w:rsidR="009133D2" w:rsidRDefault="009133D2" w:rsidP="009D6628">
      <w:pPr>
        <w:pStyle w:val="ListParagraph"/>
        <w:numPr>
          <w:ilvl w:val="0"/>
          <w:numId w:val="33"/>
        </w:numPr>
        <w:spacing w:line="320" w:lineRule="atLeast"/>
        <w:ind w:hanging="357"/>
        <w:jc w:val="both"/>
        <w:rPr>
          <w:sz w:val="24"/>
          <w:szCs w:val="24"/>
        </w:rPr>
      </w:pPr>
      <w:r>
        <w:rPr>
          <w:sz w:val="24"/>
          <w:szCs w:val="24"/>
        </w:rPr>
        <w:t>class of product advice in relation to the following:</w:t>
      </w:r>
    </w:p>
    <w:p w14:paraId="60D8172E" w14:textId="339D2EE8" w:rsidR="009D6628" w:rsidRDefault="009D6628" w:rsidP="009D6628">
      <w:pPr>
        <w:pStyle w:val="ListParagraph"/>
        <w:numPr>
          <w:ilvl w:val="0"/>
          <w:numId w:val="36"/>
        </w:numPr>
        <w:spacing w:line="320" w:lineRule="atLeast"/>
        <w:jc w:val="both"/>
        <w:rPr>
          <w:sz w:val="24"/>
          <w:szCs w:val="24"/>
        </w:rPr>
      </w:pPr>
      <w:r>
        <w:rPr>
          <w:sz w:val="24"/>
          <w:szCs w:val="24"/>
        </w:rPr>
        <w:t>superannuation products</w:t>
      </w:r>
    </w:p>
    <w:p w14:paraId="77D7F9F5" w14:textId="6EC1A584" w:rsidR="009D6628" w:rsidRDefault="009D6628" w:rsidP="009D6628">
      <w:pPr>
        <w:pStyle w:val="ListParagraph"/>
        <w:numPr>
          <w:ilvl w:val="0"/>
          <w:numId w:val="36"/>
        </w:numPr>
        <w:spacing w:line="320" w:lineRule="atLeast"/>
        <w:jc w:val="both"/>
        <w:rPr>
          <w:sz w:val="24"/>
          <w:szCs w:val="24"/>
        </w:rPr>
      </w:pPr>
      <w:r>
        <w:rPr>
          <w:sz w:val="24"/>
          <w:szCs w:val="24"/>
        </w:rPr>
        <w:t>securities</w:t>
      </w:r>
    </w:p>
    <w:p w14:paraId="6702BAB5" w14:textId="52E70B91" w:rsidR="009D6628" w:rsidRDefault="009D6628" w:rsidP="009D6628">
      <w:pPr>
        <w:pStyle w:val="ListParagraph"/>
        <w:numPr>
          <w:ilvl w:val="0"/>
          <w:numId w:val="36"/>
        </w:numPr>
        <w:spacing w:line="320" w:lineRule="atLeast"/>
        <w:jc w:val="both"/>
        <w:rPr>
          <w:sz w:val="24"/>
          <w:szCs w:val="24"/>
        </w:rPr>
      </w:pPr>
      <w:r>
        <w:rPr>
          <w:sz w:val="24"/>
          <w:szCs w:val="24"/>
        </w:rPr>
        <w:t>simple managed investment schemes</w:t>
      </w:r>
    </w:p>
    <w:p w14:paraId="6C59FA5F" w14:textId="79E9EE1F" w:rsidR="009D6628" w:rsidRDefault="009D6628" w:rsidP="009D6628">
      <w:pPr>
        <w:pStyle w:val="ListParagraph"/>
        <w:numPr>
          <w:ilvl w:val="0"/>
          <w:numId w:val="36"/>
        </w:numPr>
        <w:spacing w:line="320" w:lineRule="atLeast"/>
        <w:jc w:val="both"/>
        <w:rPr>
          <w:sz w:val="24"/>
          <w:szCs w:val="24"/>
        </w:rPr>
      </w:pPr>
      <w:r>
        <w:rPr>
          <w:sz w:val="24"/>
          <w:szCs w:val="24"/>
        </w:rPr>
        <w:t>general insurance products</w:t>
      </w:r>
    </w:p>
    <w:p w14:paraId="10CF407E" w14:textId="3065147B" w:rsidR="009D6628" w:rsidRDefault="009D6628" w:rsidP="009D6628">
      <w:pPr>
        <w:pStyle w:val="ListParagraph"/>
        <w:numPr>
          <w:ilvl w:val="0"/>
          <w:numId w:val="36"/>
        </w:numPr>
        <w:spacing w:line="320" w:lineRule="atLeast"/>
        <w:jc w:val="both"/>
        <w:rPr>
          <w:sz w:val="24"/>
          <w:szCs w:val="24"/>
        </w:rPr>
      </w:pPr>
      <w:r>
        <w:rPr>
          <w:sz w:val="24"/>
          <w:szCs w:val="24"/>
        </w:rPr>
        <w:t>life risk insurance products</w:t>
      </w:r>
    </w:p>
    <w:p w14:paraId="26DC7AD1" w14:textId="5C433E45" w:rsidR="009D6628" w:rsidRPr="009D6628" w:rsidRDefault="009D6628" w:rsidP="009D6628">
      <w:pPr>
        <w:pStyle w:val="ListParagraph"/>
        <w:numPr>
          <w:ilvl w:val="0"/>
          <w:numId w:val="36"/>
        </w:numPr>
        <w:spacing w:line="320" w:lineRule="atLeast"/>
        <w:ind w:left="1797" w:hanging="357"/>
        <w:contextualSpacing w:val="0"/>
        <w:jc w:val="both"/>
        <w:rPr>
          <w:sz w:val="24"/>
          <w:szCs w:val="24"/>
        </w:rPr>
      </w:pPr>
      <w:r>
        <w:rPr>
          <w:sz w:val="24"/>
          <w:szCs w:val="24"/>
        </w:rPr>
        <w:t>basic deposit products</w:t>
      </w:r>
    </w:p>
    <w:p w14:paraId="5FF24634" w14:textId="0E82E3D1" w:rsidR="009D6628" w:rsidRPr="009D6628" w:rsidRDefault="009D6628" w:rsidP="009D6628">
      <w:pPr>
        <w:pStyle w:val="ListParagraph"/>
        <w:numPr>
          <w:ilvl w:val="0"/>
          <w:numId w:val="37"/>
        </w:numPr>
        <w:spacing w:line="320" w:lineRule="atLeast"/>
        <w:jc w:val="both"/>
        <w:rPr>
          <w:sz w:val="24"/>
          <w:szCs w:val="24"/>
        </w:rPr>
      </w:pPr>
      <w:r>
        <w:rPr>
          <w:sz w:val="24"/>
          <w:szCs w:val="24"/>
        </w:rPr>
        <w:t xml:space="preserve">arrange to deal in an interest in a self-managed superfund </w:t>
      </w:r>
    </w:p>
    <w:p w14:paraId="4D9E552C" w14:textId="1F4AC5C1" w:rsidR="009D6628" w:rsidRDefault="009D6628" w:rsidP="00161556">
      <w:pPr>
        <w:spacing w:line="320" w:lineRule="atLeast"/>
        <w:ind w:left="60"/>
        <w:jc w:val="both"/>
        <w:rPr>
          <w:sz w:val="24"/>
          <w:szCs w:val="24"/>
        </w:rPr>
      </w:pPr>
      <w:r>
        <w:rPr>
          <w:sz w:val="24"/>
          <w:szCs w:val="24"/>
        </w:rPr>
        <w:t xml:space="preserve">"Class of product advice" is defined as financial product advice about a class or products but does not include a recommendation about a specific product in the class. </w:t>
      </w:r>
    </w:p>
    <w:p w14:paraId="6B20C808" w14:textId="77D5A08A" w:rsidR="00154FC9" w:rsidRPr="00516AC8" w:rsidRDefault="0043361A" w:rsidP="00161556">
      <w:pPr>
        <w:spacing w:line="320" w:lineRule="atLeast"/>
        <w:ind w:left="60"/>
        <w:jc w:val="both"/>
        <w:rPr>
          <w:sz w:val="24"/>
          <w:szCs w:val="24"/>
        </w:rPr>
      </w:pPr>
      <w:r>
        <w:rPr>
          <w:sz w:val="24"/>
          <w:szCs w:val="24"/>
        </w:rPr>
        <w:t>T</w:t>
      </w:r>
      <w:r w:rsidR="00161556">
        <w:rPr>
          <w:sz w:val="24"/>
          <w:szCs w:val="24"/>
        </w:rPr>
        <w:t xml:space="preserve">he removal of the </w:t>
      </w:r>
      <w:r w:rsidR="006E3310">
        <w:rPr>
          <w:sz w:val="24"/>
          <w:szCs w:val="24"/>
        </w:rPr>
        <w:t>accountants' exemption has given rise to an</w:t>
      </w:r>
      <w:r w:rsidR="00A60C6C">
        <w:rPr>
          <w:sz w:val="24"/>
          <w:szCs w:val="24"/>
        </w:rPr>
        <w:t xml:space="preserve"> unintended consequence for limited AFS licensees who wish to provide advice in relation to the taxation implication</w:t>
      </w:r>
      <w:r w:rsidR="004C4B7C">
        <w:rPr>
          <w:sz w:val="24"/>
          <w:szCs w:val="24"/>
        </w:rPr>
        <w:t>s</w:t>
      </w:r>
      <w:r w:rsidR="00A60C6C">
        <w:rPr>
          <w:sz w:val="24"/>
          <w:szCs w:val="24"/>
        </w:rPr>
        <w:t xml:space="preserve"> of financial products which are not covered by their licence</w:t>
      </w:r>
      <w:r w:rsidR="00154FC9">
        <w:rPr>
          <w:sz w:val="24"/>
          <w:szCs w:val="24"/>
        </w:rPr>
        <w:t xml:space="preserve"> in circumstances contemplated by </w:t>
      </w:r>
      <w:r w:rsidR="00154FC9" w:rsidRPr="00516AC8">
        <w:rPr>
          <w:sz w:val="24"/>
          <w:szCs w:val="24"/>
        </w:rPr>
        <w:t>reg</w:t>
      </w:r>
      <w:r w:rsidR="00102C83" w:rsidRPr="00516AC8">
        <w:rPr>
          <w:sz w:val="24"/>
          <w:szCs w:val="24"/>
        </w:rPr>
        <w:t>ulation</w:t>
      </w:r>
      <w:r w:rsidR="00154FC9" w:rsidRPr="00516AC8">
        <w:rPr>
          <w:sz w:val="24"/>
          <w:szCs w:val="24"/>
        </w:rPr>
        <w:t xml:space="preserve"> </w:t>
      </w:r>
      <w:r w:rsidR="00102C83" w:rsidRPr="00516AC8">
        <w:rPr>
          <w:sz w:val="24"/>
          <w:szCs w:val="24"/>
        </w:rPr>
        <w:t>7</w:t>
      </w:r>
      <w:r w:rsidR="00154FC9" w:rsidRPr="00516AC8">
        <w:rPr>
          <w:sz w:val="24"/>
          <w:szCs w:val="24"/>
        </w:rPr>
        <w:t>.1.29(4)</w:t>
      </w:r>
      <w:r w:rsidR="00A60C6C" w:rsidRPr="00516AC8">
        <w:rPr>
          <w:sz w:val="24"/>
          <w:szCs w:val="24"/>
        </w:rPr>
        <w:t>.</w:t>
      </w:r>
      <w:r w:rsidR="006E3310" w:rsidRPr="00516AC8">
        <w:rPr>
          <w:sz w:val="24"/>
          <w:szCs w:val="24"/>
        </w:rPr>
        <w:t xml:space="preserve"> </w:t>
      </w:r>
    </w:p>
    <w:p w14:paraId="34BCF5DA" w14:textId="77777777" w:rsidR="00102C83" w:rsidRPr="00516AC8" w:rsidRDefault="00830206" w:rsidP="008B5FCC">
      <w:pPr>
        <w:spacing w:line="320" w:lineRule="atLeast"/>
        <w:ind w:left="60"/>
        <w:jc w:val="both"/>
        <w:rPr>
          <w:sz w:val="24"/>
          <w:szCs w:val="24"/>
        </w:rPr>
      </w:pPr>
      <w:r w:rsidRPr="00516AC8">
        <w:rPr>
          <w:sz w:val="24"/>
          <w:szCs w:val="24"/>
        </w:rPr>
        <w:t xml:space="preserve">Regulation </w:t>
      </w:r>
      <w:r w:rsidR="00944B20" w:rsidRPr="00516AC8">
        <w:rPr>
          <w:sz w:val="24"/>
          <w:szCs w:val="24"/>
        </w:rPr>
        <w:t>7.1.29(4) enables a person to provide advice on taxation issues (including advice in relation to the taxation implications of financial products) without a licence. If the tax a</w:t>
      </w:r>
      <w:r w:rsidR="00B3342A" w:rsidRPr="00516AC8">
        <w:rPr>
          <w:sz w:val="24"/>
          <w:szCs w:val="24"/>
        </w:rPr>
        <w:t>dvice is also financial product</w:t>
      </w:r>
      <w:r w:rsidR="00944B20" w:rsidRPr="00516AC8">
        <w:rPr>
          <w:sz w:val="24"/>
          <w:szCs w:val="24"/>
        </w:rPr>
        <w:t xml:space="preserve"> advice to a retail client, this exemption is only available if it is accompanied by a written statement which states</w:t>
      </w:r>
      <w:r w:rsidR="00102C83" w:rsidRPr="00516AC8">
        <w:rPr>
          <w:sz w:val="24"/>
          <w:szCs w:val="24"/>
        </w:rPr>
        <w:t>:</w:t>
      </w:r>
    </w:p>
    <w:p w14:paraId="14689321" w14:textId="7ADE443B" w:rsidR="00102C83" w:rsidRPr="000E4312" w:rsidRDefault="00102C83" w:rsidP="009133D2">
      <w:pPr>
        <w:pStyle w:val="ListParagraph"/>
        <w:numPr>
          <w:ilvl w:val="0"/>
          <w:numId w:val="25"/>
        </w:numPr>
        <w:spacing w:line="320" w:lineRule="atLeast"/>
        <w:contextualSpacing w:val="0"/>
        <w:rPr>
          <w:sz w:val="24"/>
          <w:szCs w:val="24"/>
        </w:rPr>
      </w:pPr>
      <w:r w:rsidRPr="000E4312">
        <w:rPr>
          <w:sz w:val="24"/>
          <w:szCs w:val="24"/>
        </w:rPr>
        <w:t>the person providing the advice is not licensed to provide financial product advice under the Act; and</w:t>
      </w:r>
    </w:p>
    <w:p w14:paraId="3E474E4F" w14:textId="2B35F490" w:rsidR="00102C83" w:rsidRPr="000E4312" w:rsidRDefault="00102C83" w:rsidP="009133D2">
      <w:pPr>
        <w:pStyle w:val="ListParagraph"/>
        <w:numPr>
          <w:ilvl w:val="0"/>
          <w:numId w:val="25"/>
        </w:numPr>
        <w:spacing w:line="320" w:lineRule="atLeast"/>
        <w:contextualSpacing w:val="0"/>
        <w:rPr>
          <w:sz w:val="24"/>
          <w:szCs w:val="24"/>
        </w:rPr>
      </w:pPr>
      <w:r w:rsidRPr="000E4312">
        <w:rPr>
          <w:sz w:val="24"/>
          <w:szCs w:val="24"/>
        </w:rPr>
        <w:t>taxation is only one of the matters that must be considered when making a decision on a financial product; and</w:t>
      </w:r>
    </w:p>
    <w:p w14:paraId="7CA535BF" w14:textId="210A42FB" w:rsidR="00944B20" w:rsidRPr="003649AD" w:rsidRDefault="008758D4" w:rsidP="009133D2">
      <w:pPr>
        <w:pStyle w:val="ListParagraph"/>
        <w:numPr>
          <w:ilvl w:val="0"/>
          <w:numId w:val="25"/>
        </w:numPr>
        <w:spacing w:line="320" w:lineRule="atLeast"/>
        <w:contextualSpacing w:val="0"/>
        <w:rPr>
          <w:sz w:val="24"/>
          <w:szCs w:val="24"/>
        </w:rPr>
      </w:pPr>
      <w:r w:rsidRPr="000E4312">
        <w:rPr>
          <w:sz w:val="24"/>
          <w:szCs w:val="24"/>
        </w:rPr>
        <w:t xml:space="preserve">the client should consider taking advice from the holder of an AFS licence before </w:t>
      </w:r>
      <w:r w:rsidRPr="003649AD">
        <w:rPr>
          <w:sz w:val="24"/>
          <w:szCs w:val="24"/>
        </w:rPr>
        <w:t>making a decision on a financial product</w:t>
      </w:r>
      <w:r w:rsidR="00102C83" w:rsidRPr="003649AD">
        <w:rPr>
          <w:sz w:val="24"/>
          <w:szCs w:val="24"/>
        </w:rPr>
        <w:t>:</w:t>
      </w:r>
      <w:r w:rsidRPr="003649AD">
        <w:rPr>
          <w:sz w:val="24"/>
          <w:szCs w:val="24"/>
        </w:rPr>
        <w:t xml:space="preserve"> </w:t>
      </w:r>
      <w:r w:rsidR="00944B20" w:rsidRPr="003649AD">
        <w:rPr>
          <w:sz w:val="24"/>
          <w:szCs w:val="24"/>
        </w:rPr>
        <w:t xml:space="preserve">regulation 7.1.29(4)(c)(ii). </w:t>
      </w:r>
    </w:p>
    <w:p w14:paraId="690BCB9B" w14:textId="6934F576" w:rsidR="00944B20" w:rsidRPr="00BE4A1A" w:rsidRDefault="009B4BFF" w:rsidP="00E761D6">
      <w:pPr>
        <w:spacing w:line="320" w:lineRule="atLeast"/>
        <w:jc w:val="both"/>
        <w:rPr>
          <w:sz w:val="24"/>
          <w:szCs w:val="24"/>
        </w:rPr>
      </w:pPr>
      <w:r w:rsidRPr="00BE4A1A">
        <w:rPr>
          <w:sz w:val="24"/>
          <w:szCs w:val="24"/>
        </w:rPr>
        <w:t xml:space="preserve">Limited AFS licensees </w:t>
      </w:r>
      <w:r w:rsidR="00944B20" w:rsidRPr="00BE4A1A">
        <w:rPr>
          <w:sz w:val="24"/>
          <w:szCs w:val="24"/>
        </w:rPr>
        <w:t xml:space="preserve">cannot comply with the requirement to provide a written statement advising that they are not licensed and therefore </w:t>
      </w:r>
      <w:r w:rsidR="0018451B" w:rsidRPr="00BE4A1A">
        <w:rPr>
          <w:sz w:val="24"/>
          <w:szCs w:val="24"/>
        </w:rPr>
        <w:t xml:space="preserve">cannot rely on the exemption in regulation </w:t>
      </w:r>
      <w:r w:rsidR="0018451B" w:rsidRPr="00BE4A1A">
        <w:rPr>
          <w:sz w:val="24"/>
          <w:szCs w:val="24"/>
        </w:rPr>
        <w:lastRenderedPageBreak/>
        <w:t>7.1.29(4)</w:t>
      </w:r>
      <w:r w:rsidR="00E761D6" w:rsidRPr="00BE4A1A">
        <w:rPr>
          <w:sz w:val="24"/>
          <w:szCs w:val="24"/>
        </w:rPr>
        <w:t xml:space="preserve">. </w:t>
      </w:r>
      <w:r w:rsidR="00944B20" w:rsidRPr="00BE4A1A">
        <w:rPr>
          <w:sz w:val="24"/>
          <w:szCs w:val="24"/>
        </w:rPr>
        <w:t>They are unable to provide taxation advice that is financial product advice on classes of financial products not covered by their licence or on specific financial products, other than SMSFs or the client's ex</w:t>
      </w:r>
      <w:r w:rsidR="00EB4ECA" w:rsidRPr="00BE4A1A">
        <w:rPr>
          <w:sz w:val="24"/>
          <w:szCs w:val="24"/>
        </w:rPr>
        <w:t xml:space="preserve">isting superannuation product. </w:t>
      </w:r>
      <w:r w:rsidR="00944B20" w:rsidRPr="00BE4A1A">
        <w:rPr>
          <w:sz w:val="24"/>
          <w:szCs w:val="24"/>
        </w:rPr>
        <w:t>In other words, they are restricted from providing advice that can be provided by an unlicensed accountant or by a full AFS licensee</w:t>
      </w:r>
      <w:r w:rsidR="00EB4ECA" w:rsidRPr="00BE4A1A">
        <w:rPr>
          <w:sz w:val="24"/>
          <w:szCs w:val="24"/>
        </w:rPr>
        <w:t>.</w:t>
      </w:r>
    </w:p>
    <w:p w14:paraId="048EF6D1" w14:textId="4BFB669C" w:rsidR="006E3310" w:rsidRPr="00E761D6" w:rsidRDefault="0018451B" w:rsidP="00E761D6">
      <w:pPr>
        <w:spacing w:line="320" w:lineRule="atLeast"/>
        <w:jc w:val="both"/>
        <w:rPr>
          <w:sz w:val="24"/>
          <w:szCs w:val="24"/>
        </w:rPr>
      </w:pPr>
      <w:r>
        <w:rPr>
          <w:sz w:val="24"/>
          <w:szCs w:val="24"/>
        </w:rPr>
        <w:t>This unintended consequence stems</w:t>
      </w:r>
      <w:r w:rsidR="009B4BFF">
        <w:rPr>
          <w:sz w:val="24"/>
          <w:szCs w:val="24"/>
        </w:rPr>
        <w:t xml:space="preserve"> from the drafting of the R</w:t>
      </w:r>
      <w:r w:rsidR="00EB4ECA">
        <w:rPr>
          <w:sz w:val="24"/>
          <w:szCs w:val="24"/>
        </w:rPr>
        <w:t>egulation</w:t>
      </w:r>
      <w:r w:rsidR="00174465">
        <w:rPr>
          <w:sz w:val="24"/>
          <w:szCs w:val="24"/>
        </w:rPr>
        <w:t>s</w:t>
      </w:r>
      <w:r w:rsidR="00EB4ECA">
        <w:rPr>
          <w:sz w:val="24"/>
          <w:szCs w:val="24"/>
        </w:rPr>
        <w:t xml:space="preserve"> which took place without contemplation of a future limited licensing regime.</w:t>
      </w:r>
    </w:p>
    <w:p w14:paraId="7B9F6CEA" w14:textId="77777777" w:rsidR="005B0E3A" w:rsidRPr="00944B20" w:rsidRDefault="005B0E3A" w:rsidP="005B0E3A">
      <w:pPr>
        <w:pStyle w:val="Heading3"/>
        <w:keepNext w:val="0"/>
        <w:widowControl w:val="0"/>
        <w:numPr>
          <w:ilvl w:val="0"/>
          <w:numId w:val="7"/>
        </w:numPr>
        <w:tabs>
          <w:tab w:val="left" w:pos="1592"/>
        </w:tabs>
        <w:spacing w:after="0" w:line="240" w:lineRule="auto"/>
        <w:ind w:left="0" w:firstLine="0"/>
        <w:jc w:val="left"/>
        <w:rPr>
          <w:rFonts w:eastAsia="Arial"/>
          <w:b/>
          <w:bCs/>
          <w:sz w:val="24"/>
          <w:szCs w:val="24"/>
        </w:rPr>
      </w:pPr>
      <w:bookmarkStart w:id="2" w:name="2._Purpose_of_the_class_order_"/>
      <w:bookmarkEnd w:id="2"/>
      <w:r w:rsidRPr="00944B20">
        <w:rPr>
          <w:b/>
          <w:spacing w:val="-1"/>
          <w:sz w:val="24"/>
          <w:szCs w:val="24"/>
        </w:rPr>
        <w:t>Purpose</w:t>
      </w:r>
      <w:r w:rsidRPr="00944B20">
        <w:rPr>
          <w:b/>
          <w:sz w:val="24"/>
          <w:szCs w:val="24"/>
        </w:rPr>
        <w:t xml:space="preserve"> of </w:t>
      </w:r>
      <w:r w:rsidRPr="00944B20">
        <w:rPr>
          <w:b/>
          <w:spacing w:val="-1"/>
          <w:sz w:val="24"/>
          <w:szCs w:val="24"/>
        </w:rPr>
        <w:t>the</w:t>
      </w:r>
      <w:r w:rsidRPr="00944B20">
        <w:rPr>
          <w:b/>
          <w:sz w:val="24"/>
          <w:szCs w:val="24"/>
        </w:rPr>
        <w:t xml:space="preserve"> </w:t>
      </w:r>
      <w:r w:rsidRPr="00944B20">
        <w:rPr>
          <w:b/>
          <w:spacing w:val="-1"/>
          <w:sz w:val="24"/>
          <w:szCs w:val="24"/>
        </w:rPr>
        <w:t>instrument</w:t>
      </w:r>
    </w:p>
    <w:p w14:paraId="2E2247AB" w14:textId="77777777" w:rsidR="005B0E3A" w:rsidRDefault="005B0E3A" w:rsidP="00C3210C">
      <w:pPr>
        <w:spacing w:after="0" w:line="220" w:lineRule="exact"/>
      </w:pPr>
    </w:p>
    <w:p w14:paraId="60C45401" w14:textId="4E2610DF" w:rsidR="00F045F4" w:rsidRPr="00B3342A" w:rsidRDefault="00B3342A" w:rsidP="009133D2">
      <w:pPr>
        <w:spacing w:before="4" w:line="320" w:lineRule="exact"/>
        <w:jc w:val="both"/>
      </w:pPr>
      <w:r w:rsidRPr="00B3342A">
        <w:rPr>
          <w:sz w:val="24"/>
          <w:szCs w:val="24"/>
        </w:rPr>
        <w:t>The purpose of</w:t>
      </w:r>
      <w:r w:rsidR="00691CD2" w:rsidRPr="00691CD2">
        <w:t xml:space="preserve"> </w:t>
      </w:r>
      <w:r w:rsidR="00691CD2" w:rsidRPr="00691CD2">
        <w:rPr>
          <w:i/>
        </w:rPr>
        <w:t xml:space="preserve">ASIC </w:t>
      </w:r>
      <w:r w:rsidR="00691CD2" w:rsidRPr="00691CD2">
        <w:rPr>
          <w:i/>
          <w:sz w:val="24"/>
          <w:szCs w:val="24"/>
        </w:rPr>
        <w:t>Corporations (Recognised Accountants: Exempt Services) Instrument 2016/</w:t>
      </w:r>
      <w:r w:rsidR="00FA7962">
        <w:rPr>
          <w:i/>
          <w:sz w:val="24"/>
          <w:szCs w:val="24"/>
        </w:rPr>
        <w:t>1151</w:t>
      </w:r>
      <w:r w:rsidRPr="00B3342A">
        <w:rPr>
          <w:sz w:val="24"/>
          <w:szCs w:val="24"/>
        </w:rPr>
        <w:t xml:space="preserve"> is to</w:t>
      </w:r>
      <w:r w:rsidR="008758D4">
        <w:rPr>
          <w:sz w:val="24"/>
          <w:szCs w:val="24"/>
        </w:rPr>
        <w:t xml:space="preserve"> correct </w:t>
      </w:r>
      <w:r w:rsidR="0043361A" w:rsidRPr="009133D2">
        <w:rPr>
          <w:sz w:val="24"/>
          <w:szCs w:val="24"/>
        </w:rPr>
        <w:t xml:space="preserve">the </w:t>
      </w:r>
      <w:r w:rsidR="004C4B7C">
        <w:rPr>
          <w:sz w:val="24"/>
          <w:szCs w:val="24"/>
        </w:rPr>
        <w:t xml:space="preserve">regulatory inconsistency </w:t>
      </w:r>
      <w:r w:rsidR="008758D4">
        <w:rPr>
          <w:sz w:val="24"/>
          <w:szCs w:val="24"/>
        </w:rPr>
        <w:t xml:space="preserve">which prevents </w:t>
      </w:r>
      <w:r w:rsidR="008758D4" w:rsidRPr="009133D2">
        <w:rPr>
          <w:sz w:val="24"/>
          <w:szCs w:val="24"/>
        </w:rPr>
        <w:t>limited AFS licensees</w:t>
      </w:r>
      <w:r w:rsidR="008758D4">
        <w:rPr>
          <w:sz w:val="24"/>
          <w:szCs w:val="24"/>
        </w:rPr>
        <w:t xml:space="preserve"> from providing advice to retail clients in relation to the taxation implications of financial products which </w:t>
      </w:r>
      <w:r w:rsidR="008758D4" w:rsidRPr="005D58D7">
        <w:rPr>
          <w:sz w:val="24"/>
          <w:szCs w:val="24"/>
        </w:rPr>
        <w:t xml:space="preserve">are not covered by their licence in circumstances contemplated by regulation 7.1.29(4). It does this by declaring that </w:t>
      </w:r>
      <w:r w:rsidR="00F045F4" w:rsidRPr="005D58D7">
        <w:rPr>
          <w:sz w:val="24"/>
          <w:szCs w:val="24"/>
        </w:rPr>
        <w:t>a limited AFS licensee</w:t>
      </w:r>
      <w:r w:rsidR="00C36690">
        <w:rPr>
          <w:sz w:val="24"/>
          <w:szCs w:val="24"/>
        </w:rPr>
        <w:t>, or an authorised representative of a limited licensee,</w:t>
      </w:r>
      <w:r w:rsidR="00F045F4" w:rsidRPr="005D58D7">
        <w:rPr>
          <w:sz w:val="24"/>
          <w:szCs w:val="24"/>
        </w:rPr>
        <w:t xml:space="preserve"> is able to rely on the exemption in regulation 7.1.29(4) to provide tax advice</w:t>
      </w:r>
      <w:r w:rsidR="00B44C5F" w:rsidRPr="005D58D7">
        <w:rPr>
          <w:sz w:val="24"/>
          <w:szCs w:val="24"/>
        </w:rPr>
        <w:t xml:space="preserve"> (which is also financial product advice)</w:t>
      </w:r>
      <w:r w:rsidR="00F045F4" w:rsidRPr="005D58D7">
        <w:rPr>
          <w:sz w:val="24"/>
          <w:szCs w:val="24"/>
        </w:rPr>
        <w:t xml:space="preserve"> </w:t>
      </w:r>
      <w:r w:rsidR="00B44C5F" w:rsidRPr="005D58D7">
        <w:rPr>
          <w:sz w:val="24"/>
          <w:szCs w:val="24"/>
        </w:rPr>
        <w:t>on financial products th</w:t>
      </w:r>
      <w:r w:rsidR="005D58D7">
        <w:rPr>
          <w:sz w:val="24"/>
          <w:szCs w:val="24"/>
        </w:rPr>
        <w:t>at are not covered by their</w:t>
      </w:r>
      <w:r w:rsidR="00B44C5F" w:rsidRPr="005D58D7">
        <w:rPr>
          <w:sz w:val="24"/>
          <w:szCs w:val="24"/>
        </w:rPr>
        <w:t xml:space="preserve"> licence.</w:t>
      </w:r>
      <w:r w:rsidR="00B44C5F">
        <w:t xml:space="preserve"> </w:t>
      </w:r>
    </w:p>
    <w:p w14:paraId="01F420AF" w14:textId="77777777" w:rsidR="005B0E3A" w:rsidRPr="00846768" w:rsidRDefault="005B0E3A" w:rsidP="005B0E3A">
      <w:pPr>
        <w:pStyle w:val="Heading3"/>
        <w:keepNext w:val="0"/>
        <w:widowControl w:val="0"/>
        <w:numPr>
          <w:ilvl w:val="0"/>
          <w:numId w:val="7"/>
        </w:numPr>
        <w:tabs>
          <w:tab w:val="left" w:pos="1593"/>
        </w:tabs>
        <w:spacing w:after="0" w:line="240" w:lineRule="auto"/>
        <w:ind w:left="0" w:firstLine="0"/>
        <w:jc w:val="left"/>
        <w:rPr>
          <w:rFonts w:eastAsia="Arial"/>
          <w:b/>
          <w:bCs/>
          <w:sz w:val="24"/>
          <w:szCs w:val="24"/>
        </w:rPr>
      </w:pPr>
      <w:bookmarkStart w:id="3" w:name="Insert_a_level_3_heading_"/>
      <w:bookmarkStart w:id="4" w:name="3._Operation_of_the_class_order_"/>
      <w:bookmarkEnd w:id="3"/>
      <w:bookmarkEnd w:id="4"/>
      <w:r w:rsidRPr="00846768">
        <w:rPr>
          <w:b/>
          <w:spacing w:val="-1"/>
          <w:sz w:val="24"/>
          <w:szCs w:val="24"/>
        </w:rPr>
        <w:t>Operation</w:t>
      </w:r>
      <w:r w:rsidRPr="00846768">
        <w:rPr>
          <w:b/>
          <w:sz w:val="24"/>
          <w:szCs w:val="24"/>
        </w:rPr>
        <w:t xml:space="preserve"> </w:t>
      </w:r>
      <w:r w:rsidRPr="00846768">
        <w:rPr>
          <w:b/>
          <w:spacing w:val="-1"/>
          <w:sz w:val="24"/>
          <w:szCs w:val="24"/>
        </w:rPr>
        <w:t>of</w:t>
      </w:r>
      <w:r w:rsidRPr="00846768">
        <w:rPr>
          <w:b/>
          <w:sz w:val="24"/>
          <w:szCs w:val="24"/>
        </w:rPr>
        <w:t xml:space="preserve"> </w:t>
      </w:r>
      <w:r w:rsidRPr="00846768">
        <w:rPr>
          <w:b/>
          <w:spacing w:val="-1"/>
          <w:sz w:val="24"/>
          <w:szCs w:val="24"/>
        </w:rPr>
        <w:t>the</w:t>
      </w:r>
      <w:r w:rsidRPr="00846768">
        <w:rPr>
          <w:b/>
          <w:sz w:val="24"/>
          <w:szCs w:val="24"/>
        </w:rPr>
        <w:t xml:space="preserve"> instrument</w:t>
      </w:r>
    </w:p>
    <w:p w14:paraId="0D96984B" w14:textId="571F1A49" w:rsidR="005B0E3A" w:rsidRDefault="00691CD2" w:rsidP="00F373D5">
      <w:pPr>
        <w:pStyle w:val="BodyText"/>
        <w:spacing w:before="199" w:line="320" w:lineRule="atLeast"/>
        <w:jc w:val="both"/>
        <w:rPr>
          <w:szCs w:val="24"/>
        </w:rPr>
      </w:pPr>
      <w:r w:rsidRPr="00691CD2">
        <w:rPr>
          <w:i/>
          <w:szCs w:val="24"/>
        </w:rPr>
        <w:t>ASIC Corporations (Recognised Accountants: Exempt Services) Instrument 2016</w:t>
      </w:r>
      <w:r w:rsidRPr="00691CD2">
        <w:rPr>
          <w:szCs w:val="24"/>
        </w:rPr>
        <w:t>/</w:t>
      </w:r>
      <w:r w:rsidR="00FA7962">
        <w:rPr>
          <w:i/>
          <w:szCs w:val="24"/>
        </w:rPr>
        <w:t>1151</w:t>
      </w:r>
      <w:r>
        <w:rPr>
          <w:szCs w:val="24"/>
        </w:rPr>
        <w:t xml:space="preserve"> modifies regulation 7.1.29(4)(c)(ii) as it applies to </w:t>
      </w:r>
      <w:r w:rsidR="000F1E72">
        <w:rPr>
          <w:szCs w:val="24"/>
        </w:rPr>
        <w:t>limited AFS licensees</w:t>
      </w:r>
      <w:r w:rsidR="00C36690">
        <w:rPr>
          <w:szCs w:val="24"/>
        </w:rPr>
        <w:t xml:space="preserve"> and their authorised representatives</w:t>
      </w:r>
      <w:r w:rsidR="000F1E72">
        <w:rPr>
          <w:szCs w:val="24"/>
        </w:rPr>
        <w:t xml:space="preserve"> so that a limited </w:t>
      </w:r>
      <w:r>
        <w:rPr>
          <w:szCs w:val="24"/>
        </w:rPr>
        <w:t>AFS licensee</w:t>
      </w:r>
      <w:r w:rsidR="00C36690">
        <w:rPr>
          <w:szCs w:val="24"/>
        </w:rPr>
        <w:t>,</w:t>
      </w:r>
      <w:r>
        <w:rPr>
          <w:szCs w:val="24"/>
        </w:rPr>
        <w:t xml:space="preserve"> </w:t>
      </w:r>
      <w:r w:rsidR="00C36690">
        <w:rPr>
          <w:szCs w:val="24"/>
        </w:rPr>
        <w:t xml:space="preserve">or the authorised representative of a limited licensee, </w:t>
      </w:r>
      <w:r>
        <w:rPr>
          <w:szCs w:val="24"/>
        </w:rPr>
        <w:t xml:space="preserve">can rely </w:t>
      </w:r>
      <w:r w:rsidR="00174465">
        <w:rPr>
          <w:szCs w:val="24"/>
        </w:rPr>
        <w:t>on the exemption</w:t>
      </w:r>
      <w:r w:rsidR="00765A52">
        <w:rPr>
          <w:szCs w:val="24"/>
        </w:rPr>
        <w:t xml:space="preserve"> to provide tax advice</w:t>
      </w:r>
      <w:r w:rsidR="00254DD8">
        <w:rPr>
          <w:szCs w:val="24"/>
        </w:rPr>
        <w:t xml:space="preserve"> to a retail client</w:t>
      </w:r>
      <w:r w:rsidR="00765A52">
        <w:rPr>
          <w:szCs w:val="24"/>
        </w:rPr>
        <w:t xml:space="preserve"> which is not covered by an authorisation in their licence</w:t>
      </w:r>
      <w:r w:rsidR="001B7C86">
        <w:rPr>
          <w:szCs w:val="24"/>
        </w:rPr>
        <w:t xml:space="preserve">. </w:t>
      </w:r>
      <w:r w:rsidR="000F1E72">
        <w:rPr>
          <w:szCs w:val="24"/>
        </w:rPr>
        <w:t>Instead of providing a written statement which must state, among other things, that the person providing the advice is not licensed under the Act, a limited AFS licensee must provide a written statement that</w:t>
      </w:r>
      <w:r w:rsidR="00F373D5">
        <w:rPr>
          <w:szCs w:val="24"/>
        </w:rPr>
        <w:t>:</w:t>
      </w:r>
    </w:p>
    <w:p w14:paraId="655D29FF" w14:textId="432D6916" w:rsidR="00F373D5" w:rsidRDefault="00F373D5" w:rsidP="00F373D5">
      <w:pPr>
        <w:pStyle w:val="BodyText"/>
        <w:numPr>
          <w:ilvl w:val="0"/>
          <w:numId w:val="17"/>
        </w:numPr>
        <w:spacing w:before="199"/>
        <w:rPr>
          <w:szCs w:val="24"/>
        </w:rPr>
      </w:pPr>
      <w:r>
        <w:rPr>
          <w:szCs w:val="24"/>
        </w:rPr>
        <w:t>the</w:t>
      </w:r>
      <w:r w:rsidR="0070367E">
        <w:rPr>
          <w:szCs w:val="24"/>
        </w:rPr>
        <w:t xml:space="preserve"> person providing the advice is a limited licensee</w:t>
      </w:r>
      <w:r w:rsidR="00C36690">
        <w:rPr>
          <w:szCs w:val="24"/>
        </w:rPr>
        <w:t xml:space="preserve"> or an authorised representative of a limited licensee</w:t>
      </w:r>
      <w:r w:rsidR="0070367E">
        <w:rPr>
          <w:szCs w:val="24"/>
        </w:rPr>
        <w:t xml:space="preserve"> who is authorised to provided one or more limited financial services; and</w:t>
      </w:r>
      <w:r w:rsidR="008D12DE">
        <w:rPr>
          <w:szCs w:val="24"/>
        </w:rPr>
        <w:t xml:space="preserve"> </w:t>
      </w:r>
    </w:p>
    <w:p w14:paraId="422107AF" w14:textId="77777777" w:rsidR="0070367E" w:rsidRDefault="0070367E" w:rsidP="00F373D5">
      <w:pPr>
        <w:pStyle w:val="BodyText"/>
        <w:numPr>
          <w:ilvl w:val="0"/>
          <w:numId w:val="17"/>
        </w:numPr>
        <w:spacing w:before="199"/>
        <w:rPr>
          <w:szCs w:val="24"/>
        </w:rPr>
      </w:pPr>
      <w:r>
        <w:rPr>
          <w:szCs w:val="24"/>
        </w:rPr>
        <w:t>taxation is only one of the matters that must be considered when making a decision on a financial product; and</w:t>
      </w:r>
    </w:p>
    <w:p w14:paraId="08309B92" w14:textId="3B2679FF" w:rsidR="0070367E" w:rsidRPr="002152ED" w:rsidRDefault="00630094" w:rsidP="00F373D5">
      <w:pPr>
        <w:pStyle w:val="BodyText"/>
        <w:numPr>
          <w:ilvl w:val="0"/>
          <w:numId w:val="17"/>
        </w:numPr>
        <w:spacing w:before="199"/>
        <w:rPr>
          <w:szCs w:val="24"/>
        </w:rPr>
      </w:pPr>
      <w:r>
        <w:rPr>
          <w:szCs w:val="24"/>
        </w:rPr>
        <w:t>the</w:t>
      </w:r>
      <w:r w:rsidR="0070367E">
        <w:rPr>
          <w:szCs w:val="24"/>
        </w:rPr>
        <w:t xml:space="preserve"> client should consider</w:t>
      </w:r>
      <w:r w:rsidR="00D413A8">
        <w:rPr>
          <w:szCs w:val="24"/>
        </w:rPr>
        <w:t xml:space="preserve"> taking advice from the holder of an AFS licence before making a decision on the </w:t>
      </w:r>
      <w:r>
        <w:rPr>
          <w:szCs w:val="24"/>
        </w:rPr>
        <w:t xml:space="preserve">financial </w:t>
      </w:r>
      <w:r w:rsidR="00D413A8">
        <w:rPr>
          <w:szCs w:val="24"/>
        </w:rPr>
        <w:t>product</w:t>
      </w:r>
      <w:r>
        <w:rPr>
          <w:szCs w:val="24"/>
        </w:rPr>
        <w:t>.</w:t>
      </w:r>
      <w:r w:rsidR="0070367E">
        <w:rPr>
          <w:szCs w:val="24"/>
        </w:rPr>
        <w:t xml:space="preserve"> </w:t>
      </w:r>
    </w:p>
    <w:p w14:paraId="4BCCDF18" w14:textId="77777777" w:rsidR="005B0E3A" w:rsidRDefault="005B0E3A" w:rsidP="005B0E3A">
      <w:pPr>
        <w:spacing w:before="1" w:line="120" w:lineRule="exact"/>
        <w:rPr>
          <w:sz w:val="12"/>
          <w:szCs w:val="12"/>
        </w:rPr>
      </w:pPr>
    </w:p>
    <w:p w14:paraId="0D977842" w14:textId="77777777" w:rsidR="00C3210C" w:rsidRDefault="005B0E3A" w:rsidP="00C3210C">
      <w:pPr>
        <w:pStyle w:val="Heading3"/>
        <w:keepNext w:val="0"/>
        <w:widowControl w:val="0"/>
        <w:numPr>
          <w:ilvl w:val="0"/>
          <w:numId w:val="7"/>
        </w:numPr>
        <w:tabs>
          <w:tab w:val="left" w:pos="1593"/>
        </w:tabs>
        <w:spacing w:after="0" w:line="240" w:lineRule="auto"/>
        <w:ind w:left="0" w:firstLine="0"/>
        <w:jc w:val="left"/>
        <w:rPr>
          <w:b/>
          <w:sz w:val="24"/>
          <w:szCs w:val="24"/>
        </w:rPr>
      </w:pPr>
      <w:bookmarkStart w:id="5" w:name="4._Documents_incorporated_by_reference"/>
      <w:bookmarkStart w:id="6" w:name="5._Consultation"/>
      <w:bookmarkEnd w:id="5"/>
      <w:bookmarkEnd w:id="6"/>
      <w:r w:rsidRPr="00944B20">
        <w:rPr>
          <w:b/>
          <w:sz w:val="24"/>
          <w:szCs w:val="24"/>
        </w:rPr>
        <w:t>Consultation</w:t>
      </w:r>
    </w:p>
    <w:p w14:paraId="06ED3BF8" w14:textId="77777777" w:rsidR="00C3210C" w:rsidRDefault="00C3210C" w:rsidP="00C3210C">
      <w:pPr>
        <w:tabs>
          <w:tab w:val="left" w:pos="315"/>
          <w:tab w:val="left" w:pos="1593"/>
        </w:tabs>
        <w:spacing w:after="0"/>
      </w:pPr>
    </w:p>
    <w:p w14:paraId="56225137" w14:textId="79B2B304" w:rsidR="00EC4E03" w:rsidRDefault="00884D1C" w:rsidP="003D47EA">
      <w:pPr>
        <w:tabs>
          <w:tab w:val="left" w:pos="315"/>
          <w:tab w:val="left" w:pos="1593"/>
        </w:tabs>
        <w:spacing w:line="320" w:lineRule="atLeast"/>
        <w:jc w:val="both"/>
        <w:rPr>
          <w:sz w:val="24"/>
          <w:szCs w:val="24"/>
        </w:rPr>
      </w:pPr>
      <w:r w:rsidRPr="00691CD2">
        <w:rPr>
          <w:i/>
        </w:rPr>
        <w:t xml:space="preserve">ASIC </w:t>
      </w:r>
      <w:r w:rsidRPr="00691CD2">
        <w:rPr>
          <w:i/>
          <w:sz w:val="24"/>
          <w:szCs w:val="24"/>
        </w:rPr>
        <w:t>Corporations (Recognised Accountants: Exempt Services) Instrument 2016/</w:t>
      </w:r>
      <w:r w:rsidR="00FA7962">
        <w:rPr>
          <w:i/>
          <w:sz w:val="24"/>
          <w:szCs w:val="24"/>
        </w:rPr>
        <w:t>1151</w:t>
      </w:r>
      <w:r w:rsidRPr="00B3342A">
        <w:rPr>
          <w:sz w:val="24"/>
          <w:szCs w:val="24"/>
        </w:rPr>
        <w:t xml:space="preserve"> </w:t>
      </w:r>
      <w:r>
        <w:rPr>
          <w:sz w:val="24"/>
          <w:szCs w:val="24"/>
        </w:rPr>
        <w:t xml:space="preserve">is of a minor or machinery nature and, therefore, consultation is unnecessary.  Nevertheless, </w:t>
      </w:r>
      <w:r w:rsidR="00830206">
        <w:rPr>
          <w:sz w:val="24"/>
          <w:szCs w:val="24"/>
        </w:rPr>
        <w:t xml:space="preserve">ASIC conducted a targeted consultation with key stakeholders as part of the process of developing new guidance about the recent changes to the licensing requirements for accountants who </w:t>
      </w:r>
      <w:r w:rsidR="00830206">
        <w:rPr>
          <w:sz w:val="24"/>
          <w:szCs w:val="24"/>
        </w:rPr>
        <w:lastRenderedPageBreak/>
        <w:t xml:space="preserve">provide SMSF services. </w:t>
      </w:r>
      <w:r w:rsidR="006E4878">
        <w:rPr>
          <w:sz w:val="24"/>
          <w:szCs w:val="24"/>
        </w:rPr>
        <w:t>On 11</w:t>
      </w:r>
      <w:r w:rsidR="007E6C49">
        <w:rPr>
          <w:sz w:val="24"/>
          <w:szCs w:val="24"/>
        </w:rPr>
        <w:t xml:space="preserve"> August 2016, </w:t>
      </w:r>
      <w:r w:rsidR="00830206">
        <w:rPr>
          <w:sz w:val="24"/>
          <w:szCs w:val="24"/>
        </w:rPr>
        <w:t xml:space="preserve">ASIC </w:t>
      </w:r>
      <w:r w:rsidR="000D4038">
        <w:rPr>
          <w:sz w:val="24"/>
          <w:szCs w:val="24"/>
        </w:rPr>
        <w:t xml:space="preserve">wrote to </w:t>
      </w:r>
      <w:r w:rsidR="00830206">
        <w:rPr>
          <w:sz w:val="24"/>
          <w:szCs w:val="24"/>
        </w:rPr>
        <w:t>CPA, ICAANZ, IPA, the Tax Practitioners Board (</w:t>
      </w:r>
      <w:r w:rsidR="00830206" w:rsidRPr="00233836">
        <w:rPr>
          <w:b/>
          <w:i/>
          <w:sz w:val="24"/>
          <w:szCs w:val="24"/>
        </w:rPr>
        <w:t>TPB</w:t>
      </w:r>
      <w:r w:rsidR="00830206" w:rsidRPr="00233836">
        <w:rPr>
          <w:i/>
          <w:sz w:val="24"/>
          <w:szCs w:val="24"/>
        </w:rPr>
        <w:t>)</w:t>
      </w:r>
      <w:r w:rsidR="00830206">
        <w:rPr>
          <w:sz w:val="24"/>
          <w:szCs w:val="24"/>
        </w:rPr>
        <w:t xml:space="preserve">, the Financial Ombudsman Service and the SMSF Association </w:t>
      </w:r>
      <w:r w:rsidR="000D4038">
        <w:rPr>
          <w:sz w:val="24"/>
          <w:szCs w:val="24"/>
        </w:rPr>
        <w:t xml:space="preserve">seeking comments about the proposed guidance and views </w:t>
      </w:r>
      <w:r w:rsidR="00EC4E03">
        <w:rPr>
          <w:sz w:val="24"/>
          <w:szCs w:val="24"/>
        </w:rPr>
        <w:t xml:space="preserve">about: </w:t>
      </w:r>
    </w:p>
    <w:p w14:paraId="7D9286B0" w14:textId="77777777" w:rsidR="00EC4E03" w:rsidRPr="00EC4E03" w:rsidRDefault="00EC4E03" w:rsidP="00EC4E03">
      <w:pPr>
        <w:pStyle w:val="ListParagraph"/>
        <w:numPr>
          <w:ilvl w:val="0"/>
          <w:numId w:val="20"/>
        </w:numPr>
        <w:tabs>
          <w:tab w:val="left" w:pos="315"/>
          <w:tab w:val="left" w:pos="1593"/>
        </w:tabs>
        <w:spacing w:line="320" w:lineRule="atLeast"/>
        <w:jc w:val="both"/>
        <w:rPr>
          <w:sz w:val="24"/>
          <w:szCs w:val="24"/>
        </w:rPr>
      </w:pPr>
      <w:r w:rsidRPr="00EC4E03">
        <w:rPr>
          <w:sz w:val="24"/>
          <w:szCs w:val="24"/>
        </w:rPr>
        <w:t>whether a strict interpretation of regulation 7.1.29(4) would result in a regulatory inconsistency in relation to limited AFS licensees</w:t>
      </w:r>
      <w:r>
        <w:rPr>
          <w:sz w:val="24"/>
          <w:szCs w:val="24"/>
        </w:rPr>
        <w:t xml:space="preserve">; and </w:t>
      </w:r>
    </w:p>
    <w:p w14:paraId="79461AB9" w14:textId="77777777" w:rsidR="00EC4E03" w:rsidRPr="00EC4E03" w:rsidRDefault="00EC4E03" w:rsidP="00EC4E03">
      <w:pPr>
        <w:pStyle w:val="ListParagraph"/>
        <w:numPr>
          <w:ilvl w:val="0"/>
          <w:numId w:val="20"/>
        </w:numPr>
        <w:tabs>
          <w:tab w:val="left" w:pos="315"/>
          <w:tab w:val="left" w:pos="1593"/>
        </w:tabs>
        <w:spacing w:line="320" w:lineRule="atLeast"/>
        <w:jc w:val="both"/>
        <w:rPr>
          <w:sz w:val="24"/>
          <w:szCs w:val="24"/>
        </w:rPr>
      </w:pPr>
      <w:r w:rsidRPr="00EC4E03">
        <w:rPr>
          <w:sz w:val="24"/>
          <w:szCs w:val="24"/>
        </w:rPr>
        <w:t xml:space="preserve">whether a class order would be an appropriate means to address this inconsistency. </w:t>
      </w:r>
    </w:p>
    <w:p w14:paraId="3F8D1DE8" w14:textId="4AD2B85A" w:rsidR="0018451B" w:rsidRDefault="00D75556" w:rsidP="007E6C49">
      <w:pPr>
        <w:tabs>
          <w:tab w:val="left" w:pos="315"/>
          <w:tab w:val="left" w:pos="1593"/>
        </w:tabs>
        <w:spacing w:line="320" w:lineRule="atLeast"/>
        <w:jc w:val="both"/>
        <w:rPr>
          <w:sz w:val="24"/>
          <w:szCs w:val="24"/>
        </w:rPr>
      </w:pPr>
      <w:r>
        <w:rPr>
          <w:sz w:val="24"/>
          <w:szCs w:val="24"/>
        </w:rPr>
        <w:t xml:space="preserve">All </w:t>
      </w:r>
      <w:r w:rsidR="006E4878">
        <w:rPr>
          <w:sz w:val="24"/>
          <w:szCs w:val="24"/>
        </w:rPr>
        <w:t xml:space="preserve">five </w:t>
      </w:r>
      <w:r w:rsidR="008D12DE">
        <w:rPr>
          <w:sz w:val="24"/>
          <w:szCs w:val="24"/>
        </w:rPr>
        <w:t>stakeholders who responded</w:t>
      </w:r>
      <w:r>
        <w:rPr>
          <w:sz w:val="24"/>
          <w:szCs w:val="24"/>
        </w:rPr>
        <w:t xml:space="preserve"> to the consultation</w:t>
      </w:r>
      <w:r w:rsidR="00626591">
        <w:rPr>
          <w:sz w:val="24"/>
          <w:szCs w:val="24"/>
        </w:rPr>
        <w:t xml:space="preserve"> (CPA, ICAANZ, IPA</w:t>
      </w:r>
      <w:r w:rsidR="0018451B">
        <w:rPr>
          <w:sz w:val="24"/>
          <w:szCs w:val="24"/>
        </w:rPr>
        <w:t>, SMSFA</w:t>
      </w:r>
      <w:r w:rsidR="00626591">
        <w:rPr>
          <w:sz w:val="24"/>
          <w:szCs w:val="24"/>
        </w:rPr>
        <w:t xml:space="preserve"> and TPB</w:t>
      </w:r>
      <w:r w:rsidR="007E6C49">
        <w:rPr>
          <w:sz w:val="24"/>
          <w:szCs w:val="24"/>
        </w:rPr>
        <w:t>)</w:t>
      </w:r>
      <w:r w:rsidR="0018451B">
        <w:rPr>
          <w:sz w:val="24"/>
          <w:szCs w:val="24"/>
        </w:rPr>
        <w:t xml:space="preserve"> expressed concern about the regulatory inconsistency</w:t>
      </w:r>
      <w:r w:rsidR="007E6C49">
        <w:rPr>
          <w:sz w:val="24"/>
          <w:szCs w:val="24"/>
        </w:rPr>
        <w:t xml:space="preserve"> and </w:t>
      </w:r>
      <w:r w:rsidR="008D12DE">
        <w:rPr>
          <w:sz w:val="24"/>
          <w:szCs w:val="24"/>
        </w:rPr>
        <w:t>suppor</w:t>
      </w:r>
      <w:r w:rsidR="007E6C49">
        <w:rPr>
          <w:sz w:val="24"/>
          <w:szCs w:val="24"/>
        </w:rPr>
        <w:t>ted the making of a class order</w:t>
      </w:r>
      <w:r w:rsidR="0018451B">
        <w:rPr>
          <w:sz w:val="24"/>
          <w:szCs w:val="24"/>
        </w:rPr>
        <w:t xml:space="preserve"> to correct it. </w:t>
      </w:r>
    </w:p>
    <w:p w14:paraId="1326F101" w14:textId="77777777" w:rsidR="0018451B" w:rsidRPr="00944B20" w:rsidRDefault="0018451B" w:rsidP="007E6C49">
      <w:pPr>
        <w:tabs>
          <w:tab w:val="left" w:pos="315"/>
          <w:tab w:val="left" w:pos="1593"/>
        </w:tabs>
        <w:spacing w:line="320" w:lineRule="atLeast"/>
        <w:jc w:val="both"/>
        <w:rPr>
          <w:sz w:val="24"/>
          <w:szCs w:val="24"/>
        </w:rPr>
        <w:sectPr w:rsidR="0018451B" w:rsidRPr="00944B20" w:rsidSect="00830206">
          <w:headerReference w:type="even" r:id="rId12"/>
          <w:headerReference w:type="default" r:id="rId13"/>
          <w:footerReference w:type="even" r:id="rId14"/>
          <w:footerReference w:type="default" r:id="rId15"/>
          <w:headerReference w:type="first" r:id="rId16"/>
          <w:pgSz w:w="11906" w:h="16838" w:code="9"/>
          <w:pgMar w:top="1644" w:right="1418" w:bottom="1418" w:left="1418" w:header="567" w:footer="567" w:gutter="0"/>
          <w:cols w:space="720"/>
          <w:docGrid w:linePitch="299"/>
        </w:sectPr>
      </w:pPr>
    </w:p>
    <w:p w14:paraId="5FA18E21" w14:textId="77777777" w:rsidR="000076D6" w:rsidRDefault="000076D6">
      <w:r>
        <w:rPr>
          <w:noProof/>
        </w:rPr>
        <w:lastRenderedPageBreak/>
        <mc:AlternateContent>
          <mc:Choice Requires="wps">
            <w:drawing>
              <wp:anchor distT="0" distB="0" distL="114300" distR="114300" simplePos="0" relativeHeight="251659264" behindDoc="0" locked="0" layoutInCell="1" allowOverlap="1" wp14:anchorId="53D6662C" wp14:editId="631A8C2F">
                <wp:simplePos x="0" y="0"/>
                <wp:positionH relativeFrom="column">
                  <wp:posOffset>19050</wp:posOffset>
                </wp:positionH>
                <wp:positionV relativeFrom="paragraph">
                  <wp:posOffset>495299</wp:posOffset>
                </wp:positionV>
                <wp:extent cx="5311140" cy="78200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7820025"/>
                        </a:xfrm>
                        <a:prstGeom prst="rect">
                          <a:avLst/>
                        </a:prstGeom>
                        <a:solidFill>
                          <a:srgbClr val="FFFFFF"/>
                        </a:solidFill>
                        <a:ln w="76200" cmpd="tri">
                          <a:solidFill>
                            <a:srgbClr val="000000"/>
                          </a:solidFill>
                          <a:miter lim="800000"/>
                          <a:headEnd/>
                          <a:tailEnd/>
                        </a:ln>
                      </wps:spPr>
                      <wps:txbx>
                        <w:txbxContent>
                          <w:p w14:paraId="1C298277" w14:textId="77777777" w:rsidR="000076D6" w:rsidRPr="00834797" w:rsidRDefault="000076D6" w:rsidP="000076D6">
                            <w:pPr>
                              <w:spacing w:before="360" w:after="120"/>
                              <w:jc w:val="center"/>
                              <w:rPr>
                                <w:b/>
                              </w:rPr>
                            </w:pPr>
                            <w:r w:rsidRPr="00834797">
                              <w:rPr>
                                <w:b/>
                              </w:rPr>
                              <w:t>Statement of Compatibility with Human Rights</w:t>
                            </w:r>
                          </w:p>
                          <w:p w14:paraId="7F7EDECD"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41365AEE" w14:textId="77777777" w:rsidR="000076D6" w:rsidRPr="00247F54" w:rsidRDefault="000076D6" w:rsidP="000076D6">
                            <w:pPr>
                              <w:spacing w:before="120" w:after="120"/>
                              <w:jc w:val="center"/>
                            </w:pPr>
                          </w:p>
                          <w:p w14:paraId="5D4B2B0F" w14:textId="332CE35B" w:rsidR="000076D6" w:rsidRPr="00247F54" w:rsidRDefault="00E07956" w:rsidP="000076D6">
                            <w:pPr>
                              <w:spacing w:before="120" w:after="120"/>
                              <w:jc w:val="center"/>
                              <w:rPr>
                                <w:b/>
                              </w:rPr>
                            </w:pPr>
                            <w:r>
                              <w:rPr>
                                <w:b/>
                              </w:rPr>
                              <w:t>ASIC Corporations (Recognised Accountants: Exempt Services) Instrument 2016/</w:t>
                            </w:r>
                            <w:r w:rsidR="00FA7962">
                              <w:rPr>
                                <w:b/>
                              </w:rPr>
                              <w:t>1151</w:t>
                            </w:r>
                          </w:p>
                          <w:p w14:paraId="27BFCD0C" w14:textId="7A9DBB1A" w:rsidR="000076D6" w:rsidRPr="00247F54" w:rsidRDefault="004F7202" w:rsidP="000076D6">
                            <w:pPr>
                              <w:spacing w:before="120" w:after="120"/>
                              <w:jc w:val="center"/>
                            </w:pPr>
                            <w:r w:rsidRPr="008D12DE">
                              <w:rPr>
                                <w:i/>
                              </w:rPr>
                              <w:t>ASIC Corporations (Recognised Accountants: E</w:t>
                            </w:r>
                            <w:r w:rsidR="00FA7962">
                              <w:rPr>
                                <w:i/>
                              </w:rPr>
                              <w:t>xempt Services) Instrument 2016/1151</w:t>
                            </w:r>
                            <w:r w:rsidR="000076D6" w:rsidRPr="008D12DE">
                              <w:rPr>
                                <w:i/>
                              </w:rP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0429FCBC" w14:textId="77777777" w:rsidR="003E57A7" w:rsidRDefault="003E57A7" w:rsidP="000076D6">
                            <w:pPr>
                              <w:spacing w:before="120" w:after="120"/>
                              <w:jc w:val="both"/>
                              <w:rPr>
                                <w:b/>
                              </w:rPr>
                            </w:pPr>
                          </w:p>
                          <w:p w14:paraId="59D174B0" w14:textId="77777777" w:rsidR="000076D6" w:rsidRPr="00247F54" w:rsidRDefault="000076D6" w:rsidP="000076D6">
                            <w:pPr>
                              <w:spacing w:before="120" w:after="120"/>
                              <w:jc w:val="both"/>
                              <w:rPr>
                                <w:b/>
                              </w:rPr>
                            </w:pPr>
                            <w:r w:rsidRPr="00247F54">
                              <w:rPr>
                                <w:b/>
                              </w:rPr>
                              <w:t>Overview</w:t>
                            </w:r>
                          </w:p>
                          <w:p w14:paraId="53766D36" w14:textId="77777777" w:rsidR="0081196F" w:rsidRDefault="002A0C7D" w:rsidP="000076D6">
                            <w:pPr>
                              <w:spacing w:before="120" w:after="120"/>
                            </w:pPr>
                            <w:r w:rsidRPr="002A0C7D">
                              <w:rPr>
                                <w:i/>
                              </w:rPr>
                              <w:t>The Corporations Amendment Regulation 2013 (No 3)</w:t>
                            </w:r>
                            <w:r>
                              <w:t xml:space="preserve"> </w:t>
                            </w:r>
                            <w:r w:rsidR="00C63863">
                              <w:t>(</w:t>
                            </w:r>
                            <w:r w:rsidR="007A12F7">
                              <w:rPr>
                                <w:b/>
                              </w:rPr>
                              <w:t>the Amending R</w:t>
                            </w:r>
                            <w:r w:rsidR="00C63863" w:rsidRPr="00C63863">
                              <w:rPr>
                                <w:b/>
                              </w:rPr>
                              <w:t>egulation</w:t>
                            </w:r>
                            <w:r w:rsidR="00C63863">
                              <w:t xml:space="preserve">) </w:t>
                            </w:r>
                            <w:r>
                              <w:t>h</w:t>
                            </w:r>
                            <w:r w:rsidR="0081196F">
                              <w:t>as repealed regulation 7.1.29</w:t>
                            </w:r>
                            <w:r>
                              <w:t xml:space="preserve">A of the </w:t>
                            </w:r>
                            <w:r w:rsidRPr="002D0D55">
                              <w:rPr>
                                <w:i/>
                              </w:rPr>
                              <w:t>Corporations Regulations 2001</w:t>
                            </w:r>
                            <w:r>
                              <w:t xml:space="preserve"> (</w:t>
                            </w:r>
                            <w:r w:rsidRPr="002A0C7D">
                              <w:rPr>
                                <w:b/>
                              </w:rPr>
                              <w:t>the Regulations</w:t>
                            </w:r>
                            <w:r w:rsidR="00C63863">
                              <w:t>)</w:t>
                            </w:r>
                            <w:r w:rsidR="008B50DA">
                              <w:t xml:space="preserve"> which </w:t>
                            </w:r>
                            <w:r w:rsidR="00C63863">
                              <w:t>allowed recognised accountants to provide advice relating to the acquisition or disposal of interests in a self-managed superannuation fund without being covered by an Australian financial services (</w:t>
                            </w:r>
                            <w:r w:rsidR="00C63863" w:rsidRPr="00C63863">
                              <w:rPr>
                                <w:b/>
                              </w:rPr>
                              <w:t>AFS</w:t>
                            </w:r>
                            <w:r w:rsidR="003E57A7">
                              <w:t xml:space="preserve">) licence. </w:t>
                            </w:r>
                          </w:p>
                          <w:p w14:paraId="01489254" w14:textId="2F7EE403" w:rsidR="000076D6" w:rsidRDefault="003E57A7" w:rsidP="000076D6">
                            <w:pPr>
                              <w:spacing w:before="120" w:after="120"/>
                            </w:pPr>
                            <w:r>
                              <w:t>To facilitate accountants moving to the AFS licensing regime, the</w:t>
                            </w:r>
                            <w:r w:rsidR="007A12F7">
                              <w:t xml:space="preserve"> A</w:t>
                            </w:r>
                            <w:r>
                              <w:t>mend</w:t>
                            </w:r>
                            <w:r w:rsidR="007A12F7">
                              <w:t>ing R</w:t>
                            </w:r>
                            <w:r>
                              <w:t xml:space="preserve">egulation </w:t>
                            </w:r>
                            <w:r w:rsidR="008B50DA">
                              <w:t xml:space="preserve">also </w:t>
                            </w:r>
                            <w:r>
                              <w:t>created</w:t>
                            </w:r>
                            <w:r w:rsidR="00C63863">
                              <w:t xml:space="preserve"> a</w:t>
                            </w:r>
                            <w:r w:rsidR="00102C83">
                              <w:t>n alternative</w:t>
                            </w:r>
                            <w:r w:rsidR="00C63863">
                              <w:t xml:space="preserve"> form of licence, known as a limited AFS licence. </w:t>
                            </w:r>
                          </w:p>
                          <w:p w14:paraId="58224E98" w14:textId="775B4828" w:rsidR="003E57A7" w:rsidRDefault="008B50DA" w:rsidP="000076D6">
                            <w:pPr>
                              <w:spacing w:before="120" w:after="120"/>
                            </w:pPr>
                            <w:r>
                              <w:t xml:space="preserve">However, this has given rise </w:t>
                            </w:r>
                            <w:r w:rsidR="003E57A7">
                              <w:t xml:space="preserve">to an </w:t>
                            </w:r>
                            <w:r>
                              <w:t>unintended</w:t>
                            </w:r>
                            <w:r w:rsidR="00102C83">
                              <w:t xml:space="preserve"> consequence for limited AFS licensees who wish to provide advice in relation to the taxation implications of financial products which are not covered by their licence in circumstances contemplated by regulation 7.1.29(4)</w:t>
                            </w:r>
                            <w:r w:rsidR="003E57A7">
                              <w:t xml:space="preserve">. Limited AFS licencees </w:t>
                            </w:r>
                            <w:r w:rsidR="005D58D7">
                              <w:t xml:space="preserve">are unable to </w:t>
                            </w:r>
                            <w:r>
                              <w:t xml:space="preserve">provide tax advice </w:t>
                            </w:r>
                            <w:r w:rsidR="00254DD8">
                              <w:t xml:space="preserve">to retail clients </w:t>
                            </w:r>
                            <w:r>
                              <w:t xml:space="preserve">under </w:t>
                            </w:r>
                            <w:r w:rsidR="003E57A7">
                              <w:t>regulation 7.1.29(4)</w:t>
                            </w:r>
                            <w:r>
                              <w:t xml:space="preserve"> because they </w:t>
                            </w:r>
                            <w:r w:rsidR="003E57A7">
                              <w:t>cannot comply with requirement in</w:t>
                            </w:r>
                            <w:r w:rsidR="0081196F">
                              <w:t xml:space="preserve"> sub-paragraph </w:t>
                            </w:r>
                            <w:r w:rsidR="006E53E9">
                              <w:t>7.1.29</w:t>
                            </w:r>
                            <w:r w:rsidR="003E57A7">
                              <w:t xml:space="preserve">(4)(c)(ii) to provide a statement that they are not licensed to provide financial advice. </w:t>
                            </w:r>
                          </w:p>
                          <w:p w14:paraId="372E1242" w14:textId="45F01DDE" w:rsidR="008B50DA" w:rsidRDefault="008B50DA" w:rsidP="000076D6">
                            <w:pPr>
                              <w:spacing w:before="120" w:after="120"/>
                            </w:pPr>
                            <w:r>
                              <w:t xml:space="preserve">This instrument </w:t>
                            </w:r>
                            <w:r w:rsidR="00725358">
                              <w:t>corrects</w:t>
                            </w:r>
                            <w:r w:rsidR="00E57016">
                              <w:t xml:space="preserve"> th</w:t>
                            </w:r>
                            <w:r w:rsidR="009133D2">
                              <w:t>at unintended consequence by</w:t>
                            </w:r>
                            <w:r>
                              <w:t xml:space="preserve"> </w:t>
                            </w:r>
                            <w:r w:rsidR="009133D2">
                              <w:t>declaring</w:t>
                            </w:r>
                            <w:r w:rsidR="003E57A7">
                              <w:t xml:space="preserve"> that limited AFS licencees </w:t>
                            </w:r>
                            <w:r w:rsidR="00C36690">
                              <w:t xml:space="preserve">and their authorised representatives </w:t>
                            </w:r>
                            <w:r w:rsidR="003E57A7">
                              <w:t>c</w:t>
                            </w:r>
                            <w:r w:rsidR="0081196F">
                              <w:t>an rely on the ex</w:t>
                            </w:r>
                            <w:r w:rsidR="005D58D7">
                              <w:t xml:space="preserve">emption in regulation 7.1.29(4) to provide tax advice on financial products that are not covered by their licence. </w:t>
                            </w:r>
                          </w:p>
                          <w:p w14:paraId="7D7F48A3" w14:textId="77777777" w:rsidR="008B50DA" w:rsidRPr="008B50DA" w:rsidRDefault="008B50DA" w:rsidP="000076D6">
                            <w:pPr>
                              <w:spacing w:before="120" w:after="120"/>
                            </w:pPr>
                          </w:p>
                          <w:p w14:paraId="17128D2E" w14:textId="77777777" w:rsidR="000076D6" w:rsidRPr="00247F54" w:rsidRDefault="000076D6" w:rsidP="000076D6">
                            <w:pPr>
                              <w:spacing w:before="120" w:after="120"/>
                              <w:rPr>
                                <w:b/>
                              </w:rPr>
                            </w:pPr>
                            <w:r w:rsidRPr="00247F54">
                              <w:rPr>
                                <w:b/>
                              </w:rPr>
                              <w:t>Human rights implications</w:t>
                            </w:r>
                          </w:p>
                          <w:p w14:paraId="3DBEC9D8"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5B523CC8" w14:textId="77777777" w:rsidR="000076D6" w:rsidRPr="00247F54" w:rsidRDefault="000076D6" w:rsidP="000076D6">
                            <w:pPr>
                              <w:spacing w:before="120" w:after="120"/>
                            </w:pPr>
                          </w:p>
                          <w:p w14:paraId="7CF2B246" w14:textId="77777777" w:rsidR="000076D6" w:rsidRPr="00247F54" w:rsidRDefault="000076D6" w:rsidP="000076D6">
                            <w:pPr>
                              <w:spacing w:before="120" w:after="120"/>
                              <w:rPr>
                                <w:b/>
                              </w:rPr>
                            </w:pPr>
                            <w:r w:rsidRPr="00247F54">
                              <w:rPr>
                                <w:b/>
                              </w:rPr>
                              <w:t>Conclusion</w:t>
                            </w:r>
                          </w:p>
                          <w:p w14:paraId="05AE1DAC"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5023015A" w14:textId="77777777" w:rsidR="000076D6" w:rsidRPr="00E4135E" w:rsidRDefault="00E07956" w:rsidP="000076D6">
                            <w:pPr>
                              <w:spacing w:before="120" w:after="120"/>
                              <w:jc w:val="center"/>
                            </w:pPr>
                            <w:r>
                              <w:rPr>
                                <w:b/>
                              </w:rPr>
                              <w:t>Grant Moodie, Special Counsel</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9pt;width:418.2pt;height:6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" strokeweight="6pt">
                <v:stroke linestyle="thickBetweenThin"/>
                <v:textbox inset="5mm,,5mm">
                  <w:txbxContent>
                    <w:p w14:paraId="1C298277" w14:textId="77777777" w:rsidR="000076D6" w:rsidRPr="00834797" w:rsidRDefault="000076D6" w:rsidP="000076D6">
                      <w:pPr>
                        <w:spacing w:before="360" w:after="120"/>
                        <w:jc w:val="center"/>
                        <w:rPr>
                          <w:b/>
                        </w:rPr>
                      </w:pPr>
                      <w:r w:rsidRPr="00834797">
                        <w:rPr>
                          <w:b/>
                        </w:rPr>
                        <w:t>Statement of Compatibility with Human Rights</w:t>
                      </w:r>
                    </w:p>
                    <w:p w14:paraId="7F7EDECD"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41365AEE" w14:textId="77777777" w:rsidR="000076D6" w:rsidRPr="00247F54" w:rsidRDefault="000076D6" w:rsidP="000076D6">
                      <w:pPr>
                        <w:spacing w:before="120" w:after="120"/>
                        <w:jc w:val="center"/>
                      </w:pPr>
                    </w:p>
                    <w:p w14:paraId="5D4B2B0F" w14:textId="332CE35B" w:rsidR="000076D6" w:rsidRPr="00247F54" w:rsidRDefault="00E07956" w:rsidP="000076D6">
                      <w:pPr>
                        <w:spacing w:before="120" w:after="120"/>
                        <w:jc w:val="center"/>
                        <w:rPr>
                          <w:b/>
                        </w:rPr>
                      </w:pPr>
                      <w:r>
                        <w:rPr>
                          <w:b/>
                        </w:rPr>
                        <w:t>ASIC Corporations (Recognised Accountants: Exempt Services) Instrument 2016/</w:t>
                      </w:r>
                      <w:r w:rsidR="00FA7962">
                        <w:rPr>
                          <w:b/>
                        </w:rPr>
                        <w:t>1151</w:t>
                      </w:r>
                    </w:p>
                    <w:p w14:paraId="27BFCD0C" w14:textId="7A9DBB1A" w:rsidR="000076D6" w:rsidRPr="00247F54" w:rsidRDefault="004F7202" w:rsidP="000076D6">
                      <w:pPr>
                        <w:spacing w:before="120" w:after="120"/>
                        <w:jc w:val="center"/>
                      </w:pPr>
                      <w:r w:rsidRPr="008D12DE">
                        <w:rPr>
                          <w:i/>
                        </w:rPr>
                        <w:t>ASIC Corporations (Recognised Accountants: E</w:t>
                      </w:r>
                      <w:r w:rsidR="00FA7962">
                        <w:rPr>
                          <w:i/>
                        </w:rPr>
                        <w:t>xempt Services) Instrument 2016/1151</w:t>
                      </w:r>
                      <w:r w:rsidR="000076D6" w:rsidRPr="008D12DE">
                        <w:rPr>
                          <w:i/>
                        </w:rP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0429FCBC" w14:textId="77777777" w:rsidR="003E57A7" w:rsidRDefault="003E57A7" w:rsidP="000076D6">
                      <w:pPr>
                        <w:spacing w:before="120" w:after="120"/>
                        <w:jc w:val="both"/>
                        <w:rPr>
                          <w:b/>
                        </w:rPr>
                      </w:pPr>
                    </w:p>
                    <w:p w14:paraId="59D174B0" w14:textId="77777777" w:rsidR="000076D6" w:rsidRPr="00247F54" w:rsidRDefault="000076D6" w:rsidP="000076D6">
                      <w:pPr>
                        <w:spacing w:before="120" w:after="120"/>
                        <w:jc w:val="both"/>
                        <w:rPr>
                          <w:b/>
                        </w:rPr>
                      </w:pPr>
                      <w:r w:rsidRPr="00247F54">
                        <w:rPr>
                          <w:b/>
                        </w:rPr>
                        <w:t>Overview</w:t>
                      </w:r>
                    </w:p>
                    <w:p w14:paraId="53766D36" w14:textId="77777777" w:rsidR="0081196F" w:rsidRDefault="002A0C7D" w:rsidP="000076D6">
                      <w:pPr>
                        <w:spacing w:before="120" w:after="120"/>
                      </w:pPr>
                      <w:r w:rsidRPr="002A0C7D">
                        <w:rPr>
                          <w:i/>
                        </w:rPr>
                        <w:t>The Corporations Amendment Regulation 2013 (No 3)</w:t>
                      </w:r>
                      <w:r>
                        <w:t xml:space="preserve"> </w:t>
                      </w:r>
                      <w:r w:rsidR="00C63863">
                        <w:t>(</w:t>
                      </w:r>
                      <w:r w:rsidR="007A12F7">
                        <w:rPr>
                          <w:b/>
                        </w:rPr>
                        <w:t>the Amending R</w:t>
                      </w:r>
                      <w:r w:rsidR="00C63863" w:rsidRPr="00C63863">
                        <w:rPr>
                          <w:b/>
                        </w:rPr>
                        <w:t>egulation</w:t>
                      </w:r>
                      <w:r w:rsidR="00C63863">
                        <w:t xml:space="preserve">) </w:t>
                      </w:r>
                      <w:r>
                        <w:t>h</w:t>
                      </w:r>
                      <w:r w:rsidR="0081196F">
                        <w:t>as repealed regulation 7.1.29</w:t>
                      </w:r>
                      <w:r>
                        <w:t xml:space="preserve">A of the </w:t>
                      </w:r>
                      <w:r w:rsidRPr="002D0D55">
                        <w:rPr>
                          <w:i/>
                        </w:rPr>
                        <w:t>Corporations Regulations 2001</w:t>
                      </w:r>
                      <w:r>
                        <w:t xml:space="preserve"> (</w:t>
                      </w:r>
                      <w:r w:rsidRPr="002A0C7D">
                        <w:rPr>
                          <w:b/>
                        </w:rPr>
                        <w:t>the Regulations</w:t>
                      </w:r>
                      <w:r w:rsidR="00C63863">
                        <w:t>)</w:t>
                      </w:r>
                      <w:r w:rsidR="008B50DA">
                        <w:t xml:space="preserve"> which </w:t>
                      </w:r>
                      <w:r w:rsidR="00C63863">
                        <w:t>allowed recognised accountants to provide advice relating to the acquisition or disposal of interests in a self-managed superannuation fund without being covered by an Australian financial services (</w:t>
                      </w:r>
                      <w:r w:rsidR="00C63863" w:rsidRPr="00C63863">
                        <w:rPr>
                          <w:b/>
                        </w:rPr>
                        <w:t>AFS</w:t>
                      </w:r>
                      <w:r w:rsidR="003E57A7">
                        <w:t xml:space="preserve">) licence. </w:t>
                      </w:r>
                    </w:p>
                    <w:p w14:paraId="01489254" w14:textId="2F7EE403" w:rsidR="000076D6" w:rsidRDefault="003E57A7" w:rsidP="000076D6">
                      <w:pPr>
                        <w:spacing w:before="120" w:after="120"/>
                      </w:pPr>
                      <w:r>
                        <w:t>To facilitate accountants moving to the AFS licensing regime, the</w:t>
                      </w:r>
                      <w:r w:rsidR="007A12F7">
                        <w:t xml:space="preserve"> A</w:t>
                      </w:r>
                      <w:r>
                        <w:t>mend</w:t>
                      </w:r>
                      <w:r w:rsidR="007A12F7">
                        <w:t>ing R</w:t>
                      </w:r>
                      <w:r>
                        <w:t xml:space="preserve">egulation </w:t>
                      </w:r>
                      <w:r w:rsidR="008B50DA">
                        <w:t xml:space="preserve">also </w:t>
                      </w:r>
                      <w:r>
                        <w:t>created</w:t>
                      </w:r>
                      <w:r w:rsidR="00C63863">
                        <w:t xml:space="preserve"> a</w:t>
                      </w:r>
                      <w:r w:rsidR="00102C83">
                        <w:t>n alternative</w:t>
                      </w:r>
                      <w:r w:rsidR="00C63863">
                        <w:t xml:space="preserve"> form of licence, known as a limited AFS licence. </w:t>
                      </w:r>
                    </w:p>
                    <w:p w14:paraId="58224E98" w14:textId="775B4828" w:rsidR="003E57A7" w:rsidRDefault="008B50DA" w:rsidP="000076D6">
                      <w:pPr>
                        <w:spacing w:before="120" w:after="120"/>
                      </w:pPr>
                      <w:r>
                        <w:t xml:space="preserve">However, this has given rise </w:t>
                      </w:r>
                      <w:r w:rsidR="003E57A7">
                        <w:t xml:space="preserve">to an </w:t>
                      </w:r>
                      <w:r>
                        <w:t>unintended</w:t>
                      </w:r>
                      <w:r w:rsidR="00102C83">
                        <w:t xml:space="preserve"> consequence for limited AFS licensees who wish to provide advice in relation to the taxation implications of financial products which are not covered by their licence in circumstances contemplated by regulation 7.1.29(4)</w:t>
                      </w:r>
                      <w:r w:rsidR="003E57A7">
                        <w:t xml:space="preserve">. Limited AFS </w:t>
                      </w:r>
                      <w:proofErr w:type="spellStart"/>
                      <w:r w:rsidR="003E57A7">
                        <w:t>licencees</w:t>
                      </w:r>
                      <w:proofErr w:type="spellEnd"/>
                      <w:r w:rsidR="003E57A7">
                        <w:t xml:space="preserve"> </w:t>
                      </w:r>
                      <w:r w:rsidR="005D58D7">
                        <w:t xml:space="preserve">are unable to </w:t>
                      </w:r>
                      <w:r>
                        <w:t xml:space="preserve">provide tax advice </w:t>
                      </w:r>
                      <w:r w:rsidR="00254DD8">
                        <w:t xml:space="preserve">to retail clients </w:t>
                      </w:r>
                      <w:r>
                        <w:t xml:space="preserve">under </w:t>
                      </w:r>
                      <w:r w:rsidR="003E57A7">
                        <w:t>regulation 7.1.29(4)</w:t>
                      </w:r>
                      <w:r>
                        <w:t xml:space="preserve"> because they </w:t>
                      </w:r>
                      <w:r w:rsidR="003E57A7">
                        <w:t>cannot comply with requirement in</w:t>
                      </w:r>
                      <w:r w:rsidR="0081196F">
                        <w:t xml:space="preserve"> sub-paragraph </w:t>
                      </w:r>
                      <w:r w:rsidR="006E53E9">
                        <w:t>7.1.29</w:t>
                      </w:r>
                      <w:r w:rsidR="003E57A7">
                        <w:t>(4</w:t>
                      </w:r>
                      <w:proofErr w:type="gramStart"/>
                      <w:r w:rsidR="003E57A7">
                        <w:t>)(</w:t>
                      </w:r>
                      <w:proofErr w:type="gramEnd"/>
                      <w:r w:rsidR="003E57A7">
                        <w:t xml:space="preserve">c)(ii) to provide a statement that they are not licensed to provide financial advice. </w:t>
                      </w:r>
                    </w:p>
                    <w:p w14:paraId="372E1242" w14:textId="45F01DDE" w:rsidR="008B50DA" w:rsidRDefault="008B50DA" w:rsidP="000076D6">
                      <w:pPr>
                        <w:spacing w:before="120" w:after="120"/>
                      </w:pPr>
                      <w:r>
                        <w:t xml:space="preserve">This instrument </w:t>
                      </w:r>
                      <w:r w:rsidR="00725358">
                        <w:t>corrects</w:t>
                      </w:r>
                      <w:r w:rsidR="00E57016">
                        <w:t xml:space="preserve"> th</w:t>
                      </w:r>
                      <w:r w:rsidR="009133D2">
                        <w:t>at unintended consequence by</w:t>
                      </w:r>
                      <w:r>
                        <w:t xml:space="preserve"> </w:t>
                      </w:r>
                      <w:r w:rsidR="009133D2">
                        <w:t>declaring</w:t>
                      </w:r>
                      <w:r w:rsidR="003E57A7">
                        <w:t xml:space="preserve"> that limited AFS </w:t>
                      </w:r>
                      <w:proofErr w:type="spellStart"/>
                      <w:r w:rsidR="003E57A7">
                        <w:t>licencees</w:t>
                      </w:r>
                      <w:proofErr w:type="spellEnd"/>
                      <w:r w:rsidR="003E57A7">
                        <w:t xml:space="preserve"> </w:t>
                      </w:r>
                      <w:r w:rsidR="00C36690">
                        <w:t xml:space="preserve">and their authorised representatives </w:t>
                      </w:r>
                      <w:r w:rsidR="003E57A7">
                        <w:t>c</w:t>
                      </w:r>
                      <w:r w:rsidR="0081196F">
                        <w:t>an rely on the ex</w:t>
                      </w:r>
                      <w:r w:rsidR="005D58D7">
                        <w:t xml:space="preserve">emption in regulation 7.1.29(4) to provide tax advice on financial products that are not covered by their licence. </w:t>
                      </w:r>
                    </w:p>
                    <w:p w14:paraId="7D7F48A3" w14:textId="77777777" w:rsidR="008B50DA" w:rsidRPr="008B50DA" w:rsidRDefault="008B50DA" w:rsidP="000076D6">
                      <w:pPr>
                        <w:spacing w:before="120" w:after="120"/>
                      </w:pPr>
                    </w:p>
                    <w:p w14:paraId="17128D2E" w14:textId="77777777" w:rsidR="000076D6" w:rsidRPr="00247F54" w:rsidRDefault="000076D6" w:rsidP="000076D6">
                      <w:pPr>
                        <w:spacing w:before="120" w:after="120"/>
                        <w:rPr>
                          <w:b/>
                        </w:rPr>
                      </w:pPr>
                      <w:r w:rsidRPr="00247F54">
                        <w:rPr>
                          <w:b/>
                        </w:rPr>
                        <w:t>Human rights implications</w:t>
                      </w:r>
                    </w:p>
                    <w:p w14:paraId="3DBEC9D8"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5B523CC8" w14:textId="77777777" w:rsidR="000076D6" w:rsidRPr="00247F54" w:rsidRDefault="000076D6" w:rsidP="000076D6">
                      <w:pPr>
                        <w:spacing w:before="120" w:after="120"/>
                      </w:pPr>
                    </w:p>
                    <w:p w14:paraId="7CF2B246" w14:textId="77777777" w:rsidR="000076D6" w:rsidRPr="00247F54" w:rsidRDefault="000076D6" w:rsidP="000076D6">
                      <w:pPr>
                        <w:spacing w:before="120" w:after="120"/>
                        <w:rPr>
                          <w:b/>
                        </w:rPr>
                      </w:pPr>
                      <w:r w:rsidRPr="00247F54">
                        <w:rPr>
                          <w:b/>
                        </w:rPr>
                        <w:t>Conclusion</w:t>
                      </w:r>
                    </w:p>
                    <w:p w14:paraId="05AE1DAC"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5023015A" w14:textId="77777777" w:rsidR="000076D6" w:rsidRPr="00E4135E" w:rsidRDefault="00E07956" w:rsidP="000076D6">
                      <w:pPr>
                        <w:spacing w:before="120" w:after="120"/>
                        <w:jc w:val="center"/>
                      </w:pPr>
                      <w:r>
                        <w:rPr>
                          <w:b/>
                        </w:rPr>
                        <w:t xml:space="preserve">Grant </w:t>
                      </w:r>
                      <w:proofErr w:type="spellStart"/>
                      <w:r>
                        <w:rPr>
                          <w:b/>
                        </w:rPr>
                        <w:t>Moodie</w:t>
                      </w:r>
                      <w:proofErr w:type="spellEnd"/>
                      <w:r>
                        <w:rPr>
                          <w:b/>
                        </w:rPr>
                        <w:t>, Special Counsel</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4633F" w14:textId="77777777" w:rsidR="00C516FD" w:rsidRDefault="00C516FD">
      <w:pPr>
        <w:spacing w:after="0"/>
      </w:pPr>
      <w:r>
        <w:separator/>
      </w:r>
    </w:p>
  </w:endnote>
  <w:endnote w:type="continuationSeparator" w:id="0">
    <w:p w14:paraId="30C19DF7" w14:textId="77777777" w:rsidR="00C516FD" w:rsidRDefault="00C516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CAD20" w14:textId="77777777" w:rsidR="00C516FD"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BDA9E28" w14:textId="77777777" w:rsidR="00C516FD" w:rsidRDefault="00C516FD">
    <w:pPr>
      <w:pStyle w:val="Footer"/>
      <w:ind w:right="360"/>
    </w:pPr>
  </w:p>
  <w:p w14:paraId="3CF25659" w14:textId="77777777" w:rsidR="00C516FD" w:rsidRDefault="00C516FD"/>
  <w:p w14:paraId="37E76AE0" w14:textId="77777777" w:rsidR="00C516FD" w:rsidRDefault="00C516FD"/>
  <w:p w14:paraId="43FBE559" w14:textId="77777777" w:rsidR="00C516FD" w:rsidRDefault="00C516FD"/>
  <w:p w14:paraId="319A563C" w14:textId="77777777" w:rsidR="00C516FD" w:rsidRDefault="00C516FD"/>
  <w:p w14:paraId="08EAF98B" w14:textId="77777777" w:rsidR="00C516FD" w:rsidRDefault="00C516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9C3DB" w14:textId="738541AB" w:rsidR="00C516FD" w:rsidRDefault="001C0796" w:rsidP="00E07956">
    <w:pPr>
      <w:pStyle w:val="Footer"/>
      <w:pBdr>
        <w:top w:val="single" w:sz="4" w:space="0" w:color="117DC7"/>
      </w:pBdr>
      <w:rPr>
        <w:b/>
        <w:color w:val="117DC7"/>
      </w:rPr>
    </w:pPr>
    <w:r>
      <w:rPr>
        <w:noProof/>
        <w:color w:val="117DC7"/>
        <w:sz w:val="20"/>
        <w:lang w:val="en-US" w:eastAsia="en-US"/>
      </w:rPr>
      <w:pict w14:anchorId="0A092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513.7pt;margin-top:-78.6pt;width:125.1pt;height:27pt;rotation:270;z-index:-251658240;mso-position-horizontal-relative:text;mso-position-vertical-relative:text" fillcolor="silver" stroked="f" strokecolor="silver">
          <v:shadow color="#868686"/>
          <v:textpath style="font-family:&quot;Arial&quot;;font-weight:bold;v-text-kern:t" trim="t" fitpath="t" string="DRAFT"/>
        </v:shape>
      </w:pict>
    </w:r>
    <w:r w:rsidR="005B0E3A">
      <w:rPr>
        <w:noProof/>
        <w:color w:val="117DC7"/>
        <w:sz w:val="20"/>
      </w:rPr>
      <mc:AlternateContent>
        <mc:Choice Requires="wps">
          <w:drawing>
            <wp:anchor distT="0" distB="0" distL="114300" distR="114300" simplePos="0" relativeHeight="251657216" behindDoc="0" locked="1" layoutInCell="1" allowOverlap="1" wp14:anchorId="196FF29E" wp14:editId="76BB49BF">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E8A2B" w14:textId="77777777" w:rsidR="00C516FD" w:rsidRPr="008F541E" w:rsidRDefault="005B0E3A" w:rsidP="00C516FD">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1C0796">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06EE8A2B" w14:textId="77777777" w:rsidR="00C516FD" w:rsidRPr="008F541E" w:rsidRDefault="005B0E3A" w:rsidP="00C516FD">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1C0796">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sidR="005B0E3A">
      <w:rPr>
        <w:color w:val="117DC7"/>
      </w:rPr>
      <w:t>© Australian Secur</w:t>
    </w:r>
    <w:r w:rsidR="007258B9">
      <w:rPr>
        <w:color w:val="117DC7"/>
      </w:rPr>
      <w:t>ities and Investments Commission</w:t>
    </w:r>
    <w:r w:rsidR="005B0E3A">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B099F" w14:textId="77777777" w:rsidR="00C516FD" w:rsidRDefault="00C516FD">
      <w:pPr>
        <w:spacing w:after="0"/>
      </w:pPr>
      <w:r>
        <w:separator/>
      </w:r>
    </w:p>
  </w:footnote>
  <w:footnote w:type="continuationSeparator" w:id="0">
    <w:p w14:paraId="61C9A610" w14:textId="77777777" w:rsidR="00C516FD" w:rsidRDefault="00C516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FD125" w14:textId="77777777" w:rsidR="00C516FD" w:rsidRDefault="00C516FD"/>
  <w:p w14:paraId="28375F65" w14:textId="77777777" w:rsidR="00C516FD" w:rsidRDefault="00C516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DB245" w14:textId="77777777" w:rsidR="00C516FD" w:rsidRPr="00034AE7" w:rsidRDefault="00C516FD" w:rsidP="00034AE7">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A1267" w14:textId="77777777" w:rsidR="00C516FD"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607F9A"/>
    <w:multiLevelType w:val="hybridMultilevel"/>
    <w:tmpl w:val="25D273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949718A"/>
    <w:multiLevelType w:val="hybridMultilevel"/>
    <w:tmpl w:val="70029DF8"/>
    <w:lvl w:ilvl="0" w:tplc="CB5043B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407121"/>
    <w:multiLevelType w:val="hybridMultilevel"/>
    <w:tmpl w:val="A3B0FE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1EE745E2"/>
    <w:multiLevelType w:val="hybridMultilevel"/>
    <w:tmpl w:val="48F09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E8236A"/>
    <w:multiLevelType w:val="hybridMultilevel"/>
    <w:tmpl w:val="EDDA7F22"/>
    <w:lvl w:ilvl="0" w:tplc="127A2D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2">
    <w:nsid w:val="2BB32854"/>
    <w:multiLevelType w:val="hybridMultilevel"/>
    <w:tmpl w:val="CDD276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2EDB39FD"/>
    <w:multiLevelType w:val="hybridMultilevel"/>
    <w:tmpl w:val="B8FC4C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5C5EB7"/>
    <w:multiLevelType w:val="hybridMultilevel"/>
    <w:tmpl w:val="95FC514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3C6A6798"/>
    <w:multiLevelType w:val="hybridMultilevel"/>
    <w:tmpl w:val="C10C7580"/>
    <w:lvl w:ilvl="0" w:tplc="0ADE64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8">
    <w:nsid w:val="3F5443D0"/>
    <w:multiLevelType w:val="hybridMultilevel"/>
    <w:tmpl w:val="997A8C9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F27477"/>
    <w:multiLevelType w:val="hybridMultilevel"/>
    <w:tmpl w:val="669CC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E657D0"/>
    <w:multiLevelType w:val="hybridMultilevel"/>
    <w:tmpl w:val="41E8BE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554170BC"/>
    <w:multiLevelType w:val="hybridMultilevel"/>
    <w:tmpl w:val="435466E4"/>
    <w:lvl w:ilvl="0" w:tplc="5B2ADF12">
      <w:start w:val="1"/>
      <w:numFmt w:val="lowerRoman"/>
      <w:lvlText w:val="(%1)"/>
      <w:lvlJc w:val="left"/>
      <w:pPr>
        <w:ind w:left="288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nsid w:val="55EC067A"/>
    <w:multiLevelType w:val="hybridMultilevel"/>
    <w:tmpl w:val="31A4C0D2"/>
    <w:lvl w:ilvl="0" w:tplc="6AE8AB4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88E01C4"/>
    <w:multiLevelType w:val="hybridMultilevel"/>
    <w:tmpl w:val="4D228E8E"/>
    <w:lvl w:ilvl="0" w:tplc="57884D1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nsid w:val="5AD315CB"/>
    <w:multiLevelType w:val="hybridMultilevel"/>
    <w:tmpl w:val="8642F306"/>
    <w:lvl w:ilvl="0" w:tplc="FE9EB1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BE36392"/>
    <w:multiLevelType w:val="hybridMultilevel"/>
    <w:tmpl w:val="165AE0A0"/>
    <w:lvl w:ilvl="0" w:tplc="5B2ADF12">
      <w:start w:val="1"/>
      <w:numFmt w:val="lowerRoman"/>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nsid w:val="654546AA"/>
    <w:multiLevelType w:val="hybridMultilevel"/>
    <w:tmpl w:val="E8243088"/>
    <w:lvl w:ilvl="0" w:tplc="A33010C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72706D2"/>
    <w:multiLevelType w:val="hybridMultilevel"/>
    <w:tmpl w:val="661E0C40"/>
    <w:lvl w:ilvl="0" w:tplc="5B2ADF1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69A6639C"/>
    <w:multiLevelType w:val="hybridMultilevel"/>
    <w:tmpl w:val="19CCFE68"/>
    <w:lvl w:ilvl="0" w:tplc="BA7CDC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A1037C1"/>
    <w:multiLevelType w:val="hybridMultilevel"/>
    <w:tmpl w:val="5C1AEA40"/>
    <w:lvl w:ilvl="0" w:tplc="59DCB8D6">
      <w:start w:val="1"/>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4">
    <w:nsid w:val="6FA37E1F"/>
    <w:multiLevelType w:val="hybridMultilevel"/>
    <w:tmpl w:val="9C3AC8F6"/>
    <w:lvl w:ilvl="0" w:tplc="59DCB8D6">
      <w:start w:val="1"/>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nsid w:val="716906DC"/>
    <w:multiLevelType w:val="hybridMultilevel"/>
    <w:tmpl w:val="99469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6"/>
  </w:num>
  <w:num w:numId="3">
    <w:abstractNumId w:val="19"/>
  </w:num>
  <w:num w:numId="4">
    <w:abstractNumId w:val="33"/>
  </w:num>
  <w:num w:numId="5">
    <w:abstractNumId w:val="10"/>
  </w:num>
  <w:num w:numId="6">
    <w:abstractNumId w:val="7"/>
  </w:num>
  <w:num w:numId="7">
    <w:abstractNumId w:val="17"/>
  </w:num>
  <w:num w:numId="8">
    <w:abstractNumId w:val="4"/>
  </w:num>
  <w:num w:numId="9">
    <w:abstractNumId w:val="3"/>
  </w:num>
  <w:num w:numId="10">
    <w:abstractNumId w:val="0"/>
  </w:num>
  <w:num w:numId="11">
    <w:abstractNumId w:val="14"/>
  </w:num>
  <w:num w:numId="12">
    <w:abstractNumId w:val="32"/>
  </w:num>
  <w:num w:numId="13">
    <w:abstractNumId w:val="21"/>
  </w:num>
  <w:num w:numId="14">
    <w:abstractNumId w:val="11"/>
  </w:num>
  <w:num w:numId="15">
    <w:abstractNumId w:val="1"/>
  </w:num>
  <w:num w:numId="16">
    <w:abstractNumId w:val="16"/>
  </w:num>
  <w:num w:numId="17">
    <w:abstractNumId w:val="26"/>
  </w:num>
  <w:num w:numId="18">
    <w:abstractNumId w:val="22"/>
  </w:num>
  <w:num w:numId="19">
    <w:abstractNumId w:val="13"/>
  </w:num>
  <w:num w:numId="20">
    <w:abstractNumId w:val="30"/>
  </w:num>
  <w:num w:numId="21">
    <w:abstractNumId w:val="18"/>
  </w:num>
  <w:num w:numId="22">
    <w:abstractNumId w:val="15"/>
  </w:num>
  <w:num w:numId="23">
    <w:abstractNumId w:val="12"/>
  </w:num>
  <w:num w:numId="24">
    <w:abstractNumId w:val="6"/>
  </w:num>
  <w:num w:numId="25">
    <w:abstractNumId w:val="9"/>
  </w:num>
  <w:num w:numId="26">
    <w:abstractNumId w:val="28"/>
  </w:num>
  <w:num w:numId="27">
    <w:abstractNumId w:val="2"/>
  </w:num>
  <w:num w:numId="28">
    <w:abstractNumId w:val="24"/>
  </w:num>
  <w:num w:numId="29">
    <w:abstractNumId w:val="29"/>
  </w:num>
  <w:num w:numId="30">
    <w:abstractNumId w:val="8"/>
  </w:num>
  <w:num w:numId="31">
    <w:abstractNumId w:val="27"/>
  </w:num>
  <w:num w:numId="32">
    <w:abstractNumId w:val="23"/>
  </w:num>
  <w:num w:numId="33">
    <w:abstractNumId w:val="35"/>
  </w:num>
  <w:num w:numId="34">
    <w:abstractNumId w:val="25"/>
  </w:num>
  <w:num w:numId="35">
    <w:abstractNumId w:val="34"/>
  </w:num>
  <w:num w:numId="36">
    <w:abstractNumId w:val="3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AE7"/>
    <w:rsid w:val="000076D6"/>
    <w:rsid w:val="00026B0A"/>
    <w:rsid w:val="00034AE7"/>
    <w:rsid w:val="000A4144"/>
    <w:rsid w:val="000B4834"/>
    <w:rsid w:val="000D4038"/>
    <w:rsid w:val="000E1B6C"/>
    <w:rsid w:val="000E4312"/>
    <w:rsid w:val="000F1E72"/>
    <w:rsid w:val="00102C83"/>
    <w:rsid w:val="0013483C"/>
    <w:rsid w:val="00154FC9"/>
    <w:rsid w:val="00161556"/>
    <w:rsid w:val="00174465"/>
    <w:rsid w:val="0018451B"/>
    <w:rsid w:val="001B7C86"/>
    <w:rsid w:val="001C0796"/>
    <w:rsid w:val="001D33A9"/>
    <w:rsid w:val="001D49CC"/>
    <w:rsid w:val="002152ED"/>
    <w:rsid w:val="00233836"/>
    <w:rsid w:val="00254DD8"/>
    <w:rsid w:val="00276008"/>
    <w:rsid w:val="002761F3"/>
    <w:rsid w:val="00277202"/>
    <w:rsid w:val="002A0C7D"/>
    <w:rsid w:val="002D0D55"/>
    <w:rsid w:val="002E5C0D"/>
    <w:rsid w:val="003649AD"/>
    <w:rsid w:val="003A3A37"/>
    <w:rsid w:val="003A5633"/>
    <w:rsid w:val="003B22A2"/>
    <w:rsid w:val="003D47EA"/>
    <w:rsid w:val="003E57A7"/>
    <w:rsid w:val="003F5770"/>
    <w:rsid w:val="00426672"/>
    <w:rsid w:val="0043361A"/>
    <w:rsid w:val="00433E29"/>
    <w:rsid w:val="00444F3B"/>
    <w:rsid w:val="0045183F"/>
    <w:rsid w:val="00465454"/>
    <w:rsid w:val="004C4B7C"/>
    <w:rsid w:val="004F7202"/>
    <w:rsid w:val="00516AC8"/>
    <w:rsid w:val="00574FE5"/>
    <w:rsid w:val="005A72E6"/>
    <w:rsid w:val="005B0E3A"/>
    <w:rsid w:val="005D58D7"/>
    <w:rsid w:val="005E7C98"/>
    <w:rsid w:val="006016F8"/>
    <w:rsid w:val="0061264C"/>
    <w:rsid w:val="00626591"/>
    <w:rsid w:val="00630094"/>
    <w:rsid w:val="00636F74"/>
    <w:rsid w:val="00691CD2"/>
    <w:rsid w:val="006942BB"/>
    <w:rsid w:val="006C43F8"/>
    <w:rsid w:val="006E21ED"/>
    <w:rsid w:val="006E3310"/>
    <w:rsid w:val="006E4878"/>
    <w:rsid w:val="006E53E9"/>
    <w:rsid w:val="007002A9"/>
    <w:rsid w:val="0070367E"/>
    <w:rsid w:val="00722470"/>
    <w:rsid w:val="00725358"/>
    <w:rsid w:val="007258B9"/>
    <w:rsid w:val="00741BB5"/>
    <w:rsid w:val="00765A52"/>
    <w:rsid w:val="00793DCF"/>
    <w:rsid w:val="007A12F7"/>
    <w:rsid w:val="007E2686"/>
    <w:rsid w:val="007E6C49"/>
    <w:rsid w:val="0081196F"/>
    <w:rsid w:val="00830206"/>
    <w:rsid w:val="00835664"/>
    <w:rsid w:val="00846768"/>
    <w:rsid w:val="00867676"/>
    <w:rsid w:val="008758D4"/>
    <w:rsid w:val="00884D1C"/>
    <w:rsid w:val="0088774E"/>
    <w:rsid w:val="008B50DA"/>
    <w:rsid w:val="008B5499"/>
    <w:rsid w:val="008B5FCC"/>
    <w:rsid w:val="008D12DE"/>
    <w:rsid w:val="009133D2"/>
    <w:rsid w:val="00940464"/>
    <w:rsid w:val="00944B20"/>
    <w:rsid w:val="00970DB0"/>
    <w:rsid w:val="009B4BFF"/>
    <w:rsid w:val="009D6628"/>
    <w:rsid w:val="009E661B"/>
    <w:rsid w:val="00A01BEC"/>
    <w:rsid w:val="00A24EFD"/>
    <w:rsid w:val="00A5231E"/>
    <w:rsid w:val="00A60C6C"/>
    <w:rsid w:val="00A86718"/>
    <w:rsid w:val="00AA00DE"/>
    <w:rsid w:val="00AC02C2"/>
    <w:rsid w:val="00AD7AFA"/>
    <w:rsid w:val="00B02C78"/>
    <w:rsid w:val="00B21CD5"/>
    <w:rsid w:val="00B3342A"/>
    <w:rsid w:val="00B44C5F"/>
    <w:rsid w:val="00B61D45"/>
    <w:rsid w:val="00B7651B"/>
    <w:rsid w:val="00B76969"/>
    <w:rsid w:val="00B805D6"/>
    <w:rsid w:val="00B816E0"/>
    <w:rsid w:val="00BA5E98"/>
    <w:rsid w:val="00BD4EA7"/>
    <w:rsid w:val="00BE4A1A"/>
    <w:rsid w:val="00BE6225"/>
    <w:rsid w:val="00BF43DF"/>
    <w:rsid w:val="00BF5E21"/>
    <w:rsid w:val="00C13025"/>
    <w:rsid w:val="00C3210C"/>
    <w:rsid w:val="00C36690"/>
    <w:rsid w:val="00C43E56"/>
    <w:rsid w:val="00C451E1"/>
    <w:rsid w:val="00C516FD"/>
    <w:rsid w:val="00C61369"/>
    <w:rsid w:val="00C63863"/>
    <w:rsid w:val="00C71881"/>
    <w:rsid w:val="00C94BA1"/>
    <w:rsid w:val="00CA75FF"/>
    <w:rsid w:val="00CC386D"/>
    <w:rsid w:val="00CC45C6"/>
    <w:rsid w:val="00D413A8"/>
    <w:rsid w:val="00D55B8C"/>
    <w:rsid w:val="00D57879"/>
    <w:rsid w:val="00D75556"/>
    <w:rsid w:val="00D77653"/>
    <w:rsid w:val="00D82292"/>
    <w:rsid w:val="00D91AE1"/>
    <w:rsid w:val="00DF0949"/>
    <w:rsid w:val="00E07956"/>
    <w:rsid w:val="00E11777"/>
    <w:rsid w:val="00E3003B"/>
    <w:rsid w:val="00E35D95"/>
    <w:rsid w:val="00E57016"/>
    <w:rsid w:val="00E761D6"/>
    <w:rsid w:val="00EA186F"/>
    <w:rsid w:val="00EB4ECA"/>
    <w:rsid w:val="00EC1D8F"/>
    <w:rsid w:val="00EC4E03"/>
    <w:rsid w:val="00F045F4"/>
    <w:rsid w:val="00F047AC"/>
    <w:rsid w:val="00F31C3A"/>
    <w:rsid w:val="00F373D5"/>
    <w:rsid w:val="00F40F7A"/>
    <w:rsid w:val="00F43785"/>
    <w:rsid w:val="00F67AEF"/>
    <w:rsid w:val="00F75D36"/>
    <w:rsid w:val="00F92363"/>
    <w:rsid w:val="00FA7962"/>
    <w:rsid w:val="00FD0ECF"/>
    <w:rsid w:val="00FF23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AE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3D47EA"/>
    <w:rPr>
      <w:sz w:val="16"/>
      <w:szCs w:val="16"/>
    </w:rPr>
  </w:style>
  <w:style w:type="paragraph" w:styleId="CommentSubject">
    <w:name w:val="annotation subject"/>
    <w:basedOn w:val="CommentText"/>
    <w:next w:val="CommentText"/>
    <w:link w:val="CommentSubjectChar"/>
    <w:uiPriority w:val="99"/>
    <w:semiHidden/>
    <w:unhideWhenUsed/>
    <w:rsid w:val="003D47EA"/>
    <w:rPr>
      <w:b/>
      <w:bCs/>
    </w:rPr>
  </w:style>
  <w:style w:type="character" w:customStyle="1" w:styleId="CommentTextChar">
    <w:name w:val="Comment Text Char"/>
    <w:basedOn w:val="DefaultParagraphFont"/>
    <w:link w:val="CommentText"/>
    <w:semiHidden/>
    <w:rsid w:val="003D47EA"/>
  </w:style>
  <w:style w:type="character" w:customStyle="1" w:styleId="CommentSubjectChar">
    <w:name w:val="Comment Subject Char"/>
    <w:basedOn w:val="CommentTextChar"/>
    <w:link w:val="CommentSubject"/>
    <w:uiPriority w:val="99"/>
    <w:semiHidden/>
    <w:rsid w:val="003D47EA"/>
    <w:rPr>
      <w:b/>
      <w:bCs/>
    </w:rPr>
  </w:style>
  <w:style w:type="paragraph" w:styleId="BalloonText">
    <w:name w:val="Balloon Text"/>
    <w:basedOn w:val="Normal"/>
    <w:link w:val="BalloonTextChar"/>
    <w:uiPriority w:val="99"/>
    <w:semiHidden/>
    <w:unhideWhenUsed/>
    <w:rsid w:val="003D47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7EA"/>
    <w:rPr>
      <w:rFonts w:ascii="Tahoma" w:hAnsi="Tahoma" w:cs="Tahoma"/>
      <w:sz w:val="16"/>
      <w:szCs w:val="16"/>
    </w:rPr>
  </w:style>
  <w:style w:type="paragraph" w:styleId="Revision">
    <w:name w:val="Revision"/>
    <w:hidden/>
    <w:uiPriority w:val="99"/>
    <w:semiHidden/>
    <w:rsid w:val="009133D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3D47EA"/>
    <w:rPr>
      <w:sz w:val="16"/>
      <w:szCs w:val="16"/>
    </w:rPr>
  </w:style>
  <w:style w:type="paragraph" w:styleId="CommentSubject">
    <w:name w:val="annotation subject"/>
    <w:basedOn w:val="CommentText"/>
    <w:next w:val="CommentText"/>
    <w:link w:val="CommentSubjectChar"/>
    <w:uiPriority w:val="99"/>
    <w:semiHidden/>
    <w:unhideWhenUsed/>
    <w:rsid w:val="003D47EA"/>
    <w:rPr>
      <w:b/>
      <w:bCs/>
    </w:rPr>
  </w:style>
  <w:style w:type="character" w:customStyle="1" w:styleId="CommentTextChar">
    <w:name w:val="Comment Text Char"/>
    <w:basedOn w:val="DefaultParagraphFont"/>
    <w:link w:val="CommentText"/>
    <w:semiHidden/>
    <w:rsid w:val="003D47EA"/>
  </w:style>
  <w:style w:type="character" w:customStyle="1" w:styleId="CommentSubjectChar">
    <w:name w:val="Comment Subject Char"/>
    <w:basedOn w:val="CommentTextChar"/>
    <w:link w:val="CommentSubject"/>
    <w:uiPriority w:val="99"/>
    <w:semiHidden/>
    <w:rsid w:val="003D47EA"/>
    <w:rPr>
      <w:b/>
      <w:bCs/>
    </w:rPr>
  </w:style>
  <w:style w:type="paragraph" w:styleId="BalloonText">
    <w:name w:val="Balloon Text"/>
    <w:basedOn w:val="Normal"/>
    <w:link w:val="BalloonTextChar"/>
    <w:uiPriority w:val="99"/>
    <w:semiHidden/>
    <w:unhideWhenUsed/>
    <w:rsid w:val="003D47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7EA"/>
    <w:rPr>
      <w:rFonts w:ascii="Tahoma" w:hAnsi="Tahoma" w:cs="Tahoma"/>
      <w:sz w:val="16"/>
      <w:szCs w:val="16"/>
    </w:rPr>
  </w:style>
  <w:style w:type="paragraph" w:styleId="Revision">
    <w:name w:val="Revision"/>
    <w:hidden/>
    <w:uiPriority w:val="99"/>
    <w:semiHidden/>
    <w:rsid w:val="009133D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A Policy Document" ma:contentTypeID="0x010100B5F685A1365F544391EF8C813B164F3A9500057B65281D252E4EA5C90AFA34858AB1" ma:contentTypeVersion="26" ma:contentTypeDescription="" ma:contentTypeScope="" ma:versionID="959a90f6f2637e8738e4598065a88082">
  <xsd:schema xmlns:xsd="http://www.w3.org/2001/XMLSchema" xmlns:xs="http://www.w3.org/2001/XMLSchema" xmlns:p="http://schemas.microsoft.com/office/2006/metadata/properties" xmlns:ns2="da7a9ac0-bc47-4684-84e6-3a8e9ac80c12" xmlns:ns3="c34c7f6c-aaaf-45a3-a9eb-afe48db4d66e" xmlns:ns5="http://schemas.microsoft.com/sharepoint/v4" xmlns:ns6="17f478ab-373e-4295-9ff0-9b833ad01319" targetNamespace="http://schemas.microsoft.com/office/2006/metadata/properties" ma:root="true" ma:fieldsID="3325ccd8d457fd048e4d504deb7adfe5" ns2:_="" ns3:_="" ns5:_="" ns6:_="">
    <xsd:import namespace="da7a9ac0-bc47-4684-84e6-3a8e9ac80c12"/>
    <xsd:import namespace="c34c7f6c-aaaf-45a3-a9eb-afe48db4d66e"/>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APolicyDocumentType" minOccurs="0"/>
                <xsd:element ref="ns2:h771bd08b94b4ae5a720f57c72698c26" minOccurs="0"/>
                <xsd:element ref="ns3:d60934758bd44d46b350733ac9e6adc4"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APolicyDocumentType" ma:index="17" nillable="true" ma:displayName="FA Policy Document Type" ma:format="Dropdown" ma:internalName="FAPolicyDocumentType" ma:readOnly="false">
      <xsd:simpleType>
        <xsd:restriction base="dms:Choice">
          <xsd:enumeration value="Communications"/>
          <xsd:enumeration value="Guidance"/>
          <xsd:enumeration value="Submission"/>
          <xsd:enumeration value="Speeches"/>
          <xsd:enumeration value="Briefings"/>
          <xsd:enumeration value="Agenda"/>
          <xsd:enumeration value="Minutes"/>
          <xsd:enumeration value="Media Release"/>
        </xsd:restriction>
      </xsd:simpleType>
    </xsd:element>
    <xsd:element name="h771bd08b94b4ae5a720f57c72698c26" ma:index="18" nillable="true" ma:displayName="Communication_0" ma:hidden="true" ma:internalName="h771bd08b94b4ae5a720f57c72698c26"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c7f6c-aaaf-45a3-a9eb-afe48db4d66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4e46640-b2c8-4f13-91a4-f61af8f8ea7f}" ma:internalName="TaxCatchAll" ma:showField="CatchAllData" ma:web="c34c7f6c-aaaf-45a3-a9eb-afe48db4d66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4e46640-b2c8-4f13-91a4-f61af8f8ea7f}" ma:internalName="TaxCatchAllLabel" ma:readOnly="true" ma:showField="CatchAllDataLabel" ma:web="c34c7f6c-aaaf-45a3-a9eb-afe48db4d66e">
      <xsd:complexType>
        <xsd:complexContent>
          <xsd:extension base="dms:MultiChoiceLookup">
            <xsd:sequence>
              <xsd:element name="Value" type="dms:Lookup" maxOccurs="unbounded" minOccurs="0" nillable="true"/>
            </xsd:sequence>
          </xsd:extension>
        </xsd:complexContent>
      </xsd:complexType>
    </xsd:element>
    <xsd:element name="d60934758bd44d46b350733ac9e6adc4" ma:index="19" ma:taxonomy="true" ma:internalName="d60934758bd44d46b350733ac9e6adc4" ma:taxonomyFieldName="SecurityClassification" ma:displayName="Security Classification" ma:default="6;#Sensitive|19fd2cb8-3e97-4464-ae71-8c2c2095d028" ma:fieldId="{d6093475-8bd4-4d46-b350-733ac9e6adc4}"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R20160000705672</RecordNumber>
    <ObjectiveID xmlns="da7a9ac0-bc47-4684-84e6-3a8e9ac80c12" xsi:nil="true"/>
    <IconOverlay xmlns="http://schemas.microsoft.com/sharepoint/v4" xsi:nil="true"/>
    <TaxCatchAll xmlns="c34c7f6c-aaaf-45a3-a9eb-afe48db4d66e">
      <Value>6</Value>
    </TaxCatchAll>
    <SignificantFlag xmlns="da7a9ac0-bc47-4684-84e6-3a8e9ac80c12">false</SignificantFlag>
    <h771bd08b94b4ae5a720f57c72698c26 xmlns="da7a9ac0-bc47-4684-84e6-3a8e9ac80c12" xsi:nil="true"/>
    <FAPolicyDocumentType xmlns="da7a9ac0-bc47-4684-84e6-3a8e9ac80c12" xsi:nil="true"/>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d60934758bd44d46b350733ac9e6adc4 xmlns="c34c7f6c-aaaf-45a3-a9eb-afe48db4d6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d60934758bd44d46b350733ac9e6adc4>
    <NotesLinks xmlns="da7a9ac0-bc47-4684-84e6-3a8e9ac80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CDEA5-94D7-41EF-8CF9-D3D331F9A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c34c7f6c-aaaf-45a3-a9eb-afe48db4d66e"/>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F8A42-EB3F-424D-AA5E-CFBD66D01E54}">
  <ds:schemaRefs>
    <ds:schemaRef ds:uri="http://schemas.microsoft.com/office/infopath/2007/PartnerControls"/>
    <ds:schemaRef ds:uri="17f478ab-373e-4295-9ff0-9b833ad01319"/>
    <ds:schemaRef ds:uri="c34c7f6c-aaaf-45a3-a9eb-afe48db4d66e"/>
    <ds:schemaRef ds:uri="http://purl.org/dc/dcmitype/"/>
    <ds:schemaRef ds:uri="http://purl.org/dc/elements/1.1/"/>
    <ds:schemaRef ds:uri="http://schemas.microsoft.com/sharepoint/v4"/>
    <ds:schemaRef ds:uri="http://schemas.openxmlformats.org/package/2006/metadata/core-properties"/>
    <ds:schemaRef ds:uri="http://purl.org/dc/terms/"/>
    <ds:schemaRef ds:uri="http://www.w3.org/XML/1998/namespace"/>
    <ds:schemaRef ds:uri="http://schemas.microsoft.com/office/2006/documentManagement/types"/>
    <ds:schemaRef ds:uri="da7a9ac0-bc47-4684-84e6-3a8e9ac80c12"/>
    <ds:schemaRef ds:uri="http://schemas.microsoft.com/office/2006/metadata/properties"/>
  </ds:schemaRefs>
</ds:datastoreItem>
</file>

<file path=customXml/itemProps3.xml><?xml version="1.0" encoding="utf-8"?>
<ds:datastoreItem xmlns:ds="http://schemas.openxmlformats.org/officeDocument/2006/customXml" ds:itemID="{5FCC1816-9444-4847-9CC0-16AB36A97C44}">
  <ds:schemaRefs>
    <ds:schemaRef ds:uri="http://schemas.microsoft.com/sharepoint/v3/contenttype/forms"/>
  </ds:schemaRefs>
</ds:datastoreItem>
</file>

<file path=customXml/itemProps4.xml><?xml version="1.0" encoding="utf-8"?>
<ds:datastoreItem xmlns:ds="http://schemas.openxmlformats.org/officeDocument/2006/customXml" ds:itemID="{D0831D5E-7D83-4CC2-A49A-1680E9A0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1164</Words>
  <Characters>6378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natasha.nguyen</dc:creator>
  <cp:lastModifiedBy>merrill.murray</cp:lastModifiedBy>
  <cp:revision>2</cp:revision>
  <cp:lastPrinted>2016-10-28T03:48:00Z</cp:lastPrinted>
  <dcterms:created xsi:type="dcterms:W3CDTF">2016-12-01T23:19:00Z</dcterms:created>
  <dcterms:modified xsi:type="dcterms:W3CDTF">2016-12-01T23:19:00Z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0x010100B5F685A1365F544391EF8C813B164F3A9500057B65281D252E4EA5C90AFA34858AB1</vt:lpwstr>
  </property>
  <property fmtid="{D5CDD505-2E9C-101B-9397-08002B2CF9AE}" pid="23" name="SecurityClassification">
    <vt:lpwstr>6;#Sensitive|19fd2cb8-3e97-4464-ae71-8c2c2095d028</vt:lpwstr>
  </property>
  <property fmtid="{D5CDD505-2E9C-101B-9397-08002B2CF9AE}" pid="24" name="RecordPoint_WorkflowType">
    <vt:lpwstr>ActiveSubmitStub</vt:lpwstr>
  </property>
  <property fmtid="{D5CDD505-2E9C-101B-9397-08002B2CF9AE}" pid="25" name="RecordPoint_ActiveItemWebId">
    <vt:lpwstr>{c34c7f6c-aaaf-45a3-a9eb-afe48db4d66e}</vt:lpwstr>
  </property>
  <property fmtid="{D5CDD505-2E9C-101B-9397-08002B2CF9AE}" pid="26" name="RecordPoint_ActiveItemSiteId">
    <vt:lpwstr>{970ad2fa-f22f-46d1-9c2d-779d215cedf1}</vt:lpwstr>
  </property>
  <property fmtid="{D5CDD505-2E9C-101B-9397-08002B2CF9AE}" pid="27" name="RecordPoint_ActiveItemListId">
    <vt:lpwstr>{973aa0ce-f35d-47c5-8e2b-fd84519936d9}</vt:lpwstr>
  </property>
  <property fmtid="{D5CDD505-2E9C-101B-9397-08002B2CF9AE}" pid="28" name="RecordPoint_ActiveItemUniqueId">
    <vt:lpwstr>{ee7887d1-2d7f-4258-bc1a-d38e5eb24912}</vt:lpwstr>
  </property>
  <property fmtid="{D5CDD505-2E9C-101B-9397-08002B2CF9AE}" pid="29" name="RecordPoint_RecordNumberSubmitted">
    <vt:lpwstr>R20160000705672</vt:lpwstr>
  </property>
  <property fmtid="{D5CDD505-2E9C-101B-9397-08002B2CF9AE}" pid="30" name="RecordPoint_SubmissionCompleted">
    <vt:lpwstr>2016-11-24T09:57:44.5984130+11:00</vt:lpwstr>
  </property>
  <property fmtid="{D5CDD505-2E9C-101B-9397-08002B2CF9AE}" pid="31" name="RecordPoint_SubmissionDate">
    <vt:lpwstr/>
  </property>
  <property fmtid="{D5CDD505-2E9C-101B-9397-08002B2CF9AE}" pid="32" name="RecordPoint_ActiveItemMoved">
    <vt:lpwstr/>
  </property>
  <property fmtid="{D5CDD505-2E9C-101B-9397-08002B2CF9AE}" pid="33" name="RecordPoint_RecordFormat">
    <vt:lpwstr/>
  </property>
</Properties>
</file>