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06B4C" w14:textId="77777777" w:rsidR="00756424" w:rsidRPr="00756424" w:rsidRDefault="003D64BA" w:rsidP="00756424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564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EXPLANATORY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STATEMENT</w:t>
      </w:r>
    </w:p>
    <w:p w14:paraId="22506B4D" w14:textId="77777777" w:rsidR="00756424" w:rsidRPr="00756424" w:rsidRDefault="003D64BA" w:rsidP="00756424">
      <w:pPr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</w:rPr>
      </w:pPr>
    </w:p>
    <w:p w14:paraId="22506B4E" w14:textId="77777777" w:rsidR="00756424" w:rsidRPr="00756424" w:rsidRDefault="003D64BA" w:rsidP="00756424">
      <w:pPr>
        <w:tabs>
          <w:tab w:val="left" w:pos="1418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</w:rPr>
      </w:pPr>
      <w:r w:rsidRPr="00756424">
        <w:rPr>
          <w:rFonts w:ascii="Times New Roman" w:eastAsia="Times New Roman" w:hAnsi="Times New Roman" w:cs="Times New Roman"/>
          <w:sz w:val="24"/>
          <w:szCs w:val="24"/>
        </w:rPr>
        <w:t>Subject -</w:t>
      </w:r>
      <w:r w:rsidRPr="0075642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Insolvency Law Reform Act 2016</w:t>
      </w:r>
    </w:p>
    <w:p w14:paraId="22506B4F" w14:textId="77777777" w:rsidR="00756424" w:rsidRPr="00756424" w:rsidRDefault="003D64BA" w:rsidP="00756424">
      <w:pPr>
        <w:tabs>
          <w:tab w:val="left" w:pos="1418"/>
        </w:tabs>
        <w:spacing w:after="0" w:line="240" w:lineRule="auto"/>
        <w:ind w:left="1418" w:right="91" w:hanging="1418"/>
        <w:rPr>
          <w:rFonts w:ascii="Times New Roman" w:eastAsia="Times New Roman" w:hAnsi="Times New Roman" w:cs="Times New Roman"/>
          <w:sz w:val="24"/>
          <w:szCs w:val="24"/>
        </w:rPr>
      </w:pPr>
      <w:r w:rsidRPr="0075642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2506B50" w14:textId="77777777" w:rsidR="0042582B" w:rsidRPr="0042582B" w:rsidRDefault="003D64BA" w:rsidP="0042582B">
      <w:pPr>
        <w:tabs>
          <w:tab w:val="left" w:pos="1418"/>
        </w:tabs>
        <w:spacing w:after="0" w:line="240" w:lineRule="auto"/>
        <w:ind w:left="1418" w:right="91" w:hanging="141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642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Insolvency Law Reform (Transitional Provisions) Regulation 2016</w:t>
      </w:r>
    </w:p>
    <w:p w14:paraId="22506B51" w14:textId="77777777" w:rsidR="00756424" w:rsidRPr="00756424" w:rsidRDefault="003D64BA" w:rsidP="00756424">
      <w:pPr>
        <w:tabs>
          <w:tab w:val="left" w:pos="6525"/>
        </w:tabs>
        <w:spacing w:after="0" w:line="240" w:lineRule="auto"/>
        <w:ind w:right="9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42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2506B52" w14:textId="77777777" w:rsidR="00756424" w:rsidRPr="0042582B" w:rsidRDefault="003D64BA" w:rsidP="00756424">
      <w:pPr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Insolvency Law Reform Act 2016 </w:t>
      </w:r>
      <w:r>
        <w:rPr>
          <w:rFonts w:ascii="Times New Roman" w:eastAsia="Times New Roman" w:hAnsi="Times New Roman" w:cs="Times New Roman"/>
          <w:sz w:val="24"/>
          <w:szCs w:val="24"/>
        </w:rPr>
        <w:t>(the ‘Act’) amends corporate and personal insolvency laws in Australia.</w:t>
      </w:r>
    </w:p>
    <w:p w14:paraId="22506B53" w14:textId="77777777" w:rsidR="00756424" w:rsidRDefault="003D64BA" w:rsidP="00756424">
      <w:pPr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</w:rPr>
      </w:pPr>
    </w:p>
    <w:p w14:paraId="22506B54" w14:textId="77777777" w:rsidR="0042582B" w:rsidRPr="00AC09F3" w:rsidRDefault="003D64BA" w:rsidP="004258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Item 178 of Schedule 1 to </w:t>
      </w:r>
      <w:r w:rsidRPr="00AC09F3">
        <w:rPr>
          <w:rFonts w:ascii="Times New Roman" w:eastAsia="Times New Roman" w:hAnsi="Times New Roman" w:cs="Times New Roman"/>
          <w:sz w:val="24"/>
          <w:szCs w:val="24"/>
        </w:rPr>
        <w:t xml:space="preserve">the Act provides that </w:t>
      </w:r>
      <w:r w:rsidRPr="00EA016B">
        <w:rPr>
          <w:rFonts w:ascii="Times New Roman" w:hAnsi="Times New Roman" w:cs="Times New Roman"/>
          <w:sz w:val="24"/>
          <w:szCs w:val="24"/>
        </w:rPr>
        <w:t xml:space="preserve">the Governor-General may make regulations prescribing matters </w:t>
      </w:r>
      <w:r>
        <w:rPr>
          <w:rFonts w:ascii="Times New Roman" w:hAnsi="Times New Roman" w:cs="Times New Roman"/>
          <w:sz w:val="24"/>
          <w:szCs w:val="24"/>
        </w:rPr>
        <w:t>of a transitional nature (including prescribing any savings and application provisions) related to the amendments and repeals made by Schedule 1 t</w:t>
      </w:r>
      <w:r>
        <w:rPr>
          <w:rFonts w:ascii="Times New Roman" w:hAnsi="Times New Roman" w:cs="Times New Roman"/>
          <w:sz w:val="24"/>
          <w:szCs w:val="24"/>
        </w:rPr>
        <w:t>o the Act</w:t>
      </w:r>
      <w:r w:rsidRPr="00EA016B">
        <w:rPr>
          <w:rFonts w:ascii="Times New Roman" w:hAnsi="Times New Roman" w:cs="Times New Roman"/>
          <w:sz w:val="24"/>
          <w:szCs w:val="24"/>
        </w:rPr>
        <w:t>.</w:t>
      </w:r>
    </w:p>
    <w:p w14:paraId="22506B55" w14:textId="77777777" w:rsidR="0042582B" w:rsidRDefault="003D64BA" w:rsidP="00756424">
      <w:pPr>
        <w:tabs>
          <w:tab w:val="right" w:leader="dot" w:pos="7938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</w:rPr>
      </w:pPr>
    </w:p>
    <w:p w14:paraId="22506B56" w14:textId="77777777" w:rsidR="00EE312D" w:rsidRDefault="003D64BA" w:rsidP="00EA016B">
      <w:pPr>
        <w:tabs>
          <w:tab w:val="right" w:leader="dot" w:pos="7938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purpose of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Insolvency Law Reform (Transitional Provisions) Regulation 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(the ‘Regulation’) is to amend the Act to delay commencement of certain aspects of the Insolvency Practice Schedule (Bankruptcy) until 1 September 2017. </w:t>
      </w:r>
    </w:p>
    <w:p w14:paraId="22506B57" w14:textId="77777777" w:rsidR="00EA016B" w:rsidRDefault="003D64BA" w:rsidP="00EA016B">
      <w:pPr>
        <w:tabs>
          <w:tab w:val="right" w:leader="dot" w:pos="7938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</w:rPr>
      </w:pPr>
    </w:p>
    <w:p w14:paraId="22506B58" w14:textId="77777777" w:rsidR="00EE312D" w:rsidRDefault="003D64BA" w:rsidP="003535EE">
      <w:pPr>
        <w:tabs>
          <w:tab w:val="right" w:leader="dot" w:pos="7938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Details of the Regulation are set out in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Attachment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2506B59" w14:textId="77777777" w:rsidR="00EE312D" w:rsidRDefault="003D64BA" w:rsidP="003535EE">
      <w:pPr>
        <w:tabs>
          <w:tab w:val="right" w:leader="dot" w:pos="7938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</w:rPr>
      </w:pPr>
    </w:p>
    <w:p w14:paraId="22506B5A" w14:textId="77777777" w:rsidR="00EE312D" w:rsidRDefault="003D64BA" w:rsidP="003535EE">
      <w:pPr>
        <w:tabs>
          <w:tab w:val="right" w:leader="dot" w:pos="7938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Regulation is an instrument for the purposes of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Legislation Act 2003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2506B5B" w14:textId="77777777" w:rsidR="00EE312D" w:rsidRDefault="003D64BA" w:rsidP="003535EE">
      <w:pPr>
        <w:tabs>
          <w:tab w:val="right" w:leader="dot" w:pos="7938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</w:rPr>
      </w:pPr>
    </w:p>
    <w:p w14:paraId="22506B5C" w14:textId="77777777" w:rsidR="005C0BF8" w:rsidRPr="00EA016B" w:rsidRDefault="003D64BA" w:rsidP="00EA016B">
      <w:pPr>
        <w:pStyle w:val="Bullet"/>
        <w:numPr>
          <w:ilvl w:val="0"/>
          <w:numId w:val="0"/>
        </w:numPr>
        <w:spacing w:before="0" w:after="240"/>
      </w:pPr>
      <w:r>
        <w:t>The Regulation has been informed by public consultation on a proposals paper outlining the contents of the legislativ</w:t>
      </w:r>
      <w:r>
        <w:t>e instrument released in 2015 and on a draft of the instrument in 2016. As a result of industry feedback following the passage of the Amending Act, the Australian Government agreed to the partial delay of the commencement of the Amending Act to ensure an e</w:t>
      </w:r>
      <w:r>
        <w:t xml:space="preserve">fficient transition to the new obligations. In particular, the delay will allow for the development and dissemination of insolvency firm software used by the majority of the industry. </w:t>
      </w:r>
    </w:p>
    <w:p w14:paraId="22506B5D" w14:textId="77777777" w:rsidR="003535EE" w:rsidRDefault="003D64BA" w:rsidP="003535EE">
      <w:pPr>
        <w:tabs>
          <w:tab w:val="right" w:leader="dot" w:pos="7938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</w:rPr>
      </w:pPr>
      <w:r w:rsidRPr="00EA016B">
        <w:rPr>
          <w:rFonts w:ascii="Times New Roman" w:eastAsia="Times New Roman" w:hAnsi="Times New Roman" w:cs="Times New Roman"/>
          <w:sz w:val="24"/>
          <w:szCs w:val="24"/>
        </w:rPr>
        <w:t xml:space="preserve">The Regulation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EA016B">
        <w:rPr>
          <w:rFonts w:ascii="Times New Roman" w:eastAsia="Times New Roman" w:hAnsi="Times New Roman" w:cs="Times New Roman"/>
          <w:sz w:val="24"/>
          <w:szCs w:val="24"/>
        </w:rPr>
        <w:t xml:space="preserve"> commence on the day that the amending Act commences</w:t>
      </w:r>
      <w:r w:rsidRPr="00EA016B">
        <w:rPr>
          <w:rFonts w:ascii="Times New Roman" w:eastAsia="Times New Roman" w:hAnsi="Times New Roman" w:cs="Times New Roman"/>
          <w:sz w:val="24"/>
          <w:szCs w:val="24"/>
        </w:rPr>
        <w:t xml:space="preserve"> (which will be 1 March 2017)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506B5E" w14:textId="77777777" w:rsidR="00756424" w:rsidRPr="00756424" w:rsidRDefault="003D64BA" w:rsidP="00756424">
      <w:pPr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</w:rPr>
      </w:pPr>
    </w:p>
    <w:p w14:paraId="22506B5F" w14:textId="77777777" w:rsidR="00756424" w:rsidRDefault="003D64BA" w:rsidP="00756424">
      <w:pPr>
        <w:spacing w:after="0" w:line="240" w:lineRule="auto"/>
        <w:ind w:right="9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6424">
        <w:rPr>
          <w:rFonts w:ascii="Times New Roman" w:eastAsia="Times New Roman" w:hAnsi="Times New Roman" w:cs="Times New Roman"/>
          <w:sz w:val="24"/>
          <w:szCs w:val="24"/>
          <w:u w:val="single"/>
        </w:rPr>
        <w:t>Authority</w:t>
      </w:r>
      <w:r w:rsidRPr="007564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Item 178 of Schedule 1 to the</w:t>
      </w:r>
    </w:p>
    <w:p w14:paraId="22506B60" w14:textId="77777777" w:rsidR="003535EE" w:rsidRPr="003535EE" w:rsidRDefault="003D64BA" w:rsidP="00756424">
      <w:pPr>
        <w:spacing w:after="0" w:line="240" w:lineRule="auto"/>
        <w:ind w:right="9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Insolvency Law Reform Act 2016</w:t>
      </w:r>
    </w:p>
    <w:p w14:paraId="22506B61" w14:textId="77777777" w:rsidR="003535EE" w:rsidRDefault="003D64BA">
      <w:r>
        <w:br w:type="page"/>
      </w:r>
    </w:p>
    <w:p w14:paraId="22506B62" w14:textId="77777777" w:rsidR="00FE0D9C" w:rsidRPr="00FE0D9C" w:rsidRDefault="003D64BA" w:rsidP="00FE0D9C">
      <w:pPr>
        <w:pStyle w:val="Heading3"/>
        <w:jc w:val="center"/>
        <w:rPr>
          <w:rFonts w:ascii="Times New Roman" w:hAnsi="Times New Roman" w:cs="Times New Roman"/>
          <w:color w:val="auto"/>
        </w:rPr>
      </w:pPr>
      <w:r w:rsidRPr="00FE0D9C">
        <w:rPr>
          <w:rFonts w:ascii="Times New Roman" w:hAnsi="Times New Roman" w:cs="Times New Roman"/>
          <w:color w:val="auto"/>
        </w:rPr>
        <w:lastRenderedPageBreak/>
        <w:t>Statement of Compatibility with Human Rights</w:t>
      </w:r>
    </w:p>
    <w:p w14:paraId="22506B63" w14:textId="77777777" w:rsidR="00FE0D9C" w:rsidRPr="00FE0D9C" w:rsidRDefault="003D64BA" w:rsidP="00FE0D9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14:paraId="22506B64" w14:textId="77777777" w:rsidR="00FE0D9C" w:rsidRPr="00FE0D9C" w:rsidRDefault="003D64BA" w:rsidP="00FE0D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</w:pPr>
      <w:r w:rsidRPr="00FE0D9C"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  <w:t>Prepared in accordance with Part 3 of the Human Rights (Parliamentary Scrutiny) Act 2011</w:t>
      </w:r>
    </w:p>
    <w:p w14:paraId="22506B65" w14:textId="77777777" w:rsidR="00FE0D9C" w:rsidRPr="00FE0D9C" w:rsidRDefault="003D64BA" w:rsidP="00FE0D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</w:pPr>
    </w:p>
    <w:p w14:paraId="22506B66" w14:textId="77777777" w:rsidR="00FE0D9C" w:rsidRPr="0042582B" w:rsidRDefault="003D64BA" w:rsidP="00FE0D9C">
      <w:pPr>
        <w:tabs>
          <w:tab w:val="left" w:pos="1418"/>
        </w:tabs>
        <w:spacing w:after="0" w:line="240" w:lineRule="auto"/>
        <w:ind w:left="1418" w:right="91" w:hanging="141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642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Insolvency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Law Reform (Transitional Provisions) Regulation 2016</w:t>
      </w:r>
    </w:p>
    <w:p w14:paraId="22506B67" w14:textId="77777777" w:rsidR="00FE0D9C" w:rsidRPr="00FE0D9C" w:rsidRDefault="003D64BA" w:rsidP="00FE0D9C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</w:pPr>
    </w:p>
    <w:p w14:paraId="22506B68" w14:textId="77777777" w:rsidR="00FE0D9C" w:rsidRPr="00FE0D9C" w:rsidRDefault="003D64BA" w:rsidP="00FE0D9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FE0D9C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This Legislative Instrument is compatible with the human rights and freedoms recognised or declared in the international instruments listed in section 3 of the </w:t>
      </w:r>
      <w:r w:rsidRPr="00FE0D9C"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  <w:t xml:space="preserve">Human Rights (Parliamentary Scrutiny) Act </w:t>
      </w:r>
      <w:r w:rsidRPr="00FE0D9C"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  <w:t>2011</w:t>
      </w:r>
      <w:r w:rsidRPr="00FE0D9C">
        <w:rPr>
          <w:rFonts w:ascii="Times New Roman" w:eastAsia="Times New Roman" w:hAnsi="Times New Roman" w:cs="Times New Roman"/>
          <w:sz w:val="24"/>
          <w:szCs w:val="20"/>
          <w:lang w:eastAsia="en-AU"/>
        </w:rPr>
        <w:t>.</w:t>
      </w:r>
      <w:r w:rsidRPr="00FE0D9C">
        <w:rPr>
          <w:rFonts w:ascii="Times New Roman" w:eastAsia="Times New Roman" w:hAnsi="Times New Roman" w:cs="Times New Roman"/>
          <w:sz w:val="24"/>
          <w:szCs w:val="20"/>
          <w:lang w:eastAsia="en-AU"/>
        </w:rPr>
        <w:br/>
      </w:r>
    </w:p>
    <w:p w14:paraId="22506B69" w14:textId="77777777" w:rsidR="00FE0D9C" w:rsidRPr="00FE0D9C" w:rsidRDefault="003D64BA" w:rsidP="00FE0D9C">
      <w:pPr>
        <w:keepNext/>
        <w:keepLines/>
        <w:spacing w:before="200" w:after="0" w:line="240" w:lineRule="auto"/>
        <w:outlineLvl w:val="3"/>
        <w:rPr>
          <w:rFonts w:ascii="Times New Roman" w:eastAsiaTheme="majorEastAsia" w:hAnsi="Times New Roman" w:cs="Times New Roman"/>
          <w:bCs/>
          <w:iCs/>
          <w:sz w:val="24"/>
          <w:szCs w:val="20"/>
          <w:lang w:eastAsia="en-AU"/>
        </w:rPr>
      </w:pPr>
      <w:r w:rsidRPr="00FE0D9C">
        <w:rPr>
          <w:rFonts w:ascii="Times New Roman" w:eastAsiaTheme="majorEastAsia" w:hAnsi="Times New Roman" w:cs="Times New Roman"/>
          <w:b/>
          <w:bCs/>
          <w:iCs/>
          <w:sz w:val="24"/>
          <w:szCs w:val="20"/>
          <w:lang w:eastAsia="en-AU"/>
        </w:rPr>
        <w:t>Overview of the Legislative Instrument</w:t>
      </w:r>
    </w:p>
    <w:p w14:paraId="22506B6A" w14:textId="77777777" w:rsidR="00FE0D9C" w:rsidRPr="00FE0D9C" w:rsidRDefault="003D64BA" w:rsidP="00FE0D9C">
      <w:pPr>
        <w:spacing w:before="120" w:after="24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FE0D9C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The purpose of the </w:t>
      </w:r>
      <w:r w:rsidRPr="00FE0D9C"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  <w:t>Insolvency Law Reform (Transitional Provisions) Regulation 2016</w:t>
      </w:r>
      <w:r w:rsidRPr="00FE0D9C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is to amend the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  <w:t xml:space="preserve">Insolvency Law Reform Act 2016 </w:t>
      </w: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>(the ‘Act’) to delay commencement of certain parts of the Act to 1 September 201</w:t>
      </w: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7. </w:t>
      </w:r>
    </w:p>
    <w:p w14:paraId="22506B6B" w14:textId="77777777" w:rsidR="00FE0D9C" w:rsidRPr="00FE0D9C" w:rsidRDefault="003D64BA" w:rsidP="00FE0D9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FE0D9C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Human rights implications</w:t>
      </w:r>
    </w:p>
    <w:p w14:paraId="22506B6C" w14:textId="77777777" w:rsidR="00FE0D9C" w:rsidRPr="00FE0D9C" w:rsidRDefault="003D64BA" w:rsidP="00FE0D9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FE0D9C">
        <w:rPr>
          <w:rFonts w:ascii="Times New Roman" w:eastAsia="Times New Roman" w:hAnsi="Times New Roman" w:cs="Times New Roman"/>
          <w:sz w:val="24"/>
          <w:szCs w:val="20"/>
          <w:lang w:eastAsia="en-AU"/>
        </w:rPr>
        <w:t>This Legislative Instrument does not engage any of the applicable rights or freedo</w:t>
      </w: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>ms.</w:t>
      </w:r>
    </w:p>
    <w:p w14:paraId="22506B6D" w14:textId="77777777" w:rsidR="00FE0D9C" w:rsidRPr="00FE0D9C" w:rsidRDefault="003D64BA" w:rsidP="00FE0D9C">
      <w:pPr>
        <w:keepNext/>
        <w:keepLines/>
        <w:spacing w:before="200" w:after="0" w:line="240" w:lineRule="auto"/>
        <w:outlineLvl w:val="3"/>
        <w:rPr>
          <w:rFonts w:ascii="Times New Roman" w:eastAsiaTheme="majorEastAsia" w:hAnsi="Times New Roman" w:cs="Times New Roman"/>
          <w:bCs/>
          <w:iCs/>
          <w:sz w:val="24"/>
          <w:szCs w:val="20"/>
          <w:lang w:eastAsia="en-AU"/>
        </w:rPr>
      </w:pPr>
      <w:r w:rsidRPr="00FE0D9C">
        <w:rPr>
          <w:rFonts w:ascii="Times New Roman" w:eastAsiaTheme="majorEastAsia" w:hAnsi="Times New Roman" w:cs="Times New Roman"/>
          <w:b/>
          <w:bCs/>
          <w:iCs/>
          <w:sz w:val="24"/>
          <w:szCs w:val="20"/>
          <w:lang w:eastAsia="en-AU"/>
        </w:rPr>
        <w:t>Conclusion</w:t>
      </w:r>
    </w:p>
    <w:p w14:paraId="22506B6E" w14:textId="77777777" w:rsidR="00FE0D9C" w:rsidRPr="00FE0D9C" w:rsidRDefault="003D64BA" w:rsidP="00FE0D9C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</w:pPr>
      <w:r w:rsidRPr="00FE0D9C">
        <w:rPr>
          <w:rFonts w:ascii="Times New Roman" w:eastAsia="Times New Roman" w:hAnsi="Times New Roman" w:cs="Times New Roman"/>
          <w:sz w:val="24"/>
          <w:szCs w:val="20"/>
          <w:lang w:eastAsia="en-AU"/>
        </w:rPr>
        <w:t>This Legislative Instrument is compatible with human rights as it does not raise any human rights issues.</w:t>
      </w:r>
    </w:p>
    <w:p w14:paraId="22506B6F" w14:textId="77777777" w:rsidR="00FE0D9C" w:rsidRDefault="003D64B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</w:pPr>
    </w:p>
    <w:p w14:paraId="22506B70" w14:textId="77777777" w:rsidR="00FE0D9C" w:rsidRDefault="003D64B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br w:type="page"/>
      </w:r>
    </w:p>
    <w:p w14:paraId="22506B71" w14:textId="77777777" w:rsidR="00EA016B" w:rsidRPr="00EA016B" w:rsidRDefault="003D64BA" w:rsidP="00EA016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EA01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lastRenderedPageBreak/>
        <w:t>ATTACHMENT</w:t>
      </w:r>
    </w:p>
    <w:p w14:paraId="22506B72" w14:textId="77777777" w:rsidR="00EA016B" w:rsidRPr="00EA016B" w:rsidRDefault="003D64BA" w:rsidP="00EA016B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</w:pPr>
      <w:r w:rsidRPr="00EA01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t xml:space="preserve">Details of the </w:t>
      </w:r>
      <w:r w:rsidRPr="00EA016B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en-AU"/>
        </w:rPr>
        <w:t>Insolvency Law Reform (Transitional Provisions) Regulation 2016</w:t>
      </w:r>
    </w:p>
    <w:p w14:paraId="22506B73" w14:textId="77777777" w:rsidR="00EA016B" w:rsidRPr="00EA016B" w:rsidRDefault="003D64BA" w:rsidP="00EA016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EA016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This Attachment sets out further details of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Insolvency Law Reform (Transitional Provisions) Regulation 2016</w:t>
      </w:r>
      <w:r w:rsidRPr="00EA016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(the ‘Regulation’). All references are to the Regulation unless o</w:t>
      </w:r>
      <w:r w:rsidRPr="00EA016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therwise stated.</w:t>
      </w:r>
    </w:p>
    <w:p w14:paraId="22506B74" w14:textId="77777777" w:rsidR="00EA016B" w:rsidRPr="00EA016B" w:rsidRDefault="003D64BA" w:rsidP="00EA0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EA01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t>Part 1 – Preliminary</w:t>
      </w:r>
    </w:p>
    <w:p w14:paraId="22506B75" w14:textId="77777777" w:rsidR="00EA016B" w:rsidRPr="00EA016B" w:rsidRDefault="003D64BA" w:rsidP="00EA0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EA016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Section 1 – Name of Regulation</w:t>
      </w:r>
    </w:p>
    <w:p w14:paraId="22506B76" w14:textId="77777777" w:rsidR="00EA016B" w:rsidRPr="00EA016B" w:rsidRDefault="003D64BA" w:rsidP="00EA0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EA01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section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will</w:t>
      </w:r>
      <w:r w:rsidRPr="00EA01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provide that the title of the Regulation is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Insolvency Law Reform (Transitional Provisions) Regulation 2016.</w:t>
      </w:r>
    </w:p>
    <w:p w14:paraId="22506B77" w14:textId="77777777" w:rsidR="00EA016B" w:rsidRPr="00EA016B" w:rsidRDefault="003D64BA" w:rsidP="00EA0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EA016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Section 2 – Commencement</w:t>
      </w:r>
    </w:p>
    <w:p w14:paraId="22506B78" w14:textId="77777777" w:rsidR="00EA016B" w:rsidRPr="00EA016B" w:rsidRDefault="003D64BA" w:rsidP="00EA0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EA01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section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will</w:t>
      </w:r>
      <w:r w:rsidRPr="00EA01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provide that the Regulation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will commence </w:t>
      </w:r>
      <w:r w:rsidRPr="00EA01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 the day that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Schedule 1 to </w:t>
      </w:r>
      <w:r w:rsidRPr="00EA016B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EA016B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Insolvency Law Reform Act 2016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(the ‘Act’).</w:t>
      </w:r>
    </w:p>
    <w:p w14:paraId="22506B79" w14:textId="77777777" w:rsidR="00EA016B" w:rsidRPr="00EA016B" w:rsidRDefault="003D64BA" w:rsidP="00EA0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EA016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Section 3 – Authority</w:t>
      </w:r>
    </w:p>
    <w:p w14:paraId="22506B7A" w14:textId="77777777" w:rsidR="00EA016B" w:rsidRPr="00EA016B" w:rsidRDefault="003D64BA" w:rsidP="00EA0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EA01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section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will</w:t>
      </w:r>
      <w:r w:rsidRPr="00EA01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provide that the Regulation is made under the authority of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item 178 of Schedule 1 to the Act</w:t>
      </w:r>
      <w:r w:rsidRPr="00EA016B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22506B7B" w14:textId="77777777" w:rsidR="00EA016B" w:rsidRDefault="003D64BA" w:rsidP="00EA016B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>art 2—Transition to Part 3 of the Insolvency Practice Schedule (Bankruptcy)</w:t>
      </w:r>
    </w:p>
    <w:p w14:paraId="22506B7C" w14:textId="77777777" w:rsidR="00EA016B" w:rsidRDefault="003D64BA" w:rsidP="00EA016B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Section 4 – Application provisions and modifications relating to Part 3</w:t>
      </w:r>
    </w:p>
    <w:p w14:paraId="22506B7D" w14:textId="77777777" w:rsidR="003E667C" w:rsidRDefault="003D64BA" w:rsidP="00EA016B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Subsection 4(1) will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amend Divisions 3 and 5 (other than item 169) of Part 3 of the Insolvency Practice Schedule (Bankruptcy) so that the commencement day will be 1 September 2017.</w:t>
      </w:r>
    </w:p>
    <w:p w14:paraId="22506B7E" w14:textId="77777777" w:rsidR="003E667C" w:rsidRPr="003E667C" w:rsidRDefault="003D64BA" w:rsidP="00EA016B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Subsection 4(2) will provide that Schedule 1 to the Regulation will modify Divisions 1 and 3 of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Part 3 of the Insolvency Practice Schedule (Bankruptcy). </w:t>
      </w:r>
    </w:p>
    <w:p w14:paraId="22506B7F" w14:textId="77777777" w:rsidR="00EA016B" w:rsidRDefault="003D64BA" w:rsidP="00EA016B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Section 5 – Application of certain consequential amendments relating to the enactment of the Insolvency Practice Schedule (Bankruptcy)</w:t>
      </w:r>
    </w:p>
    <w:p w14:paraId="22506B80" w14:textId="77777777" w:rsidR="003E667C" w:rsidRPr="00EA016B" w:rsidRDefault="003D64BA" w:rsidP="00EA016B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Section 5 will provide that the items listed in this section w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ill apply to administrations of regulated debtors’ estates on and after 1 September 2017.</w:t>
      </w:r>
    </w:p>
    <w:p w14:paraId="22506B81" w14:textId="77777777" w:rsidR="00EA016B" w:rsidRPr="00EA016B" w:rsidRDefault="003D64BA" w:rsidP="00EA016B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>Schedule 1—Transition to Part 3 of the Insolvency Practice Schedule (Bankruptcy)</w:t>
      </w:r>
    </w:p>
    <w:p w14:paraId="22506B82" w14:textId="77777777" w:rsidR="00EA016B" w:rsidRPr="00EA016B" w:rsidRDefault="003D64BA" w:rsidP="00EA0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en-AU"/>
        </w:rPr>
      </w:pPr>
      <w:r w:rsidRPr="00EA016B">
        <w:rPr>
          <w:rFonts w:ascii="Times New Roman" w:eastAsia="Times New Roman" w:hAnsi="Times New Roman" w:cs="Times New Roman"/>
          <w:b/>
          <w:iCs/>
          <w:sz w:val="24"/>
          <w:szCs w:val="24"/>
          <w:lang w:eastAsia="en-AU"/>
        </w:rPr>
        <w:t xml:space="preserve">Amendments to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AU"/>
        </w:rPr>
        <w:t>the Insolvency Law Reform Act 2016</w:t>
      </w:r>
    </w:p>
    <w:p w14:paraId="22506B83" w14:textId="77777777" w:rsidR="005B2C8F" w:rsidRDefault="003D64BA" w:rsidP="00EA0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 w:rsidRPr="00EA016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Items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1, 3, 5, 6, 9-17</w:t>
      </w:r>
    </w:p>
    <w:p w14:paraId="22506B84" w14:textId="77777777" w:rsidR="008D7C99" w:rsidRDefault="003D64BA" w:rsidP="00EA0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These items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will amend items and subitems in Schedule 1 to the Act to reflect the delayed commencement of certain provisions to 1 September 2017. </w:t>
      </w:r>
    </w:p>
    <w:p w14:paraId="22506B85" w14:textId="77777777" w:rsidR="00282101" w:rsidRDefault="003D64BA" w:rsidP="00EA0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Item 2</w:t>
      </w:r>
    </w:p>
    <w:p w14:paraId="22506B86" w14:textId="77777777" w:rsidR="00282101" w:rsidRPr="00282101" w:rsidRDefault="003D64BA" w:rsidP="00EA0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Item 2 will amend item 118 of Schedule 1 to the Act so that, where a committee has already been convened but the m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atter has not dealt with before commencement, these matters can be dealt with under provisions of the old Act.  </w:t>
      </w:r>
    </w:p>
    <w:p w14:paraId="22506B87" w14:textId="77777777" w:rsidR="005B2C8F" w:rsidRDefault="003D64BA" w:rsidP="00EA0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Item 4</w:t>
      </w:r>
    </w:p>
    <w:p w14:paraId="22506B88" w14:textId="77777777" w:rsidR="008D7C99" w:rsidRPr="009631C1" w:rsidRDefault="003D64BA" w:rsidP="00EA0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Item 3 will amend item 127 of Schedule 1 to the Act to reflect the delayed commencement of the Application of Part 3 of the Insolvency P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ractice Schedule (Bankruptcy) to 1 September 2017.</w:t>
      </w:r>
    </w:p>
    <w:p w14:paraId="22506B89" w14:textId="77777777" w:rsidR="003535EE" w:rsidRDefault="003D64BA" w:rsidP="00EA0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Items 7 and 8 </w:t>
      </w:r>
    </w:p>
    <w:p w14:paraId="22506B8A" w14:textId="77777777" w:rsidR="008D7C99" w:rsidRPr="008D7C99" w:rsidRDefault="003D64BA" w:rsidP="00EA01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These items will amend subitems in Schedule 1 to the Act to reflect the delayed commencement of certain provisions to 1 September 2017 to remove references to ‘2017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noBreakHyphen/>
        <w:t xml:space="preserve">18’ and ‘2017’ and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instead refer to ‘2018-19’ and ‘2018’. </w:t>
      </w:r>
    </w:p>
    <w:sectPr w:rsidR="008D7C99" w:rsidRPr="008D7C99" w:rsidSect="00EE312D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3451"/>
    <w:multiLevelType w:val="hybridMultilevel"/>
    <w:tmpl w:val="6648553A"/>
    <w:lvl w:ilvl="0" w:tplc="B74A1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1052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9A44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0D0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0BD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C2C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06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67B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FAE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113F3"/>
    <w:multiLevelType w:val="multilevel"/>
    <w:tmpl w:val="3D9E40A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A9612E3"/>
    <w:multiLevelType w:val="multilevel"/>
    <w:tmpl w:val="F25AECD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BA"/>
    <w:rsid w:val="003D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06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D9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5EE"/>
  </w:style>
  <w:style w:type="paragraph" w:styleId="Footer">
    <w:name w:val="footer"/>
    <w:basedOn w:val="Normal"/>
    <w:link w:val="FooterChar"/>
    <w:uiPriority w:val="99"/>
    <w:unhideWhenUsed/>
    <w:rsid w:val="00353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5EE"/>
  </w:style>
  <w:style w:type="paragraph" w:customStyle="1" w:styleId="ActHead5">
    <w:name w:val="ActHead 5"/>
    <w:aliases w:val="s"/>
    <w:basedOn w:val="Normal"/>
    <w:next w:val="subsection"/>
    <w:qFormat/>
    <w:rsid w:val="004543BC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AmSchNo">
    <w:name w:val="CharAmSchNo"/>
    <w:basedOn w:val="DefaultParagraphFont"/>
    <w:qFormat/>
    <w:rsid w:val="004543BC"/>
  </w:style>
  <w:style w:type="character" w:customStyle="1" w:styleId="CharSectno">
    <w:name w:val="CharSectno"/>
    <w:basedOn w:val="DefaultParagraphFont"/>
    <w:qFormat/>
    <w:rsid w:val="004543BC"/>
  </w:style>
  <w:style w:type="paragraph" w:customStyle="1" w:styleId="subsection">
    <w:name w:val="subsection"/>
    <w:aliases w:val="ss"/>
    <w:basedOn w:val="Normal"/>
    <w:link w:val="subsectionChar"/>
    <w:rsid w:val="004543BC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4543BC"/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9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0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9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9F3"/>
    <w:rPr>
      <w:b/>
      <w:bCs/>
      <w:sz w:val="20"/>
      <w:szCs w:val="20"/>
    </w:rPr>
  </w:style>
  <w:style w:type="paragraph" w:customStyle="1" w:styleId="Bullet">
    <w:name w:val="Bullet"/>
    <w:aliases w:val="b"/>
    <w:basedOn w:val="Normal"/>
    <w:link w:val="BulletChar"/>
    <w:qFormat/>
    <w:rsid w:val="00EA016B"/>
    <w:pPr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BulletChar">
    <w:name w:val="Bullet Char"/>
    <w:basedOn w:val="DefaultParagraphFont"/>
    <w:link w:val="Bullet"/>
    <w:rsid w:val="00EA016B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rsid w:val="00EA016B"/>
    <w:pPr>
      <w:numPr>
        <w:ilvl w:val="1"/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oubleDot">
    <w:name w:val="Double Dot"/>
    <w:basedOn w:val="Normal"/>
    <w:rsid w:val="00EA016B"/>
    <w:pPr>
      <w:numPr>
        <w:ilvl w:val="2"/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D9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D9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5EE"/>
  </w:style>
  <w:style w:type="paragraph" w:styleId="Footer">
    <w:name w:val="footer"/>
    <w:basedOn w:val="Normal"/>
    <w:link w:val="FooterChar"/>
    <w:uiPriority w:val="99"/>
    <w:unhideWhenUsed/>
    <w:rsid w:val="00353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5EE"/>
  </w:style>
  <w:style w:type="paragraph" w:customStyle="1" w:styleId="ActHead5">
    <w:name w:val="ActHead 5"/>
    <w:aliases w:val="s"/>
    <w:basedOn w:val="Normal"/>
    <w:next w:val="subsection"/>
    <w:qFormat/>
    <w:rsid w:val="004543BC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AmSchNo">
    <w:name w:val="CharAmSchNo"/>
    <w:basedOn w:val="DefaultParagraphFont"/>
    <w:qFormat/>
    <w:rsid w:val="004543BC"/>
  </w:style>
  <w:style w:type="character" w:customStyle="1" w:styleId="CharSectno">
    <w:name w:val="CharSectno"/>
    <w:basedOn w:val="DefaultParagraphFont"/>
    <w:qFormat/>
    <w:rsid w:val="004543BC"/>
  </w:style>
  <w:style w:type="paragraph" w:customStyle="1" w:styleId="subsection">
    <w:name w:val="subsection"/>
    <w:aliases w:val="ss"/>
    <w:basedOn w:val="Normal"/>
    <w:link w:val="subsectionChar"/>
    <w:rsid w:val="004543BC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4543BC"/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9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0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9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9F3"/>
    <w:rPr>
      <w:b/>
      <w:bCs/>
      <w:sz w:val="20"/>
      <w:szCs w:val="20"/>
    </w:rPr>
  </w:style>
  <w:style w:type="paragraph" w:customStyle="1" w:styleId="Bullet">
    <w:name w:val="Bullet"/>
    <w:aliases w:val="b"/>
    <w:basedOn w:val="Normal"/>
    <w:link w:val="BulletChar"/>
    <w:qFormat/>
    <w:rsid w:val="00EA016B"/>
    <w:pPr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BulletChar">
    <w:name w:val="Bullet Char"/>
    <w:basedOn w:val="DefaultParagraphFont"/>
    <w:link w:val="Bullet"/>
    <w:rsid w:val="00EA016B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rsid w:val="00EA016B"/>
    <w:pPr>
      <w:numPr>
        <w:ilvl w:val="1"/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oubleDot">
    <w:name w:val="Double Dot"/>
    <w:basedOn w:val="Normal"/>
    <w:rsid w:val="00EA016B"/>
    <w:pPr>
      <w:numPr>
        <w:ilvl w:val="2"/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D9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1F5B8B0B958CC4D8D3D9069A23749E1" ma:contentTypeVersion="" ma:contentTypeDescription="PDMS Document Site Content Type" ma:contentTypeScope="" ma:versionID="593f6078732fe2ac9040da17a9703b0a">
  <xsd:schema xmlns:xsd="http://www.w3.org/2001/XMLSchema" xmlns:xs="http://www.w3.org/2001/XMLSchema" xmlns:p="http://schemas.microsoft.com/office/2006/metadata/properties" xmlns:ns2="59DF43CF-EA91-4790-875B-9A235B844CC5" targetNamespace="http://schemas.microsoft.com/office/2006/metadata/properties" ma:root="true" ma:fieldsID="4da88125f3f3400fcbbb8f88fbfa2fa6" ns2:_="">
    <xsd:import namespace="59DF43CF-EA91-4790-875B-9A235B844CC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F43CF-EA91-4790-875B-9A235B844CC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9DF43CF-EA91-4790-875B-9A235B844C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6D52C-C4BF-4E39-AA1F-B420259E8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F43CF-EA91-4790-875B-9A235B844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47995-4F68-4D7C-B7A1-1DE3B2C83B3E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59DF43CF-EA91-4790-875B-9A235B844CC5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495D49-82F3-4425-AEC0-EA80A17B1E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35AD0A-E2B7-4E66-9072-0BFF6BAC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4194</Characters>
  <Application>Microsoft Office Word</Application>
  <DocSecurity>4</DocSecurity>
  <Lines>98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ledlid</dc:creator>
  <cp:lastModifiedBy>hauwen</cp:lastModifiedBy>
  <cp:revision>2</cp:revision>
  <dcterms:created xsi:type="dcterms:W3CDTF">2016-12-07T01:10:00Z</dcterms:created>
  <dcterms:modified xsi:type="dcterms:W3CDTF">2016-12-07T01:10:00Z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23 November 2016</vt:lpwstr>
  </property>
  <property fmtid="{D5CDD505-2E9C-101B-9397-08002B2CF9AE}" pid="4" name="ClearanceDueDate">
    <vt:lpwstr/>
  </property>
  <property fmtid="{D5CDD505-2E9C-101B-9397-08002B2CF9AE}" pid="5" name="ContentTypeId">
    <vt:lpwstr>0x010100835CE764FBE9994B97398C927E9DDCD0</vt:lpwstr>
  </property>
  <property fmtid="{D5CDD505-2E9C-101B-9397-08002B2CF9AE}" pid="6" name="Electorates">
    <vt:lpwstr> </vt:lpwstr>
  </property>
  <property fmtid="{D5CDD505-2E9C-101B-9397-08002B2CF9AE}" pid="7" name="GroupResponsible">
    <vt:lpwstr>BRCH-CJCG-CLU-Civil Law Unit</vt:lpwstr>
  </property>
  <property fmtid="{D5CDD505-2E9C-101B-9397-08002B2CF9AE}" pid="8" name="HandlingProtocol">
    <vt:lpwstr>Standard</vt:lpwstr>
  </property>
  <property fmtid="{D5CDD505-2E9C-101B-9397-08002B2CF9AE}" pid="9" name="InformationMinister">
    <vt:lpwstr> </vt:lpwstr>
  </property>
  <property fmtid="{D5CDD505-2E9C-101B-9397-08002B2CF9AE}" pid="10" name="LastClearingOfficer">
    <vt:lpwstr>Andrew Walter</vt:lpwstr>
  </property>
  <property fmtid="{D5CDD505-2E9C-101B-9397-08002B2CF9AE}" pid="11" name="Ministers">
    <vt:lpwstr>AG - George Brandis</vt:lpwstr>
  </property>
  <property fmtid="{D5CDD505-2E9C-101B-9397-08002B2CF9AE}" pid="12" name="PdrId">
    <vt:lpwstr>MS16-018121</vt:lpwstr>
  </property>
  <property fmtid="{D5CDD505-2E9C-101B-9397-08002B2CF9AE}" pid="13" name="Principal">
    <vt:lpwstr>Submission</vt:lpwstr>
  </property>
  <property fmtid="{D5CDD505-2E9C-101B-9397-08002B2CF9AE}" pid="14" name="ReasonForSensitivity">
    <vt:lpwstr/>
  </property>
  <property fmtid="{D5CDD505-2E9C-101B-9397-08002B2CF9AE}" pid="15" name="RegisteredDate">
    <vt:lpwstr>23 November 2016</vt:lpwstr>
  </property>
  <property fmtid="{D5CDD505-2E9C-101B-9397-08002B2CF9AE}" pid="16" name="RequestedAction">
    <vt:lpwstr>Action - Sign</vt:lpwstr>
  </property>
  <property fmtid="{D5CDD505-2E9C-101B-9397-08002B2CF9AE}" pid="17" name="ResponsibleMinister">
    <vt:lpwstr>AG - George Brandis</vt:lpwstr>
  </property>
  <property fmtid="{D5CDD505-2E9C-101B-9397-08002B2CF9AE}" pid="18" name="SecurityClassification">
    <vt:lpwstr>Sensitive: Legal  </vt:lpwstr>
  </property>
  <property fmtid="{D5CDD505-2E9C-101B-9397-08002B2CF9AE}" pid="19" name="Subject">
    <vt:lpwstr>Insolvency Law Reform (Transitional Provisions) Regulation 2016</vt:lpwstr>
  </property>
  <property fmtid="{D5CDD505-2E9C-101B-9397-08002B2CF9AE}" pid="20" name="TaskSeqNo">
    <vt:lpwstr>2</vt:lpwstr>
  </property>
  <property fmtid="{D5CDD505-2E9C-101B-9397-08002B2CF9AE}" pid="21" name="TemplateSubType">
    <vt:lpwstr>AG - George Brandis</vt:lpwstr>
  </property>
  <property fmtid="{D5CDD505-2E9C-101B-9397-08002B2CF9AE}" pid="22" name="TemplateType">
    <vt:lpwstr>Attorney-General</vt:lpwstr>
  </property>
  <property fmtid="{D5CDD505-2E9C-101B-9397-08002B2CF9AE}" pid="23" name="TrustedGroups">
    <vt:lpwstr>Parliamentary Coordinator MS, DLO, Ministerial Staff - Coalition 2013, Business Administrator, Limited Distribution MS</vt:lpwstr>
  </property>
  <property fmtid="{D5CDD505-2E9C-101B-9397-08002B2CF9AE}" pid="24" name="_dlc_DocIdItemGuid">
    <vt:lpwstr>346f9bfc-6a67-42c7-9274-be0879db6c65</vt:lpwstr>
  </property>
</Properties>
</file>