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B100A" w14:textId="77777777" w:rsidR="00CF7F4F" w:rsidRPr="00873492" w:rsidRDefault="009D217D" w:rsidP="00CF7F4F">
      <w:pPr>
        <w:spacing w:line="240" w:lineRule="auto"/>
        <w:contextualSpacing/>
        <w:jc w:val="center"/>
        <w:rPr>
          <w:rFonts w:ascii="Times New Roman" w:hAnsi="Times New Roman"/>
          <w:b/>
          <w:sz w:val="24"/>
          <w:szCs w:val="24"/>
          <w:u w:val="single"/>
          <w:lang w:eastAsia="en-AU"/>
        </w:rPr>
      </w:pPr>
      <w:r w:rsidRPr="00873492">
        <w:rPr>
          <w:rFonts w:ascii="Times New Roman" w:hAnsi="Times New Roman"/>
          <w:b/>
          <w:sz w:val="24"/>
          <w:szCs w:val="24"/>
          <w:u w:val="single"/>
          <w:lang w:eastAsia="en-AU"/>
        </w:rPr>
        <w:t xml:space="preserve">EXPLANATORY </w:t>
      </w:r>
      <w:r>
        <w:rPr>
          <w:rFonts w:ascii="Times New Roman" w:hAnsi="Times New Roman"/>
          <w:b/>
          <w:sz w:val="24"/>
          <w:szCs w:val="24"/>
          <w:u w:val="single"/>
          <w:lang w:eastAsia="en-AU"/>
        </w:rPr>
        <w:t>STATEMENT</w:t>
      </w:r>
    </w:p>
    <w:p w14:paraId="518B100B" w14:textId="77777777" w:rsidR="00CF7F4F" w:rsidRPr="00873492" w:rsidRDefault="00620AEE" w:rsidP="00CF7F4F">
      <w:pPr>
        <w:spacing w:line="240" w:lineRule="auto"/>
        <w:contextualSpacing/>
        <w:rPr>
          <w:rFonts w:ascii="Times New Roman" w:hAnsi="Times New Roman"/>
          <w:sz w:val="24"/>
          <w:szCs w:val="24"/>
          <w:u w:val="single"/>
          <w:lang w:eastAsia="en-AU"/>
        </w:rPr>
      </w:pPr>
    </w:p>
    <w:p w14:paraId="518B100C" w14:textId="0F69BE35" w:rsidR="00CF7F4F" w:rsidRPr="00244451" w:rsidRDefault="000A1C96" w:rsidP="00244451">
      <w:pPr>
        <w:spacing w:line="240" w:lineRule="auto"/>
        <w:contextualSpacing/>
        <w:jc w:val="center"/>
        <w:rPr>
          <w:rFonts w:ascii="Times New Roman" w:hAnsi="Times New Roman"/>
          <w:b/>
          <w:sz w:val="24"/>
          <w:szCs w:val="24"/>
          <w:u w:val="single"/>
        </w:rPr>
      </w:pPr>
      <w:r>
        <w:rPr>
          <w:rFonts w:ascii="Times New Roman" w:hAnsi="Times New Roman"/>
          <w:sz w:val="24"/>
          <w:szCs w:val="24"/>
        </w:rPr>
        <w:t>Issue</w:t>
      </w:r>
      <w:r w:rsidR="003726D1">
        <w:rPr>
          <w:rFonts w:ascii="Times New Roman" w:hAnsi="Times New Roman"/>
          <w:sz w:val="24"/>
          <w:szCs w:val="24"/>
        </w:rPr>
        <w:t>d</w:t>
      </w:r>
      <w:r>
        <w:rPr>
          <w:rFonts w:ascii="Times New Roman" w:hAnsi="Times New Roman"/>
          <w:sz w:val="24"/>
          <w:szCs w:val="24"/>
        </w:rPr>
        <w:t xml:space="preserve"> by the authority of the Minister for Justice</w:t>
      </w:r>
    </w:p>
    <w:p w14:paraId="518B100D" w14:textId="77777777" w:rsidR="00244451" w:rsidRPr="00244451" w:rsidRDefault="00620AEE" w:rsidP="00CF7F4F">
      <w:pPr>
        <w:spacing w:line="240" w:lineRule="auto"/>
        <w:contextualSpacing/>
        <w:rPr>
          <w:rFonts w:ascii="Times New Roman" w:hAnsi="Times New Roman"/>
          <w:sz w:val="24"/>
          <w:szCs w:val="24"/>
          <w:lang w:eastAsia="en-AU"/>
        </w:rPr>
      </w:pPr>
    </w:p>
    <w:p w14:paraId="518B100E" w14:textId="66B2B811" w:rsidR="00CF7F4F" w:rsidRPr="00C97E05" w:rsidRDefault="009D217D" w:rsidP="001C34FF">
      <w:pPr>
        <w:spacing w:line="240" w:lineRule="auto"/>
        <w:contextualSpacing/>
        <w:jc w:val="center"/>
        <w:rPr>
          <w:rFonts w:ascii="Times New Roman" w:hAnsi="Times New Roman"/>
          <w:i/>
          <w:sz w:val="24"/>
          <w:szCs w:val="24"/>
          <w:lang w:eastAsia="en-AU"/>
        </w:rPr>
      </w:pPr>
      <w:r w:rsidRPr="00B15E27">
        <w:rPr>
          <w:rFonts w:ascii="Times New Roman" w:hAnsi="Times New Roman"/>
          <w:i/>
          <w:sz w:val="24"/>
          <w:szCs w:val="24"/>
        </w:rPr>
        <w:t>International Transfer of Prisoners Act 1997</w:t>
      </w:r>
    </w:p>
    <w:p w14:paraId="518B100F" w14:textId="77777777" w:rsidR="00CF7F4F" w:rsidRPr="00C97E05" w:rsidRDefault="00620AEE" w:rsidP="001C34FF">
      <w:pPr>
        <w:spacing w:line="240" w:lineRule="auto"/>
        <w:ind w:left="1440"/>
        <w:contextualSpacing/>
        <w:jc w:val="center"/>
        <w:rPr>
          <w:rFonts w:ascii="Times New Roman" w:hAnsi="Times New Roman"/>
          <w:i/>
          <w:sz w:val="24"/>
          <w:szCs w:val="24"/>
          <w:lang w:eastAsia="en-AU"/>
        </w:rPr>
      </w:pPr>
    </w:p>
    <w:p w14:paraId="518B1010" w14:textId="212649D4" w:rsidR="00356591" w:rsidRPr="00356591" w:rsidRDefault="009D217D" w:rsidP="001C34FF">
      <w:pPr>
        <w:spacing w:line="240" w:lineRule="auto"/>
        <w:contextualSpacing/>
        <w:jc w:val="center"/>
        <w:rPr>
          <w:rFonts w:ascii="Times New Roman" w:hAnsi="Times New Roman"/>
          <w:bCs/>
          <w:i/>
          <w:sz w:val="24"/>
          <w:szCs w:val="24"/>
          <w:lang w:eastAsia="en-AU"/>
        </w:rPr>
      </w:pPr>
      <w:r w:rsidRPr="00356591">
        <w:rPr>
          <w:rFonts w:ascii="Times New Roman" w:hAnsi="Times New Roman"/>
          <w:bCs/>
          <w:i/>
          <w:sz w:val="24"/>
          <w:szCs w:val="24"/>
          <w:lang w:eastAsia="en-AU"/>
        </w:rPr>
        <w:t>Internati</w:t>
      </w:r>
      <w:r>
        <w:rPr>
          <w:rFonts w:ascii="Times New Roman" w:hAnsi="Times New Roman"/>
          <w:bCs/>
          <w:i/>
          <w:sz w:val="24"/>
          <w:szCs w:val="24"/>
          <w:lang w:eastAsia="en-AU"/>
        </w:rPr>
        <w:t>onal Transfer of Prisoners (Peru</w:t>
      </w:r>
      <w:r w:rsidRPr="00356591">
        <w:rPr>
          <w:rFonts w:ascii="Times New Roman" w:hAnsi="Times New Roman"/>
          <w:bCs/>
          <w:i/>
          <w:sz w:val="24"/>
          <w:szCs w:val="24"/>
          <w:lang w:eastAsia="en-AU"/>
        </w:rPr>
        <w:t>) Regulation 2016</w:t>
      </w:r>
    </w:p>
    <w:p w14:paraId="518B1011" w14:textId="77777777" w:rsidR="00CF7F4F" w:rsidRPr="00BB6BC1" w:rsidRDefault="00620AEE" w:rsidP="00CF7F4F">
      <w:pPr>
        <w:spacing w:line="240" w:lineRule="auto"/>
        <w:contextualSpacing/>
        <w:rPr>
          <w:rFonts w:ascii="Times New Roman" w:hAnsi="Times New Roman"/>
          <w:sz w:val="24"/>
          <w:szCs w:val="24"/>
        </w:rPr>
      </w:pPr>
    </w:p>
    <w:p w14:paraId="518B1012" w14:textId="77777777" w:rsidR="00814653" w:rsidRPr="00BB6BC1" w:rsidRDefault="009D217D" w:rsidP="00814653">
      <w:pPr>
        <w:spacing w:after="0"/>
        <w:contextualSpacing/>
        <w:rPr>
          <w:rFonts w:ascii="Times New Roman" w:hAnsi="Times New Roman"/>
          <w:sz w:val="24"/>
          <w:szCs w:val="24"/>
        </w:rPr>
      </w:pPr>
      <w:r w:rsidRPr="00BB6BC1">
        <w:rPr>
          <w:rFonts w:ascii="Times New Roman" w:hAnsi="Times New Roman"/>
          <w:sz w:val="24"/>
          <w:szCs w:val="24"/>
        </w:rPr>
        <w:t xml:space="preserve">Section 58 of the </w:t>
      </w:r>
      <w:r w:rsidRPr="00BB6BC1">
        <w:rPr>
          <w:rFonts w:ascii="Times New Roman" w:hAnsi="Times New Roman"/>
          <w:i/>
          <w:sz w:val="24"/>
          <w:szCs w:val="24"/>
        </w:rPr>
        <w:t>International Transfer of Prisoners Act 1997</w:t>
      </w:r>
      <w:r w:rsidRPr="00BB6BC1">
        <w:rPr>
          <w:rFonts w:ascii="Times New Roman" w:hAnsi="Times New Roman"/>
          <w:sz w:val="24"/>
          <w:szCs w:val="24"/>
        </w:rPr>
        <w:t xml:space="preserve"> </w:t>
      </w:r>
      <w:r>
        <w:rPr>
          <w:rFonts w:ascii="Times New Roman" w:hAnsi="Times New Roman"/>
          <w:sz w:val="24"/>
          <w:szCs w:val="24"/>
        </w:rPr>
        <w:t>(the Act)</w:t>
      </w:r>
      <w:r w:rsidRPr="00BB6BC1">
        <w:rPr>
          <w:rFonts w:ascii="Times New Roman" w:hAnsi="Times New Roman"/>
          <w:sz w:val="24"/>
          <w:szCs w:val="24"/>
        </w:rPr>
        <w:t xml:space="preserve"> provides that the Governor-General may make regulations prescribing matters required or permitted by the Act to be prescribed, or necessary or convenient to be prescribed for carrying out or giving effect to the Act. Subsection 8(1) of the Act </w:t>
      </w:r>
      <w:r>
        <w:rPr>
          <w:rFonts w:ascii="Times New Roman" w:hAnsi="Times New Roman"/>
          <w:sz w:val="24"/>
          <w:szCs w:val="24"/>
        </w:rPr>
        <w:t xml:space="preserve">states that the regulations may provide that the </w:t>
      </w:r>
      <w:r w:rsidRPr="00BB6BC1">
        <w:rPr>
          <w:rFonts w:ascii="Times New Roman" w:hAnsi="Times New Roman"/>
          <w:sz w:val="24"/>
          <w:szCs w:val="24"/>
        </w:rPr>
        <w:t>Act</w:t>
      </w:r>
      <w:r>
        <w:rPr>
          <w:rFonts w:ascii="Times New Roman" w:hAnsi="Times New Roman"/>
          <w:sz w:val="24"/>
          <w:szCs w:val="24"/>
        </w:rPr>
        <w:t xml:space="preserve"> </w:t>
      </w:r>
      <w:bookmarkStart w:id="0" w:name="_GoBack"/>
      <w:bookmarkEnd w:id="0"/>
      <w:r>
        <w:rPr>
          <w:rFonts w:ascii="Times New Roman" w:hAnsi="Times New Roman"/>
          <w:sz w:val="24"/>
          <w:szCs w:val="24"/>
        </w:rPr>
        <w:t>applies</w:t>
      </w:r>
      <w:r w:rsidRPr="00BB6BC1">
        <w:rPr>
          <w:rFonts w:ascii="Times New Roman" w:hAnsi="Times New Roman"/>
          <w:sz w:val="24"/>
          <w:szCs w:val="24"/>
        </w:rPr>
        <w:t xml:space="preserve"> to a f</w:t>
      </w:r>
      <w:r>
        <w:rPr>
          <w:rFonts w:ascii="Times New Roman" w:hAnsi="Times New Roman"/>
          <w:sz w:val="24"/>
          <w:szCs w:val="24"/>
        </w:rPr>
        <w:t>oreign country which is declared by the regulations to be a</w:t>
      </w:r>
      <w:r w:rsidRPr="00BB6BC1">
        <w:rPr>
          <w:rFonts w:ascii="Times New Roman" w:hAnsi="Times New Roman"/>
          <w:sz w:val="24"/>
          <w:szCs w:val="24"/>
        </w:rPr>
        <w:t xml:space="preserve"> transfer country for the purposes of the Act. </w:t>
      </w:r>
    </w:p>
    <w:p w14:paraId="518B1013" w14:textId="77777777" w:rsidR="005F7A14" w:rsidRDefault="00620AEE" w:rsidP="00814653">
      <w:pPr>
        <w:spacing w:after="0"/>
        <w:rPr>
          <w:rFonts w:ascii="Times New Roman" w:hAnsi="Times New Roman"/>
          <w:sz w:val="24"/>
          <w:szCs w:val="24"/>
        </w:rPr>
      </w:pPr>
    </w:p>
    <w:p w14:paraId="518B1014" w14:textId="77777777" w:rsidR="00656369" w:rsidRDefault="009D217D" w:rsidP="00D30B6A">
      <w:pPr>
        <w:spacing w:after="0"/>
        <w:contextualSpacing/>
        <w:rPr>
          <w:rFonts w:ascii="Times New Roman" w:hAnsi="Times New Roman"/>
          <w:sz w:val="24"/>
          <w:szCs w:val="24"/>
        </w:rPr>
      </w:pPr>
      <w:r w:rsidRPr="00BB6BC1">
        <w:rPr>
          <w:rFonts w:ascii="Times New Roman" w:hAnsi="Times New Roman"/>
          <w:sz w:val="24"/>
          <w:szCs w:val="24"/>
        </w:rPr>
        <w:t>Th</w:t>
      </w:r>
      <w:r>
        <w:rPr>
          <w:rFonts w:ascii="Times New Roman" w:hAnsi="Times New Roman"/>
          <w:sz w:val="24"/>
          <w:szCs w:val="24"/>
        </w:rPr>
        <w:t xml:space="preserve">e purpose of the </w:t>
      </w:r>
      <w:r w:rsidRPr="00D30B6A">
        <w:rPr>
          <w:rFonts w:ascii="Times New Roman" w:hAnsi="Times New Roman"/>
          <w:i/>
          <w:sz w:val="24"/>
          <w:szCs w:val="24"/>
        </w:rPr>
        <w:t>International Transfer of Prisoners (Peru) Regulation 2016</w:t>
      </w:r>
      <w:r w:rsidRPr="00D30B6A">
        <w:rPr>
          <w:rFonts w:ascii="Times New Roman" w:hAnsi="Times New Roman"/>
          <w:sz w:val="24"/>
          <w:szCs w:val="24"/>
        </w:rPr>
        <w:t xml:space="preserve"> </w:t>
      </w:r>
      <w:r>
        <w:rPr>
          <w:rFonts w:ascii="Times New Roman" w:hAnsi="Times New Roman"/>
          <w:sz w:val="24"/>
          <w:szCs w:val="24"/>
        </w:rPr>
        <w:t xml:space="preserve">(the </w:t>
      </w:r>
      <w:r w:rsidRPr="00D30B6A">
        <w:rPr>
          <w:rFonts w:ascii="Times New Roman" w:hAnsi="Times New Roman"/>
          <w:sz w:val="24"/>
          <w:szCs w:val="24"/>
        </w:rPr>
        <w:t xml:space="preserve">Regulation) is to </w:t>
      </w:r>
      <w:r w:rsidRPr="00BB6BC1">
        <w:rPr>
          <w:rFonts w:ascii="Times New Roman" w:hAnsi="Times New Roman"/>
          <w:sz w:val="24"/>
          <w:szCs w:val="24"/>
        </w:rPr>
        <w:t xml:space="preserve">declare that the Act applies to Peru, and that Peru is a transfer country for the purposes of the Act. This </w:t>
      </w:r>
      <w:r>
        <w:rPr>
          <w:rFonts w:ascii="Times New Roman" w:hAnsi="Times New Roman"/>
          <w:sz w:val="24"/>
          <w:szCs w:val="24"/>
        </w:rPr>
        <w:t xml:space="preserve">allows </w:t>
      </w:r>
      <w:r w:rsidRPr="00052515">
        <w:rPr>
          <w:rFonts w:ascii="Times New Roman" w:hAnsi="Times New Roman"/>
          <w:sz w:val="24"/>
          <w:szCs w:val="24"/>
        </w:rPr>
        <w:t>prisoners in Australia and Peru</w:t>
      </w:r>
      <w:r w:rsidRPr="00D30B6A">
        <w:rPr>
          <w:rFonts w:ascii="Times New Roman" w:hAnsi="Times New Roman"/>
          <w:sz w:val="24"/>
          <w:szCs w:val="24"/>
        </w:rPr>
        <w:t xml:space="preserve"> </w:t>
      </w:r>
      <w:r w:rsidRPr="00052515">
        <w:rPr>
          <w:rFonts w:ascii="Times New Roman" w:hAnsi="Times New Roman"/>
          <w:sz w:val="24"/>
          <w:szCs w:val="24"/>
        </w:rPr>
        <w:t>to apply for a transfer</w:t>
      </w:r>
      <w:r>
        <w:rPr>
          <w:rFonts w:ascii="Times New Roman" w:hAnsi="Times New Roman"/>
          <w:sz w:val="24"/>
          <w:szCs w:val="24"/>
        </w:rPr>
        <w:t xml:space="preserve"> under the</w:t>
      </w:r>
      <w:r w:rsidRPr="00BB6BC1">
        <w:rPr>
          <w:rFonts w:ascii="Times New Roman" w:hAnsi="Times New Roman"/>
          <w:sz w:val="24"/>
          <w:szCs w:val="24"/>
        </w:rPr>
        <w:t xml:space="preserve"> International Transfer of Prisoners scheme (the scheme). </w:t>
      </w:r>
    </w:p>
    <w:p w14:paraId="518B1015" w14:textId="77777777" w:rsidR="00244451" w:rsidRDefault="00620AEE" w:rsidP="00C6430B">
      <w:pPr>
        <w:spacing w:line="240" w:lineRule="auto"/>
        <w:contextualSpacing/>
        <w:rPr>
          <w:rFonts w:ascii="Times New Roman" w:hAnsi="Times New Roman"/>
          <w:sz w:val="24"/>
          <w:szCs w:val="24"/>
        </w:rPr>
      </w:pPr>
    </w:p>
    <w:p w14:paraId="518B1016" w14:textId="77777777" w:rsidR="00244451" w:rsidRPr="00BB6BC1" w:rsidRDefault="009D217D" w:rsidP="00244451">
      <w:pPr>
        <w:spacing w:after="0"/>
        <w:rPr>
          <w:rFonts w:ascii="Times New Roman" w:hAnsi="Times New Roman"/>
          <w:sz w:val="24"/>
          <w:szCs w:val="24"/>
        </w:rPr>
      </w:pPr>
      <w:r w:rsidRPr="00B512DE">
        <w:rPr>
          <w:rFonts w:ascii="Times New Roman" w:hAnsi="Times New Roman"/>
          <w:sz w:val="24"/>
          <w:szCs w:val="24"/>
        </w:rPr>
        <w:t>Aust</w:t>
      </w:r>
      <w:r>
        <w:rPr>
          <w:rFonts w:ascii="Times New Roman" w:hAnsi="Times New Roman"/>
          <w:sz w:val="24"/>
          <w:szCs w:val="24"/>
        </w:rPr>
        <w:t>ralia does not currently have a formal a</w:t>
      </w:r>
      <w:r w:rsidRPr="00B512DE">
        <w:rPr>
          <w:rFonts w:ascii="Times New Roman" w:hAnsi="Times New Roman"/>
          <w:sz w:val="24"/>
          <w:szCs w:val="24"/>
        </w:rPr>
        <w:t xml:space="preserve">greement in force with </w:t>
      </w:r>
      <w:r>
        <w:rPr>
          <w:rFonts w:ascii="Times New Roman" w:hAnsi="Times New Roman"/>
          <w:sz w:val="24"/>
          <w:szCs w:val="24"/>
        </w:rPr>
        <w:t xml:space="preserve">Peru </w:t>
      </w:r>
      <w:r w:rsidRPr="00B512DE">
        <w:rPr>
          <w:rFonts w:ascii="Times New Roman" w:hAnsi="Times New Roman"/>
          <w:sz w:val="24"/>
          <w:szCs w:val="24"/>
        </w:rPr>
        <w:t>to facilitate the transfer of</w:t>
      </w:r>
      <w:r>
        <w:rPr>
          <w:rFonts w:ascii="Times New Roman" w:hAnsi="Times New Roman"/>
          <w:sz w:val="24"/>
          <w:szCs w:val="24"/>
        </w:rPr>
        <w:t xml:space="preserve"> prisoners</w:t>
      </w:r>
      <w:r w:rsidRPr="00B512DE">
        <w:rPr>
          <w:rFonts w:ascii="Times New Roman" w:hAnsi="Times New Roman"/>
          <w:sz w:val="24"/>
          <w:szCs w:val="24"/>
        </w:rPr>
        <w:t xml:space="preserve">. </w:t>
      </w:r>
      <w:r>
        <w:rPr>
          <w:rFonts w:ascii="Times New Roman" w:hAnsi="Times New Roman"/>
          <w:sz w:val="24"/>
          <w:szCs w:val="24"/>
        </w:rPr>
        <w:t xml:space="preserve">The Act does not require a formal agreement to be in place for a country to be declared a transfer country for the purposes of the Act. </w:t>
      </w:r>
    </w:p>
    <w:p w14:paraId="518B1017" w14:textId="77777777" w:rsidR="00814653" w:rsidRPr="00BB6BC1" w:rsidRDefault="00620AEE" w:rsidP="00814653">
      <w:pPr>
        <w:spacing w:after="0"/>
        <w:rPr>
          <w:rFonts w:ascii="Times New Roman" w:hAnsi="Times New Roman"/>
          <w:sz w:val="24"/>
          <w:szCs w:val="24"/>
        </w:rPr>
      </w:pPr>
    </w:p>
    <w:p w14:paraId="518B1018" w14:textId="77777777" w:rsidR="00814653" w:rsidRPr="00BB6BC1" w:rsidRDefault="009D217D" w:rsidP="00814653">
      <w:pPr>
        <w:spacing w:after="0"/>
        <w:rPr>
          <w:rFonts w:ascii="Times New Roman" w:hAnsi="Times New Roman"/>
          <w:sz w:val="24"/>
          <w:szCs w:val="24"/>
        </w:rPr>
      </w:pPr>
      <w:r w:rsidRPr="00BB6BC1">
        <w:rPr>
          <w:rFonts w:ascii="Times New Roman" w:hAnsi="Times New Roman"/>
          <w:sz w:val="24"/>
          <w:szCs w:val="24"/>
        </w:rPr>
        <w:t>The Regulation is consistent with the Act</w:t>
      </w:r>
      <w:r>
        <w:rPr>
          <w:rFonts w:ascii="Times New Roman" w:hAnsi="Times New Roman"/>
          <w:sz w:val="24"/>
          <w:szCs w:val="24"/>
        </w:rPr>
        <w:t xml:space="preserve"> and</w:t>
      </w:r>
      <w:r w:rsidRPr="00BB6BC1">
        <w:rPr>
          <w:rFonts w:ascii="Times New Roman" w:hAnsi="Times New Roman"/>
          <w:sz w:val="24"/>
          <w:szCs w:val="24"/>
        </w:rPr>
        <w:t xml:space="preserve"> does not oblige Australia to transfer any prisoners to or from Peru. Under the Act, transfers can only occur with the consent of the prisoner and the governments of Australia and the foreign country. Transfers of prisoners from Australia who have been convicted of a State or Territory offence, and all transfers of prisoners to Australia, also require the consent of the relevant State or Territory Government. </w:t>
      </w:r>
    </w:p>
    <w:p w14:paraId="518B1019" w14:textId="77777777" w:rsidR="00814653" w:rsidRPr="00BB6BC1" w:rsidRDefault="00620AEE" w:rsidP="00814653">
      <w:pPr>
        <w:spacing w:after="0"/>
        <w:rPr>
          <w:rFonts w:ascii="Times New Roman" w:hAnsi="Times New Roman"/>
          <w:sz w:val="24"/>
          <w:szCs w:val="24"/>
        </w:rPr>
      </w:pPr>
    </w:p>
    <w:p w14:paraId="518B101A" w14:textId="77777777" w:rsidR="00814653" w:rsidRDefault="009D217D" w:rsidP="00814653">
      <w:pPr>
        <w:spacing w:after="0"/>
        <w:rPr>
          <w:rFonts w:ascii="Times New Roman" w:hAnsi="Times New Roman"/>
          <w:sz w:val="24"/>
          <w:szCs w:val="24"/>
        </w:rPr>
      </w:pPr>
      <w:r w:rsidRPr="00BB6BC1">
        <w:rPr>
          <w:rFonts w:ascii="Times New Roman" w:hAnsi="Times New Roman"/>
          <w:sz w:val="24"/>
          <w:szCs w:val="24"/>
        </w:rPr>
        <w:t xml:space="preserve">The Act contains a number of important safeguards and human rights protections. </w:t>
      </w:r>
      <w:r>
        <w:rPr>
          <w:rFonts w:ascii="Times New Roman" w:hAnsi="Times New Roman"/>
          <w:sz w:val="24"/>
          <w:szCs w:val="24"/>
        </w:rPr>
        <w:t xml:space="preserve">The Act contains wording to the effect that the sentence enforced in the receiving country must not be harsher, in legal nature or duration, than the sentence imposed in the sentencing country. The Act does not enable the transfer of persons to serve sentences which involve forms of punishment other than imprisonment, such as the imposition of the death penalty. </w:t>
      </w:r>
      <w:r w:rsidRPr="00BB6BC1">
        <w:rPr>
          <w:rFonts w:ascii="Times New Roman" w:hAnsi="Times New Roman"/>
          <w:sz w:val="24"/>
          <w:szCs w:val="24"/>
        </w:rPr>
        <w:t xml:space="preserve">However, if a prisoner who has been sentenced to death </w:t>
      </w:r>
      <w:r>
        <w:rPr>
          <w:rFonts w:ascii="Times New Roman" w:hAnsi="Times New Roman"/>
          <w:sz w:val="24"/>
          <w:szCs w:val="24"/>
        </w:rPr>
        <w:t xml:space="preserve">in a foreign country </w:t>
      </w:r>
      <w:r w:rsidRPr="00BB6BC1">
        <w:rPr>
          <w:rFonts w:ascii="Times New Roman" w:hAnsi="Times New Roman"/>
          <w:sz w:val="24"/>
          <w:szCs w:val="24"/>
        </w:rPr>
        <w:t xml:space="preserve">has their sentence commuted to a sentence of imprisonment, they </w:t>
      </w:r>
      <w:r>
        <w:rPr>
          <w:rFonts w:ascii="Times New Roman" w:hAnsi="Times New Roman"/>
          <w:sz w:val="24"/>
          <w:szCs w:val="24"/>
        </w:rPr>
        <w:t xml:space="preserve">are </w:t>
      </w:r>
      <w:r w:rsidRPr="00BB6BC1">
        <w:rPr>
          <w:rFonts w:ascii="Times New Roman" w:hAnsi="Times New Roman"/>
          <w:sz w:val="24"/>
          <w:szCs w:val="24"/>
        </w:rPr>
        <w:t>eligible</w:t>
      </w:r>
      <w:r>
        <w:rPr>
          <w:rFonts w:ascii="Times New Roman" w:hAnsi="Times New Roman"/>
          <w:sz w:val="24"/>
          <w:szCs w:val="24"/>
        </w:rPr>
        <w:t xml:space="preserve"> under the Act</w:t>
      </w:r>
      <w:r w:rsidRPr="00BB6BC1">
        <w:rPr>
          <w:rFonts w:ascii="Times New Roman" w:hAnsi="Times New Roman"/>
          <w:sz w:val="24"/>
          <w:szCs w:val="24"/>
        </w:rPr>
        <w:t xml:space="preserve"> to apply to transfer to Australia</w:t>
      </w:r>
      <w:r>
        <w:rPr>
          <w:rFonts w:ascii="Times New Roman" w:hAnsi="Times New Roman"/>
          <w:sz w:val="24"/>
          <w:szCs w:val="24"/>
        </w:rPr>
        <w:t>.</w:t>
      </w:r>
    </w:p>
    <w:p w14:paraId="518B101B" w14:textId="77777777" w:rsidR="005C4BB5" w:rsidRDefault="00620AEE" w:rsidP="00814653">
      <w:pPr>
        <w:spacing w:after="0"/>
        <w:rPr>
          <w:rFonts w:ascii="Times New Roman" w:hAnsi="Times New Roman"/>
          <w:sz w:val="24"/>
          <w:szCs w:val="24"/>
        </w:rPr>
      </w:pPr>
    </w:p>
    <w:p w14:paraId="518B101C" w14:textId="77777777" w:rsidR="00C521CB" w:rsidRPr="00B512DE" w:rsidRDefault="009D217D" w:rsidP="00C521CB">
      <w:pPr>
        <w:spacing w:after="0"/>
      </w:pPr>
      <w:r w:rsidRPr="009B4701">
        <w:rPr>
          <w:rFonts w:ascii="Times New Roman" w:hAnsi="Times New Roman"/>
          <w:sz w:val="24"/>
          <w:szCs w:val="24"/>
        </w:rPr>
        <w:t xml:space="preserve">Consultation outside of the Australian Government was not undertaken for this legislative instrument as it relates to criminal justice and law enforcement matters. Additionally, this instrument does not have direct, or substantial indirect, effects on business, nor does it restrict competition. </w:t>
      </w:r>
    </w:p>
    <w:p w14:paraId="518B101D" w14:textId="77777777" w:rsidR="00C521CB" w:rsidRDefault="00620AEE" w:rsidP="00814653">
      <w:pPr>
        <w:spacing w:after="0"/>
        <w:rPr>
          <w:rFonts w:ascii="Times New Roman" w:hAnsi="Times New Roman"/>
          <w:sz w:val="24"/>
          <w:szCs w:val="24"/>
        </w:rPr>
      </w:pPr>
    </w:p>
    <w:p w14:paraId="518B101E" w14:textId="77777777" w:rsidR="00C521CB" w:rsidRPr="00C6430B" w:rsidRDefault="009D217D" w:rsidP="00BB6BC1">
      <w:pPr>
        <w:spacing w:after="0"/>
        <w:contextualSpacing/>
        <w:rPr>
          <w:rFonts w:ascii="Times New Roman" w:hAnsi="Times New Roman"/>
          <w:sz w:val="24"/>
          <w:szCs w:val="24"/>
        </w:rPr>
      </w:pPr>
      <w:r w:rsidRPr="00C6430B">
        <w:rPr>
          <w:rFonts w:ascii="Times New Roman" w:hAnsi="Times New Roman"/>
          <w:sz w:val="24"/>
          <w:szCs w:val="24"/>
        </w:rPr>
        <w:t xml:space="preserve">Details of </w:t>
      </w:r>
      <w:r>
        <w:rPr>
          <w:rFonts w:ascii="Times New Roman" w:hAnsi="Times New Roman"/>
          <w:sz w:val="24"/>
          <w:szCs w:val="24"/>
        </w:rPr>
        <w:t xml:space="preserve">the </w:t>
      </w:r>
      <w:r w:rsidRPr="00C6430B">
        <w:rPr>
          <w:rFonts w:ascii="Times New Roman" w:hAnsi="Times New Roman"/>
          <w:sz w:val="24"/>
          <w:szCs w:val="24"/>
        </w:rPr>
        <w:t xml:space="preserve">Regulation are set out in the </w:t>
      </w:r>
      <w:r w:rsidRPr="00C6430B">
        <w:rPr>
          <w:rFonts w:ascii="Times New Roman" w:hAnsi="Times New Roman"/>
          <w:sz w:val="24"/>
          <w:szCs w:val="24"/>
          <w:u w:val="single"/>
        </w:rPr>
        <w:t>Attachment</w:t>
      </w:r>
      <w:r w:rsidRPr="00C6430B">
        <w:rPr>
          <w:rFonts w:ascii="Times New Roman" w:hAnsi="Times New Roman"/>
          <w:sz w:val="24"/>
          <w:szCs w:val="24"/>
        </w:rPr>
        <w:t xml:space="preserve">. </w:t>
      </w:r>
    </w:p>
    <w:p w14:paraId="518B101F" w14:textId="77777777" w:rsidR="00CF7F4F" w:rsidRDefault="009D217D" w:rsidP="00814653">
      <w:pPr>
        <w:pStyle w:val="Paragraphnumbered"/>
        <w:numPr>
          <w:ilvl w:val="0"/>
          <w:numId w:val="0"/>
        </w:numPr>
        <w:spacing w:before="0" w:line="276" w:lineRule="auto"/>
        <w:contextualSpacing/>
      </w:pPr>
      <w:r w:rsidRPr="00BB6BC1">
        <w:lastRenderedPageBreak/>
        <w:t xml:space="preserve">The Regulation </w:t>
      </w:r>
      <w:r>
        <w:t xml:space="preserve">commenced </w:t>
      </w:r>
      <w:r w:rsidRPr="00BB6BC1">
        <w:t xml:space="preserve">the day after it </w:t>
      </w:r>
      <w:r>
        <w:t xml:space="preserve">was </w:t>
      </w:r>
      <w:r w:rsidRPr="00BB6BC1">
        <w:t>registered</w:t>
      </w:r>
      <w:r>
        <w:t xml:space="preserve"> on the Federal Register of Legislation</w:t>
      </w:r>
      <w:r w:rsidRPr="00BB6BC1">
        <w:t xml:space="preserve">. </w:t>
      </w:r>
    </w:p>
    <w:p w14:paraId="518B1020" w14:textId="77777777" w:rsidR="0012420C" w:rsidRDefault="00620AEE" w:rsidP="00814653">
      <w:pPr>
        <w:pStyle w:val="Paragraphnumbered"/>
        <w:numPr>
          <w:ilvl w:val="0"/>
          <w:numId w:val="0"/>
        </w:numPr>
        <w:spacing w:before="0" w:line="276" w:lineRule="auto"/>
        <w:contextualSpacing/>
      </w:pPr>
    </w:p>
    <w:p w14:paraId="518B1021" w14:textId="77777777" w:rsidR="0012420C" w:rsidRPr="00BB6BC1" w:rsidRDefault="009D217D" w:rsidP="00814653">
      <w:pPr>
        <w:pStyle w:val="Paragraphnumbered"/>
        <w:numPr>
          <w:ilvl w:val="0"/>
          <w:numId w:val="0"/>
        </w:numPr>
        <w:spacing w:before="0" w:line="276" w:lineRule="auto"/>
        <w:contextualSpacing/>
      </w:pPr>
      <w:r>
        <w:t xml:space="preserve">The Office of Best Practise Regulation advised that a Regulation Impact Statement was not necessary for this Regulation. </w:t>
      </w:r>
    </w:p>
    <w:p w14:paraId="518B1022" w14:textId="77777777" w:rsidR="00D12BCA" w:rsidRPr="00BB6BC1" w:rsidRDefault="00620AEE" w:rsidP="00814653">
      <w:pPr>
        <w:pStyle w:val="Paragraphnumbered"/>
        <w:numPr>
          <w:ilvl w:val="0"/>
          <w:numId w:val="0"/>
        </w:numPr>
        <w:spacing w:before="0" w:line="276" w:lineRule="auto"/>
        <w:contextualSpacing/>
      </w:pPr>
    </w:p>
    <w:p w14:paraId="518B1023" w14:textId="77777777" w:rsidR="00CF7F4F" w:rsidRPr="00BB6BC1" w:rsidRDefault="009D217D" w:rsidP="00814653">
      <w:pPr>
        <w:pStyle w:val="Paragraphnumbered"/>
        <w:numPr>
          <w:ilvl w:val="0"/>
          <w:numId w:val="0"/>
        </w:numPr>
        <w:spacing w:before="0" w:line="276" w:lineRule="auto"/>
        <w:contextualSpacing/>
      </w:pPr>
      <w:r>
        <w:t xml:space="preserve">The </w:t>
      </w:r>
      <w:r w:rsidRPr="00BB6BC1">
        <w:t xml:space="preserve">Regulation </w:t>
      </w:r>
      <w:r>
        <w:t xml:space="preserve">is </w:t>
      </w:r>
      <w:r w:rsidRPr="00BB6BC1">
        <w:t xml:space="preserve">a legislative instrument for the purposes of the </w:t>
      </w:r>
      <w:r>
        <w:rPr>
          <w:i/>
        </w:rPr>
        <w:t>Legislative Instruments Act </w:t>
      </w:r>
      <w:r w:rsidRPr="00BB6BC1">
        <w:rPr>
          <w:i/>
        </w:rPr>
        <w:t>2003</w:t>
      </w:r>
      <w:r w:rsidRPr="00BB6BC1">
        <w:t xml:space="preserve">. </w:t>
      </w:r>
    </w:p>
    <w:p w14:paraId="518B1024" w14:textId="77777777" w:rsidR="00CF7F4F" w:rsidRPr="00C97E05" w:rsidRDefault="00620AEE" w:rsidP="00CF7F4F">
      <w:pPr>
        <w:spacing w:line="240" w:lineRule="auto"/>
        <w:contextualSpacing/>
        <w:rPr>
          <w:rFonts w:ascii="Times New Roman" w:hAnsi="Times New Roman"/>
          <w:sz w:val="24"/>
          <w:szCs w:val="24"/>
        </w:rPr>
      </w:pPr>
    </w:p>
    <w:p w14:paraId="518B1025" w14:textId="77777777" w:rsidR="00CF7F4F" w:rsidRPr="00C97E05" w:rsidRDefault="00620AEE" w:rsidP="00CF7F4F">
      <w:pPr>
        <w:spacing w:line="240" w:lineRule="auto"/>
        <w:contextualSpacing/>
        <w:rPr>
          <w:rFonts w:ascii="Times New Roman" w:hAnsi="Times New Roman"/>
          <w:sz w:val="24"/>
          <w:szCs w:val="24"/>
        </w:rPr>
      </w:pPr>
    </w:p>
    <w:p w14:paraId="518B1026" w14:textId="77777777" w:rsidR="00391D60" w:rsidRDefault="00620AEE" w:rsidP="00CF7F4F">
      <w:pPr>
        <w:spacing w:line="240" w:lineRule="auto"/>
        <w:contextualSpacing/>
        <w:rPr>
          <w:rFonts w:ascii="Times New Roman" w:hAnsi="Times New Roman"/>
          <w:sz w:val="24"/>
          <w:szCs w:val="24"/>
        </w:rPr>
        <w:sectPr w:rsidR="00391D60" w:rsidSect="0074665A">
          <w:footerReference w:type="default" r:id="rId12"/>
          <w:footerReference w:type="first" r:id="rId13"/>
          <w:pgSz w:w="11906" w:h="16838" w:code="9"/>
          <w:pgMar w:top="1440" w:right="1440" w:bottom="1440" w:left="1440" w:header="709" w:footer="709" w:gutter="0"/>
          <w:cols w:space="708"/>
          <w:titlePg/>
          <w:docGrid w:linePitch="360"/>
        </w:sectPr>
      </w:pPr>
    </w:p>
    <w:p w14:paraId="518B1027" w14:textId="77777777" w:rsidR="00CF7F4F" w:rsidRPr="00C97E05" w:rsidRDefault="00620AEE" w:rsidP="00CF7F4F">
      <w:pPr>
        <w:spacing w:line="240" w:lineRule="auto"/>
        <w:contextualSpacing/>
        <w:rPr>
          <w:rFonts w:ascii="Times New Roman" w:hAnsi="Times New Roman"/>
          <w:sz w:val="24"/>
          <w:szCs w:val="24"/>
        </w:rPr>
      </w:pPr>
    </w:p>
    <w:p w14:paraId="518B1028" w14:textId="77777777" w:rsidR="00CF7F4F" w:rsidRPr="00C97E05" w:rsidRDefault="009D217D" w:rsidP="00CF7F4F">
      <w:pPr>
        <w:spacing w:line="240" w:lineRule="auto"/>
        <w:contextualSpacing/>
        <w:jc w:val="right"/>
        <w:rPr>
          <w:rFonts w:ascii="Times New Roman" w:hAnsi="Times New Roman"/>
          <w:b/>
          <w:sz w:val="24"/>
          <w:szCs w:val="24"/>
          <w:u w:val="single"/>
        </w:rPr>
      </w:pPr>
      <w:r w:rsidRPr="00C97E05">
        <w:rPr>
          <w:rFonts w:ascii="Times New Roman" w:hAnsi="Times New Roman"/>
          <w:b/>
          <w:sz w:val="24"/>
          <w:szCs w:val="24"/>
          <w:u w:val="single"/>
        </w:rPr>
        <w:t>ATTACHMENT</w:t>
      </w:r>
    </w:p>
    <w:p w14:paraId="518B1029" w14:textId="77777777" w:rsidR="00CF7F4F" w:rsidRPr="00C97E05" w:rsidRDefault="00620AEE" w:rsidP="00CF7F4F">
      <w:pPr>
        <w:spacing w:line="240" w:lineRule="auto"/>
        <w:contextualSpacing/>
        <w:rPr>
          <w:rFonts w:ascii="Times New Roman" w:hAnsi="Times New Roman"/>
          <w:b/>
          <w:sz w:val="24"/>
          <w:szCs w:val="24"/>
          <w:u w:val="single"/>
        </w:rPr>
      </w:pPr>
    </w:p>
    <w:p w14:paraId="518B102A" w14:textId="15A3493D" w:rsidR="00CF7F4F" w:rsidRPr="003821BA" w:rsidRDefault="009D217D" w:rsidP="00CF7F4F">
      <w:pPr>
        <w:spacing w:line="240" w:lineRule="auto"/>
        <w:contextualSpacing/>
        <w:rPr>
          <w:rFonts w:ascii="Times New Roman" w:hAnsi="Times New Roman"/>
          <w:b/>
          <w:i/>
          <w:sz w:val="24"/>
          <w:szCs w:val="24"/>
          <w:u w:val="single"/>
        </w:rPr>
      </w:pPr>
      <w:r w:rsidRPr="00C97E05">
        <w:rPr>
          <w:rFonts w:ascii="Times New Roman" w:hAnsi="Times New Roman"/>
          <w:b/>
          <w:sz w:val="24"/>
          <w:szCs w:val="24"/>
          <w:u w:val="single"/>
        </w:rPr>
        <w:t xml:space="preserve">Details of the </w:t>
      </w:r>
      <w:r w:rsidRPr="003821BA">
        <w:rPr>
          <w:rFonts w:ascii="Times New Roman" w:hAnsi="Times New Roman"/>
          <w:b/>
          <w:i/>
          <w:sz w:val="24"/>
          <w:szCs w:val="24"/>
          <w:u w:val="single"/>
        </w:rPr>
        <w:t>Internatio</w:t>
      </w:r>
      <w:r>
        <w:rPr>
          <w:rFonts w:ascii="Times New Roman" w:hAnsi="Times New Roman"/>
          <w:b/>
          <w:i/>
          <w:sz w:val="24"/>
          <w:szCs w:val="24"/>
          <w:u w:val="single"/>
        </w:rPr>
        <w:t>nal Transfer of Prisoners (Peru</w:t>
      </w:r>
      <w:r w:rsidRPr="003821BA">
        <w:rPr>
          <w:rFonts w:ascii="Times New Roman" w:hAnsi="Times New Roman"/>
          <w:b/>
          <w:i/>
          <w:sz w:val="24"/>
          <w:szCs w:val="24"/>
          <w:u w:val="single"/>
        </w:rPr>
        <w:t>) Regulation 2016</w:t>
      </w:r>
    </w:p>
    <w:p w14:paraId="518B102B" w14:textId="77777777" w:rsidR="00CF7F4F" w:rsidRPr="00C97E05" w:rsidRDefault="00620AEE" w:rsidP="00CF7F4F">
      <w:pPr>
        <w:spacing w:line="240" w:lineRule="auto"/>
        <w:contextualSpacing/>
        <w:rPr>
          <w:rFonts w:ascii="Times New Roman" w:hAnsi="Times New Roman"/>
          <w:sz w:val="24"/>
          <w:szCs w:val="24"/>
        </w:rPr>
      </w:pPr>
    </w:p>
    <w:p w14:paraId="518B102C" w14:textId="77777777" w:rsidR="00CF7F4F" w:rsidRPr="00C97E05" w:rsidRDefault="009D217D" w:rsidP="00CF7F4F">
      <w:pPr>
        <w:spacing w:line="240" w:lineRule="auto"/>
        <w:contextualSpacing/>
        <w:rPr>
          <w:rFonts w:ascii="Times New Roman" w:hAnsi="Times New Roman"/>
          <w:sz w:val="24"/>
          <w:szCs w:val="24"/>
        </w:rPr>
      </w:pPr>
      <w:r>
        <w:rPr>
          <w:rFonts w:ascii="Times New Roman" w:hAnsi="Times New Roman"/>
          <w:sz w:val="24"/>
          <w:szCs w:val="24"/>
          <w:u w:val="single"/>
        </w:rPr>
        <w:t>Section</w:t>
      </w:r>
      <w:r w:rsidRPr="00C97E05">
        <w:rPr>
          <w:rFonts w:ascii="Times New Roman" w:hAnsi="Times New Roman"/>
          <w:sz w:val="24"/>
          <w:szCs w:val="24"/>
          <w:u w:val="single"/>
        </w:rPr>
        <w:t xml:space="preserve"> 1 – Name of Regulation</w:t>
      </w:r>
    </w:p>
    <w:p w14:paraId="518B102D" w14:textId="77777777" w:rsidR="00CF7F4F" w:rsidRPr="00C97E05" w:rsidRDefault="00620AEE" w:rsidP="00CF7F4F">
      <w:pPr>
        <w:spacing w:line="240" w:lineRule="auto"/>
        <w:contextualSpacing/>
        <w:rPr>
          <w:rFonts w:ascii="Times New Roman" w:hAnsi="Times New Roman"/>
          <w:sz w:val="24"/>
          <w:szCs w:val="24"/>
        </w:rPr>
      </w:pPr>
    </w:p>
    <w:p w14:paraId="518B102E" w14:textId="77777777" w:rsidR="00CF7F4F" w:rsidRPr="00C97E05" w:rsidRDefault="009D217D" w:rsidP="00CF7F4F">
      <w:pPr>
        <w:spacing w:line="240" w:lineRule="auto"/>
        <w:contextualSpacing/>
        <w:rPr>
          <w:rFonts w:ascii="Times New Roman" w:hAnsi="Times New Roman"/>
          <w:sz w:val="24"/>
          <w:szCs w:val="24"/>
        </w:rPr>
      </w:pPr>
      <w:r w:rsidRPr="00C97E05">
        <w:rPr>
          <w:rFonts w:ascii="Times New Roman" w:hAnsi="Times New Roman"/>
          <w:sz w:val="24"/>
          <w:szCs w:val="24"/>
        </w:rPr>
        <w:t xml:space="preserve">This section </w:t>
      </w:r>
      <w:r>
        <w:rPr>
          <w:rFonts w:ascii="Times New Roman" w:hAnsi="Times New Roman"/>
          <w:sz w:val="24"/>
          <w:szCs w:val="24"/>
        </w:rPr>
        <w:t xml:space="preserve">provides </w:t>
      </w:r>
      <w:r w:rsidRPr="00C97E05">
        <w:rPr>
          <w:rFonts w:ascii="Times New Roman" w:hAnsi="Times New Roman"/>
          <w:sz w:val="24"/>
          <w:szCs w:val="24"/>
        </w:rPr>
        <w:t>that the title of the Regulation is the</w:t>
      </w:r>
      <w:r>
        <w:rPr>
          <w:rFonts w:ascii="Times New Roman" w:hAnsi="Times New Roman"/>
          <w:sz w:val="24"/>
          <w:szCs w:val="24"/>
        </w:rPr>
        <w:t xml:space="preserve"> </w:t>
      </w:r>
      <w:r w:rsidRPr="00356591">
        <w:rPr>
          <w:rFonts w:ascii="Times New Roman" w:hAnsi="Times New Roman"/>
          <w:bCs/>
          <w:i/>
          <w:sz w:val="24"/>
          <w:szCs w:val="24"/>
          <w:lang w:eastAsia="en-AU"/>
        </w:rPr>
        <w:t>International Transfer of Pr</w:t>
      </w:r>
      <w:r>
        <w:rPr>
          <w:rFonts w:ascii="Times New Roman" w:hAnsi="Times New Roman"/>
          <w:bCs/>
          <w:i/>
          <w:sz w:val="24"/>
          <w:szCs w:val="24"/>
          <w:lang w:eastAsia="en-AU"/>
        </w:rPr>
        <w:t>isoners (Peru) Regulation 2016.</w:t>
      </w:r>
    </w:p>
    <w:p w14:paraId="518B102F" w14:textId="77777777" w:rsidR="00CF7F4F" w:rsidRPr="00C97E05" w:rsidRDefault="00620AEE" w:rsidP="00CF7F4F">
      <w:pPr>
        <w:spacing w:line="240" w:lineRule="auto"/>
        <w:contextualSpacing/>
        <w:rPr>
          <w:rFonts w:ascii="Times New Roman" w:hAnsi="Times New Roman"/>
          <w:sz w:val="24"/>
          <w:szCs w:val="24"/>
        </w:rPr>
      </w:pPr>
    </w:p>
    <w:p w14:paraId="518B1030" w14:textId="77777777" w:rsidR="00CF7F4F" w:rsidRPr="00C97E05" w:rsidRDefault="009D217D" w:rsidP="00CF7F4F">
      <w:pPr>
        <w:spacing w:line="240" w:lineRule="auto"/>
        <w:contextualSpacing/>
        <w:rPr>
          <w:rFonts w:ascii="Times New Roman" w:hAnsi="Times New Roman"/>
          <w:sz w:val="24"/>
          <w:szCs w:val="24"/>
        </w:rPr>
      </w:pPr>
      <w:r>
        <w:rPr>
          <w:rFonts w:ascii="Times New Roman" w:hAnsi="Times New Roman"/>
          <w:sz w:val="24"/>
          <w:szCs w:val="24"/>
          <w:u w:val="single"/>
        </w:rPr>
        <w:t>Section</w:t>
      </w:r>
      <w:r w:rsidRPr="00C97E05">
        <w:rPr>
          <w:rFonts w:ascii="Times New Roman" w:hAnsi="Times New Roman"/>
          <w:sz w:val="24"/>
          <w:szCs w:val="24"/>
          <w:u w:val="single"/>
        </w:rPr>
        <w:t xml:space="preserve"> 2 – Commencement</w:t>
      </w:r>
    </w:p>
    <w:p w14:paraId="518B1031" w14:textId="77777777" w:rsidR="00CF7F4F" w:rsidRPr="00C97E05" w:rsidRDefault="00620AEE" w:rsidP="00CF7F4F">
      <w:pPr>
        <w:spacing w:line="240" w:lineRule="auto"/>
        <w:contextualSpacing/>
        <w:rPr>
          <w:rFonts w:ascii="Times New Roman" w:hAnsi="Times New Roman"/>
          <w:sz w:val="24"/>
          <w:szCs w:val="24"/>
        </w:rPr>
      </w:pPr>
    </w:p>
    <w:p w14:paraId="518B1032" w14:textId="77777777" w:rsidR="00CF7F4F" w:rsidRPr="00C97E05" w:rsidRDefault="009D217D" w:rsidP="00CF7F4F">
      <w:pPr>
        <w:spacing w:line="240" w:lineRule="auto"/>
        <w:contextualSpacing/>
        <w:rPr>
          <w:rFonts w:ascii="Times New Roman" w:hAnsi="Times New Roman"/>
          <w:sz w:val="24"/>
          <w:szCs w:val="24"/>
        </w:rPr>
      </w:pPr>
      <w:r w:rsidRPr="00C97E05">
        <w:rPr>
          <w:rFonts w:ascii="Times New Roman" w:hAnsi="Times New Roman"/>
          <w:sz w:val="24"/>
          <w:szCs w:val="24"/>
        </w:rPr>
        <w:t xml:space="preserve">This section </w:t>
      </w:r>
      <w:r>
        <w:rPr>
          <w:rFonts w:ascii="Times New Roman" w:hAnsi="Times New Roman"/>
          <w:sz w:val="24"/>
          <w:szCs w:val="24"/>
        </w:rPr>
        <w:t xml:space="preserve">provides </w:t>
      </w:r>
      <w:r w:rsidRPr="00C97E05">
        <w:rPr>
          <w:rFonts w:ascii="Times New Roman" w:hAnsi="Times New Roman"/>
          <w:sz w:val="24"/>
          <w:szCs w:val="24"/>
        </w:rPr>
        <w:t xml:space="preserve">for the Regulation to commence </w:t>
      </w:r>
      <w:r>
        <w:rPr>
          <w:rFonts w:ascii="Times New Roman" w:hAnsi="Times New Roman"/>
          <w:sz w:val="24"/>
          <w:szCs w:val="24"/>
        </w:rPr>
        <w:t>the day after its registration.</w:t>
      </w:r>
    </w:p>
    <w:p w14:paraId="518B1033" w14:textId="77777777" w:rsidR="00CF7F4F" w:rsidRPr="00C97E05" w:rsidRDefault="00620AEE" w:rsidP="00CF7F4F">
      <w:pPr>
        <w:spacing w:line="240" w:lineRule="auto"/>
        <w:contextualSpacing/>
        <w:rPr>
          <w:rFonts w:ascii="Times New Roman" w:hAnsi="Times New Roman"/>
          <w:sz w:val="24"/>
          <w:szCs w:val="24"/>
        </w:rPr>
      </w:pPr>
    </w:p>
    <w:p w14:paraId="518B1034" w14:textId="77777777" w:rsidR="00CF7F4F" w:rsidRPr="00C97E05" w:rsidRDefault="009D217D" w:rsidP="00CF7F4F">
      <w:pPr>
        <w:spacing w:line="240" w:lineRule="auto"/>
        <w:contextualSpacing/>
        <w:rPr>
          <w:rFonts w:ascii="Times New Roman" w:hAnsi="Times New Roman"/>
          <w:sz w:val="24"/>
          <w:szCs w:val="24"/>
        </w:rPr>
      </w:pPr>
      <w:r>
        <w:rPr>
          <w:rFonts w:ascii="Times New Roman" w:hAnsi="Times New Roman"/>
          <w:sz w:val="24"/>
          <w:szCs w:val="24"/>
          <w:u w:val="single"/>
        </w:rPr>
        <w:t>Section</w:t>
      </w:r>
      <w:r w:rsidRPr="00C97E05">
        <w:rPr>
          <w:rFonts w:ascii="Times New Roman" w:hAnsi="Times New Roman"/>
          <w:sz w:val="24"/>
          <w:szCs w:val="24"/>
          <w:u w:val="single"/>
        </w:rPr>
        <w:t xml:space="preserve"> 3</w:t>
      </w:r>
      <w:r>
        <w:rPr>
          <w:rFonts w:ascii="Times New Roman" w:hAnsi="Times New Roman"/>
          <w:sz w:val="24"/>
          <w:szCs w:val="24"/>
          <w:u w:val="single"/>
        </w:rPr>
        <w:t xml:space="preserve"> </w:t>
      </w:r>
      <w:r w:rsidRPr="00C97E05">
        <w:rPr>
          <w:rFonts w:ascii="Times New Roman" w:hAnsi="Times New Roman"/>
          <w:sz w:val="24"/>
          <w:szCs w:val="24"/>
          <w:u w:val="single"/>
        </w:rPr>
        <w:t>– Authority</w:t>
      </w:r>
    </w:p>
    <w:p w14:paraId="518B1035" w14:textId="77777777" w:rsidR="00CF7F4F" w:rsidRPr="00C97E05" w:rsidRDefault="009D217D" w:rsidP="00432C61">
      <w:pPr>
        <w:tabs>
          <w:tab w:val="left" w:pos="6470"/>
        </w:tabs>
        <w:spacing w:line="240" w:lineRule="auto"/>
        <w:contextualSpacing/>
        <w:rPr>
          <w:rFonts w:ascii="Times New Roman" w:hAnsi="Times New Roman"/>
          <w:sz w:val="24"/>
          <w:szCs w:val="24"/>
        </w:rPr>
      </w:pPr>
      <w:r>
        <w:rPr>
          <w:rFonts w:ascii="Times New Roman" w:hAnsi="Times New Roman"/>
          <w:sz w:val="24"/>
          <w:szCs w:val="24"/>
        </w:rPr>
        <w:tab/>
      </w:r>
    </w:p>
    <w:p w14:paraId="518B1036" w14:textId="77777777" w:rsidR="00CF7F4F" w:rsidRDefault="009D217D" w:rsidP="00CF7F4F">
      <w:pPr>
        <w:spacing w:line="240" w:lineRule="auto"/>
        <w:contextualSpacing/>
        <w:rPr>
          <w:rFonts w:ascii="Times New Roman" w:hAnsi="Times New Roman"/>
          <w:i/>
          <w:sz w:val="24"/>
          <w:szCs w:val="24"/>
        </w:rPr>
      </w:pPr>
      <w:r w:rsidRPr="00C97E05">
        <w:rPr>
          <w:rFonts w:ascii="Times New Roman" w:hAnsi="Times New Roman"/>
          <w:sz w:val="24"/>
          <w:szCs w:val="24"/>
        </w:rPr>
        <w:t xml:space="preserve">This section </w:t>
      </w:r>
      <w:r>
        <w:rPr>
          <w:rFonts w:ascii="Times New Roman" w:hAnsi="Times New Roman"/>
          <w:sz w:val="24"/>
          <w:szCs w:val="24"/>
        </w:rPr>
        <w:t xml:space="preserve">provides </w:t>
      </w:r>
      <w:r w:rsidRPr="00C97E05">
        <w:rPr>
          <w:rFonts w:ascii="Times New Roman" w:hAnsi="Times New Roman"/>
          <w:sz w:val="24"/>
          <w:szCs w:val="24"/>
        </w:rPr>
        <w:t xml:space="preserve">that the Regulation </w:t>
      </w:r>
      <w:r>
        <w:rPr>
          <w:rFonts w:ascii="Times New Roman" w:hAnsi="Times New Roman"/>
          <w:sz w:val="24"/>
          <w:szCs w:val="24"/>
        </w:rPr>
        <w:t>is made under the</w:t>
      </w:r>
      <w:r w:rsidRPr="00B15E27">
        <w:rPr>
          <w:rFonts w:ascii="Times New Roman" w:hAnsi="Times New Roman"/>
          <w:sz w:val="24"/>
          <w:szCs w:val="24"/>
        </w:rPr>
        <w:t xml:space="preserve"> </w:t>
      </w:r>
      <w:r w:rsidRPr="00B15E27">
        <w:rPr>
          <w:rFonts w:ascii="Times New Roman" w:hAnsi="Times New Roman"/>
          <w:i/>
          <w:sz w:val="24"/>
          <w:szCs w:val="24"/>
        </w:rPr>
        <w:t>International Transfer of Prisoners Act 1997</w:t>
      </w:r>
      <w:r>
        <w:rPr>
          <w:rFonts w:ascii="Times New Roman" w:hAnsi="Times New Roman"/>
          <w:i/>
          <w:sz w:val="24"/>
          <w:szCs w:val="24"/>
        </w:rPr>
        <w:t>.</w:t>
      </w:r>
    </w:p>
    <w:p w14:paraId="518B1037" w14:textId="77777777" w:rsidR="003821BA" w:rsidRPr="00C97E05" w:rsidRDefault="00620AEE" w:rsidP="00CF7F4F">
      <w:pPr>
        <w:spacing w:line="240" w:lineRule="auto"/>
        <w:contextualSpacing/>
        <w:rPr>
          <w:rFonts w:ascii="Times New Roman" w:hAnsi="Times New Roman"/>
          <w:sz w:val="24"/>
          <w:szCs w:val="24"/>
        </w:rPr>
      </w:pPr>
    </w:p>
    <w:p w14:paraId="518B1038" w14:textId="77777777" w:rsidR="00CF7F4F" w:rsidRPr="00C97E05" w:rsidRDefault="009D217D" w:rsidP="00CF7F4F">
      <w:pPr>
        <w:spacing w:line="240" w:lineRule="auto"/>
        <w:contextualSpacing/>
        <w:rPr>
          <w:rFonts w:ascii="Times New Roman" w:hAnsi="Times New Roman"/>
          <w:sz w:val="24"/>
          <w:szCs w:val="24"/>
        </w:rPr>
      </w:pPr>
      <w:r>
        <w:rPr>
          <w:rFonts w:ascii="Times New Roman" w:hAnsi="Times New Roman"/>
          <w:sz w:val="24"/>
          <w:szCs w:val="24"/>
          <w:u w:val="single"/>
        </w:rPr>
        <w:t>Section</w:t>
      </w:r>
      <w:r w:rsidRPr="00C97E05">
        <w:rPr>
          <w:rFonts w:ascii="Times New Roman" w:hAnsi="Times New Roman"/>
          <w:sz w:val="24"/>
          <w:szCs w:val="24"/>
          <w:u w:val="single"/>
        </w:rPr>
        <w:t xml:space="preserve"> 4 – Definitions</w:t>
      </w:r>
    </w:p>
    <w:p w14:paraId="518B1039" w14:textId="77777777" w:rsidR="00CF7F4F" w:rsidRPr="00C97E05" w:rsidRDefault="00620AEE" w:rsidP="00CF7F4F">
      <w:pPr>
        <w:spacing w:line="240" w:lineRule="auto"/>
        <w:contextualSpacing/>
        <w:rPr>
          <w:rFonts w:ascii="Times New Roman" w:hAnsi="Times New Roman"/>
          <w:sz w:val="24"/>
          <w:szCs w:val="24"/>
        </w:rPr>
      </w:pPr>
    </w:p>
    <w:p w14:paraId="518B103A" w14:textId="77777777" w:rsidR="00CF7F4F" w:rsidRPr="00C97E05" w:rsidRDefault="009D217D" w:rsidP="00CF7F4F">
      <w:pPr>
        <w:spacing w:line="240" w:lineRule="auto"/>
        <w:contextualSpacing/>
        <w:rPr>
          <w:rFonts w:ascii="Times New Roman" w:hAnsi="Times New Roman"/>
          <w:sz w:val="24"/>
          <w:szCs w:val="24"/>
        </w:rPr>
      </w:pPr>
      <w:r w:rsidRPr="00C97E05">
        <w:rPr>
          <w:rFonts w:ascii="Times New Roman" w:hAnsi="Times New Roman"/>
          <w:sz w:val="24"/>
          <w:szCs w:val="24"/>
        </w:rPr>
        <w:t xml:space="preserve">This section </w:t>
      </w:r>
      <w:r>
        <w:rPr>
          <w:rFonts w:ascii="Times New Roman" w:hAnsi="Times New Roman"/>
          <w:sz w:val="24"/>
          <w:szCs w:val="24"/>
        </w:rPr>
        <w:t xml:space="preserve">defines </w:t>
      </w:r>
      <w:r w:rsidRPr="00C97E05">
        <w:rPr>
          <w:rFonts w:ascii="Times New Roman" w:hAnsi="Times New Roman"/>
          <w:sz w:val="24"/>
          <w:szCs w:val="24"/>
        </w:rPr>
        <w:t xml:space="preserve">terms used in the Regulation. In </w:t>
      </w:r>
      <w:r>
        <w:rPr>
          <w:rFonts w:ascii="Times New Roman" w:hAnsi="Times New Roman"/>
          <w:sz w:val="24"/>
          <w:szCs w:val="24"/>
        </w:rPr>
        <w:t>the</w:t>
      </w:r>
      <w:r w:rsidRPr="00C97E05">
        <w:rPr>
          <w:rFonts w:ascii="Times New Roman" w:hAnsi="Times New Roman"/>
          <w:sz w:val="24"/>
          <w:szCs w:val="24"/>
        </w:rPr>
        <w:t xml:space="preserve"> </w:t>
      </w:r>
      <w:r>
        <w:rPr>
          <w:rFonts w:ascii="Times New Roman" w:hAnsi="Times New Roman"/>
          <w:sz w:val="24"/>
          <w:szCs w:val="24"/>
        </w:rPr>
        <w:t>R</w:t>
      </w:r>
      <w:r w:rsidRPr="00C97E05">
        <w:rPr>
          <w:rFonts w:ascii="Times New Roman" w:hAnsi="Times New Roman"/>
          <w:sz w:val="24"/>
          <w:szCs w:val="24"/>
        </w:rPr>
        <w:t>egulation:</w:t>
      </w:r>
    </w:p>
    <w:p w14:paraId="518B103B" w14:textId="77777777" w:rsidR="00CF7F4F" w:rsidRPr="00C97E05" w:rsidRDefault="009D217D" w:rsidP="00391D60">
      <w:pPr>
        <w:pStyle w:val="ListParagraph"/>
        <w:numPr>
          <w:ilvl w:val="0"/>
          <w:numId w:val="2"/>
        </w:numPr>
        <w:rPr>
          <w:rFonts w:ascii="Times New Roman" w:hAnsi="Times New Roman" w:cs="Times New Roman"/>
          <w:sz w:val="24"/>
          <w:szCs w:val="24"/>
        </w:rPr>
      </w:pPr>
      <w:r w:rsidRPr="00C97E05">
        <w:rPr>
          <w:rFonts w:ascii="Times New Roman" w:hAnsi="Times New Roman" w:cs="Times New Roman"/>
          <w:sz w:val="24"/>
          <w:szCs w:val="24"/>
        </w:rPr>
        <w:t xml:space="preserve">references to the word </w:t>
      </w:r>
      <w:r w:rsidRPr="00C97E05">
        <w:rPr>
          <w:rFonts w:ascii="Times New Roman" w:hAnsi="Times New Roman" w:cs="Times New Roman"/>
          <w:i/>
          <w:sz w:val="24"/>
          <w:szCs w:val="24"/>
        </w:rPr>
        <w:t>Act</w:t>
      </w:r>
      <w:r w:rsidRPr="00C97E05">
        <w:rPr>
          <w:rFonts w:ascii="Times New Roman" w:hAnsi="Times New Roman" w:cs="Times New Roman"/>
          <w:sz w:val="24"/>
          <w:szCs w:val="24"/>
        </w:rPr>
        <w:t xml:space="preserve"> </w:t>
      </w:r>
      <w:r>
        <w:rPr>
          <w:rFonts w:ascii="Times New Roman" w:hAnsi="Times New Roman" w:cs="Times New Roman"/>
          <w:sz w:val="24"/>
          <w:szCs w:val="24"/>
        </w:rPr>
        <w:t>are</w:t>
      </w:r>
      <w:r w:rsidRPr="00C97E05">
        <w:rPr>
          <w:rFonts w:ascii="Times New Roman" w:hAnsi="Times New Roman" w:cs="Times New Roman"/>
          <w:sz w:val="24"/>
          <w:szCs w:val="24"/>
        </w:rPr>
        <w:t xml:space="preserve"> interpreted as being references to the </w:t>
      </w:r>
      <w:r w:rsidRPr="00B15E27">
        <w:rPr>
          <w:rFonts w:ascii="Times New Roman" w:hAnsi="Times New Roman" w:cs="Times New Roman"/>
          <w:i/>
          <w:sz w:val="24"/>
          <w:szCs w:val="24"/>
        </w:rPr>
        <w:t>International Transfer of Prisoners Act 1997</w:t>
      </w:r>
      <w:r>
        <w:rPr>
          <w:rFonts w:ascii="Times New Roman" w:hAnsi="Times New Roman" w:cs="Times New Roman"/>
          <w:i/>
          <w:sz w:val="24"/>
          <w:szCs w:val="24"/>
        </w:rPr>
        <w:t>.</w:t>
      </w:r>
    </w:p>
    <w:p w14:paraId="518B103C" w14:textId="77777777" w:rsidR="00CF7F4F" w:rsidRPr="00C97E05" w:rsidRDefault="00620AEE" w:rsidP="00CF7F4F">
      <w:pPr>
        <w:spacing w:line="240" w:lineRule="auto"/>
        <w:contextualSpacing/>
        <w:rPr>
          <w:rFonts w:ascii="Times New Roman" w:hAnsi="Times New Roman"/>
          <w:sz w:val="24"/>
          <w:szCs w:val="24"/>
        </w:rPr>
      </w:pPr>
    </w:p>
    <w:p w14:paraId="518B103D" w14:textId="77777777" w:rsidR="000849F1" w:rsidRDefault="009D217D" w:rsidP="000849F1">
      <w:pPr>
        <w:spacing w:line="240" w:lineRule="auto"/>
        <w:contextualSpacing/>
        <w:rPr>
          <w:rFonts w:ascii="Times New Roman" w:hAnsi="Times New Roman"/>
          <w:sz w:val="24"/>
          <w:szCs w:val="24"/>
          <w:u w:val="single"/>
        </w:rPr>
      </w:pPr>
      <w:r>
        <w:rPr>
          <w:rFonts w:ascii="Times New Roman" w:hAnsi="Times New Roman"/>
          <w:sz w:val="24"/>
          <w:szCs w:val="24"/>
          <w:u w:val="single"/>
        </w:rPr>
        <w:t>Section</w:t>
      </w:r>
      <w:r w:rsidRPr="00C97E05">
        <w:rPr>
          <w:rFonts w:ascii="Times New Roman" w:hAnsi="Times New Roman"/>
          <w:sz w:val="24"/>
          <w:szCs w:val="24"/>
          <w:u w:val="single"/>
        </w:rPr>
        <w:t xml:space="preserve"> </w:t>
      </w:r>
      <w:r>
        <w:rPr>
          <w:rFonts w:ascii="Times New Roman" w:hAnsi="Times New Roman"/>
          <w:sz w:val="24"/>
          <w:szCs w:val="24"/>
          <w:u w:val="single"/>
        </w:rPr>
        <w:t>5</w:t>
      </w:r>
      <w:r w:rsidRPr="00C97E05">
        <w:rPr>
          <w:rFonts w:ascii="Times New Roman" w:hAnsi="Times New Roman"/>
          <w:sz w:val="24"/>
          <w:szCs w:val="24"/>
          <w:u w:val="single"/>
        </w:rPr>
        <w:t xml:space="preserve"> – </w:t>
      </w:r>
      <w:r>
        <w:rPr>
          <w:rFonts w:ascii="Times New Roman" w:hAnsi="Times New Roman"/>
          <w:sz w:val="24"/>
          <w:szCs w:val="24"/>
          <w:u w:val="single"/>
        </w:rPr>
        <w:t>Peru is a transfer country to which the Act applies</w:t>
      </w:r>
    </w:p>
    <w:p w14:paraId="518B103E" w14:textId="77777777" w:rsidR="000849F1" w:rsidRDefault="00620AEE" w:rsidP="000849F1">
      <w:pPr>
        <w:spacing w:line="240" w:lineRule="auto"/>
        <w:contextualSpacing/>
        <w:rPr>
          <w:rFonts w:ascii="Times New Roman" w:hAnsi="Times New Roman"/>
          <w:sz w:val="24"/>
          <w:szCs w:val="24"/>
          <w:u w:val="single"/>
        </w:rPr>
      </w:pPr>
    </w:p>
    <w:p w14:paraId="518B103F" w14:textId="77777777" w:rsidR="000849F1" w:rsidRDefault="009D217D" w:rsidP="00CF7F4F">
      <w:pPr>
        <w:spacing w:line="240" w:lineRule="auto"/>
        <w:contextualSpacing/>
        <w:rPr>
          <w:rFonts w:ascii="Times New Roman" w:hAnsi="Times New Roman"/>
          <w:sz w:val="24"/>
          <w:szCs w:val="24"/>
          <w:u w:val="single"/>
        </w:rPr>
      </w:pPr>
      <w:r>
        <w:rPr>
          <w:rFonts w:ascii="Times New Roman" w:hAnsi="Times New Roman"/>
          <w:sz w:val="24"/>
          <w:szCs w:val="24"/>
        </w:rPr>
        <w:t xml:space="preserve">This section declares Peru as a country to which the </w:t>
      </w:r>
      <w:r>
        <w:rPr>
          <w:rFonts w:ascii="Times New Roman" w:hAnsi="Times New Roman"/>
          <w:i/>
          <w:sz w:val="24"/>
          <w:szCs w:val="24"/>
        </w:rPr>
        <w:t xml:space="preserve">International Transfer of Prisoners Act 1997 </w:t>
      </w:r>
      <w:r>
        <w:rPr>
          <w:rFonts w:ascii="Times New Roman" w:hAnsi="Times New Roman"/>
          <w:sz w:val="24"/>
          <w:szCs w:val="24"/>
        </w:rPr>
        <w:t>applies and as a transfer country for the purposes of subsection 8(1) of that Act.</w:t>
      </w:r>
    </w:p>
    <w:p w14:paraId="518B1040" w14:textId="77777777" w:rsidR="00CF7F4F" w:rsidRPr="00C97E05" w:rsidRDefault="00620AEE" w:rsidP="00CF7F4F">
      <w:pPr>
        <w:spacing w:line="240" w:lineRule="auto"/>
        <w:contextualSpacing/>
        <w:rPr>
          <w:rFonts w:ascii="Times New Roman" w:hAnsi="Times New Roman"/>
          <w:sz w:val="24"/>
          <w:szCs w:val="24"/>
        </w:rPr>
      </w:pPr>
    </w:p>
    <w:p w14:paraId="518B1041" w14:textId="77777777" w:rsidR="00CF7F4F" w:rsidRPr="003821BA" w:rsidRDefault="009D217D" w:rsidP="00867A18">
      <w:pPr>
        <w:spacing w:after="0"/>
        <w:rPr>
          <w:rFonts w:ascii="Times New Roman" w:hAnsi="Times New Roman"/>
          <w:sz w:val="24"/>
          <w:szCs w:val="24"/>
        </w:rPr>
      </w:pPr>
      <w:r w:rsidRPr="003821BA">
        <w:rPr>
          <w:rFonts w:ascii="Times New Roman" w:hAnsi="Times New Roman"/>
          <w:sz w:val="24"/>
          <w:szCs w:val="24"/>
        </w:rPr>
        <w:t xml:space="preserve">The </w:t>
      </w:r>
      <w:r w:rsidRPr="003821BA">
        <w:rPr>
          <w:rFonts w:ascii="Times New Roman" w:hAnsi="Times New Roman"/>
          <w:i/>
          <w:sz w:val="24"/>
          <w:szCs w:val="24"/>
        </w:rPr>
        <w:t xml:space="preserve">International Transfer of Prisoners Act 1997 </w:t>
      </w:r>
      <w:r w:rsidRPr="003821BA">
        <w:rPr>
          <w:rFonts w:ascii="Times New Roman" w:hAnsi="Times New Roman"/>
          <w:sz w:val="24"/>
          <w:szCs w:val="24"/>
        </w:rPr>
        <w:t>sets out the legislative framework for Australian participation in internatio</w:t>
      </w:r>
      <w:r>
        <w:rPr>
          <w:rFonts w:ascii="Times New Roman" w:hAnsi="Times New Roman"/>
          <w:sz w:val="24"/>
          <w:szCs w:val="24"/>
        </w:rPr>
        <w:t xml:space="preserve">nal prisoner transfer schemes. </w:t>
      </w:r>
      <w:r w:rsidRPr="00BB6BC1">
        <w:rPr>
          <w:rFonts w:ascii="Times New Roman" w:hAnsi="Times New Roman"/>
          <w:sz w:val="24"/>
          <w:szCs w:val="24"/>
        </w:rPr>
        <w:t xml:space="preserve">Subsection 8(1) of the Act </w:t>
      </w:r>
      <w:r>
        <w:rPr>
          <w:rFonts w:ascii="Times New Roman" w:hAnsi="Times New Roman"/>
          <w:sz w:val="24"/>
          <w:szCs w:val="24"/>
        </w:rPr>
        <w:t xml:space="preserve">states that the regulations may provide that the </w:t>
      </w:r>
      <w:r w:rsidRPr="00BB6BC1">
        <w:rPr>
          <w:rFonts w:ascii="Times New Roman" w:hAnsi="Times New Roman"/>
          <w:sz w:val="24"/>
          <w:szCs w:val="24"/>
        </w:rPr>
        <w:t>Act</w:t>
      </w:r>
      <w:r>
        <w:rPr>
          <w:rFonts w:ascii="Times New Roman" w:hAnsi="Times New Roman"/>
          <w:sz w:val="24"/>
          <w:szCs w:val="24"/>
        </w:rPr>
        <w:t xml:space="preserve"> applies</w:t>
      </w:r>
      <w:r w:rsidRPr="00BB6BC1">
        <w:rPr>
          <w:rFonts w:ascii="Times New Roman" w:hAnsi="Times New Roman"/>
          <w:sz w:val="24"/>
          <w:szCs w:val="24"/>
        </w:rPr>
        <w:t xml:space="preserve"> to a f</w:t>
      </w:r>
      <w:r>
        <w:rPr>
          <w:rFonts w:ascii="Times New Roman" w:hAnsi="Times New Roman"/>
          <w:sz w:val="24"/>
          <w:szCs w:val="24"/>
        </w:rPr>
        <w:t>oreign country which is declared by the regulations to be a</w:t>
      </w:r>
      <w:r w:rsidRPr="00BB6BC1">
        <w:rPr>
          <w:rFonts w:ascii="Times New Roman" w:hAnsi="Times New Roman"/>
          <w:sz w:val="24"/>
          <w:szCs w:val="24"/>
        </w:rPr>
        <w:t xml:space="preserve"> transfer country for the purposes of the Act.</w:t>
      </w:r>
    </w:p>
    <w:p w14:paraId="518B1042" w14:textId="77777777" w:rsidR="00867A18" w:rsidRDefault="00620AEE" w:rsidP="00867A18">
      <w:pPr>
        <w:spacing w:after="0" w:line="240" w:lineRule="auto"/>
        <w:contextualSpacing/>
        <w:rPr>
          <w:rFonts w:ascii="Times New Roman" w:hAnsi="Times New Roman"/>
          <w:sz w:val="24"/>
          <w:szCs w:val="24"/>
        </w:rPr>
      </w:pPr>
    </w:p>
    <w:p w14:paraId="518B1043" w14:textId="0DACF1C6" w:rsidR="00164E66" w:rsidRDefault="009D217D" w:rsidP="00867A18">
      <w:pPr>
        <w:spacing w:after="0" w:line="240" w:lineRule="auto"/>
        <w:contextualSpacing/>
        <w:rPr>
          <w:rFonts w:ascii="Times New Roman" w:hAnsi="Times New Roman"/>
          <w:sz w:val="24"/>
          <w:szCs w:val="24"/>
        </w:rPr>
      </w:pPr>
      <w:r w:rsidRPr="00C97E05">
        <w:rPr>
          <w:rFonts w:ascii="Times New Roman" w:hAnsi="Times New Roman"/>
          <w:sz w:val="24"/>
          <w:szCs w:val="24"/>
        </w:rPr>
        <w:t xml:space="preserve">This section </w:t>
      </w:r>
      <w:r>
        <w:rPr>
          <w:rFonts w:ascii="Times New Roman" w:hAnsi="Times New Roman"/>
          <w:sz w:val="24"/>
          <w:szCs w:val="24"/>
        </w:rPr>
        <w:t xml:space="preserve">provides </w:t>
      </w:r>
      <w:r w:rsidRPr="00C97E05">
        <w:rPr>
          <w:rFonts w:ascii="Times New Roman" w:hAnsi="Times New Roman"/>
          <w:sz w:val="24"/>
          <w:szCs w:val="24"/>
        </w:rPr>
        <w:t xml:space="preserve">that the Act applies to </w:t>
      </w:r>
      <w:r>
        <w:rPr>
          <w:rFonts w:ascii="Times New Roman" w:hAnsi="Times New Roman"/>
          <w:sz w:val="24"/>
          <w:szCs w:val="24"/>
        </w:rPr>
        <w:t xml:space="preserve">Peru, and that Peru is a transfer country for the purposes of the Act. </w:t>
      </w:r>
    </w:p>
    <w:p w14:paraId="3EC3E7D6" w14:textId="77777777" w:rsidR="00164E66" w:rsidRDefault="00164E66">
      <w:pPr>
        <w:rPr>
          <w:rFonts w:ascii="Times New Roman" w:hAnsi="Times New Roman"/>
          <w:sz w:val="24"/>
          <w:szCs w:val="24"/>
        </w:rPr>
      </w:pPr>
      <w:r>
        <w:rPr>
          <w:rFonts w:ascii="Times New Roman" w:hAnsi="Times New Roman"/>
          <w:sz w:val="24"/>
          <w:szCs w:val="24"/>
        </w:rPr>
        <w:br w:type="page"/>
      </w:r>
    </w:p>
    <w:p w14:paraId="26C90B49" w14:textId="77777777" w:rsidR="00164E66" w:rsidRDefault="00164E66" w:rsidP="00164E66">
      <w:pPr>
        <w:spacing w:after="0"/>
        <w:jc w:val="center"/>
        <w:rPr>
          <w:rFonts w:ascii="Times New Roman" w:hAnsi="Times New Roman"/>
          <w:b/>
          <w:sz w:val="24"/>
          <w:szCs w:val="24"/>
        </w:rPr>
      </w:pPr>
      <w:r w:rsidRPr="00B86D71">
        <w:rPr>
          <w:rFonts w:ascii="Times New Roman" w:hAnsi="Times New Roman"/>
          <w:b/>
          <w:sz w:val="24"/>
          <w:szCs w:val="24"/>
        </w:rPr>
        <w:lastRenderedPageBreak/>
        <w:t>Statement of Compatibility with Human Rights</w:t>
      </w:r>
    </w:p>
    <w:p w14:paraId="09C2A5B2" w14:textId="77777777" w:rsidR="00164E66" w:rsidRPr="00B86D71" w:rsidRDefault="00164E66" w:rsidP="00164E66">
      <w:pPr>
        <w:spacing w:after="0"/>
        <w:jc w:val="center"/>
        <w:rPr>
          <w:rFonts w:ascii="Times New Roman" w:hAnsi="Times New Roman"/>
          <w:sz w:val="24"/>
          <w:szCs w:val="24"/>
        </w:rPr>
      </w:pPr>
    </w:p>
    <w:p w14:paraId="0B5B5DA8" w14:textId="77777777" w:rsidR="00164E66" w:rsidRPr="00B86D71" w:rsidRDefault="00164E66" w:rsidP="00164E66">
      <w:pPr>
        <w:spacing w:after="0"/>
        <w:jc w:val="center"/>
        <w:rPr>
          <w:rFonts w:ascii="Times New Roman" w:hAnsi="Times New Roman"/>
          <w:i/>
          <w:sz w:val="24"/>
          <w:szCs w:val="24"/>
        </w:rPr>
      </w:pPr>
      <w:r w:rsidRPr="00B86D71">
        <w:rPr>
          <w:rFonts w:ascii="Times New Roman" w:hAnsi="Times New Roman"/>
          <w:i/>
          <w:sz w:val="24"/>
          <w:szCs w:val="24"/>
        </w:rPr>
        <w:t>Prepared in accordance with Part 3 of the Human Rights (Parliamentary Scrutiny) Act 2011</w:t>
      </w:r>
    </w:p>
    <w:p w14:paraId="4B24AE27" w14:textId="77777777" w:rsidR="00164E66" w:rsidRPr="00B86D71" w:rsidRDefault="00164E66" w:rsidP="00164E66">
      <w:pPr>
        <w:spacing w:after="0"/>
        <w:jc w:val="center"/>
        <w:rPr>
          <w:rFonts w:ascii="Times New Roman" w:hAnsi="Times New Roman"/>
          <w:b/>
          <w:bCs/>
          <w:sz w:val="24"/>
          <w:szCs w:val="24"/>
        </w:rPr>
      </w:pPr>
    </w:p>
    <w:p w14:paraId="5939E9E1" w14:textId="77777777" w:rsidR="00164E66" w:rsidRPr="00B86D71" w:rsidRDefault="00164E66" w:rsidP="00164E66">
      <w:pPr>
        <w:spacing w:after="0"/>
        <w:jc w:val="center"/>
        <w:rPr>
          <w:rFonts w:ascii="Times New Roman" w:hAnsi="Times New Roman"/>
          <w:b/>
          <w:bCs/>
          <w:sz w:val="24"/>
          <w:szCs w:val="24"/>
        </w:rPr>
      </w:pPr>
      <w:r w:rsidRPr="00B86D71">
        <w:rPr>
          <w:rFonts w:ascii="Times New Roman" w:hAnsi="Times New Roman"/>
          <w:b/>
          <w:bCs/>
          <w:sz w:val="24"/>
          <w:szCs w:val="24"/>
        </w:rPr>
        <w:t>Internatio</w:t>
      </w:r>
      <w:r>
        <w:rPr>
          <w:rFonts w:ascii="Times New Roman" w:hAnsi="Times New Roman"/>
          <w:b/>
          <w:bCs/>
          <w:sz w:val="24"/>
          <w:szCs w:val="24"/>
        </w:rPr>
        <w:t>nal Transfer of Prisoners (Peru</w:t>
      </w:r>
      <w:r w:rsidRPr="00B86D71">
        <w:rPr>
          <w:rFonts w:ascii="Times New Roman" w:hAnsi="Times New Roman"/>
          <w:b/>
          <w:bCs/>
          <w:sz w:val="24"/>
          <w:szCs w:val="24"/>
        </w:rPr>
        <w:t xml:space="preserve">) Regulation 2016 </w:t>
      </w:r>
    </w:p>
    <w:p w14:paraId="1DCE432B" w14:textId="77777777" w:rsidR="00164E66" w:rsidRPr="00B86D71" w:rsidRDefault="00164E66" w:rsidP="00164E66">
      <w:pPr>
        <w:spacing w:after="0"/>
        <w:jc w:val="center"/>
        <w:rPr>
          <w:rFonts w:ascii="Times New Roman" w:hAnsi="Times New Roman"/>
          <w:sz w:val="24"/>
          <w:szCs w:val="24"/>
        </w:rPr>
      </w:pPr>
    </w:p>
    <w:p w14:paraId="0CF387B7" w14:textId="77777777" w:rsidR="00164E66" w:rsidRDefault="00164E66" w:rsidP="00164E66">
      <w:pPr>
        <w:spacing w:after="0"/>
        <w:jc w:val="center"/>
        <w:rPr>
          <w:rFonts w:ascii="Times New Roman" w:hAnsi="Times New Roman"/>
          <w:sz w:val="24"/>
          <w:szCs w:val="24"/>
        </w:rPr>
      </w:pPr>
      <w:r w:rsidRPr="00B86D71">
        <w:rPr>
          <w:rFonts w:ascii="Times New Roman" w:hAnsi="Times New Roman"/>
          <w:sz w:val="24"/>
          <w:szCs w:val="24"/>
        </w:rPr>
        <w:t xml:space="preserve">This Legislative Instrument is compatible with the human rights and freedoms recognised or declared in the international instruments listed in section 3 of the </w:t>
      </w:r>
    </w:p>
    <w:p w14:paraId="75AA28B5" w14:textId="77777777" w:rsidR="00164E66" w:rsidRDefault="00164E66" w:rsidP="00164E66">
      <w:pPr>
        <w:spacing w:after="0"/>
        <w:jc w:val="center"/>
        <w:rPr>
          <w:rFonts w:ascii="Times New Roman" w:hAnsi="Times New Roman"/>
          <w:sz w:val="24"/>
          <w:szCs w:val="24"/>
        </w:rPr>
      </w:pPr>
      <w:proofErr w:type="gramStart"/>
      <w:r>
        <w:rPr>
          <w:rFonts w:ascii="Times New Roman" w:hAnsi="Times New Roman"/>
          <w:i/>
          <w:sz w:val="24"/>
          <w:szCs w:val="24"/>
        </w:rPr>
        <w:t>Human Rights (Parliamentary </w:t>
      </w:r>
      <w:r w:rsidRPr="00B86D71">
        <w:rPr>
          <w:rFonts w:ascii="Times New Roman" w:hAnsi="Times New Roman"/>
          <w:i/>
          <w:sz w:val="24"/>
          <w:szCs w:val="24"/>
        </w:rPr>
        <w:t>Scrutiny) Act 2011</w:t>
      </w:r>
      <w:r w:rsidRPr="00B86D71">
        <w:rPr>
          <w:rFonts w:ascii="Times New Roman" w:hAnsi="Times New Roman"/>
          <w:sz w:val="24"/>
          <w:szCs w:val="24"/>
        </w:rPr>
        <w:t>.</w:t>
      </w:r>
      <w:proofErr w:type="gramEnd"/>
    </w:p>
    <w:p w14:paraId="1BE88E8F" w14:textId="77777777" w:rsidR="00164E66" w:rsidRPr="00B86D71" w:rsidRDefault="00164E66" w:rsidP="00164E66">
      <w:pPr>
        <w:spacing w:after="0"/>
        <w:jc w:val="center"/>
        <w:rPr>
          <w:rFonts w:ascii="Times New Roman" w:hAnsi="Times New Roman"/>
          <w:sz w:val="24"/>
          <w:szCs w:val="24"/>
        </w:rPr>
      </w:pPr>
    </w:p>
    <w:p w14:paraId="43B1BF84" w14:textId="77777777" w:rsidR="00164E66" w:rsidRDefault="00164E66" w:rsidP="00164E66">
      <w:pPr>
        <w:spacing w:after="0"/>
        <w:rPr>
          <w:rFonts w:ascii="Times New Roman" w:hAnsi="Times New Roman"/>
          <w:b/>
          <w:sz w:val="24"/>
          <w:szCs w:val="24"/>
        </w:rPr>
      </w:pPr>
      <w:r w:rsidRPr="00B86D71">
        <w:rPr>
          <w:rFonts w:ascii="Times New Roman" w:hAnsi="Times New Roman"/>
          <w:b/>
          <w:sz w:val="24"/>
          <w:szCs w:val="24"/>
        </w:rPr>
        <w:t>Overview of the Legislative Instrument</w:t>
      </w:r>
    </w:p>
    <w:p w14:paraId="150D144E" w14:textId="77777777" w:rsidR="00164E66" w:rsidRPr="00C85CE6" w:rsidRDefault="00164E66" w:rsidP="00164E66">
      <w:pPr>
        <w:spacing w:after="0"/>
        <w:rPr>
          <w:rFonts w:ascii="Times New Roman" w:hAnsi="Times New Roman"/>
          <w:sz w:val="24"/>
          <w:szCs w:val="24"/>
        </w:rPr>
      </w:pPr>
    </w:p>
    <w:p w14:paraId="31D0B6A6" w14:textId="68BB7EE4" w:rsidR="00164E66" w:rsidRDefault="00164E66" w:rsidP="00164E66">
      <w:pPr>
        <w:spacing w:after="0"/>
        <w:rPr>
          <w:rFonts w:ascii="Times New Roman" w:hAnsi="Times New Roman"/>
          <w:sz w:val="24"/>
          <w:szCs w:val="24"/>
        </w:rPr>
      </w:pPr>
      <w:r w:rsidRPr="00B86D71">
        <w:rPr>
          <w:rFonts w:ascii="Times New Roman" w:hAnsi="Times New Roman"/>
          <w:sz w:val="24"/>
          <w:szCs w:val="24"/>
        </w:rPr>
        <w:t xml:space="preserve">Australia’s international transfer of prisoners (ITP) scheme is governed by the </w:t>
      </w:r>
      <w:r w:rsidRPr="00B86D71">
        <w:rPr>
          <w:rFonts w:ascii="Times New Roman" w:hAnsi="Times New Roman"/>
          <w:i/>
          <w:sz w:val="24"/>
          <w:szCs w:val="24"/>
        </w:rPr>
        <w:t>International Transfer of Prisoners Act 1997</w:t>
      </w:r>
      <w:r w:rsidRPr="00B86D71">
        <w:rPr>
          <w:rFonts w:ascii="Times New Roman" w:hAnsi="Times New Roman"/>
          <w:sz w:val="24"/>
          <w:szCs w:val="24"/>
        </w:rPr>
        <w:t xml:space="preserve"> (the Act). The scheme aims to promote the successful rehabilitation and reintegration into society of a prisoner, while preserving the sentence imposed by the sentencing country as far as possible, in the prisoner’s home country. This is an opt-in scheme, which requires the formal consent of the prisoner, Australia’s Minister for Justice, the relevant foreign country</w:t>
      </w:r>
      <w:r>
        <w:rPr>
          <w:rFonts w:ascii="Times New Roman" w:hAnsi="Times New Roman"/>
          <w:sz w:val="24"/>
          <w:szCs w:val="24"/>
        </w:rPr>
        <w:t xml:space="preserve"> and, where appropriate,</w:t>
      </w:r>
      <w:r w:rsidR="00F42346">
        <w:rPr>
          <w:rFonts w:ascii="Times New Roman" w:hAnsi="Times New Roman"/>
          <w:sz w:val="24"/>
          <w:szCs w:val="24"/>
        </w:rPr>
        <w:t xml:space="preserve"> the relevant Australian state or t</w:t>
      </w:r>
      <w:r w:rsidRPr="00B86D71">
        <w:rPr>
          <w:rFonts w:ascii="Times New Roman" w:hAnsi="Times New Roman"/>
          <w:sz w:val="24"/>
          <w:szCs w:val="24"/>
        </w:rPr>
        <w:t xml:space="preserve">erritory to or from which the prisoner wishes to transfer.  </w:t>
      </w:r>
    </w:p>
    <w:p w14:paraId="2EFBCEA1" w14:textId="77777777" w:rsidR="00164E66" w:rsidRPr="00B86D71" w:rsidRDefault="00164E66" w:rsidP="00164E66">
      <w:pPr>
        <w:spacing w:after="0"/>
        <w:rPr>
          <w:rFonts w:ascii="Times New Roman" w:hAnsi="Times New Roman"/>
          <w:sz w:val="24"/>
          <w:szCs w:val="24"/>
        </w:rPr>
      </w:pPr>
    </w:p>
    <w:p w14:paraId="0D32C58B" w14:textId="77777777" w:rsidR="00164E66" w:rsidRDefault="00164E66" w:rsidP="00164E66">
      <w:pPr>
        <w:spacing w:after="0"/>
        <w:rPr>
          <w:rFonts w:ascii="Times New Roman" w:hAnsi="Times New Roman"/>
          <w:sz w:val="24"/>
          <w:szCs w:val="24"/>
        </w:rPr>
      </w:pPr>
      <w:r w:rsidRPr="00B86D71">
        <w:rPr>
          <w:rFonts w:ascii="Times New Roman" w:hAnsi="Times New Roman"/>
          <w:sz w:val="24"/>
          <w:szCs w:val="24"/>
        </w:rPr>
        <w:t>Under the Act, Australians imprisoned overseas are able to apply to return to Australia to serve the remainder of their sentence in an Australian prison. The Act also allows foreign nationals who are imprisoned in Australia to apply to serve the balance of their sentence in their home country. The purp</w:t>
      </w:r>
      <w:r>
        <w:rPr>
          <w:rFonts w:ascii="Times New Roman" w:hAnsi="Times New Roman"/>
          <w:sz w:val="24"/>
          <w:szCs w:val="24"/>
        </w:rPr>
        <w:t>ose of this Legislative Instrument is to declare Peru to be a country to which the Act applies and a transfer country under the Act, so that Australians imprisoned in Peru and Peruvians imprisoned in Australia may make such applications.</w:t>
      </w:r>
    </w:p>
    <w:p w14:paraId="6FD10ACF" w14:textId="77777777" w:rsidR="00164E66" w:rsidRPr="00B86D71" w:rsidRDefault="00164E66" w:rsidP="00164E66">
      <w:pPr>
        <w:spacing w:after="0"/>
        <w:rPr>
          <w:rFonts w:ascii="Times New Roman" w:hAnsi="Times New Roman"/>
          <w:sz w:val="24"/>
          <w:szCs w:val="24"/>
        </w:rPr>
      </w:pPr>
    </w:p>
    <w:p w14:paraId="41989292" w14:textId="77777777" w:rsidR="00164E66" w:rsidRDefault="00164E66" w:rsidP="00164E66">
      <w:pPr>
        <w:spacing w:after="0"/>
        <w:rPr>
          <w:rFonts w:ascii="Times New Roman" w:hAnsi="Times New Roman"/>
          <w:b/>
          <w:sz w:val="24"/>
          <w:szCs w:val="24"/>
        </w:rPr>
      </w:pPr>
      <w:r w:rsidRPr="00B86D71">
        <w:rPr>
          <w:rFonts w:ascii="Times New Roman" w:hAnsi="Times New Roman"/>
          <w:b/>
          <w:sz w:val="24"/>
          <w:szCs w:val="24"/>
        </w:rPr>
        <w:t>Human Rights Implications</w:t>
      </w:r>
    </w:p>
    <w:p w14:paraId="153BD01F" w14:textId="77777777" w:rsidR="00164E66" w:rsidRPr="00CF07A8" w:rsidRDefault="00164E66" w:rsidP="00164E66">
      <w:pPr>
        <w:spacing w:after="0"/>
        <w:rPr>
          <w:rFonts w:ascii="Times New Roman" w:hAnsi="Times New Roman"/>
          <w:sz w:val="24"/>
          <w:szCs w:val="24"/>
        </w:rPr>
      </w:pPr>
    </w:p>
    <w:p w14:paraId="32ABEA03" w14:textId="77777777" w:rsidR="00164E66" w:rsidRDefault="00164E66" w:rsidP="00164E66">
      <w:pPr>
        <w:spacing w:after="0"/>
        <w:rPr>
          <w:rFonts w:ascii="Times New Roman" w:hAnsi="Times New Roman"/>
          <w:sz w:val="24"/>
          <w:szCs w:val="24"/>
        </w:rPr>
      </w:pPr>
      <w:r>
        <w:rPr>
          <w:rFonts w:ascii="Times New Roman" w:hAnsi="Times New Roman"/>
          <w:sz w:val="24"/>
          <w:szCs w:val="24"/>
        </w:rPr>
        <w:t xml:space="preserve">This Legislative Instrument </w:t>
      </w:r>
      <w:r w:rsidRPr="00B86D71">
        <w:rPr>
          <w:rFonts w:ascii="Times New Roman" w:hAnsi="Times New Roman"/>
          <w:sz w:val="24"/>
          <w:szCs w:val="24"/>
        </w:rPr>
        <w:t>engages the right to privacy (</w:t>
      </w:r>
      <w:r w:rsidRPr="00C14A6B">
        <w:rPr>
          <w:rFonts w:ascii="Times New Roman" w:hAnsi="Times New Roman"/>
          <w:sz w:val="24"/>
          <w:szCs w:val="24"/>
        </w:rPr>
        <w:t xml:space="preserve">Article 17 of the </w:t>
      </w:r>
      <w:r w:rsidRPr="001A0AE7">
        <w:rPr>
          <w:rFonts w:ascii="Times New Roman" w:hAnsi="Times New Roman"/>
          <w:i/>
          <w:sz w:val="24"/>
          <w:szCs w:val="24"/>
        </w:rPr>
        <w:t>International Covenant on Civil and Political Rights</w:t>
      </w:r>
      <w:r>
        <w:rPr>
          <w:rFonts w:ascii="Times New Roman" w:hAnsi="Times New Roman"/>
          <w:i/>
          <w:sz w:val="24"/>
          <w:szCs w:val="24"/>
        </w:rPr>
        <w:t xml:space="preserve"> </w:t>
      </w:r>
      <w:r>
        <w:rPr>
          <w:rFonts w:ascii="Times New Roman" w:hAnsi="Times New Roman"/>
          <w:sz w:val="24"/>
          <w:szCs w:val="24"/>
        </w:rPr>
        <w:t>(ICCPR)</w:t>
      </w:r>
      <w:r w:rsidRPr="00C14A6B">
        <w:rPr>
          <w:rFonts w:ascii="Times New Roman" w:hAnsi="Times New Roman"/>
          <w:sz w:val="24"/>
          <w:szCs w:val="24"/>
        </w:rPr>
        <w:t>)</w:t>
      </w:r>
      <w:r>
        <w:rPr>
          <w:rFonts w:ascii="Times New Roman" w:hAnsi="Times New Roman"/>
          <w:sz w:val="24"/>
          <w:szCs w:val="24"/>
        </w:rPr>
        <w:t>.</w:t>
      </w:r>
    </w:p>
    <w:p w14:paraId="083D4A23" w14:textId="77777777" w:rsidR="00164E66" w:rsidRDefault="00164E66" w:rsidP="00164E66">
      <w:pPr>
        <w:spacing w:after="0"/>
        <w:rPr>
          <w:rFonts w:ascii="Times New Roman" w:hAnsi="Times New Roman"/>
          <w:sz w:val="24"/>
          <w:szCs w:val="24"/>
        </w:rPr>
      </w:pPr>
    </w:p>
    <w:p w14:paraId="3251DA69" w14:textId="77777777" w:rsidR="00164E66" w:rsidRPr="00B86D71" w:rsidRDefault="00164E66" w:rsidP="00164E66">
      <w:pPr>
        <w:spacing w:after="0"/>
        <w:rPr>
          <w:rFonts w:ascii="Times New Roman" w:hAnsi="Times New Roman"/>
          <w:sz w:val="24"/>
          <w:szCs w:val="24"/>
        </w:rPr>
      </w:pPr>
      <w:r>
        <w:rPr>
          <w:rFonts w:ascii="Times New Roman" w:hAnsi="Times New Roman"/>
          <w:sz w:val="24"/>
          <w:szCs w:val="24"/>
        </w:rPr>
        <w:t>The following rights are not engaged by this Legislative Instrument, for reasons explained below:</w:t>
      </w:r>
    </w:p>
    <w:p w14:paraId="0934C2BE" w14:textId="77777777" w:rsidR="00164E66" w:rsidRPr="00B86D71" w:rsidRDefault="00164E66" w:rsidP="00164E66">
      <w:pPr>
        <w:pStyle w:val="ListParagraph"/>
        <w:numPr>
          <w:ilvl w:val="0"/>
          <w:numId w:val="5"/>
        </w:numPr>
        <w:spacing w:line="276" w:lineRule="auto"/>
        <w:contextualSpacing w:val="0"/>
        <w:rPr>
          <w:rFonts w:ascii="Times New Roman" w:hAnsi="Times New Roman"/>
          <w:sz w:val="24"/>
          <w:szCs w:val="24"/>
        </w:rPr>
      </w:pPr>
      <w:r w:rsidRPr="00B86D71">
        <w:rPr>
          <w:rFonts w:ascii="Times New Roman" w:hAnsi="Times New Roman"/>
          <w:sz w:val="24"/>
          <w:szCs w:val="24"/>
        </w:rPr>
        <w:t>the right to humane treatment in detention (</w:t>
      </w:r>
      <w:r>
        <w:rPr>
          <w:rFonts w:ascii="Times New Roman" w:hAnsi="Times New Roman"/>
          <w:sz w:val="24"/>
          <w:szCs w:val="24"/>
        </w:rPr>
        <w:t>A</w:t>
      </w:r>
      <w:r w:rsidRPr="00B86D71">
        <w:rPr>
          <w:rFonts w:ascii="Times New Roman" w:hAnsi="Times New Roman"/>
          <w:sz w:val="24"/>
          <w:szCs w:val="24"/>
        </w:rPr>
        <w:t>rticle 10</w:t>
      </w:r>
      <w:r>
        <w:rPr>
          <w:rFonts w:ascii="Times New Roman" w:hAnsi="Times New Roman"/>
          <w:sz w:val="24"/>
          <w:szCs w:val="24"/>
        </w:rPr>
        <w:t xml:space="preserve">, </w:t>
      </w:r>
      <w:r w:rsidRPr="00B86D71">
        <w:rPr>
          <w:rFonts w:ascii="Times New Roman" w:hAnsi="Times New Roman"/>
          <w:sz w:val="24"/>
          <w:szCs w:val="24"/>
        </w:rPr>
        <w:t xml:space="preserve">ICCPR), </w:t>
      </w:r>
      <w:r>
        <w:rPr>
          <w:rFonts w:ascii="Times New Roman" w:hAnsi="Times New Roman"/>
          <w:sz w:val="24"/>
          <w:szCs w:val="24"/>
        </w:rPr>
        <w:t>and</w:t>
      </w:r>
    </w:p>
    <w:p w14:paraId="481FA945" w14:textId="77777777" w:rsidR="00164E66" w:rsidRDefault="00164E66" w:rsidP="00164E66">
      <w:pPr>
        <w:pStyle w:val="ListParagraph"/>
        <w:numPr>
          <w:ilvl w:val="0"/>
          <w:numId w:val="5"/>
        </w:numPr>
        <w:spacing w:line="276" w:lineRule="auto"/>
        <w:contextualSpacing w:val="0"/>
        <w:rPr>
          <w:rFonts w:ascii="Times New Roman" w:hAnsi="Times New Roman"/>
          <w:sz w:val="24"/>
          <w:szCs w:val="24"/>
        </w:rPr>
      </w:pPr>
      <w:proofErr w:type="gramStart"/>
      <w:r w:rsidRPr="00B86D71">
        <w:rPr>
          <w:rFonts w:ascii="Times New Roman" w:hAnsi="Times New Roman"/>
          <w:sz w:val="24"/>
          <w:szCs w:val="24"/>
        </w:rPr>
        <w:t>the</w:t>
      </w:r>
      <w:proofErr w:type="gramEnd"/>
      <w:r w:rsidRPr="00B86D71">
        <w:rPr>
          <w:rFonts w:ascii="Times New Roman" w:hAnsi="Times New Roman"/>
          <w:sz w:val="24"/>
          <w:szCs w:val="24"/>
        </w:rPr>
        <w:t xml:space="preserve"> prohibition against torture and cruel, inhuman or degrading treatment or punishment (</w:t>
      </w:r>
      <w:r>
        <w:rPr>
          <w:rFonts w:ascii="Times New Roman" w:hAnsi="Times New Roman"/>
          <w:sz w:val="24"/>
          <w:szCs w:val="24"/>
        </w:rPr>
        <w:t>A</w:t>
      </w:r>
      <w:r w:rsidRPr="00B86D71">
        <w:rPr>
          <w:rFonts w:ascii="Times New Roman" w:hAnsi="Times New Roman"/>
          <w:sz w:val="24"/>
          <w:szCs w:val="24"/>
        </w:rPr>
        <w:t xml:space="preserve">rticle 7, ICCPR; </w:t>
      </w:r>
      <w:r w:rsidRPr="001A0AE7">
        <w:rPr>
          <w:rFonts w:ascii="Times New Roman" w:hAnsi="Times New Roman"/>
          <w:i/>
          <w:sz w:val="24"/>
          <w:szCs w:val="24"/>
        </w:rPr>
        <w:t>Convention against Torture and Other Cruel, Inhuman or Degrading Treatment or Punishment</w:t>
      </w:r>
      <w:r>
        <w:rPr>
          <w:rFonts w:ascii="Times New Roman" w:hAnsi="Times New Roman"/>
          <w:sz w:val="24"/>
          <w:szCs w:val="24"/>
        </w:rPr>
        <w:t xml:space="preserve"> (CAT</w:t>
      </w:r>
      <w:r w:rsidRPr="00B86D71">
        <w:rPr>
          <w:rFonts w:ascii="Times New Roman" w:hAnsi="Times New Roman"/>
          <w:sz w:val="24"/>
          <w:szCs w:val="24"/>
        </w:rPr>
        <w:t>)).</w:t>
      </w:r>
    </w:p>
    <w:p w14:paraId="01ADA964" w14:textId="77777777" w:rsidR="00164E66" w:rsidRPr="00B86D71" w:rsidRDefault="00164E66" w:rsidP="00164E66">
      <w:pPr>
        <w:pStyle w:val="ListParagraph"/>
        <w:ind w:left="774"/>
        <w:contextualSpacing w:val="0"/>
        <w:rPr>
          <w:rFonts w:ascii="Times New Roman" w:hAnsi="Times New Roman"/>
          <w:sz w:val="24"/>
          <w:szCs w:val="24"/>
        </w:rPr>
      </w:pPr>
    </w:p>
    <w:p w14:paraId="7E481553" w14:textId="77777777" w:rsidR="00164E66" w:rsidRDefault="00164E66" w:rsidP="00164E66">
      <w:pPr>
        <w:spacing w:after="0"/>
        <w:contextualSpacing/>
        <w:rPr>
          <w:rFonts w:ascii="Times New Roman" w:hAnsi="Times New Roman"/>
          <w:sz w:val="24"/>
          <w:szCs w:val="24"/>
        </w:rPr>
      </w:pPr>
      <w:r>
        <w:rPr>
          <w:rFonts w:ascii="Times New Roman" w:hAnsi="Times New Roman"/>
          <w:sz w:val="24"/>
          <w:szCs w:val="24"/>
        </w:rPr>
        <w:t>The Act, which this Legislative Instrument declares to apply to Peru as a transfer country</w:t>
      </w:r>
      <w:r w:rsidRPr="00B86D71">
        <w:rPr>
          <w:rFonts w:ascii="Times New Roman" w:hAnsi="Times New Roman"/>
          <w:sz w:val="24"/>
          <w:szCs w:val="24"/>
        </w:rPr>
        <w:t>, contains a number of important safeguards. As noted above, the aim of the scheme is to promote the successful rehabilitation and reintegration of</w:t>
      </w:r>
      <w:r>
        <w:rPr>
          <w:rFonts w:ascii="Times New Roman" w:hAnsi="Times New Roman"/>
          <w:sz w:val="24"/>
          <w:szCs w:val="24"/>
        </w:rPr>
        <w:t xml:space="preserve"> prisoners</w:t>
      </w:r>
      <w:r w:rsidRPr="00B86D71">
        <w:rPr>
          <w:rFonts w:ascii="Times New Roman" w:hAnsi="Times New Roman"/>
          <w:sz w:val="24"/>
          <w:szCs w:val="24"/>
        </w:rPr>
        <w:t>. The formal consent of the prisoner is required in order to transfer a prisoner.</w:t>
      </w:r>
    </w:p>
    <w:p w14:paraId="2E67139B" w14:textId="77777777" w:rsidR="00164E66" w:rsidRPr="00B86D71" w:rsidRDefault="00164E66" w:rsidP="00164E66">
      <w:pPr>
        <w:spacing w:after="0"/>
        <w:contextualSpacing/>
        <w:rPr>
          <w:rFonts w:ascii="Times New Roman" w:hAnsi="Times New Roman"/>
          <w:sz w:val="24"/>
          <w:szCs w:val="24"/>
        </w:rPr>
      </w:pPr>
    </w:p>
    <w:p w14:paraId="4367F4DB" w14:textId="77777777" w:rsidR="00164E66" w:rsidRPr="00B86D71" w:rsidRDefault="00164E66" w:rsidP="00164E66">
      <w:pPr>
        <w:spacing w:after="0"/>
        <w:contextualSpacing/>
        <w:rPr>
          <w:rFonts w:ascii="Times New Roman" w:hAnsi="Times New Roman"/>
          <w:sz w:val="24"/>
          <w:szCs w:val="24"/>
          <w:u w:val="single"/>
        </w:rPr>
      </w:pPr>
      <w:r w:rsidRPr="00B86D71">
        <w:rPr>
          <w:rFonts w:ascii="Times New Roman" w:hAnsi="Times New Roman"/>
          <w:sz w:val="24"/>
          <w:szCs w:val="24"/>
          <w:u w:val="single"/>
        </w:rPr>
        <w:lastRenderedPageBreak/>
        <w:t>The right to privacy</w:t>
      </w:r>
    </w:p>
    <w:p w14:paraId="06293D58" w14:textId="77777777" w:rsidR="00164E66" w:rsidRPr="00B86D71" w:rsidRDefault="00164E66" w:rsidP="00164E66">
      <w:pPr>
        <w:spacing w:after="0"/>
        <w:contextualSpacing/>
        <w:rPr>
          <w:rFonts w:ascii="Times New Roman" w:hAnsi="Times New Roman"/>
          <w:sz w:val="24"/>
          <w:szCs w:val="24"/>
          <w:u w:val="single"/>
        </w:rPr>
      </w:pPr>
    </w:p>
    <w:p w14:paraId="77230CE4" w14:textId="77777777" w:rsidR="00164E66" w:rsidRPr="00B86D71" w:rsidRDefault="00164E66" w:rsidP="00164E66">
      <w:pPr>
        <w:spacing w:after="0"/>
        <w:contextualSpacing/>
        <w:rPr>
          <w:rFonts w:ascii="Times New Roman" w:hAnsi="Times New Roman"/>
          <w:sz w:val="24"/>
          <w:szCs w:val="24"/>
          <w:lang w:eastAsia="en-AU"/>
        </w:rPr>
      </w:pPr>
      <w:r w:rsidRPr="00B86D71">
        <w:rPr>
          <w:rFonts w:ascii="Times New Roman" w:hAnsi="Times New Roman"/>
          <w:sz w:val="24"/>
          <w:szCs w:val="24"/>
          <w:lang w:eastAsia="en-AU"/>
        </w:rPr>
        <w:t>Article 17 of the ICCPR prohibits unlawful or arbitrary interferences with a person's privacy. Collecting, using, storing, disclosing or publishing personal information amounts to an interference with privacy. In order for the interference with privacy not to be ‘arbitrary’</w:t>
      </w:r>
      <w:r>
        <w:rPr>
          <w:rFonts w:ascii="Times New Roman" w:hAnsi="Times New Roman"/>
          <w:sz w:val="24"/>
          <w:szCs w:val="24"/>
          <w:lang w:eastAsia="en-AU"/>
        </w:rPr>
        <w:t>,</w:t>
      </w:r>
      <w:r w:rsidRPr="00B86D71">
        <w:rPr>
          <w:rFonts w:ascii="Times New Roman" w:hAnsi="Times New Roman"/>
          <w:sz w:val="24"/>
          <w:szCs w:val="24"/>
          <w:lang w:eastAsia="en-AU"/>
        </w:rPr>
        <w:t xml:space="preserve"> any interference with privacy must be in accordance with the provisions, aims and objectives of the ICCPR and should be reasonable in the particular circumstances. Reasonableness, in this context, incorporates notions of proportionality, appropriateness and necessity.</w:t>
      </w:r>
    </w:p>
    <w:p w14:paraId="16B28250" w14:textId="77777777" w:rsidR="00164E66" w:rsidRPr="00B86D71" w:rsidRDefault="00164E66" w:rsidP="00164E66">
      <w:pPr>
        <w:spacing w:after="0"/>
        <w:contextualSpacing/>
        <w:rPr>
          <w:rFonts w:ascii="Times New Roman" w:hAnsi="Times New Roman"/>
          <w:sz w:val="24"/>
          <w:szCs w:val="24"/>
          <w:lang w:eastAsia="en-AU"/>
        </w:rPr>
      </w:pPr>
    </w:p>
    <w:p w14:paraId="593DF7B9" w14:textId="77777777" w:rsidR="00164E66" w:rsidRPr="002D4339" w:rsidRDefault="00164E66" w:rsidP="00164E66">
      <w:pPr>
        <w:spacing w:after="0"/>
        <w:contextualSpacing/>
        <w:rPr>
          <w:rFonts w:ascii="Times New Roman" w:hAnsi="Times New Roman"/>
          <w:sz w:val="24"/>
          <w:szCs w:val="24"/>
          <w:lang w:eastAsia="en-AU"/>
        </w:rPr>
      </w:pPr>
      <w:r>
        <w:rPr>
          <w:rFonts w:ascii="Times New Roman" w:hAnsi="Times New Roman"/>
          <w:sz w:val="24"/>
          <w:szCs w:val="24"/>
          <w:lang w:eastAsia="en-AU"/>
        </w:rPr>
        <w:t>As noted above, the legitimate objective of this Legislative Instrument is to facilitate the transfer of prisoners between Australia and Peru, with the aim of promoting</w:t>
      </w:r>
      <w:r w:rsidRPr="00B86D71">
        <w:rPr>
          <w:rFonts w:ascii="Times New Roman" w:hAnsi="Times New Roman"/>
          <w:sz w:val="24"/>
          <w:szCs w:val="24"/>
        </w:rPr>
        <w:t xml:space="preserve"> the successful rehabilitation and reintegration</w:t>
      </w:r>
      <w:r>
        <w:rPr>
          <w:rFonts w:ascii="Times New Roman" w:hAnsi="Times New Roman"/>
          <w:sz w:val="24"/>
          <w:szCs w:val="24"/>
        </w:rPr>
        <w:t xml:space="preserve"> of prisoners.</w:t>
      </w:r>
      <w:r w:rsidRPr="00B86D71">
        <w:rPr>
          <w:rFonts w:ascii="Times New Roman" w:hAnsi="Times New Roman"/>
          <w:sz w:val="24"/>
          <w:szCs w:val="24"/>
          <w:lang w:eastAsia="en-AU"/>
        </w:rPr>
        <w:t xml:space="preserve"> The right to privacy is engaged to the extent that </w:t>
      </w:r>
      <w:r>
        <w:rPr>
          <w:rFonts w:ascii="Times New Roman" w:hAnsi="Times New Roman"/>
          <w:sz w:val="24"/>
          <w:szCs w:val="24"/>
          <w:lang w:eastAsia="en-AU"/>
        </w:rPr>
        <w:t xml:space="preserve">prisoners’ personal </w:t>
      </w:r>
      <w:r w:rsidRPr="00B86D71">
        <w:rPr>
          <w:rFonts w:ascii="Times New Roman" w:hAnsi="Times New Roman"/>
          <w:sz w:val="24"/>
          <w:szCs w:val="24"/>
          <w:lang w:eastAsia="en-AU"/>
        </w:rPr>
        <w:t>information</w:t>
      </w:r>
      <w:r>
        <w:rPr>
          <w:rFonts w:ascii="Times New Roman" w:hAnsi="Times New Roman"/>
          <w:sz w:val="24"/>
          <w:szCs w:val="24"/>
          <w:lang w:eastAsia="en-AU"/>
        </w:rPr>
        <w:t xml:space="preserve"> may be collected during the processing of their applications for a transfer to or from </w:t>
      </w:r>
      <w:r w:rsidRPr="002F206E">
        <w:rPr>
          <w:rFonts w:ascii="Times New Roman" w:hAnsi="Times New Roman"/>
          <w:sz w:val="24"/>
          <w:szCs w:val="24"/>
          <w:lang w:eastAsia="en-AU"/>
        </w:rPr>
        <w:t xml:space="preserve">Australia. This personal information may include details such as the prisoner’s name, date and place of birth, statement of citizenship, location, and details of the conviction and sentence, and relevant circumstances. That information may be conveyed to relevant Commonwealth, State or Territory Ministers, Directors of Public Prosecutions, public service agencies, correctional services, </w:t>
      </w:r>
      <w:proofErr w:type="gramStart"/>
      <w:r w:rsidRPr="002F206E">
        <w:rPr>
          <w:rFonts w:ascii="Times New Roman" w:hAnsi="Times New Roman"/>
          <w:sz w:val="24"/>
          <w:szCs w:val="24"/>
          <w:lang w:eastAsia="en-AU"/>
        </w:rPr>
        <w:t>police</w:t>
      </w:r>
      <w:proofErr w:type="gramEnd"/>
      <w:r w:rsidRPr="002F206E">
        <w:rPr>
          <w:rFonts w:ascii="Times New Roman" w:hAnsi="Times New Roman"/>
          <w:sz w:val="24"/>
          <w:szCs w:val="24"/>
          <w:lang w:eastAsia="en-AU"/>
        </w:rPr>
        <w:t xml:space="preserve"> services, other law enforcement</w:t>
      </w:r>
      <w:r>
        <w:rPr>
          <w:rFonts w:ascii="Times New Roman" w:hAnsi="Times New Roman"/>
          <w:sz w:val="24"/>
          <w:szCs w:val="24"/>
          <w:lang w:eastAsia="en-AU"/>
        </w:rPr>
        <w:t xml:space="preserve"> agencies</w:t>
      </w:r>
      <w:r w:rsidRPr="002F206E">
        <w:rPr>
          <w:rFonts w:ascii="Times New Roman" w:hAnsi="Times New Roman"/>
          <w:sz w:val="24"/>
          <w:szCs w:val="24"/>
          <w:lang w:eastAsia="en-AU"/>
        </w:rPr>
        <w:t xml:space="preserve">, </w:t>
      </w:r>
      <w:r>
        <w:rPr>
          <w:rFonts w:ascii="Times New Roman" w:hAnsi="Times New Roman"/>
          <w:sz w:val="24"/>
          <w:szCs w:val="24"/>
          <w:lang w:eastAsia="en-AU"/>
        </w:rPr>
        <w:t xml:space="preserve">intelligence agencies, </w:t>
      </w:r>
      <w:r w:rsidRPr="002F206E">
        <w:rPr>
          <w:rFonts w:ascii="Times New Roman" w:hAnsi="Times New Roman"/>
          <w:sz w:val="24"/>
          <w:szCs w:val="24"/>
          <w:lang w:eastAsia="en-AU"/>
        </w:rPr>
        <w:t>court personnel, health authorities, community service authorities, and agencies or people responsible for administering the ITP scheme in the country which the prisoner wishes to be transferred to or from.</w:t>
      </w:r>
      <w:r>
        <w:rPr>
          <w:rFonts w:ascii="Times New Roman" w:hAnsi="Times New Roman"/>
          <w:sz w:val="24"/>
          <w:szCs w:val="24"/>
          <w:lang w:eastAsia="en-AU"/>
        </w:rPr>
        <w:t xml:space="preserve"> </w:t>
      </w:r>
    </w:p>
    <w:p w14:paraId="39556B0B" w14:textId="77777777" w:rsidR="00164E66" w:rsidRDefault="00164E66" w:rsidP="00164E66">
      <w:pPr>
        <w:spacing w:after="0"/>
        <w:contextualSpacing/>
        <w:rPr>
          <w:rFonts w:ascii="Times New Roman" w:hAnsi="Times New Roman"/>
          <w:sz w:val="24"/>
          <w:szCs w:val="24"/>
          <w:lang w:eastAsia="en-AU"/>
        </w:rPr>
      </w:pPr>
    </w:p>
    <w:p w14:paraId="1CF861FC" w14:textId="77777777" w:rsidR="00164E66" w:rsidRPr="00B86D71" w:rsidRDefault="00164E66" w:rsidP="00164E66">
      <w:pPr>
        <w:spacing w:after="0"/>
        <w:contextualSpacing/>
        <w:rPr>
          <w:rFonts w:ascii="Times New Roman" w:hAnsi="Times New Roman"/>
          <w:sz w:val="24"/>
          <w:szCs w:val="24"/>
          <w:lang w:eastAsia="en-AU"/>
        </w:rPr>
      </w:pPr>
      <w:r w:rsidRPr="00B86D71">
        <w:rPr>
          <w:rFonts w:ascii="Times New Roman" w:hAnsi="Times New Roman"/>
          <w:sz w:val="24"/>
          <w:szCs w:val="24"/>
          <w:lang w:eastAsia="en-AU"/>
        </w:rPr>
        <w:t xml:space="preserve">This information is </w:t>
      </w:r>
      <w:r>
        <w:rPr>
          <w:rFonts w:ascii="Times New Roman" w:hAnsi="Times New Roman"/>
          <w:sz w:val="24"/>
          <w:szCs w:val="24"/>
          <w:lang w:eastAsia="en-AU"/>
        </w:rPr>
        <w:t xml:space="preserve">necessary to facilitate </w:t>
      </w:r>
      <w:r w:rsidRPr="00B86D71">
        <w:rPr>
          <w:rFonts w:ascii="Times New Roman" w:hAnsi="Times New Roman"/>
          <w:sz w:val="24"/>
          <w:szCs w:val="24"/>
          <w:lang w:eastAsia="en-AU"/>
        </w:rPr>
        <w:t>the transfer of a</w:t>
      </w:r>
      <w:r>
        <w:rPr>
          <w:rFonts w:ascii="Times New Roman" w:hAnsi="Times New Roman"/>
          <w:sz w:val="24"/>
          <w:szCs w:val="24"/>
          <w:lang w:eastAsia="en-AU"/>
        </w:rPr>
        <w:t xml:space="preserve"> prisoner</w:t>
      </w:r>
      <w:r w:rsidRPr="00B86D71">
        <w:rPr>
          <w:rFonts w:ascii="Times New Roman" w:hAnsi="Times New Roman"/>
          <w:sz w:val="24"/>
          <w:szCs w:val="24"/>
          <w:lang w:eastAsia="en-AU"/>
        </w:rPr>
        <w:t xml:space="preserve">, and the </w:t>
      </w:r>
      <w:r>
        <w:rPr>
          <w:rFonts w:ascii="Times New Roman" w:hAnsi="Times New Roman"/>
          <w:sz w:val="24"/>
          <w:szCs w:val="24"/>
          <w:lang w:eastAsia="en-AU"/>
        </w:rPr>
        <w:t xml:space="preserve">ITP </w:t>
      </w:r>
      <w:r w:rsidRPr="00B86D71">
        <w:rPr>
          <w:rFonts w:ascii="Times New Roman" w:hAnsi="Times New Roman"/>
          <w:sz w:val="24"/>
          <w:szCs w:val="24"/>
          <w:lang w:eastAsia="en-AU"/>
        </w:rPr>
        <w:t xml:space="preserve">scheme requires </w:t>
      </w:r>
      <w:r>
        <w:rPr>
          <w:rFonts w:ascii="Times New Roman" w:hAnsi="Times New Roman"/>
          <w:sz w:val="24"/>
          <w:szCs w:val="24"/>
          <w:lang w:val="en-GB" w:eastAsia="en-AU"/>
        </w:rPr>
        <w:t xml:space="preserve">prisoners </w:t>
      </w:r>
      <w:r w:rsidRPr="00B86D71">
        <w:rPr>
          <w:rFonts w:ascii="Times New Roman" w:hAnsi="Times New Roman"/>
          <w:sz w:val="24"/>
          <w:szCs w:val="24"/>
          <w:lang w:eastAsia="en-AU"/>
        </w:rPr>
        <w:t xml:space="preserve">to </w:t>
      </w:r>
      <w:r>
        <w:rPr>
          <w:rFonts w:ascii="Times New Roman" w:hAnsi="Times New Roman"/>
          <w:sz w:val="24"/>
          <w:szCs w:val="24"/>
          <w:lang w:eastAsia="en-AU"/>
        </w:rPr>
        <w:t xml:space="preserve">formally </w:t>
      </w:r>
      <w:r w:rsidRPr="00B86D71">
        <w:rPr>
          <w:rFonts w:ascii="Times New Roman" w:hAnsi="Times New Roman"/>
          <w:sz w:val="24"/>
          <w:szCs w:val="24"/>
          <w:lang w:eastAsia="en-AU"/>
        </w:rPr>
        <w:t xml:space="preserve">consent to </w:t>
      </w:r>
      <w:r>
        <w:rPr>
          <w:rFonts w:ascii="Times New Roman" w:hAnsi="Times New Roman"/>
          <w:sz w:val="24"/>
          <w:szCs w:val="24"/>
          <w:lang w:eastAsia="en-AU"/>
        </w:rPr>
        <w:t xml:space="preserve">a </w:t>
      </w:r>
      <w:r w:rsidRPr="00B86D71">
        <w:rPr>
          <w:rFonts w:ascii="Times New Roman" w:hAnsi="Times New Roman"/>
          <w:sz w:val="24"/>
          <w:szCs w:val="24"/>
          <w:lang w:eastAsia="en-AU"/>
        </w:rPr>
        <w:t>transfer and have full knowledge of the leg</w:t>
      </w:r>
      <w:r>
        <w:rPr>
          <w:rFonts w:ascii="Times New Roman" w:hAnsi="Times New Roman"/>
          <w:sz w:val="24"/>
          <w:szCs w:val="24"/>
          <w:lang w:eastAsia="en-AU"/>
        </w:rPr>
        <w:t>al consequences of a transfer</w:t>
      </w:r>
      <w:r w:rsidRPr="00B86D71">
        <w:rPr>
          <w:rFonts w:ascii="Times New Roman" w:hAnsi="Times New Roman"/>
          <w:sz w:val="24"/>
          <w:szCs w:val="24"/>
          <w:lang w:eastAsia="en-AU"/>
        </w:rPr>
        <w:t xml:space="preserve">. When a person applies for a transfer, the application documentation sets out how the Australian Government handles personal information under the </w:t>
      </w:r>
      <w:r w:rsidRPr="00B86D71">
        <w:rPr>
          <w:rFonts w:ascii="Times New Roman" w:hAnsi="Times New Roman"/>
          <w:i/>
          <w:sz w:val="24"/>
          <w:szCs w:val="24"/>
          <w:lang w:eastAsia="en-AU"/>
        </w:rPr>
        <w:t>Privacy Act 1988</w:t>
      </w:r>
      <w:r w:rsidRPr="00B86D71">
        <w:rPr>
          <w:rFonts w:ascii="Times New Roman" w:hAnsi="Times New Roman"/>
          <w:sz w:val="24"/>
          <w:szCs w:val="24"/>
          <w:lang w:eastAsia="en-AU"/>
        </w:rPr>
        <w:t xml:space="preserve"> and details how a person’s information is collected, used and disclosed. The applicant </w:t>
      </w:r>
      <w:r>
        <w:rPr>
          <w:rFonts w:ascii="Times New Roman" w:hAnsi="Times New Roman"/>
          <w:sz w:val="24"/>
          <w:szCs w:val="24"/>
          <w:lang w:eastAsia="en-AU"/>
        </w:rPr>
        <w:t>provides his or her</w:t>
      </w:r>
      <w:r w:rsidRPr="00B86D71">
        <w:rPr>
          <w:rFonts w:ascii="Times New Roman" w:hAnsi="Times New Roman"/>
          <w:sz w:val="24"/>
          <w:szCs w:val="24"/>
          <w:lang w:eastAsia="en-AU"/>
        </w:rPr>
        <w:t xml:space="preserve"> consent to the collection and use of this information</w:t>
      </w:r>
      <w:r>
        <w:rPr>
          <w:rFonts w:ascii="Times New Roman" w:hAnsi="Times New Roman"/>
          <w:sz w:val="24"/>
          <w:szCs w:val="24"/>
          <w:lang w:eastAsia="en-AU"/>
        </w:rPr>
        <w:t>. T</w:t>
      </w:r>
      <w:r w:rsidRPr="00B86D71">
        <w:rPr>
          <w:rFonts w:ascii="Times New Roman" w:hAnsi="Times New Roman"/>
          <w:sz w:val="24"/>
          <w:szCs w:val="24"/>
          <w:lang w:eastAsia="en-AU"/>
        </w:rPr>
        <w:t>he right to privacy is therefore not limited.</w:t>
      </w:r>
    </w:p>
    <w:p w14:paraId="7FD3C3FB" w14:textId="77777777" w:rsidR="00164E66" w:rsidRPr="00B86D71" w:rsidRDefault="00164E66" w:rsidP="00164E66">
      <w:pPr>
        <w:spacing w:after="0"/>
        <w:contextualSpacing/>
        <w:rPr>
          <w:rFonts w:ascii="Times New Roman" w:hAnsi="Times New Roman"/>
          <w:sz w:val="24"/>
          <w:szCs w:val="24"/>
        </w:rPr>
      </w:pPr>
    </w:p>
    <w:p w14:paraId="7A12604D" w14:textId="77777777" w:rsidR="00164E66" w:rsidRDefault="00164E66" w:rsidP="00164E66">
      <w:pPr>
        <w:spacing w:after="0"/>
        <w:contextualSpacing/>
        <w:rPr>
          <w:rFonts w:ascii="Times New Roman" w:hAnsi="Times New Roman"/>
          <w:sz w:val="24"/>
          <w:szCs w:val="24"/>
          <w:u w:val="single"/>
        </w:rPr>
      </w:pPr>
      <w:r w:rsidRPr="00B86D71">
        <w:rPr>
          <w:rFonts w:ascii="Times New Roman" w:hAnsi="Times New Roman"/>
          <w:sz w:val="24"/>
          <w:szCs w:val="24"/>
          <w:u w:val="single"/>
        </w:rPr>
        <w:t>The right to humane treatment in detention</w:t>
      </w:r>
    </w:p>
    <w:p w14:paraId="2E056E5F" w14:textId="77777777" w:rsidR="00164E66" w:rsidRPr="00B86D71" w:rsidRDefault="00164E66" w:rsidP="00164E66">
      <w:pPr>
        <w:spacing w:after="0"/>
        <w:contextualSpacing/>
        <w:rPr>
          <w:rFonts w:ascii="Times New Roman" w:hAnsi="Times New Roman"/>
          <w:sz w:val="24"/>
          <w:szCs w:val="24"/>
        </w:rPr>
      </w:pPr>
    </w:p>
    <w:p w14:paraId="21680ADB" w14:textId="77777777" w:rsidR="00164E66" w:rsidRDefault="00164E66" w:rsidP="00164E66">
      <w:pPr>
        <w:spacing w:after="0"/>
        <w:contextualSpacing/>
        <w:rPr>
          <w:rFonts w:ascii="Times New Roman" w:hAnsi="Times New Roman"/>
          <w:sz w:val="24"/>
          <w:szCs w:val="24"/>
        </w:rPr>
      </w:pPr>
      <w:r w:rsidRPr="00B86D71">
        <w:rPr>
          <w:rFonts w:ascii="Times New Roman" w:hAnsi="Times New Roman"/>
          <w:sz w:val="24"/>
          <w:szCs w:val="24"/>
        </w:rPr>
        <w:t>Article 10(1) of the ICCPR requires that all persons deprived of their liberty shall be treated with humanity and with respect for the inherent dignity of the human person. Article 10(3) also requires State parties to ensure that prison systems have as their essential aim the reformation and social rehabilitation of prisoners.</w:t>
      </w:r>
    </w:p>
    <w:p w14:paraId="2F752CF4" w14:textId="77777777" w:rsidR="00164E66" w:rsidRDefault="00164E66" w:rsidP="00164E66">
      <w:pPr>
        <w:spacing w:after="0"/>
        <w:contextualSpacing/>
        <w:rPr>
          <w:rFonts w:ascii="Times New Roman" w:hAnsi="Times New Roman"/>
          <w:sz w:val="24"/>
          <w:szCs w:val="24"/>
        </w:rPr>
      </w:pPr>
    </w:p>
    <w:p w14:paraId="3D4A6BBA" w14:textId="77777777" w:rsidR="00164E66" w:rsidRPr="001F6534" w:rsidRDefault="00164E66" w:rsidP="00164E66">
      <w:pPr>
        <w:spacing w:after="0"/>
        <w:contextualSpacing/>
        <w:rPr>
          <w:rFonts w:ascii="Times New Roman" w:hAnsi="Times New Roman"/>
          <w:sz w:val="24"/>
          <w:szCs w:val="24"/>
          <w:u w:val="single"/>
        </w:rPr>
      </w:pPr>
      <w:r w:rsidRPr="003F76AB">
        <w:rPr>
          <w:rFonts w:ascii="Times New Roman" w:hAnsi="Times New Roman"/>
          <w:sz w:val="24"/>
          <w:szCs w:val="24"/>
        </w:rPr>
        <w:t>There is no non-</w:t>
      </w:r>
      <w:proofErr w:type="spellStart"/>
      <w:r w:rsidRPr="003F76AB">
        <w:rPr>
          <w:rFonts w:ascii="Times New Roman" w:hAnsi="Times New Roman"/>
          <w:sz w:val="24"/>
          <w:szCs w:val="24"/>
        </w:rPr>
        <w:t>refou</w:t>
      </w:r>
      <w:r>
        <w:rPr>
          <w:rFonts w:ascii="Times New Roman" w:hAnsi="Times New Roman"/>
          <w:sz w:val="24"/>
          <w:szCs w:val="24"/>
        </w:rPr>
        <w:t>lement</w:t>
      </w:r>
      <w:proofErr w:type="spellEnd"/>
      <w:r>
        <w:rPr>
          <w:rFonts w:ascii="Times New Roman" w:hAnsi="Times New Roman"/>
          <w:sz w:val="24"/>
          <w:szCs w:val="24"/>
        </w:rPr>
        <w:t xml:space="preserve"> obligation arising from A</w:t>
      </w:r>
      <w:r w:rsidRPr="003F76AB">
        <w:rPr>
          <w:rFonts w:ascii="Times New Roman" w:hAnsi="Times New Roman"/>
          <w:sz w:val="24"/>
          <w:szCs w:val="24"/>
        </w:rPr>
        <w:t>rticle 10 of the ICCPR. That is, there is no prohibition on removal from Australia of a person who is at risk of being treated inhumanely in detention in the country to whi</w:t>
      </w:r>
      <w:r>
        <w:rPr>
          <w:rFonts w:ascii="Times New Roman" w:hAnsi="Times New Roman"/>
          <w:sz w:val="24"/>
          <w:szCs w:val="24"/>
        </w:rPr>
        <w:t xml:space="preserve">ch the person is to be removed. </w:t>
      </w:r>
      <w:r w:rsidRPr="003F76AB">
        <w:rPr>
          <w:rFonts w:ascii="Times New Roman" w:hAnsi="Times New Roman"/>
          <w:sz w:val="24"/>
          <w:szCs w:val="24"/>
        </w:rPr>
        <w:t xml:space="preserve">However, should there be a risk that the treatment would constitute torture, or cruel, inhuman or degrading treatment or punishment, a </w:t>
      </w:r>
      <w:r>
        <w:rPr>
          <w:rFonts w:ascii="Times New Roman" w:hAnsi="Times New Roman"/>
          <w:sz w:val="24"/>
          <w:szCs w:val="24"/>
        </w:rPr>
        <w:t>non</w:t>
      </w:r>
      <w:r>
        <w:rPr>
          <w:rFonts w:ascii="Times New Roman" w:hAnsi="Times New Roman"/>
          <w:sz w:val="24"/>
          <w:szCs w:val="24"/>
        </w:rPr>
        <w:noBreakHyphen/>
      </w:r>
      <w:proofErr w:type="spellStart"/>
      <w:r>
        <w:rPr>
          <w:rFonts w:ascii="Times New Roman" w:hAnsi="Times New Roman"/>
          <w:sz w:val="24"/>
          <w:szCs w:val="24"/>
        </w:rPr>
        <w:t>refoulement</w:t>
      </w:r>
      <w:proofErr w:type="spellEnd"/>
      <w:r>
        <w:rPr>
          <w:rFonts w:ascii="Times New Roman" w:hAnsi="Times New Roman"/>
          <w:sz w:val="24"/>
          <w:szCs w:val="24"/>
        </w:rPr>
        <w:t xml:space="preserve"> obligation would apply. This obligation is discussed further below in relation to the</w:t>
      </w:r>
      <w:r w:rsidRPr="001F6534">
        <w:rPr>
          <w:rFonts w:ascii="Times New Roman" w:hAnsi="Times New Roman"/>
          <w:sz w:val="24"/>
          <w:szCs w:val="24"/>
        </w:rPr>
        <w:t xml:space="preserve"> </w:t>
      </w:r>
      <w:r>
        <w:rPr>
          <w:rFonts w:ascii="Times New Roman" w:hAnsi="Times New Roman"/>
          <w:sz w:val="24"/>
          <w:szCs w:val="24"/>
        </w:rPr>
        <w:t>p</w:t>
      </w:r>
      <w:r w:rsidRPr="001F6534">
        <w:rPr>
          <w:rFonts w:ascii="Times New Roman" w:hAnsi="Times New Roman"/>
          <w:sz w:val="24"/>
          <w:szCs w:val="24"/>
        </w:rPr>
        <w:t>rohibition against torture and cruel, inhuman or degrading treatment or punishment.</w:t>
      </w:r>
    </w:p>
    <w:p w14:paraId="6B13854D" w14:textId="77777777" w:rsidR="00164E66" w:rsidRPr="00B86D71" w:rsidRDefault="00164E66" w:rsidP="00164E66">
      <w:pPr>
        <w:spacing w:after="0"/>
        <w:contextualSpacing/>
        <w:rPr>
          <w:rFonts w:ascii="Times New Roman" w:hAnsi="Times New Roman"/>
          <w:sz w:val="24"/>
          <w:szCs w:val="24"/>
        </w:rPr>
      </w:pPr>
      <w:r>
        <w:rPr>
          <w:rFonts w:ascii="Times New Roman" w:hAnsi="Times New Roman"/>
          <w:sz w:val="24"/>
          <w:szCs w:val="24"/>
        </w:rPr>
        <w:lastRenderedPageBreak/>
        <w:t>As a matter of domestic policy, t</w:t>
      </w:r>
      <w:r w:rsidRPr="00B86D71">
        <w:rPr>
          <w:rFonts w:ascii="Times New Roman" w:hAnsi="Times New Roman"/>
          <w:sz w:val="24"/>
          <w:szCs w:val="24"/>
        </w:rPr>
        <w:t xml:space="preserve">he ITP scheme </w:t>
      </w:r>
      <w:r>
        <w:rPr>
          <w:rFonts w:ascii="Times New Roman" w:hAnsi="Times New Roman"/>
          <w:sz w:val="24"/>
          <w:szCs w:val="24"/>
        </w:rPr>
        <w:t xml:space="preserve">aims to enhance prisoners’ prospects for rehabilitation and reintegration by allowing </w:t>
      </w:r>
      <w:r w:rsidRPr="00B86D71">
        <w:rPr>
          <w:rFonts w:ascii="Times New Roman" w:hAnsi="Times New Roman"/>
          <w:sz w:val="24"/>
          <w:szCs w:val="24"/>
        </w:rPr>
        <w:t>for the transfer</w:t>
      </w:r>
      <w:r>
        <w:rPr>
          <w:rFonts w:ascii="Times New Roman" w:hAnsi="Times New Roman"/>
          <w:sz w:val="24"/>
          <w:szCs w:val="24"/>
        </w:rPr>
        <w:t xml:space="preserve"> of prisoners to their home countries</w:t>
      </w:r>
      <w:r w:rsidRPr="00B86D71">
        <w:rPr>
          <w:rFonts w:ascii="Times New Roman" w:hAnsi="Times New Roman"/>
          <w:sz w:val="24"/>
          <w:szCs w:val="24"/>
        </w:rPr>
        <w:t>. It does so by removing language and cultural barriers, and facilitating contact with family and support networks. The transfer of prisoners also allows access to training and educational programs beneficial for the reintegration and rehabilitation of</w:t>
      </w:r>
      <w:r>
        <w:rPr>
          <w:rFonts w:ascii="Times New Roman" w:hAnsi="Times New Roman"/>
          <w:sz w:val="24"/>
          <w:szCs w:val="24"/>
        </w:rPr>
        <w:t xml:space="preserve"> prisoners</w:t>
      </w:r>
      <w:r w:rsidRPr="00B86D71">
        <w:rPr>
          <w:rFonts w:ascii="Times New Roman" w:hAnsi="Times New Roman"/>
          <w:sz w:val="24"/>
          <w:szCs w:val="24"/>
        </w:rPr>
        <w:t xml:space="preserve">. Transfer also relieves the hardship and financial burden on the relatives of a person serving a sentence in a foreign country. </w:t>
      </w:r>
      <w:r>
        <w:rPr>
          <w:rFonts w:ascii="Times New Roman" w:hAnsi="Times New Roman"/>
          <w:sz w:val="24"/>
          <w:szCs w:val="24"/>
        </w:rPr>
        <w:t>The formal consent of the prisoner is also required in order to transfer a prisoner.</w:t>
      </w:r>
    </w:p>
    <w:p w14:paraId="66EDC6CB" w14:textId="77777777" w:rsidR="00164E66" w:rsidRPr="00B86D71" w:rsidRDefault="00164E66" w:rsidP="00164E66">
      <w:pPr>
        <w:spacing w:after="0"/>
        <w:contextualSpacing/>
        <w:rPr>
          <w:rFonts w:ascii="Times New Roman" w:hAnsi="Times New Roman"/>
          <w:sz w:val="24"/>
          <w:szCs w:val="24"/>
          <w:u w:val="single"/>
        </w:rPr>
      </w:pPr>
    </w:p>
    <w:p w14:paraId="4AF04245" w14:textId="77777777" w:rsidR="00164E66" w:rsidRPr="00B86D71" w:rsidRDefault="00164E66" w:rsidP="00164E66">
      <w:pPr>
        <w:spacing w:after="0"/>
        <w:contextualSpacing/>
        <w:rPr>
          <w:rFonts w:ascii="Times New Roman" w:hAnsi="Times New Roman"/>
          <w:sz w:val="24"/>
          <w:szCs w:val="24"/>
          <w:u w:val="single"/>
        </w:rPr>
      </w:pPr>
      <w:r w:rsidRPr="00B86D71">
        <w:rPr>
          <w:rFonts w:ascii="Times New Roman" w:hAnsi="Times New Roman"/>
          <w:sz w:val="24"/>
          <w:szCs w:val="24"/>
          <w:u w:val="single"/>
        </w:rPr>
        <w:t>Prohibition against torture and cruel, inhuman or degrading treatment or punishment</w:t>
      </w:r>
    </w:p>
    <w:p w14:paraId="7E2B39D0" w14:textId="77777777" w:rsidR="00164E66" w:rsidRPr="00B86D71" w:rsidRDefault="00164E66" w:rsidP="00164E66">
      <w:pPr>
        <w:spacing w:after="0"/>
        <w:contextualSpacing/>
        <w:rPr>
          <w:rFonts w:ascii="Times New Roman" w:hAnsi="Times New Roman"/>
          <w:sz w:val="24"/>
          <w:szCs w:val="24"/>
          <w:u w:val="single"/>
        </w:rPr>
      </w:pPr>
    </w:p>
    <w:p w14:paraId="5B55DE37" w14:textId="77777777" w:rsidR="00164E66" w:rsidRPr="00B86D71" w:rsidRDefault="00164E66" w:rsidP="00164E66">
      <w:pPr>
        <w:spacing w:after="0"/>
        <w:rPr>
          <w:rFonts w:ascii="Times New Roman" w:hAnsi="Times New Roman"/>
          <w:sz w:val="24"/>
          <w:szCs w:val="24"/>
          <w:lang w:eastAsia="en-AU"/>
        </w:rPr>
      </w:pPr>
      <w:r w:rsidRPr="00B86D71">
        <w:rPr>
          <w:rFonts w:ascii="Times New Roman" w:hAnsi="Times New Roman"/>
          <w:sz w:val="24"/>
          <w:szCs w:val="24"/>
          <w:lang w:eastAsia="en-AU"/>
        </w:rPr>
        <w:t xml:space="preserve">The prohibition on torture and cruel, inhuman or degrading treatment or punishment is contained in </w:t>
      </w:r>
      <w:r>
        <w:rPr>
          <w:rFonts w:ascii="Times New Roman" w:hAnsi="Times New Roman"/>
          <w:sz w:val="24"/>
          <w:szCs w:val="24"/>
          <w:lang w:eastAsia="en-AU"/>
        </w:rPr>
        <w:t>A</w:t>
      </w:r>
      <w:r w:rsidRPr="00B86D71">
        <w:rPr>
          <w:rFonts w:ascii="Times New Roman" w:hAnsi="Times New Roman"/>
          <w:sz w:val="24"/>
          <w:szCs w:val="24"/>
          <w:lang w:eastAsia="en-AU"/>
        </w:rPr>
        <w:t>rticle 7 of the ICCPR and the CAT. The ICCPR provides that no one shall be subjected to torture or to cruel, inhuman or degrading treatment or punishment.</w:t>
      </w:r>
    </w:p>
    <w:p w14:paraId="083AD55A" w14:textId="77777777" w:rsidR="00164E66" w:rsidRDefault="00164E66" w:rsidP="00164E66">
      <w:pPr>
        <w:spacing w:after="0"/>
        <w:rPr>
          <w:rFonts w:ascii="Times New Roman" w:hAnsi="Times New Roman"/>
          <w:sz w:val="24"/>
          <w:szCs w:val="24"/>
          <w:lang w:eastAsia="en-AU"/>
        </w:rPr>
      </w:pPr>
    </w:p>
    <w:p w14:paraId="54178A5A" w14:textId="77777777" w:rsidR="00164E66" w:rsidRDefault="00164E66" w:rsidP="00164E66">
      <w:pPr>
        <w:spacing w:after="0"/>
        <w:rPr>
          <w:rFonts w:ascii="Times New Roman" w:hAnsi="Times New Roman"/>
          <w:sz w:val="24"/>
          <w:szCs w:val="24"/>
          <w:lang w:eastAsia="en-AU"/>
        </w:rPr>
      </w:pPr>
      <w:r>
        <w:rPr>
          <w:rFonts w:ascii="Times New Roman" w:hAnsi="Times New Roman"/>
          <w:sz w:val="24"/>
          <w:szCs w:val="24"/>
          <w:lang w:eastAsia="en-AU"/>
        </w:rPr>
        <w:t>Non-</w:t>
      </w:r>
      <w:proofErr w:type="spellStart"/>
      <w:r>
        <w:rPr>
          <w:rFonts w:ascii="Times New Roman" w:hAnsi="Times New Roman"/>
          <w:sz w:val="24"/>
          <w:szCs w:val="24"/>
          <w:lang w:eastAsia="en-AU"/>
        </w:rPr>
        <w:t>refoulement</w:t>
      </w:r>
      <w:proofErr w:type="spellEnd"/>
      <w:r>
        <w:rPr>
          <w:rFonts w:ascii="Times New Roman" w:hAnsi="Times New Roman"/>
          <w:sz w:val="24"/>
          <w:szCs w:val="24"/>
          <w:lang w:eastAsia="en-AU"/>
        </w:rPr>
        <w:t xml:space="preserve"> obligations only arise in situations where there is an obligatory transfer of an individual. </w:t>
      </w:r>
      <w:r w:rsidRPr="00B86D71">
        <w:rPr>
          <w:rFonts w:ascii="Times New Roman" w:hAnsi="Times New Roman"/>
          <w:sz w:val="24"/>
          <w:szCs w:val="24"/>
          <w:lang w:eastAsia="en-AU"/>
        </w:rPr>
        <w:t xml:space="preserve">Taking into account the </w:t>
      </w:r>
      <w:r>
        <w:rPr>
          <w:rFonts w:ascii="Times New Roman" w:hAnsi="Times New Roman"/>
          <w:sz w:val="24"/>
          <w:szCs w:val="24"/>
          <w:lang w:eastAsia="en-AU"/>
        </w:rPr>
        <w:t xml:space="preserve">voluntary nature of the </w:t>
      </w:r>
      <w:r w:rsidRPr="00B86D71">
        <w:rPr>
          <w:rFonts w:ascii="Times New Roman" w:hAnsi="Times New Roman"/>
          <w:sz w:val="24"/>
          <w:szCs w:val="24"/>
          <w:lang w:eastAsia="en-AU"/>
        </w:rPr>
        <w:t>ITP scheme and that transfers do not take place without the consent of the</w:t>
      </w:r>
      <w:r>
        <w:rPr>
          <w:rFonts w:ascii="Times New Roman" w:hAnsi="Times New Roman"/>
          <w:sz w:val="24"/>
          <w:szCs w:val="24"/>
          <w:lang w:eastAsia="en-AU"/>
        </w:rPr>
        <w:t xml:space="preserve"> prisoner</w:t>
      </w:r>
      <w:r w:rsidRPr="00B86D71">
        <w:rPr>
          <w:rFonts w:ascii="Times New Roman" w:hAnsi="Times New Roman"/>
          <w:sz w:val="24"/>
          <w:szCs w:val="24"/>
          <w:lang w:eastAsia="en-AU"/>
        </w:rPr>
        <w:t xml:space="preserve">, </w:t>
      </w:r>
      <w:r>
        <w:rPr>
          <w:rFonts w:ascii="Times New Roman" w:hAnsi="Times New Roman"/>
          <w:sz w:val="24"/>
          <w:szCs w:val="24"/>
          <w:lang w:eastAsia="en-AU"/>
        </w:rPr>
        <w:t>Australia’s non-</w:t>
      </w:r>
      <w:proofErr w:type="spellStart"/>
      <w:r>
        <w:rPr>
          <w:rFonts w:ascii="Times New Roman" w:hAnsi="Times New Roman"/>
          <w:sz w:val="24"/>
          <w:szCs w:val="24"/>
          <w:lang w:eastAsia="en-AU"/>
        </w:rPr>
        <w:t>refoulement</w:t>
      </w:r>
      <w:proofErr w:type="spellEnd"/>
      <w:r>
        <w:rPr>
          <w:rFonts w:ascii="Times New Roman" w:hAnsi="Times New Roman"/>
          <w:sz w:val="24"/>
          <w:szCs w:val="24"/>
          <w:lang w:eastAsia="en-AU"/>
        </w:rPr>
        <w:t xml:space="preserve"> obligations under the CAT are not engaged by this Legislative Instrument. It is therefore not necessary to include a specific provision relating to torture in this Legislative Instrument. </w:t>
      </w:r>
      <w:r w:rsidRPr="00B86D71">
        <w:rPr>
          <w:rFonts w:ascii="Times New Roman" w:hAnsi="Times New Roman"/>
          <w:sz w:val="24"/>
          <w:szCs w:val="24"/>
          <w:lang w:eastAsia="en-AU"/>
        </w:rPr>
        <w:t>For the same reason,</w:t>
      </w:r>
      <w:r>
        <w:rPr>
          <w:rFonts w:ascii="Times New Roman" w:hAnsi="Times New Roman"/>
          <w:sz w:val="24"/>
          <w:szCs w:val="24"/>
          <w:lang w:eastAsia="en-AU"/>
        </w:rPr>
        <w:t xml:space="preserve"> torture is not included in the </w:t>
      </w:r>
      <w:r w:rsidRPr="00A70FFD">
        <w:rPr>
          <w:rFonts w:ascii="Times New Roman" w:hAnsi="Times New Roman"/>
          <w:i/>
          <w:sz w:val="24"/>
          <w:szCs w:val="24"/>
          <w:lang w:eastAsia="en-AU"/>
        </w:rPr>
        <w:t xml:space="preserve">Council of Europe </w:t>
      </w:r>
      <w:r w:rsidRPr="00A70FFD">
        <w:rPr>
          <w:rFonts w:ascii="Times New Roman" w:hAnsi="Times New Roman"/>
          <w:i/>
          <w:sz w:val="24"/>
          <w:szCs w:val="24"/>
          <w:lang w:val="en-GB" w:eastAsia="en-AU"/>
        </w:rPr>
        <w:t>Convention on the Transfer of Sentenced Persons</w:t>
      </w:r>
      <w:r>
        <w:rPr>
          <w:rFonts w:ascii="Times New Roman" w:hAnsi="Times New Roman"/>
          <w:sz w:val="24"/>
          <w:szCs w:val="24"/>
          <w:lang w:val="en-GB" w:eastAsia="en-AU"/>
        </w:rPr>
        <w:t xml:space="preserve">, Australia’s </w:t>
      </w:r>
      <w:r w:rsidRPr="00B86D71">
        <w:rPr>
          <w:rFonts w:ascii="Times New Roman" w:hAnsi="Times New Roman"/>
          <w:sz w:val="24"/>
          <w:szCs w:val="24"/>
          <w:lang w:val="en-GB" w:eastAsia="en-AU"/>
        </w:rPr>
        <w:t>bilateral ITP treaties or the Act.</w:t>
      </w:r>
      <w:r>
        <w:rPr>
          <w:rFonts w:ascii="Times New Roman" w:hAnsi="Times New Roman"/>
          <w:sz w:val="24"/>
          <w:szCs w:val="24"/>
          <w:lang w:val="en-GB" w:eastAsia="en-AU"/>
        </w:rPr>
        <w:t xml:space="preserve"> Prisoners </w:t>
      </w:r>
      <w:r w:rsidRPr="00B86D71">
        <w:rPr>
          <w:rFonts w:ascii="Times New Roman" w:hAnsi="Times New Roman"/>
          <w:sz w:val="24"/>
          <w:szCs w:val="24"/>
          <w:lang w:eastAsia="en-AU"/>
        </w:rPr>
        <w:t xml:space="preserve">are required to consent to </w:t>
      </w:r>
      <w:r>
        <w:rPr>
          <w:rFonts w:ascii="Times New Roman" w:hAnsi="Times New Roman"/>
          <w:sz w:val="24"/>
          <w:szCs w:val="24"/>
          <w:lang w:eastAsia="en-AU"/>
        </w:rPr>
        <w:t>a</w:t>
      </w:r>
      <w:r w:rsidRPr="00B86D71">
        <w:rPr>
          <w:rFonts w:ascii="Times New Roman" w:hAnsi="Times New Roman"/>
          <w:sz w:val="24"/>
          <w:szCs w:val="24"/>
          <w:lang w:eastAsia="en-AU"/>
        </w:rPr>
        <w:t xml:space="preserve"> transfer and have full knowledge of the legal consequences of </w:t>
      </w:r>
      <w:r>
        <w:rPr>
          <w:rFonts w:ascii="Times New Roman" w:hAnsi="Times New Roman"/>
          <w:sz w:val="24"/>
          <w:szCs w:val="24"/>
          <w:lang w:eastAsia="en-AU"/>
        </w:rPr>
        <w:t xml:space="preserve">a </w:t>
      </w:r>
      <w:r w:rsidRPr="00B86D71">
        <w:rPr>
          <w:rFonts w:ascii="Times New Roman" w:hAnsi="Times New Roman"/>
          <w:sz w:val="24"/>
          <w:szCs w:val="24"/>
          <w:lang w:eastAsia="en-AU"/>
        </w:rPr>
        <w:t>transfer.</w:t>
      </w:r>
    </w:p>
    <w:p w14:paraId="2623826D" w14:textId="77777777" w:rsidR="00164E66" w:rsidRDefault="00164E66" w:rsidP="00164E66">
      <w:pPr>
        <w:spacing w:after="0"/>
        <w:rPr>
          <w:rFonts w:ascii="Times New Roman" w:hAnsi="Times New Roman"/>
          <w:sz w:val="24"/>
          <w:szCs w:val="24"/>
          <w:lang w:eastAsia="en-AU"/>
        </w:rPr>
      </w:pPr>
    </w:p>
    <w:p w14:paraId="3B4F605F" w14:textId="77777777" w:rsidR="00164E66" w:rsidRDefault="00164E66" w:rsidP="00164E66">
      <w:pPr>
        <w:spacing w:after="0"/>
        <w:rPr>
          <w:rFonts w:ascii="Times New Roman" w:hAnsi="Times New Roman"/>
          <w:b/>
          <w:sz w:val="24"/>
          <w:szCs w:val="24"/>
        </w:rPr>
      </w:pPr>
      <w:r w:rsidRPr="00B86D71">
        <w:rPr>
          <w:rFonts w:ascii="Times New Roman" w:hAnsi="Times New Roman"/>
          <w:b/>
          <w:sz w:val="24"/>
          <w:szCs w:val="24"/>
        </w:rPr>
        <w:t>Conclusion</w:t>
      </w:r>
    </w:p>
    <w:p w14:paraId="6F30EF01" w14:textId="77777777" w:rsidR="00164E66" w:rsidRPr="00B86D71" w:rsidRDefault="00164E66" w:rsidP="00164E66">
      <w:pPr>
        <w:spacing w:after="0"/>
        <w:rPr>
          <w:rFonts w:ascii="Times New Roman" w:hAnsi="Times New Roman"/>
          <w:sz w:val="24"/>
          <w:szCs w:val="24"/>
        </w:rPr>
      </w:pPr>
    </w:p>
    <w:p w14:paraId="434DF90B" w14:textId="77777777" w:rsidR="00164E66" w:rsidRPr="000B05E8" w:rsidRDefault="00164E66" w:rsidP="00164E66">
      <w:pPr>
        <w:spacing w:after="0"/>
        <w:rPr>
          <w:rFonts w:ascii="Times New Roman" w:hAnsi="Times New Roman"/>
          <w:sz w:val="24"/>
          <w:szCs w:val="24"/>
        </w:rPr>
      </w:pPr>
      <w:r>
        <w:rPr>
          <w:rFonts w:ascii="Times New Roman" w:hAnsi="Times New Roman"/>
          <w:sz w:val="24"/>
          <w:szCs w:val="24"/>
        </w:rPr>
        <w:t>This Legislative I</w:t>
      </w:r>
      <w:r w:rsidRPr="00B86D71">
        <w:rPr>
          <w:rFonts w:ascii="Times New Roman" w:hAnsi="Times New Roman"/>
          <w:sz w:val="24"/>
          <w:szCs w:val="24"/>
        </w:rPr>
        <w:t>nstrument is compatible with human rights as</w:t>
      </w:r>
      <w:r>
        <w:rPr>
          <w:rFonts w:ascii="Times New Roman" w:hAnsi="Times New Roman"/>
          <w:sz w:val="24"/>
          <w:szCs w:val="24"/>
        </w:rPr>
        <w:t xml:space="preserve">, </w:t>
      </w:r>
      <w:r w:rsidRPr="00B86D71">
        <w:rPr>
          <w:rFonts w:ascii="Times New Roman" w:hAnsi="Times New Roman"/>
          <w:sz w:val="24"/>
          <w:szCs w:val="24"/>
        </w:rPr>
        <w:t xml:space="preserve">to the extent it may limit human rights, </w:t>
      </w:r>
      <w:proofErr w:type="gramStart"/>
      <w:r w:rsidRPr="00B86D71">
        <w:rPr>
          <w:rFonts w:ascii="Times New Roman" w:hAnsi="Times New Roman"/>
          <w:sz w:val="24"/>
          <w:szCs w:val="24"/>
        </w:rPr>
        <w:t>those</w:t>
      </w:r>
      <w:proofErr w:type="gramEnd"/>
      <w:r w:rsidRPr="00B86D71">
        <w:rPr>
          <w:rFonts w:ascii="Times New Roman" w:hAnsi="Times New Roman"/>
          <w:sz w:val="24"/>
          <w:szCs w:val="24"/>
        </w:rPr>
        <w:t xml:space="preserve"> limitations are reasonable, necessary and proportionate.</w:t>
      </w:r>
    </w:p>
    <w:p w14:paraId="518B1044" w14:textId="77777777" w:rsidR="00E94006" w:rsidRDefault="00620AEE" w:rsidP="00432C61">
      <w:pPr>
        <w:spacing w:line="240" w:lineRule="auto"/>
        <w:contextualSpacing/>
      </w:pPr>
    </w:p>
    <w:sectPr w:rsidR="00E94006" w:rsidSect="0074665A">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2380C" w14:textId="77777777" w:rsidR="00620AEE" w:rsidRDefault="00620AEE">
      <w:pPr>
        <w:spacing w:after="0" w:line="240" w:lineRule="auto"/>
      </w:pPr>
      <w:r>
        <w:separator/>
      </w:r>
    </w:p>
  </w:endnote>
  <w:endnote w:type="continuationSeparator" w:id="0">
    <w:p w14:paraId="28D9812C" w14:textId="77777777" w:rsidR="00620AEE" w:rsidRDefault="0062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4F82B" w14:textId="41B0FD6E" w:rsidR="00045CA4" w:rsidRPr="00045CA4" w:rsidRDefault="00045CA4">
    <w:pPr>
      <w:pStyle w:val="Footer"/>
      <w:jc w:val="right"/>
      <w:rPr>
        <w:rFonts w:ascii="Times New Roman" w:hAnsi="Times New Roman"/>
      </w:rPr>
    </w:pPr>
  </w:p>
  <w:p w14:paraId="518B1046" w14:textId="77777777" w:rsidR="00FC5745" w:rsidRPr="00100866" w:rsidRDefault="00620AEE" w:rsidP="00100866">
    <w:pPr>
      <w:pStyle w:val="Footer"/>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B1047" w14:textId="77777777" w:rsidR="00FC5745" w:rsidRDefault="00620AEE">
    <w:pPr>
      <w:pStyle w:val="Footer"/>
      <w:jc w:val="right"/>
    </w:pPr>
  </w:p>
  <w:p w14:paraId="518B1048" w14:textId="77777777" w:rsidR="00FC5745" w:rsidRDefault="00620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76F94" w14:textId="77777777" w:rsidR="00620AEE" w:rsidRDefault="00620AEE">
      <w:pPr>
        <w:spacing w:after="0" w:line="240" w:lineRule="auto"/>
      </w:pPr>
      <w:r>
        <w:separator/>
      </w:r>
    </w:p>
  </w:footnote>
  <w:footnote w:type="continuationSeparator" w:id="0">
    <w:p w14:paraId="4CC79BEA" w14:textId="77777777" w:rsidR="00620AEE" w:rsidRDefault="00620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500C1"/>
    <w:multiLevelType w:val="hybridMultilevel"/>
    <w:tmpl w:val="8D8A9342"/>
    <w:lvl w:ilvl="0" w:tplc="9BE676A6">
      <w:start w:val="1"/>
      <w:numFmt w:val="decimal"/>
      <w:lvlText w:val="%1."/>
      <w:lvlJc w:val="left"/>
      <w:pPr>
        <w:ind w:left="720" w:hanging="360"/>
      </w:pPr>
      <w:rPr>
        <w:rFonts w:hint="default"/>
      </w:rPr>
    </w:lvl>
    <w:lvl w:ilvl="1" w:tplc="6472C9C0" w:tentative="1">
      <w:start w:val="1"/>
      <w:numFmt w:val="lowerLetter"/>
      <w:lvlText w:val="%2."/>
      <w:lvlJc w:val="left"/>
      <w:pPr>
        <w:ind w:left="1440" w:hanging="360"/>
      </w:pPr>
    </w:lvl>
    <w:lvl w:ilvl="2" w:tplc="5A24736C" w:tentative="1">
      <w:start w:val="1"/>
      <w:numFmt w:val="lowerRoman"/>
      <w:lvlText w:val="%3."/>
      <w:lvlJc w:val="right"/>
      <w:pPr>
        <w:ind w:left="2160" w:hanging="180"/>
      </w:pPr>
    </w:lvl>
    <w:lvl w:ilvl="3" w:tplc="80E0AE32" w:tentative="1">
      <w:start w:val="1"/>
      <w:numFmt w:val="decimal"/>
      <w:lvlText w:val="%4."/>
      <w:lvlJc w:val="left"/>
      <w:pPr>
        <w:ind w:left="2880" w:hanging="360"/>
      </w:pPr>
    </w:lvl>
    <w:lvl w:ilvl="4" w:tplc="28280636" w:tentative="1">
      <w:start w:val="1"/>
      <w:numFmt w:val="lowerLetter"/>
      <w:lvlText w:val="%5."/>
      <w:lvlJc w:val="left"/>
      <w:pPr>
        <w:ind w:left="3600" w:hanging="360"/>
      </w:pPr>
    </w:lvl>
    <w:lvl w:ilvl="5" w:tplc="BEAA2D60" w:tentative="1">
      <w:start w:val="1"/>
      <w:numFmt w:val="lowerRoman"/>
      <w:lvlText w:val="%6."/>
      <w:lvlJc w:val="right"/>
      <w:pPr>
        <w:ind w:left="4320" w:hanging="180"/>
      </w:pPr>
    </w:lvl>
    <w:lvl w:ilvl="6" w:tplc="34C009FC" w:tentative="1">
      <w:start w:val="1"/>
      <w:numFmt w:val="decimal"/>
      <w:lvlText w:val="%7."/>
      <w:lvlJc w:val="left"/>
      <w:pPr>
        <w:ind w:left="5040" w:hanging="360"/>
      </w:pPr>
    </w:lvl>
    <w:lvl w:ilvl="7" w:tplc="88245CB0" w:tentative="1">
      <w:start w:val="1"/>
      <w:numFmt w:val="lowerLetter"/>
      <w:lvlText w:val="%8."/>
      <w:lvlJc w:val="left"/>
      <w:pPr>
        <w:ind w:left="5760" w:hanging="360"/>
      </w:pPr>
    </w:lvl>
    <w:lvl w:ilvl="8" w:tplc="64B8631C" w:tentative="1">
      <w:start w:val="1"/>
      <w:numFmt w:val="lowerRoman"/>
      <w:lvlText w:val="%9."/>
      <w:lvlJc w:val="right"/>
      <w:pPr>
        <w:ind w:left="6480" w:hanging="180"/>
      </w:pPr>
    </w:lvl>
  </w:abstractNum>
  <w:abstractNum w:abstractNumId="1">
    <w:nsid w:val="472945FC"/>
    <w:multiLevelType w:val="hybridMultilevel"/>
    <w:tmpl w:val="33ACC830"/>
    <w:lvl w:ilvl="0" w:tplc="8524349E">
      <w:start w:val="1"/>
      <w:numFmt w:val="bullet"/>
      <w:lvlText w:val=""/>
      <w:lvlJc w:val="left"/>
      <w:pPr>
        <w:ind w:left="720" w:hanging="360"/>
      </w:pPr>
      <w:rPr>
        <w:rFonts w:ascii="Symbol" w:hAnsi="Symbol" w:hint="default"/>
      </w:rPr>
    </w:lvl>
    <w:lvl w:ilvl="1" w:tplc="000C3542">
      <w:start w:val="1"/>
      <w:numFmt w:val="bullet"/>
      <w:lvlText w:val="o"/>
      <w:lvlJc w:val="left"/>
      <w:pPr>
        <w:ind w:left="1440" w:hanging="360"/>
      </w:pPr>
      <w:rPr>
        <w:rFonts w:ascii="Courier New" w:hAnsi="Courier New" w:cs="Courier New" w:hint="default"/>
      </w:rPr>
    </w:lvl>
    <w:lvl w:ilvl="2" w:tplc="AEC6560E">
      <w:start w:val="1"/>
      <w:numFmt w:val="bullet"/>
      <w:lvlText w:val=""/>
      <w:lvlJc w:val="left"/>
      <w:pPr>
        <w:ind w:left="2160" w:hanging="360"/>
      </w:pPr>
      <w:rPr>
        <w:rFonts w:ascii="Wingdings" w:hAnsi="Wingdings" w:hint="default"/>
      </w:rPr>
    </w:lvl>
    <w:lvl w:ilvl="3" w:tplc="CB2C1420" w:tentative="1">
      <w:start w:val="1"/>
      <w:numFmt w:val="bullet"/>
      <w:lvlText w:val=""/>
      <w:lvlJc w:val="left"/>
      <w:pPr>
        <w:ind w:left="2880" w:hanging="360"/>
      </w:pPr>
      <w:rPr>
        <w:rFonts w:ascii="Symbol" w:hAnsi="Symbol" w:hint="default"/>
      </w:rPr>
    </w:lvl>
    <w:lvl w:ilvl="4" w:tplc="816CA748" w:tentative="1">
      <w:start w:val="1"/>
      <w:numFmt w:val="bullet"/>
      <w:lvlText w:val="o"/>
      <w:lvlJc w:val="left"/>
      <w:pPr>
        <w:ind w:left="3600" w:hanging="360"/>
      </w:pPr>
      <w:rPr>
        <w:rFonts w:ascii="Courier New" w:hAnsi="Courier New" w:cs="Courier New" w:hint="default"/>
      </w:rPr>
    </w:lvl>
    <w:lvl w:ilvl="5" w:tplc="F8DE2500" w:tentative="1">
      <w:start w:val="1"/>
      <w:numFmt w:val="bullet"/>
      <w:lvlText w:val=""/>
      <w:lvlJc w:val="left"/>
      <w:pPr>
        <w:ind w:left="4320" w:hanging="360"/>
      </w:pPr>
      <w:rPr>
        <w:rFonts w:ascii="Wingdings" w:hAnsi="Wingdings" w:hint="default"/>
      </w:rPr>
    </w:lvl>
    <w:lvl w:ilvl="6" w:tplc="F6862122" w:tentative="1">
      <w:start w:val="1"/>
      <w:numFmt w:val="bullet"/>
      <w:lvlText w:val=""/>
      <w:lvlJc w:val="left"/>
      <w:pPr>
        <w:ind w:left="5040" w:hanging="360"/>
      </w:pPr>
      <w:rPr>
        <w:rFonts w:ascii="Symbol" w:hAnsi="Symbol" w:hint="default"/>
      </w:rPr>
    </w:lvl>
    <w:lvl w:ilvl="7" w:tplc="9356D998" w:tentative="1">
      <w:start w:val="1"/>
      <w:numFmt w:val="bullet"/>
      <w:lvlText w:val="o"/>
      <w:lvlJc w:val="left"/>
      <w:pPr>
        <w:ind w:left="5760" w:hanging="360"/>
      </w:pPr>
      <w:rPr>
        <w:rFonts w:ascii="Courier New" w:hAnsi="Courier New" w:cs="Courier New" w:hint="default"/>
      </w:rPr>
    </w:lvl>
    <w:lvl w:ilvl="8" w:tplc="567062C8" w:tentative="1">
      <w:start w:val="1"/>
      <w:numFmt w:val="bullet"/>
      <w:lvlText w:val=""/>
      <w:lvlJc w:val="left"/>
      <w:pPr>
        <w:ind w:left="6480" w:hanging="360"/>
      </w:pPr>
      <w:rPr>
        <w:rFonts w:ascii="Wingdings" w:hAnsi="Wingdings" w:hint="default"/>
      </w:rPr>
    </w:lvl>
  </w:abstractNum>
  <w:abstractNum w:abstractNumId="2">
    <w:nsid w:val="494A55EC"/>
    <w:multiLevelType w:val="hybridMultilevel"/>
    <w:tmpl w:val="260856A4"/>
    <w:lvl w:ilvl="0" w:tplc="68087978">
      <w:start w:val="1"/>
      <w:numFmt w:val="bullet"/>
      <w:lvlText w:val=""/>
      <w:lvlJc w:val="left"/>
      <w:pPr>
        <w:ind w:left="774" w:hanging="360"/>
      </w:pPr>
      <w:rPr>
        <w:rFonts w:ascii="Symbol" w:hAnsi="Symbol" w:hint="default"/>
      </w:rPr>
    </w:lvl>
    <w:lvl w:ilvl="1" w:tplc="8F58C4A2" w:tentative="1">
      <w:start w:val="1"/>
      <w:numFmt w:val="bullet"/>
      <w:lvlText w:val="o"/>
      <w:lvlJc w:val="left"/>
      <w:pPr>
        <w:ind w:left="1494" w:hanging="360"/>
      </w:pPr>
      <w:rPr>
        <w:rFonts w:ascii="Courier New" w:hAnsi="Courier New" w:cs="Courier New" w:hint="default"/>
      </w:rPr>
    </w:lvl>
    <w:lvl w:ilvl="2" w:tplc="F2FE8694" w:tentative="1">
      <w:start w:val="1"/>
      <w:numFmt w:val="bullet"/>
      <w:lvlText w:val=""/>
      <w:lvlJc w:val="left"/>
      <w:pPr>
        <w:ind w:left="2214" w:hanging="360"/>
      </w:pPr>
      <w:rPr>
        <w:rFonts w:ascii="Wingdings" w:hAnsi="Wingdings" w:hint="default"/>
      </w:rPr>
    </w:lvl>
    <w:lvl w:ilvl="3" w:tplc="5B88D284" w:tentative="1">
      <w:start w:val="1"/>
      <w:numFmt w:val="bullet"/>
      <w:lvlText w:val=""/>
      <w:lvlJc w:val="left"/>
      <w:pPr>
        <w:ind w:left="2934" w:hanging="360"/>
      </w:pPr>
      <w:rPr>
        <w:rFonts w:ascii="Symbol" w:hAnsi="Symbol" w:hint="default"/>
      </w:rPr>
    </w:lvl>
    <w:lvl w:ilvl="4" w:tplc="91EECA7E" w:tentative="1">
      <w:start w:val="1"/>
      <w:numFmt w:val="bullet"/>
      <w:lvlText w:val="o"/>
      <w:lvlJc w:val="left"/>
      <w:pPr>
        <w:ind w:left="3654" w:hanging="360"/>
      </w:pPr>
      <w:rPr>
        <w:rFonts w:ascii="Courier New" w:hAnsi="Courier New" w:cs="Courier New" w:hint="default"/>
      </w:rPr>
    </w:lvl>
    <w:lvl w:ilvl="5" w:tplc="FE9EAD00" w:tentative="1">
      <w:start w:val="1"/>
      <w:numFmt w:val="bullet"/>
      <w:lvlText w:val=""/>
      <w:lvlJc w:val="left"/>
      <w:pPr>
        <w:ind w:left="4374" w:hanging="360"/>
      </w:pPr>
      <w:rPr>
        <w:rFonts w:ascii="Wingdings" w:hAnsi="Wingdings" w:hint="default"/>
      </w:rPr>
    </w:lvl>
    <w:lvl w:ilvl="6" w:tplc="8392F44C" w:tentative="1">
      <w:start w:val="1"/>
      <w:numFmt w:val="bullet"/>
      <w:lvlText w:val=""/>
      <w:lvlJc w:val="left"/>
      <w:pPr>
        <w:ind w:left="5094" w:hanging="360"/>
      </w:pPr>
      <w:rPr>
        <w:rFonts w:ascii="Symbol" w:hAnsi="Symbol" w:hint="default"/>
      </w:rPr>
    </w:lvl>
    <w:lvl w:ilvl="7" w:tplc="CF300FB4" w:tentative="1">
      <w:start w:val="1"/>
      <w:numFmt w:val="bullet"/>
      <w:lvlText w:val="o"/>
      <w:lvlJc w:val="left"/>
      <w:pPr>
        <w:ind w:left="5814" w:hanging="360"/>
      </w:pPr>
      <w:rPr>
        <w:rFonts w:ascii="Courier New" w:hAnsi="Courier New" w:cs="Courier New" w:hint="default"/>
      </w:rPr>
    </w:lvl>
    <w:lvl w:ilvl="8" w:tplc="ECCCF2A4" w:tentative="1">
      <w:start w:val="1"/>
      <w:numFmt w:val="bullet"/>
      <w:lvlText w:val=""/>
      <w:lvlJc w:val="left"/>
      <w:pPr>
        <w:ind w:left="6534" w:hanging="360"/>
      </w:pPr>
      <w:rPr>
        <w:rFonts w:ascii="Wingdings" w:hAnsi="Wingdings" w:hint="default"/>
      </w:rPr>
    </w:lvl>
  </w:abstractNum>
  <w:abstractNum w:abstractNumId="3">
    <w:nsid w:val="615A17F0"/>
    <w:multiLevelType w:val="hybridMultilevel"/>
    <w:tmpl w:val="8E52515E"/>
    <w:lvl w:ilvl="0" w:tplc="103E79C4">
      <w:start w:val="1"/>
      <w:numFmt w:val="decimal"/>
      <w:pStyle w:val="Paragraphnumbered"/>
      <w:lvlText w:val="%1."/>
      <w:lvlJc w:val="left"/>
      <w:pPr>
        <w:tabs>
          <w:tab w:val="num" w:pos="0"/>
        </w:tabs>
        <w:ind w:left="567" w:hanging="567"/>
      </w:pPr>
    </w:lvl>
    <w:lvl w:ilvl="1" w:tplc="CF6622B6">
      <w:start w:val="1"/>
      <w:numFmt w:val="bullet"/>
      <w:lvlText w:val=""/>
      <w:lvlJc w:val="left"/>
      <w:pPr>
        <w:ind w:left="1440" w:hanging="360"/>
      </w:pPr>
      <w:rPr>
        <w:rFonts w:ascii="Symbol" w:hAnsi="Symbol" w:hint="default"/>
      </w:rPr>
    </w:lvl>
    <w:lvl w:ilvl="2" w:tplc="FCD2B396">
      <w:start w:val="1"/>
      <w:numFmt w:val="lowerRoman"/>
      <w:lvlText w:val="%3."/>
      <w:lvlJc w:val="right"/>
      <w:pPr>
        <w:tabs>
          <w:tab w:val="num" w:pos="2160"/>
        </w:tabs>
        <w:ind w:left="2160" w:hanging="180"/>
      </w:pPr>
    </w:lvl>
    <w:lvl w:ilvl="3" w:tplc="33C43F2C">
      <w:start w:val="1"/>
      <w:numFmt w:val="decimal"/>
      <w:lvlText w:val="%4."/>
      <w:lvlJc w:val="left"/>
      <w:pPr>
        <w:tabs>
          <w:tab w:val="num" w:pos="2880"/>
        </w:tabs>
        <w:ind w:left="2880" w:hanging="360"/>
      </w:pPr>
    </w:lvl>
    <w:lvl w:ilvl="4" w:tplc="CC9E4C52">
      <w:start w:val="1"/>
      <w:numFmt w:val="lowerLetter"/>
      <w:lvlText w:val="%5."/>
      <w:lvlJc w:val="left"/>
      <w:pPr>
        <w:tabs>
          <w:tab w:val="num" w:pos="3600"/>
        </w:tabs>
        <w:ind w:left="3600" w:hanging="360"/>
      </w:pPr>
    </w:lvl>
    <w:lvl w:ilvl="5" w:tplc="53AE9844">
      <w:start w:val="1"/>
      <w:numFmt w:val="lowerRoman"/>
      <w:lvlText w:val="%6."/>
      <w:lvlJc w:val="right"/>
      <w:pPr>
        <w:tabs>
          <w:tab w:val="num" w:pos="4320"/>
        </w:tabs>
        <w:ind w:left="4320" w:hanging="180"/>
      </w:pPr>
    </w:lvl>
    <w:lvl w:ilvl="6" w:tplc="08CA6C32">
      <w:start w:val="1"/>
      <w:numFmt w:val="decimal"/>
      <w:lvlText w:val="%7."/>
      <w:lvlJc w:val="left"/>
      <w:pPr>
        <w:tabs>
          <w:tab w:val="num" w:pos="5040"/>
        </w:tabs>
        <w:ind w:left="5040" w:hanging="360"/>
      </w:pPr>
    </w:lvl>
    <w:lvl w:ilvl="7" w:tplc="55180E8E">
      <w:start w:val="1"/>
      <w:numFmt w:val="lowerLetter"/>
      <w:lvlText w:val="%8."/>
      <w:lvlJc w:val="left"/>
      <w:pPr>
        <w:tabs>
          <w:tab w:val="num" w:pos="5760"/>
        </w:tabs>
        <w:ind w:left="5760" w:hanging="360"/>
      </w:pPr>
    </w:lvl>
    <w:lvl w:ilvl="8" w:tplc="A9A46DF2">
      <w:start w:val="1"/>
      <w:numFmt w:val="lowerRoman"/>
      <w:lvlText w:val="%9."/>
      <w:lvlJc w:val="right"/>
      <w:pPr>
        <w:tabs>
          <w:tab w:val="num" w:pos="6480"/>
        </w:tabs>
        <w:ind w:left="6480" w:hanging="180"/>
      </w:pPr>
    </w:lvl>
  </w:abstractNum>
  <w:abstractNum w:abstractNumId="4">
    <w:nsid w:val="6D396426"/>
    <w:multiLevelType w:val="hybridMultilevel"/>
    <w:tmpl w:val="2CAE9BA8"/>
    <w:lvl w:ilvl="0" w:tplc="6324F2FA">
      <w:start w:val="1"/>
      <w:numFmt w:val="decimal"/>
      <w:lvlText w:val="%1."/>
      <w:lvlJc w:val="left"/>
      <w:pPr>
        <w:ind w:left="720" w:hanging="360"/>
      </w:pPr>
    </w:lvl>
    <w:lvl w:ilvl="1" w:tplc="16B47306">
      <w:start w:val="1"/>
      <w:numFmt w:val="lowerLetter"/>
      <w:lvlText w:val="%2."/>
      <w:lvlJc w:val="left"/>
      <w:pPr>
        <w:ind w:left="1440" w:hanging="360"/>
      </w:pPr>
    </w:lvl>
    <w:lvl w:ilvl="2" w:tplc="0D0A86E8">
      <w:start w:val="1"/>
      <w:numFmt w:val="lowerRoman"/>
      <w:lvlText w:val="%3."/>
      <w:lvlJc w:val="right"/>
      <w:pPr>
        <w:ind w:left="2160" w:hanging="180"/>
      </w:pPr>
    </w:lvl>
    <w:lvl w:ilvl="3" w:tplc="08343400">
      <w:start w:val="1"/>
      <w:numFmt w:val="decimal"/>
      <w:lvlText w:val="%4."/>
      <w:lvlJc w:val="left"/>
      <w:pPr>
        <w:ind w:left="2880" w:hanging="360"/>
      </w:pPr>
    </w:lvl>
    <w:lvl w:ilvl="4" w:tplc="645A5FE6">
      <w:start w:val="1"/>
      <w:numFmt w:val="lowerLetter"/>
      <w:lvlText w:val="%5."/>
      <w:lvlJc w:val="left"/>
      <w:pPr>
        <w:ind w:left="3600" w:hanging="360"/>
      </w:pPr>
    </w:lvl>
    <w:lvl w:ilvl="5" w:tplc="73B2137E">
      <w:start w:val="1"/>
      <w:numFmt w:val="lowerRoman"/>
      <w:lvlText w:val="%6."/>
      <w:lvlJc w:val="right"/>
      <w:pPr>
        <w:ind w:left="4320" w:hanging="180"/>
      </w:pPr>
    </w:lvl>
    <w:lvl w:ilvl="6" w:tplc="193E9F38">
      <w:start w:val="1"/>
      <w:numFmt w:val="decimal"/>
      <w:lvlText w:val="%7."/>
      <w:lvlJc w:val="left"/>
      <w:pPr>
        <w:ind w:left="5040" w:hanging="360"/>
      </w:pPr>
    </w:lvl>
    <w:lvl w:ilvl="7" w:tplc="99E0CE1A">
      <w:start w:val="1"/>
      <w:numFmt w:val="lowerLetter"/>
      <w:lvlText w:val="%8."/>
      <w:lvlJc w:val="left"/>
      <w:pPr>
        <w:ind w:left="5760" w:hanging="360"/>
      </w:pPr>
    </w:lvl>
    <w:lvl w:ilvl="8" w:tplc="335E0D44">
      <w:start w:val="1"/>
      <w:numFmt w:val="lowerRoman"/>
      <w:lvlText w:val="%9."/>
      <w:lvlJc w:val="right"/>
      <w:pPr>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CCC"/>
    <w:rsid w:val="00045CA4"/>
    <w:rsid w:val="000A1C96"/>
    <w:rsid w:val="00117E49"/>
    <w:rsid w:val="00164E66"/>
    <w:rsid w:val="001C34FF"/>
    <w:rsid w:val="002C7CEB"/>
    <w:rsid w:val="002E6953"/>
    <w:rsid w:val="00366CCC"/>
    <w:rsid w:val="003726D1"/>
    <w:rsid w:val="004C46C5"/>
    <w:rsid w:val="004D60AE"/>
    <w:rsid w:val="00620AEE"/>
    <w:rsid w:val="009D217D"/>
    <w:rsid w:val="00DE5156"/>
    <w:rsid w:val="00E33A91"/>
    <w:rsid w:val="00F423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7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F4F"/>
    <w:rPr>
      <w:rFonts w:ascii="Calibri" w:eastAsia="Calibri" w:hAnsi="Calibri" w:cs="Times New Roman"/>
    </w:rPr>
  </w:style>
  <w:style w:type="paragraph" w:customStyle="1" w:styleId="Paragraphnumbered">
    <w:name w:val="Paragraph (numbered)"/>
    <w:basedOn w:val="Normal"/>
    <w:rsid w:val="00CF7F4F"/>
    <w:pPr>
      <w:numPr>
        <w:numId w:val="1"/>
      </w:numPr>
      <w:spacing w:before="240" w:after="0" w:line="240" w:lineRule="auto"/>
    </w:pPr>
    <w:rPr>
      <w:rFonts w:ascii="Times New Roman" w:eastAsia="SimSun" w:hAnsi="Times New Roman"/>
      <w:sz w:val="24"/>
      <w:szCs w:val="24"/>
      <w:lang w:eastAsia="zh-CN"/>
    </w:rPr>
  </w:style>
  <w:style w:type="paragraph" w:styleId="ListParagraph">
    <w:name w:val="List Paragraph"/>
    <w:basedOn w:val="Normal"/>
    <w:uiPriority w:val="34"/>
    <w:qFormat/>
    <w:rsid w:val="00CF7F4F"/>
    <w:pPr>
      <w:spacing w:after="0" w:line="240" w:lineRule="auto"/>
      <w:ind w:left="720"/>
      <w:contextualSpacing/>
    </w:pPr>
    <w:rPr>
      <w:rFonts w:eastAsiaTheme="minorHAnsi" w:cs="Calibri"/>
      <w:lang w:eastAsia="en-AU"/>
    </w:rPr>
  </w:style>
  <w:style w:type="paragraph" w:customStyle="1" w:styleId="DefaultParagraphFontPara">
    <w:name w:val="Default Paragraph Font Para"/>
    <w:basedOn w:val="Normal"/>
    <w:uiPriority w:val="99"/>
    <w:rsid w:val="00356591"/>
    <w:pPr>
      <w:spacing w:after="0"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691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FD4"/>
    <w:rPr>
      <w:rFonts w:ascii="Tahoma" w:eastAsia="Calibri" w:hAnsi="Tahoma" w:cs="Tahoma"/>
      <w:sz w:val="16"/>
      <w:szCs w:val="16"/>
    </w:rPr>
  </w:style>
  <w:style w:type="paragraph" w:styleId="Header">
    <w:name w:val="header"/>
    <w:basedOn w:val="Normal"/>
    <w:link w:val="HeaderChar"/>
    <w:uiPriority w:val="99"/>
    <w:unhideWhenUsed/>
    <w:rsid w:val="00084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9F1"/>
    <w:rPr>
      <w:rFonts w:ascii="Calibri" w:eastAsia="Calibri" w:hAnsi="Calibri" w:cs="Times New Roman"/>
    </w:rPr>
  </w:style>
  <w:style w:type="paragraph" w:styleId="Revision">
    <w:name w:val="Revision"/>
    <w:hidden/>
    <w:uiPriority w:val="99"/>
    <w:semiHidden/>
    <w:rsid w:val="009B470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D295B"/>
    <w:rPr>
      <w:sz w:val="16"/>
      <w:szCs w:val="16"/>
    </w:rPr>
  </w:style>
  <w:style w:type="paragraph" w:styleId="CommentText">
    <w:name w:val="annotation text"/>
    <w:basedOn w:val="Normal"/>
    <w:link w:val="CommentTextChar"/>
    <w:uiPriority w:val="99"/>
    <w:semiHidden/>
    <w:unhideWhenUsed/>
    <w:rsid w:val="008D295B"/>
    <w:pPr>
      <w:spacing w:line="240" w:lineRule="auto"/>
    </w:pPr>
    <w:rPr>
      <w:sz w:val="20"/>
      <w:szCs w:val="20"/>
    </w:rPr>
  </w:style>
  <w:style w:type="character" w:customStyle="1" w:styleId="CommentTextChar">
    <w:name w:val="Comment Text Char"/>
    <w:basedOn w:val="DefaultParagraphFont"/>
    <w:link w:val="CommentText"/>
    <w:uiPriority w:val="99"/>
    <w:semiHidden/>
    <w:rsid w:val="008D29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295B"/>
    <w:rPr>
      <w:b/>
      <w:bCs/>
    </w:rPr>
  </w:style>
  <w:style w:type="character" w:customStyle="1" w:styleId="CommentSubjectChar">
    <w:name w:val="Comment Subject Char"/>
    <w:basedOn w:val="CommentTextChar"/>
    <w:link w:val="CommentSubject"/>
    <w:uiPriority w:val="99"/>
    <w:semiHidden/>
    <w:rsid w:val="008D295B"/>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7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F4F"/>
    <w:rPr>
      <w:rFonts w:ascii="Calibri" w:eastAsia="Calibri" w:hAnsi="Calibri" w:cs="Times New Roman"/>
    </w:rPr>
  </w:style>
  <w:style w:type="paragraph" w:customStyle="1" w:styleId="Paragraphnumbered">
    <w:name w:val="Paragraph (numbered)"/>
    <w:basedOn w:val="Normal"/>
    <w:rsid w:val="00CF7F4F"/>
    <w:pPr>
      <w:numPr>
        <w:numId w:val="1"/>
      </w:numPr>
      <w:spacing w:before="240" w:after="0" w:line="240" w:lineRule="auto"/>
    </w:pPr>
    <w:rPr>
      <w:rFonts w:ascii="Times New Roman" w:eastAsia="SimSun" w:hAnsi="Times New Roman"/>
      <w:sz w:val="24"/>
      <w:szCs w:val="24"/>
      <w:lang w:eastAsia="zh-CN"/>
    </w:rPr>
  </w:style>
  <w:style w:type="paragraph" w:styleId="ListParagraph">
    <w:name w:val="List Paragraph"/>
    <w:basedOn w:val="Normal"/>
    <w:uiPriority w:val="34"/>
    <w:qFormat/>
    <w:rsid w:val="00CF7F4F"/>
    <w:pPr>
      <w:spacing w:after="0" w:line="240" w:lineRule="auto"/>
      <w:ind w:left="720"/>
      <w:contextualSpacing/>
    </w:pPr>
    <w:rPr>
      <w:rFonts w:eastAsiaTheme="minorHAnsi" w:cs="Calibri"/>
      <w:lang w:eastAsia="en-AU"/>
    </w:rPr>
  </w:style>
  <w:style w:type="paragraph" w:customStyle="1" w:styleId="DefaultParagraphFontPara">
    <w:name w:val="Default Paragraph Font Para"/>
    <w:basedOn w:val="Normal"/>
    <w:uiPriority w:val="99"/>
    <w:rsid w:val="00356591"/>
    <w:pPr>
      <w:spacing w:after="0"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691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FD4"/>
    <w:rPr>
      <w:rFonts w:ascii="Tahoma" w:eastAsia="Calibri" w:hAnsi="Tahoma" w:cs="Tahoma"/>
      <w:sz w:val="16"/>
      <w:szCs w:val="16"/>
    </w:rPr>
  </w:style>
  <w:style w:type="paragraph" w:styleId="Header">
    <w:name w:val="header"/>
    <w:basedOn w:val="Normal"/>
    <w:link w:val="HeaderChar"/>
    <w:uiPriority w:val="99"/>
    <w:unhideWhenUsed/>
    <w:rsid w:val="00084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9F1"/>
    <w:rPr>
      <w:rFonts w:ascii="Calibri" w:eastAsia="Calibri" w:hAnsi="Calibri" w:cs="Times New Roman"/>
    </w:rPr>
  </w:style>
  <w:style w:type="paragraph" w:styleId="Revision">
    <w:name w:val="Revision"/>
    <w:hidden/>
    <w:uiPriority w:val="99"/>
    <w:semiHidden/>
    <w:rsid w:val="009B470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D295B"/>
    <w:rPr>
      <w:sz w:val="16"/>
      <w:szCs w:val="16"/>
    </w:rPr>
  </w:style>
  <w:style w:type="paragraph" w:styleId="CommentText">
    <w:name w:val="annotation text"/>
    <w:basedOn w:val="Normal"/>
    <w:link w:val="CommentTextChar"/>
    <w:uiPriority w:val="99"/>
    <w:semiHidden/>
    <w:unhideWhenUsed/>
    <w:rsid w:val="008D295B"/>
    <w:pPr>
      <w:spacing w:line="240" w:lineRule="auto"/>
    </w:pPr>
    <w:rPr>
      <w:sz w:val="20"/>
      <w:szCs w:val="20"/>
    </w:rPr>
  </w:style>
  <w:style w:type="character" w:customStyle="1" w:styleId="CommentTextChar">
    <w:name w:val="Comment Text Char"/>
    <w:basedOn w:val="DefaultParagraphFont"/>
    <w:link w:val="CommentText"/>
    <w:uiPriority w:val="99"/>
    <w:semiHidden/>
    <w:rsid w:val="008D29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295B"/>
    <w:rPr>
      <w:b/>
      <w:bCs/>
    </w:rPr>
  </w:style>
  <w:style w:type="character" w:customStyle="1" w:styleId="CommentSubjectChar">
    <w:name w:val="Comment Subject Char"/>
    <w:basedOn w:val="CommentTextChar"/>
    <w:link w:val="CommentSubject"/>
    <w:uiPriority w:val="99"/>
    <w:semiHidden/>
    <w:rsid w:val="008D295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6B5FC8E9326942907A4070756EE366" ma:contentTypeVersion="" ma:contentTypeDescription="PDMS Document Site Content Type" ma:contentTypeScope="" ma:versionID="ffbdeea12ac16255f18df85d84ac9500">
  <xsd:schema xmlns:xsd="http://www.w3.org/2001/XMLSchema" xmlns:xs="http://www.w3.org/2001/XMLSchema" xmlns:p="http://schemas.microsoft.com/office/2006/metadata/properties" xmlns:ns2="1F73A39C-4CED-4A95-99B8-C4358DE64BC2" targetNamespace="http://schemas.microsoft.com/office/2006/metadata/properties" ma:root="true" ma:fieldsID="2dc3318931b64f9dc013210a3456ebf3" ns2:_="">
    <xsd:import namespace="1F73A39C-4CED-4A95-99B8-C4358DE64B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A39C-4CED-4A95-99B8-C4358DE64B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F73A39C-4CED-4A95-99B8-C4358DE64BC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E0D6-A323-40D9-AFE2-A1DF368DF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A39C-4CED-4A95-99B8-C4358DE64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785B8-4086-40A8-B599-A7B92AD799C9}">
  <ds:schemaRefs>
    <ds:schemaRef ds:uri="http://schemas.microsoft.com/sharepoint/v3/contenttype/forms"/>
  </ds:schemaRefs>
</ds:datastoreItem>
</file>

<file path=customXml/itemProps3.xml><?xml version="1.0" encoding="utf-8"?>
<ds:datastoreItem xmlns:ds="http://schemas.openxmlformats.org/officeDocument/2006/customXml" ds:itemID="{67146E7A-E9CD-44EA-A134-8E16D097C8E0}">
  <ds:schemaRefs>
    <ds:schemaRef ds:uri="http://schemas.microsoft.com/office/2006/metadata/properties"/>
    <ds:schemaRef ds:uri="http://schemas.microsoft.com/office/infopath/2007/PartnerControls"/>
    <ds:schemaRef ds:uri="1F73A39C-4CED-4A95-99B8-C4358DE64BC2"/>
  </ds:schemaRefs>
</ds:datastoreItem>
</file>

<file path=customXml/itemProps4.xml><?xml version="1.0" encoding="utf-8"?>
<ds:datastoreItem xmlns:ds="http://schemas.openxmlformats.org/officeDocument/2006/customXml" ds:itemID="{C80BEB54-3D7F-42DA-944A-A34D0DC1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solomr</dc:creator>
  <cp:lastModifiedBy>sandet</cp:lastModifiedBy>
  <cp:revision>13</cp:revision>
  <cp:lastPrinted>2016-11-07T02:50:00Z</cp:lastPrinted>
  <dcterms:created xsi:type="dcterms:W3CDTF">2016-12-02T00:07:00Z</dcterms:created>
  <dcterms:modified xsi:type="dcterms:W3CDTF">2016-12-06T00:11:00Z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09 November 2016</vt:lpwstr>
  </property>
  <property fmtid="{D5CDD505-2E9C-101B-9397-08002B2CF9AE}" pid="4" name="ClearanceDueDate">
    <vt:lpwstr/>
  </property>
  <property fmtid="{D5CDD505-2E9C-101B-9397-08002B2CF9AE}" pid="5" name="ContentTypeId">
    <vt:lpwstr>0x010100266966F133664895A6EE3632470D45F50100A5948F73F1D8EA43B882348FC4014B93</vt:lpwstr>
  </property>
  <property fmtid="{D5CDD505-2E9C-101B-9397-08002B2CF9AE}" pid="6" name="Electorates">
    <vt:lpwstr> </vt:lpwstr>
  </property>
  <property fmtid="{D5CDD505-2E9C-101B-9397-08002B2CF9AE}" pid="7" name="GroupResponsible">
    <vt:lpwstr>BRCH-CRJG-CRJPPD-Transnational Crime Branch</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Daniel Mossop</vt:lpwstr>
  </property>
  <property fmtid="{D5CDD505-2E9C-101B-9397-08002B2CF9AE}" pid="11" name="Ministers">
    <vt:lpwstr>MFJ - Michael Keenan</vt:lpwstr>
  </property>
  <property fmtid="{D5CDD505-2E9C-101B-9397-08002B2CF9AE}" pid="12" name="PdrId">
    <vt:lpwstr>MS16-017946</vt:lpwstr>
  </property>
  <property fmtid="{D5CDD505-2E9C-101B-9397-08002B2CF9AE}" pid="13" name="Principal">
    <vt:lpwstr>Submission</vt:lpwstr>
  </property>
  <property fmtid="{D5CDD505-2E9C-101B-9397-08002B2CF9AE}" pid="14" name="ReasonForSensitivity">
    <vt:lpwstr/>
  </property>
  <property fmtid="{D5CDD505-2E9C-101B-9397-08002B2CF9AE}" pid="15" name="RegisteredDate">
    <vt:lpwstr>03 November 2016</vt:lpwstr>
  </property>
  <property fmtid="{D5CDD505-2E9C-101B-9397-08002B2CF9AE}" pid="16" name="RequestedAction">
    <vt:lpwstr>Action - Approve</vt:lpwstr>
  </property>
  <property fmtid="{D5CDD505-2E9C-101B-9397-08002B2CF9AE}" pid="17" name="ResponsibleMinister">
    <vt:lpwstr>MFJ - Michael Keenan</vt:lpwstr>
  </property>
  <property fmtid="{D5CDD505-2E9C-101B-9397-08002B2CF9AE}" pid="18" name="SecurityClassification">
    <vt:lpwstr>For Official Use Only (FOUO)  </vt:lpwstr>
  </property>
  <property fmtid="{D5CDD505-2E9C-101B-9397-08002B2CF9AE}" pid="19" name="Subject">
    <vt:lpwstr>Approval of draft regulations - International Transfer of Prisoners (Peru) Regulation 2016</vt:lpwstr>
  </property>
  <property fmtid="{D5CDD505-2E9C-101B-9397-08002B2CF9AE}" pid="20" name="TaskSeqNo">
    <vt:lpwstr>2</vt:lpwstr>
  </property>
  <property fmtid="{D5CDD505-2E9C-101B-9397-08002B2CF9AE}" pid="21" name="TemplateSubType">
    <vt:lpwstr>MFJ - Michael Keenan</vt:lpwstr>
  </property>
  <property fmtid="{D5CDD505-2E9C-101B-9397-08002B2CF9AE}" pid="22" name="TemplateType">
    <vt:lpwstr>Minister for Justice</vt:lpwstr>
  </property>
  <property fmtid="{D5CDD505-2E9C-101B-9397-08002B2CF9AE}" pid="23" name="TrustedGroups">
    <vt:lpwstr>Parliamentary Coordinator MS, DLO, Ministerial Staff - Coalition 2013, Business Administrator, Limited Distribution MS</vt:lpwstr>
  </property>
</Properties>
</file>