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1373D2" w:rsidRDefault="00DA186E" w:rsidP="00715914">
      <w:pPr>
        <w:rPr>
          <w:sz w:val="28"/>
        </w:rPr>
      </w:pPr>
      <w:r w:rsidRPr="001373D2">
        <w:rPr>
          <w:noProof/>
          <w:lang w:eastAsia="en-AU"/>
        </w:rPr>
        <w:drawing>
          <wp:inline distT="0" distB="0" distL="0" distR="0" wp14:anchorId="1AEC2428" wp14:editId="7033DCC8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1373D2" w:rsidRDefault="00715914" w:rsidP="00715914">
      <w:pPr>
        <w:rPr>
          <w:sz w:val="19"/>
        </w:rPr>
      </w:pPr>
    </w:p>
    <w:p w:rsidR="00715914" w:rsidRPr="001373D2" w:rsidRDefault="00F36F58" w:rsidP="00715914">
      <w:pPr>
        <w:pStyle w:val="ShortT"/>
      </w:pPr>
      <w:r w:rsidRPr="001373D2">
        <w:t xml:space="preserve">Commerce (Trade Descriptions) </w:t>
      </w:r>
      <w:r w:rsidR="00764506" w:rsidRPr="001373D2">
        <w:t>Regulation</w:t>
      </w:r>
      <w:r w:rsidR="001373D2" w:rsidRPr="001373D2">
        <w:t> </w:t>
      </w:r>
      <w:r w:rsidR="00764506" w:rsidRPr="001373D2">
        <w:t>2016</w:t>
      </w:r>
    </w:p>
    <w:p w:rsidR="000D242B" w:rsidRPr="001373D2" w:rsidRDefault="000D242B" w:rsidP="00BC3606">
      <w:pPr>
        <w:pStyle w:val="SignCoverPageStart"/>
        <w:spacing w:before="240"/>
        <w:rPr>
          <w:szCs w:val="22"/>
        </w:rPr>
      </w:pPr>
      <w:r w:rsidRPr="001373D2">
        <w:rPr>
          <w:szCs w:val="22"/>
        </w:rPr>
        <w:t>I, General the Honourable Sir Peter Cosgrove AK MC (Ret</w:t>
      </w:r>
      <w:r w:rsidR="0075357B" w:rsidRPr="001373D2">
        <w:rPr>
          <w:szCs w:val="22"/>
        </w:rPr>
        <w:t>’</w:t>
      </w:r>
      <w:r w:rsidRPr="001373D2">
        <w:rPr>
          <w:szCs w:val="22"/>
        </w:rPr>
        <w:t xml:space="preserve">d), </w:t>
      </w:r>
      <w:r w:rsidR="001373D2" w:rsidRPr="001373D2">
        <w:rPr>
          <w:szCs w:val="22"/>
        </w:rPr>
        <w:t>Governor</w:t>
      </w:r>
      <w:r w:rsidR="001373D2">
        <w:rPr>
          <w:szCs w:val="22"/>
        </w:rPr>
        <w:noBreakHyphen/>
      </w:r>
      <w:r w:rsidR="001373D2" w:rsidRPr="001373D2">
        <w:rPr>
          <w:szCs w:val="22"/>
        </w:rPr>
        <w:t>General</w:t>
      </w:r>
      <w:r w:rsidRPr="001373D2">
        <w:rPr>
          <w:szCs w:val="22"/>
        </w:rPr>
        <w:t xml:space="preserve"> of the Commonwealth of Australia, acting with the advice of the Federal Executive Council, make the following regulation.</w:t>
      </w:r>
    </w:p>
    <w:p w:rsidR="000D242B" w:rsidRPr="001373D2" w:rsidRDefault="000D242B" w:rsidP="00BC3606">
      <w:pPr>
        <w:keepNext/>
        <w:spacing w:before="720" w:line="240" w:lineRule="atLeast"/>
        <w:ind w:right="397"/>
        <w:jc w:val="both"/>
        <w:rPr>
          <w:szCs w:val="22"/>
        </w:rPr>
      </w:pPr>
      <w:r w:rsidRPr="001373D2">
        <w:rPr>
          <w:szCs w:val="22"/>
        </w:rPr>
        <w:t xml:space="preserve">Dated </w:t>
      </w:r>
      <w:bookmarkStart w:id="0" w:name="BKCheck15B_1"/>
      <w:bookmarkEnd w:id="0"/>
      <w:r w:rsidRPr="001373D2">
        <w:rPr>
          <w:szCs w:val="22"/>
        </w:rPr>
        <w:fldChar w:fldCharType="begin"/>
      </w:r>
      <w:r w:rsidRPr="001373D2">
        <w:rPr>
          <w:szCs w:val="22"/>
        </w:rPr>
        <w:instrText xml:space="preserve"> DOCPROPERTY  DateMade </w:instrText>
      </w:r>
      <w:r w:rsidRPr="001373D2">
        <w:rPr>
          <w:szCs w:val="22"/>
        </w:rPr>
        <w:fldChar w:fldCharType="separate"/>
      </w:r>
      <w:r w:rsidR="008F764D">
        <w:rPr>
          <w:szCs w:val="22"/>
        </w:rPr>
        <w:t>08 December 2016</w:t>
      </w:r>
      <w:r w:rsidRPr="001373D2">
        <w:rPr>
          <w:szCs w:val="22"/>
        </w:rPr>
        <w:fldChar w:fldCharType="end"/>
      </w:r>
    </w:p>
    <w:p w:rsidR="000D242B" w:rsidRPr="001373D2" w:rsidRDefault="000D242B" w:rsidP="00BC3606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1373D2">
        <w:rPr>
          <w:szCs w:val="22"/>
        </w:rPr>
        <w:t>Peter Cosgrove</w:t>
      </w:r>
    </w:p>
    <w:p w:rsidR="000D242B" w:rsidRPr="001373D2" w:rsidRDefault="001373D2" w:rsidP="00BC3606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1373D2">
        <w:rPr>
          <w:szCs w:val="22"/>
        </w:rPr>
        <w:t>Governor</w:t>
      </w:r>
      <w:r>
        <w:rPr>
          <w:szCs w:val="22"/>
        </w:rPr>
        <w:noBreakHyphen/>
      </w:r>
      <w:r w:rsidRPr="001373D2">
        <w:rPr>
          <w:szCs w:val="22"/>
        </w:rPr>
        <w:t>General</w:t>
      </w:r>
    </w:p>
    <w:p w:rsidR="000D242B" w:rsidRPr="001373D2" w:rsidRDefault="000D242B" w:rsidP="00D862C1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1373D2">
        <w:rPr>
          <w:szCs w:val="22"/>
        </w:rPr>
        <w:t>By His Excellency</w:t>
      </w:r>
      <w:r w:rsidR="0075357B" w:rsidRPr="001373D2">
        <w:rPr>
          <w:szCs w:val="22"/>
        </w:rPr>
        <w:t>’</w:t>
      </w:r>
      <w:r w:rsidRPr="001373D2">
        <w:rPr>
          <w:szCs w:val="22"/>
        </w:rPr>
        <w:t>s Command</w:t>
      </w:r>
    </w:p>
    <w:p w:rsidR="000D242B" w:rsidRPr="001373D2" w:rsidRDefault="000D242B" w:rsidP="00BC3606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1373D2">
        <w:rPr>
          <w:szCs w:val="22"/>
        </w:rPr>
        <w:t>Peter Dutton</w:t>
      </w:r>
    </w:p>
    <w:p w:rsidR="000D242B" w:rsidRPr="001373D2" w:rsidRDefault="000D242B" w:rsidP="00BC3606">
      <w:pPr>
        <w:pStyle w:val="SignCoverPageEnd"/>
        <w:rPr>
          <w:szCs w:val="22"/>
        </w:rPr>
      </w:pPr>
      <w:r w:rsidRPr="001373D2">
        <w:rPr>
          <w:szCs w:val="22"/>
        </w:rPr>
        <w:t>Minister for Immigration and Border Protection</w:t>
      </w:r>
    </w:p>
    <w:p w:rsidR="000D242B" w:rsidRPr="001373D2" w:rsidRDefault="000D242B" w:rsidP="000D242B"/>
    <w:p w:rsidR="00715914" w:rsidRPr="001373D2" w:rsidRDefault="00715914" w:rsidP="00715914">
      <w:pPr>
        <w:pStyle w:val="Header"/>
        <w:tabs>
          <w:tab w:val="clear" w:pos="4150"/>
          <w:tab w:val="clear" w:pos="8307"/>
        </w:tabs>
      </w:pPr>
      <w:r w:rsidRPr="001373D2">
        <w:rPr>
          <w:rStyle w:val="CharChapNo"/>
        </w:rPr>
        <w:t xml:space="preserve"> </w:t>
      </w:r>
      <w:r w:rsidRPr="001373D2">
        <w:rPr>
          <w:rStyle w:val="CharChapText"/>
        </w:rPr>
        <w:t xml:space="preserve"> </w:t>
      </w:r>
    </w:p>
    <w:p w:rsidR="00715914" w:rsidRPr="001373D2" w:rsidRDefault="00715914" w:rsidP="00715914">
      <w:pPr>
        <w:pStyle w:val="Header"/>
        <w:tabs>
          <w:tab w:val="clear" w:pos="4150"/>
          <w:tab w:val="clear" w:pos="8307"/>
        </w:tabs>
      </w:pPr>
      <w:r w:rsidRPr="001373D2">
        <w:rPr>
          <w:rStyle w:val="CharPartNo"/>
        </w:rPr>
        <w:t xml:space="preserve"> </w:t>
      </w:r>
      <w:r w:rsidRPr="001373D2">
        <w:rPr>
          <w:rStyle w:val="CharPartText"/>
        </w:rPr>
        <w:t xml:space="preserve"> </w:t>
      </w:r>
    </w:p>
    <w:p w:rsidR="00715914" w:rsidRPr="001373D2" w:rsidRDefault="00715914" w:rsidP="00715914">
      <w:pPr>
        <w:pStyle w:val="Header"/>
        <w:tabs>
          <w:tab w:val="clear" w:pos="4150"/>
          <w:tab w:val="clear" w:pos="8307"/>
        </w:tabs>
      </w:pPr>
      <w:r w:rsidRPr="001373D2">
        <w:rPr>
          <w:rStyle w:val="CharDivNo"/>
        </w:rPr>
        <w:t xml:space="preserve"> </w:t>
      </w:r>
      <w:r w:rsidRPr="001373D2">
        <w:rPr>
          <w:rStyle w:val="CharDivText"/>
        </w:rPr>
        <w:t xml:space="preserve"> </w:t>
      </w:r>
    </w:p>
    <w:p w:rsidR="00715914" w:rsidRPr="001373D2" w:rsidRDefault="00715914" w:rsidP="00715914">
      <w:pPr>
        <w:sectPr w:rsidR="00715914" w:rsidRPr="001373D2" w:rsidSect="001517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715914" w:rsidRPr="001373D2" w:rsidRDefault="00715914" w:rsidP="009B3043">
      <w:pPr>
        <w:rPr>
          <w:sz w:val="36"/>
        </w:rPr>
      </w:pPr>
      <w:r w:rsidRPr="001373D2">
        <w:rPr>
          <w:sz w:val="36"/>
        </w:rPr>
        <w:lastRenderedPageBreak/>
        <w:t>Contents</w:t>
      </w:r>
    </w:p>
    <w:bookmarkStart w:id="1" w:name="BKCheck15B_2"/>
    <w:bookmarkEnd w:id="1"/>
    <w:p w:rsidR="006B74BB" w:rsidRPr="001373D2" w:rsidRDefault="006B74B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373D2">
        <w:rPr>
          <w:sz w:val="20"/>
        </w:rPr>
        <w:fldChar w:fldCharType="begin"/>
      </w:r>
      <w:r w:rsidRPr="001373D2">
        <w:rPr>
          <w:sz w:val="20"/>
        </w:rPr>
        <w:instrText xml:space="preserve"> TOC \o "1-9" </w:instrText>
      </w:r>
      <w:r w:rsidRPr="001373D2">
        <w:rPr>
          <w:sz w:val="20"/>
        </w:rPr>
        <w:fldChar w:fldCharType="separate"/>
      </w:r>
      <w:r w:rsidRPr="001373D2">
        <w:rPr>
          <w:noProof/>
        </w:rPr>
        <w:t>Part</w:t>
      </w:r>
      <w:r w:rsidR="001373D2" w:rsidRPr="001373D2">
        <w:rPr>
          <w:noProof/>
        </w:rPr>
        <w:t> </w:t>
      </w:r>
      <w:r w:rsidRPr="001373D2">
        <w:rPr>
          <w:noProof/>
        </w:rPr>
        <w:t>1—Preliminary</w:t>
      </w:r>
      <w:r w:rsidRPr="001373D2">
        <w:rPr>
          <w:b w:val="0"/>
          <w:noProof/>
          <w:sz w:val="18"/>
        </w:rPr>
        <w:tab/>
      </w:r>
      <w:r w:rsidRPr="001373D2">
        <w:rPr>
          <w:b w:val="0"/>
          <w:noProof/>
          <w:sz w:val="18"/>
        </w:rPr>
        <w:fldChar w:fldCharType="begin"/>
      </w:r>
      <w:r w:rsidRPr="001373D2">
        <w:rPr>
          <w:b w:val="0"/>
          <w:noProof/>
          <w:sz w:val="18"/>
        </w:rPr>
        <w:instrText xml:space="preserve"> PAGEREF _Toc466383339 \h </w:instrText>
      </w:r>
      <w:r w:rsidRPr="001373D2">
        <w:rPr>
          <w:b w:val="0"/>
          <w:noProof/>
          <w:sz w:val="18"/>
        </w:rPr>
      </w:r>
      <w:r w:rsidRPr="001373D2">
        <w:rPr>
          <w:b w:val="0"/>
          <w:noProof/>
          <w:sz w:val="18"/>
        </w:rPr>
        <w:fldChar w:fldCharType="separate"/>
      </w:r>
      <w:r w:rsidR="008F764D">
        <w:rPr>
          <w:b w:val="0"/>
          <w:noProof/>
          <w:sz w:val="18"/>
        </w:rPr>
        <w:t>1</w:t>
      </w:r>
      <w:r w:rsidRPr="001373D2">
        <w:rPr>
          <w:b w:val="0"/>
          <w:noProof/>
          <w:sz w:val="18"/>
        </w:rPr>
        <w:fldChar w:fldCharType="end"/>
      </w:r>
    </w:p>
    <w:p w:rsidR="006B74BB" w:rsidRPr="001373D2" w:rsidRDefault="006B74B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73D2">
        <w:rPr>
          <w:noProof/>
        </w:rPr>
        <w:t>1</w:t>
      </w:r>
      <w:r w:rsidRPr="001373D2">
        <w:rPr>
          <w:noProof/>
        </w:rPr>
        <w:tab/>
        <w:t>Name</w:t>
      </w:r>
      <w:r w:rsidRPr="001373D2">
        <w:rPr>
          <w:noProof/>
        </w:rPr>
        <w:tab/>
      </w:r>
      <w:r w:rsidRPr="001373D2">
        <w:rPr>
          <w:noProof/>
        </w:rPr>
        <w:fldChar w:fldCharType="begin"/>
      </w:r>
      <w:r w:rsidRPr="001373D2">
        <w:rPr>
          <w:noProof/>
        </w:rPr>
        <w:instrText xml:space="preserve"> PAGEREF _Toc466383340 \h </w:instrText>
      </w:r>
      <w:r w:rsidRPr="001373D2">
        <w:rPr>
          <w:noProof/>
        </w:rPr>
      </w:r>
      <w:r w:rsidRPr="001373D2">
        <w:rPr>
          <w:noProof/>
        </w:rPr>
        <w:fldChar w:fldCharType="separate"/>
      </w:r>
      <w:r w:rsidR="008F764D">
        <w:rPr>
          <w:noProof/>
        </w:rPr>
        <w:t>1</w:t>
      </w:r>
      <w:r w:rsidRPr="001373D2">
        <w:rPr>
          <w:noProof/>
        </w:rPr>
        <w:fldChar w:fldCharType="end"/>
      </w:r>
    </w:p>
    <w:p w:rsidR="006B74BB" w:rsidRPr="001373D2" w:rsidRDefault="006B74B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73D2">
        <w:rPr>
          <w:noProof/>
        </w:rPr>
        <w:t>2</w:t>
      </w:r>
      <w:r w:rsidRPr="001373D2">
        <w:rPr>
          <w:noProof/>
        </w:rPr>
        <w:tab/>
        <w:t>Commencement</w:t>
      </w:r>
      <w:r w:rsidRPr="001373D2">
        <w:rPr>
          <w:noProof/>
        </w:rPr>
        <w:tab/>
      </w:r>
      <w:r w:rsidRPr="001373D2">
        <w:rPr>
          <w:noProof/>
        </w:rPr>
        <w:fldChar w:fldCharType="begin"/>
      </w:r>
      <w:r w:rsidRPr="001373D2">
        <w:rPr>
          <w:noProof/>
        </w:rPr>
        <w:instrText xml:space="preserve"> PAGEREF _Toc466383341 \h </w:instrText>
      </w:r>
      <w:r w:rsidRPr="001373D2">
        <w:rPr>
          <w:noProof/>
        </w:rPr>
      </w:r>
      <w:r w:rsidRPr="001373D2">
        <w:rPr>
          <w:noProof/>
        </w:rPr>
        <w:fldChar w:fldCharType="separate"/>
      </w:r>
      <w:r w:rsidR="008F764D">
        <w:rPr>
          <w:noProof/>
        </w:rPr>
        <w:t>1</w:t>
      </w:r>
      <w:r w:rsidRPr="001373D2">
        <w:rPr>
          <w:noProof/>
        </w:rPr>
        <w:fldChar w:fldCharType="end"/>
      </w:r>
    </w:p>
    <w:p w:rsidR="006B74BB" w:rsidRPr="001373D2" w:rsidRDefault="006B74B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73D2">
        <w:rPr>
          <w:noProof/>
        </w:rPr>
        <w:t>3</w:t>
      </w:r>
      <w:r w:rsidRPr="001373D2">
        <w:rPr>
          <w:noProof/>
        </w:rPr>
        <w:tab/>
        <w:t>Authority</w:t>
      </w:r>
      <w:r w:rsidRPr="001373D2">
        <w:rPr>
          <w:noProof/>
        </w:rPr>
        <w:tab/>
      </w:r>
      <w:r w:rsidRPr="001373D2">
        <w:rPr>
          <w:noProof/>
        </w:rPr>
        <w:fldChar w:fldCharType="begin"/>
      </w:r>
      <w:r w:rsidRPr="001373D2">
        <w:rPr>
          <w:noProof/>
        </w:rPr>
        <w:instrText xml:space="preserve"> PAGEREF _Toc466383342 \h </w:instrText>
      </w:r>
      <w:r w:rsidRPr="001373D2">
        <w:rPr>
          <w:noProof/>
        </w:rPr>
      </w:r>
      <w:r w:rsidRPr="001373D2">
        <w:rPr>
          <w:noProof/>
        </w:rPr>
        <w:fldChar w:fldCharType="separate"/>
      </w:r>
      <w:r w:rsidR="008F764D">
        <w:rPr>
          <w:noProof/>
        </w:rPr>
        <w:t>1</w:t>
      </w:r>
      <w:r w:rsidRPr="001373D2">
        <w:rPr>
          <w:noProof/>
        </w:rPr>
        <w:fldChar w:fldCharType="end"/>
      </w:r>
    </w:p>
    <w:p w:rsidR="006B74BB" w:rsidRPr="001373D2" w:rsidRDefault="006B74B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73D2">
        <w:rPr>
          <w:noProof/>
        </w:rPr>
        <w:t>4</w:t>
      </w:r>
      <w:r w:rsidRPr="001373D2">
        <w:rPr>
          <w:noProof/>
        </w:rPr>
        <w:tab/>
        <w:t>Schedules</w:t>
      </w:r>
      <w:r w:rsidRPr="001373D2">
        <w:rPr>
          <w:noProof/>
        </w:rPr>
        <w:tab/>
      </w:r>
      <w:r w:rsidRPr="001373D2">
        <w:rPr>
          <w:noProof/>
        </w:rPr>
        <w:fldChar w:fldCharType="begin"/>
      </w:r>
      <w:r w:rsidRPr="001373D2">
        <w:rPr>
          <w:noProof/>
        </w:rPr>
        <w:instrText xml:space="preserve"> PAGEREF _Toc466383343 \h </w:instrText>
      </w:r>
      <w:r w:rsidRPr="001373D2">
        <w:rPr>
          <w:noProof/>
        </w:rPr>
      </w:r>
      <w:r w:rsidRPr="001373D2">
        <w:rPr>
          <w:noProof/>
        </w:rPr>
        <w:fldChar w:fldCharType="separate"/>
      </w:r>
      <w:r w:rsidR="008F764D">
        <w:rPr>
          <w:noProof/>
        </w:rPr>
        <w:t>1</w:t>
      </w:r>
      <w:r w:rsidRPr="001373D2">
        <w:rPr>
          <w:noProof/>
        </w:rPr>
        <w:fldChar w:fldCharType="end"/>
      </w:r>
    </w:p>
    <w:p w:rsidR="006B74BB" w:rsidRPr="001373D2" w:rsidRDefault="006B74B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73D2">
        <w:rPr>
          <w:noProof/>
        </w:rPr>
        <w:t>5</w:t>
      </w:r>
      <w:r w:rsidRPr="001373D2">
        <w:rPr>
          <w:noProof/>
        </w:rPr>
        <w:tab/>
        <w:t>Definitions</w:t>
      </w:r>
      <w:r w:rsidRPr="001373D2">
        <w:rPr>
          <w:noProof/>
        </w:rPr>
        <w:tab/>
      </w:r>
      <w:r w:rsidRPr="001373D2">
        <w:rPr>
          <w:noProof/>
        </w:rPr>
        <w:fldChar w:fldCharType="begin"/>
      </w:r>
      <w:r w:rsidRPr="001373D2">
        <w:rPr>
          <w:noProof/>
        </w:rPr>
        <w:instrText xml:space="preserve"> PAGEREF _Toc466383344 \h </w:instrText>
      </w:r>
      <w:r w:rsidRPr="001373D2">
        <w:rPr>
          <w:noProof/>
        </w:rPr>
      </w:r>
      <w:r w:rsidRPr="001373D2">
        <w:rPr>
          <w:noProof/>
        </w:rPr>
        <w:fldChar w:fldCharType="separate"/>
      </w:r>
      <w:r w:rsidR="008F764D">
        <w:rPr>
          <w:noProof/>
        </w:rPr>
        <w:t>1</w:t>
      </w:r>
      <w:r w:rsidRPr="001373D2">
        <w:rPr>
          <w:noProof/>
        </w:rPr>
        <w:fldChar w:fldCharType="end"/>
      </w:r>
    </w:p>
    <w:p w:rsidR="006B74BB" w:rsidRPr="001373D2" w:rsidRDefault="006B74B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73D2">
        <w:rPr>
          <w:noProof/>
        </w:rPr>
        <w:t>6</w:t>
      </w:r>
      <w:r w:rsidRPr="001373D2">
        <w:rPr>
          <w:noProof/>
        </w:rPr>
        <w:tab/>
        <w:t>Interpretation—weights, measures, packages of goods and bundles of articles</w:t>
      </w:r>
      <w:r w:rsidRPr="001373D2">
        <w:rPr>
          <w:noProof/>
        </w:rPr>
        <w:tab/>
      </w:r>
      <w:r w:rsidRPr="001373D2">
        <w:rPr>
          <w:noProof/>
        </w:rPr>
        <w:fldChar w:fldCharType="begin"/>
      </w:r>
      <w:r w:rsidRPr="001373D2">
        <w:rPr>
          <w:noProof/>
        </w:rPr>
        <w:instrText xml:space="preserve"> PAGEREF _Toc466383345 \h </w:instrText>
      </w:r>
      <w:r w:rsidRPr="001373D2">
        <w:rPr>
          <w:noProof/>
        </w:rPr>
      </w:r>
      <w:r w:rsidRPr="001373D2">
        <w:rPr>
          <w:noProof/>
        </w:rPr>
        <w:fldChar w:fldCharType="separate"/>
      </w:r>
      <w:r w:rsidR="008F764D">
        <w:rPr>
          <w:noProof/>
        </w:rPr>
        <w:t>2</w:t>
      </w:r>
      <w:r w:rsidRPr="001373D2">
        <w:rPr>
          <w:noProof/>
        </w:rPr>
        <w:fldChar w:fldCharType="end"/>
      </w:r>
    </w:p>
    <w:p w:rsidR="006B74BB" w:rsidRPr="001373D2" w:rsidRDefault="006B74B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73D2">
        <w:rPr>
          <w:noProof/>
        </w:rPr>
        <w:t>7</w:t>
      </w:r>
      <w:r w:rsidRPr="001373D2">
        <w:rPr>
          <w:noProof/>
        </w:rPr>
        <w:tab/>
        <w:t>This instrument does not apply to ship’s stores or aircraft’s stores</w:t>
      </w:r>
      <w:r w:rsidRPr="001373D2">
        <w:rPr>
          <w:noProof/>
        </w:rPr>
        <w:tab/>
      </w:r>
      <w:r w:rsidRPr="001373D2">
        <w:rPr>
          <w:noProof/>
        </w:rPr>
        <w:fldChar w:fldCharType="begin"/>
      </w:r>
      <w:r w:rsidRPr="001373D2">
        <w:rPr>
          <w:noProof/>
        </w:rPr>
        <w:instrText xml:space="preserve"> PAGEREF _Toc466383346 \h </w:instrText>
      </w:r>
      <w:r w:rsidRPr="001373D2">
        <w:rPr>
          <w:noProof/>
        </w:rPr>
      </w:r>
      <w:r w:rsidRPr="001373D2">
        <w:rPr>
          <w:noProof/>
        </w:rPr>
        <w:fldChar w:fldCharType="separate"/>
      </w:r>
      <w:r w:rsidR="008F764D">
        <w:rPr>
          <w:noProof/>
        </w:rPr>
        <w:t>3</w:t>
      </w:r>
      <w:r w:rsidRPr="001373D2">
        <w:rPr>
          <w:noProof/>
        </w:rPr>
        <w:fldChar w:fldCharType="end"/>
      </w:r>
    </w:p>
    <w:p w:rsidR="006B74BB" w:rsidRPr="001373D2" w:rsidRDefault="006B74B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373D2">
        <w:rPr>
          <w:noProof/>
        </w:rPr>
        <w:t>Part</w:t>
      </w:r>
      <w:r w:rsidR="001373D2" w:rsidRPr="001373D2">
        <w:rPr>
          <w:noProof/>
        </w:rPr>
        <w:t> </w:t>
      </w:r>
      <w:r w:rsidRPr="001373D2">
        <w:rPr>
          <w:noProof/>
        </w:rPr>
        <w:t>2—Trade descriptions of goods imported</w:t>
      </w:r>
      <w:r w:rsidRPr="001373D2">
        <w:rPr>
          <w:b w:val="0"/>
          <w:noProof/>
          <w:sz w:val="18"/>
        </w:rPr>
        <w:tab/>
      </w:r>
      <w:r w:rsidRPr="001373D2">
        <w:rPr>
          <w:b w:val="0"/>
          <w:noProof/>
          <w:sz w:val="18"/>
        </w:rPr>
        <w:fldChar w:fldCharType="begin"/>
      </w:r>
      <w:r w:rsidRPr="001373D2">
        <w:rPr>
          <w:b w:val="0"/>
          <w:noProof/>
          <w:sz w:val="18"/>
        </w:rPr>
        <w:instrText xml:space="preserve"> PAGEREF _Toc466383347 \h </w:instrText>
      </w:r>
      <w:r w:rsidRPr="001373D2">
        <w:rPr>
          <w:b w:val="0"/>
          <w:noProof/>
          <w:sz w:val="18"/>
        </w:rPr>
      </w:r>
      <w:r w:rsidRPr="001373D2">
        <w:rPr>
          <w:b w:val="0"/>
          <w:noProof/>
          <w:sz w:val="18"/>
        </w:rPr>
        <w:fldChar w:fldCharType="separate"/>
      </w:r>
      <w:r w:rsidR="008F764D">
        <w:rPr>
          <w:b w:val="0"/>
          <w:noProof/>
          <w:sz w:val="18"/>
        </w:rPr>
        <w:t>4</w:t>
      </w:r>
      <w:r w:rsidRPr="001373D2">
        <w:rPr>
          <w:b w:val="0"/>
          <w:noProof/>
          <w:sz w:val="18"/>
        </w:rPr>
        <w:fldChar w:fldCharType="end"/>
      </w:r>
    </w:p>
    <w:p w:rsidR="006B74BB" w:rsidRPr="001373D2" w:rsidRDefault="006B74BB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1373D2">
        <w:rPr>
          <w:noProof/>
        </w:rPr>
        <w:t>Division</w:t>
      </w:r>
      <w:r w:rsidR="001373D2" w:rsidRPr="001373D2">
        <w:rPr>
          <w:noProof/>
        </w:rPr>
        <w:t> </w:t>
      </w:r>
      <w:r w:rsidRPr="001373D2">
        <w:rPr>
          <w:noProof/>
        </w:rPr>
        <w:t>1—Prohibition of imports without trade descriptions</w:t>
      </w:r>
      <w:r w:rsidRPr="001373D2">
        <w:rPr>
          <w:b w:val="0"/>
          <w:noProof/>
          <w:sz w:val="18"/>
        </w:rPr>
        <w:tab/>
      </w:r>
      <w:r w:rsidRPr="001373D2">
        <w:rPr>
          <w:b w:val="0"/>
          <w:noProof/>
          <w:sz w:val="18"/>
        </w:rPr>
        <w:fldChar w:fldCharType="begin"/>
      </w:r>
      <w:r w:rsidRPr="001373D2">
        <w:rPr>
          <w:b w:val="0"/>
          <w:noProof/>
          <w:sz w:val="18"/>
        </w:rPr>
        <w:instrText xml:space="preserve"> PAGEREF _Toc466383348 \h </w:instrText>
      </w:r>
      <w:r w:rsidRPr="001373D2">
        <w:rPr>
          <w:b w:val="0"/>
          <w:noProof/>
          <w:sz w:val="18"/>
        </w:rPr>
      </w:r>
      <w:r w:rsidRPr="001373D2">
        <w:rPr>
          <w:b w:val="0"/>
          <w:noProof/>
          <w:sz w:val="18"/>
        </w:rPr>
        <w:fldChar w:fldCharType="separate"/>
      </w:r>
      <w:r w:rsidR="008F764D">
        <w:rPr>
          <w:b w:val="0"/>
          <w:noProof/>
          <w:sz w:val="18"/>
        </w:rPr>
        <w:t>4</w:t>
      </w:r>
      <w:r w:rsidRPr="001373D2">
        <w:rPr>
          <w:b w:val="0"/>
          <w:noProof/>
          <w:sz w:val="18"/>
        </w:rPr>
        <w:fldChar w:fldCharType="end"/>
      </w:r>
    </w:p>
    <w:p w:rsidR="006B74BB" w:rsidRPr="001373D2" w:rsidRDefault="006B74BB">
      <w:pPr>
        <w:pStyle w:val="TOC4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373D2">
        <w:rPr>
          <w:noProof/>
        </w:rPr>
        <w:t>Subdivision A—Prohibition</w:t>
      </w:r>
      <w:r w:rsidRPr="001373D2">
        <w:rPr>
          <w:b w:val="0"/>
          <w:noProof/>
          <w:sz w:val="18"/>
        </w:rPr>
        <w:tab/>
      </w:r>
      <w:r w:rsidRPr="001373D2">
        <w:rPr>
          <w:b w:val="0"/>
          <w:noProof/>
          <w:sz w:val="18"/>
        </w:rPr>
        <w:fldChar w:fldCharType="begin"/>
      </w:r>
      <w:r w:rsidRPr="001373D2">
        <w:rPr>
          <w:b w:val="0"/>
          <w:noProof/>
          <w:sz w:val="18"/>
        </w:rPr>
        <w:instrText xml:space="preserve"> PAGEREF _Toc466383349 \h </w:instrText>
      </w:r>
      <w:r w:rsidRPr="001373D2">
        <w:rPr>
          <w:b w:val="0"/>
          <w:noProof/>
          <w:sz w:val="18"/>
        </w:rPr>
      </w:r>
      <w:r w:rsidRPr="001373D2">
        <w:rPr>
          <w:b w:val="0"/>
          <w:noProof/>
          <w:sz w:val="18"/>
        </w:rPr>
        <w:fldChar w:fldCharType="separate"/>
      </w:r>
      <w:r w:rsidR="008F764D">
        <w:rPr>
          <w:b w:val="0"/>
          <w:noProof/>
          <w:sz w:val="18"/>
        </w:rPr>
        <w:t>4</w:t>
      </w:r>
      <w:r w:rsidRPr="001373D2">
        <w:rPr>
          <w:b w:val="0"/>
          <w:noProof/>
          <w:sz w:val="18"/>
        </w:rPr>
        <w:fldChar w:fldCharType="end"/>
      </w:r>
    </w:p>
    <w:p w:rsidR="006B74BB" w:rsidRPr="001373D2" w:rsidRDefault="006B74B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73D2">
        <w:rPr>
          <w:noProof/>
        </w:rPr>
        <w:t>8</w:t>
      </w:r>
      <w:r w:rsidRPr="001373D2">
        <w:rPr>
          <w:noProof/>
        </w:rPr>
        <w:tab/>
        <w:t>Prohibition of certain imports unless trade description applied</w:t>
      </w:r>
      <w:r w:rsidRPr="001373D2">
        <w:rPr>
          <w:noProof/>
        </w:rPr>
        <w:tab/>
      </w:r>
      <w:r w:rsidRPr="001373D2">
        <w:rPr>
          <w:noProof/>
        </w:rPr>
        <w:fldChar w:fldCharType="begin"/>
      </w:r>
      <w:r w:rsidRPr="001373D2">
        <w:rPr>
          <w:noProof/>
        </w:rPr>
        <w:instrText xml:space="preserve"> PAGEREF _Toc466383350 \h </w:instrText>
      </w:r>
      <w:r w:rsidRPr="001373D2">
        <w:rPr>
          <w:noProof/>
        </w:rPr>
      </w:r>
      <w:r w:rsidRPr="001373D2">
        <w:rPr>
          <w:noProof/>
        </w:rPr>
        <w:fldChar w:fldCharType="separate"/>
      </w:r>
      <w:r w:rsidR="008F764D">
        <w:rPr>
          <w:noProof/>
        </w:rPr>
        <w:t>4</w:t>
      </w:r>
      <w:r w:rsidRPr="001373D2">
        <w:rPr>
          <w:noProof/>
        </w:rPr>
        <w:fldChar w:fldCharType="end"/>
      </w:r>
    </w:p>
    <w:p w:rsidR="006B74BB" w:rsidRPr="001373D2" w:rsidRDefault="006B74BB">
      <w:pPr>
        <w:pStyle w:val="TOC4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373D2">
        <w:rPr>
          <w:noProof/>
        </w:rPr>
        <w:t>Subdivision B—Goods whose import without trade description is prohibited</w:t>
      </w:r>
      <w:r w:rsidRPr="001373D2">
        <w:rPr>
          <w:b w:val="0"/>
          <w:noProof/>
          <w:sz w:val="18"/>
        </w:rPr>
        <w:tab/>
      </w:r>
      <w:r w:rsidRPr="001373D2">
        <w:rPr>
          <w:b w:val="0"/>
          <w:noProof/>
          <w:sz w:val="18"/>
        </w:rPr>
        <w:fldChar w:fldCharType="begin"/>
      </w:r>
      <w:r w:rsidRPr="001373D2">
        <w:rPr>
          <w:b w:val="0"/>
          <w:noProof/>
          <w:sz w:val="18"/>
        </w:rPr>
        <w:instrText xml:space="preserve"> PAGEREF _Toc466383351 \h </w:instrText>
      </w:r>
      <w:r w:rsidRPr="001373D2">
        <w:rPr>
          <w:b w:val="0"/>
          <w:noProof/>
          <w:sz w:val="18"/>
        </w:rPr>
      </w:r>
      <w:r w:rsidRPr="001373D2">
        <w:rPr>
          <w:b w:val="0"/>
          <w:noProof/>
          <w:sz w:val="18"/>
        </w:rPr>
        <w:fldChar w:fldCharType="separate"/>
      </w:r>
      <w:r w:rsidR="008F764D">
        <w:rPr>
          <w:b w:val="0"/>
          <w:noProof/>
          <w:sz w:val="18"/>
        </w:rPr>
        <w:t>4</w:t>
      </w:r>
      <w:r w:rsidRPr="001373D2">
        <w:rPr>
          <w:b w:val="0"/>
          <w:noProof/>
          <w:sz w:val="18"/>
        </w:rPr>
        <w:fldChar w:fldCharType="end"/>
      </w:r>
    </w:p>
    <w:p w:rsidR="006B74BB" w:rsidRPr="001373D2" w:rsidRDefault="006B74B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73D2">
        <w:rPr>
          <w:noProof/>
        </w:rPr>
        <w:t>9</w:t>
      </w:r>
      <w:r w:rsidRPr="001373D2">
        <w:rPr>
          <w:noProof/>
        </w:rPr>
        <w:tab/>
        <w:t>General goods</w:t>
      </w:r>
      <w:r w:rsidRPr="001373D2">
        <w:rPr>
          <w:noProof/>
        </w:rPr>
        <w:tab/>
      </w:r>
      <w:r w:rsidRPr="001373D2">
        <w:rPr>
          <w:noProof/>
        </w:rPr>
        <w:fldChar w:fldCharType="begin"/>
      </w:r>
      <w:r w:rsidRPr="001373D2">
        <w:rPr>
          <w:noProof/>
        </w:rPr>
        <w:instrText xml:space="preserve"> PAGEREF _Toc466383352 \h </w:instrText>
      </w:r>
      <w:r w:rsidRPr="001373D2">
        <w:rPr>
          <w:noProof/>
        </w:rPr>
      </w:r>
      <w:r w:rsidRPr="001373D2">
        <w:rPr>
          <w:noProof/>
        </w:rPr>
        <w:fldChar w:fldCharType="separate"/>
      </w:r>
      <w:r w:rsidR="008F764D">
        <w:rPr>
          <w:noProof/>
        </w:rPr>
        <w:t>4</w:t>
      </w:r>
      <w:r w:rsidRPr="001373D2">
        <w:rPr>
          <w:noProof/>
        </w:rPr>
        <w:fldChar w:fldCharType="end"/>
      </w:r>
    </w:p>
    <w:p w:rsidR="006B74BB" w:rsidRPr="001373D2" w:rsidRDefault="006B74B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73D2">
        <w:rPr>
          <w:noProof/>
        </w:rPr>
        <w:t>10</w:t>
      </w:r>
      <w:r w:rsidRPr="001373D2">
        <w:rPr>
          <w:noProof/>
        </w:rPr>
        <w:tab/>
        <w:t>Goods at least half clad in certain materials</w:t>
      </w:r>
      <w:r w:rsidRPr="001373D2">
        <w:rPr>
          <w:noProof/>
        </w:rPr>
        <w:tab/>
      </w:r>
      <w:r w:rsidRPr="001373D2">
        <w:rPr>
          <w:noProof/>
        </w:rPr>
        <w:fldChar w:fldCharType="begin"/>
      </w:r>
      <w:r w:rsidRPr="001373D2">
        <w:rPr>
          <w:noProof/>
        </w:rPr>
        <w:instrText xml:space="preserve"> PAGEREF _Toc466383353 \h </w:instrText>
      </w:r>
      <w:r w:rsidRPr="001373D2">
        <w:rPr>
          <w:noProof/>
        </w:rPr>
      </w:r>
      <w:r w:rsidRPr="001373D2">
        <w:rPr>
          <w:noProof/>
        </w:rPr>
        <w:fldChar w:fldCharType="separate"/>
      </w:r>
      <w:r w:rsidR="008F764D">
        <w:rPr>
          <w:noProof/>
        </w:rPr>
        <w:t>5</w:t>
      </w:r>
      <w:r w:rsidRPr="001373D2">
        <w:rPr>
          <w:noProof/>
        </w:rPr>
        <w:fldChar w:fldCharType="end"/>
      </w:r>
    </w:p>
    <w:p w:rsidR="006B74BB" w:rsidRPr="001373D2" w:rsidRDefault="006B74BB">
      <w:pPr>
        <w:pStyle w:val="TOC4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373D2">
        <w:rPr>
          <w:noProof/>
        </w:rPr>
        <w:t>Subdivision C—Goods whose import without trade description is not prohibited</w:t>
      </w:r>
      <w:r w:rsidRPr="001373D2">
        <w:rPr>
          <w:b w:val="0"/>
          <w:noProof/>
          <w:sz w:val="18"/>
        </w:rPr>
        <w:tab/>
      </w:r>
      <w:r w:rsidRPr="001373D2">
        <w:rPr>
          <w:b w:val="0"/>
          <w:noProof/>
          <w:sz w:val="18"/>
        </w:rPr>
        <w:fldChar w:fldCharType="begin"/>
      </w:r>
      <w:r w:rsidRPr="001373D2">
        <w:rPr>
          <w:b w:val="0"/>
          <w:noProof/>
          <w:sz w:val="18"/>
        </w:rPr>
        <w:instrText xml:space="preserve"> PAGEREF _Toc466383354 \h </w:instrText>
      </w:r>
      <w:r w:rsidRPr="001373D2">
        <w:rPr>
          <w:b w:val="0"/>
          <w:noProof/>
          <w:sz w:val="18"/>
        </w:rPr>
      </w:r>
      <w:r w:rsidRPr="001373D2">
        <w:rPr>
          <w:b w:val="0"/>
          <w:noProof/>
          <w:sz w:val="18"/>
        </w:rPr>
        <w:fldChar w:fldCharType="separate"/>
      </w:r>
      <w:r w:rsidR="008F764D">
        <w:rPr>
          <w:b w:val="0"/>
          <w:noProof/>
          <w:sz w:val="18"/>
        </w:rPr>
        <w:t>6</w:t>
      </w:r>
      <w:r w:rsidRPr="001373D2">
        <w:rPr>
          <w:b w:val="0"/>
          <w:noProof/>
          <w:sz w:val="18"/>
        </w:rPr>
        <w:fldChar w:fldCharType="end"/>
      </w:r>
    </w:p>
    <w:p w:rsidR="006B74BB" w:rsidRPr="001373D2" w:rsidRDefault="006B74B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73D2">
        <w:rPr>
          <w:noProof/>
        </w:rPr>
        <w:t>11</w:t>
      </w:r>
      <w:r w:rsidRPr="001373D2">
        <w:rPr>
          <w:noProof/>
        </w:rPr>
        <w:tab/>
        <w:t>Goods that may be imported without trade description applied</w:t>
      </w:r>
      <w:r w:rsidRPr="001373D2">
        <w:rPr>
          <w:noProof/>
        </w:rPr>
        <w:tab/>
      </w:r>
      <w:r w:rsidRPr="001373D2">
        <w:rPr>
          <w:noProof/>
        </w:rPr>
        <w:fldChar w:fldCharType="begin"/>
      </w:r>
      <w:r w:rsidRPr="001373D2">
        <w:rPr>
          <w:noProof/>
        </w:rPr>
        <w:instrText xml:space="preserve"> PAGEREF _Toc466383355 \h </w:instrText>
      </w:r>
      <w:r w:rsidRPr="001373D2">
        <w:rPr>
          <w:noProof/>
        </w:rPr>
      </w:r>
      <w:r w:rsidRPr="001373D2">
        <w:rPr>
          <w:noProof/>
        </w:rPr>
        <w:fldChar w:fldCharType="separate"/>
      </w:r>
      <w:r w:rsidR="008F764D">
        <w:rPr>
          <w:noProof/>
        </w:rPr>
        <w:t>6</w:t>
      </w:r>
      <w:r w:rsidRPr="001373D2">
        <w:rPr>
          <w:noProof/>
        </w:rPr>
        <w:fldChar w:fldCharType="end"/>
      </w:r>
    </w:p>
    <w:p w:rsidR="006B74BB" w:rsidRPr="001373D2" w:rsidRDefault="006B74B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73D2">
        <w:rPr>
          <w:noProof/>
        </w:rPr>
        <w:t>12</w:t>
      </w:r>
      <w:r w:rsidRPr="001373D2">
        <w:rPr>
          <w:noProof/>
        </w:rPr>
        <w:tab/>
        <w:t>Packages of goods that may be imported without trade description applied</w:t>
      </w:r>
      <w:r w:rsidRPr="001373D2">
        <w:rPr>
          <w:noProof/>
        </w:rPr>
        <w:tab/>
      </w:r>
      <w:r w:rsidRPr="001373D2">
        <w:rPr>
          <w:noProof/>
        </w:rPr>
        <w:fldChar w:fldCharType="begin"/>
      </w:r>
      <w:r w:rsidRPr="001373D2">
        <w:rPr>
          <w:noProof/>
        </w:rPr>
        <w:instrText xml:space="preserve"> PAGEREF _Toc466383356 \h </w:instrText>
      </w:r>
      <w:r w:rsidRPr="001373D2">
        <w:rPr>
          <w:noProof/>
        </w:rPr>
      </w:r>
      <w:r w:rsidRPr="001373D2">
        <w:rPr>
          <w:noProof/>
        </w:rPr>
        <w:fldChar w:fldCharType="separate"/>
      </w:r>
      <w:r w:rsidR="008F764D">
        <w:rPr>
          <w:noProof/>
        </w:rPr>
        <w:t>7</w:t>
      </w:r>
      <w:r w:rsidRPr="001373D2">
        <w:rPr>
          <w:noProof/>
        </w:rPr>
        <w:fldChar w:fldCharType="end"/>
      </w:r>
    </w:p>
    <w:p w:rsidR="006B74BB" w:rsidRPr="001373D2" w:rsidRDefault="006B74B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73D2">
        <w:rPr>
          <w:noProof/>
        </w:rPr>
        <w:t>13</w:t>
      </w:r>
      <w:r w:rsidRPr="001373D2">
        <w:rPr>
          <w:noProof/>
        </w:rPr>
        <w:tab/>
        <w:t>Food that may be imported before 1</w:t>
      </w:r>
      <w:r w:rsidR="001373D2" w:rsidRPr="001373D2">
        <w:rPr>
          <w:noProof/>
        </w:rPr>
        <w:t> </w:t>
      </w:r>
      <w:r w:rsidRPr="001373D2">
        <w:rPr>
          <w:noProof/>
        </w:rPr>
        <w:t>July 2018 without trade description applied</w:t>
      </w:r>
      <w:r w:rsidRPr="001373D2">
        <w:rPr>
          <w:noProof/>
        </w:rPr>
        <w:tab/>
      </w:r>
      <w:r w:rsidRPr="001373D2">
        <w:rPr>
          <w:noProof/>
        </w:rPr>
        <w:fldChar w:fldCharType="begin"/>
      </w:r>
      <w:r w:rsidRPr="001373D2">
        <w:rPr>
          <w:noProof/>
        </w:rPr>
        <w:instrText xml:space="preserve"> PAGEREF _Toc466383357 \h </w:instrText>
      </w:r>
      <w:r w:rsidRPr="001373D2">
        <w:rPr>
          <w:noProof/>
        </w:rPr>
      </w:r>
      <w:r w:rsidRPr="001373D2">
        <w:rPr>
          <w:noProof/>
        </w:rPr>
        <w:fldChar w:fldCharType="separate"/>
      </w:r>
      <w:r w:rsidR="008F764D">
        <w:rPr>
          <w:noProof/>
        </w:rPr>
        <w:t>8</w:t>
      </w:r>
      <w:r w:rsidRPr="001373D2">
        <w:rPr>
          <w:noProof/>
        </w:rPr>
        <w:fldChar w:fldCharType="end"/>
      </w:r>
    </w:p>
    <w:p w:rsidR="006B74BB" w:rsidRPr="001373D2" w:rsidRDefault="006B74B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73D2">
        <w:rPr>
          <w:noProof/>
        </w:rPr>
        <w:t>14</w:t>
      </w:r>
      <w:r w:rsidRPr="001373D2">
        <w:rPr>
          <w:noProof/>
        </w:rPr>
        <w:tab/>
        <w:t>Packages of food that may be imported before 1</w:t>
      </w:r>
      <w:r w:rsidR="001373D2" w:rsidRPr="001373D2">
        <w:rPr>
          <w:noProof/>
        </w:rPr>
        <w:t> </w:t>
      </w:r>
      <w:r w:rsidRPr="001373D2">
        <w:rPr>
          <w:noProof/>
        </w:rPr>
        <w:t>July 2018 without trade description applied</w:t>
      </w:r>
      <w:r w:rsidRPr="001373D2">
        <w:rPr>
          <w:noProof/>
        </w:rPr>
        <w:tab/>
      </w:r>
      <w:r w:rsidRPr="001373D2">
        <w:rPr>
          <w:noProof/>
        </w:rPr>
        <w:fldChar w:fldCharType="begin"/>
      </w:r>
      <w:r w:rsidRPr="001373D2">
        <w:rPr>
          <w:noProof/>
        </w:rPr>
        <w:instrText xml:space="preserve"> PAGEREF _Toc466383358 \h </w:instrText>
      </w:r>
      <w:r w:rsidRPr="001373D2">
        <w:rPr>
          <w:noProof/>
        </w:rPr>
      </w:r>
      <w:r w:rsidRPr="001373D2">
        <w:rPr>
          <w:noProof/>
        </w:rPr>
        <w:fldChar w:fldCharType="separate"/>
      </w:r>
      <w:r w:rsidR="008F764D">
        <w:rPr>
          <w:noProof/>
        </w:rPr>
        <w:t>8</w:t>
      </w:r>
      <w:r w:rsidRPr="001373D2">
        <w:rPr>
          <w:noProof/>
        </w:rPr>
        <w:fldChar w:fldCharType="end"/>
      </w:r>
    </w:p>
    <w:p w:rsidR="006B74BB" w:rsidRPr="001373D2" w:rsidRDefault="006B74BB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1373D2">
        <w:rPr>
          <w:noProof/>
        </w:rPr>
        <w:t>Division</w:t>
      </w:r>
      <w:r w:rsidR="001373D2" w:rsidRPr="001373D2">
        <w:rPr>
          <w:noProof/>
        </w:rPr>
        <w:t> </w:t>
      </w:r>
      <w:r w:rsidRPr="001373D2">
        <w:rPr>
          <w:noProof/>
        </w:rPr>
        <w:t>2—Trade description</w:t>
      </w:r>
      <w:r w:rsidRPr="001373D2">
        <w:rPr>
          <w:b w:val="0"/>
          <w:noProof/>
          <w:sz w:val="18"/>
        </w:rPr>
        <w:tab/>
      </w:r>
      <w:r w:rsidRPr="001373D2">
        <w:rPr>
          <w:b w:val="0"/>
          <w:noProof/>
          <w:sz w:val="18"/>
        </w:rPr>
        <w:fldChar w:fldCharType="begin"/>
      </w:r>
      <w:r w:rsidRPr="001373D2">
        <w:rPr>
          <w:b w:val="0"/>
          <w:noProof/>
          <w:sz w:val="18"/>
        </w:rPr>
        <w:instrText xml:space="preserve"> PAGEREF _Toc466383359 \h </w:instrText>
      </w:r>
      <w:r w:rsidRPr="001373D2">
        <w:rPr>
          <w:b w:val="0"/>
          <w:noProof/>
          <w:sz w:val="18"/>
        </w:rPr>
      </w:r>
      <w:r w:rsidRPr="001373D2">
        <w:rPr>
          <w:b w:val="0"/>
          <w:noProof/>
          <w:sz w:val="18"/>
        </w:rPr>
        <w:fldChar w:fldCharType="separate"/>
      </w:r>
      <w:r w:rsidR="008F764D">
        <w:rPr>
          <w:b w:val="0"/>
          <w:noProof/>
          <w:sz w:val="18"/>
        </w:rPr>
        <w:t>10</w:t>
      </w:r>
      <w:r w:rsidRPr="001373D2">
        <w:rPr>
          <w:b w:val="0"/>
          <w:noProof/>
          <w:sz w:val="18"/>
        </w:rPr>
        <w:fldChar w:fldCharType="end"/>
      </w:r>
    </w:p>
    <w:p w:rsidR="006B74BB" w:rsidRPr="001373D2" w:rsidRDefault="006B74B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73D2">
        <w:rPr>
          <w:noProof/>
        </w:rPr>
        <w:t>15</w:t>
      </w:r>
      <w:r w:rsidRPr="001373D2">
        <w:rPr>
          <w:noProof/>
        </w:rPr>
        <w:tab/>
        <w:t>Trade description of goods to except them from prohibition on import</w:t>
      </w:r>
      <w:r w:rsidRPr="001373D2">
        <w:rPr>
          <w:noProof/>
        </w:rPr>
        <w:tab/>
      </w:r>
      <w:r w:rsidRPr="001373D2">
        <w:rPr>
          <w:noProof/>
        </w:rPr>
        <w:fldChar w:fldCharType="begin"/>
      </w:r>
      <w:r w:rsidRPr="001373D2">
        <w:rPr>
          <w:noProof/>
        </w:rPr>
        <w:instrText xml:space="preserve"> PAGEREF _Toc466383360 \h </w:instrText>
      </w:r>
      <w:r w:rsidRPr="001373D2">
        <w:rPr>
          <w:noProof/>
        </w:rPr>
      </w:r>
      <w:r w:rsidRPr="001373D2">
        <w:rPr>
          <w:noProof/>
        </w:rPr>
        <w:fldChar w:fldCharType="separate"/>
      </w:r>
      <w:r w:rsidR="008F764D">
        <w:rPr>
          <w:noProof/>
        </w:rPr>
        <w:t>10</w:t>
      </w:r>
      <w:r w:rsidRPr="001373D2">
        <w:rPr>
          <w:noProof/>
        </w:rPr>
        <w:fldChar w:fldCharType="end"/>
      </w:r>
    </w:p>
    <w:p w:rsidR="006B74BB" w:rsidRPr="001373D2" w:rsidRDefault="006B74B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73D2">
        <w:rPr>
          <w:noProof/>
        </w:rPr>
        <w:t>16</w:t>
      </w:r>
      <w:r w:rsidRPr="001373D2">
        <w:rPr>
          <w:noProof/>
        </w:rPr>
        <w:tab/>
        <w:t>Content of trade description—source country</w:t>
      </w:r>
      <w:r w:rsidRPr="001373D2">
        <w:rPr>
          <w:noProof/>
        </w:rPr>
        <w:tab/>
      </w:r>
      <w:r w:rsidRPr="001373D2">
        <w:rPr>
          <w:noProof/>
        </w:rPr>
        <w:fldChar w:fldCharType="begin"/>
      </w:r>
      <w:r w:rsidRPr="001373D2">
        <w:rPr>
          <w:noProof/>
        </w:rPr>
        <w:instrText xml:space="preserve"> PAGEREF _Toc466383361 \h </w:instrText>
      </w:r>
      <w:r w:rsidRPr="001373D2">
        <w:rPr>
          <w:noProof/>
        </w:rPr>
      </w:r>
      <w:r w:rsidRPr="001373D2">
        <w:rPr>
          <w:noProof/>
        </w:rPr>
        <w:fldChar w:fldCharType="separate"/>
      </w:r>
      <w:r w:rsidR="008F764D">
        <w:rPr>
          <w:noProof/>
        </w:rPr>
        <w:t>10</w:t>
      </w:r>
      <w:r w:rsidRPr="001373D2">
        <w:rPr>
          <w:noProof/>
        </w:rPr>
        <w:fldChar w:fldCharType="end"/>
      </w:r>
    </w:p>
    <w:p w:rsidR="006B74BB" w:rsidRPr="001373D2" w:rsidRDefault="006B74B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73D2">
        <w:rPr>
          <w:noProof/>
        </w:rPr>
        <w:t>17</w:t>
      </w:r>
      <w:r w:rsidRPr="001373D2">
        <w:rPr>
          <w:noProof/>
        </w:rPr>
        <w:tab/>
        <w:t>Content of trade description—true description of goods</w:t>
      </w:r>
      <w:r w:rsidRPr="001373D2">
        <w:rPr>
          <w:noProof/>
        </w:rPr>
        <w:tab/>
      </w:r>
      <w:r w:rsidRPr="001373D2">
        <w:rPr>
          <w:noProof/>
        </w:rPr>
        <w:fldChar w:fldCharType="begin"/>
      </w:r>
      <w:r w:rsidRPr="001373D2">
        <w:rPr>
          <w:noProof/>
        </w:rPr>
        <w:instrText xml:space="preserve"> PAGEREF _Toc466383362 \h </w:instrText>
      </w:r>
      <w:r w:rsidRPr="001373D2">
        <w:rPr>
          <w:noProof/>
        </w:rPr>
      </w:r>
      <w:r w:rsidRPr="001373D2">
        <w:rPr>
          <w:noProof/>
        </w:rPr>
        <w:fldChar w:fldCharType="separate"/>
      </w:r>
      <w:r w:rsidR="008F764D">
        <w:rPr>
          <w:noProof/>
        </w:rPr>
        <w:t>10</w:t>
      </w:r>
      <w:r w:rsidRPr="001373D2">
        <w:rPr>
          <w:noProof/>
        </w:rPr>
        <w:fldChar w:fldCharType="end"/>
      </w:r>
    </w:p>
    <w:p w:rsidR="006B74BB" w:rsidRPr="001373D2" w:rsidRDefault="006B74B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73D2">
        <w:rPr>
          <w:noProof/>
        </w:rPr>
        <w:t>18</w:t>
      </w:r>
      <w:r w:rsidRPr="001373D2">
        <w:rPr>
          <w:noProof/>
        </w:rPr>
        <w:tab/>
        <w:t>English language trade description</w:t>
      </w:r>
      <w:r w:rsidRPr="001373D2">
        <w:rPr>
          <w:noProof/>
        </w:rPr>
        <w:tab/>
      </w:r>
      <w:r w:rsidRPr="001373D2">
        <w:rPr>
          <w:noProof/>
        </w:rPr>
        <w:fldChar w:fldCharType="begin"/>
      </w:r>
      <w:r w:rsidRPr="001373D2">
        <w:rPr>
          <w:noProof/>
        </w:rPr>
        <w:instrText xml:space="preserve"> PAGEREF _Toc466383363 \h </w:instrText>
      </w:r>
      <w:r w:rsidRPr="001373D2">
        <w:rPr>
          <w:noProof/>
        </w:rPr>
      </w:r>
      <w:r w:rsidRPr="001373D2">
        <w:rPr>
          <w:noProof/>
        </w:rPr>
        <w:fldChar w:fldCharType="separate"/>
      </w:r>
      <w:r w:rsidR="008F764D">
        <w:rPr>
          <w:noProof/>
        </w:rPr>
        <w:t>10</w:t>
      </w:r>
      <w:r w:rsidRPr="001373D2">
        <w:rPr>
          <w:noProof/>
        </w:rPr>
        <w:fldChar w:fldCharType="end"/>
      </w:r>
    </w:p>
    <w:p w:rsidR="006B74BB" w:rsidRPr="001373D2" w:rsidRDefault="006B74B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73D2">
        <w:rPr>
          <w:noProof/>
        </w:rPr>
        <w:t>19</w:t>
      </w:r>
      <w:r w:rsidRPr="001373D2">
        <w:rPr>
          <w:noProof/>
        </w:rPr>
        <w:tab/>
        <w:t>Manner of applying trade description</w:t>
      </w:r>
      <w:r w:rsidRPr="001373D2">
        <w:rPr>
          <w:noProof/>
        </w:rPr>
        <w:tab/>
      </w:r>
      <w:r w:rsidRPr="001373D2">
        <w:rPr>
          <w:noProof/>
        </w:rPr>
        <w:fldChar w:fldCharType="begin"/>
      </w:r>
      <w:r w:rsidRPr="001373D2">
        <w:rPr>
          <w:noProof/>
        </w:rPr>
        <w:instrText xml:space="preserve"> PAGEREF _Toc466383364 \h </w:instrText>
      </w:r>
      <w:r w:rsidRPr="001373D2">
        <w:rPr>
          <w:noProof/>
        </w:rPr>
      </w:r>
      <w:r w:rsidRPr="001373D2">
        <w:rPr>
          <w:noProof/>
        </w:rPr>
        <w:fldChar w:fldCharType="separate"/>
      </w:r>
      <w:r w:rsidR="008F764D">
        <w:rPr>
          <w:noProof/>
        </w:rPr>
        <w:t>10</w:t>
      </w:r>
      <w:r w:rsidRPr="001373D2">
        <w:rPr>
          <w:noProof/>
        </w:rPr>
        <w:fldChar w:fldCharType="end"/>
      </w:r>
    </w:p>
    <w:p w:rsidR="006B74BB" w:rsidRPr="001373D2" w:rsidRDefault="006B74B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73D2">
        <w:rPr>
          <w:noProof/>
        </w:rPr>
        <w:t>20</w:t>
      </w:r>
      <w:r w:rsidRPr="001373D2">
        <w:rPr>
          <w:noProof/>
        </w:rPr>
        <w:tab/>
        <w:t>Extra rules about trade description of shoes</w:t>
      </w:r>
      <w:r w:rsidRPr="001373D2">
        <w:rPr>
          <w:noProof/>
        </w:rPr>
        <w:tab/>
      </w:r>
      <w:r w:rsidRPr="001373D2">
        <w:rPr>
          <w:noProof/>
        </w:rPr>
        <w:fldChar w:fldCharType="begin"/>
      </w:r>
      <w:r w:rsidRPr="001373D2">
        <w:rPr>
          <w:noProof/>
        </w:rPr>
        <w:instrText xml:space="preserve"> PAGEREF _Toc466383365 \h </w:instrText>
      </w:r>
      <w:r w:rsidRPr="001373D2">
        <w:rPr>
          <w:noProof/>
        </w:rPr>
      </w:r>
      <w:r w:rsidRPr="001373D2">
        <w:rPr>
          <w:noProof/>
        </w:rPr>
        <w:fldChar w:fldCharType="separate"/>
      </w:r>
      <w:r w:rsidR="008F764D">
        <w:rPr>
          <w:noProof/>
        </w:rPr>
        <w:t>11</w:t>
      </w:r>
      <w:r w:rsidRPr="001373D2">
        <w:rPr>
          <w:noProof/>
        </w:rPr>
        <w:fldChar w:fldCharType="end"/>
      </w:r>
    </w:p>
    <w:p w:rsidR="006B74BB" w:rsidRPr="001373D2" w:rsidRDefault="006B74B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373D2">
        <w:rPr>
          <w:noProof/>
        </w:rPr>
        <w:t>Part</w:t>
      </w:r>
      <w:r w:rsidR="001373D2" w:rsidRPr="001373D2">
        <w:rPr>
          <w:noProof/>
        </w:rPr>
        <w:t> </w:t>
      </w:r>
      <w:r w:rsidRPr="001373D2">
        <w:rPr>
          <w:noProof/>
        </w:rPr>
        <w:t>3—Inspection and analysis</w:t>
      </w:r>
      <w:r w:rsidRPr="001373D2">
        <w:rPr>
          <w:b w:val="0"/>
          <w:noProof/>
          <w:sz w:val="18"/>
        </w:rPr>
        <w:tab/>
      </w:r>
      <w:r w:rsidRPr="001373D2">
        <w:rPr>
          <w:b w:val="0"/>
          <w:noProof/>
          <w:sz w:val="18"/>
        </w:rPr>
        <w:fldChar w:fldCharType="begin"/>
      </w:r>
      <w:r w:rsidRPr="001373D2">
        <w:rPr>
          <w:b w:val="0"/>
          <w:noProof/>
          <w:sz w:val="18"/>
        </w:rPr>
        <w:instrText xml:space="preserve"> PAGEREF _Toc466383366 \h </w:instrText>
      </w:r>
      <w:r w:rsidRPr="001373D2">
        <w:rPr>
          <w:b w:val="0"/>
          <w:noProof/>
          <w:sz w:val="18"/>
        </w:rPr>
      </w:r>
      <w:r w:rsidRPr="001373D2">
        <w:rPr>
          <w:b w:val="0"/>
          <w:noProof/>
          <w:sz w:val="18"/>
        </w:rPr>
        <w:fldChar w:fldCharType="separate"/>
      </w:r>
      <w:r w:rsidR="008F764D">
        <w:rPr>
          <w:b w:val="0"/>
          <w:noProof/>
          <w:sz w:val="18"/>
        </w:rPr>
        <w:t>13</w:t>
      </w:r>
      <w:r w:rsidRPr="001373D2">
        <w:rPr>
          <w:b w:val="0"/>
          <w:noProof/>
          <w:sz w:val="18"/>
        </w:rPr>
        <w:fldChar w:fldCharType="end"/>
      </w:r>
    </w:p>
    <w:p w:rsidR="006B74BB" w:rsidRPr="001373D2" w:rsidRDefault="006B74B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73D2">
        <w:rPr>
          <w:noProof/>
        </w:rPr>
        <w:t>21</w:t>
      </w:r>
      <w:r w:rsidRPr="001373D2">
        <w:rPr>
          <w:noProof/>
        </w:rPr>
        <w:tab/>
        <w:t>Goods that may be inspected, examined and sampled by officers</w:t>
      </w:r>
      <w:r w:rsidRPr="001373D2">
        <w:rPr>
          <w:noProof/>
        </w:rPr>
        <w:tab/>
      </w:r>
      <w:r w:rsidRPr="001373D2">
        <w:rPr>
          <w:noProof/>
        </w:rPr>
        <w:fldChar w:fldCharType="begin"/>
      </w:r>
      <w:r w:rsidRPr="001373D2">
        <w:rPr>
          <w:noProof/>
        </w:rPr>
        <w:instrText xml:space="preserve"> PAGEREF _Toc466383367 \h </w:instrText>
      </w:r>
      <w:r w:rsidRPr="001373D2">
        <w:rPr>
          <w:noProof/>
        </w:rPr>
      </w:r>
      <w:r w:rsidRPr="001373D2">
        <w:rPr>
          <w:noProof/>
        </w:rPr>
        <w:fldChar w:fldCharType="separate"/>
      </w:r>
      <w:r w:rsidR="008F764D">
        <w:rPr>
          <w:noProof/>
        </w:rPr>
        <w:t>13</w:t>
      </w:r>
      <w:r w:rsidRPr="001373D2">
        <w:rPr>
          <w:noProof/>
        </w:rPr>
        <w:fldChar w:fldCharType="end"/>
      </w:r>
    </w:p>
    <w:p w:rsidR="006B74BB" w:rsidRPr="001373D2" w:rsidRDefault="006B74B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73D2">
        <w:rPr>
          <w:noProof/>
        </w:rPr>
        <w:t>22</w:t>
      </w:r>
      <w:r w:rsidRPr="001373D2">
        <w:rPr>
          <w:noProof/>
        </w:rPr>
        <w:tab/>
        <w:t>Appointment of analysts</w:t>
      </w:r>
      <w:r w:rsidRPr="001373D2">
        <w:rPr>
          <w:noProof/>
        </w:rPr>
        <w:tab/>
      </w:r>
      <w:r w:rsidRPr="001373D2">
        <w:rPr>
          <w:noProof/>
        </w:rPr>
        <w:fldChar w:fldCharType="begin"/>
      </w:r>
      <w:r w:rsidRPr="001373D2">
        <w:rPr>
          <w:noProof/>
        </w:rPr>
        <w:instrText xml:space="preserve"> PAGEREF _Toc466383368 \h </w:instrText>
      </w:r>
      <w:r w:rsidRPr="001373D2">
        <w:rPr>
          <w:noProof/>
        </w:rPr>
      </w:r>
      <w:r w:rsidRPr="001373D2">
        <w:rPr>
          <w:noProof/>
        </w:rPr>
        <w:fldChar w:fldCharType="separate"/>
      </w:r>
      <w:r w:rsidR="008F764D">
        <w:rPr>
          <w:noProof/>
        </w:rPr>
        <w:t>13</w:t>
      </w:r>
      <w:r w:rsidRPr="001373D2">
        <w:rPr>
          <w:noProof/>
        </w:rPr>
        <w:fldChar w:fldCharType="end"/>
      </w:r>
    </w:p>
    <w:p w:rsidR="006B74BB" w:rsidRPr="001373D2" w:rsidRDefault="006B74B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73D2">
        <w:rPr>
          <w:noProof/>
        </w:rPr>
        <w:t>23</w:t>
      </w:r>
      <w:r w:rsidRPr="001373D2">
        <w:rPr>
          <w:noProof/>
        </w:rPr>
        <w:tab/>
        <w:t>Analysis and examination of samples of examinable goods</w:t>
      </w:r>
      <w:r w:rsidRPr="001373D2">
        <w:rPr>
          <w:noProof/>
        </w:rPr>
        <w:tab/>
      </w:r>
      <w:r w:rsidRPr="001373D2">
        <w:rPr>
          <w:noProof/>
        </w:rPr>
        <w:fldChar w:fldCharType="begin"/>
      </w:r>
      <w:r w:rsidRPr="001373D2">
        <w:rPr>
          <w:noProof/>
        </w:rPr>
        <w:instrText xml:space="preserve"> PAGEREF _Toc466383369 \h </w:instrText>
      </w:r>
      <w:r w:rsidRPr="001373D2">
        <w:rPr>
          <w:noProof/>
        </w:rPr>
      </w:r>
      <w:r w:rsidRPr="001373D2">
        <w:rPr>
          <w:noProof/>
        </w:rPr>
        <w:fldChar w:fldCharType="separate"/>
      </w:r>
      <w:r w:rsidR="008F764D">
        <w:rPr>
          <w:noProof/>
        </w:rPr>
        <w:t>13</w:t>
      </w:r>
      <w:r w:rsidRPr="001373D2">
        <w:rPr>
          <w:noProof/>
        </w:rPr>
        <w:fldChar w:fldCharType="end"/>
      </w:r>
    </w:p>
    <w:p w:rsidR="006B74BB" w:rsidRPr="001373D2" w:rsidRDefault="006B74B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373D2">
        <w:rPr>
          <w:noProof/>
        </w:rPr>
        <w:t>Part</w:t>
      </w:r>
      <w:r w:rsidR="001373D2" w:rsidRPr="001373D2">
        <w:rPr>
          <w:noProof/>
        </w:rPr>
        <w:t> </w:t>
      </w:r>
      <w:r w:rsidRPr="001373D2">
        <w:rPr>
          <w:noProof/>
        </w:rPr>
        <w:t>4—Transitional matters</w:t>
      </w:r>
      <w:r w:rsidRPr="001373D2">
        <w:rPr>
          <w:b w:val="0"/>
          <w:noProof/>
          <w:sz w:val="18"/>
        </w:rPr>
        <w:tab/>
      </w:r>
      <w:r w:rsidRPr="001373D2">
        <w:rPr>
          <w:b w:val="0"/>
          <w:noProof/>
          <w:sz w:val="18"/>
        </w:rPr>
        <w:fldChar w:fldCharType="begin"/>
      </w:r>
      <w:r w:rsidRPr="001373D2">
        <w:rPr>
          <w:b w:val="0"/>
          <w:noProof/>
          <w:sz w:val="18"/>
        </w:rPr>
        <w:instrText xml:space="preserve"> PAGEREF _Toc466383370 \h </w:instrText>
      </w:r>
      <w:r w:rsidRPr="001373D2">
        <w:rPr>
          <w:b w:val="0"/>
          <w:noProof/>
          <w:sz w:val="18"/>
        </w:rPr>
      </w:r>
      <w:r w:rsidRPr="001373D2">
        <w:rPr>
          <w:b w:val="0"/>
          <w:noProof/>
          <w:sz w:val="18"/>
        </w:rPr>
        <w:fldChar w:fldCharType="separate"/>
      </w:r>
      <w:r w:rsidR="008F764D">
        <w:rPr>
          <w:b w:val="0"/>
          <w:noProof/>
          <w:sz w:val="18"/>
        </w:rPr>
        <w:t>14</w:t>
      </w:r>
      <w:r w:rsidRPr="001373D2">
        <w:rPr>
          <w:b w:val="0"/>
          <w:noProof/>
          <w:sz w:val="18"/>
        </w:rPr>
        <w:fldChar w:fldCharType="end"/>
      </w:r>
    </w:p>
    <w:p w:rsidR="006B74BB" w:rsidRPr="001373D2" w:rsidRDefault="006B74B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73D2">
        <w:rPr>
          <w:noProof/>
        </w:rPr>
        <w:t>24</w:t>
      </w:r>
      <w:r w:rsidRPr="001373D2">
        <w:rPr>
          <w:noProof/>
        </w:rPr>
        <w:tab/>
      </w:r>
      <w:r w:rsidRPr="001373D2">
        <w:rPr>
          <w:i/>
          <w:noProof/>
        </w:rPr>
        <w:t>Commerce (Imports) Regulations</w:t>
      </w:r>
      <w:r w:rsidR="001373D2" w:rsidRPr="001373D2">
        <w:rPr>
          <w:i/>
          <w:noProof/>
        </w:rPr>
        <w:t> </w:t>
      </w:r>
      <w:r w:rsidRPr="001373D2">
        <w:rPr>
          <w:i/>
          <w:noProof/>
        </w:rPr>
        <w:t>1940</w:t>
      </w:r>
      <w:r w:rsidRPr="001373D2">
        <w:rPr>
          <w:noProof/>
        </w:rPr>
        <w:t>—transition</w:t>
      </w:r>
      <w:r w:rsidRPr="001373D2">
        <w:rPr>
          <w:noProof/>
        </w:rPr>
        <w:tab/>
      </w:r>
      <w:r w:rsidRPr="001373D2">
        <w:rPr>
          <w:noProof/>
        </w:rPr>
        <w:fldChar w:fldCharType="begin"/>
      </w:r>
      <w:r w:rsidRPr="001373D2">
        <w:rPr>
          <w:noProof/>
        </w:rPr>
        <w:instrText xml:space="preserve"> PAGEREF _Toc466383371 \h </w:instrText>
      </w:r>
      <w:r w:rsidRPr="001373D2">
        <w:rPr>
          <w:noProof/>
        </w:rPr>
      </w:r>
      <w:r w:rsidRPr="001373D2">
        <w:rPr>
          <w:noProof/>
        </w:rPr>
        <w:fldChar w:fldCharType="separate"/>
      </w:r>
      <w:r w:rsidR="008F764D">
        <w:rPr>
          <w:noProof/>
        </w:rPr>
        <w:t>14</w:t>
      </w:r>
      <w:r w:rsidRPr="001373D2">
        <w:rPr>
          <w:noProof/>
        </w:rPr>
        <w:fldChar w:fldCharType="end"/>
      </w:r>
    </w:p>
    <w:p w:rsidR="006B74BB" w:rsidRPr="001373D2" w:rsidRDefault="006B74B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373D2">
        <w:rPr>
          <w:noProof/>
        </w:rPr>
        <w:t>Schedule</w:t>
      </w:r>
      <w:r w:rsidR="001373D2" w:rsidRPr="001373D2">
        <w:rPr>
          <w:noProof/>
        </w:rPr>
        <w:t> </w:t>
      </w:r>
      <w:r w:rsidRPr="001373D2">
        <w:rPr>
          <w:noProof/>
        </w:rPr>
        <w:t>1—Repeals</w:t>
      </w:r>
      <w:r w:rsidRPr="001373D2">
        <w:rPr>
          <w:b w:val="0"/>
          <w:noProof/>
          <w:sz w:val="18"/>
        </w:rPr>
        <w:tab/>
      </w:r>
      <w:r w:rsidRPr="001373D2">
        <w:rPr>
          <w:b w:val="0"/>
          <w:noProof/>
          <w:sz w:val="18"/>
        </w:rPr>
        <w:fldChar w:fldCharType="begin"/>
      </w:r>
      <w:r w:rsidRPr="001373D2">
        <w:rPr>
          <w:b w:val="0"/>
          <w:noProof/>
          <w:sz w:val="18"/>
        </w:rPr>
        <w:instrText xml:space="preserve"> PAGEREF _Toc466383372 \h </w:instrText>
      </w:r>
      <w:r w:rsidRPr="001373D2">
        <w:rPr>
          <w:b w:val="0"/>
          <w:noProof/>
          <w:sz w:val="18"/>
        </w:rPr>
      </w:r>
      <w:r w:rsidRPr="001373D2">
        <w:rPr>
          <w:b w:val="0"/>
          <w:noProof/>
          <w:sz w:val="18"/>
        </w:rPr>
        <w:fldChar w:fldCharType="separate"/>
      </w:r>
      <w:r w:rsidR="008F764D">
        <w:rPr>
          <w:b w:val="0"/>
          <w:noProof/>
          <w:sz w:val="18"/>
        </w:rPr>
        <w:t>15</w:t>
      </w:r>
      <w:r w:rsidRPr="001373D2">
        <w:rPr>
          <w:b w:val="0"/>
          <w:noProof/>
          <w:sz w:val="18"/>
        </w:rPr>
        <w:fldChar w:fldCharType="end"/>
      </w:r>
    </w:p>
    <w:p w:rsidR="006B74BB" w:rsidRPr="001373D2" w:rsidRDefault="006B74B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373D2">
        <w:rPr>
          <w:noProof/>
        </w:rPr>
        <w:t>Commerce (Imports) Regulations</w:t>
      </w:r>
      <w:r w:rsidR="001373D2" w:rsidRPr="001373D2">
        <w:rPr>
          <w:noProof/>
        </w:rPr>
        <w:t> </w:t>
      </w:r>
      <w:r w:rsidRPr="001373D2">
        <w:rPr>
          <w:noProof/>
        </w:rPr>
        <w:t>1940</w:t>
      </w:r>
      <w:r w:rsidRPr="001373D2">
        <w:rPr>
          <w:i w:val="0"/>
          <w:noProof/>
          <w:sz w:val="18"/>
        </w:rPr>
        <w:tab/>
      </w:r>
      <w:r w:rsidRPr="001373D2">
        <w:rPr>
          <w:i w:val="0"/>
          <w:noProof/>
          <w:sz w:val="18"/>
        </w:rPr>
        <w:fldChar w:fldCharType="begin"/>
      </w:r>
      <w:r w:rsidRPr="001373D2">
        <w:rPr>
          <w:i w:val="0"/>
          <w:noProof/>
          <w:sz w:val="18"/>
        </w:rPr>
        <w:instrText xml:space="preserve"> PAGEREF _Toc466383373 \h </w:instrText>
      </w:r>
      <w:r w:rsidRPr="001373D2">
        <w:rPr>
          <w:i w:val="0"/>
          <w:noProof/>
          <w:sz w:val="18"/>
        </w:rPr>
      </w:r>
      <w:r w:rsidRPr="001373D2">
        <w:rPr>
          <w:i w:val="0"/>
          <w:noProof/>
          <w:sz w:val="18"/>
        </w:rPr>
        <w:fldChar w:fldCharType="separate"/>
      </w:r>
      <w:r w:rsidR="008F764D">
        <w:rPr>
          <w:i w:val="0"/>
          <w:noProof/>
          <w:sz w:val="18"/>
        </w:rPr>
        <w:t>15</w:t>
      </w:r>
      <w:r w:rsidRPr="001373D2">
        <w:rPr>
          <w:i w:val="0"/>
          <w:noProof/>
          <w:sz w:val="18"/>
        </w:rPr>
        <w:fldChar w:fldCharType="end"/>
      </w:r>
    </w:p>
    <w:p w:rsidR="00A802BC" w:rsidRPr="001373D2" w:rsidRDefault="006B74BB" w:rsidP="009B3043">
      <w:pPr>
        <w:rPr>
          <w:sz w:val="20"/>
        </w:rPr>
      </w:pPr>
      <w:r w:rsidRPr="001373D2">
        <w:rPr>
          <w:sz w:val="20"/>
        </w:rPr>
        <w:fldChar w:fldCharType="end"/>
      </w:r>
    </w:p>
    <w:p w:rsidR="00715914" w:rsidRPr="001373D2" w:rsidRDefault="00715914" w:rsidP="00715914">
      <w:pPr>
        <w:sectPr w:rsidR="00715914" w:rsidRPr="001373D2" w:rsidSect="001517C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1373D2" w:rsidRDefault="00715914" w:rsidP="00715914">
      <w:pPr>
        <w:pStyle w:val="ActHead2"/>
      </w:pPr>
      <w:bookmarkStart w:id="2" w:name="_Toc466383339"/>
      <w:r w:rsidRPr="001373D2">
        <w:rPr>
          <w:rStyle w:val="CharPartNo"/>
        </w:rPr>
        <w:lastRenderedPageBreak/>
        <w:t>Part</w:t>
      </w:r>
      <w:r w:rsidR="001373D2" w:rsidRPr="001373D2">
        <w:rPr>
          <w:rStyle w:val="CharPartNo"/>
        </w:rPr>
        <w:t> </w:t>
      </w:r>
      <w:r w:rsidRPr="001373D2">
        <w:rPr>
          <w:rStyle w:val="CharPartNo"/>
        </w:rPr>
        <w:t>1</w:t>
      </w:r>
      <w:r w:rsidRPr="001373D2">
        <w:t>—</w:t>
      </w:r>
      <w:r w:rsidRPr="001373D2">
        <w:rPr>
          <w:rStyle w:val="CharPartText"/>
        </w:rPr>
        <w:t>Preliminary</w:t>
      </w:r>
      <w:bookmarkEnd w:id="2"/>
    </w:p>
    <w:p w:rsidR="00715914" w:rsidRPr="001373D2" w:rsidRDefault="00715914" w:rsidP="00715914">
      <w:pPr>
        <w:pStyle w:val="Header"/>
      </w:pPr>
      <w:r w:rsidRPr="001373D2">
        <w:rPr>
          <w:rStyle w:val="CharDivNo"/>
        </w:rPr>
        <w:t xml:space="preserve"> </w:t>
      </w:r>
      <w:r w:rsidRPr="001373D2">
        <w:rPr>
          <w:rStyle w:val="CharDivText"/>
        </w:rPr>
        <w:t xml:space="preserve"> </w:t>
      </w:r>
    </w:p>
    <w:p w:rsidR="00715914" w:rsidRPr="001373D2" w:rsidRDefault="004F69B5" w:rsidP="00715914">
      <w:pPr>
        <w:pStyle w:val="ActHead5"/>
      </w:pPr>
      <w:bookmarkStart w:id="3" w:name="_Toc466383340"/>
      <w:r w:rsidRPr="001373D2">
        <w:rPr>
          <w:rStyle w:val="CharSectno"/>
        </w:rPr>
        <w:t>1</w:t>
      </w:r>
      <w:r w:rsidR="00715914" w:rsidRPr="001373D2">
        <w:t xml:space="preserve">  </w:t>
      </w:r>
      <w:r w:rsidR="00CE493D" w:rsidRPr="001373D2">
        <w:t>Name</w:t>
      </w:r>
      <w:bookmarkEnd w:id="3"/>
    </w:p>
    <w:p w:rsidR="00715914" w:rsidRPr="001373D2" w:rsidRDefault="00715914" w:rsidP="00715914">
      <w:pPr>
        <w:pStyle w:val="subsection"/>
      </w:pPr>
      <w:r w:rsidRPr="001373D2">
        <w:tab/>
      </w:r>
      <w:r w:rsidRPr="001373D2">
        <w:tab/>
        <w:t xml:space="preserve">This </w:t>
      </w:r>
      <w:r w:rsidR="00CE493D" w:rsidRPr="001373D2">
        <w:t xml:space="preserve">is the </w:t>
      </w:r>
      <w:bookmarkStart w:id="4" w:name="BKCheck15B_3"/>
      <w:bookmarkEnd w:id="4"/>
      <w:r w:rsidR="00CE038B" w:rsidRPr="001373D2">
        <w:rPr>
          <w:i/>
        </w:rPr>
        <w:fldChar w:fldCharType="begin"/>
      </w:r>
      <w:r w:rsidR="00CE038B" w:rsidRPr="001373D2">
        <w:rPr>
          <w:i/>
        </w:rPr>
        <w:instrText xml:space="preserve"> STYLEREF  ShortT </w:instrText>
      </w:r>
      <w:r w:rsidR="00CE038B" w:rsidRPr="001373D2">
        <w:rPr>
          <w:i/>
        </w:rPr>
        <w:fldChar w:fldCharType="separate"/>
      </w:r>
      <w:r w:rsidR="008F764D">
        <w:rPr>
          <w:i/>
          <w:noProof/>
        </w:rPr>
        <w:t>Commerce (Trade Descriptions) Regulation 2016</w:t>
      </w:r>
      <w:r w:rsidR="00CE038B" w:rsidRPr="001373D2">
        <w:rPr>
          <w:i/>
        </w:rPr>
        <w:fldChar w:fldCharType="end"/>
      </w:r>
      <w:r w:rsidRPr="001373D2">
        <w:t>.</w:t>
      </w:r>
    </w:p>
    <w:p w:rsidR="00715914" w:rsidRPr="001373D2" w:rsidRDefault="004F69B5" w:rsidP="00715914">
      <w:pPr>
        <w:pStyle w:val="ActHead5"/>
      </w:pPr>
      <w:bookmarkStart w:id="5" w:name="_Toc466383341"/>
      <w:r w:rsidRPr="001373D2">
        <w:rPr>
          <w:rStyle w:val="CharSectno"/>
        </w:rPr>
        <w:t>2</w:t>
      </w:r>
      <w:r w:rsidR="00715914" w:rsidRPr="001373D2">
        <w:t xml:space="preserve">  Commencement</w:t>
      </w:r>
      <w:bookmarkEnd w:id="5"/>
    </w:p>
    <w:p w:rsidR="006B1582" w:rsidRPr="001373D2" w:rsidRDefault="006B1582" w:rsidP="00EE678F">
      <w:pPr>
        <w:pStyle w:val="subsection"/>
      </w:pPr>
      <w:bookmarkStart w:id="6" w:name="_GoBack"/>
      <w:r w:rsidRPr="001373D2">
        <w:tab/>
        <w:t>(1)</w:t>
      </w:r>
      <w:r w:rsidRPr="001373D2">
        <w:tab/>
        <w:t>Each provision of this instrument specified in column 1 of the table commences, or is taken to have commenced, in accordance with column 2 of the table. Any other statement in column 2 has effect according to its terms.</w:t>
      </w:r>
      <w:bookmarkEnd w:id="6"/>
    </w:p>
    <w:p w:rsidR="006B1582" w:rsidRPr="001373D2" w:rsidRDefault="006B1582" w:rsidP="00EE678F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6B1582" w:rsidRPr="001373D2" w:rsidTr="00EE678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6B1582" w:rsidRPr="001373D2" w:rsidRDefault="006B1582" w:rsidP="00EE678F">
            <w:pPr>
              <w:pStyle w:val="TableHeading"/>
            </w:pPr>
            <w:r w:rsidRPr="001373D2">
              <w:t>Commencement information</w:t>
            </w:r>
          </w:p>
        </w:tc>
      </w:tr>
      <w:tr w:rsidR="006B1582" w:rsidRPr="001373D2" w:rsidTr="00EE678F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6B1582" w:rsidRPr="001373D2" w:rsidRDefault="006B1582" w:rsidP="00EE678F">
            <w:pPr>
              <w:pStyle w:val="TableHeading"/>
            </w:pPr>
            <w:r w:rsidRPr="001373D2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6B1582" w:rsidRPr="001373D2" w:rsidRDefault="006B1582" w:rsidP="00EE678F">
            <w:pPr>
              <w:pStyle w:val="TableHeading"/>
            </w:pPr>
            <w:r w:rsidRPr="001373D2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6B1582" w:rsidRPr="001373D2" w:rsidRDefault="006B1582" w:rsidP="00EE678F">
            <w:pPr>
              <w:pStyle w:val="TableHeading"/>
            </w:pPr>
            <w:r w:rsidRPr="001373D2">
              <w:t>Column 3</w:t>
            </w:r>
          </w:p>
        </w:tc>
      </w:tr>
      <w:tr w:rsidR="006B1582" w:rsidRPr="001373D2" w:rsidTr="00EE678F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6B1582" w:rsidRPr="001373D2" w:rsidRDefault="006B1582" w:rsidP="00EE678F">
            <w:pPr>
              <w:pStyle w:val="TableHeading"/>
            </w:pPr>
            <w:r w:rsidRPr="001373D2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6B1582" w:rsidRPr="001373D2" w:rsidRDefault="006B1582" w:rsidP="00EE678F">
            <w:pPr>
              <w:pStyle w:val="TableHeading"/>
            </w:pPr>
            <w:r w:rsidRPr="001373D2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6B1582" w:rsidRPr="001373D2" w:rsidRDefault="006B1582" w:rsidP="00EE678F">
            <w:pPr>
              <w:pStyle w:val="TableHeading"/>
            </w:pPr>
            <w:r w:rsidRPr="001373D2">
              <w:t>Date/Details</w:t>
            </w:r>
          </w:p>
        </w:tc>
      </w:tr>
      <w:tr w:rsidR="006B1582" w:rsidRPr="001373D2" w:rsidTr="00EE678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B1582" w:rsidRPr="001373D2" w:rsidRDefault="006B1582" w:rsidP="00EE678F">
            <w:pPr>
              <w:pStyle w:val="Tabletext"/>
            </w:pPr>
            <w:r w:rsidRPr="001373D2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B1582" w:rsidRPr="001373D2" w:rsidRDefault="00E81A22" w:rsidP="00EE678F">
            <w:pPr>
              <w:pStyle w:val="Tabletext"/>
            </w:pPr>
            <w:r w:rsidRPr="001373D2">
              <w:t>1</w:t>
            </w:r>
            <w:r w:rsidR="001373D2" w:rsidRPr="001373D2">
              <w:t> </w:t>
            </w:r>
            <w:r w:rsidRPr="001373D2">
              <w:t>April 2017.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1582" w:rsidRPr="001373D2" w:rsidRDefault="00E81A22" w:rsidP="00EE678F">
            <w:pPr>
              <w:pStyle w:val="Tabletext"/>
            </w:pPr>
            <w:r w:rsidRPr="001373D2">
              <w:t>1</w:t>
            </w:r>
            <w:r w:rsidR="001373D2" w:rsidRPr="001373D2">
              <w:t> </w:t>
            </w:r>
            <w:r w:rsidRPr="001373D2">
              <w:t>April 2017</w:t>
            </w:r>
          </w:p>
        </w:tc>
      </w:tr>
    </w:tbl>
    <w:p w:rsidR="006B1582" w:rsidRPr="001373D2" w:rsidRDefault="006B1582" w:rsidP="00EE678F">
      <w:pPr>
        <w:pStyle w:val="notetext"/>
      </w:pPr>
      <w:r w:rsidRPr="001373D2">
        <w:rPr>
          <w:snapToGrid w:val="0"/>
          <w:lang w:eastAsia="en-US"/>
        </w:rPr>
        <w:t>Note:</w:t>
      </w:r>
      <w:r w:rsidRPr="001373D2">
        <w:rPr>
          <w:snapToGrid w:val="0"/>
          <w:lang w:eastAsia="en-US"/>
        </w:rPr>
        <w:tab/>
        <w:t xml:space="preserve">This table relates only to the provisions of this </w:t>
      </w:r>
      <w:r w:rsidRPr="001373D2">
        <w:t xml:space="preserve">instrument </w:t>
      </w:r>
      <w:r w:rsidRPr="001373D2">
        <w:rPr>
          <w:snapToGrid w:val="0"/>
          <w:lang w:eastAsia="en-US"/>
        </w:rPr>
        <w:t xml:space="preserve">as originally made. It will not be amended to deal with any later amendments of this </w:t>
      </w:r>
      <w:r w:rsidRPr="001373D2">
        <w:t>instrument</w:t>
      </w:r>
      <w:r w:rsidRPr="001373D2">
        <w:rPr>
          <w:snapToGrid w:val="0"/>
          <w:lang w:eastAsia="en-US"/>
        </w:rPr>
        <w:t>.</w:t>
      </w:r>
    </w:p>
    <w:p w:rsidR="006B1582" w:rsidRPr="001373D2" w:rsidRDefault="006B1582" w:rsidP="00EE678F">
      <w:pPr>
        <w:pStyle w:val="subsection"/>
      </w:pPr>
      <w:r w:rsidRPr="001373D2">
        <w:tab/>
        <w:t>(2)</w:t>
      </w:r>
      <w:r w:rsidRPr="001373D2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CE493D" w:rsidRPr="001373D2" w:rsidRDefault="004F69B5" w:rsidP="00E85C54">
      <w:pPr>
        <w:pStyle w:val="ActHead5"/>
      </w:pPr>
      <w:bookmarkStart w:id="7" w:name="_Toc466383342"/>
      <w:r w:rsidRPr="001373D2">
        <w:rPr>
          <w:rStyle w:val="CharSectno"/>
        </w:rPr>
        <w:t>3</w:t>
      </w:r>
      <w:r w:rsidR="00E85C54" w:rsidRPr="001373D2">
        <w:t xml:space="preserve">  Authority</w:t>
      </w:r>
      <w:bookmarkEnd w:id="7"/>
    </w:p>
    <w:p w:rsidR="00E708D8" w:rsidRPr="001373D2" w:rsidRDefault="00E85C54" w:rsidP="00E85C54">
      <w:pPr>
        <w:pStyle w:val="subsection"/>
      </w:pPr>
      <w:r w:rsidRPr="001373D2">
        <w:tab/>
      </w:r>
      <w:r w:rsidRPr="001373D2">
        <w:tab/>
        <w:t xml:space="preserve">This </w:t>
      </w:r>
      <w:r w:rsidR="000D242B" w:rsidRPr="001373D2">
        <w:t>instrument</w:t>
      </w:r>
      <w:r w:rsidRPr="001373D2">
        <w:t xml:space="preserve"> is made under </w:t>
      </w:r>
      <w:r w:rsidR="001B39BC" w:rsidRPr="001373D2">
        <w:t xml:space="preserve">the </w:t>
      </w:r>
      <w:r w:rsidR="000D242B" w:rsidRPr="001373D2">
        <w:rPr>
          <w:i/>
        </w:rPr>
        <w:t>Commerce (Trade Descriptions) Act 1905</w:t>
      </w:r>
      <w:r w:rsidR="00EC01C1" w:rsidRPr="001373D2">
        <w:t>.</w:t>
      </w:r>
    </w:p>
    <w:p w:rsidR="00FC235D" w:rsidRPr="001373D2" w:rsidRDefault="00FC235D" w:rsidP="00FC235D">
      <w:pPr>
        <w:pStyle w:val="notetext"/>
      </w:pPr>
      <w:r w:rsidRPr="001373D2">
        <w:t>Note:</w:t>
      </w:r>
      <w:r w:rsidRPr="001373D2">
        <w:rPr>
          <w:b/>
        </w:rPr>
        <w:tab/>
      </w:r>
      <w:r w:rsidR="00FF616B" w:rsidRPr="001373D2">
        <w:t xml:space="preserve">The Act is incorporated and read as one with the </w:t>
      </w:r>
      <w:r w:rsidR="00FF616B" w:rsidRPr="001373D2">
        <w:rPr>
          <w:i/>
        </w:rPr>
        <w:t>Customs Act 1901</w:t>
      </w:r>
      <w:r w:rsidR="00FF616B" w:rsidRPr="001373D2">
        <w:t>: see section</w:t>
      </w:r>
      <w:r w:rsidR="001373D2" w:rsidRPr="001373D2">
        <w:t> </w:t>
      </w:r>
      <w:r w:rsidR="00FF616B" w:rsidRPr="001373D2">
        <w:t>2 of the Act.</w:t>
      </w:r>
    </w:p>
    <w:p w:rsidR="00903346" w:rsidRPr="001373D2" w:rsidRDefault="004F69B5" w:rsidP="00903346">
      <w:pPr>
        <w:pStyle w:val="ActHead5"/>
      </w:pPr>
      <w:bookmarkStart w:id="8" w:name="_Toc466383343"/>
      <w:r w:rsidRPr="001373D2">
        <w:rPr>
          <w:rStyle w:val="CharSectno"/>
        </w:rPr>
        <w:t>4</w:t>
      </w:r>
      <w:r w:rsidR="00903346" w:rsidRPr="001373D2">
        <w:t xml:space="preserve">  Schedules</w:t>
      </w:r>
      <w:bookmarkEnd w:id="8"/>
    </w:p>
    <w:p w:rsidR="00903346" w:rsidRPr="001373D2" w:rsidRDefault="00903346" w:rsidP="00903346">
      <w:pPr>
        <w:pStyle w:val="subsection"/>
      </w:pPr>
      <w:r w:rsidRPr="001373D2">
        <w:tab/>
      </w:r>
      <w:r w:rsidRPr="001373D2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903346" w:rsidRPr="001373D2" w:rsidRDefault="004F69B5" w:rsidP="00903346">
      <w:pPr>
        <w:pStyle w:val="ActHead5"/>
      </w:pPr>
      <w:bookmarkStart w:id="9" w:name="_Toc466383344"/>
      <w:r w:rsidRPr="001373D2">
        <w:rPr>
          <w:rStyle w:val="CharSectno"/>
        </w:rPr>
        <w:t>5</w:t>
      </w:r>
      <w:r w:rsidR="00903346" w:rsidRPr="001373D2">
        <w:t xml:space="preserve">  </w:t>
      </w:r>
      <w:r w:rsidR="00727788" w:rsidRPr="001373D2">
        <w:t>Definitions</w:t>
      </w:r>
      <w:bookmarkEnd w:id="9"/>
    </w:p>
    <w:p w:rsidR="00903346" w:rsidRPr="001373D2" w:rsidRDefault="00903346" w:rsidP="00903346">
      <w:pPr>
        <w:pStyle w:val="notetext"/>
      </w:pPr>
      <w:r w:rsidRPr="001373D2">
        <w:t>Note:</w:t>
      </w:r>
      <w:r w:rsidRPr="001373D2">
        <w:tab/>
        <w:t>A number of expressions used in this instrument are defined in the Act</w:t>
      </w:r>
      <w:r w:rsidR="00D43C6A" w:rsidRPr="001373D2">
        <w:t>,</w:t>
      </w:r>
      <w:r w:rsidRPr="001373D2">
        <w:t xml:space="preserve"> including the following:</w:t>
      </w:r>
    </w:p>
    <w:p w:rsidR="00E132B8" w:rsidRPr="001373D2" w:rsidRDefault="00E132B8" w:rsidP="00DD5E3D">
      <w:pPr>
        <w:pStyle w:val="notepara"/>
      </w:pPr>
      <w:r w:rsidRPr="001373D2">
        <w:t>(a)</w:t>
      </w:r>
      <w:r w:rsidRPr="001373D2">
        <w:tab/>
        <w:t>covering;</w:t>
      </w:r>
    </w:p>
    <w:p w:rsidR="00E132B8" w:rsidRPr="001373D2" w:rsidRDefault="00E132B8" w:rsidP="00DD5E3D">
      <w:pPr>
        <w:pStyle w:val="notepara"/>
      </w:pPr>
      <w:r w:rsidRPr="001373D2">
        <w:t>(b)</w:t>
      </w:r>
      <w:r w:rsidRPr="001373D2">
        <w:tab/>
        <w:t>label;</w:t>
      </w:r>
    </w:p>
    <w:p w:rsidR="00DD5E3D" w:rsidRPr="001373D2" w:rsidRDefault="00E132B8" w:rsidP="00DD5E3D">
      <w:pPr>
        <w:pStyle w:val="notepara"/>
      </w:pPr>
      <w:r w:rsidRPr="001373D2">
        <w:t>(c)</w:t>
      </w:r>
      <w:r w:rsidRPr="001373D2">
        <w:tab/>
      </w:r>
      <w:r w:rsidR="000815D5" w:rsidRPr="001373D2">
        <w:t>officer;</w:t>
      </w:r>
    </w:p>
    <w:p w:rsidR="000815D5" w:rsidRPr="001373D2" w:rsidRDefault="00E132B8" w:rsidP="00DD5E3D">
      <w:pPr>
        <w:pStyle w:val="notepara"/>
      </w:pPr>
      <w:r w:rsidRPr="001373D2">
        <w:t>(d)</w:t>
      </w:r>
      <w:r w:rsidRPr="001373D2">
        <w:tab/>
      </w:r>
      <w:r w:rsidR="00122D13" w:rsidRPr="001373D2">
        <w:t>trade description.</w:t>
      </w:r>
    </w:p>
    <w:p w:rsidR="00903346" w:rsidRPr="001373D2" w:rsidRDefault="00105E4B" w:rsidP="00105E4B">
      <w:pPr>
        <w:pStyle w:val="subsection"/>
      </w:pPr>
      <w:r w:rsidRPr="001373D2">
        <w:tab/>
      </w:r>
      <w:r w:rsidRPr="001373D2">
        <w:tab/>
      </w:r>
      <w:r w:rsidR="00903346" w:rsidRPr="001373D2">
        <w:t>In this instrument:</w:t>
      </w:r>
    </w:p>
    <w:p w:rsidR="00903346" w:rsidRPr="001373D2" w:rsidRDefault="00903346" w:rsidP="00903346">
      <w:pPr>
        <w:pStyle w:val="Definition"/>
      </w:pPr>
      <w:r w:rsidRPr="001373D2">
        <w:rPr>
          <w:b/>
          <w:i/>
        </w:rPr>
        <w:t>Act</w:t>
      </w:r>
      <w:r w:rsidRPr="001373D2">
        <w:t xml:space="preserve"> means the </w:t>
      </w:r>
      <w:r w:rsidRPr="001373D2">
        <w:rPr>
          <w:i/>
        </w:rPr>
        <w:t>Commerce (Trade Descriptions) Act 1905</w:t>
      </w:r>
      <w:r w:rsidRPr="001373D2">
        <w:t>.</w:t>
      </w:r>
    </w:p>
    <w:p w:rsidR="008709C7" w:rsidRPr="001373D2" w:rsidRDefault="008709C7" w:rsidP="009E3B60">
      <w:pPr>
        <w:pStyle w:val="Definition"/>
      </w:pPr>
      <w:r w:rsidRPr="001373D2">
        <w:rPr>
          <w:b/>
          <w:i/>
        </w:rPr>
        <w:t>analyst</w:t>
      </w:r>
      <w:r w:rsidRPr="001373D2">
        <w:t xml:space="preserve"> means a person appointed under section</w:t>
      </w:r>
      <w:r w:rsidR="001373D2" w:rsidRPr="001373D2">
        <w:t> </w:t>
      </w:r>
      <w:r w:rsidR="004F69B5" w:rsidRPr="001373D2">
        <w:t>22</w:t>
      </w:r>
      <w:r w:rsidRPr="001373D2">
        <w:t>.</w:t>
      </w:r>
    </w:p>
    <w:p w:rsidR="005968E3" w:rsidRPr="001373D2" w:rsidRDefault="005968E3" w:rsidP="005968E3">
      <w:pPr>
        <w:pStyle w:val="Definition"/>
      </w:pPr>
      <w:r w:rsidRPr="001373D2">
        <w:rPr>
          <w:b/>
          <w:bCs/>
          <w:i/>
          <w:iCs/>
        </w:rPr>
        <w:t>article</w:t>
      </w:r>
      <w:r w:rsidRPr="001373D2">
        <w:rPr>
          <w:b/>
          <w:i/>
          <w:sz w:val="16"/>
          <w:szCs w:val="16"/>
        </w:rPr>
        <w:t xml:space="preserve"> </w:t>
      </w:r>
      <w:r w:rsidRPr="001373D2">
        <w:t>includes quantity of a substance.</w:t>
      </w:r>
    </w:p>
    <w:p w:rsidR="00ED513B" w:rsidRPr="001373D2" w:rsidRDefault="00ED513B" w:rsidP="00ED513B">
      <w:pPr>
        <w:pStyle w:val="Definition"/>
      </w:pPr>
      <w:r w:rsidRPr="001373D2">
        <w:rPr>
          <w:b/>
          <w:bCs/>
          <w:i/>
          <w:iCs/>
        </w:rPr>
        <w:t>drug</w:t>
      </w:r>
      <w:r w:rsidRPr="001373D2">
        <w:rPr>
          <w:b/>
          <w:i/>
          <w:sz w:val="16"/>
          <w:szCs w:val="16"/>
        </w:rPr>
        <w:t xml:space="preserve"> </w:t>
      </w:r>
      <w:r w:rsidRPr="001373D2">
        <w:t>means a substance used as a medicine or in the composition or preparation of a medicine.</w:t>
      </w:r>
    </w:p>
    <w:p w:rsidR="0075357B" w:rsidRPr="001373D2" w:rsidRDefault="0075357B" w:rsidP="0075357B">
      <w:pPr>
        <w:pStyle w:val="Definition"/>
      </w:pPr>
      <w:r w:rsidRPr="001373D2">
        <w:rPr>
          <w:b/>
          <w:i/>
        </w:rPr>
        <w:t>examinable goods</w:t>
      </w:r>
      <w:r w:rsidRPr="001373D2">
        <w:rPr>
          <w:b/>
        </w:rPr>
        <w:t xml:space="preserve"> </w:t>
      </w:r>
      <w:r w:rsidRPr="001373D2">
        <w:t>means:</w:t>
      </w:r>
    </w:p>
    <w:p w:rsidR="0075357B" w:rsidRPr="001373D2" w:rsidRDefault="0075357B" w:rsidP="0075357B">
      <w:pPr>
        <w:pStyle w:val="paragraph"/>
      </w:pPr>
      <w:r w:rsidRPr="001373D2">
        <w:tab/>
        <w:t>(a)</w:t>
      </w:r>
      <w:r w:rsidRPr="001373D2">
        <w:tab/>
        <w:t>goods to which a trade description is applied;</w:t>
      </w:r>
      <w:r w:rsidR="008442BC" w:rsidRPr="001373D2">
        <w:t xml:space="preserve"> or</w:t>
      </w:r>
    </w:p>
    <w:p w:rsidR="008442BC" w:rsidRPr="001373D2" w:rsidRDefault="0075357B" w:rsidP="0075357B">
      <w:pPr>
        <w:pStyle w:val="paragraph"/>
      </w:pPr>
      <w:r w:rsidRPr="001373D2">
        <w:tab/>
        <w:t>(b)</w:t>
      </w:r>
      <w:r w:rsidRPr="001373D2">
        <w:tab/>
        <w:t xml:space="preserve">goods covered by </w:t>
      </w:r>
      <w:r w:rsidR="002E5B9B" w:rsidRPr="001373D2">
        <w:t>Subdivision B of Division</w:t>
      </w:r>
      <w:r w:rsidR="001373D2" w:rsidRPr="001373D2">
        <w:t> </w:t>
      </w:r>
      <w:r w:rsidR="002E5B9B" w:rsidRPr="001373D2">
        <w:t>1 of Part</w:t>
      </w:r>
      <w:r w:rsidR="001373D2" w:rsidRPr="001373D2">
        <w:t> </w:t>
      </w:r>
      <w:r w:rsidR="002E5B9B" w:rsidRPr="001373D2">
        <w:t xml:space="preserve">2 </w:t>
      </w:r>
      <w:r w:rsidRPr="001373D2">
        <w:t xml:space="preserve">(which </w:t>
      </w:r>
      <w:r w:rsidR="002E5B9B" w:rsidRPr="001373D2">
        <w:t>is</w:t>
      </w:r>
      <w:r w:rsidRPr="001373D2">
        <w:t xml:space="preserve"> about goods whose import is prohibited unless certain trade descriptions are applied)</w:t>
      </w:r>
      <w:r w:rsidR="008442BC" w:rsidRPr="001373D2">
        <w:t>; or</w:t>
      </w:r>
    </w:p>
    <w:p w:rsidR="0075357B" w:rsidRPr="001373D2" w:rsidRDefault="008442BC" w:rsidP="0075357B">
      <w:pPr>
        <w:pStyle w:val="paragraph"/>
      </w:pPr>
      <w:r w:rsidRPr="001373D2">
        <w:tab/>
        <w:t>(c)</w:t>
      </w:r>
      <w:r w:rsidRPr="001373D2">
        <w:tab/>
        <w:t>goods covered by Subdivision C of Division</w:t>
      </w:r>
      <w:r w:rsidR="001373D2" w:rsidRPr="001373D2">
        <w:t> </w:t>
      </w:r>
      <w:r w:rsidRPr="001373D2">
        <w:t>1 of Part</w:t>
      </w:r>
      <w:r w:rsidR="001373D2" w:rsidRPr="001373D2">
        <w:t> </w:t>
      </w:r>
      <w:r w:rsidRPr="001373D2">
        <w:t>2 (which is about goods that may be imported without a trade description)</w:t>
      </w:r>
      <w:r w:rsidR="0075357B" w:rsidRPr="001373D2">
        <w:t>.</w:t>
      </w:r>
    </w:p>
    <w:p w:rsidR="00DA5AA1" w:rsidRPr="001373D2" w:rsidRDefault="009E3B60" w:rsidP="00DA5AA1">
      <w:pPr>
        <w:pStyle w:val="Definition"/>
      </w:pPr>
      <w:r w:rsidRPr="001373D2">
        <w:rPr>
          <w:b/>
          <w:bCs/>
          <w:i/>
          <w:iCs/>
        </w:rPr>
        <w:t>fibre</w:t>
      </w:r>
      <w:r w:rsidRPr="001373D2">
        <w:rPr>
          <w:b/>
          <w:i/>
          <w:sz w:val="16"/>
          <w:szCs w:val="16"/>
        </w:rPr>
        <w:t xml:space="preserve"> </w:t>
      </w:r>
      <w:r w:rsidR="00FB774B" w:rsidRPr="001373D2">
        <w:t>means</w:t>
      </w:r>
      <w:r w:rsidR="00DA5AA1" w:rsidRPr="001373D2">
        <w:t xml:space="preserve"> a </w:t>
      </w:r>
      <w:r w:rsidR="008604D9" w:rsidRPr="001373D2">
        <w:t xml:space="preserve">natural or artificial </w:t>
      </w:r>
      <w:r w:rsidR="00DA5AA1" w:rsidRPr="001373D2">
        <w:t>fibrous material.</w:t>
      </w:r>
    </w:p>
    <w:p w:rsidR="00A00146" w:rsidRPr="001373D2" w:rsidRDefault="00A00146" w:rsidP="00DA5AA1">
      <w:pPr>
        <w:pStyle w:val="Definition"/>
      </w:pPr>
      <w:r w:rsidRPr="001373D2">
        <w:rPr>
          <w:b/>
          <w:i/>
        </w:rPr>
        <w:t>food</w:t>
      </w:r>
      <w:r w:rsidRPr="001373D2">
        <w:t xml:space="preserve"> has the same meaning as in the </w:t>
      </w:r>
      <w:r w:rsidRPr="001373D2">
        <w:rPr>
          <w:i/>
        </w:rPr>
        <w:t>Food Standards Australia New Zealand Act 1991</w:t>
      </w:r>
      <w:r w:rsidRPr="001373D2">
        <w:t>.</w:t>
      </w:r>
    </w:p>
    <w:p w:rsidR="00A00146" w:rsidRPr="001373D2" w:rsidRDefault="00A00146" w:rsidP="00A00146">
      <w:pPr>
        <w:pStyle w:val="notetext"/>
      </w:pPr>
      <w:r w:rsidRPr="001373D2">
        <w:t>Note:</w:t>
      </w:r>
      <w:r w:rsidRPr="001373D2">
        <w:tab/>
        <w:t>Food therefore includes (among other things) anything declared under section</w:t>
      </w:r>
      <w:r w:rsidR="001373D2" w:rsidRPr="001373D2">
        <w:t> </w:t>
      </w:r>
      <w:r w:rsidRPr="001373D2">
        <w:t xml:space="preserve">6 of the </w:t>
      </w:r>
      <w:r w:rsidRPr="001373D2">
        <w:rPr>
          <w:i/>
        </w:rPr>
        <w:t>Food Standards Australia New Zealand Act 1991</w:t>
      </w:r>
      <w:r w:rsidRPr="001373D2">
        <w:t xml:space="preserve"> by the Minister administering that Act to be food for the purposes of that Act.</w:t>
      </w:r>
    </w:p>
    <w:p w:rsidR="009E3B60" w:rsidRPr="001373D2" w:rsidRDefault="009E3B60" w:rsidP="009E3B60">
      <w:pPr>
        <w:pStyle w:val="Definition"/>
      </w:pPr>
      <w:r w:rsidRPr="001373D2">
        <w:rPr>
          <w:b/>
          <w:bCs/>
          <w:i/>
          <w:iCs/>
        </w:rPr>
        <w:t>package</w:t>
      </w:r>
      <w:r w:rsidRPr="001373D2">
        <w:rPr>
          <w:b/>
          <w:i/>
          <w:sz w:val="16"/>
          <w:szCs w:val="16"/>
        </w:rPr>
        <w:t xml:space="preserve"> </w:t>
      </w:r>
      <w:r w:rsidRPr="001373D2">
        <w:t>includes:</w:t>
      </w:r>
    </w:p>
    <w:p w:rsidR="009E3B60" w:rsidRPr="001373D2" w:rsidRDefault="009E3B60" w:rsidP="009E3B60">
      <w:pPr>
        <w:pStyle w:val="paragraph"/>
      </w:pPr>
      <w:r w:rsidRPr="001373D2">
        <w:tab/>
        <w:t>(a)</w:t>
      </w:r>
      <w:r w:rsidRPr="001373D2">
        <w:tab/>
        <w:t>a container, wrapper or other thing in w</w:t>
      </w:r>
      <w:r w:rsidR="00C30947" w:rsidRPr="001373D2">
        <w:t>hich an article is packed</w:t>
      </w:r>
      <w:r w:rsidR="002F007D" w:rsidRPr="001373D2">
        <w:t>,</w:t>
      </w:r>
      <w:r w:rsidR="00C30947" w:rsidRPr="001373D2">
        <w:t xml:space="preserve"> or 2</w:t>
      </w:r>
      <w:r w:rsidRPr="001373D2">
        <w:t xml:space="preserve"> or more articles are packed</w:t>
      </w:r>
      <w:r w:rsidR="002F007D" w:rsidRPr="001373D2">
        <w:t>,</w:t>
      </w:r>
      <w:r w:rsidRPr="001373D2">
        <w:t xml:space="preserve"> for sale as a single item;</w:t>
      </w:r>
      <w:r w:rsidR="00993115" w:rsidRPr="001373D2">
        <w:t xml:space="preserve"> and</w:t>
      </w:r>
    </w:p>
    <w:p w:rsidR="009E3B60" w:rsidRPr="001373D2" w:rsidRDefault="009E3B60" w:rsidP="009E3B60">
      <w:pPr>
        <w:pStyle w:val="paragraph"/>
      </w:pPr>
      <w:r w:rsidRPr="001373D2">
        <w:tab/>
        <w:t>(b)</w:t>
      </w:r>
      <w:r w:rsidRPr="001373D2">
        <w:tab/>
        <w:t>a holder to which an article is attached for the purpose of sale; and</w:t>
      </w:r>
    </w:p>
    <w:p w:rsidR="009E3B60" w:rsidRPr="001373D2" w:rsidRDefault="009E3B60" w:rsidP="009E3B60">
      <w:pPr>
        <w:pStyle w:val="paragraph"/>
      </w:pPr>
      <w:r w:rsidRPr="001373D2">
        <w:tab/>
        <w:t>(c)</w:t>
      </w:r>
      <w:r w:rsidRPr="001373D2">
        <w:tab/>
        <w:t>a band that is fixed round an article or articles as part of the preparation of that article or those articles for sale.</w:t>
      </w:r>
    </w:p>
    <w:p w:rsidR="00313E34" w:rsidRPr="001373D2" w:rsidRDefault="00313E34" w:rsidP="00313E34">
      <w:pPr>
        <w:pStyle w:val="notetext"/>
      </w:pPr>
      <w:r w:rsidRPr="001373D2">
        <w:t>Note:</w:t>
      </w:r>
      <w:r w:rsidRPr="001373D2">
        <w:tab/>
        <w:t xml:space="preserve">Paragraph </w:t>
      </w:r>
      <w:r w:rsidR="004F69B5" w:rsidRPr="001373D2">
        <w:t>6</w:t>
      </w:r>
      <w:r w:rsidRPr="001373D2">
        <w:t>(1)(</w:t>
      </w:r>
      <w:r w:rsidR="000D27DA" w:rsidRPr="001373D2">
        <w:t>b</w:t>
      </w:r>
      <w:r w:rsidRPr="001373D2">
        <w:t>) affects the meaning of a reference to a package of goods.</w:t>
      </w:r>
    </w:p>
    <w:p w:rsidR="009148B2" w:rsidRPr="001373D2" w:rsidRDefault="009148B2" w:rsidP="009E3B60">
      <w:pPr>
        <w:pStyle w:val="Definition"/>
        <w:rPr>
          <w:bCs/>
          <w:iCs/>
        </w:rPr>
      </w:pPr>
      <w:r w:rsidRPr="001373D2">
        <w:rPr>
          <w:b/>
          <w:bCs/>
          <w:i/>
          <w:iCs/>
        </w:rPr>
        <w:t>prepacked article</w:t>
      </w:r>
      <w:r w:rsidR="00FB4EFF" w:rsidRPr="001373D2">
        <w:rPr>
          <w:bCs/>
          <w:iCs/>
        </w:rPr>
        <w:t xml:space="preserve"> means </w:t>
      </w:r>
      <w:r w:rsidR="00FB4EFF" w:rsidRPr="001373D2">
        <w:t>an article of goods that are packed in a way in which goods of that kind are commonly packed for sale.</w:t>
      </w:r>
    </w:p>
    <w:p w:rsidR="00E132B8" w:rsidRPr="001373D2" w:rsidRDefault="00D564DF" w:rsidP="00E132B8">
      <w:pPr>
        <w:pStyle w:val="Definition"/>
      </w:pPr>
      <w:r w:rsidRPr="001373D2">
        <w:rPr>
          <w:b/>
          <w:bCs/>
          <w:i/>
          <w:iCs/>
        </w:rPr>
        <w:t>priority food</w:t>
      </w:r>
      <w:r w:rsidRPr="001373D2">
        <w:rPr>
          <w:bCs/>
          <w:iCs/>
        </w:rPr>
        <w:t xml:space="preserve"> means food other than non</w:t>
      </w:r>
      <w:r w:rsidR="001373D2">
        <w:rPr>
          <w:bCs/>
          <w:iCs/>
        </w:rPr>
        <w:noBreakHyphen/>
      </w:r>
      <w:r w:rsidRPr="001373D2">
        <w:rPr>
          <w:bCs/>
          <w:iCs/>
        </w:rPr>
        <w:t>priority food</w:t>
      </w:r>
      <w:r w:rsidR="00E132B8" w:rsidRPr="001373D2">
        <w:rPr>
          <w:bCs/>
          <w:iCs/>
        </w:rPr>
        <w:t xml:space="preserve"> within the meaning of the </w:t>
      </w:r>
      <w:r w:rsidR="00E132B8" w:rsidRPr="001373D2">
        <w:rPr>
          <w:i/>
        </w:rPr>
        <w:t xml:space="preserve">Country of Origin Food Labelling </w:t>
      </w:r>
      <w:r w:rsidR="00BE3EF6" w:rsidRPr="001373D2">
        <w:rPr>
          <w:i/>
        </w:rPr>
        <w:t xml:space="preserve">Information </w:t>
      </w:r>
      <w:r w:rsidR="00E132B8" w:rsidRPr="001373D2">
        <w:rPr>
          <w:i/>
        </w:rPr>
        <w:t>Standard 2016</w:t>
      </w:r>
      <w:r w:rsidR="00E132B8" w:rsidRPr="001373D2">
        <w:t xml:space="preserve"> as in force when this instrument commenced. For this purpose, assume that the Standard then defined “food” as having the same meaning as in the </w:t>
      </w:r>
      <w:r w:rsidR="00E132B8" w:rsidRPr="001373D2">
        <w:rPr>
          <w:i/>
        </w:rPr>
        <w:t>Food Standards Australia New Zealand Act 1991</w:t>
      </w:r>
      <w:r w:rsidR="00E132B8" w:rsidRPr="001373D2">
        <w:t>.</w:t>
      </w:r>
    </w:p>
    <w:p w:rsidR="009E3B60" w:rsidRPr="001373D2" w:rsidRDefault="009E3B60" w:rsidP="009E3B60">
      <w:pPr>
        <w:pStyle w:val="Definition"/>
      </w:pPr>
      <w:r w:rsidRPr="001373D2">
        <w:rPr>
          <w:b/>
          <w:bCs/>
          <w:i/>
          <w:iCs/>
        </w:rPr>
        <w:t>shoes</w:t>
      </w:r>
      <w:r w:rsidR="002C248C" w:rsidRPr="001373D2">
        <w:rPr>
          <w:bCs/>
          <w:iCs/>
        </w:rPr>
        <w:t>: see section</w:t>
      </w:r>
      <w:r w:rsidR="001373D2" w:rsidRPr="001373D2">
        <w:rPr>
          <w:bCs/>
          <w:iCs/>
        </w:rPr>
        <w:t> </w:t>
      </w:r>
      <w:r w:rsidR="004F69B5" w:rsidRPr="001373D2">
        <w:rPr>
          <w:bCs/>
          <w:iCs/>
        </w:rPr>
        <w:t>20</w:t>
      </w:r>
      <w:r w:rsidR="002C248C" w:rsidRPr="001373D2">
        <w:rPr>
          <w:bCs/>
          <w:iCs/>
        </w:rPr>
        <w:t>.</w:t>
      </w:r>
    </w:p>
    <w:p w:rsidR="009E3B60" w:rsidRPr="001373D2" w:rsidRDefault="009E3B60" w:rsidP="009E3B60">
      <w:pPr>
        <w:pStyle w:val="Definition"/>
      </w:pPr>
      <w:r w:rsidRPr="001373D2">
        <w:rPr>
          <w:b/>
          <w:bCs/>
          <w:i/>
          <w:iCs/>
        </w:rPr>
        <w:t>sock lining</w:t>
      </w:r>
      <w:r w:rsidR="002C248C" w:rsidRPr="001373D2">
        <w:rPr>
          <w:bCs/>
          <w:iCs/>
        </w:rPr>
        <w:t>: see section</w:t>
      </w:r>
      <w:r w:rsidR="001373D2" w:rsidRPr="001373D2">
        <w:rPr>
          <w:bCs/>
          <w:iCs/>
        </w:rPr>
        <w:t> </w:t>
      </w:r>
      <w:r w:rsidR="004F69B5" w:rsidRPr="001373D2">
        <w:rPr>
          <w:bCs/>
          <w:iCs/>
        </w:rPr>
        <w:t>20</w:t>
      </w:r>
      <w:r w:rsidR="002C248C" w:rsidRPr="001373D2">
        <w:rPr>
          <w:bCs/>
          <w:iCs/>
        </w:rPr>
        <w:t>.</w:t>
      </w:r>
    </w:p>
    <w:p w:rsidR="009E3B60" w:rsidRPr="001373D2" w:rsidRDefault="009E3B60" w:rsidP="002C248C">
      <w:pPr>
        <w:pStyle w:val="Definition"/>
      </w:pPr>
      <w:r w:rsidRPr="001373D2">
        <w:rPr>
          <w:b/>
          <w:bCs/>
          <w:i/>
          <w:iCs/>
        </w:rPr>
        <w:t>sole</w:t>
      </w:r>
      <w:r w:rsidR="002C248C" w:rsidRPr="001373D2">
        <w:rPr>
          <w:bCs/>
          <w:iCs/>
        </w:rPr>
        <w:t>: see section</w:t>
      </w:r>
      <w:r w:rsidR="001373D2" w:rsidRPr="001373D2">
        <w:rPr>
          <w:bCs/>
          <w:iCs/>
        </w:rPr>
        <w:t> </w:t>
      </w:r>
      <w:r w:rsidR="004F69B5" w:rsidRPr="001373D2">
        <w:rPr>
          <w:bCs/>
          <w:iCs/>
        </w:rPr>
        <w:t>20</w:t>
      </w:r>
      <w:r w:rsidR="002C248C" w:rsidRPr="001373D2">
        <w:rPr>
          <w:bCs/>
          <w:iCs/>
        </w:rPr>
        <w:t>.</w:t>
      </w:r>
    </w:p>
    <w:p w:rsidR="009E3B60" w:rsidRPr="001373D2" w:rsidRDefault="009E3B60" w:rsidP="009E3B60">
      <w:pPr>
        <w:pStyle w:val="Definition"/>
      </w:pPr>
      <w:r w:rsidRPr="001373D2">
        <w:rPr>
          <w:b/>
          <w:i/>
        </w:rPr>
        <w:t>textile products</w:t>
      </w:r>
      <w:r w:rsidRPr="001373D2">
        <w:rPr>
          <w:b/>
          <w:i/>
          <w:sz w:val="16"/>
          <w:szCs w:val="16"/>
        </w:rPr>
        <w:t xml:space="preserve"> </w:t>
      </w:r>
      <w:r w:rsidRPr="001373D2">
        <w:t>means:</w:t>
      </w:r>
    </w:p>
    <w:p w:rsidR="009E3B60" w:rsidRPr="001373D2" w:rsidRDefault="009E3B60" w:rsidP="009E3B60">
      <w:pPr>
        <w:pStyle w:val="paragraph"/>
      </w:pPr>
      <w:r w:rsidRPr="001373D2">
        <w:tab/>
        <w:t>(a)</w:t>
      </w:r>
      <w:r w:rsidRPr="001373D2">
        <w:tab/>
        <w:t xml:space="preserve">woven, knitted or felted materials manufactured from fibre; </w:t>
      </w:r>
      <w:r w:rsidR="00022A14" w:rsidRPr="001373D2">
        <w:t>or</w:t>
      </w:r>
    </w:p>
    <w:p w:rsidR="009E3B60" w:rsidRPr="001373D2" w:rsidRDefault="009E3B60" w:rsidP="009E3B60">
      <w:pPr>
        <w:pStyle w:val="paragraph"/>
      </w:pPr>
      <w:r w:rsidRPr="001373D2">
        <w:tab/>
        <w:t>(b)</w:t>
      </w:r>
      <w:r w:rsidRPr="001373D2">
        <w:tab/>
        <w:t xml:space="preserve">tops, yarns, threads </w:t>
      </w:r>
      <w:r w:rsidR="008709C7" w:rsidRPr="001373D2">
        <w:t>or</w:t>
      </w:r>
      <w:r w:rsidRPr="001373D2">
        <w:t xml:space="preserve"> lace.</w:t>
      </w:r>
    </w:p>
    <w:p w:rsidR="009E3B60" w:rsidRPr="001373D2" w:rsidRDefault="009E3B60" w:rsidP="009E3B60">
      <w:pPr>
        <w:pStyle w:val="Definition"/>
      </w:pPr>
      <w:r w:rsidRPr="001373D2">
        <w:rPr>
          <w:b/>
          <w:bCs/>
          <w:i/>
          <w:iCs/>
        </w:rPr>
        <w:t>upper</w:t>
      </w:r>
      <w:r w:rsidR="002C248C" w:rsidRPr="001373D2">
        <w:rPr>
          <w:bCs/>
          <w:iCs/>
        </w:rPr>
        <w:t>: see section</w:t>
      </w:r>
      <w:r w:rsidR="001373D2" w:rsidRPr="001373D2">
        <w:rPr>
          <w:bCs/>
          <w:iCs/>
        </w:rPr>
        <w:t> </w:t>
      </w:r>
      <w:r w:rsidR="004F69B5" w:rsidRPr="001373D2">
        <w:rPr>
          <w:bCs/>
          <w:iCs/>
        </w:rPr>
        <w:t>20</w:t>
      </w:r>
      <w:r w:rsidR="002C248C" w:rsidRPr="001373D2">
        <w:rPr>
          <w:bCs/>
          <w:iCs/>
        </w:rPr>
        <w:t>.</w:t>
      </w:r>
    </w:p>
    <w:p w:rsidR="00ED533F" w:rsidRPr="001373D2" w:rsidRDefault="004F69B5" w:rsidP="00ED533F">
      <w:pPr>
        <w:pStyle w:val="ActHead5"/>
      </w:pPr>
      <w:bookmarkStart w:id="10" w:name="_Toc466383345"/>
      <w:r w:rsidRPr="001373D2">
        <w:rPr>
          <w:rStyle w:val="CharSectno"/>
        </w:rPr>
        <w:t>6</w:t>
      </w:r>
      <w:r w:rsidR="00ED533F" w:rsidRPr="001373D2">
        <w:t xml:space="preserve">  </w:t>
      </w:r>
      <w:r w:rsidR="00BE4AA3" w:rsidRPr="001373D2">
        <w:t>Interpretation</w:t>
      </w:r>
      <w:r w:rsidR="002C248C" w:rsidRPr="001373D2">
        <w:t>—weights, measures</w:t>
      </w:r>
      <w:r w:rsidR="005352B6" w:rsidRPr="001373D2">
        <w:t>, packages of goods</w:t>
      </w:r>
      <w:r w:rsidR="002C248C" w:rsidRPr="001373D2">
        <w:t xml:space="preserve"> and bundles of articles</w:t>
      </w:r>
      <w:bookmarkEnd w:id="10"/>
    </w:p>
    <w:p w:rsidR="00CA34F2" w:rsidRPr="001373D2" w:rsidRDefault="002153C1" w:rsidP="00CA34F2">
      <w:pPr>
        <w:pStyle w:val="subsection"/>
      </w:pPr>
      <w:r w:rsidRPr="001373D2">
        <w:tab/>
        <w:t>(1)</w:t>
      </w:r>
      <w:r w:rsidR="00CA34F2" w:rsidRPr="001373D2">
        <w:tab/>
        <w:t>In this instrument:</w:t>
      </w:r>
    </w:p>
    <w:p w:rsidR="002153C1" w:rsidRPr="001373D2" w:rsidRDefault="002153C1" w:rsidP="002153C1">
      <w:pPr>
        <w:pStyle w:val="paragraph"/>
      </w:pPr>
      <w:r w:rsidRPr="001373D2">
        <w:tab/>
        <w:t>(</w:t>
      </w:r>
      <w:r w:rsidR="00D43C6A" w:rsidRPr="001373D2">
        <w:t>a</w:t>
      </w:r>
      <w:r w:rsidRPr="001373D2">
        <w:t>)</w:t>
      </w:r>
      <w:r w:rsidRPr="001373D2">
        <w:tab/>
        <w:t xml:space="preserve">a reference to the weight or measure of an article </w:t>
      </w:r>
      <w:r w:rsidR="008709C7" w:rsidRPr="001373D2">
        <w:t xml:space="preserve">is </w:t>
      </w:r>
      <w:r w:rsidRPr="001373D2">
        <w:t>a reference to the weight or measure of the article exclusive of the weight or measure of th</w:t>
      </w:r>
      <w:r w:rsidR="00313E34" w:rsidRPr="001373D2">
        <w:t>e package in which it is packed; and</w:t>
      </w:r>
    </w:p>
    <w:p w:rsidR="00313E34" w:rsidRPr="001373D2" w:rsidRDefault="00D43C6A" w:rsidP="002153C1">
      <w:pPr>
        <w:pStyle w:val="paragraph"/>
      </w:pPr>
      <w:r w:rsidRPr="001373D2">
        <w:tab/>
        <w:t>(b</w:t>
      </w:r>
      <w:r w:rsidR="00313E34" w:rsidRPr="001373D2">
        <w:t>)</w:t>
      </w:r>
      <w:r w:rsidR="00313E34" w:rsidRPr="001373D2">
        <w:tab/>
        <w:t>a reference to a package of goods is a reference to a package:</w:t>
      </w:r>
    </w:p>
    <w:p w:rsidR="00313E34" w:rsidRPr="001373D2" w:rsidRDefault="00313E34" w:rsidP="00313E34">
      <w:pPr>
        <w:pStyle w:val="paragraphsub"/>
      </w:pPr>
      <w:r w:rsidRPr="001373D2">
        <w:tab/>
        <w:t>(i)</w:t>
      </w:r>
      <w:r w:rsidRPr="001373D2">
        <w:tab/>
        <w:t>in which the goods are fully or partly enclosed; or</w:t>
      </w:r>
    </w:p>
    <w:p w:rsidR="00313E34" w:rsidRPr="001373D2" w:rsidRDefault="00313E34" w:rsidP="00313E34">
      <w:pPr>
        <w:pStyle w:val="paragraphsub"/>
      </w:pPr>
      <w:r w:rsidRPr="001373D2">
        <w:tab/>
        <w:t>(ii)</w:t>
      </w:r>
      <w:r w:rsidRPr="001373D2">
        <w:tab/>
        <w:t>to which the goods are attached; or</w:t>
      </w:r>
    </w:p>
    <w:p w:rsidR="00313E34" w:rsidRPr="001373D2" w:rsidRDefault="00313E34" w:rsidP="00313E34">
      <w:pPr>
        <w:pStyle w:val="paragraphsub"/>
      </w:pPr>
      <w:r w:rsidRPr="001373D2">
        <w:tab/>
        <w:t>(iii)</w:t>
      </w:r>
      <w:r w:rsidRPr="001373D2">
        <w:tab/>
        <w:t>round which the goods are wound.</w:t>
      </w:r>
    </w:p>
    <w:p w:rsidR="004361EA" w:rsidRPr="001373D2" w:rsidRDefault="002153C1" w:rsidP="004361EA">
      <w:pPr>
        <w:pStyle w:val="subsection"/>
      </w:pPr>
      <w:r w:rsidRPr="001373D2">
        <w:tab/>
        <w:t>(2)</w:t>
      </w:r>
      <w:r w:rsidRPr="001373D2">
        <w:tab/>
        <w:t xml:space="preserve">For </w:t>
      </w:r>
      <w:r w:rsidR="0069119E" w:rsidRPr="001373D2">
        <w:t xml:space="preserve">the purposes of </w:t>
      </w:r>
      <w:r w:rsidR="004361EA" w:rsidRPr="001373D2">
        <w:t>this instrument:</w:t>
      </w:r>
    </w:p>
    <w:p w:rsidR="004361EA" w:rsidRPr="001373D2" w:rsidRDefault="004361EA" w:rsidP="004361EA">
      <w:pPr>
        <w:pStyle w:val="paragraph"/>
      </w:pPr>
      <w:r w:rsidRPr="001373D2">
        <w:tab/>
        <w:t>(a)</w:t>
      </w:r>
      <w:r w:rsidRPr="001373D2">
        <w:tab/>
        <w:t xml:space="preserve">2 or more articles </w:t>
      </w:r>
      <w:r w:rsidR="0069119E" w:rsidRPr="001373D2">
        <w:t xml:space="preserve">of the same kind </w:t>
      </w:r>
      <w:r w:rsidRPr="001373D2">
        <w:t>are taken to be a single article if</w:t>
      </w:r>
      <w:r w:rsidR="0069119E" w:rsidRPr="001373D2">
        <w:t xml:space="preserve"> they are packed together (whether by themselves or with one or more articles of one or more different kinds) for sale as a single article; and</w:t>
      </w:r>
    </w:p>
    <w:p w:rsidR="0069119E" w:rsidRPr="001373D2" w:rsidRDefault="0069119E" w:rsidP="004361EA">
      <w:pPr>
        <w:pStyle w:val="paragraph"/>
      </w:pPr>
      <w:r w:rsidRPr="001373D2">
        <w:tab/>
        <w:t>(b)</w:t>
      </w:r>
      <w:r w:rsidRPr="001373D2">
        <w:tab/>
        <w:t>a single article of a particular kind is a single article even if it is packed together with one or more articles of one or more different kinds for sale as a single article; and</w:t>
      </w:r>
    </w:p>
    <w:p w:rsidR="002153C1" w:rsidRPr="001373D2" w:rsidRDefault="0069119E" w:rsidP="004361EA">
      <w:pPr>
        <w:pStyle w:val="paragraph"/>
      </w:pPr>
      <w:r w:rsidRPr="001373D2">
        <w:tab/>
        <w:t>(c</w:t>
      </w:r>
      <w:r w:rsidR="004361EA" w:rsidRPr="001373D2">
        <w:t>)</w:t>
      </w:r>
      <w:r w:rsidR="004361EA" w:rsidRPr="001373D2">
        <w:tab/>
      </w:r>
      <w:r w:rsidR="002153C1" w:rsidRPr="001373D2">
        <w:t xml:space="preserve">if an article is packed in a </w:t>
      </w:r>
      <w:r w:rsidR="002C248C" w:rsidRPr="001373D2">
        <w:t>way</w:t>
      </w:r>
      <w:r w:rsidR="002153C1" w:rsidRPr="001373D2">
        <w:t xml:space="preserve"> in which it could be sold as a single item, it is taken to be packed for sale as a single item </w:t>
      </w:r>
      <w:r w:rsidR="00EF6B16" w:rsidRPr="001373D2">
        <w:t>unless the contrary is shown (for example on the packaging of the article)</w:t>
      </w:r>
      <w:r w:rsidR="002153C1" w:rsidRPr="001373D2">
        <w:t>.</w:t>
      </w:r>
    </w:p>
    <w:p w:rsidR="009E3B60" w:rsidRPr="001373D2" w:rsidRDefault="004F69B5" w:rsidP="009E3B60">
      <w:pPr>
        <w:pStyle w:val="ActHead5"/>
      </w:pPr>
      <w:bookmarkStart w:id="11" w:name="_Toc466383346"/>
      <w:r w:rsidRPr="001373D2">
        <w:rPr>
          <w:rStyle w:val="CharSectno"/>
        </w:rPr>
        <w:t>7</w:t>
      </w:r>
      <w:r w:rsidR="009E3B60" w:rsidRPr="001373D2">
        <w:t xml:space="preserve">  </w:t>
      </w:r>
      <w:r w:rsidR="0016590A" w:rsidRPr="001373D2">
        <w:t>T</w:t>
      </w:r>
      <w:r w:rsidR="006816E5" w:rsidRPr="001373D2">
        <w:t xml:space="preserve">his </w:t>
      </w:r>
      <w:r w:rsidR="0016590A" w:rsidRPr="001373D2">
        <w:t>instrument</w:t>
      </w:r>
      <w:r w:rsidR="006816E5" w:rsidRPr="001373D2">
        <w:t xml:space="preserve"> </w:t>
      </w:r>
      <w:r w:rsidR="0016590A" w:rsidRPr="001373D2">
        <w:t xml:space="preserve">does not apply </w:t>
      </w:r>
      <w:r w:rsidR="006816E5" w:rsidRPr="001373D2">
        <w:t>to s</w:t>
      </w:r>
      <w:r w:rsidR="009E3B60" w:rsidRPr="001373D2">
        <w:t>hip</w:t>
      </w:r>
      <w:r w:rsidR="0075357B" w:rsidRPr="001373D2">
        <w:t>’</w:t>
      </w:r>
      <w:r w:rsidR="009E3B60" w:rsidRPr="001373D2">
        <w:t xml:space="preserve">s </w:t>
      </w:r>
      <w:r w:rsidR="0016590A" w:rsidRPr="001373D2">
        <w:t>stores or</w:t>
      </w:r>
      <w:r w:rsidR="009E3B60" w:rsidRPr="001373D2">
        <w:t xml:space="preserve"> aircraft</w:t>
      </w:r>
      <w:r w:rsidR="0075357B" w:rsidRPr="001373D2">
        <w:t>’</w:t>
      </w:r>
      <w:r w:rsidR="009E3B60" w:rsidRPr="001373D2">
        <w:t>s stores</w:t>
      </w:r>
      <w:bookmarkEnd w:id="11"/>
    </w:p>
    <w:p w:rsidR="006816E5" w:rsidRPr="001373D2" w:rsidRDefault="009E3B60" w:rsidP="009E3B60">
      <w:pPr>
        <w:pStyle w:val="subsection"/>
      </w:pPr>
      <w:r w:rsidRPr="001373D2">
        <w:tab/>
      </w:r>
      <w:r w:rsidRPr="001373D2">
        <w:tab/>
      </w:r>
      <w:r w:rsidR="0016590A" w:rsidRPr="001373D2">
        <w:t>This instrument does not apply</w:t>
      </w:r>
      <w:r w:rsidR="006816E5" w:rsidRPr="001373D2">
        <w:t xml:space="preserve"> to ship</w:t>
      </w:r>
      <w:r w:rsidR="0075357B" w:rsidRPr="001373D2">
        <w:t>’</w:t>
      </w:r>
      <w:r w:rsidR="0016590A" w:rsidRPr="001373D2">
        <w:t>s stores (as defined in section</w:t>
      </w:r>
      <w:r w:rsidR="001373D2" w:rsidRPr="001373D2">
        <w:t> </w:t>
      </w:r>
      <w:r w:rsidR="0016590A" w:rsidRPr="001373D2">
        <w:t xml:space="preserve">130C of the </w:t>
      </w:r>
      <w:r w:rsidR="0016590A" w:rsidRPr="001373D2">
        <w:rPr>
          <w:i/>
        </w:rPr>
        <w:t>Customs Act 1901</w:t>
      </w:r>
      <w:r w:rsidR="0016590A" w:rsidRPr="001373D2">
        <w:t>)</w:t>
      </w:r>
      <w:r w:rsidR="006816E5" w:rsidRPr="001373D2">
        <w:t xml:space="preserve"> or aircraft</w:t>
      </w:r>
      <w:r w:rsidR="0075357B" w:rsidRPr="001373D2">
        <w:t>’</w:t>
      </w:r>
      <w:r w:rsidR="0016590A" w:rsidRPr="001373D2">
        <w:t>s</w:t>
      </w:r>
      <w:r w:rsidR="006816E5" w:rsidRPr="001373D2">
        <w:t xml:space="preserve"> store</w:t>
      </w:r>
      <w:r w:rsidR="0016590A" w:rsidRPr="001373D2">
        <w:t>s (as defined in that section)</w:t>
      </w:r>
      <w:r w:rsidR="006816E5" w:rsidRPr="001373D2">
        <w:t xml:space="preserve"> brought to Australia.</w:t>
      </w:r>
    </w:p>
    <w:p w:rsidR="00F25230" w:rsidRPr="001373D2" w:rsidRDefault="00F25230" w:rsidP="00F25230">
      <w:pPr>
        <w:pStyle w:val="ActHead2"/>
        <w:pageBreakBefore/>
      </w:pPr>
      <w:bookmarkStart w:id="12" w:name="_Toc466383347"/>
      <w:r w:rsidRPr="001373D2">
        <w:rPr>
          <w:rStyle w:val="CharPartNo"/>
        </w:rPr>
        <w:t>Part</w:t>
      </w:r>
      <w:r w:rsidR="001373D2" w:rsidRPr="001373D2">
        <w:rPr>
          <w:rStyle w:val="CharPartNo"/>
        </w:rPr>
        <w:t> </w:t>
      </w:r>
      <w:r w:rsidRPr="001373D2">
        <w:rPr>
          <w:rStyle w:val="CharPartNo"/>
        </w:rPr>
        <w:t>2</w:t>
      </w:r>
      <w:r w:rsidRPr="001373D2">
        <w:t>—</w:t>
      </w:r>
      <w:r w:rsidRPr="001373D2">
        <w:rPr>
          <w:rStyle w:val="CharPartText"/>
        </w:rPr>
        <w:t>Trade descriptions</w:t>
      </w:r>
      <w:r w:rsidR="00C3307E" w:rsidRPr="001373D2">
        <w:rPr>
          <w:rStyle w:val="CharPartText"/>
        </w:rPr>
        <w:t xml:space="preserve"> of goods imported</w:t>
      </w:r>
      <w:bookmarkEnd w:id="12"/>
    </w:p>
    <w:p w:rsidR="00320743" w:rsidRPr="001373D2" w:rsidRDefault="00320743" w:rsidP="00320743">
      <w:pPr>
        <w:pStyle w:val="ActHead3"/>
      </w:pPr>
      <w:bookmarkStart w:id="13" w:name="_Toc466383348"/>
      <w:r w:rsidRPr="001373D2">
        <w:rPr>
          <w:rStyle w:val="CharDivNo"/>
        </w:rPr>
        <w:t>Division</w:t>
      </w:r>
      <w:r w:rsidR="001373D2" w:rsidRPr="001373D2">
        <w:rPr>
          <w:rStyle w:val="CharDivNo"/>
        </w:rPr>
        <w:t> </w:t>
      </w:r>
      <w:r w:rsidRPr="001373D2">
        <w:rPr>
          <w:rStyle w:val="CharDivNo"/>
        </w:rPr>
        <w:t>1</w:t>
      </w:r>
      <w:r w:rsidR="009532AF" w:rsidRPr="001373D2">
        <w:t>—</w:t>
      </w:r>
      <w:r w:rsidR="009532AF" w:rsidRPr="001373D2">
        <w:rPr>
          <w:rStyle w:val="CharDivText"/>
        </w:rPr>
        <w:t>Prohibition of imports without trade descriptions</w:t>
      </w:r>
      <w:bookmarkEnd w:id="13"/>
    </w:p>
    <w:p w:rsidR="009532AF" w:rsidRPr="001373D2" w:rsidRDefault="009532AF" w:rsidP="009532AF">
      <w:pPr>
        <w:pStyle w:val="ActHead4"/>
      </w:pPr>
      <w:bookmarkStart w:id="14" w:name="_Toc466383349"/>
      <w:r w:rsidRPr="001373D2">
        <w:rPr>
          <w:rStyle w:val="CharSubdNo"/>
        </w:rPr>
        <w:t>Subdivision A</w:t>
      </w:r>
      <w:r w:rsidRPr="001373D2">
        <w:t>—</w:t>
      </w:r>
      <w:r w:rsidRPr="001373D2">
        <w:rPr>
          <w:rStyle w:val="CharSubdText"/>
        </w:rPr>
        <w:t>Prohibition</w:t>
      </w:r>
      <w:bookmarkEnd w:id="14"/>
    </w:p>
    <w:p w:rsidR="00F25230" w:rsidRPr="001373D2" w:rsidRDefault="004F69B5" w:rsidP="00F25230">
      <w:pPr>
        <w:pStyle w:val="ActHead5"/>
      </w:pPr>
      <w:bookmarkStart w:id="15" w:name="_Toc466383350"/>
      <w:r w:rsidRPr="001373D2">
        <w:rPr>
          <w:rStyle w:val="CharSectno"/>
        </w:rPr>
        <w:t>8</w:t>
      </w:r>
      <w:r w:rsidR="00F25230" w:rsidRPr="001373D2">
        <w:t xml:space="preserve">  </w:t>
      </w:r>
      <w:r w:rsidR="00E551A1" w:rsidRPr="001373D2">
        <w:t>P</w:t>
      </w:r>
      <w:r w:rsidR="00F25230" w:rsidRPr="001373D2">
        <w:t>rohibition of certain imports</w:t>
      </w:r>
      <w:r w:rsidR="00E551A1" w:rsidRPr="001373D2">
        <w:t xml:space="preserve"> unless trade description applied</w:t>
      </w:r>
      <w:bookmarkEnd w:id="15"/>
    </w:p>
    <w:p w:rsidR="008F5AAF" w:rsidRPr="001373D2" w:rsidRDefault="00F25230" w:rsidP="007A4F8C">
      <w:pPr>
        <w:pStyle w:val="subsection"/>
      </w:pPr>
      <w:r w:rsidRPr="001373D2">
        <w:tab/>
      </w:r>
      <w:r w:rsidR="008F5AAF" w:rsidRPr="001373D2">
        <w:tab/>
      </w:r>
      <w:r w:rsidR="009532AF" w:rsidRPr="001373D2">
        <w:t>A</w:t>
      </w:r>
      <w:r w:rsidR="002C248C" w:rsidRPr="001373D2">
        <w:t xml:space="preserve"> person must not import goods </w:t>
      </w:r>
      <w:r w:rsidR="00101DBC" w:rsidRPr="001373D2">
        <w:t xml:space="preserve">that are </w:t>
      </w:r>
      <w:r w:rsidR="002C248C" w:rsidRPr="001373D2">
        <w:t xml:space="preserve">covered by </w:t>
      </w:r>
      <w:r w:rsidR="009532AF" w:rsidRPr="001373D2">
        <w:t>Subdivision B</w:t>
      </w:r>
      <w:r w:rsidR="005352B6" w:rsidRPr="001373D2">
        <w:t xml:space="preserve"> </w:t>
      </w:r>
      <w:r w:rsidR="00101DBC" w:rsidRPr="001373D2">
        <w:t xml:space="preserve">and are not covered by Subdivision C, </w:t>
      </w:r>
      <w:r w:rsidR="007A4F8C" w:rsidRPr="001373D2">
        <w:t xml:space="preserve">unless a trade description is applied to the goods in accordance with </w:t>
      </w:r>
      <w:r w:rsidR="009532AF" w:rsidRPr="001373D2">
        <w:t>Division</w:t>
      </w:r>
      <w:r w:rsidR="001373D2" w:rsidRPr="001373D2">
        <w:t> </w:t>
      </w:r>
      <w:r w:rsidR="009532AF" w:rsidRPr="001373D2">
        <w:t>2</w:t>
      </w:r>
      <w:r w:rsidR="008F5AAF" w:rsidRPr="001373D2">
        <w:t>.</w:t>
      </w:r>
    </w:p>
    <w:p w:rsidR="009532AF" w:rsidRPr="001373D2" w:rsidRDefault="009532AF" w:rsidP="009532AF">
      <w:pPr>
        <w:pStyle w:val="notetext"/>
      </w:pPr>
      <w:r w:rsidRPr="001373D2">
        <w:t>Note:</w:t>
      </w:r>
      <w:r w:rsidRPr="001373D2">
        <w:tab/>
        <w:t>Section</w:t>
      </w:r>
      <w:r w:rsidR="001373D2" w:rsidRPr="001373D2">
        <w:t> </w:t>
      </w:r>
      <w:r w:rsidRPr="001373D2">
        <w:t>7 of the Act:</w:t>
      </w:r>
    </w:p>
    <w:p w:rsidR="009532AF" w:rsidRPr="001373D2" w:rsidRDefault="009532AF" w:rsidP="009532AF">
      <w:pPr>
        <w:pStyle w:val="notepara"/>
      </w:pPr>
      <w:r w:rsidRPr="001373D2">
        <w:t>(a)</w:t>
      </w:r>
      <w:r w:rsidRPr="001373D2">
        <w:tab/>
      </w:r>
      <w:r w:rsidR="00CE6D80" w:rsidRPr="001373D2">
        <w:t>provides the basis for this section; and</w:t>
      </w:r>
    </w:p>
    <w:p w:rsidR="00CE6D80" w:rsidRPr="001373D2" w:rsidRDefault="00CE6D80" w:rsidP="009532AF">
      <w:pPr>
        <w:pStyle w:val="notepara"/>
      </w:pPr>
      <w:r w:rsidRPr="001373D2">
        <w:t>(b)</w:t>
      </w:r>
      <w:r w:rsidRPr="001373D2">
        <w:tab/>
        <w:t>provides for the forfeiture of goods imported in contravention of this section.</w:t>
      </w:r>
    </w:p>
    <w:p w:rsidR="00CE6D80" w:rsidRPr="001373D2" w:rsidRDefault="00CE6D80" w:rsidP="00CE6D80">
      <w:pPr>
        <w:pStyle w:val="ActHead4"/>
      </w:pPr>
      <w:bookmarkStart w:id="16" w:name="_Toc466383351"/>
      <w:r w:rsidRPr="001373D2">
        <w:rPr>
          <w:rStyle w:val="CharSubdNo"/>
        </w:rPr>
        <w:t>Subdivision B</w:t>
      </w:r>
      <w:r w:rsidRPr="001373D2">
        <w:t>—</w:t>
      </w:r>
      <w:r w:rsidRPr="001373D2">
        <w:rPr>
          <w:rStyle w:val="CharSubdText"/>
        </w:rPr>
        <w:t xml:space="preserve">Goods whose import </w:t>
      </w:r>
      <w:r w:rsidR="00101DBC" w:rsidRPr="001373D2">
        <w:rPr>
          <w:rStyle w:val="CharSubdText"/>
        </w:rPr>
        <w:t xml:space="preserve">without trade description </w:t>
      </w:r>
      <w:r w:rsidRPr="001373D2">
        <w:rPr>
          <w:rStyle w:val="CharSubdText"/>
        </w:rPr>
        <w:t>is prohibited</w:t>
      </w:r>
      <w:bookmarkEnd w:id="16"/>
    </w:p>
    <w:p w:rsidR="00CE6D80" w:rsidRPr="001373D2" w:rsidRDefault="004F69B5" w:rsidP="00CE6D80">
      <w:pPr>
        <w:pStyle w:val="ActHead5"/>
      </w:pPr>
      <w:bookmarkStart w:id="17" w:name="_Toc466383352"/>
      <w:r w:rsidRPr="001373D2">
        <w:rPr>
          <w:rStyle w:val="CharSectno"/>
        </w:rPr>
        <w:t>9</w:t>
      </w:r>
      <w:r w:rsidR="002E5B9B" w:rsidRPr="001373D2">
        <w:t xml:space="preserve">  </w:t>
      </w:r>
      <w:r w:rsidR="00CE6D80" w:rsidRPr="001373D2">
        <w:t>General goods</w:t>
      </w:r>
      <w:bookmarkEnd w:id="17"/>
    </w:p>
    <w:p w:rsidR="00FB4EFF" w:rsidRPr="001373D2" w:rsidRDefault="00CE6D80" w:rsidP="00CE6D80">
      <w:pPr>
        <w:pStyle w:val="subsection"/>
      </w:pPr>
      <w:r w:rsidRPr="001373D2">
        <w:tab/>
      </w:r>
      <w:r w:rsidR="008F5AAF" w:rsidRPr="001373D2">
        <w:tab/>
      </w:r>
      <w:r w:rsidR="009777B8" w:rsidRPr="001373D2">
        <w:t xml:space="preserve">This </w:t>
      </w:r>
      <w:r w:rsidR="00D43C6A" w:rsidRPr="001373D2">
        <w:t>Subdivision</w:t>
      </w:r>
      <w:r w:rsidR="009777B8" w:rsidRPr="001373D2">
        <w:t xml:space="preserve"> covers the goods specified in the following table</w:t>
      </w:r>
      <w:r w:rsidR="002E5B9B" w:rsidRPr="001373D2">
        <w:t>.</w:t>
      </w:r>
    </w:p>
    <w:p w:rsidR="006B1582" w:rsidRPr="001373D2" w:rsidRDefault="006B1582" w:rsidP="006B1582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599"/>
      </w:tblGrid>
      <w:tr w:rsidR="006B1582" w:rsidRPr="001373D2" w:rsidTr="00EE678F">
        <w:trPr>
          <w:tblHeader/>
        </w:trPr>
        <w:tc>
          <w:tcPr>
            <w:tcW w:w="831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B1582" w:rsidRPr="001373D2" w:rsidRDefault="006B1582" w:rsidP="00EE678F">
            <w:pPr>
              <w:pStyle w:val="TableHeading"/>
            </w:pPr>
            <w:r w:rsidRPr="001373D2">
              <w:t>Goods whose import without trade description is generally prohibited</w:t>
            </w:r>
          </w:p>
        </w:tc>
      </w:tr>
      <w:tr w:rsidR="006B1582" w:rsidRPr="001373D2" w:rsidTr="00EE678F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B1582" w:rsidRPr="001373D2" w:rsidRDefault="006B1582" w:rsidP="00EE678F">
            <w:pPr>
              <w:pStyle w:val="TableHeading"/>
            </w:pPr>
            <w:r w:rsidRPr="001373D2">
              <w:t>Item</w:t>
            </w:r>
          </w:p>
        </w:tc>
        <w:tc>
          <w:tcPr>
            <w:tcW w:w="75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B1582" w:rsidRPr="001373D2" w:rsidRDefault="006B1582" w:rsidP="00EE678F">
            <w:pPr>
              <w:pStyle w:val="TableHeading"/>
            </w:pPr>
            <w:r w:rsidRPr="001373D2">
              <w:t>Goods</w:t>
            </w:r>
          </w:p>
        </w:tc>
      </w:tr>
      <w:tr w:rsidR="006B1582" w:rsidRPr="001373D2" w:rsidTr="00EE678F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1</w:t>
            </w:r>
          </w:p>
        </w:tc>
        <w:tc>
          <w:tcPr>
            <w:tcW w:w="7599" w:type="dxa"/>
            <w:tcBorders>
              <w:top w:val="single" w:sz="12" w:space="0" w:color="auto"/>
            </w:tcBorders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Food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2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Articles made from china, porcelain, earthenware or enamelled hollowware that are:</w:t>
            </w:r>
          </w:p>
          <w:p w:rsidR="006B1582" w:rsidRPr="001373D2" w:rsidRDefault="006B1582" w:rsidP="00EE678F">
            <w:pPr>
              <w:pStyle w:val="Tablea"/>
            </w:pPr>
            <w:r w:rsidRPr="001373D2">
              <w:t>(a) commonly used in connection with the serving of food; or</w:t>
            </w:r>
          </w:p>
          <w:p w:rsidR="006B1582" w:rsidRPr="001373D2" w:rsidRDefault="006B1582" w:rsidP="00EE678F">
            <w:pPr>
              <w:pStyle w:val="Tablea"/>
            </w:pPr>
            <w:r w:rsidRPr="001373D2">
              <w:t>(b) kitchenware or kitchen utensils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3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Each of the following:</w:t>
            </w:r>
          </w:p>
          <w:p w:rsidR="006B1582" w:rsidRPr="001373D2" w:rsidRDefault="006B1582" w:rsidP="00EE678F">
            <w:pPr>
              <w:pStyle w:val="Tablea"/>
            </w:pPr>
            <w:r w:rsidRPr="001373D2">
              <w:t>(a) textile products;</w:t>
            </w:r>
          </w:p>
          <w:p w:rsidR="006B1582" w:rsidRPr="001373D2" w:rsidRDefault="006B1582" w:rsidP="00EE678F">
            <w:pPr>
              <w:pStyle w:val="Tablea"/>
            </w:pPr>
            <w:r w:rsidRPr="001373D2">
              <w:t>(b) articles of apparel including shoes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4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Each of the following:</w:t>
            </w:r>
          </w:p>
          <w:p w:rsidR="006B1582" w:rsidRPr="001373D2" w:rsidRDefault="006B1582" w:rsidP="00792951">
            <w:pPr>
              <w:pStyle w:val="Tablea"/>
            </w:pPr>
            <w:r w:rsidRPr="001373D2">
              <w:t>(a) electrical appliances;</w:t>
            </w:r>
          </w:p>
          <w:p w:rsidR="006B1582" w:rsidRPr="001373D2" w:rsidRDefault="006B1582" w:rsidP="00792951">
            <w:pPr>
              <w:pStyle w:val="Tablea"/>
            </w:pPr>
            <w:r w:rsidRPr="001373D2">
              <w:t>(b) electrical apparatus or accessories, including electric incandescent lights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5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Toys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6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Each of the following:</w:t>
            </w:r>
          </w:p>
          <w:p w:rsidR="006B1582" w:rsidRPr="001373D2" w:rsidRDefault="006B1582" w:rsidP="004C438D">
            <w:pPr>
              <w:pStyle w:val="Tablea"/>
            </w:pPr>
            <w:r w:rsidRPr="001373D2">
              <w:t>(a) cigars;</w:t>
            </w:r>
          </w:p>
          <w:p w:rsidR="006B1582" w:rsidRPr="001373D2" w:rsidRDefault="006B1582" w:rsidP="004C438D">
            <w:pPr>
              <w:pStyle w:val="Tablea"/>
            </w:pPr>
            <w:r w:rsidRPr="001373D2">
              <w:t>(b) cigarettes;</w:t>
            </w:r>
          </w:p>
          <w:p w:rsidR="006B1582" w:rsidRPr="001373D2" w:rsidRDefault="006B1582" w:rsidP="004C438D">
            <w:pPr>
              <w:pStyle w:val="Tablea"/>
            </w:pPr>
            <w:r w:rsidRPr="001373D2">
              <w:t>(c) manufactured tobacco;</w:t>
            </w:r>
          </w:p>
          <w:p w:rsidR="006B1582" w:rsidRPr="001373D2" w:rsidRDefault="006B1582" w:rsidP="004C438D">
            <w:pPr>
              <w:pStyle w:val="Tablea"/>
            </w:pPr>
            <w:r w:rsidRPr="001373D2">
              <w:t>(d) cigarette papers;</w:t>
            </w:r>
          </w:p>
          <w:p w:rsidR="006B1582" w:rsidRPr="001373D2" w:rsidRDefault="006B1582" w:rsidP="004C438D">
            <w:pPr>
              <w:pStyle w:val="Tablea"/>
            </w:pPr>
            <w:r w:rsidRPr="001373D2">
              <w:t>(e) cigarette tubes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7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Fertiliser, including a substance intended for fertilising soil, or commonly used to fertilise soil, other than:</w:t>
            </w:r>
          </w:p>
          <w:p w:rsidR="006B1582" w:rsidRPr="001373D2" w:rsidRDefault="006B1582" w:rsidP="00EE678F">
            <w:pPr>
              <w:pStyle w:val="Tablea"/>
            </w:pPr>
            <w:r w:rsidRPr="001373D2">
              <w:t>(a) animal or vegetable manure; or</w:t>
            </w:r>
          </w:p>
          <w:p w:rsidR="006B1582" w:rsidRPr="001373D2" w:rsidRDefault="006B1582" w:rsidP="00EE678F">
            <w:pPr>
              <w:pStyle w:val="Tablea"/>
            </w:pPr>
            <w:r w:rsidRPr="001373D2">
              <w:t>(b) crude material for the manufacture of fertiliser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8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Portland cement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9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Wall, hearth and floor tiles</w:t>
            </w:r>
          </w:p>
        </w:tc>
      </w:tr>
      <w:tr w:rsidR="006B1582" w:rsidRPr="001373D2" w:rsidTr="00EE678F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10</w:t>
            </w:r>
          </w:p>
        </w:tc>
        <w:tc>
          <w:tcPr>
            <w:tcW w:w="7599" w:type="dxa"/>
            <w:tcBorders>
              <w:bottom w:val="single" w:sz="2" w:space="0" w:color="auto"/>
            </w:tcBorders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Sanitary and lavatory articles of earthenware, fireclay, vitreous china or similar substances or materials</w:t>
            </w:r>
          </w:p>
        </w:tc>
      </w:tr>
      <w:tr w:rsidR="006B1582" w:rsidRPr="001373D2" w:rsidTr="00EE678F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11</w:t>
            </w:r>
          </w:p>
        </w:tc>
        <w:tc>
          <w:tcPr>
            <w:tcW w:w="75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Goods that are imported as prepacked articles and are not covered by another item of a table in this Subdivision</w:t>
            </w:r>
          </w:p>
        </w:tc>
      </w:tr>
    </w:tbl>
    <w:p w:rsidR="00CE6D80" w:rsidRPr="001373D2" w:rsidRDefault="004F69B5" w:rsidP="00CE6D80">
      <w:pPr>
        <w:pStyle w:val="ActHead5"/>
      </w:pPr>
      <w:bookmarkStart w:id="18" w:name="_Toc466383353"/>
      <w:r w:rsidRPr="001373D2">
        <w:rPr>
          <w:rStyle w:val="CharSectno"/>
        </w:rPr>
        <w:t>10</w:t>
      </w:r>
      <w:r w:rsidR="00CE6D80" w:rsidRPr="001373D2">
        <w:t xml:space="preserve">  Goods at least half c</w:t>
      </w:r>
      <w:r w:rsidR="00F57274" w:rsidRPr="001373D2">
        <w:t>la</w:t>
      </w:r>
      <w:r w:rsidR="00CE6D80" w:rsidRPr="001373D2">
        <w:t>d in certain materials</w:t>
      </w:r>
      <w:bookmarkEnd w:id="18"/>
    </w:p>
    <w:p w:rsidR="005C1DBA" w:rsidRPr="001373D2" w:rsidRDefault="008F5AAF" w:rsidP="00BD44E6">
      <w:pPr>
        <w:pStyle w:val="subsection"/>
      </w:pPr>
      <w:r w:rsidRPr="001373D2">
        <w:tab/>
      </w:r>
      <w:r w:rsidRPr="001373D2">
        <w:tab/>
      </w:r>
      <w:r w:rsidR="009777B8" w:rsidRPr="001373D2">
        <w:t xml:space="preserve">This </w:t>
      </w:r>
      <w:r w:rsidR="00D43C6A" w:rsidRPr="001373D2">
        <w:t>Subdivision also</w:t>
      </w:r>
      <w:r w:rsidR="009777B8" w:rsidRPr="001373D2">
        <w:t xml:space="preserve"> covers the goods specified in the foll</w:t>
      </w:r>
      <w:r w:rsidR="002C0D98" w:rsidRPr="001373D2">
        <w:t>owing</w:t>
      </w:r>
      <w:r w:rsidR="00870B8B" w:rsidRPr="001373D2">
        <w:t xml:space="preserve"> table </w:t>
      </w:r>
      <w:r w:rsidR="002C0D98" w:rsidRPr="001373D2">
        <w:t>if</w:t>
      </w:r>
      <w:r w:rsidR="00BD44E6" w:rsidRPr="001373D2">
        <w:t xml:space="preserve"> </w:t>
      </w:r>
      <w:r w:rsidR="00652B65" w:rsidRPr="001373D2">
        <w:t xml:space="preserve">more than </w:t>
      </w:r>
      <w:r w:rsidR="000B05E6" w:rsidRPr="001373D2">
        <w:t>half</w:t>
      </w:r>
      <w:r w:rsidR="00652B65" w:rsidRPr="001373D2">
        <w:t xml:space="preserve"> </w:t>
      </w:r>
      <w:r w:rsidR="005C1DBA" w:rsidRPr="001373D2">
        <w:t xml:space="preserve">the outside area of </w:t>
      </w:r>
      <w:r w:rsidR="002C0D98" w:rsidRPr="001373D2">
        <w:t xml:space="preserve">the goods </w:t>
      </w:r>
      <w:r w:rsidR="005C1DBA" w:rsidRPr="001373D2">
        <w:t>consists of</w:t>
      </w:r>
      <w:r w:rsidR="00745F33" w:rsidRPr="001373D2">
        <w:t>:</w:t>
      </w:r>
    </w:p>
    <w:p w:rsidR="005C1DBA" w:rsidRPr="001373D2" w:rsidRDefault="00BD44E6" w:rsidP="00BD44E6">
      <w:pPr>
        <w:pStyle w:val="paragraph"/>
      </w:pPr>
      <w:r w:rsidRPr="001373D2">
        <w:tab/>
        <w:t>(a</w:t>
      </w:r>
      <w:r w:rsidR="005C1DBA" w:rsidRPr="001373D2">
        <w:t>)</w:t>
      </w:r>
      <w:r w:rsidR="005C1DBA" w:rsidRPr="001373D2">
        <w:tab/>
        <w:t>leather or a material resembling leather; or</w:t>
      </w:r>
    </w:p>
    <w:p w:rsidR="00513A40" w:rsidRPr="001373D2" w:rsidRDefault="00BD44E6" w:rsidP="00BD44E6">
      <w:pPr>
        <w:pStyle w:val="paragraph"/>
      </w:pPr>
      <w:r w:rsidRPr="001373D2">
        <w:tab/>
        <w:t>(b</w:t>
      </w:r>
      <w:r w:rsidR="005C1DBA" w:rsidRPr="001373D2">
        <w:t>)</w:t>
      </w:r>
      <w:r w:rsidR="005C1DBA" w:rsidRPr="001373D2">
        <w:tab/>
        <w:t>fibre or a material resembling fibre</w:t>
      </w:r>
      <w:r w:rsidR="00513A40" w:rsidRPr="001373D2">
        <w:t>; or</w:t>
      </w:r>
    </w:p>
    <w:p w:rsidR="005C1DBA" w:rsidRPr="001373D2" w:rsidRDefault="00513A40" w:rsidP="00BD44E6">
      <w:pPr>
        <w:pStyle w:val="paragraph"/>
      </w:pPr>
      <w:r w:rsidRPr="001373D2">
        <w:tab/>
        <w:t>(c)</w:t>
      </w:r>
      <w:r w:rsidRPr="001373D2">
        <w:tab/>
      </w:r>
      <w:r w:rsidR="005C1DBA" w:rsidRPr="001373D2">
        <w:t>vulcanite</w:t>
      </w:r>
      <w:r w:rsidRPr="001373D2">
        <w:t xml:space="preserve"> or a material resembling vulcanite</w:t>
      </w:r>
      <w:r w:rsidR="005C1DBA" w:rsidRPr="001373D2">
        <w:t>; or</w:t>
      </w:r>
    </w:p>
    <w:p w:rsidR="005C1DBA" w:rsidRPr="001373D2" w:rsidRDefault="00BD44E6" w:rsidP="00BD44E6">
      <w:pPr>
        <w:pStyle w:val="paragraph"/>
      </w:pPr>
      <w:r w:rsidRPr="001373D2">
        <w:tab/>
        <w:t>(</w:t>
      </w:r>
      <w:r w:rsidR="005352B6" w:rsidRPr="001373D2">
        <w:t>d</w:t>
      </w:r>
      <w:r w:rsidR="002C0D98" w:rsidRPr="001373D2">
        <w:t>)</w:t>
      </w:r>
      <w:r w:rsidR="002C0D98" w:rsidRPr="001373D2">
        <w:tab/>
      </w:r>
      <w:r w:rsidR="00652B65" w:rsidRPr="001373D2">
        <w:t>plastic</w:t>
      </w:r>
      <w:r w:rsidR="002C0D98" w:rsidRPr="001373D2">
        <w:t>.</w:t>
      </w:r>
    </w:p>
    <w:p w:rsidR="00C30947" w:rsidRPr="001373D2" w:rsidRDefault="00C30947" w:rsidP="006B1582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599"/>
      </w:tblGrid>
      <w:tr w:rsidR="006B1582" w:rsidRPr="001373D2" w:rsidTr="00EE678F">
        <w:trPr>
          <w:tblHeader/>
        </w:trPr>
        <w:tc>
          <w:tcPr>
            <w:tcW w:w="831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B1582" w:rsidRPr="001373D2" w:rsidRDefault="006B1582" w:rsidP="00EE678F">
            <w:pPr>
              <w:pStyle w:val="TableHeading"/>
            </w:pPr>
            <w:r w:rsidRPr="001373D2">
              <w:t>Goods at least half clad in certain materials</w:t>
            </w:r>
          </w:p>
        </w:tc>
      </w:tr>
      <w:tr w:rsidR="006B1582" w:rsidRPr="001373D2" w:rsidTr="00EE678F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B1582" w:rsidRPr="001373D2" w:rsidRDefault="006B1582" w:rsidP="00EE678F">
            <w:pPr>
              <w:pStyle w:val="TableHeading"/>
            </w:pPr>
            <w:r w:rsidRPr="001373D2">
              <w:t>Item</w:t>
            </w:r>
          </w:p>
        </w:tc>
        <w:tc>
          <w:tcPr>
            <w:tcW w:w="75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B1582" w:rsidRPr="001373D2" w:rsidRDefault="006B1582" w:rsidP="00EE678F">
            <w:pPr>
              <w:pStyle w:val="TableHeading"/>
            </w:pPr>
            <w:r w:rsidRPr="001373D2">
              <w:t>Goods</w:t>
            </w:r>
          </w:p>
        </w:tc>
      </w:tr>
      <w:tr w:rsidR="006B1582" w:rsidRPr="001373D2" w:rsidTr="00EE678F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1</w:t>
            </w:r>
          </w:p>
        </w:tc>
        <w:tc>
          <w:tcPr>
            <w:tcW w:w="7599" w:type="dxa"/>
            <w:tcBorders>
              <w:top w:val="single" w:sz="12" w:space="0" w:color="auto"/>
            </w:tcBorders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Attaché cases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2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Belts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3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Bicycle saddles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4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Bridles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5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Brief cases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6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Cases for musical instruments, radios or gramophones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7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Document cases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8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Folio cases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9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Gloves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10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Handbags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11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Harnesses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12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Hat boxes or cases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13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Horse collars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14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Kit bags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15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Leggings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16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Machine belting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17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Pouches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18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Purses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19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Razor strops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20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Saddles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21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Schoolbags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22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School cases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23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Shopping bags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24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Sporting goods, including boxing gloves, footballs, golf bags and punching bags and balls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25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Suitcases</w:t>
            </w:r>
          </w:p>
        </w:tc>
      </w:tr>
      <w:tr w:rsidR="006B1582" w:rsidRPr="001373D2" w:rsidTr="00EE678F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26</w:t>
            </w:r>
          </w:p>
        </w:tc>
        <w:tc>
          <w:tcPr>
            <w:tcW w:w="7599" w:type="dxa"/>
            <w:tcBorders>
              <w:bottom w:val="single" w:sz="2" w:space="0" w:color="auto"/>
            </w:tcBorders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Trunks</w:t>
            </w:r>
          </w:p>
        </w:tc>
      </w:tr>
      <w:tr w:rsidR="006B1582" w:rsidRPr="001373D2" w:rsidTr="00EE678F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27</w:t>
            </w:r>
          </w:p>
        </w:tc>
        <w:tc>
          <w:tcPr>
            <w:tcW w:w="75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Wallets</w:t>
            </w:r>
          </w:p>
        </w:tc>
      </w:tr>
    </w:tbl>
    <w:p w:rsidR="00101DBC" w:rsidRPr="001373D2" w:rsidRDefault="00101DBC" w:rsidP="00101DBC">
      <w:pPr>
        <w:pStyle w:val="ActHead4"/>
      </w:pPr>
      <w:bookmarkStart w:id="19" w:name="_Toc466383354"/>
      <w:r w:rsidRPr="001373D2">
        <w:rPr>
          <w:rStyle w:val="CharSubdNo"/>
        </w:rPr>
        <w:t>Subdivision C</w:t>
      </w:r>
      <w:r w:rsidRPr="001373D2">
        <w:t>—</w:t>
      </w:r>
      <w:r w:rsidRPr="001373D2">
        <w:rPr>
          <w:rStyle w:val="CharSubdText"/>
        </w:rPr>
        <w:t>Goods whose import without trade description is not prohibited</w:t>
      </w:r>
      <w:bookmarkEnd w:id="19"/>
    </w:p>
    <w:p w:rsidR="00101DBC" w:rsidRPr="001373D2" w:rsidRDefault="004F69B5" w:rsidP="00101DBC">
      <w:pPr>
        <w:pStyle w:val="ActHead5"/>
      </w:pPr>
      <w:bookmarkStart w:id="20" w:name="_Toc466383355"/>
      <w:r w:rsidRPr="001373D2">
        <w:rPr>
          <w:rStyle w:val="CharSectno"/>
        </w:rPr>
        <w:t>11</w:t>
      </w:r>
      <w:r w:rsidR="00101DBC" w:rsidRPr="001373D2">
        <w:t xml:space="preserve">  Goods</w:t>
      </w:r>
      <w:r w:rsidR="000A1AF6" w:rsidRPr="001373D2">
        <w:t xml:space="preserve"> that may be imported without trade description applied</w:t>
      </w:r>
      <w:bookmarkEnd w:id="20"/>
    </w:p>
    <w:p w:rsidR="000A1AF6" w:rsidRPr="001373D2" w:rsidRDefault="000A1AF6" w:rsidP="000A1AF6">
      <w:pPr>
        <w:pStyle w:val="subsection"/>
      </w:pPr>
      <w:r w:rsidRPr="001373D2">
        <w:tab/>
      </w:r>
      <w:r w:rsidRPr="001373D2">
        <w:tab/>
        <w:t xml:space="preserve">This </w:t>
      </w:r>
      <w:r w:rsidR="00D43C6A" w:rsidRPr="001373D2">
        <w:t>Subdivision</w:t>
      </w:r>
      <w:r w:rsidRPr="001373D2">
        <w:t xml:space="preserve"> covers the goods specified in the following table.</w:t>
      </w:r>
    </w:p>
    <w:p w:rsidR="006B1582" w:rsidRPr="001373D2" w:rsidRDefault="006B1582" w:rsidP="000A1AF6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599"/>
      </w:tblGrid>
      <w:tr w:rsidR="006B1582" w:rsidRPr="001373D2" w:rsidTr="00EE678F">
        <w:trPr>
          <w:tblHeader/>
        </w:trPr>
        <w:tc>
          <w:tcPr>
            <w:tcW w:w="831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B1582" w:rsidRPr="001373D2" w:rsidRDefault="006B1582" w:rsidP="00EE678F">
            <w:pPr>
              <w:pStyle w:val="TableHeading"/>
            </w:pPr>
            <w:r w:rsidRPr="001373D2">
              <w:t>Goods that may be imported without trade description applied</w:t>
            </w:r>
          </w:p>
        </w:tc>
      </w:tr>
      <w:tr w:rsidR="006B1582" w:rsidRPr="001373D2" w:rsidTr="00EE678F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B1582" w:rsidRPr="001373D2" w:rsidRDefault="006B1582" w:rsidP="00EE678F">
            <w:pPr>
              <w:pStyle w:val="TableHeading"/>
            </w:pPr>
            <w:r w:rsidRPr="001373D2">
              <w:t>Item</w:t>
            </w:r>
          </w:p>
        </w:tc>
        <w:tc>
          <w:tcPr>
            <w:tcW w:w="75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B1582" w:rsidRPr="001373D2" w:rsidRDefault="006B1582" w:rsidP="00EE678F">
            <w:pPr>
              <w:pStyle w:val="TableHeading"/>
            </w:pPr>
            <w:r w:rsidRPr="001373D2">
              <w:t>Kind of goods</w:t>
            </w:r>
          </w:p>
        </w:tc>
      </w:tr>
      <w:tr w:rsidR="006B1582" w:rsidRPr="001373D2" w:rsidTr="00EE678F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1</w:t>
            </w:r>
          </w:p>
        </w:tc>
        <w:tc>
          <w:tcPr>
            <w:tcW w:w="7599" w:type="dxa"/>
            <w:tcBorders>
              <w:top w:val="single" w:sz="12" w:space="0" w:color="auto"/>
            </w:tcBorders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Fish bait, other than prawns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2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Hay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3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Each of the following:</w:t>
            </w:r>
          </w:p>
          <w:p w:rsidR="006B1582" w:rsidRPr="001373D2" w:rsidRDefault="006B1582" w:rsidP="00EE678F">
            <w:pPr>
              <w:pStyle w:val="Tablea"/>
            </w:pPr>
            <w:r w:rsidRPr="001373D2">
              <w:t>(a) garden compost;</w:t>
            </w:r>
          </w:p>
          <w:p w:rsidR="006B1582" w:rsidRPr="001373D2" w:rsidRDefault="006B1582" w:rsidP="00EE678F">
            <w:pPr>
              <w:pStyle w:val="Tablea"/>
            </w:pPr>
            <w:r w:rsidRPr="001373D2">
              <w:t>(b) tan bark;</w:t>
            </w:r>
          </w:p>
          <w:p w:rsidR="006B1582" w:rsidRPr="001373D2" w:rsidRDefault="006B1582" w:rsidP="00EE678F">
            <w:pPr>
              <w:pStyle w:val="Tablea"/>
            </w:pPr>
            <w:r w:rsidRPr="001373D2">
              <w:t>(c) farmyard manure;</w:t>
            </w:r>
          </w:p>
          <w:p w:rsidR="006B1582" w:rsidRPr="001373D2" w:rsidRDefault="006B1582" w:rsidP="00EE678F">
            <w:pPr>
              <w:pStyle w:val="Tablea"/>
            </w:pPr>
            <w:r w:rsidRPr="001373D2">
              <w:t>(d) peatmoss;</w:t>
            </w:r>
          </w:p>
          <w:p w:rsidR="006B1582" w:rsidRPr="001373D2" w:rsidRDefault="006B1582" w:rsidP="00EE678F">
            <w:pPr>
              <w:pStyle w:val="Tablea"/>
            </w:pPr>
            <w:r w:rsidRPr="001373D2">
              <w:t>(e) leaf mould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4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Each of the following:</w:t>
            </w:r>
          </w:p>
          <w:p w:rsidR="006B1582" w:rsidRPr="001373D2" w:rsidRDefault="006B1582" w:rsidP="00EE678F">
            <w:pPr>
              <w:pStyle w:val="Tablea"/>
            </w:pPr>
            <w:r w:rsidRPr="001373D2">
              <w:t>(a) toilet preparations in compacts;</w:t>
            </w:r>
          </w:p>
          <w:p w:rsidR="006B1582" w:rsidRPr="001373D2" w:rsidRDefault="006B1582" w:rsidP="00EE678F">
            <w:pPr>
              <w:pStyle w:val="Tablea"/>
            </w:pPr>
            <w:r w:rsidRPr="001373D2">
              <w:t>(b) refills of those preparations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5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Each of the following:</w:t>
            </w:r>
          </w:p>
          <w:p w:rsidR="006B1582" w:rsidRPr="001373D2" w:rsidRDefault="006B1582" w:rsidP="00EE678F">
            <w:pPr>
              <w:pStyle w:val="Tablea"/>
            </w:pPr>
            <w:r w:rsidRPr="001373D2">
              <w:t>(a) single application hair dyes or hair bleaches;</w:t>
            </w:r>
          </w:p>
          <w:p w:rsidR="006B1582" w:rsidRPr="001373D2" w:rsidRDefault="006B1582" w:rsidP="00EE678F">
            <w:pPr>
              <w:pStyle w:val="Tablea"/>
            </w:pPr>
            <w:r w:rsidRPr="001373D2">
              <w:t>(b) single application home permanent hair waving kits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6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Cakes or tablets of toilet or medicinal preparations for use:</w:t>
            </w:r>
          </w:p>
          <w:p w:rsidR="006B1582" w:rsidRPr="001373D2" w:rsidRDefault="006B1582" w:rsidP="00EE678F">
            <w:pPr>
              <w:pStyle w:val="Tablea"/>
            </w:pPr>
            <w:r w:rsidRPr="001373D2">
              <w:t>(a) in washing; or</w:t>
            </w:r>
          </w:p>
          <w:p w:rsidR="006B1582" w:rsidRPr="001373D2" w:rsidRDefault="006B1582" w:rsidP="00EE678F">
            <w:pPr>
              <w:pStyle w:val="Tablea"/>
            </w:pPr>
            <w:r w:rsidRPr="001373D2">
              <w:t>(b) as a personal deodorant</w:t>
            </w:r>
          </w:p>
        </w:tc>
      </w:tr>
      <w:tr w:rsidR="006B1582" w:rsidRPr="001373D2" w:rsidTr="00EE678F">
        <w:tc>
          <w:tcPr>
            <w:tcW w:w="714" w:type="dxa"/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7</w:t>
            </w:r>
          </w:p>
        </w:tc>
        <w:tc>
          <w:tcPr>
            <w:tcW w:w="7599" w:type="dxa"/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Fire extinguisher refills</w:t>
            </w:r>
          </w:p>
        </w:tc>
      </w:tr>
      <w:tr w:rsidR="006B1582" w:rsidRPr="001373D2" w:rsidTr="00EE678F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8</w:t>
            </w:r>
          </w:p>
        </w:tc>
        <w:tc>
          <w:tcPr>
            <w:tcW w:w="7599" w:type="dxa"/>
            <w:tcBorders>
              <w:bottom w:val="single" w:sz="2" w:space="0" w:color="auto"/>
            </w:tcBorders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Each of the following:</w:t>
            </w:r>
          </w:p>
          <w:p w:rsidR="006B1582" w:rsidRPr="001373D2" w:rsidRDefault="006B1582" w:rsidP="00EE678F">
            <w:pPr>
              <w:pStyle w:val="Tablea"/>
            </w:pPr>
            <w:r w:rsidRPr="001373D2">
              <w:t>(a) photographic film;</w:t>
            </w:r>
          </w:p>
          <w:p w:rsidR="006B1582" w:rsidRPr="001373D2" w:rsidRDefault="006B1582" w:rsidP="00EE678F">
            <w:pPr>
              <w:pStyle w:val="Tablea"/>
            </w:pPr>
            <w:r w:rsidRPr="001373D2">
              <w:t>(b) photographic printing paper</w:t>
            </w:r>
          </w:p>
        </w:tc>
      </w:tr>
      <w:tr w:rsidR="006B1582" w:rsidRPr="001373D2" w:rsidTr="00431586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B1582" w:rsidRPr="001373D2" w:rsidRDefault="006B1582" w:rsidP="006B1582">
            <w:pPr>
              <w:pStyle w:val="Tabletext"/>
            </w:pPr>
            <w:r w:rsidRPr="001373D2">
              <w:t>9</w:t>
            </w:r>
          </w:p>
        </w:tc>
        <w:tc>
          <w:tcPr>
            <w:tcW w:w="75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B1582" w:rsidRPr="001373D2" w:rsidRDefault="006B1582" w:rsidP="00EE678F">
            <w:pPr>
              <w:pStyle w:val="Tabletext"/>
            </w:pPr>
            <w:r w:rsidRPr="001373D2">
              <w:t>Rolls of wallpaper</w:t>
            </w:r>
          </w:p>
        </w:tc>
      </w:tr>
      <w:tr w:rsidR="00431586" w:rsidRPr="001373D2" w:rsidTr="00EE678F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31586" w:rsidRPr="001373D2" w:rsidRDefault="00431586" w:rsidP="006B1582">
            <w:pPr>
              <w:pStyle w:val="Tabletext"/>
            </w:pPr>
            <w:r w:rsidRPr="001373D2">
              <w:t>10</w:t>
            </w:r>
          </w:p>
        </w:tc>
        <w:tc>
          <w:tcPr>
            <w:tcW w:w="75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31586" w:rsidRPr="001373D2" w:rsidRDefault="00431586" w:rsidP="00EE678F">
            <w:pPr>
              <w:pStyle w:val="Tabletext"/>
            </w:pPr>
            <w:r w:rsidRPr="001373D2">
              <w:t xml:space="preserve">Therapeutic goods (within the meaning of the </w:t>
            </w:r>
            <w:r w:rsidRPr="001373D2">
              <w:rPr>
                <w:i/>
              </w:rPr>
              <w:t>Therapeutic Goods Act 1989</w:t>
            </w:r>
            <w:r w:rsidRPr="001373D2">
              <w:t>) that are:</w:t>
            </w:r>
          </w:p>
          <w:p w:rsidR="00431586" w:rsidRPr="001373D2" w:rsidRDefault="00431586" w:rsidP="00431586">
            <w:pPr>
              <w:pStyle w:val="Tablea"/>
            </w:pPr>
            <w:r w:rsidRPr="001373D2">
              <w:t>(a) goods compounded or made to the order of the purchaser of the goods or of a medical practitioner, dentist or veterinary surgeon; or</w:t>
            </w:r>
          </w:p>
          <w:p w:rsidR="00431586" w:rsidRPr="001373D2" w:rsidRDefault="00431586" w:rsidP="00431586">
            <w:pPr>
              <w:pStyle w:val="Tablea"/>
            </w:pPr>
            <w:r w:rsidRPr="001373D2">
              <w:t>(b) goods, the supply of which otherwise than on the written prescription of a medical practitioner, dentist or veterinary surgeon is an offence against a law in force in the Australian Capital Territory; or</w:t>
            </w:r>
          </w:p>
          <w:p w:rsidR="00431586" w:rsidRPr="001373D2" w:rsidRDefault="00431586" w:rsidP="00431586">
            <w:pPr>
              <w:pStyle w:val="Tablea"/>
            </w:pPr>
            <w:r w:rsidRPr="001373D2">
              <w:t>(c) medicines or medicinal preparations for internal or external use</w:t>
            </w:r>
          </w:p>
        </w:tc>
      </w:tr>
    </w:tbl>
    <w:p w:rsidR="000A1AF6" w:rsidRPr="001373D2" w:rsidRDefault="004F69B5" w:rsidP="000A1AF6">
      <w:pPr>
        <w:pStyle w:val="ActHead5"/>
      </w:pPr>
      <w:bookmarkStart w:id="21" w:name="_Toc466383356"/>
      <w:r w:rsidRPr="001373D2">
        <w:rPr>
          <w:rStyle w:val="CharSectno"/>
        </w:rPr>
        <w:t>12</w:t>
      </w:r>
      <w:r w:rsidR="000A1AF6" w:rsidRPr="001373D2">
        <w:t xml:space="preserve">  Packages of goods that may </w:t>
      </w:r>
      <w:r w:rsidR="001E573D" w:rsidRPr="001373D2">
        <w:t xml:space="preserve">be </w:t>
      </w:r>
      <w:r w:rsidR="000A1AF6" w:rsidRPr="001373D2">
        <w:t>imported without trade description applied</w:t>
      </w:r>
      <w:bookmarkEnd w:id="21"/>
    </w:p>
    <w:p w:rsidR="000A1AF6" w:rsidRPr="001373D2" w:rsidRDefault="000A1AF6" w:rsidP="000A1AF6">
      <w:pPr>
        <w:pStyle w:val="subsection"/>
      </w:pPr>
      <w:r w:rsidRPr="001373D2">
        <w:tab/>
      </w:r>
      <w:r w:rsidRPr="001373D2">
        <w:tab/>
        <w:t xml:space="preserve">This </w:t>
      </w:r>
      <w:r w:rsidR="00936E67" w:rsidRPr="001373D2">
        <w:t>Subdivision also</w:t>
      </w:r>
      <w:r w:rsidRPr="001373D2">
        <w:t xml:space="preserve"> covers goods imported in packages </w:t>
      </w:r>
      <w:r w:rsidR="008222DA" w:rsidRPr="001373D2">
        <w:t>described in th</w:t>
      </w:r>
      <w:r w:rsidRPr="001373D2">
        <w:t xml:space="preserve">e following </w:t>
      </w:r>
      <w:r w:rsidR="00792951" w:rsidRPr="001373D2">
        <w:t>table.</w:t>
      </w:r>
    </w:p>
    <w:p w:rsidR="008222DA" w:rsidRPr="001373D2" w:rsidRDefault="008222DA" w:rsidP="00FA4B61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599"/>
      </w:tblGrid>
      <w:tr w:rsidR="00FA4B61" w:rsidRPr="001373D2" w:rsidTr="00EE678F">
        <w:trPr>
          <w:tblHeader/>
        </w:trPr>
        <w:tc>
          <w:tcPr>
            <w:tcW w:w="831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A4B61" w:rsidRPr="001373D2" w:rsidRDefault="00FA4B61" w:rsidP="00EE678F">
            <w:pPr>
              <w:pStyle w:val="TableHeading"/>
            </w:pPr>
            <w:r w:rsidRPr="001373D2">
              <w:t xml:space="preserve">Packages of goods that may </w:t>
            </w:r>
            <w:r w:rsidR="00F666B0" w:rsidRPr="001373D2">
              <w:t xml:space="preserve">be </w:t>
            </w:r>
            <w:r w:rsidRPr="001373D2">
              <w:t>imported without trade description applied</w:t>
            </w:r>
          </w:p>
        </w:tc>
      </w:tr>
      <w:tr w:rsidR="00FA4B61" w:rsidRPr="001373D2" w:rsidTr="00EE678F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A4B61" w:rsidRPr="001373D2" w:rsidRDefault="00FA4B61" w:rsidP="00EE678F">
            <w:pPr>
              <w:pStyle w:val="TableHeading"/>
            </w:pPr>
            <w:r w:rsidRPr="001373D2">
              <w:t>Item</w:t>
            </w:r>
          </w:p>
        </w:tc>
        <w:tc>
          <w:tcPr>
            <w:tcW w:w="75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A4B61" w:rsidRPr="001373D2" w:rsidRDefault="00FA4B61" w:rsidP="00EE678F">
            <w:pPr>
              <w:pStyle w:val="TableHeading"/>
            </w:pPr>
            <w:r w:rsidRPr="001373D2">
              <w:t>Packages</w:t>
            </w:r>
          </w:p>
        </w:tc>
      </w:tr>
      <w:tr w:rsidR="00FA4B61" w:rsidRPr="001373D2" w:rsidTr="00EE678F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FA4B61" w:rsidRPr="001373D2" w:rsidRDefault="00FA4B61" w:rsidP="00FA4B61">
            <w:pPr>
              <w:pStyle w:val="Tabletext"/>
            </w:pPr>
            <w:r w:rsidRPr="001373D2">
              <w:t>1</w:t>
            </w:r>
          </w:p>
        </w:tc>
        <w:tc>
          <w:tcPr>
            <w:tcW w:w="7599" w:type="dxa"/>
            <w:tcBorders>
              <w:top w:val="single" w:sz="12" w:space="0" w:color="auto"/>
            </w:tcBorders>
            <w:shd w:val="clear" w:color="auto" w:fill="auto"/>
          </w:tcPr>
          <w:p w:rsidR="00FA4B61" w:rsidRPr="001373D2" w:rsidRDefault="00FA4B61" w:rsidP="00EE678F">
            <w:pPr>
              <w:pStyle w:val="Tabletext"/>
            </w:pPr>
            <w:r w:rsidRPr="001373D2">
              <w:t>Packages of goods other than food more than 75 kg in weight or 150 L in capacity</w:t>
            </w:r>
          </w:p>
        </w:tc>
      </w:tr>
      <w:tr w:rsidR="00FA4B61" w:rsidRPr="001373D2" w:rsidTr="00EE678F">
        <w:tc>
          <w:tcPr>
            <w:tcW w:w="714" w:type="dxa"/>
            <w:shd w:val="clear" w:color="auto" w:fill="auto"/>
          </w:tcPr>
          <w:p w:rsidR="00FA4B61" w:rsidRPr="001373D2" w:rsidRDefault="00FA4B61" w:rsidP="00FA4B61">
            <w:pPr>
              <w:pStyle w:val="Tabletext"/>
            </w:pPr>
            <w:r w:rsidRPr="001373D2">
              <w:t>2</w:t>
            </w:r>
          </w:p>
        </w:tc>
        <w:tc>
          <w:tcPr>
            <w:tcW w:w="7599" w:type="dxa"/>
            <w:shd w:val="clear" w:color="auto" w:fill="auto"/>
          </w:tcPr>
          <w:p w:rsidR="00FA4B61" w:rsidRPr="001373D2" w:rsidRDefault="00FA4B61" w:rsidP="00EE678F">
            <w:pPr>
              <w:pStyle w:val="Tabletext"/>
            </w:pPr>
            <w:r w:rsidRPr="001373D2">
              <w:t>Packages of textile products, other similar articles, wearing apparel</w:t>
            </w:r>
            <w:r w:rsidRPr="001373D2">
              <w:rPr>
                <w:i/>
              </w:rPr>
              <w:t xml:space="preserve"> </w:t>
            </w:r>
            <w:r w:rsidRPr="001373D2">
              <w:t>or hardware that:</w:t>
            </w:r>
          </w:p>
          <w:p w:rsidR="00FA4B61" w:rsidRPr="001373D2" w:rsidRDefault="00FA4B61" w:rsidP="00EE678F">
            <w:pPr>
              <w:pStyle w:val="Tablea"/>
            </w:pPr>
            <w:r w:rsidRPr="001373D2">
              <w:t>(a) are not packed for sale and are not ordinarily sold by weight, measure or number; or</w:t>
            </w:r>
          </w:p>
          <w:p w:rsidR="00FA4B61" w:rsidRPr="001373D2" w:rsidRDefault="00FA4B61" w:rsidP="00F666B0">
            <w:pPr>
              <w:pStyle w:val="Tablea"/>
            </w:pPr>
            <w:r w:rsidRPr="001373D2">
              <w:t>(b) are packed for sale as a single item, one of a pair, a pair or a set</w:t>
            </w:r>
          </w:p>
        </w:tc>
      </w:tr>
      <w:tr w:rsidR="00FA4B61" w:rsidRPr="001373D2" w:rsidTr="00EE678F">
        <w:tc>
          <w:tcPr>
            <w:tcW w:w="714" w:type="dxa"/>
            <w:shd w:val="clear" w:color="auto" w:fill="auto"/>
          </w:tcPr>
          <w:p w:rsidR="00FA4B61" w:rsidRPr="001373D2" w:rsidRDefault="00FA4B61" w:rsidP="00FA4B61">
            <w:pPr>
              <w:pStyle w:val="Tabletext"/>
            </w:pPr>
            <w:r w:rsidRPr="001373D2">
              <w:t>3</w:t>
            </w:r>
          </w:p>
        </w:tc>
        <w:tc>
          <w:tcPr>
            <w:tcW w:w="7599" w:type="dxa"/>
            <w:shd w:val="clear" w:color="auto" w:fill="auto"/>
          </w:tcPr>
          <w:p w:rsidR="00FA4B61" w:rsidRPr="001373D2" w:rsidRDefault="00FA4B61" w:rsidP="00EE678F">
            <w:pPr>
              <w:pStyle w:val="Tabletext"/>
            </w:pPr>
            <w:r w:rsidRPr="001373D2">
              <w:t>Packages:</w:t>
            </w:r>
          </w:p>
          <w:p w:rsidR="00FA4B61" w:rsidRPr="001373D2" w:rsidRDefault="00FA4B61" w:rsidP="00EE678F">
            <w:pPr>
              <w:pStyle w:val="Tablea"/>
            </w:pPr>
            <w:r w:rsidRPr="001373D2">
              <w:t>(a) of less than 9 articles of a kind that are not food and are ordinarily sold by number; and</w:t>
            </w:r>
          </w:p>
          <w:p w:rsidR="00FA4B61" w:rsidRPr="001373D2" w:rsidRDefault="00FA4B61" w:rsidP="00EE678F">
            <w:pPr>
              <w:pStyle w:val="Tablea"/>
            </w:pPr>
            <w:r w:rsidRPr="001373D2">
              <w:t>(b) that are made wholly or partly of a transparent material so that if the package is exposed for sale, the number of articles in the package is clear to a purchaser</w:t>
            </w:r>
          </w:p>
        </w:tc>
      </w:tr>
      <w:tr w:rsidR="00FA4B61" w:rsidRPr="001373D2" w:rsidTr="00EE678F">
        <w:tc>
          <w:tcPr>
            <w:tcW w:w="714" w:type="dxa"/>
            <w:shd w:val="clear" w:color="auto" w:fill="auto"/>
          </w:tcPr>
          <w:p w:rsidR="00FA4B61" w:rsidRPr="001373D2" w:rsidRDefault="00FA4B61" w:rsidP="00FA4B61">
            <w:pPr>
              <w:pStyle w:val="Tabletext"/>
            </w:pPr>
            <w:r w:rsidRPr="001373D2">
              <w:t>4</w:t>
            </w:r>
          </w:p>
        </w:tc>
        <w:tc>
          <w:tcPr>
            <w:tcW w:w="7599" w:type="dxa"/>
            <w:shd w:val="clear" w:color="auto" w:fill="auto"/>
          </w:tcPr>
          <w:p w:rsidR="00FA4B61" w:rsidRPr="001373D2" w:rsidRDefault="00FA4B61" w:rsidP="00EE678F">
            <w:pPr>
              <w:pStyle w:val="Tabletext"/>
            </w:pPr>
            <w:r w:rsidRPr="001373D2">
              <w:t>Sacks of agricultural produce other than food more than 25 kg weight that are customarily sold by weight, such as chaff</w:t>
            </w:r>
          </w:p>
        </w:tc>
      </w:tr>
      <w:tr w:rsidR="00FA4B61" w:rsidRPr="001373D2" w:rsidTr="00EE678F">
        <w:tc>
          <w:tcPr>
            <w:tcW w:w="714" w:type="dxa"/>
            <w:shd w:val="clear" w:color="auto" w:fill="auto"/>
          </w:tcPr>
          <w:p w:rsidR="00FA4B61" w:rsidRPr="001373D2" w:rsidRDefault="00FA4B61" w:rsidP="00FA4B61">
            <w:pPr>
              <w:pStyle w:val="Tabletext"/>
            </w:pPr>
            <w:r w:rsidRPr="001373D2">
              <w:t>5</w:t>
            </w:r>
          </w:p>
        </w:tc>
        <w:tc>
          <w:tcPr>
            <w:tcW w:w="7599" w:type="dxa"/>
            <w:shd w:val="clear" w:color="auto" w:fill="auto"/>
          </w:tcPr>
          <w:p w:rsidR="00FA4B61" w:rsidRPr="001373D2" w:rsidRDefault="00FA4B61" w:rsidP="00EE678F">
            <w:pPr>
              <w:pStyle w:val="Tabletext"/>
            </w:pPr>
            <w:r w:rsidRPr="001373D2">
              <w:t>Bags of clay</w:t>
            </w:r>
          </w:p>
        </w:tc>
      </w:tr>
      <w:tr w:rsidR="00FA4B61" w:rsidRPr="001373D2" w:rsidTr="00EE678F">
        <w:tc>
          <w:tcPr>
            <w:tcW w:w="714" w:type="dxa"/>
            <w:shd w:val="clear" w:color="auto" w:fill="auto"/>
          </w:tcPr>
          <w:p w:rsidR="00FA4B61" w:rsidRPr="001373D2" w:rsidRDefault="00FA4B61" w:rsidP="00FA4B61">
            <w:pPr>
              <w:pStyle w:val="Tabletext"/>
            </w:pPr>
            <w:r w:rsidRPr="001373D2">
              <w:t>6</w:t>
            </w:r>
          </w:p>
        </w:tc>
        <w:tc>
          <w:tcPr>
            <w:tcW w:w="7599" w:type="dxa"/>
            <w:shd w:val="clear" w:color="auto" w:fill="auto"/>
          </w:tcPr>
          <w:p w:rsidR="00FA4B61" w:rsidRPr="001373D2" w:rsidRDefault="00FA4B61" w:rsidP="00EE678F">
            <w:pPr>
              <w:pStyle w:val="Tabletext"/>
            </w:pPr>
            <w:r w:rsidRPr="001373D2">
              <w:t>Packages of liquid colouring materials:</w:t>
            </w:r>
          </w:p>
          <w:p w:rsidR="00FA4B61" w:rsidRPr="001373D2" w:rsidRDefault="00FA4B61" w:rsidP="00EE678F">
            <w:pPr>
              <w:pStyle w:val="Tablea"/>
            </w:pPr>
            <w:r w:rsidRPr="001373D2">
              <w:t>(a) that include directions to mix the entire contents of the package, or a stated portion of the contents, with a stated volume of paint (including enamel paint, but not including a 2</w:t>
            </w:r>
            <w:r w:rsidR="001373D2">
              <w:noBreakHyphen/>
            </w:r>
            <w:r w:rsidRPr="001373D2">
              <w:t>pack paint or artists’ paint) of a type specified in the directions; and</w:t>
            </w:r>
          </w:p>
          <w:p w:rsidR="00FA4B61" w:rsidRPr="001373D2" w:rsidRDefault="00FA4B61" w:rsidP="00EE678F">
            <w:pPr>
              <w:pStyle w:val="Tablea"/>
            </w:pPr>
            <w:r w:rsidRPr="001373D2">
              <w:t xml:space="preserve">(b) </w:t>
            </w:r>
            <w:r w:rsidR="004C438D" w:rsidRPr="001373D2">
              <w:t xml:space="preserve">where </w:t>
            </w:r>
            <w:r w:rsidRPr="001373D2">
              <w:t>the measure of the contents of the package, or of the stated portion, is not more than 10% of that stated volume</w:t>
            </w:r>
          </w:p>
        </w:tc>
      </w:tr>
      <w:tr w:rsidR="00FA4B61" w:rsidRPr="001373D2" w:rsidTr="00EE678F">
        <w:tc>
          <w:tcPr>
            <w:tcW w:w="714" w:type="dxa"/>
            <w:shd w:val="clear" w:color="auto" w:fill="auto"/>
          </w:tcPr>
          <w:p w:rsidR="00FA4B61" w:rsidRPr="001373D2" w:rsidRDefault="00FA4B61" w:rsidP="00FA4B61">
            <w:pPr>
              <w:pStyle w:val="Tabletext"/>
            </w:pPr>
            <w:r w:rsidRPr="001373D2">
              <w:t>7</w:t>
            </w:r>
          </w:p>
        </w:tc>
        <w:tc>
          <w:tcPr>
            <w:tcW w:w="7599" w:type="dxa"/>
            <w:shd w:val="clear" w:color="auto" w:fill="auto"/>
          </w:tcPr>
          <w:p w:rsidR="00FA4B61" w:rsidRPr="001373D2" w:rsidRDefault="00FA4B61" w:rsidP="00EE678F">
            <w:pPr>
              <w:pStyle w:val="Tabletext"/>
            </w:pPr>
            <w:r w:rsidRPr="001373D2">
              <w:t>Packages of yarns less than 15 g</w:t>
            </w:r>
          </w:p>
        </w:tc>
      </w:tr>
      <w:tr w:rsidR="00FA4B61" w:rsidRPr="001373D2" w:rsidTr="00EE678F">
        <w:tc>
          <w:tcPr>
            <w:tcW w:w="714" w:type="dxa"/>
            <w:shd w:val="clear" w:color="auto" w:fill="auto"/>
          </w:tcPr>
          <w:p w:rsidR="00FA4B61" w:rsidRPr="001373D2" w:rsidRDefault="00FA4B61" w:rsidP="00FA4B61">
            <w:pPr>
              <w:pStyle w:val="Tabletext"/>
            </w:pPr>
            <w:r w:rsidRPr="001373D2">
              <w:t>8</w:t>
            </w:r>
          </w:p>
        </w:tc>
        <w:tc>
          <w:tcPr>
            <w:tcW w:w="7599" w:type="dxa"/>
            <w:shd w:val="clear" w:color="auto" w:fill="auto"/>
          </w:tcPr>
          <w:p w:rsidR="00FA4B61" w:rsidRPr="001373D2" w:rsidRDefault="00FA4B61" w:rsidP="00EE678F">
            <w:pPr>
              <w:pStyle w:val="Tabletext"/>
            </w:pPr>
            <w:r w:rsidRPr="001373D2">
              <w:t>Packages of one or more articles of a kind that is not food and is ordinarily sold by number, if the number of those articles in the package is marked on:</w:t>
            </w:r>
          </w:p>
          <w:p w:rsidR="00FA4B61" w:rsidRPr="001373D2" w:rsidRDefault="00FA4B61" w:rsidP="00EE678F">
            <w:pPr>
              <w:pStyle w:val="Tablea"/>
            </w:pPr>
            <w:r w:rsidRPr="001373D2">
              <w:t>(a) the package; or</w:t>
            </w:r>
          </w:p>
          <w:p w:rsidR="00FA4B61" w:rsidRPr="001373D2" w:rsidRDefault="00FA4B61" w:rsidP="00EE678F">
            <w:pPr>
              <w:pStyle w:val="Tablea"/>
            </w:pPr>
            <w:r w:rsidRPr="001373D2">
              <w:t>(b) a label that is attached to the package</w:t>
            </w:r>
          </w:p>
        </w:tc>
      </w:tr>
      <w:tr w:rsidR="00FA4B61" w:rsidRPr="001373D2" w:rsidTr="00EE678F">
        <w:tc>
          <w:tcPr>
            <w:tcW w:w="714" w:type="dxa"/>
            <w:shd w:val="clear" w:color="auto" w:fill="auto"/>
          </w:tcPr>
          <w:p w:rsidR="00FA4B61" w:rsidRPr="001373D2" w:rsidRDefault="00FA4B61" w:rsidP="00FA4B61">
            <w:pPr>
              <w:pStyle w:val="Tabletext"/>
            </w:pPr>
            <w:r w:rsidRPr="001373D2">
              <w:t>9</w:t>
            </w:r>
          </w:p>
        </w:tc>
        <w:tc>
          <w:tcPr>
            <w:tcW w:w="7599" w:type="dxa"/>
            <w:shd w:val="clear" w:color="auto" w:fill="auto"/>
          </w:tcPr>
          <w:p w:rsidR="00FA4B61" w:rsidRPr="001373D2" w:rsidRDefault="00FA4B61" w:rsidP="00EE678F">
            <w:pPr>
              <w:pStyle w:val="Tabletext"/>
            </w:pPr>
            <w:r w:rsidRPr="001373D2">
              <w:t>Packages of goods other than food on which is set out a direction that the whole of the contents of the package, or each of a stated number of smaller packages in the package, is to be diluted to a stated weight or volume, such as packages of:</w:t>
            </w:r>
          </w:p>
          <w:p w:rsidR="00FA4B61" w:rsidRPr="001373D2" w:rsidRDefault="00FA4B61" w:rsidP="00EE678F">
            <w:pPr>
              <w:pStyle w:val="Tablea"/>
            </w:pPr>
            <w:r w:rsidRPr="001373D2">
              <w:t>(a) agricultural and horticultural chemicals; or</w:t>
            </w:r>
          </w:p>
          <w:p w:rsidR="00FA4B61" w:rsidRPr="001373D2" w:rsidRDefault="00FA4B61" w:rsidP="00EE678F">
            <w:pPr>
              <w:pStyle w:val="Tablea"/>
            </w:pPr>
            <w:r w:rsidRPr="001373D2">
              <w:t>(b) legume seed inoculants</w:t>
            </w:r>
          </w:p>
        </w:tc>
      </w:tr>
      <w:tr w:rsidR="00FA4B61" w:rsidRPr="001373D2" w:rsidTr="00EE678F">
        <w:tc>
          <w:tcPr>
            <w:tcW w:w="714" w:type="dxa"/>
            <w:shd w:val="clear" w:color="auto" w:fill="auto"/>
          </w:tcPr>
          <w:p w:rsidR="00FA4B61" w:rsidRPr="001373D2" w:rsidRDefault="00FA4B61" w:rsidP="00FA4B61">
            <w:pPr>
              <w:pStyle w:val="Tabletext"/>
            </w:pPr>
            <w:r w:rsidRPr="001373D2">
              <w:t>10</w:t>
            </w:r>
          </w:p>
        </w:tc>
        <w:tc>
          <w:tcPr>
            <w:tcW w:w="7599" w:type="dxa"/>
            <w:shd w:val="clear" w:color="auto" w:fill="auto"/>
          </w:tcPr>
          <w:p w:rsidR="00FA4B61" w:rsidRPr="001373D2" w:rsidRDefault="00FA4B61" w:rsidP="00EE678F">
            <w:pPr>
              <w:pStyle w:val="Tabletext"/>
            </w:pPr>
            <w:r w:rsidRPr="001373D2">
              <w:t>Packages containing paper that is packed in a quantity of more than 5 kg</w:t>
            </w:r>
          </w:p>
        </w:tc>
      </w:tr>
      <w:tr w:rsidR="00FA4B61" w:rsidRPr="001373D2" w:rsidTr="00EE678F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FA4B61" w:rsidRPr="001373D2" w:rsidRDefault="00FA4B61" w:rsidP="00FA4B61">
            <w:pPr>
              <w:pStyle w:val="Tabletext"/>
            </w:pPr>
            <w:r w:rsidRPr="001373D2">
              <w:t>11</w:t>
            </w:r>
          </w:p>
        </w:tc>
        <w:tc>
          <w:tcPr>
            <w:tcW w:w="7599" w:type="dxa"/>
            <w:tcBorders>
              <w:bottom w:val="single" w:sz="2" w:space="0" w:color="auto"/>
            </w:tcBorders>
            <w:shd w:val="clear" w:color="auto" w:fill="auto"/>
          </w:tcPr>
          <w:p w:rsidR="00FA4B61" w:rsidRPr="001373D2" w:rsidRDefault="00FA4B61" w:rsidP="00EE678F">
            <w:pPr>
              <w:pStyle w:val="Tabletext"/>
            </w:pPr>
            <w:r w:rsidRPr="001373D2">
              <w:t>Packages of goods (other than drugs and food) less than 25 g or 25 ml</w:t>
            </w:r>
          </w:p>
        </w:tc>
      </w:tr>
      <w:tr w:rsidR="00FA4B61" w:rsidRPr="001373D2" w:rsidTr="00EE678F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A4B61" w:rsidRPr="001373D2" w:rsidRDefault="00FA4B61" w:rsidP="00FA4B61">
            <w:pPr>
              <w:pStyle w:val="Tabletext"/>
            </w:pPr>
            <w:r w:rsidRPr="001373D2">
              <w:t>12</w:t>
            </w:r>
          </w:p>
        </w:tc>
        <w:tc>
          <w:tcPr>
            <w:tcW w:w="75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A4B61" w:rsidRPr="001373D2" w:rsidRDefault="00FA4B61" w:rsidP="00EE678F">
            <w:pPr>
              <w:pStyle w:val="Tabletext"/>
            </w:pPr>
            <w:r w:rsidRPr="001373D2">
              <w:t>Packages of textile products that are packed for sale by:</w:t>
            </w:r>
          </w:p>
          <w:p w:rsidR="00FA4B61" w:rsidRPr="001373D2" w:rsidRDefault="00FA4B61" w:rsidP="00EE678F">
            <w:pPr>
              <w:pStyle w:val="Tablea"/>
            </w:pPr>
            <w:r w:rsidRPr="001373D2">
              <w:t>(a) weight in packages of more than 4 kg; or</w:t>
            </w:r>
          </w:p>
          <w:p w:rsidR="00FA4B61" w:rsidRPr="001373D2" w:rsidRDefault="00FA4B61" w:rsidP="00EE678F">
            <w:pPr>
              <w:pStyle w:val="Tablea"/>
            </w:pPr>
            <w:r w:rsidRPr="001373D2">
              <w:t>(b) length in packages of more than 25 m; or</w:t>
            </w:r>
          </w:p>
          <w:p w:rsidR="00FA4B61" w:rsidRPr="001373D2" w:rsidRDefault="00FA4B61" w:rsidP="00EE678F">
            <w:pPr>
              <w:pStyle w:val="Tablea"/>
            </w:pPr>
            <w:r w:rsidRPr="001373D2">
              <w:t>(c) area in packages of more than 25 m</w:t>
            </w:r>
            <w:r w:rsidRPr="001373D2">
              <w:rPr>
                <w:vertAlign w:val="superscript"/>
              </w:rPr>
              <w:t>2</w:t>
            </w:r>
          </w:p>
        </w:tc>
      </w:tr>
    </w:tbl>
    <w:p w:rsidR="008222DA" w:rsidRPr="001373D2" w:rsidRDefault="008222DA" w:rsidP="008222DA">
      <w:pPr>
        <w:pStyle w:val="notemargin"/>
      </w:pPr>
      <w:r w:rsidRPr="001373D2">
        <w:t>Note:</w:t>
      </w:r>
      <w:r w:rsidRPr="001373D2">
        <w:tab/>
        <w:t>References in the table to particular numbers of kilograms or grams are to those numbers of kilograms or g</w:t>
      </w:r>
      <w:r w:rsidR="00936E67" w:rsidRPr="001373D2">
        <w:t>rams net: see paragraph</w:t>
      </w:r>
      <w:r w:rsidR="001373D2" w:rsidRPr="001373D2">
        <w:t> </w:t>
      </w:r>
      <w:r w:rsidR="004F69B5" w:rsidRPr="001373D2">
        <w:t>6</w:t>
      </w:r>
      <w:r w:rsidR="00936E67" w:rsidRPr="001373D2">
        <w:t>(1)(a</w:t>
      </w:r>
      <w:r w:rsidRPr="001373D2">
        <w:t>).</w:t>
      </w:r>
    </w:p>
    <w:p w:rsidR="00101DBC" w:rsidRPr="001373D2" w:rsidRDefault="004F69B5" w:rsidP="000A1AF6">
      <w:pPr>
        <w:pStyle w:val="ActHead5"/>
      </w:pPr>
      <w:bookmarkStart w:id="22" w:name="_Toc466383357"/>
      <w:r w:rsidRPr="001373D2">
        <w:rPr>
          <w:rStyle w:val="CharSectno"/>
        </w:rPr>
        <w:t>13</w:t>
      </w:r>
      <w:r w:rsidR="000A1AF6" w:rsidRPr="001373D2">
        <w:t xml:space="preserve">  </w:t>
      </w:r>
      <w:r w:rsidR="008222DA" w:rsidRPr="001373D2">
        <w:t>Food that may be imported before 1</w:t>
      </w:r>
      <w:r w:rsidR="001373D2" w:rsidRPr="001373D2">
        <w:t> </w:t>
      </w:r>
      <w:r w:rsidR="008222DA" w:rsidRPr="001373D2">
        <w:t>July 2018 without trade description applied</w:t>
      </w:r>
      <w:bookmarkEnd w:id="22"/>
    </w:p>
    <w:p w:rsidR="00A06ED3" w:rsidRPr="001373D2" w:rsidRDefault="00A06ED3" w:rsidP="00A06ED3">
      <w:pPr>
        <w:pStyle w:val="subsection"/>
      </w:pPr>
      <w:r w:rsidRPr="001373D2">
        <w:tab/>
      </w:r>
      <w:r w:rsidR="0071442A" w:rsidRPr="001373D2">
        <w:t>(1)</w:t>
      </w:r>
      <w:r w:rsidRPr="001373D2">
        <w:tab/>
        <w:t xml:space="preserve">This </w:t>
      </w:r>
      <w:r w:rsidR="00936E67" w:rsidRPr="001373D2">
        <w:t>Subdivision also</w:t>
      </w:r>
      <w:r w:rsidRPr="001373D2">
        <w:t xml:space="preserve"> covers food specified in the following table.</w:t>
      </w:r>
    </w:p>
    <w:p w:rsidR="00A06ED3" w:rsidRPr="001373D2" w:rsidRDefault="00A06ED3" w:rsidP="00D96A62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599"/>
      </w:tblGrid>
      <w:tr w:rsidR="00D96A62" w:rsidRPr="001373D2" w:rsidTr="00EE678F">
        <w:trPr>
          <w:tblHeader/>
        </w:trPr>
        <w:tc>
          <w:tcPr>
            <w:tcW w:w="831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96A62" w:rsidRPr="001373D2" w:rsidRDefault="00D96A62" w:rsidP="00EE678F">
            <w:pPr>
              <w:pStyle w:val="TableHeading"/>
            </w:pPr>
            <w:r w:rsidRPr="001373D2">
              <w:t>Food that may be imported before 1</w:t>
            </w:r>
            <w:r w:rsidR="001373D2" w:rsidRPr="001373D2">
              <w:t> </w:t>
            </w:r>
            <w:r w:rsidRPr="001373D2">
              <w:t>July 2018 without trade description applied</w:t>
            </w:r>
          </w:p>
        </w:tc>
      </w:tr>
      <w:tr w:rsidR="00D96A62" w:rsidRPr="001373D2" w:rsidTr="00EE678F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96A62" w:rsidRPr="001373D2" w:rsidRDefault="00D96A62" w:rsidP="00EE678F">
            <w:pPr>
              <w:pStyle w:val="TableHeading"/>
            </w:pPr>
            <w:r w:rsidRPr="001373D2">
              <w:t>Item</w:t>
            </w:r>
          </w:p>
        </w:tc>
        <w:tc>
          <w:tcPr>
            <w:tcW w:w="75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96A62" w:rsidRPr="001373D2" w:rsidRDefault="00D96A62" w:rsidP="00EE678F">
            <w:pPr>
              <w:pStyle w:val="TableHeading"/>
            </w:pPr>
            <w:r w:rsidRPr="001373D2">
              <w:t>Food</w:t>
            </w:r>
          </w:p>
        </w:tc>
      </w:tr>
      <w:tr w:rsidR="00D96A62" w:rsidRPr="001373D2" w:rsidTr="00EE678F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D96A62" w:rsidRPr="001373D2" w:rsidRDefault="00D96A62" w:rsidP="00D96A62">
            <w:pPr>
              <w:pStyle w:val="Tabletext"/>
            </w:pPr>
            <w:r w:rsidRPr="001373D2">
              <w:t>1</w:t>
            </w:r>
          </w:p>
        </w:tc>
        <w:tc>
          <w:tcPr>
            <w:tcW w:w="7599" w:type="dxa"/>
            <w:tcBorders>
              <w:top w:val="single" w:sz="12" w:space="0" w:color="auto"/>
            </w:tcBorders>
            <w:shd w:val="clear" w:color="auto" w:fill="auto"/>
          </w:tcPr>
          <w:p w:rsidR="00D96A62" w:rsidRPr="001373D2" w:rsidRDefault="00D96A62" w:rsidP="00EE678F">
            <w:pPr>
              <w:pStyle w:val="Tabletext"/>
            </w:pPr>
            <w:r w:rsidRPr="001373D2">
              <w:t>Confectionery in novelty shapes, such as Easter eggs and Easter caskets</w:t>
            </w:r>
          </w:p>
        </w:tc>
      </w:tr>
      <w:tr w:rsidR="00D96A62" w:rsidRPr="001373D2" w:rsidTr="00EE678F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D96A62" w:rsidRPr="001373D2" w:rsidRDefault="00D96A62" w:rsidP="00D96A62">
            <w:pPr>
              <w:pStyle w:val="Tabletext"/>
            </w:pPr>
            <w:r w:rsidRPr="001373D2">
              <w:t>2</w:t>
            </w:r>
          </w:p>
        </w:tc>
        <w:tc>
          <w:tcPr>
            <w:tcW w:w="7599" w:type="dxa"/>
            <w:tcBorders>
              <w:bottom w:val="single" w:sz="2" w:space="0" w:color="auto"/>
            </w:tcBorders>
            <w:shd w:val="clear" w:color="auto" w:fill="auto"/>
          </w:tcPr>
          <w:p w:rsidR="00D96A62" w:rsidRPr="001373D2" w:rsidRDefault="00D96A62" w:rsidP="00EE678F">
            <w:pPr>
              <w:pStyle w:val="Tabletext"/>
            </w:pPr>
            <w:r w:rsidRPr="001373D2">
              <w:t>Honey in the comb that is contained in the original frame</w:t>
            </w:r>
          </w:p>
        </w:tc>
      </w:tr>
      <w:tr w:rsidR="00D96A62" w:rsidRPr="001373D2" w:rsidTr="00EE678F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96A62" w:rsidRPr="001373D2" w:rsidRDefault="00D96A62" w:rsidP="00D96A62">
            <w:pPr>
              <w:pStyle w:val="Tabletext"/>
            </w:pPr>
            <w:r w:rsidRPr="001373D2">
              <w:t>3</w:t>
            </w:r>
          </w:p>
        </w:tc>
        <w:tc>
          <w:tcPr>
            <w:tcW w:w="75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96A62" w:rsidRPr="001373D2" w:rsidRDefault="00D96A62" w:rsidP="00EE678F">
            <w:pPr>
              <w:pStyle w:val="Tabletext"/>
            </w:pPr>
            <w:r w:rsidRPr="001373D2">
              <w:t>Kippers</w:t>
            </w:r>
          </w:p>
        </w:tc>
      </w:tr>
    </w:tbl>
    <w:p w:rsidR="00101DBC" w:rsidRPr="001373D2" w:rsidRDefault="00A06ED3" w:rsidP="00101DBC">
      <w:pPr>
        <w:pStyle w:val="subsection"/>
      </w:pPr>
      <w:r w:rsidRPr="001373D2">
        <w:tab/>
        <w:t>(2)</w:t>
      </w:r>
      <w:r w:rsidRPr="001373D2">
        <w:tab/>
        <w:t>This section is repealed at the start of 1</w:t>
      </w:r>
      <w:r w:rsidR="001373D2" w:rsidRPr="001373D2">
        <w:t> </w:t>
      </w:r>
      <w:r w:rsidRPr="001373D2">
        <w:t>July 2018.</w:t>
      </w:r>
    </w:p>
    <w:p w:rsidR="008222DA" w:rsidRPr="001373D2" w:rsidRDefault="004F69B5" w:rsidP="008222DA">
      <w:pPr>
        <w:pStyle w:val="ActHead5"/>
      </w:pPr>
      <w:bookmarkStart w:id="23" w:name="_Toc466383358"/>
      <w:r w:rsidRPr="001373D2">
        <w:rPr>
          <w:rStyle w:val="CharSectno"/>
        </w:rPr>
        <w:t>14</w:t>
      </w:r>
      <w:r w:rsidR="008222DA" w:rsidRPr="001373D2">
        <w:t xml:space="preserve">  Packages of food that may be imported before 1</w:t>
      </w:r>
      <w:r w:rsidR="001373D2" w:rsidRPr="001373D2">
        <w:t> </w:t>
      </w:r>
      <w:r w:rsidR="008222DA" w:rsidRPr="001373D2">
        <w:t>July 2018 without trade description applied</w:t>
      </w:r>
      <w:bookmarkEnd w:id="23"/>
    </w:p>
    <w:p w:rsidR="00A06ED3" w:rsidRPr="001373D2" w:rsidRDefault="00A06ED3" w:rsidP="00A06ED3">
      <w:pPr>
        <w:pStyle w:val="subsection"/>
      </w:pPr>
      <w:r w:rsidRPr="001373D2">
        <w:tab/>
      </w:r>
      <w:r w:rsidR="006679B5" w:rsidRPr="001373D2">
        <w:t>(1)</w:t>
      </w:r>
      <w:r w:rsidRPr="001373D2">
        <w:tab/>
        <w:t>This</w:t>
      </w:r>
      <w:r w:rsidR="00936E67" w:rsidRPr="001373D2">
        <w:t xml:space="preserve"> Subdivision also</w:t>
      </w:r>
      <w:r w:rsidRPr="001373D2">
        <w:t xml:space="preserve"> covers food imported in packages d</w:t>
      </w:r>
      <w:r w:rsidR="00792951" w:rsidRPr="001373D2">
        <w:t>escribed in the following table.</w:t>
      </w:r>
    </w:p>
    <w:p w:rsidR="00A06ED3" w:rsidRPr="001373D2" w:rsidRDefault="00A06ED3" w:rsidP="002F1243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599"/>
      </w:tblGrid>
      <w:tr w:rsidR="002F1243" w:rsidRPr="001373D2" w:rsidTr="00EE678F">
        <w:trPr>
          <w:tblHeader/>
        </w:trPr>
        <w:tc>
          <w:tcPr>
            <w:tcW w:w="831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F1243" w:rsidRPr="001373D2" w:rsidRDefault="002F1243" w:rsidP="00EE678F">
            <w:pPr>
              <w:pStyle w:val="TableHeading"/>
            </w:pPr>
            <w:r w:rsidRPr="001373D2">
              <w:t>Packages of food that may imported before 1</w:t>
            </w:r>
            <w:r w:rsidR="001373D2" w:rsidRPr="001373D2">
              <w:t> </w:t>
            </w:r>
            <w:r w:rsidRPr="001373D2">
              <w:t>July 2018 without trade description applied</w:t>
            </w:r>
          </w:p>
        </w:tc>
      </w:tr>
      <w:tr w:rsidR="002F1243" w:rsidRPr="001373D2" w:rsidTr="00EE678F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F1243" w:rsidRPr="001373D2" w:rsidRDefault="002F1243" w:rsidP="00EE678F">
            <w:pPr>
              <w:pStyle w:val="TableHeading"/>
            </w:pPr>
            <w:r w:rsidRPr="001373D2">
              <w:t>Item</w:t>
            </w:r>
          </w:p>
        </w:tc>
        <w:tc>
          <w:tcPr>
            <w:tcW w:w="75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F1243" w:rsidRPr="001373D2" w:rsidRDefault="002F1243" w:rsidP="00EE678F">
            <w:pPr>
              <w:pStyle w:val="TableHeading"/>
            </w:pPr>
            <w:r w:rsidRPr="001373D2">
              <w:t>Packages</w:t>
            </w:r>
          </w:p>
        </w:tc>
      </w:tr>
      <w:tr w:rsidR="002F1243" w:rsidRPr="001373D2" w:rsidTr="00EE678F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2F1243" w:rsidRPr="001373D2" w:rsidRDefault="002F1243" w:rsidP="002F1243">
            <w:pPr>
              <w:pStyle w:val="Tabletext"/>
            </w:pPr>
            <w:r w:rsidRPr="001373D2">
              <w:t>1</w:t>
            </w:r>
          </w:p>
        </w:tc>
        <w:tc>
          <w:tcPr>
            <w:tcW w:w="7599" w:type="dxa"/>
            <w:tcBorders>
              <w:top w:val="single" w:sz="12" w:space="0" w:color="auto"/>
            </w:tcBorders>
            <w:shd w:val="clear" w:color="auto" w:fill="auto"/>
          </w:tcPr>
          <w:p w:rsidR="002F1243" w:rsidRPr="001373D2" w:rsidRDefault="002F1243" w:rsidP="00EE678F">
            <w:pPr>
              <w:pStyle w:val="Tabletext"/>
            </w:pPr>
            <w:r w:rsidRPr="001373D2">
              <w:t>Packages of food more than 75 kg in weight or 150 L in capacity</w:t>
            </w:r>
          </w:p>
        </w:tc>
      </w:tr>
      <w:tr w:rsidR="002F1243" w:rsidRPr="001373D2" w:rsidTr="00EE678F">
        <w:tc>
          <w:tcPr>
            <w:tcW w:w="714" w:type="dxa"/>
            <w:shd w:val="clear" w:color="auto" w:fill="auto"/>
          </w:tcPr>
          <w:p w:rsidR="002F1243" w:rsidRPr="001373D2" w:rsidRDefault="002F1243" w:rsidP="002F1243">
            <w:pPr>
              <w:pStyle w:val="Tabletext"/>
            </w:pPr>
            <w:r w:rsidRPr="001373D2">
              <w:t>2</w:t>
            </w:r>
          </w:p>
        </w:tc>
        <w:tc>
          <w:tcPr>
            <w:tcW w:w="7599" w:type="dxa"/>
            <w:shd w:val="clear" w:color="auto" w:fill="auto"/>
          </w:tcPr>
          <w:p w:rsidR="002F1243" w:rsidRPr="001373D2" w:rsidRDefault="002F1243" w:rsidP="00EE678F">
            <w:pPr>
              <w:pStyle w:val="Tabletext"/>
            </w:pPr>
            <w:r w:rsidRPr="001373D2">
              <w:t>Packages of food:</w:t>
            </w:r>
          </w:p>
          <w:p w:rsidR="002F1243" w:rsidRPr="001373D2" w:rsidRDefault="002F1243" w:rsidP="00EE678F">
            <w:pPr>
              <w:pStyle w:val="Tablea"/>
            </w:pPr>
            <w:r w:rsidRPr="001373D2">
              <w:t>(a) of less than 9 articles of a kind that are ordinarily sold by number; and</w:t>
            </w:r>
          </w:p>
          <w:p w:rsidR="002F1243" w:rsidRPr="001373D2" w:rsidRDefault="002F1243" w:rsidP="00EE678F">
            <w:pPr>
              <w:pStyle w:val="Tablea"/>
            </w:pPr>
            <w:r w:rsidRPr="001373D2">
              <w:t>(b) that are made wholly or partly of a transparent material so that if the package is exposed for sale, the number of articles in the package is clear to a purchaser</w:t>
            </w:r>
          </w:p>
        </w:tc>
      </w:tr>
      <w:tr w:rsidR="002F1243" w:rsidRPr="001373D2" w:rsidTr="00EE678F">
        <w:tc>
          <w:tcPr>
            <w:tcW w:w="714" w:type="dxa"/>
            <w:shd w:val="clear" w:color="auto" w:fill="auto"/>
          </w:tcPr>
          <w:p w:rsidR="002F1243" w:rsidRPr="001373D2" w:rsidRDefault="002F1243" w:rsidP="002F1243">
            <w:pPr>
              <w:pStyle w:val="Tabletext"/>
            </w:pPr>
            <w:r w:rsidRPr="001373D2">
              <w:t>3</w:t>
            </w:r>
          </w:p>
        </w:tc>
        <w:tc>
          <w:tcPr>
            <w:tcW w:w="7599" w:type="dxa"/>
            <w:shd w:val="clear" w:color="auto" w:fill="auto"/>
          </w:tcPr>
          <w:p w:rsidR="002F1243" w:rsidRPr="001373D2" w:rsidRDefault="002F1243" w:rsidP="00EE678F">
            <w:pPr>
              <w:pStyle w:val="Tabletext"/>
            </w:pPr>
            <w:r w:rsidRPr="001373D2">
              <w:t>Sacks of agricultural produce that is food customarily sold by weight (such as wheat, maize, oats and potatoes), with weight more than 25 kg</w:t>
            </w:r>
          </w:p>
        </w:tc>
      </w:tr>
      <w:tr w:rsidR="002F1243" w:rsidRPr="001373D2" w:rsidTr="00EE678F">
        <w:tc>
          <w:tcPr>
            <w:tcW w:w="714" w:type="dxa"/>
            <w:shd w:val="clear" w:color="auto" w:fill="auto"/>
          </w:tcPr>
          <w:p w:rsidR="002F1243" w:rsidRPr="001373D2" w:rsidRDefault="002F1243" w:rsidP="002F1243">
            <w:pPr>
              <w:pStyle w:val="Tabletext"/>
            </w:pPr>
            <w:r w:rsidRPr="001373D2">
              <w:t>4</w:t>
            </w:r>
          </w:p>
        </w:tc>
        <w:tc>
          <w:tcPr>
            <w:tcW w:w="7599" w:type="dxa"/>
            <w:shd w:val="clear" w:color="auto" w:fill="auto"/>
          </w:tcPr>
          <w:p w:rsidR="002F1243" w:rsidRPr="001373D2" w:rsidRDefault="002F1243" w:rsidP="00EE678F">
            <w:pPr>
              <w:pStyle w:val="Tabletext"/>
              <w:rPr>
                <w:i/>
              </w:rPr>
            </w:pPr>
            <w:r w:rsidRPr="001373D2">
              <w:t>Packages of ice cream or other frozen confections less than 300 ml</w:t>
            </w:r>
          </w:p>
        </w:tc>
      </w:tr>
      <w:tr w:rsidR="002F1243" w:rsidRPr="001373D2" w:rsidTr="00EE678F">
        <w:tc>
          <w:tcPr>
            <w:tcW w:w="714" w:type="dxa"/>
            <w:shd w:val="clear" w:color="auto" w:fill="auto"/>
          </w:tcPr>
          <w:p w:rsidR="002F1243" w:rsidRPr="001373D2" w:rsidRDefault="002F1243" w:rsidP="002F1243">
            <w:pPr>
              <w:pStyle w:val="Tabletext"/>
            </w:pPr>
            <w:r w:rsidRPr="001373D2">
              <w:t>5</w:t>
            </w:r>
          </w:p>
        </w:tc>
        <w:tc>
          <w:tcPr>
            <w:tcW w:w="7599" w:type="dxa"/>
            <w:shd w:val="clear" w:color="auto" w:fill="auto"/>
          </w:tcPr>
          <w:p w:rsidR="002F1243" w:rsidRPr="001373D2" w:rsidRDefault="002F1243" w:rsidP="00EE678F">
            <w:pPr>
              <w:pStyle w:val="Tabletext"/>
            </w:pPr>
            <w:r w:rsidRPr="001373D2">
              <w:t>Packages of a single pie or pasty less than 250 g</w:t>
            </w:r>
          </w:p>
        </w:tc>
      </w:tr>
      <w:tr w:rsidR="002F1243" w:rsidRPr="001373D2" w:rsidTr="00EE678F">
        <w:tc>
          <w:tcPr>
            <w:tcW w:w="714" w:type="dxa"/>
            <w:shd w:val="clear" w:color="auto" w:fill="auto"/>
          </w:tcPr>
          <w:p w:rsidR="002F1243" w:rsidRPr="001373D2" w:rsidRDefault="002F1243" w:rsidP="002F1243">
            <w:pPr>
              <w:pStyle w:val="Tabletext"/>
            </w:pPr>
            <w:r w:rsidRPr="001373D2">
              <w:t>6</w:t>
            </w:r>
          </w:p>
        </w:tc>
        <w:tc>
          <w:tcPr>
            <w:tcW w:w="7599" w:type="dxa"/>
            <w:shd w:val="clear" w:color="auto" w:fill="auto"/>
          </w:tcPr>
          <w:p w:rsidR="002F1243" w:rsidRPr="001373D2" w:rsidRDefault="002F1243" w:rsidP="00EE678F">
            <w:pPr>
              <w:pStyle w:val="Tabletext"/>
            </w:pPr>
            <w:r w:rsidRPr="001373D2">
              <w:t>Packages of a single cake, sponge or pudding less than 125 g</w:t>
            </w:r>
          </w:p>
        </w:tc>
      </w:tr>
      <w:tr w:rsidR="002F1243" w:rsidRPr="001373D2" w:rsidTr="00EE678F">
        <w:tc>
          <w:tcPr>
            <w:tcW w:w="714" w:type="dxa"/>
            <w:shd w:val="clear" w:color="auto" w:fill="auto"/>
          </w:tcPr>
          <w:p w:rsidR="002F1243" w:rsidRPr="001373D2" w:rsidRDefault="002F1243" w:rsidP="002F1243">
            <w:pPr>
              <w:pStyle w:val="Tabletext"/>
            </w:pPr>
            <w:r w:rsidRPr="001373D2">
              <w:t>7</w:t>
            </w:r>
          </w:p>
        </w:tc>
        <w:tc>
          <w:tcPr>
            <w:tcW w:w="7599" w:type="dxa"/>
            <w:shd w:val="clear" w:color="auto" w:fill="auto"/>
          </w:tcPr>
          <w:p w:rsidR="002F1243" w:rsidRPr="001373D2" w:rsidRDefault="002F1243" w:rsidP="00EE678F">
            <w:pPr>
              <w:pStyle w:val="Tabletext"/>
            </w:pPr>
            <w:r w:rsidRPr="001373D2">
              <w:t>Packages of dried vegetables less than 15 g</w:t>
            </w:r>
          </w:p>
        </w:tc>
      </w:tr>
      <w:tr w:rsidR="002F1243" w:rsidRPr="001373D2" w:rsidTr="00EE678F">
        <w:tc>
          <w:tcPr>
            <w:tcW w:w="714" w:type="dxa"/>
            <w:shd w:val="clear" w:color="auto" w:fill="auto"/>
          </w:tcPr>
          <w:p w:rsidR="002F1243" w:rsidRPr="001373D2" w:rsidRDefault="002F1243" w:rsidP="002F1243">
            <w:pPr>
              <w:pStyle w:val="Tabletext"/>
            </w:pPr>
            <w:r w:rsidRPr="001373D2">
              <w:t>8</w:t>
            </w:r>
          </w:p>
        </w:tc>
        <w:tc>
          <w:tcPr>
            <w:tcW w:w="7599" w:type="dxa"/>
            <w:shd w:val="clear" w:color="auto" w:fill="auto"/>
          </w:tcPr>
          <w:p w:rsidR="002F1243" w:rsidRPr="001373D2" w:rsidRDefault="002F1243" w:rsidP="00EE678F">
            <w:pPr>
              <w:pStyle w:val="Tabletext"/>
            </w:pPr>
            <w:r w:rsidRPr="001373D2">
              <w:t>Packages of wines labelled before 1</w:t>
            </w:r>
            <w:r w:rsidR="001373D2" w:rsidRPr="001373D2">
              <w:t> </w:t>
            </w:r>
            <w:r w:rsidRPr="001373D2">
              <w:t>November 1969</w:t>
            </w:r>
          </w:p>
        </w:tc>
      </w:tr>
      <w:tr w:rsidR="002F1243" w:rsidRPr="001373D2" w:rsidTr="00EE678F">
        <w:tc>
          <w:tcPr>
            <w:tcW w:w="714" w:type="dxa"/>
            <w:shd w:val="clear" w:color="auto" w:fill="auto"/>
          </w:tcPr>
          <w:p w:rsidR="002F1243" w:rsidRPr="001373D2" w:rsidRDefault="002F1243" w:rsidP="002F1243">
            <w:pPr>
              <w:pStyle w:val="Tabletext"/>
            </w:pPr>
            <w:r w:rsidRPr="001373D2">
              <w:t>9</w:t>
            </w:r>
          </w:p>
        </w:tc>
        <w:tc>
          <w:tcPr>
            <w:tcW w:w="7599" w:type="dxa"/>
            <w:shd w:val="clear" w:color="auto" w:fill="auto"/>
          </w:tcPr>
          <w:p w:rsidR="002F1243" w:rsidRPr="001373D2" w:rsidRDefault="002F1243" w:rsidP="00EE678F">
            <w:pPr>
              <w:pStyle w:val="Tabletext"/>
            </w:pPr>
            <w:r w:rsidRPr="001373D2">
              <w:t>Packages of alcoholic liquors in quantities of less than 75 ml</w:t>
            </w:r>
            <w:r w:rsidRPr="001373D2">
              <w:rPr>
                <w:i/>
              </w:rPr>
              <w:t xml:space="preserve"> </w:t>
            </w:r>
            <w:r w:rsidRPr="001373D2">
              <w:t>or more than 10 L</w:t>
            </w:r>
          </w:p>
        </w:tc>
      </w:tr>
      <w:tr w:rsidR="002F1243" w:rsidRPr="001373D2" w:rsidTr="00EE678F">
        <w:tc>
          <w:tcPr>
            <w:tcW w:w="714" w:type="dxa"/>
            <w:shd w:val="clear" w:color="auto" w:fill="auto"/>
          </w:tcPr>
          <w:p w:rsidR="002F1243" w:rsidRPr="001373D2" w:rsidRDefault="002F1243" w:rsidP="002F1243">
            <w:pPr>
              <w:pStyle w:val="Tabletext"/>
            </w:pPr>
            <w:r w:rsidRPr="001373D2">
              <w:t>10</w:t>
            </w:r>
          </w:p>
        </w:tc>
        <w:tc>
          <w:tcPr>
            <w:tcW w:w="7599" w:type="dxa"/>
            <w:shd w:val="clear" w:color="auto" w:fill="auto"/>
          </w:tcPr>
          <w:p w:rsidR="002F1243" w:rsidRPr="001373D2" w:rsidRDefault="002F1243" w:rsidP="00EE678F">
            <w:pPr>
              <w:pStyle w:val="Tabletext"/>
            </w:pPr>
            <w:r w:rsidRPr="001373D2">
              <w:t>Packages of one or more articles of food of a kind that is ordinarily sold by number, if the number of those articles in the package is marked on:</w:t>
            </w:r>
          </w:p>
          <w:p w:rsidR="002F1243" w:rsidRPr="001373D2" w:rsidRDefault="002F1243" w:rsidP="00EE678F">
            <w:pPr>
              <w:pStyle w:val="Tablea"/>
            </w:pPr>
            <w:r w:rsidRPr="001373D2">
              <w:t>(a) the package; or</w:t>
            </w:r>
          </w:p>
          <w:p w:rsidR="002F1243" w:rsidRPr="001373D2" w:rsidRDefault="002F1243" w:rsidP="00EE678F">
            <w:pPr>
              <w:pStyle w:val="Tablea"/>
            </w:pPr>
            <w:r w:rsidRPr="001373D2">
              <w:t>(b) a label that is attached to the package</w:t>
            </w:r>
          </w:p>
        </w:tc>
      </w:tr>
      <w:tr w:rsidR="002F1243" w:rsidRPr="001373D2" w:rsidTr="00EE678F">
        <w:tc>
          <w:tcPr>
            <w:tcW w:w="714" w:type="dxa"/>
            <w:shd w:val="clear" w:color="auto" w:fill="auto"/>
          </w:tcPr>
          <w:p w:rsidR="002F1243" w:rsidRPr="001373D2" w:rsidRDefault="002F1243" w:rsidP="002F1243">
            <w:pPr>
              <w:pStyle w:val="Tabletext"/>
            </w:pPr>
            <w:r w:rsidRPr="001373D2">
              <w:t>11</w:t>
            </w:r>
          </w:p>
        </w:tc>
        <w:tc>
          <w:tcPr>
            <w:tcW w:w="7599" w:type="dxa"/>
            <w:shd w:val="clear" w:color="auto" w:fill="auto"/>
          </w:tcPr>
          <w:p w:rsidR="002F1243" w:rsidRPr="001373D2" w:rsidRDefault="002F1243" w:rsidP="00EE678F">
            <w:pPr>
              <w:pStyle w:val="Tabletext"/>
            </w:pPr>
            <w:r w:rsidRPr="001373D2">
              <w:t>Packages:</w:t>
            </w:r>
          </w:p>
          <w:p w:rsidR="002F1243" w:rsidRPr="001373D2" w:rsidRDefault="002F1243" w:rsidP="00EE678F">
            <w:pPr>
              <w:pStyle w:val="Tablea"/>
            </w:pPr>
            <w:r w:rsidRPr="001373D2">
              <w:t>(a) of articles of food (such as jelly crystals, blancmange powders, custard powders, junket tablets or junket powders), other than powdered milk or condensed milk; and</w:t>
            </w:r>
          </w:p>
          <w:p w:rsidR="002F1243" w:rsidRPr="001373D2" w:rsidRDefault="002F1243" w:rsidP="00EE678F">
            <w:pPr>
              <w:pStyle w:val="Tablea"/>
            </w:pPr>
            <w:r w:rsidRPr="001373D2">
              <w:t>(b) on which is set out a direction that the whole of the contents of the package, or each of a stated number of smaller packages in the package, is to be diluted to a stated weight or volume</w:t>
            </w:r>
          </w:p>
        </w:tc>
      </w:tr>
      <w:tr w:rsidR="002F1243" w:rsidRPr="001373D2" w:rsidTr="00EE678F">
        <w:tc>
          <w:tcPr>
            <w:tcW w:w="714" w:type="dxa"/>
            <w:shd w:val="clear" w:color="auto" w:fill="auto"/>
          </w:tcPr>
          <w:p w:rsidR="002F1243" w:rsidRPr="001373D2" w:rsidRDefault="002F1243" w:rsidP="002F1243">
            <w:pPr>
              <w:pStyle w:val="Tabletext"/>
            </w:pPr>
            <w:r w:rsidRPr="001373D2">
              <w:t>12</w:t>
            </w:r>
          </w:p>
        </w:tc>
        <w:tc>
          <w:tcPr>
            <w:tcW w:w="7599" w:type="dxa"/>
            <w:shd w:val="clear" w:color="auto" w:fill="auto"/>
          </w:tcPr>
          <w:p w:rsidR="002F1243" w:rsidRPr="001373D2" w:rsidRDefault="002F1243" w:rsidP="00EE678F">
            <w:pPr>
              <w:pStyle w:val="Tabletext"/>
            </w:pPr>
            <w:r w:rsidRPr="001373D2">
              <w:t>Packages of food (other than pepper or other spices, herbs, instant tea or dried vegetables) less than 25 g or 25 ml</w:t>
            </w:r>
          </w:p>
        </w:tc>
      </w:tr>
      <w:tr w:rsidR="002F1243" w:rsidRPr="001373D2" w:rsidTr="00EE678F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2F1243" w:rsidRPr="001373D2" w:rsidRDefault="002F1243" w:rsidP="002F1243">
            <w:pPr>
              <w:pStyle w:val="Tabletext"/>
            </w:pPr>
            <w:r w:rsidRPr="001373D2">
              <w:t>13</w:t>
            </w:r>
          </w:p>
        </w:tc>
        <w:tc>
          <w:tcPr>
            <w:tcW w:w="7599" w:type="dxa"/>
            <w:tcBorders>
              <w:bottom w:val="single" w:sz="2" w:space="0" w:color="auto"/>
            </w:tcBorders>
            <w:shd w:val="clear" w:color="auto" w:fill="auto"/>
          </w:tcPr>
          <w:p w:rsidR="002F1243" w:rsidRPr="001373D2" w:rsidRDefault="002F1243" w:rsidP="00EE678F">
            <w:pPr>
              <w:pStyle w:val="Tabletext"/>
            </w:pPr>
            <w:r w:rsidRPr="001373D2">
              <w:t>Packages of confectionery, nuts, popcorn, potato crisps or savouries that are:</w:t>
            </w:r>
          </w:p>
          <w:p w:rsidR="002F1243" w:rsidRPr="001373D2" w:rsidRDefault="002F1243" w:rsidP="00EE678F">
            <w:pPr>
              <w:pStyle w:val="Tablea"/>
            </w:pPr>
            <w:r w:rsidRPr="001373D2">
              <w:t>(a) packages of less than 85 g weight or, for chocolate moulded in slab, block or bar form with or without added matter, less than 30 g weight; or</w:t>
            </w:r>
          </w:p>
          <w:p w:rsidR="002F1243" w:rsidRPr="001373D2" w:rsidRDefault="002F1243" w:rsidP="00EE678F">
            <w:pPr>
              <w:pStyle w:val="Tablea"/>
            </w:pPr>
            <w:r w:rsidRPr="001373D2">
              <w:t>(b) packages of another article if the substantial value of the combined articles is represented by that other article</w:t>
            </w:r>
          </w:p>
        </w:tc>
      </w:tr>
      <w:tr w:rsidR="002F1243" w:rsidRPr="001373D2" w:rsidTr="00EE678F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F1243" w:rsidRPr="001373D2" w:rsidRDefault="002F1243" w:rsidP="002F1243">
            <w:pPr>
              <w:pStyle w:val="Tabletext"/>
            </w:pPr>
            <w:r w:rsidRPr="001373D2">
              <w:t>14</w:t>
            </w:r>
          </w:p>
        </w:tc>
        <w:tc>
          <w:tcPr>
            <w:tcW w:w="75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F1243" w:rsidRPr="001373D2" w:rsidRDefault="002F1243" w:rsidP="00EE678F">
            <w:pPr>
              <w:pStyle w:val="Tabletext"/>
            </w:pPr>
            <w:r w:rsidRPr="001373D2">
              <w:t>Packages of dried fruit that are:</w:t>
            </w:r>
          </w:p>
          <w:p w:rsidR="002F1243" w:rsidRPr="001373D2" w:rsidRDefault="002F1243" w:rsidP="00EE678F">
            <w:pPr>
              <w:pStyle w:val="Tablea"/>
            </w:pPr>
            <w:r w:rsidRPr="001373D2">
              <w:t>(a) packages of less than 85 g weight; or</w:t>
            </w:r>
          </w:p>
          <w:p w:rsidR="002F1243" w:rsidRPr="001373D2" w:rsidRDefault="002F1243" w:rsidP="00EE678F">
            <w:pPr>
              <w:pStyle w:val="Tablea"/>
            </w:pPr>
            <w:r w:rsidRPr="001373D2">
              <w:t>(b) packages of another article if the substantial value of the combined articles is represented by that other article</w:t>
            </w:r>
          </w:p>
        </w:tc>
      </w:tr>
    </w:tbl>
    <w:p w:rsidR="00A06ED3" w:rsidRPr="001373D2" w:rsidRDefault="00A06ED3" w:rsidP="00A06ED3">
      <w:pPr>
        <w:pStyle w:val="notemargin"/>
      </w:pPr>
      <w:r w:rsidRPr="001373D2">
        <w:t>Note:</w:t>
      </w:r>
      <w:r w:rsidRPr="001373D2">
        <w:tab/>
        <w:t>References in the table to particular numbers of kilograms or grams are to those numbers of kilograms or g</w:t>
      </w:r>
      <w:r w:rsidR="0071442A" w:rsidRPr="001373D2">
        <w:t>rams net: see paragraph</w:t>
      </w:r>
      <w:r w:rsidR="001373D2" w:rsidRPr="001373D2">
        <w:t> </w:t>
      </w:r>
      <w:r w:rsidR="004F69B5" w:rsidRPr="001373D2">
        <w:t>6</w:t>
      </w:r>
      <w:r w:rsidR="0071442A" w:rsidRPr="001373D2">
        <w:t>(1)(a</w:t>
      </w:r>
      <w:r w:rsidRPr="001373D2">
        <w:t>).</w:t>
      </w:r>
    </w:p>
    <w:p w:rsidR="006679B5" w:rsidRPr="001373D2" w:rsidRDefault="006679B5" w:rsidP="006679B5">
      <w:pPr>
        <w:pStyle w:val="subsection"/>
      </w:pPr>
      <w:r w:rsidRPr="001373D2">
        <w:tab/>
        <w:t>(2)</w:t>
      </w:r>
      <w:r w:rsidRPr="001373D2">
        <w:tab/>
        <w:t>This section is repealed at the start of 1</w:t>
      </w:r>
      <w:r w:rsidR="001373D2" w:rsidRPr="001373D2">
        <w:t> </w:t>
      </w:r>
      <w:r w:rsidRPr="001373D2">
        <w:t>July 2018.</w:t>
      </w:r>
    </w:p>
    <w:p w:rsidR="00CE6D80" w:rsidRPr="001373D2" w:rsidRDefault="00CE6D80" w:rsidP="00CE6D80">
      <w:pPr>
        <w:pStyle w:val="ActHead3"/>
        <w:pageBreakBefore/>
      </w:pPr>
      <w:bookmarkStart w:id="24" w:name="_Toc466383359"/>
      <w:r w:rsidRPr="001373D2">
        <w:rPr>
          <w:rStyle w:val="CharDivNo"/>
        </w:rPr>
        <w:t>Division</w:t>
      </w:r>
      <w:r w:rsidR="001373D2" w:rsidRPr="001373D2">
        <w:rPr>
          <w:rStyle w:val="CharDivNo"/>
        </w:rPr>
        <w:t> </w:t>
      </w:r>
      <w:r w:rsidRPr="001373D2">
        <w:rPr>
          <w:rStyle w:val="CharDivNo"/>
        </w:rPr>
        <w:t>2</w:t>
      </w:r>
      <w:r w:rsidRPr="001373D2">
        <w:t>—</w:t>
      </w:r>
      <w:r w:rsidR="00835C03" w:rsidRPr="001373D2">
        <w:rPr>
          <w:rStyle w:val="CharDivText"/>
        </w:rPr>
        <w:t>Trade description</w:t>
      </w:r>
      <w:bookmarkEnd w:id="24"/>
    </w:p>
    <w:p w:rsidR="00F25230" w:rsidRPr="001373D2" w:rsidRDefault="004F69B5" w:rsidP="00F25230">
      <w:pPr>
        <w:pStyle w:val="ActHead5"/>
      </w:pPr>
      <w:bookmarkStart w:id="25" w:name="_Toc466383360"/>
      <w:r w:rsidRPr="001373D2">
        <w:rPr>
          <w:rStyle w:val="CharSectno"/>
        </w:rPr>
        <w:t>15</w:t>
      </w:r>
      <w:r w:rsidR="00F25230" w:rsidRPr="001373D2">
        <w:t xml:space="preserve">  Trade description</w:t>
      </w:r>
      <w:r w:rsidR="00F57274" w:rsidRPr="001373D2">
        <w:t xml:space="preserve"> of goods to except them from prohibition on import</w:t>
      </w:r>
      <w:bookmarkEnd w:id="25"/>
    </w:p>
    <w:p w:rsidR="00E45E2C" w:rsidRPr="001373D2" w:rsidRDefault="00F25230" w:rsidP="00F25230">
      <w:pPr>
        <w:pStyle w:val="subsection"/>
      </w:pPr>
      <w:r w:rsidRPr="001373D2">
        <w:tab/>
      </w:r>
      <w:r w:rsidRPr="001373D2">
        <w:tab/>
      </w:r>
      <w:r w:rsidR="005352B6" w:rsidRPr="001373D2">
        <w:t xml:space="preserve">This </w:t>
      </w:r>
      <w:r w:rsidR="00F57274" w:rsidRPr="001373D2">
        <w:t>Division</w:t>
      </w:r>
      <w:r w:rsidR="005352B6" w:rsidRPr="001373D2">
        <w:t xml:space="preserve"> sets out </w:t>
      </w:r>
      <w:r w:rsidR="00A43AF3" w:rsidRPr="001373D2">
        <w:t xml:space="preserve">requirements for the character and manner of application of a </w:t>
      </w:r>
      <w:r w:rsidR="005352B6" w:rsidRPr="001373D2">
        <w:t xml:space="preserve">trade description </w:t>
      </w:r>
      <w:r w:rsidR="00A43AF3" w:rsidRPr="001373D2">
        <w:t>for goods to be excepted from the prohibition in section</w:t>
      </w:r>
      <w:r w:rsidR="001373D2" w:rsidRPr="001373D2">
        <w:t> </w:t>
      </w:r>
      <w:r w:rsidR="004F69B5" w:rsidRPr="001373D2">
        <w:t>8</w:t>
      </w:r>
      <w:r w:rsidR="00A43AF3" w:rsidRPr="001373D2">
        <w:t xml:space="preserve"> on importing them</w:t>
      </w:r>
      <w:r w:rsidR="00E45E2C" w:rsidRPr="001373D2">
        <w:t>.</w:t>
      </w:r>
    </w:p>
    <w:p w:rsidR="00F57274" w:rsidRPr="001373D2" w:rsidRDefault="004F69B5" w:rsidP="00F57274">
      <w:pPr>
        <w:pStyle w:val="ActHead5"/>
      </w:pPr>
      <w:bookmarkStart w:id="26" w:name="_Toc466383361"/>
      <w:r w:rsidRPr="001373D2">
        <w:rPr>
          <w:rStyle w:val="CharSectno"/>
        </w:rPr>
        <w:t>16</w:t>
      </w:r>
      <w:r w:rsidR="00F57274" w:rsidRPr="001373D2">
        <w:t xml:space="preserve">  Content of trade description</w:t>
      </w:r>
      <w:r w:rsidR="00A43AF3" w:rsidRPr="001373D2">
        <w:t>—source country</w:t>
      </w:r>
      <w:bookmarkEnd w:id="26"/>
    </w:p>
    <w:p w:rsidR="00D564DF" w:rsidRPr="001373D2" w:rsidRDefault="00D564DF" w:rsidP="00D564DF">
      <w:pPr>
        <w:pStyle w:val="subsection"/>
      </w:pPr>
      <w:r w:rsidRPr="001373D2">
        <w:tab/>
        <w:t>(1)</w:t>
      </w:r>
      <w:r w:rsidRPr="001373D2">
        <w:tab/>
        <w:t>The trade description must include, in prominent and legible characters:</w:t>
      </w:r>
    </w:p>
    <w:p w:rsidR="00D564DF" w:rsidRPr="001373D2" w:rsidRDefault="00D564DF" w:rsidP="00D564DF">
      <w:pPr>
        <w:pStyle w:val="paragraph"/>
      </w:pPr>
      <w:r w:rsidRPr="001373D2">
        <w:tab/>
        <w:t>(a)</w:t>
      </w:r>
      <w:r w:rsidRPr="001373D2">
        <w:tab/>
        <w:t>the name of the country in which the goods were made or produced; or</w:t>
      </w:r>
    </w:p>
    <w:p w:rsidR="00D564DF" w:rsidRPr="001373D2" w:rsidRDefault="00D564DF" w:rsidP="00D564DF">
      <w:pPr>
        <w:pStyle w:val="paragraph"/>
      </w:pPr>
      <w:r w:rsidRPr="001373D2">
        <w:tab/>
        <w:t>(b)</w:t>
      </w:r>
      <w:r w:rsidRPr="001373D2">
        <w:tab/>
        <w:t>if the goods are food</w:t>
      </w:r>
      <w:r w:rsidR="00AE521E" w:rsidRPr="001373D2">
        <w:t xml:space="preserve"> imported in a package</w:t>
      </w:r>
      <w:r w:rsidRPr="001373D2">
        <w:t xml:space="preserve">—a statement of the country of origin of the food (determined in accordance with the </w:t>
      </w:r>
      <w:r w:rsidRPr="001373D2">
        <w:rPr>
          <w:i/>
        </w:rPr>
        <w:t>Country of Origin Food Labelling Information Standard 2016</w:t>
      </w:r>
      <w:r w:rsidRPr="001373D2">
        <w:t xml:space="preserve">, as in force when this instrument commenced, and assuming that the Standard defined </w:t>
      </w:r>
      <w:r w:rsidRPr="001373D2">
        <w:rPr>
          <w:b/>
          <w:i/>
        </w:rPr>
        <w:t>food</w:t>
      </w:r>
      <w:r w:rsidRPr="001373D2">
        <w:t xml:space="preserve"> as having the same meaning as it ha</w:t>
      </w:r>
      <w:r w:rsidR="002F3766" w:rsidRPr="001373D2">
        <w:t xml:space="preserve">s </w:t>
      </w:r>
      <w:r w:rsidRPr="001373D2">
        <w:t xml:space="preserve">in the </w:t>
      </w:r>
      <w:r w:rsidRPr="001373D2">
        <w:rPr>
          <w:i/>
        </w:rPr>
        <w:t>Food Standards Australia New Zealand Act 1991</w:t>
      </w:r>
      <w:r w:rsidRPr="001373D2">
        <w:t>); or</w:t>
      </w:r>
    </w:p>
    <w:p w:rsidR="00D564DF" w:rsidRPr="001373D2" w:rsidRDefault="00D564DF" w:rsidP="00D564DF">
      <w:pPr>
        <w:pStyle w:val="paragraph"/>
      </w:pPr>
      <w:r w:rsidRPr="001373D2">
        <w:tab/>
        <w:t>(c)</w:t>
      </w:r>
      <w:r w:rsidRPr="001373D2">
        <w:tab/>
        <w:t>if the goods are food from more than one country</w:t>
      </w:r>
      <w:r w:rsidR="00AE521E" w:rsidRPr="001373D2">
        <w:t xml:space="preserve"> imported in a package</w:t>
      </w:r>
      <w:r w:rsidRPr="001373D2">
        <w:t>—a statement that indicates that the food is of multiple origins or that it is comprised of imported ingredients.</w:t>
      </w:r>
    </w:p>
    <w:p w:rsidR="00D564DF" w:rsidRPr="001373D2" w:rsidRDefault="00D564DF" w:rsidP="00D564DF">
      <w:pPr>
        <w:pStyle w:val="subsection"/>
      </w:pPr>
      <w:r w:rsidRPr="001373D2">
        <w:tab/>
        <w:t>(2)</w:t>
      </w:r>
      <w:r w:rsidRPr="001373D2">
        <w:tab/>
        <w:t xml:space="preserve">Neither </w:t>
      </w:r>
      <w:r w:rsidR="001373D2" w:rsidRPr="001373D2">
        <w:t>paragraph (</w:t>
      </w:r>
      <w:r w:rsidRPr="001373D2">
        <w:t xml:space="preserve">1)(b) nor </w:t>
      </w:r>
      <w:r w:rsidR="001373D2" w:rsidRPr="001373D2">
        <w:t>paragraph (</w:t>
      </w:r>
      <w:r w:rsidRPr="001373D2">
        <w:t xml:space="preserve">1)(c) prevents </w:t>
      </w:r>
      <w:r w:rsidR="001373D2" w:rsidRPr="001373D2">
        <w:t>paragraph (</w:t>
      </w:r>
      <w:r w:rsidRPr="001373D2">
        <w:t>1)(a) from applying in relation to goods that are food and are imported before 1</w:t>
      </w:r>
      <w:r w:rsidR="001373D2" w:rsidRPr="001373D2">
        <w:t> </w:t>
      </w:r>
      <w:r w:rsidRPr="001373D2">
        <w:t>July 2018.</w:t>
      </w:r>
    </w:p>
    <w:p w:rsidR="00D564DF" w:rsidRPr="001373D2" w:rsidRDefault="00D564DF" w:rsidP="00D564DF">
      <w:pPr>
        <w:pStyle w:val="subsection"/>
      </w:pPr>
      <w:r w:rsidRPr="001373D2">
        <w:tab/>
        <w:t>(3)</w:t>
      </w:r>
      <w:r w:rsidRPr="001373D2">
        <w:tab/>
      </w:r>
      <w:r w:rsidR="001373D2" w:rsidRPr="001373D2">
        <w:t>Paragraph (</w:t>
      </w:r>
      <w:r w:rsidRPr="001373D2">
        <w:t>1)(a) does not apply to the trade description of goods that are food and are imported after 30</w:t>
      </w:r>
      <w:r w:rsidR="001373D2" w:rsidRPr="001373D2">
        <w:t> </w:t>
      </w:r>
      <w:r w:rsidRPr="001373D2">
        <w:t>June 2018.</w:t>
      </w:r>
    </w:p>
    <w:p w:rsidR="00687200" w:rsidRPr="001373D2" w:rsidRDefault="00687200" w:rsidP="00687200">
      <w:pPr>
        <w:pStyle w:val="SubsectionHead"/>
      </w:pPr>
      <w:r w:rsidRPr="001373D2">
        <w:t>Format of statement about priority food imported as prepacked articles</w:t>
      </w:r>
    </w:p>
    <w:p w:rsidR="00687200" w:rsidRPr="001373D2" w:rsidRDefault="00687200" w:rsidP="00687200">
      <w:pPr>
        <w:pStyle w:val="subsection"/>
      </w:pPr>
      <w:r w:rsidRPr="001373D2">
        <w:tab/>
        <w:t>(4)</w:t>
      </w:r>
      <w:r w:rsidRPr="001373D2">
        <w:tab/>
        <w:t xml:space="preserve">A statement described in </w:t>
      </w:r>
      <w:r w:rsidR="001373D2" w:rsidRPr="001373D2">
        <w:t>paragraph (</w:t>
      </w:r>
      <w:r w:rsidRPr="001373D2">
        <w:t xml:space="preserve">1)(b) or (c) about priority food imported as prepacked articles must be </w:t>
      </w:r>
      <w:r w:rsidR="007F76C8" w:rsidRPr="001373D2">
        <w:t>written</w:t>
      </w:r>
      <w:r w:rsidR="00AE521E" w:rsidRPr="001373D2">
        <w:t xml:space="preserve"> in a clearly defined text box</w:t>
      </w:r>
      <w:r w:rsidRPr="001373D2">
        <w:t>.</w:t>
      </w:r>
    </w:p>
    <w:p w:rsidR="00D564DF" w:rsidRPr="001373D2" w:rsidRDefault="004F69B5" w:rsidP="00A43AF3">
      <w:pPr>
        <w:pStyle w:val="ActHead5"/>
      </w:pPr>
      <w:bookmarkStart w:id="27" w:name="_Toc466383362"/>
      <w:r w:rsidRPr="001373D2">
        <w:rPr>
          <w:rStyle w:val="CharSectno"/>
        </w:rPr>
        <w:t>17</w:t>
      </w:r>
      <w:r w:rsidR="00A43AF3" w:rsidRPr="001373D2">
        <w:t xml:space="preserve">  Content of trade description—true description of goods</w:t>
      </w:r>
      <w:bookmarkEnd w:id="27"/>
    </w:p>
    <w:p w:rsidR="00D564DF" w:rsidRPr="001373D2" w:rsidRDefault="00D564DF" w:rsidP="00D564DF">
      <w:pPr>
        <w:pStyle w:val="subsection"/>
      </w:pPr>
      <w:r w:rsidRPr="001373D2">
        <w:tab/>
        <w:t>(</w:t>
      </w:r>
      <w:r w:rsidR="00A43AF3" w:rsidRPr="001373D2">
        <w:t>1</w:t>
      </w:r>
      <w:r w:rsidRPr="001373D2">
        <w:t>)</w:t>
      </w:r>
      <w:r w:rsidRPr="001373D2">
        <w:tab/>
        <w:t>The trade description must include</w:t>
      </w:r>
      <w:r w:rsidR="00A43AF3" w:rsidRPr="001373D2">
        <w:t xml:space="preserve"> a true description of the goods</w:t>
      </w:r>
      <w:r w:rsidRPr="001373D2">
        <w:t>, in p</w:t>
      </w:r>
      <w:r w:rsidR="00A43AF3" w:rsidRPr="001373D2">
        <w:t>rominent and legible characters.</w:t>
      </w:r>
    </w:p>
    <w:p w:rsidR="00A43AF3" w:rsidRPr="001373D2" w:rsidRDefault="00A43AF3" w:rsidP="00D564DF">
      <w:pPr>
        <w:pStyle w:val="subsection"/>
      </w:pPr>
      <w:r w:rsidRPr="001373D2">
        <w:tab/>
        <w:t>(2)</w:t>
      </w:r>
      <w:r w:rsidRPr="001373D2">
        <w:tab/>
      </w:r>
      <w:r w:rsidR="001373D2" w:rsidRPr="001373D2">
        <w:t>Subsection (</w:t>
      </w:r>
      <w:r w:rsidRPr="001373D2">
        <w:t>1) does not apply to goods specified in item</w:t>
      </w:r>
      <w:r w:rsidR="001373D2" w:rsidRPr="001373D2">
        <w:t> </w:t>
      </w:r>
      <w:r w:rsidRPr="001373D2">
        <w:t>2, 5, 8, 9 or 10 of the table in section</w:t>
      </w:r>
      <w:r w:rsidR="001373D2" w:rsidRPr="001373D2">
        <w:t> </w:t>
      </w:r>
      <w:r w:rsidR="004F69B5" w:rsidRPr="001373D2">
        <w:t>9</w:t>
      </w:r>
      <w:r w:rsidRPr="001373D2">
        <w:t>.</w:t>
      </w:r>
    </w:p>
    <w:p w:rsidR="00A43AF3" w:rsidRPr="001373D2" w:rsidRDefault="004F69B5" w:rsidP="00A43AF3">
      <w:pPr>
        <w:pStyle w:val="ActHead5"/>
      </w:pPr>
      <w:bookmarkStart w:id="28" w:name="_Toc466383363"/>
      <w:r w:rsidRPr="001373D2">
        <w:rPr>
          <w:rStyle w:val="CharSectno"/>
        </w:rPr>
        <w:t>18</w:t>
      </w:r>
      <w:r w:rsidR="00A43AF3" w:rsidRPr="001373D2">
        <w:t xml:space="preserve">  English language trade description</w:t>
      </w:r>
      <w:bookmarkEnd w:id="28"/>
    </w:p>
    <w:p w:rsidR="00B16892" w:rsidRPr="001373D2" w:rsidRDefault="00B16892" w:rsidP="00B16892">
      <w:pPr>
        <w:pStyle w:val="subsection"/>
      </w:pPr>
      <w:r w:rsidRPr="001373D2">
        <w:tab/>
      </w:r>
      <w:r w:rsidRPr="001373D2">
        <w:tab/>
        <w:t>The trade description must be in the English language.</w:t>
      </w:r>
    </w:p>
    <w:p w:rsidR="00835C03" w:rsidRPr="001373D2" w:rsidRDefault="004F69B5" w:rsidP="00835C03">
      <w:pPr>
        <w:pStyle w:val="ActHead5"/>
      </w:pPr>
      <w:bookmarkStart w:id="29" w:name="_Toc466383364"/>
      <w:r w:rsidRPr="001373D2">
        <w:rPr>
          <w:rStyle w:val="CharSectno"/>
        </w:rPr>
        <w:t>19</w:t>
      </w:r>
      <w:r w:rsidR="00835C03" w:rsidRPr="001373D2">
        <w:t xml:space="preserve">  Manner of applying trade description</w:t>
      </w:r>
      <w:bookmarkEnd w:id="29"/>
    </w:p>
    <w:p w:rsidR="00B16892" w:rsidRPr="001373D2" w:rsidRDefault="00B16892" w:rsidP="00B16892">
      <w:pPr>
        <w:pStyle w:val="SubsectionHead"/>
      </w:pPr>
      <w:r w:rsidRPr="001373D2">
        <w:t>Goods imported as prepacked articles</w:t>
      </w:r>
    </w:p>
    <w:p w:rsidR="00506C1B" w:rsidRPr="001373D2" w:rsidRDefault="009F137C" w:rsidP="002C2CE9">
      <w:pPr>
        <w:pStyle w:val="subsection"/>
      </w:pPr>
      <w:r w:rsidRPr="001373D2">
        <w:tab/>
        <w:t>(</w:t>
      </w:r>
      <w:r w:rsidR="00B16892" w:rsidRPr="001373D2">
        <w:t>1</w:t>
      </w:r>
      <w:r w:rsidRPr="001373D2">
        <w:t>)</w:t>
      </w:r>
      <w:r w:rsidRPr="001373D2">
        <w:tab/>
      </w:r>
      <w:r w:rsidR="00B16892" w:rsidRPr="001373D2">
        <w:t>For goods imported as prepacked articles, t</w:t>
      </w:r>
      <w:r w:rsidR="00851EE1" w:rsidRPr="001373D2">
        <w:t>he trade description must</w:t>
      </w:r>
      <w:r w:rsidR="002C2CE9" w:rsidRPr="001373D2">
        <w:t xml:space="preserve"> be</w:t>
      </w:r>
      <w:r w:rsidR="00B16892" w:rsidRPr="001373D2">
        <w:t xml:space="preserve"> marked on:</w:t>
      </w:r>
    </w:p>
    <w:p w:rsidR="00CF2466" w:rsidRPr="001373D2" w:rsidRDefault="00CF2466" w:rsidP="00E158D1">
      <w:pPr>
        <w:pStyle w:val="paragraph"/>
      </w:pPr>
      <w:r w:rsidRPr="001373D2">
        <w:tab/>
        <w:t>(</w:t>
      </w:r>
      <w:r w:rsidR="00E158D1" w:rsidRPr="001373D2">
        <w:t>a</w:t>
      </w:r>
      <w:r w:rsidRPr="001373D2">
        <w:t>)</w:t>
      </w:r>
      <w:r w:rsidRPr="001373D2">
        <w:tab/>
      </w:r>
      <w:r w:rsidR="00DF5954" w:rsidRPr="001373D2">
        <w:t>the packages in which the goods are packed</w:t>
      </w:r>
      <w:r w:rsidRPr="001373D2">
        <w:t>; or</w:t>
      </w:r>
    </w:p>
    <w:p w:rsidR="00DF5954" w:rsidRPr="001373D2" w:rsidRDefault="00E158D1" w:rsidP="00E158D1">
      <w:pPr>
        <w:pStyle w:val="paragraph"/>
      </w:pPr>
      <w:r w:rsidRPr="001373D2">
        <w:tab/>
        <w:t>(b</w:t>
      </w:r>
      <w:r w:rsidR="00CF2466" w:rsidRPr="001373D2">
        <w:t>)</w:t>
      </w:r>
      <w:r w:rsidR="00CF2466" w:rsidRPr="001373D2">
        <w:tab/>
        <w:t>a label attached to the package</w:t>
      </w:r>
      <w:r w:rsidRPr="001373D2">
        <w:t>.</w:t>
      </w:r>
    </w:p>
    <w:p w:rsidR="00B16892" w:rsidRPr="001373D2" w:rsidRDefault="00B16892" w:rsidP="00B16892">
      <w:pPr>
        <w:pStyle w:val="SubsectionHead"/>
      </w:pPr>
      <w:r w:rsidRPr="001373D2">
        <w:t>Other goods</w:t>
      </w:r>
    </w:p>
    <w:p w:rsidR="00B16892" w:rsidRPr="001373D2" w:rsidRDefault="00B16892" w:rsidP="00B16892">
      <w:pPr>
        <w:pStyle w:val="subsection"/>
      </w:pPr>
      <w:r w:rsidRPr="001373D2">
        <w:tab/>
        <w:t>(</w:t>
      </w:r>
      <w:r w:rsidR="00E158D1" w:rsidRPr="001373D2">
        <w:t>2</w:t>
      </w:r>
      <w:r w:rsidRPr="001373D2">
        <w:t>)</w:t>
      </w:r>
      <w:r w:rsidRPr="001373D2">
        <w:tab/>
      </w:r>
      <w:r w:rsidR="00E158D1" w:rsidRPr="001373D2">
        <w:t>For goods imported other than as prepacked articles t</w:t>
      </w:r>
      <w:r w:rsidRPr="001373D2">
        <w:t>he trade description must be</w:t>
      </w:r>
      <w:r w:rsidR="00E158D1" w:rsidRPr="001373D2">
        <w:t xml:space="preserve"> in the form of a principal label or brand (including a mark, device, name, word, letter, numeral or symbol and a combination of 2 or more of those things) attached in a prominent position, and as permanently as practicable, to:</w:t>
      </w:r>
    </w:p>
    <w:p w:rsidR="00B16892" w:rsidRPr="001373D2" w:rsidRDefault="00B16892" w:rsidP="00E158D1">
      <w:pPr>
        <w:pStyle w:val="paragraph"/>
      </w:pPr>
      <w:r w:rsidRPr="001373D2">
        <w:tab/>
        <w:t>(</w:t>
      </w:r>
      <w:r w:rsidR="00E158D1" w:rsidRPr="001373D2">
        <w:t>a</w:t>
      </w:r>
      <w:r w:rsidRPr="001373D2">
        <w:t>)</w:t>
      </w:r>
      <w:r w:rsidRPr="001373D2">
        <w:tab/>
        <w:t>the goods; or</w:t>
      </w:r>
    </w:p>
    <w:p w:rsidR="00B16892" w:rsidRPr="001373D2" w:rsidRDefault="00E158D1" w:rsidP="00E158D1">
      <w:pPr>
        <w:pStyle w:val="paragraph"/>
      </w:pPr>
      <w:r w:rsidRPr="001373D2">
        <w:tab/>
        <w:t>(b</w:t>
      </w:r>
      <w:r w:rsidR="00B16892" w:rsidRPr="001373D2">
        <w:t>)</w:t>
      </w:r>
      <w:r w:rsidR="00B16892" w:rsidRPr="001373D2">
        <w:tab/>
        <w:t>if attachment to the goods is impracticable—the principal coverings containing the goods for wholesale or retail.</w:t>
      </w:r>
    </w:p>
    <w:p w:rsidR="00B16892" w:rsidRPr="001373D2" w:rsidRDefault="00B16892" w:rsidP="00B16892">
      <w:pPr>
        <w:pStyle w:val="SubsectionHead"/>
      </w:pPr>
      <w:r w:rsidRPr="001373D2">
        <w:t>Trade description not to be contradicted or obscured by other matter</w:t>
      </w:r>
    </w:p>
    <w:p w:rsidR="00D90E0F" w:rsidRPr="001373D2" w:rsidRDefault="00003F48" w:rsidP="00D90E0F">
      <w:pPr>
        <w:pStyle w:val="subsection"/>
      </w:pPr>
      <w:r w:rsidRPr="001373D2">
        <w:tab/>
      </w:r>
      <w:r w:rsidR="00E158D1" w:rsidRPr="001373D2">
        <w:t>(3</w:t>
      </w:r>
      <w:r w:rsidR="00D90E0F" w:rsidRPr="001373D2">
        <w:t>)</w:t>
      </w:r>
      <w:r w:rsidR="00D90E0F" w:rsidRPr="001373D2">
        <w:tab/>
        <w:t xml:space="preserve">A matter included on the label, brand or package must not contradict or obscure the </w:t>
      </w:r>
      <w:r w:rsidR="00B57394" w:rsidRPr="001373D2">
        <w:t>trade description</w:t>
      </w:r>
      <w:r w:rsidR="00D90E0F" w:rsidRPr="001373D2">
        <w:t>.</w:t>
      </w:r>
    </w:p>
    <w:p w:rsidR="00F25230" w:rsidRPr="001373D2" w:rsidRDefault="004F69B5" w:rsidP="00F25230">
      <w:pPr>
        <w:pStyle w:val="ActHead5"/>
      </w:pPr>
      <w:bookmarkStart w:id="30" w:name="_Toc466383365"/>
      <w:r w:rsidRPr="001373D2">
        <w:rPr>
          <w:rStyle w:val="CharSectno"/>
        </w:rPr>
        <w:t>20</w:t>
      </w:r>
      <w:r w:rsidR="00F25230" w:rsidRPr="001373D2">
        <w:t xml:space="preserve">  </w:t>
      </w:r>
      <w:r w:rsidR="00F57274" w:rsidRPr="001373D2">
        <w:t>Extra rules about t</w:t>
      </w:r>
      <w:r w:rsidR="00347700" w:rsidRPr="001373D2">
        <w:t>rade description</w:t>
      </w:r>
      <w:r w:rsidR="00F57274" w:rsidRPr="001373D2">
        <w:t xml:space="preserve"> of </w:t>
      </w:r>
      <w:r w:rsidR="00347700" w:rsidRPr="001373D2">
        <w:t>s</w:t>
      </w:r>
      <w:r w:rsidR="00F25230" w:rsidRPr="001373D2">
        <w:t>hoes</w:t>
      </w:r>
      <w:bookmarkEnd w:id="30"/>
    </w:p>
    <w:p w:rsidR="000E1E6B" w:rsidRPr="001373D2" w:rsidRDefault="000E1E6B" w:rsidP="000E1E6B">
      <w:pPr>
        <w:pStyle w:val="SubsectionHead"/>
      </w:pPr>
      <w:r w:rsidRPr="001373D2">
        <w:t>Statement about composition of sole, upper and quarter lining</w:t>
      </w:r>
    </w:p>
    <w:p w:rsidR="009F5CC6" w:rsidRPr="001373D2" w:rsidRDefault="00C87568" w:rsidP="004B7144">
      <w:pPr>
        <w:pStyle w:val="subsection"/>
      </w:pPr>
      <w:r w:rsidRPr="001373D2">
        <w:tab/>
        <w:t>(</w:t>
      </w:r>
      <w:r w:rsidR="000E1E6B" w:rsidRPr="001373D2">
        <w:t>1</w:t>
      </w:r>
      <w:r w:rsidRPr="001373D2">
        <w:t>)</w:t>
      </w:r>
      <w:r w:rsidRPr="001373D2">
        <w:tab/>
      </w:r>
      <w:r w:rsidR="00A76EC4" w:rsidRPr="001373D2">
        <w:t>T</w:t>
      </w:r>
      <w:r w:rsidR="009F5CC6" w:rsidRPr="001373D2">
        <w:t>he trade descri</w:t>
      </w:r>
      <w:r w:rsidR="008908AE" w:rsidRPr="001373D2">
        <w:t xml:space="preserve">ption </w:t>
      </w:r>
      <w:r w:rsidR="000E1E6B" w:rsidRPr="001373D2">
        <w:t xml:space="preserve">of a shoe </w:t>
      </w:r>
      <w:r w:rsidR="008908AE" w:rsidRPr="001373D2">
        <w:t xml:space="preserve">must include </w:t>
      </w:r>
      <w:r w:rsidR="00F34408" w:rsidRPr="001373D2">
        <w:t xml:space="preserve">a true statement </w:t>
      </w:r>
      <w:r w:rsidR="009F5CC6" w:rsidRPr="001373D2">
        <w:t xml:space="preserve">of </w:t>
      </w:r>
      <w:r w:rsidR="00F34408" w:rsidRPr="001373D2">
        <w:t xml:space="preserve">the composition of </w:t>
      </w:r>
      <w:r w:rsidR="000E1E6B" w:rsidRPr="001373D2">
        <w:t>each of the sole, upper and quarter lining</w:t>
      </w:r>
      <w:r w:rsidR="00A76EC4" w:rsidRPr="001373D2">
        <w:t xml:space="preserve"> of the shoe</w:t>
      </w:r>
      <w:r w:rsidR="00F34408" w:rsidRPr="001373D2">
        <w:t>, indicating which one of those parts of the shoe that statement describes</w:t>
      </w:r>
      <w:r w:rsidR="00B80398" w:rsidRPr="001373D2">
        <w:t xml:space="preserve"> and according with whichever of the following paragraphs is relevant</w:t>
      </w:r>
      <w:r w:rsidR="008908AE" w:rsidRPr="001373D2">
        <w:t>:</w:t>
      </w:r>
    </w:p>
    <w:p w:rsidR="008908AE" w:rsidRPr="001373D2" w:rsidRDefault="008908AE" w:rsidP="008908AE">
      <w:pPr>
        <w:pStyle w:val="paragraph"/>
      </w:pPr>
      <w:r w:rsidRPr="001373D2">
        <w:tab/>
        <w:t>(a)</w:t>
      </w:r>
      <w:r w:rsidRPr="001373D2">
        <w:tab/>
        <w:t xml:space="preserve">the words </w:t>
      </w:r>
      <w:r w:rsidR="0075357B" w:rsidRPr="001373D2">
        <w:t>“</w:t>
      </w:r>
      <w:r w:rsidRPr="001373D2">
        <w:t>all leather</w:t>
      </w:r>
      <w:r w:rsidR="0075357B" w:rsidRPr="001373D2">
        <w:t>”</w:t>
      </w:r>
      <w:r w:rsidRPr="001373D2">
        <w:t>;</w:t>
      </w:r>
    </w:p>
    <w:p w:rsidR="008908AE" w:rsidRPr="001373D2" w:rsidRDefault="008908AE" w:rsidP="008908AE">
      <w:pPr>
        <w:pStyle w:val="paragraph"/>
      </w:pPr>
      <w:r w:rsidRPr="001373D2">
        <w:tab/>
        <w:t>(b)</w:t>
      </w:r>
      <w:r w:rsidRPr="001373D2">
        <w:tab/>
        <w:t xml:space="preserve">if the </w:t>
      </w:r>
      <w:r w:rsidR="00176101" w:rsidRPr="001373D2">
        <w:t xml:space="preserve">part </w:t>
      </w:r>
      <w:r w:rsidRPr="001373D2">
        <w:t>consist</w:t>
      </w:r>
      <w:r w:rsidR="00176101" w:rsidRPr="001373D2">
        <w:t>s</w:t>
      </w:r>
      <w:r w:rsidRPr="001373D2">
        <w:t xml:space="preserve"> partly of leather—a statement of the materials composing the relevant part of the shoe;</w:t>
      </w:r>
    </w:p>
    <w:p w:rsidR="008908AE" w:rsidRPr="001373D2" w:rsidRDefault="008908AE" w:rsidP="008908AE">
      <w:pPr>
        <w:pStyle w:val="paragraph"/>
      </w:pPr>
      <w:r w:rsidRPr="001373D2">
        <w:tab/>
        <w:t>(c)</w:t>
      </w:r>
      <w:r w:rsidR="00A76EC4" w:rsidRPr="001373D2">
        <w:tab/>
        <w:t xml:space="preserve">the word </w:t>
      </w:r>
      <w:r w:rsidR="0075357B" w:rsidRPr="001373D2">
        <w:t>“</w:t>
      </w:r>
      <w:r w:rsidR="00A76EC4" w:rsidRPr="001373D2">
        <w:t>synthetic</w:t>
      </w:r>
      <w:r w:rsidR="0075357B" w:rsidRPr="001373D2">
        <w:t>”</w:t>
      </w:r>
      <w:r w:rsidR="00A76EC4" w:rsidRPr="001373D2">
        <w:t xml:space="preserve"> or </w:t>
      </w:r>
      <w:r w:rsidR="0075357B" w:rsidRPr="001373D2">
        <w:t>“</w:t>
      </w:r>
      <w:r w:rsidR="00A76EC4" w:rsidRPr="001373D2">
        <w:t>non</w:t>
      </w:r>
      <w:r w:rsidR="001373D2">
        <w:noBreakHyphen/>
      </w:r>
      <w:r w:rsidR="00A76EC4" w:rsidRPr="001373D2">
        <w:t>leather</w:t>
      </w:r>
      <w:r w:rsidR="0075357B" w:rsidRPr="001373D2">
        <w:t>”</w:t>
      </w:r>
      <w:r w:rsidR="00A76EC4" w:rsidRPr="001373D2">
        <w:t>.</w:t>
      </w:r>
    </w:p>
    <w:p w:rsidR="00A76EC4" w:rsidRPr="001373D2" w:rsidRDefault="00A76EC4" w:rsidP="00A76EC4">
      <w:pPr>
        <w:pStyle w:val="subsection"/>
      </w:pPr>
      <w:r w:rsidRPr="001373D2">
        <w:tab/>
        <w:t>(</w:t>
      </w:r>
      <w:r w:rsidR="000E1E6B" w:rsidRPr="001373D2">
        <w:t>2</w:t>
      </w:r>
      <w:r w:rsidRPr="001373D2">
        <w:t>)</w:t>
      </w:r>
      <w:r w:rsidRPr="001373D2">
        <w:tab/>
        <w:t xml:space="preserve">For </w:t>
      </w:r>
      <w:r w:rsidR="000E1E6B" w:rsidRPr="001373D2">
        <w:t xml:space="preserve">the purposes of </w:t>
      </w:r>
      <w:r w:rsidR="001373D2" w:rsidRPr="001373D2">
        <w:t>subsection (</w:t>
      </w:r>
      <w:r w:rsidR="000E1E6B" w:rsidRPr="001373D2">
        <w:t>1</w:t>
      </w:r>
      <w:r w:rsidRPr="001373D2">
        <w:t>), a sole is taken to consist entirely of leather if the only material in the sole, other than leather, consists of one or more of the following:</w:t>
      </w:r>
    </w:p>
    <w:p w:rsidR="00A76EC4" w:rsidRPr="001373D2" w:rsidRDefault="00A76EC4" w:rsidP="00A76EC4">
      <w:pPr>
        <w:pStyle w:val="paragraph"/>
      </w:pPr>
      <w:r w:rsidRPr="001373D2">
        <w:tab/>
        <w:t>(a)</w:t>
      </w:r>
      <w:r w:rsidRPr="001373D2">
        <w:tab/>
        <w:t>ordinary fillers of cork or waterproof felt;</w:t>
      </w:r>
    </w:p>
    <w:p w:rsidR="00A76EC4" w:rsidRPr="001373D2" w:rsidRDefault="00A76EC4" w:rsidP="00A76EC4">
      <w:pPr>
        <w:pStyle w:val="paragraph"/>
      </w:pPr>
      <w:r w:rsidRPr="001373D2">
        <w:tab/>
        <w:t>(b)</w:t>
      </w:r>
      <w:r w:rsidRPr="001373D2">
        <w:tab/>
        <w:t>canvas used to reinforce the inner sole of the shoe;</w:t>
      </w:r>
    </w:p>
    <w:p w:rsidR="00A76EC4" w:rsidRPr="001373D2" w:rsidRDefault="00A76EC4" w:rsidP="00A76EC4">
      <w:pPr>
        <w:pStyle w:val="paragraph"/>
      </w:pPr>
      <w:r w:rsidRPr="001373D2">
        <w:tab/>
        <w:t>(c)</w:t>
      </w:r>
      <w:r w:rsidRPr="001373D2">
        <w:tab/>
        <w:t>shanks made entirely of leather board, fibreboard, wood, metal or plastic, or a co</w:t>
      </w:r>
      <w:r w:rsidR="00A91E42" w:rsidRPr="001373D2">
        <w:t>mbination of such materials if the shanks are</w:t>
      </w:r>
      <w:r w:rsidRPr="001373D2">
        <w:t xml:space="preserve"> used only for strengthening the sole of the shoe at the waist;</w:t>
      </w:r>
    </w:p>
    <w:p w:rsidR="00A76EC4" w:rsidRPr="001373D2" w:rsidRDefault="00A76EC4" w:rsidP="00A76EC4">
      <w:pPr>
        <w:pStyle w:val="paragraph"/>
      </w:pPr>
      <w:r w:rsidRPr="001373D2">
        <w:tab/>
        <w:t>(d)</w:t>
      </w:r>
      <w:r w:rsidRPr="001373D2">
        <w:tab/>
        <w:t>wood, plastic or metal used in the heel of the shoe;</w:t>
      </w:r>
    </w:p>
    <w:p w:rsidR="00A76EC4" w:rsidRPr="001373D2" w:rsidRDefault="00A76EC4" w:rsidP="00A76EC4">
      <w:pPr>
        <w:pStyle w:val="paragraph"/>
      </w:pPr>
      <w:r w:rsidRPr="001373D2">
        <w:tab/>
        <w:t>(e)</w:t>
      </w:r>
      <w:r w:rsidRPr="001373D2">
        <w:tab/>
        <w:t xml:space="preserve">stiffening made entirely of leather board, fibreboard, metal, plastic, canvas or other similar substance, glue or other similar substance, or a combination of such materials, </w:t>
      </w:r>
      <w:r w:rsidR="003C6A9F" w:rsidRPr="001373D2">
        <w:t xml:space="preserve">if </w:t>
      </w:r>
      <w:r w:rsidRPr="001373D2">
        <w:t xml:space="preserve">the stiffening is used only </w:t>
      </w:r>
      <w:r w:rsidR="003C6A9F" w:rsidRPr="001373D2">
        <w:t>to</w:t>
      </w:r>
      <w:r w:rsidRPr="001373D2">
        <w:t xml:space="preserve"> support the upper of the shoe at the heel or toe.</w:t>
      </w:r>
    </w:p>
    <w:p w:rsidR="000E1E6B" w:rsidRPr="001373D2" w:rsidRDefault="000E1E6B" w:rsidP="000E1E6B">
      <w:pPr>
        <w:pStyle w:val="SubsectionHead"/>
      </w:pPr>
      <w:r w:rsidRPr="001373D2">
        <w:t>Application of trade description</w:t>
      </w:r>
    </w:p>
    <w:p w:rsidR="00A76EC4" w:rsidRPr="001373D2" w:rsidRDefault="00A76EC4" w:rsidP="00A76EC4">
      <w:pPr>
        <w:pStyle w:val="subsection"/>
      </w:pPr>
      <w:r w:rsidRPr="001373D2">
        <w:tab/>
        <w:t>(</w:t>
      </w:r>
      <w:r w:rsidR="000E1E6B" w:rsidRPr="001373D2">
        <w:t>3</w:t>
      </w:r>
      <w:r w:rsidRPr="001373D2">
        <w:t>)</w:t>
      </w:r>
      <w:r w:rsidRPr="001373D2">
        <w:tab/>
        <w:t>The trade description must be impressed or embossed on the shoe in legible letters not less than 2.5 mm in height in one of the following positions:</w:t>
      </w:r>
    </w:p>
    <w:p w:rsidR="00A76EC4" w:rsidRPr="001373D2" w:rsidRDefault="00A76EC4" w:rsidP="00A76EC4">
      <w:pPr>
        <w:pStyle w:val="paragraph"/>
      </w:pPr>
      <w:r w:rsidRPr="001373D2">
        <w:tab/>
        <w:t>(a)</w:t>
      </w:r>
      <w:r w:rsidRPr="001373D2">
        <w:tab/>
        <w:t>on the waist of the outer sole of the shoe;</w:t>
      </w:r>
    </w:p>
    <w:p w:rsidR="00A76EC4" w:rsidRPr="001373D2" w:rsidRDefault="00A76EC4" w:rsidP="00A76EC4">
      <w:pPr>
        <w:pStyle w:val="paragraph"/>
      </w:pPr>
      <w:r w:rsidRPr="001373D2">
        <w:tab/>
        <w:t>(b)</w:t>
      </w:r>
      <w:r w:rsidRPr="001373D2">
        <w:tab/>
        <w:t>on the inside of the upper above the waist of the shoe;</w:t>
      </w:r>
    </w:p>
    <w:p w:rsidR="00A76EC4" w:rsidRPr="001373D2" w:rsidRDefault="00A76EC4" w:rsidP="00A76EC4">
      <w:pPr>
        <w:pStyle w:val="paragraph"/>
      </w:pPr>
      <w:r w:rsidRPr="001373D2">
        <w:tab/>
        <w:t>(c)</w:t>
      </w:r>
      <w:r w:rsidRPr="001373D2">
        <w:tab/>
        <w:t>on the heel seat or waist area of the sock lining or, if there is no sock lining, on the heel seat or waist area of the inner sole;</w:t>
      </w:r>
    </w:p>
    <w:p w:rsidR="00A76EC4" w:rsidRPr="001373D2" w:rsidRDefault="00A76EC4" w:rsidP="00A76EC4">
      <w:pPr>
        <w:pStyle w:val="paragraph"/>
      </w:pPr>
      <w:r w:rsidRPr="001373D2">
        <w:tab/>
        <w:t>(d)</w:t>
      </w:r>
      <w:r w:rsidRPr="001373D2">
        <w:tab/>
        <w:t>on the tongue of the shoe.</w:t>
      </w:r>
    </w:p>
    <w:p w:rsidR="00A76EC4" w:rsidRPr="001373D2" w:rsidRDefault="00A76EC4" w:rsidP="00A76EC4">
      <w:pPr>
        <w:pStyle w:val="subsection"/>
      </w:pPr>
      <w:r w:rsidRPr="001373D2">
        <w:tab/>
        <w:t>(</w:t>
      </w:r>
      <w:r w:rsidR="000E1E6B" w:rsidRPr="001373D2">
        <w:t>4</w:t>
      </w:r>
      <w:r w:rsidRPr="001373D2">
        <w:t>)</w:t>
      </w:r>
      <w:r w:rsidRPr="001373D2">
        <w:tab/>
        <w:t>However, if the material of the shoe does not reasonably allow the trade description to be impressed or embossed on it, the trade description must be:</w:t>
      </w:r>
    </w:p>
    <w:p w:rsidR="00A76EC4" w:rsidRPr="001373D2" w:rsidRDefault="00A76EC4" w:rsidP="00A76EC4">
      <w:pPr>
        <w:pStyle w:val="paragraph"/>
      </w:pPr>
      <w:r w:rsidRPr="001373D2">
        <w:tab/>
        <w:t>(a)</w:t>
      </w:r>
      <w:r w:rsidRPr="001373D2">
        <w:tab/>
        <w:t>impressed or embossed on a label of rubber, plastic, durable cloth or another durable material; and</w:t>
      </w:r>
    </w:p>
    <w:p w:rsidR="00A76EC4" w:rsidRPr="001373D2" w:rsidRDefault="00A76EC4" w:rsidP="00A76EC4">
      <w:pPr>
        <w:pStyle w:val="paragraph"/>
      </w:pPr>
      <w:r w:rsidRPr="001373D2">
        <w:tab/>
        <w:t>(b)</w:t>
      </w:r>
      <w:r w:rsidRPr="001373D2">
        <w:tab/>
        <w:t>attached to the shoe by vulcanisation, adhesion or another secure means.</w:t>
      </w:r>
    </w:p>
    <w:p w:rsidR="000E1E6B" w:rsidRPr="001373D2" w:rsidRDefault="000E1E6B" w:rsidP="000E1E6B">
      <w:pPr>
        <w:pStyle w:val="SubsectionHead"/>
      </w:pPr>
      <w:r w:rsidRPr="001373D2">
        <w:t>This section does not apply to ski boots</w:t>
      </w:r>
    </w:p>
    <w:p w:rsidR="00022A14" w:rsidRPr="001373D2" w:rsidRDefault="00A91E42" w:rsidP="00A91E42">
      <w:pPr>
        <w:pStyle w:val="subsection"/>
      </w:pPr>
      <w:r w:rsidRPr="001373D2">
        <w:tab/>
        <w:t>(</w:t>
      </w:r>
      <w:r w:rsidR="0077303C" w:rsidRPr="001373D2">
        <w:t>5</w:t>
      </w:r>
      <w:r w:rsidRPr="001373D2">
        <w:t>)</w:t>
      </w:r>
      <w:r w:rsidRPr="001373D2">
        <w:tab/>
        <w:t xml:space="preserve">This section does not apply to ski boots </w:t>
      </w:r>
      <w:r w:rsidR="00022A14" w:rsidRPr="001373D2">
        <w:t>if the boots:</w:t>
      </w:r>
    </w:p>
    <w:p w:rsidR="00022A14" w:rsidRPr="001373D2" w:rsidRDefault="00022A14" w:rsidP="00022A14">
      <w:pPr>
        <w:pStyle w:val="paragraph"/>
      </w:pPr>
      <w:r w:rsidRPr="001373D2">
        <w:tab/>
        <w:t>(a)</w:t>
      </w:r>
      <w:r w:rsidRPr="001373D2">
        <w:tab/>
        <w:t xml:space="preserve">are </w:t>
      </w:r>
      <w:r w:rsidR="00A91E42" w:rsidRPr="001373D2">
        <w:t>designed to fit ski bindings</w:t>
      </w:r>
      <w:r w:rsidRPr="001373D2">
        <w:t>; and</w:t>
      </w:r>
    </w:p>
    <w:p w:rsidR="00022A14" w:rsidRPr="001373D2" w:rsidRDefault="00022A14" w:rsidP="00022A14">
      <w:pPr>
        <w:pStyle w:val="paragraph"/>
      </w:pPr>
      <w:r w:rsidRPr="001373D2">
        <w:tab/>
        <w:t>(b)</w:t>
      </w:r>
      <w:r w:rsidRPr="001373D2">
        <w:tab/>
      </w:r>
      <w:r w:rsidR="00A91E42" w:rsidRPr="001373D2">
        <w:t>have moulded plastic uppers and rigid soles</w:t>
      </w:r>
      <w:r w:rsidRPr="001373D2">
        <w:t>; and</w:t>
      </w:r>
    </w:p>
    <w:p w:rsidR="00A91E42" w:rsidRPr="001373D2" w:rsidRDefault="00022A14" w:rsidP="00022A14">
      <w:pPr>
        <w:pStyle w:val="paragraph"/>
      </w:pPr>
      <w:r w:rsidRPr="001373D2">
        <w:tab/>
        <w:t>(c)</w:t>
      </w:r>
      <w:r w:rsidRPr="001373D2">
        <w:tab/>
      </w:r>
      <w:r w:rsidR="00A91E42" w:rsidRPr="001373D2">
        <w:t>do not have a replaceable sole section.</w:t>
      </w:r>
    </w:p>
    <w:p w:rsidR="000E1E6B" w:rsidRPr="001373D2" w:rsidRDefault="000E1E6B" w:rsidP="000E1E6B">
      <w:pPr>
        <w:pStyle w:val="SubsectionHead"/>
      </w:pPr>
      <w:r w:rsidRPr="001373D2">
        <w:t>Definitions</w:t>
      </w:r>
    </w:p>
    <w:p w:rsidR="002C248C" w:rsidRPr="001373D2" w:rsidRDefault="0077303C" w:rsidP="002C248C">
      <w:pPr>
        <w:pStyle w:val="subsection"/>
      </w:pPr>
      <w:r w:rsidRPr="001373D2">
        <w:tab/>
        <w:t>(6</w:t>
      </w:r>
      <w:r w:rsidR="002C248C" w:rsidRPr="001373D2">
        <w:t>)</w:t>
      </w:r>
      <w:r w:rsidR="002C248C" w:rsidRPr="001373D2">
        <w:tab/>
        <w:t>In this instrument:</w:t>
      </w:r>
    </w:p>
    <w:p w:rsidR="002C248C" w:rsidRPr="001373D2" w:rsidRDefault="002C248C" w:rsidP="002C248C">
      <w:pPr>
        <w:pStyle w:val="Definition"/>
      </w:pPr>
      <w:r w:rsidRPr="001373D2">
        <w:rPr>
          <w:b/>
          <w:bCs/>
          <w:i/>
          <w:iCs/>
        </w:rPr>
        <w:t>shoes</w:t>
      </w:r>
      <w:r w:rsidRPr="001373D2">
        <w:rPr>
          <w:b/>
          <w:i/>
          <w:sz w:val="16"/>
          <w:szCs w:val="16"/>
        </w:rPr>
        <w:t xml:space="preserve"> </w:t>
      </w:r>
      <w:r w:rsidRPr="001373D2">
        <w:t>means boots, shoes, sandals or other footwear but does not include socks, stockings or other hose.</w:t>
      </w:r>
    </w:p>
    <w:p w:rsidR="002C248C" w:rsidRPr="001373D2" w:rsidRDefault="002C248C" w:rsidP="002C248C">
      <w:pPr>
        <w:pStyle w:val="Definition"/>
      </w:pPr>
      <w:r w:rsidRPr="001373D2">
        <w:rPr>
          <w:b/>
          <w:bCs/>
          <w:i/>
          <w:iCs/>
        </w:rPr>
        <w:t>sock lining</w:t>
      </w:r>
      <w:r w:rsidRPr="001373D2">
        <w:rPr>
          <w:b/>
          <w:i/>
          <w:sz w:val="16"/>
          <w:szCs w:val="16"/>
        </w:rPr>
        <w:t xml:space="preserve"> </w:t>
      </w:r>
      <w:r w:rsidRPr="001373D2">
        <w:t>means the thin slip of leather, paper or material that is attached to the upper surface of the inner sole of a shoe.</w:t>
      </w:r>
    </w:p>
    <w:p w:rsidR="002C248C" w:rsidRPr="001373D2" w:rsidRDefault="002C248C" w:rsidP="002C248C">
      <w:pPr>
        <w:pStyle w:val="Definition"/>
      </w:pPr>
      <w:r w:rsidRPr="001373D2">
        <w:rPr>
          <w:b/>
          <w:bCs/>
          <w:i/>
          <w:iCs/>
        </w:rPr>
        <w:t>sole</w:t>
      </w:r>
      <w:r w:rsidRPr="001373D2">
        <w:t xml:space="preserve"> </w:t>
      </w:r>
      <w:r w:rsidR="000E1E6B" w:rsidRPr="001373D2">
        <w:t xml:space="preserve">of </w:t>
      </w:r>
      <w:r w:rsidRPr="001373D2">
        <w:t>a shoe means the part of the shoe (including the heel) that is under the foot of a person when the shoe is worn, other than:</w:t>
      </w:r>
    </w:p>
    <w:p w:rsidR="002C248C" w:rsidRPr="001373D2" w:rsidRDefault="002C248C" w:rsidP="002C248C">
      <w:pPr>
        <w:pStyle w:val="paragraph"/>
      </w:pPr>
      <w:r w:rsidRPr="001373D2">
        <w:tab/>
        <w:t>(a)</w:t>
      </w:r>
      <w:r w:rsidRPr="001373D2">
        <w:tab/>
        <w:t>the inner sole; or</w:t>
      </w:r>
    </w:p>
    <w:p w:rsidR="002C248C" w:rsidRPr="001373D2" w:rsidRDefault="002C248C" w:rsidP="002C248C">
      <w:pPr>
        <w:pStyle w:val="paragraph"/>
      </w:pPr>
      <w:r w:rsidRPr="001373D2">
        <w:tab/>
        <w:t>(b)</w:t>
      </w:r>
      <w:r w:rsidRPr="001373D2">
        <w:tab/>
        <w:t>the sock lining; or</w:t>
      </w:r>
    </w:p>
    <w:p w:rsidR="002C248C" w:rsidRPr="001373D2" w:rsidRDefault="002C248C" w:rsidP="002C248C">
      <w:pPr>
        <w:pStyle w:val="paragraph"/>
      </w:pPr>
      <w:r w:rsidRPr="001373D2">
        <w:tab/>
        <w:t>(c)</w:t>
      </w:r>
      <w:r w:rsidRPr="001373D2">
        <w:tab/>
        <w:t>thread, wax, rivets, pegs, nails, toe plates, heel plates, heel tips or heel caps.</w:t>
      </w:r>
    </w:p>
    <w:p w:rsidR="002C248C" w:rsidRPr="001373D2" w:rsidRDefault="002C248C" w:rsidP="00A91E42">
      <w:pPr>
        <w:pStyle w:val="Definition"/>
      </w:pPr>
      <w:r w:rsidRPr="001373D2">
        <w:rPr>
          <w:b/>
          <w:bCs/>
          <w:i/>
          <w:iCs/>
        </w:rPr>
        <w:t>upper</w:t>
      </w:r>
      <w:r w:rsidRPr="001373D2">
        <w:t xml:space="preserve"> </w:t>
      </w:r>
      <w:r w:rsidR="000E1E6B" w:rsidRPr="001373D2">
        <w:t>of</w:t>
      </w:r>
      <w:r w:rsidRPr="001373D2">
        <w:t xml:space="preserve"> a shoe means the outer covering of the part of </w:t>
      </w:r>
      <w:r w:rsidR="000E1E6B" w:rsidRPr="001373D2">
        <w:t>the</w:t>
      </w:r>
      <w:r w:rsidRPr="001373D2">
        <w:t xml:space="preserve"> shoe above the inner sole, but does not include a thread, lace, eyelet, buckle, button or other decoration</w:t>
      </w:r>
      <w:r w:rsidR="00A91E42" w:rsidRPr="001373D2">
        <w:t>.</w:t>
      </w:r>
    </w:p>
    <w:p w:rsidR="00F25230" w:rsidRPr="001373D2" w:rsidRDefault="00F25230" w:rsidP="00F25230">
      <w:pPr>
        <w:pStyle w:val="ActHead2"/>
        <w:pageBreakBefore/>
      </w:pPr>
      <w:bookmarkStart w:id="31" w:name="_Toc466383366"/>
      <w:r w:rsidRPr="001373D2">
        <w:rPr>
          <w:rStyle w:val="CharPartNo"/>
        </w:rPr>
        <w:t>Part</w:t>
      </w:r>
      <w:r w:rsidR="001373D2" w:rsidRPr="001373D2">
        <w:rPr>
          <w:rStyle w:val="CharPartNo"/>
        </w:rPr>
        <w:t> </w:t>
      </w:r>
      <w:r w:rsidRPr="001373D2">
        <w:rPr>
          <w:rStyle w:val="CharPartNo"/>
        </w:rPr>
        <w:t>3</w:t>
      </w:r>
      <w:r w:rsidRPr="001373D2">
        <w:t>—</w:t>
      </w:r>
      <w:r w:rsidR="00F344B8" w:rsidRPr="001373D2">
        <w:rPr>
          <w:rStyle w:val="CharPartText"/>
        </w:rPr>
        <w:t>Inspection and analysis</w:t>
      </w:r>
      <w:bookmarkEnd w:id="31"/>
    </w:p>
    <w:p w:rsidR="00F25230" w:rsidRPr="001373D2" w:rsidRDefault="00F25230" w:rsidP="00F25230">
      <w:pPr>
        <w:pStyle w:val="Header"/>
      </w:pPr>
      <w:r w:rsidRPr="001373D2">
        <w:rPr>
          <w:rStyle w:val="CharDivNo"/>
        </w:rPr>
        <w:t xml:space="preserve"> </w:t>
      </w:r>
      <w:r w:rsidRPr="001373D2">
        <w:rPr>
          <w:rStyle w:val="CharDivText"/>
        </w:rPr>
        <w:t xml:space="preserve"> </w:t>
      </w:r>
    </w:p>
    <w:p w:rsidR="00F25230" w:rsidRPr="001373D2" w:rsidRDefault="004F69B5" w:rsidP="00F25230">
      <w:pPr>
        <w:pStyle w:val="ActHead5"/>
      </w:pPr>
      <w:bookmarkStart w:id="32" w:name="_Toc466383367"/>
      <w:r w:rsidRPr="001373D2">
        <w:rPr>
          <w:rStyle w:val="CharSectno"/>
        </w:rPr>
        <w:t>21</w:t>
      </w:r>
      <w:r w:rsidR="00F25230" w:rsidRPr="001373D2">
        <w:t xml:space="preserve">  </w:t>
      </w:r>
      <w:r w:rsidR="0075357B" w:rsidRPr="001373D2">
        <w:t>Goods that may be inspected, examined and sampled by officer</w:t>
      </w:r>
      <w:r w:rsidR="00E008DC" w:rsidRPr="001373D2">
        <w:t>s</w:t>
      </w:r>
      <w:bookmarkEnd w:id="32"/>
    </w:p>
    <w:p w:rsidR="0075357B" w:rsidRPr="001373D2" w:rsidRDefault="00B558E4" w:rsidP="00B558E4">
      <w:pPr>
        <w:pStyle w:val="subsection"/>
      </w:pPr>
      <w:r w:rsidRPr="001373D2">
        <w:tab/>
      </w:r>
      <w:r w:rsidRPr="001373D2">
        <w:tab/>
      </w:r>
      <w:r w:rsidR="0075357B" w:rsidRPr="001373D2">
        <w:t>Examinable goods are prescribed f</w:t>
      </w:r>
      <w:r w:rsidR="00D81EF1" w:rsidRPr="001373D2">
        <w:t xml:space="preserve">or </w:t>
      </w:r>
      <w:r w:rsidR="00A16E55" w:rsidRPr="001373D2">
        <w:t xml:space="preserve">the purposes of </w:t>
      </w:r>
      <w:r w:rsidR="00D81EF1" w:rsidRPr="001373D2">
        <w:t>subsection</w:t>
      </w:r>
      <w:r w:rsidR="001373D2" w:rsidRPr="001373D2">
        <w:t> </w:t>
      </w:r>
      <w:r w:rsidR="00D81EF1" w:rsidRPr="001373D2">
        <w:t>5(1) of the Act</w:t>
      </w:r>
      <w:r w:rsidR="0075357B" w:rsidRPr="001373D2">
        <w:t xml:space="preserve"> (which allows an officer to inspect and examine prescribed goods that are imported or being prepared for export).</w:t>
      </w:r>
    </w:p>
    <w:p w:rsidR="0075357B" w:rsidRPr="001373D2" w:rsidRDefault="004F69B5" w:rsidP="0075357B">
      <w:pPr>
        <w:pStyle w:val="ActHead5"/>
      </w:pPr>
      <w:bookmarkStart w:id="33" w:name="_Toc466383368"/>
      <w:r w:rsidRPr="001373D2">
        <w:rPr>
          <w:rStyle w:val="CharSectno"/>
        </w:rPr>
        <w:t>22</w:t>
      </w:r>
      <w:r w:rsidR="0075357B" w:rsidRPr="001373D2">
        <w:t xml:space="preserve">  Appointment of analysts</w:t>
      </w:r>
      <w:bookmarkEnd w:id="33"/>
    </w:p>
    <w:p w:rsidR="00F25230" w:rsidRPr="001373D2" w:rsidRDefault="00487CB8" w:rsidP="00F25230">
      <w:pPr>
        <w:pStyle w:val="subsection"/>
      </w:pPr>
      <w:r w:rsidRPr="001373D2">
        <w:tab/>
      </w:r>
      <w:r w:rsidR="00F25230" w:rsidRPr="001373D2">
        <w:tab/>
        <w:t>The Minister may appoint persons who have the necessary qualifications to be a</w:t>
      </w:r>
      <w:r w:rsidR="00711BA8" w:rsidRPr="001373D2">
        <w:t xml:space="preserve">nalysts for the purposes of this </w:t>
      </w:r>
      <w:r w:rsidR="008D1E91" w:rsidRPr="001373D2">
        <w:t>instrument</w:t>
      </w:r>
      <w:r w:rsidR="00F25230" w:rsidRPr="001373D2">
        <w:t>.</w:t>
      </w:r>
    </w:p>
    <w:p w:rsidR="0075357B" w:rsidRPr="001373D2" w:rsidRDefault="004F69B5" w:rsidP="0075357B">
      <w:pPr>
        <w:pStyle w:val="ActHead5"/>
      </w:pPr>
      <w:bookmarkStart w:id="34" w:name="_Toc466383369"/>
      <w:r w:rsidRPr="001373D2">
        <w:rPr>
          <w:rStyle w:val="CharSectno"/>
        </w:rPr>
        <w:t>23</w:t>
      </w:r>
      <w:r w:rsidR="0075357B" w:rsidRPr="001373D2">
        <w:t xml:space="preserve">  Analys</w:t>
      </w:r>
      <w:r w:rsidR="006C0F9C" w:rsidRPr="001373D2">
        <w:t>is and examination of</w:t>
      </w:r>
      <w:r w:rsidR="0075357B" w:rsidRPr="001373D2">
        <w:t xml:space="preserve"> samples of examinable goods</w:t>
      </w:r>
      <w:bookmarkEnd w:id="34"/>
    </w:p>
    <w:p w:rsidR="00F25230" w:rsidRPr="001373D2" w:rsidRDefault="00F76C11" w:rsidP="00F25230">
      <w:pPr>
        <w:pStyle w:val="subsection"/>
      </w:pPr>
      <w:r w:rsidRPr="001373D2">
        <w:tab/>
        <w:t>(</w:t>
      </w:r>
      <w:r w:rsidR="006C0F9C" w:rsidRPr="001373D2">
        <w:t>1</w:t>
      </w:r>
      <w:r w:rsidR="00F25230" w:rsidRPr="001373D2">
        <w:t>)</w:t>
      </w:r>
      <w:r w:rsidR="00F25230" w:rsidRPr="001373D2">
        <w:tab/>
        <w:t xml:space="preserve">An analyst may analyse or examine samples of </w:t>
      </w:r>
      <w:r w:rsidR="00BD3476" w:rsidRPr="001373D2">
        <w:t xml:space="preserve">examinable </w:t>
      </w:r>
      <w:r w:rsidR="00F25230" w:rsidRPr="001373D2">
        <w:t>goods</w:t>
      </w:r>
      <w:r w:rsidR="008D1E91" w:rsidRPr="001373D2">
        <w:t xml:space="preserve"> </w:t>
      </w:r>
      <w:r w:rsidR="00F25230" w:rsidRPr="001373D2">
        <w:t>that are taken by an officer under the Act.</w:t>
      </w:r>
    </w:p>
    <w:p w:rsidR="00DE6BDD" w:rsidRPr="001373D2" w:rsidRDefault="006C0F9C" w:rsidP="00DE6BDD">
      <w:pPr>
        <w:pStyle w:val="subsection"/>
      </w:pPr>
      <w:r w:rsidRPr="001373D2">
        <w:tab/>
        <w:t>(2</w:t>
      </w:r>
      <w:r w:rsidR="00DE6BDD" w:rsidRPr="001373D2">
        <w:t>)</w:t>
      </w:r>
      <w:r w:rsidR="00DE6BDD" w:rsidRPr="001373D2">
        <w:tab/>
        <w:t>In proceedings under the</w:t>
      </w:r>
      <w:r w:rsidR="007D725B" w:rsidRPr="001373D2">
        <w:t xml:space="preserve"> Act or this </w:t>
      </w:r>
      <w:r w:rsidR="008D1E91" w:rsidRPr="001373D2">
        <w:t>instrument</w:t>
      </w:r>
      <w:r w:rsidR="001B3A7E" w:rsidRPr="001373D2">
        <w:rPr>
          <w:i/>
        </w:rPr>
        <w:t xml:space="preserve"> </w:t>
      </w:r>
      <w:r w:rsidR="00BD3476" w:rsidRPr="001373D2">
        <w:t>relating</w:t>
      </w:r>
      <w:r w:rsidR="00DE6BDD" w:rsidRPr="001373D2">
        <w:t xml:space="preserve"> to </w:t>
      </w:r>
      <w:r w:rsidR="00BD3476" w:rsidRPr="001373D2">
        <w:t xml:space="preserve">examinable </w:t>
      </w:r>
      <w:r w:rsidR="00DE6BDD" w:rsidRPr="001373D2">
        <w:t xml:space="preserve">goods, a certificate given by an analyst </w:t>
      </w:r>
      <w:r w:rsidR="00ED2B51" w:rsidRPr="001373D2">
        <w:t>of</w:t>
      </w:r>
      <w:r w:rsidR="00DE6BDD" w:rsidRPr="001373D2">
        <w:t xml:space="preserve"> the results of an examination </w:t>
      </w:r>
      <w:r w:rsidR="00BD3476" w:rsidRPr="001373D2">
        <w:t xml:space="preserve">or </w:t>
      </w:r>
      <w:r w:rsidR="00DE6BDD" w:rsidRPr="001373D2">
        <w:t xml:space="preserve">analysis of a sample of those goods is </w:t>
      </w:r>
      <w:r w:rsidR="00FD50DE" w:rsidRPr="001373D2">
        <w:t xml:space="preserve">prima facie </w:t>
      </w:r>
      <w:r w:rsidR="00DE6BDD" w:rsidRPr="001373D2">
        <w:t>evidence of the matters stated in the certificate.</w:t>
      </w:r>
    </w:p>
    <w:p w:rsidR="00487CB8" w:rsidRPr="001373D2" w:rsidRDefault="00487CB8" w:rsidP="00487CB8">
      <w:pPr>
        <w:pStyle w:val="notetext"/>
      </w:pPr>
      <w:r w:rsidRPr="001373D2">
        <w:t>Note:</w:t>
      </w:r>
      <w:r w:rsidRPr="001373D2">
        <w:rPr>
          <w:b/>
        </w:rPr>
        <w:tab/>
      </w:r>
      <w:r w:rsidRPr="001373D2">
        <w:t xml:space="preserve">The Act is incorporated and read as one with the </w:t>
      </w:r>
      <w:r w:rsidRPr="001373D2">
        <w:rPr>
          <w:i/>
        </w:rPr>
        <w:t>Customs Act 1901</w:t>
      </w:r>
      <w:r w:rsidRPr="001373D2">
        <w:t>: see section</w:t>
      </w:r>
      <w:r w:rsidR="001373D2" w:rsidRPr="001373D2">
        <w:t> </w:t>
      </w:r>
      <w:r w:rsidRPr="001373D2">
        <w:t>2 of the Act.</w:t>
      </w:r>
    </w:p>
    <w:p w:rsidR="007B323F" w:rsidRPr="001373D2" w:rsidRDefault="007B323F" w:rsidP="007B323F">
      <w:pPr>
        <w:pStyle w:val="ActHead2"/>
        <w:pageBreakBefore/>
      </w:pPr>
      <w:bookmarkStart w:id="35" w:name="_Toc466383370"/>
      <w:r w:rsidRPr="001373D2">
        <w:rPr>
          <w:rStyle w:val="CharPartNo"/>
        </w:rPr>
        <w:t>Part</w:t>
      </w:r>
      <w:r w:rsidR="001373D2" w:rsidRPr="001373D2">
        <w:rPr>
          <w:rStyle w:val="CharPartNo"/>
        </w:rPr>
        <w:t> </w:t>
      </w:r>
      <w:r w:rsidRPr="001373D2">
        <w:rPr>
          <w:rStyle w:val="CharPartNo"/>
        </w:rPr>
        <w:t>4</w:t>
      </w:r>
      <w:r w:rsidRPr="001373D2">
        <w:t>—</w:t>
      </w:r>
      <w:r w:rsidRPr="001373D2">
        <w:rPr>
          <w:rStyle w:val="CharPartText"/>
        </w:rPr>
        <w:t>Transitional matters</w:t>
      </w:r>
      <w:bookmarkEnd w:id="35"/>
    </w:p>
    <w:p w:rsidR="007B323F" w:rsidRPr="001373D2" w:rsidRDefault="007B323F" w:rsidP="007B323F">
      <w:pPr>
        <w:pStyle w:val="Header"/>
      </w:pPr>
      <w:r w:rsidRPr="001373D2">
        <w:rPr>
          <w:rStyle w:val="CharDivNo"/>
        </w:rPr>
        <w:t xml:space="preserve"> </w:t>
      </w:r>
      <w:r w:rsidRPr="001373D2">
        <w:rPr>
          <w:rStyle w:val="CharDivText"/>
        </w:rPr>
        <w:t xml:space="preserve"> </w:t>
      </w:r>
    </w:p>
    <w:p w:rsidR="007B323F" w:rsidRPr="001373D2" w:rsidRDefault="004F69B5" w:rsidP="0007153E">
      <w:pPr>
        <w:pStyle w:val="ActHead5"/>
      </w:pPr>
      <w:bookmarkStart w:id="36" w:name="_Toc466383371"/>
      <w:r w:rsidRPr="001373D2">
        <w:rPr>
          <w:rStyle w:val="CharSectno"/>
        </w:rPr>
        <w:t>24</w:t>
      </w:r>
      <w:r w:rsidR="007B323F" w:rsidRPr="001373D2">
        <w:t xml:space="preserve">  </w:t>
      </w:r>
      <w:r w:rsidR="007B323F" w:rsidRPr="001373D2">
        <w:rPr>
          <w:i/>
        </w:rPr>
        <w:t>Commerce (Imports) Regulations</w:t>
      </w:r>
      <w:r w:rsidR="001373D2" w:rsidRPr="001373D2">
        <w:rPr>
          <w:i/>
        </w:rPr>
        <w:t> </w:t>
      </w:r>
      <w:r w:rsidR="007B323F" w:rsidRPr="001373D2">
        <w:rPr>
          <w:i/>
        </w:rPr>
        <w:t>1940</w:t>
      </w:r>
      <w:r w:rsidR="00E9222C" w:rsidRPr="001373D2">
        <w:t>—transition</w:t>
      </w:r>
      <w:bookmarkEnd w:id="36"/>
    </w:p>
    <w:p w:rsidR="00E9222C" w:rsidRPr="001373D2" w:rsidRDefault="007B323F" w:rsidP="007B323F">
      <w:pPr>
        <w:pStyle w:val="subsection"/>
      </w:pPr>
      <w:r w:rsidRPr="001373D2">
        <w:tab/>
      </w:r>
      <w:r w:rsidR="006820FD" w:rsidRPr="001373D2">
        <w:t>(1)</w:t>
      </w:r>
      <w:r w:rsidR="006820FD" w:rsidRPr="001373D2">
        <w:tab/>
        <w:t>Section</w:t>
      </w:r>
      <w:r w:rsidR="001373D2" w:rsidRPr="001373D2">
        <w:t> </w:t>
      </w:r>
      <w:r w:rsidR="004F69B5" w:rsidRPr="001373D2">
        <w:t>8</w:t>
      </w:r>
      <w:r w:rsidR="006820FD" w:rsidRPr="001373D2">
        <w:t xml:space="preserve"> applies to </w:t>
      </w:r>
      <w:r w:rsidR="00E9222C" w:rsidRPr="001373D2">
        <w:t>good</w:t>
      </w:r>
      <w:r w:rsidR="006820FD" w:rsidRPr="001373D2">
        <w:t>s</w:t>
      </w:r>
      <w:r w:rsidR="00E9222C" w:rsidRPr="001373D2">
        <w:t xml:space="preserve"> imported on or after the commencement of this instrument.</w:t>
      </w:r>
    </w:p>
    <w:p w:rsidR="007B323F" w:rsidRPr="001373D2" w:rsidRDefault="00E9222C" w:rsidP="007B323F">
      <w:pPr>
        <w:pStyle w:val="subsection"/>
      </w:pPr>
      <w:r w:rsidRPr="001373D2">
        <w:tab/>
        <w:t>(2</w:t>
      </w:r>
      <w:r w:rsidR="007B323F" w:rsidRPr="001373D2">
        <w:t>)</w:t>
      </w:r>
      <w:r w:rsidR="007B323F" w:rsidRPr="001373D2">
        <w:tab/>
        <w:t>If:</w:t>
      </w:r>
    </w:p>
    <w:p w:rsidR="007B323F" w:rsidRPr="001373D2" w:rsidRDefault="007B323F" w:rsidP="00B558E4">
      <w:pPr>
        <w:pStyle w:val="paragraph"/>
      </w:pPr>
      <w:r w:rsidRPr="001373D2">
        <w:tab/>
        <w:t>(a)</w:t>
      </w:r>
      <w:r w:rsidRPr="001373D2">
        <w:tab/>
        <w:t xml:space="preserve">a thing was done for a particular purpose under the </w:t>
      </w:r>
      <w:r w:rsidRPr="001373D2">
        <w:rPr>
          <w:i/>
        </w:rPr>
        <w:t>Commerce (Imports) Regulations</w:t>
      </w:r>
      <w:r w:rsidR="001373D2" w:rsidRPr="001373D2">
        <w:rPr>
          <w:i/>
        </w:rPr>
        <w:t> </w:t>
      </w:r>
      <w:r w:rsidRPr="001373D2">
        <w:rPr>
          <w:i/>
        </w:rPr>
        <w:t>1940</w:t>
      </w:r>
      <w:r w:rsidRPr="001373D2">
        <w:t xml:space="preserve"> as in force immediately before those Regulations were repealed; and</w:t>
      </w:r>
    </w:p>
    <w:p w:rsidR="007B323F" w:rsidRPr="001373D2" w:rsidRDefault="007B323F" w:rsidP="00B558E4">
      <w:pPr>
        <w:pStyle w:val="paragraph"/>
      </w:pPr>
      <w:r w:rsidRPr="001373D2">
        <w:tab/>
        <w:t>(b)</w:t>
      </w:r>
      <w:r w:rsidRPr="001373D2">
        <w:tab/>
        <w:t>the thing could be done for that purpose under this instrument;</w:t>
      </w:r>
    </w:p>
    <w:p w:rsidR="007B323F" w:rsidRPr="001373D2" w:rsidRDefault="007B323F" w:rsidP="007B323F">
      <w:pPr>
        <w:pStyle w:val="subsection2"/>
      </w:pPr>
      <w:r w:rsidRPr="001373D2">
        <w:t>the thing has effect for the purposes of this instrument as if it had been done under this instrument.</w:t>
      </w:r>
    </w:p>
    <w:p w:rsidR="00903346" w:rsidRPr="001373D2" w:rsidRDefault="00E9222C" w:rsidP="007B323F">
      <w:pPr>
        <w:pStyle w:val="subsection"/>
      </w:pPr>
      <w:r w:rsidRPr="001373D2">
        <w:tab/>
        <w:t>(3</w:t>
      </w:r>
      <w:r w:rsidR="007B323F" w:rsidRPr="001373D2">
        <w:t>)</w:t>
      </w:r>
      <w:r w:rsidR="007B323F" w:rsidRPr="001373D2">
        <w:tab/>
      </w:r>
      <w:r w:rsidR="003A5BFC" w:rsidRPr="001373D2">
        <w:t>A</w:t>
      </w:r>
      <w:r w:rsidR="007B323F" w:rsidRPr="001373D2">
        <w:t xml:space="preserve"> reference in </w:t>
      </w:r>
      <w:r w:rsidR="001373D2" w:rsidRPr="001373D2">
        <w:t>subsection (</w:t>
      </w:r>
      <w:r w:rsidR="003A5BFC" w:rsidRPr="001373D2">
        <w:t xml:space="preserve">2) </w:t>
      </w:r>
      <w:r w:rsidR="007B323F" w:rsidRPr="001373D2">
        <w:t>to a thing being done includes a reference t</w:t>
      </w:r>
      <w:r w:rsidR="00BC69FE" w:rsidRPr="001373D2">
        <w:t>o an appointment</w:t>
      </w:r>
      <w:r w:rsidR="007B323F" w:rsidRPr="001373D2">
        <w:t xml:space="preserve">, </w:t>
      </w:r>
      <w:r w:rsidR="00BC69FE" w:rsidRPr="001373D2">
        <w:t>certificate</w:t>
      </w:r>
      <w:r w:rsidR="007B323F" w:rsidRPr="001373D2">
        <w:t xml:space="preserve"> or other instrument being </w:t>
      </w:r>
      <w:r w:rsidR="003A5BFC" w:rsidRPr="001373D2">
        <w:t xml:space="preserve">made or </w:t>
      </w:r>
      <w:r w:rsidR="007B323F" w:rsidRPr="001373D2">
        <w:t>given.</w:t>
      </w:r>
    </w:p>
    <w:p w:rsidR="005D5418" w:rsidRPr="001373D2" w:rsidRDefault="005D5418">
      <w:pPr>
        <w:sectPr w:rsidR="005D5418" w:rsidRPr="001373D2" w:rsidSect="001517C5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5D5418" w:rsidRPr="001373D2" w:rsidRDefault="005D5418" w:rsidP="005D5418">
      <w:pPr>
        <w:pStyle w:val="ActHead6"/>
      </w:pPr>
      <w:bookmarkStart w:id="37" w:name="_Toc466383372"/>
      <w:bookmarkStart w:id="38" w:name="opcAmSched"/>
      <w:bookmarkStart w:id="39" w:name="opcCurrentFind"/>
      <w:r w:rsidRPr="001373D2">
        <w:rPr>
          <w:rStyle w:val="CharAmSchNo"/>
        </w:rPr>
        <w:t>Schedule</w:t>
      </w:r>
      <w:r w:rsidR="001373D2" w:rsidRPr="001373D2">
        <w:rPr>
          <w:rStyle w:val="CharAmSchNo"/>
        </w:rPr>
        <w:t> </w:t>
      </w:r>
      <w:r w:rsidRPr="001373D2">
        <w:rPr>
          <w:rStyle w:val="CharAmSchNo"/>
        </w:rPr>
        <w:t>1</w:t>
      </w:r>
      <w:r w:rsidRPr="001373D2">
        <w:t>—</w:t>
      </w:r>
      <w:r w:rsidRPr="001373D2">
        <w:rPr>
          <w:rStyle w:val="CharAmSchText"/>
        </w:rPr>
        <w:t>Repeals</w:t>
      </w:r>
      <w:bookmarkEnd w:id="37"/>
    </w:p>
    <w:bookmarkEnd w:id="38"/>
    <w:bookmarkEnd w:id="39"/>
    <w:p w:rsidR="005D5418" w:rsidRPr="001373D2" w:rsidRDefault="005D5418">
      <w:pPr>
        <w:pStyle w:val="Header"/>
      </w:pPr>
      <w:r w:rsidRPr="001373D2">
        <w:rPr>
          <w:rStyle w:val="CharAmPartNo"/>
        </w:rPr>
        <w:t xml:space="preserve"> </w:t>
      </w:r>
      <w:r w:rsidRPr="001373D2">
        <w:rPr>
          <w:rStyle w:val="CharAmPartText"/>
        </w:rPr>
        <w:t xml:space="preserve"> </w:t>
      </w:r>
    </w:p>
    <w:p w:rsidR="005D5418" w:rsidRPr="001373D2" w:rsidRDefault="005D5418" w:rsidP="005D5418">
      <w:pPr>
        <w:pStyle w:val="ActHead9"/>
      </w:pPr>
      <w:bookmarkStart w:id="40" w:name="_Toc466383373"/>
      <w:r w:rsidRPr="001373D2">
        <w:t>Commerce (Imports) Regulations</w:t>
      </w:r>
      <w:r w:rsidR="001373D2" w:rsidRPr="001373D2">
        <w:t> </w:t>
      </w:r>
      <w:r w:rsidRPr="001373D2">
        <w:t>1940</w:t>
      </w:r>
      <w:bookmarkEnd w:id="40"/>
    </w:p>
    <w:p w:rsidR="005D5418" w:rsidRPr="001373D2" w:rsidRDefault="005D5418" w:rsidP="005D5418">
      <w:pPr>
        <w:pStyle w:val="ItemHead"/>
      </w:pPr>
      <w:r w:rsidRPr="001373D2">
        <w:t>1  The whole of the Regulations</w:t>
      </w:r>
    </w:p>
    <w:p w:rsidR="005D5418" w:rsidRPr="001373D2" w:rsidRDefault="005D5418" w:rsidP="005D5418">
      <w:pPr>
        <w:pStyle w:val="Item"/>
      </w:pPr>
      <w:r w:rsidRPr="001373D2">
        <w:t>Repeal the Regulations.</w:t>
      </w:r>
    </w:p>
    <w:p w:rsidR="005D5418" w:rsidRPr="001373D2" w:rsidRDefault="005D5418">
      <w:pPr>
        <w:sectPr w:rsidR="005D5418" w:rsidRPr="001373D2" w:rsidSect="001517C5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5D5418" w:rsidRPr="001373D2" w:rsidRDefault="005D5418" w:rsidP="001373D2">
      <w:pPr>
        <w:rPr>
          <w:b/>
          <w:i/>
        </w:rPr>
      </w:pPr>
    </w:p>
    <w:sectPr w:rsidR="005D5418" w:rsidRPr="001373D2" w:rsidSect="001517C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B0" w:rsidRDefault="00F666B0" w:rsidP="00715914">
      <w:pPr>
        <w:spacing w:line="240" w:lineRule="auto"/>
      </w:pPr>
      <w:r>
        <w:separator/>
      </w:r>
    </w:p>
  </w:endnote>
  <w:endnote w:type="continuationSeparator" w:id="0">
    <w:p w:rsidR="00F666B0" w:rsidRDefault="00F666B0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0" w:rsidRPr="001517C5" w:rsidRDefault="00F666B0" w:rsidP="001517C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517C5">
      <w:rPr>
        <w:i/>
        <w:sz w:val="18"/>
      </w:rPr>
      <w:t xml:space="preserve"> </w:t>
    </w:r>
    <w:r w:rsidR="001517C5" w:rsidRPr="001517C5">
      <w:rPr>
        <w:i/>
        <w:sz w:val="18"/>
      </w:rPr>
      <w:t>OPC61655 -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0" w:rsidRPr="00D90ABA" w:rsidRDefault="00F666B0" w:rsidP="005D541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F666B0" w:rsidTr="005D5418">
      <w:tc>
        <w:tcPr>
          <w:tcW w:w="942" w:type="pct"/>
        </w:tcPr>
        <w:p w:rsidR="00F666B0" w:rsidRDefault="00F666B0" w:rsidP="00860A57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F666B0" w:rsidRDefault="00F666B0" w:rsidP="00860A5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F764D">
            <w:rPr>
              <w:i/>
              <w:sz w:val="18"/>
            </w:rPr>
            <w:t>Commerce (Trade Descriptions)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F666B0" w:rsidRDefault="00F666B0" w:rsidP="00860A5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4711F">
            <w:rPr>
              <w:i/>
              <w:noProof/>
              <w:sz w:val="18"/>
            </w:rPr>
            <w:t>15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666B0" w:rsidRPr="00D90ABA" w:rsidRDefault="001517C5" w:rsidP="001517C5">
    <w:pPr>
      <w:rPr>
        <w:i/>
        <w:sz w:val="18"/>
      </w:rPr>
    </w:pPr>
    <w:r w:rsidRPr="001517C5">
      <w:rPr>
        <w:rFonts w:cs="Times New Roman"/>
        <w:i/>
        <w:sz w:val="18"/>
      </w:rPr>
      <w:t>OPC61655 -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0" w:rsidRDefault="00F666B0">
    <w:pPr>
      <w:pBdr>
        <w:top w:val="single" w:sz="6" w:space="1" w:color="auto"/>
      </w:pBdr>
      <w:rPr>
        <w:sz w:val="18"/>
      </w:rPr>
    </w:pPr>
  </w:p>
  <w:p w:rsidR="00F666B0" w:rsidRDefault="00F666B0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8F764D">
      <w:rPr>
        <w:i/>
        <w:noProof/>
        <w:sz w:val="18"/>
      </w:rPr>
      <w:t>Commerce (Trade Descriptions) Regulation 2016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8F764D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9831DB">
      <w:rPr>
        <w:i/>
        <w:noProof/>
        <w:sz w:val="18"/>
      </w:rPr>
      <w:t>15</w:t>
    </w:r>
    <w:r>
      <w:rPr>
        <w:i/>
        <w:sz w:val="18"/>
      </w:rPr>
      <w:fldChar w:fldCharType="end"/>
    </w:r>
  </w:p>
  <w:p w:rsidR="00F666B0" w:rsidRDefault="00F666B0">
    <w:pPr>
      <w:rPr>
        <w:i/>
        <w:sz w:val="18"/>
      </w:rPr>
    </w:pPr>
    <w:r>
      <w:rPr>
        <w:i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0" w:rsidRPr="001517C5" w:rsidRDefault="00F666B0" w:rsidP="005D5418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666B0" w:rsidRPr="001517C5" w:rsidTr="005D5418">
      <w:tc>
        <w:tcPr>
          <w:tcW w:w="365" w:type="pct"/>
        </w:tcPr>
        <w:p w:rsidR="00F666B0" w:rsidRPr="001517C5" w:rsidRDefault="00F666B0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1517C5">
            <w:rPr>
              <w:rFonts w:cs="Times New Roman"/>
              <w:i/>
              <w:sz w:val="18"/>
            </w:rPr>
            <w:fldChar w:fldCharType="begin"/>
          </w:r>
          <w:r w:rsidRPr="001517C5">
            <w:rPr>
              <w:rFonts w:cs="Times New Roman"/>
              <w:i/>
              <w:sz w:val="18"/>
            </w:rPr>
            <w:instrText xml:space="preserve"> PAGE </w:instrText>
          </w:r>
          <w:r w:rsidRPr="001517C5">
            <w:rPr>
              <w:rFonts w:cs="Times New Roman"/>
              <w:i/>
              <w:sz w:val="18"/>
            </w:rPr>
            <w:fldChar w:fldCharType="separate"/>
          </w:r>
          <w:r w:rsidR="009831DB">
            <w:rPr>
              <w:rFonts w:cs="Times New Roman"/>
              <w:i/>
              <w:noProof/>
              <w:sz w:val="18"/>
            </w:rPr>
            <w:t>15</w:t>
          </w:r>
          <w:r w:rsidRPr="001517C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F666B0" w:rsidRPr="001517C5" w:rsidRDefault="00F666B0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1517C5">
            <w:rPr>
              <w:rFonts w:cs="Times New Roman"/>
              <w:i/>
              <w:sz w:val="18"/>
            </w:rPr>
            <w:fldChar w:fldCharType="begin"/>
          </w:r>
          <w:r w:rsidRPr="001517C5">
            <w:rPr>
              <w:rFonts w:cs="Times New Roman"/>
              <w:i/>
              <w:sz w:val="18"/>
            </w:rPr>
            <w:instrText xml:space="preserve"> DOCPROPERTY ShortT </w:instrText>
          </w:r>
          <w:r w:rsidRPr="001517C5">
            <w:rPr>
              <w:rFonts w:cs="Times New Roman"/>
              <w:i/>
              <w:sz w:val="18"/>
            </w:rPr>
            <w:fldChar w:fldCharType="separate"/>
          </w:r>
          <w:r w:rsidR="008F764D">
            <w:rPr>
              <w:rFonts w:cs="Times New Roman"/>
              <w:i/>
              <w:sz w:val="18"/>
            </w:rPr>
            <w:t>Commerce (Trade Descriptions) Regulation 2016</w:t>
          </w:r>
          <w:r w:rsidRPr="001517C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F666B0" w:rsidRPr="001517C5" w:rsidRDefault="00F666B0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F666B0" w:rsidRPr="001517C5" w:rsidRDefault="001517C5" w:rsidP="001517C5">
    <w:pPr>
      <w:rPr>
        <w:rFonts w:cs="Times New Roman"/>
        <w:i/>
        <w:sz w:val="18"/>
      </w:rPr>
    </w:pPr>
    <w:r w:rsidRPr="001517C5">
      <w:rPr>
        <w:rFonts w:cs="Times New Roman"/>
        <w:i/>
        <w:sz w:val="18"/>
      </w:rPr>
      <w:t>OPC61655 -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0" w:rsidRPr="002B0EA5" w:rsidRDefault="00F666B0" w:rsidP="005D541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F666B0" w:rsidTr="005D5418">
      <w:tc>
        <w:tcPr>
          <w:tcW w:w="947" w:type="pct"/>
        </w:tcPr>
        <w:p w:rsidR="00F666B0" w:rsidRDefault="00F666B0" w:rsidP="002B0EA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F666B0" w:rsidRDefault="00F666B0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F764D">
            <w:rPr>
              <w:i/>
              <w:sz w:val="18"/>
            </w:rPr>
            <w:t>Commerce (Trade Descriptions)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F666B0" w:rsidRDefault="00F666B0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831DB">
            <w:rPr>
              <w:i/>
              <w:noProof/>
              <w:sz w:val="18"/>
            </w:rPr>
            <w:t>15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666B0" w:rsidRPr="00ED79B6" w:rsidRDefault="001517C5" w:rsidP="001517C5">
    <w:pPr>
      <w:rPr>
        <w:i/>
        <w:sz w:val="18"/>
      </w:rPr>
    </w:pPr>
    <w:r w:rsidRPr="001517C5">
      <w:rPr>
        <w:rFonts w:cs="Times New Roman"/>
        <w:i/>
        <w:sz w:val="18"/>
      </w:rPr>
      <w:t>OPC61655 -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0" w:rsidRPr="002B0EA5" w:rsidRDefault="00F666B0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F666B0" w:rsidTr="005D5418">
      <w:tc>
        <w:tcPr>
          <w:tcW w:w="947" w:type="pct"/>
        </w:tcPr>
        <w:p w:rsidR="00F666B0" w:rsidRDefault="00F666B0" w:rsidP="002B0EA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F666B0" w:rsidRDefault="00F666B0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F764D">
            <w:rPr>
              <w:i/>
              <w:sz w:val="18"/>
            </w:rPr>
            <w:t>Commerce (Trade Descriptions)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F666B0" w:rsidRDefault="00F666B0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831DB">
            <w:rPr>
              <w:i/>
              <w:noProof/>
              <w:sz w:val="18"/>
            </w:rPr>
            <w:t>15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666B0" w:rsidRPr="00ED79B6" w:rsidRDefault="00F666B0" w:rsidP="00CE51C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0" w:rsidRDefault="00F666B0" w:rsidP="005D5418">
    <w:pPr>
      <w:pStyle w:val="Footer"/>
      <w:spacing w:before="120"/>
    </w:pPr>
  </w:p>
  <w:p w:rsidR="00F666B0" w:rsidRPr="00E44C17" w:rsidRDefault="001517C5" w:rsidP="001517C5">
    <w:pPr>
      <w:pStyle w:val="Footer"/>
    </w:pPr>
    <w:r w:rsidRPr="001517C5">
      <w:rPr>
        <w:i/>
        <w:sz w:val="18"/>
      </w:rPr>
      <w:t>OPC61655 -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0" w:rsidRPr="00ED79B6" w:rsidRDefault="00F666B0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0" w:rsidRPr="001517C5" w:rsidRDefault="00F666B0" w:rsidP="005D5418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666B0" w:rsidRPr="001517C5" w:rsidTr="005D5418">
      <w:tc>
        <w:tcPr>
          <w:tcW w:w="365" w:type="pct"/>
        </w:tcPr>
        <w:p w:rsidR="00F666B0" w:rsidRPr="001517C5" w:rsidRDefault="00F666B0" w:rsidP="00BC3606">
          <w:pPr>
            <w:spacing w:line="0" w:lineRule="atLeast"/>
            <w:rPr>
              <w:rFonts w:cs="Times New Roman"/>
              <w:i/>
              <w:sz w:val="18"/>
            </w:rPr>
          </w:pPr>
          <w:r w:rsidRPr="001517C5">
            <w:rPr>
              <w:rFonts w:cs="Times New Roman"/>
              <w:i/>
              <w:sz w:val="18"/>
            </w:rPr>
            <w:fldChar w:fldCharType="begin"/>
          </w:r>
          <w:r w:rsidRPr="001517C5">
            <w:rPr>
              <w:rFonts w:cs="Times New Roman"/>
              <w:i/>
              <w:sz w:val="18"/>
            </w:rPr>
            <w:instrText xml:space="preserve"> PAGE </w:instrText>
          </w:r>
          <w:r w:rsidRPr="001517C5">
            <w:rPr>
              <w:rFonts w:cs="Times New Roman"/>
              <w:i/>
              <w:sz w:val="18"/>
            </w:rPr>
            <w:fldChar w:fldCharType="separate"/>
          </w:r>
          <w:r w:rsidR="009831DB">
            <w:rPr>
              <w:rFonts w:cs="Times New Roman"/>
              <w:i/>
              <w:noProof/>
              <w:sz w:val="18"/>
            </w:rPr>
            <w:t>xv</w:t>
          </w:r>
          <w:r w:rsidRPr="001517C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F666B0" w:rsidRPr="001517C5" w:rsidRDefault="00F666B0" w:rsidP="00BC3606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1517C5">
            <w:rPr>
              <w:rFonts w:cs="Times New Roman"/>
              <w:i/>
              <w:sz w:val="18"/>
            </w:rPr>
            <w:fldChar w:fldCharType="begin"/>
          </w:r>
          <w:r w:rsidRPr="001517C5">
            <w:rPr>
              <w:rFonts w:cs="Times New Roman"/>
              <w:i/>
              <w:sz w:val="18"/>
            </w:rPr>
            <w:instrText xml:space="preserve"> DOCPROPERTY ShortT </w:instrText>
          </w:r>
          <w:r w:rsidRPr="001517C5">
            <w:rPr>
              <w:rFonts w:cs="Times New Roman"/>
              <w:i/>
              <w:sz w:val="18"/>
            </w:rPr>
            <w:fldChar w:fldCharType="separate"/>
          </w:r>
          <w:r w:rsidR="008F764D">
            <w:rPr>
              <w:rFonts w:cs="Times New Roman"/>
              <w:i/>
              <w:sz w:val="18"/>
            </w:rPr>
            <w:t>Commerce (Trade Descriptions) Regulation 2016</w:t>
          </w:r>
          <w:r w:rsidRPr="001517C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F666B0" w:rsidRPr="001517C5" w:rsidRDefault="00F666B0" w:rsidP="00BC3606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F666B0" w:rsidRPr="001517C5" w:rsidRDefault="001517C5" w:rsidP="001517C5">
    <w:pPr>
      <w:rPr>
        <w:rFonts w:cs="Times New Roman"/>
        <w:i/>
        <w:sz w:val="18"/>
      </w:rPr>
    </w:pPr>
    <w:r w:rsidRPr="001517C5">
      <w:rPr>
        <w:rFonts w:cs="Times New Roman"/>
        <w:i/>
        <w:sz w:val="18"/>
      </w:rPr>
      <w:t>OPC61655 -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0" w:rsidRPr="002B0EA5" w:rsidRDefault="00F666B0" w:rsidP="005D541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F666B0" w:rsidTr="005D5418">
      <w:tc>
        <w:tcPr>
          <w:tcW w:w="947" w:type="pct"/>
        </w:tcPr>
        <w:p w:rsidR="00F666B0" w:rsidRDefault="00F666B0" w:rsidP="00BC3606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F666B0" w:rsidRDefault="00F666B0" w:rsidP="00BC360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F764D">
            <w:rPr>
              <w:i/>
              <w:sz w:val="18"/>
            </w:rPr>
            <w:t>Commerce (Trade Descriptions)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F666B0" w:rsidRDefault="00F666B0" w:rsidP="00BC360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E635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666B0" w:rsidRPr="00ED79B6" w:rsidRDefault="001517C5" w:rsidP="001517C5">
    <w:pPr>
      <w:rPr>
        <w:i/>
        <w:sz w:val="18"/>
      </w:rPr>
    </w:pPr>
    <w:r w:rsidRPr="001517C5">
      <w:rPr>
        <w:rFonts w:cs="Times New Roman"/>
        <w:i/>
        <w:sz w:val="18"/>
      </w:rPr>
      <w:t>OPC61655 -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0" w:rsidRPr="001517C5" w:rsidRDefault="00F666B0" w:rsidP="005D5418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666B0" w:rsidRPr="001517C5" w:rsidTr="005D5418">
      <w:tc>
        <w:tcPr>
          <w:tcW w:w="365" w:type="pct"/>
        </w:tcPr>
        <w:p w:rsidR="00F666B0" w:rsidRPr="001517C5" w:rsidRDefault="00F666B0" w:rsidP="00860A57">
          <w:pPr>
            <w:spacing w:line="0" w:lineRule="atLeast"/>
            <w:rPr>
              <w:rFonts w:cs="Times New Roman"/>
              <w:i/>
              <w:sz w:val="18"/>
            </w:rPr>
          </w:pPr>
          <w:r w:rsidRPr="001517C5">
            <w:rPr>
              <w:rFonts w:cs="Times New Roman"/>
              <w:i/>
              <w:sz w:val="18"/>
            </w:rPr>
            <w:fldChar w:fldCharType="begin"/>
          </w:r>
          <w:r w:rsidRPr="001517C5">
            <w:rPr>
              <w:rFonts w:cs="Times New Roman"/>
              <w:i/>
              <w:sz w:val="18"/>
            </w:rPr>
            <w:instrText xml:space="preserve"> PAGE </w:instrText>
          </w:r>
          <w:r w:rsidRPr="001517C5">
            <w:rPr>
              <w:rFonts w:cs="Times New Roman"/>
              <w:i/>
              <w:sz w:val="18"/>
            </w:rPr>
            <w:fldChar w:fldCharType="separate"/>
          </w:r>
          <w:r w:rsidR="00E4711F">
            <w:rPr>
              <w:rFonts w:cs="Times New Roman"/>
              <w:i/>
              <w:noProof/>
              <w:sz w:val="18"/>
            </w:rPr>
            <w:t>14</w:t>
          </w:r>
          <w:r w:rsidRPr="001517C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F666B0" w:rsidRPr="001517C5" w:rsidRDefault="00F666B0" w:rsidP="00860A57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1517C5">
            <w:rPr>
              <w:rFonts w:cs="Times New Roman"/>
              <w:i/>
              <w:sz w:val="18"/>
            </w:rPr>
            <w:fldChar w:fldCharType="begin"/>
          </w:r>
          <w:r w:rsidRPr="001517C5">
            <w:rPr>
              <w:rFonts w:cs="Times New Roman"/>
              <w:i/>
              <w:sz w:val="18"/>
            </w:rPr>
            <w:instrText xml:space="preserve"> DOCPROPERTY ShortT </w:instrText>
          </w:r>
          <w:r w:rsidRPr="001517C5">
            <w:rPr>
              <w:rFonts w:cs="Times New Roman"/>
              <w:i/>
              <w:sz w:val="18"/>
            </w:rPr>
            <w:fldChar w:fldCharType="separate"/>
          </w:r>
          <w:r w:rsidR="008F764D">
            <w:rPr>
              <w:rFonts w:cs="Times New Roman"/>
              <w:i/>
              <w:sz w:val="18"/>
            </w:rPr>
            <w:t>Commerce (Trade Descriptions) Regulation 2016</w:t>
          </w:r>
          <w:r w:rsidRPr="001517C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F666B0" w:rsidRPr="001517C5" w:rsidRDefault="00F666B0" w:rsidP="00860A57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F666B0" w:rsidRPr="001517C5" w:rsidRDefault="001517C5" w:rsidP="001517C5">
    <w:pPr>
      <w:rPr>
        <w:rFonts w:cs="Times New Roman"/>
        <w:i/>
        <w:sz w:val="18"/>
      </w:rPr>
    </w:pPr>
    <w:r w:rsidRPr="001517C5">
      <w:rPr>
        <w:rFonts w:cs="Times New Roman"/>
        <w:i/>
        <w:sz w:val="18"/>
      </w:rPr>
      <w:t>OPC61655 -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0" w:rsidRPr="00D90ABA" w:rsidRDefault="00F666B0" w:rsidP="005D541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F666B0" w:rsidTr="005D5418">
      <w:tc>
        <w:tcPr>
          <w:tcW w:w="947" w:type="pct"/>
        </w:tcPr>
        <w:p w:rsidR="00F666B0" w:rsidRDefault="00F666B0" w:rsidP="00860A57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F666B0" w:rsidRDefault="00F666B0" w:rsidP="00860A5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F764D">
            <w:rPr>
              <w:i/>
              <w:sz w:val="18"/>
            </w:rPr>
            <w:t>Commerce (Trade Descriptions)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F666B0" w:rsidRDefault="00F666B0" w:rsidP="00860A5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E635D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666B0" w:rsidRPr="00D90ABA" w:rsidRDefault="001517C5" w:rsidP="001517C5">
    <w:pPr>
      <w:rPr>
        <w:i/>
        <w:sz w:val="18"/>
      </w:rPr>
    </w:pPr>
    <w:r w:rsidRPr="001517C5">
      <w:rPr>
        <w:rFonts w:cs="Times New Roman"/>
        <w:i/>
        <w:sz w:val="18"/>
      </w:rPr>
      <w:t>OPC61655 -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0" w:rsidRPr="002B0EA5" w:rsidRDefault="00F666B0" w:rsidP="005D541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F666B0" w:rsidTr="005D5418">
      <w:tc>
        <w:tcPr>
          <w:tcW w:w="947" w:type="pct"/>
        </w:tcPr>
        <w:p w:rsidR="00F666B0" w:rsidRDefault="00F666B0" w:rsidP="00860A57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F666B0" w:rsidRDefault="00F666B0" w:rsidP="00860A5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F764D">
            <w:rPr>
              <w:i/>
              <w:sz w:val="18"/>
            </w:rPr>
            <w:t>Commerce (Trade Descriptions)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F666B0" w:rsidRDefault="00F666B0" w:rsidP="00860A5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831DB">
            <w:rPr>
              <w:i/>
              <w:noProof/>
              <w:sz w:val="18"/>
            </w:rPr>
            <w:t>15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666B0" w:rsidRPr="00ED79B6" w:rsidRDefault="00F666B0" w:rsidP="005D5418">
    <w:pPr>
      <w:rPr>
        <w:i/>
        <w:sz w:val="18"/>
      </w:rPr>
    </w:pPr>
  </w:p>
  <w:p w:rsidR="00F666B0" w:rsidRPr="005D5418" w:rsidRDefault="00F666B0" w:rsidP="005D5418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0" w:rsidRPr="001517C5" w:rsidRDefault="00F666B0" w:rsidP="005D5418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666B0" w:rsidRPr="001517C5" w:rsidTr="005D5418">
      <w:tc>
        <w:tcPr>
          <w:tcW w:w="365" w:type="pct"/>
        </w:tcPr>
        <w:p w:rsidR="00F666B0" w:rsidRPr="001517C5" w:rsidRDefault="00F666B0" w:rsidP="00860A57">
          <w:pPr>
            <w:spacing w:line="0" w:lineRule="atLeast"/>
            <w:rPr>
              <w:rFonts w:cs="Times New Roman"/>
              <w:i/>
              <w:sz w:val="18"/>
            </w:rPr>
          </w:pPr>
          <w:r w:rsidRPr="001517C5">
            <w:rPr>
              <w:rFonts w:cs="Times New Roman"/>
              <w:i/>
              <w:sz w:val="18"/>
            </w:rPr>
            <w:fldChar w:fldCharType="begin"/>
          </w:r>
          <w:r w:rsidRPr="001517C5">
            <w:rPr>
              <w:rFonts w:cs="Times New Roman"/>
              <w:i/>
              <w:sz w:val="18"/>
            </w:rPr>
            <w:instrText xml:space="preserve"> PAGE </w:instrText>
          </w:r>
          <w:r w:rsidRPr="001517C5">
            <w:rPr>
              <w:rFonts w:cs="Times New Roman"/>
              <w:i/>
              <w:sz w:val="18"/>
            </w:rPr>
            <w:fldChar w:fldCharType="separate"/>
          </w:r>
          <w:r w:rsidR="009831DB">
            <w:rPr>
              <w:rFonts w:cs="Times New Roman"/>
              <w:i/>
              <w:noProof/>
              <w:sz w:val="18"/>
            </w:rPr>
            <w:t>15</w:t>
          </w:r>
          <w:r w:rsidRPr="001517C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F666B0" w:rsidRPr="001517C5" w:rsidRDefault="00F666B0" w:rsidP="00860A57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1517C5">
            <w:rPr>
              <w:rFonts w:cs="Times New Roman"/>
              <w:i/>
              <w:sz w:val="18"/>
            </w:rPr>
            <w:fldChar w:fldCharType="begin"/>
          </w:r>
          <w:r w:rsidRPr="001517C5">
            <w:rPr>
              <w:rFonts w:cs="Times New Roman"/>
              <w:i/>
              <w:sz w:val="18"/>
            </w:rPr>
            <w:instrText xml:space="preserve"> DOCPROPERTY ShortT </w:instrText>
          </w:r>
          <w:r w:rsidRPr="001517C5">
            <w:rPr>
              <w:rFonts w:cs="Times New Roman"/>
              <w:i/>
              <w:sz w:val="18"/>
            </w:rPr>
            <w:fldChar w:fldCharType="separate"/>
          </w:r>
          <w:r w:rsidR="008F764D">
            <w:rPr>
              <w:rFonts w:cs="Times New Roman"/>
              <w:i/>
              <w:sz w:val="18"/>
            </w:rPr>
            <w:t>Commerce (Trade Descriptions) Regulation 2016</w:t>
          </w:r>
          <w:r w:rsidRPr="001517C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F666B0" w:rsidRPr="001517C5" w:rsidRDefault="00F666B0" w:rsidP="00860A57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F666B0" w:rsidRPr="001517C5" w:rsidRDefault="001517C5" w:rsidP="001517C5">
    <w:pPr>
      <w:rPr>
        <w:rFonts w:cs="Times New Roman"/>
        <w:i/>
        <w:sz w:val="18"/>
      </w:rPr>
    </w:pPr>
    <w:r w:rsidRPr="001517C5">
      <w:rPr>
        <w:rFonts w:cs="Times New Roman"/>
        <w:i/>
        <w:sz w:val="18"/>
      </w:rPr>
      <w:t>OPC61655 -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B0" w:rsidRDefault="00F666B0" w:rsidP="00715914">
      <w:pPr>
        <w:spacing w:line="240" w:lineRule="auto"/>
      </w:pPr>
      <w:r>
        <w:separator/>
      </w:r>
    </w:p>
  </w:footnote>
  <w:footnote w:type="continuationSeparator" w:id="0">
    <w:p w:rsidR="00F666B0" w:rsidRDefault="00F666B0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0" w:rsidRPr="005F1388" w:rsidRDefault="00F666B0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0" w:rsidRDefault="00F666B0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4711F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4711F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F666B0" w:rsidRDefault="00F666B0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F666B0" w:rsidRDefault="00F666B0" w:rsidP="005D5418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0" w:rsidRDefault="00F666B0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0" w:rsidRDefault="00F666B0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F666B0" w:rsidRDefault="00F666B0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8F764D">
      <w:rPr>
        <w:b/>
        <w:noProof/>
        <w:sz w:val="20"/>
      </w:rPr>
      <w:t>Part 4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8F764D">
      <w:rPr>
        <w:noProof/>
        <w:sz w:val="20"/>
      </w:rPr>
      <w:t>Transitional matters</w:t>
    </w:r>
    <w:r>
      <w:rPr>
        <w:sz w:val="20"/>
      </w:rPr>
      <w:fldChar w:fldCharType="end"/>
    </w:r>
  </w:p>
  <w:p w:rsidR="00F666B0" w:rsidRPr="007A1328" w:rsidRDefault="00F666B0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F666B0" w:rsidRPr="007A1328" w:rsidRDefault="00F666B0" w:rsidP="00715914">
    <w:pPr>
      <w:rPr>
        <w:b/>
        <w:sz w:val="24"/>
      </w:rPr>
    </w:pPr>
  </w:p>
  <w:p w:rsidR="00F666B0" w:rsidRPr="007A1328" w:rsidRDefault="00F666B0" w:rsidP="005D541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F764D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F764D">
      <w:rPr>
        <w:noProof/>
        <w:sz w:val="24"/>
      </w:rPr>
      <w:t>24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0" w:rsidRPr="007A1328" w:rsidRDefault="00F666B0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F666B0" w:rsidRPr="007A1328" w:rsidRDefault="00F666B0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8F764D">
      <w:rPr>
        <w:noProof/>
        <w:sz w:val="20"/>
      </w:rPr>
      <w:t>Transitional matters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8F764D">
      <w:rPr>
        <w:b/>
        <w:noProof/>
        <w:sz w:val="20"/>
      </w:rPr>
      <w:t>Part 4</w:t>
    </w:r>
    <w:r>
      <w:rPr>
        <w:b/>
        <w:sz w:val="20"/>
      </w:rPr>
      <w:fldChar w:fldCharType="end"/>
    </w:r>
  </w:p>
  <w:p w:rsidR="00F666B0" w:rsidRPr="007A1328" w:rsidRDefault="00F666B0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F666B0" w:rsidRPr="007A1328" w:rsidRDefault="00F666B0" w:rsidP="00715914">
    <w:pPr>
      <w:jc w:val="right"/>
      <w:rPr>
        <w:b/>
        <w:sz w:val="24"/>
      </w:rPr>
    </w:pPr>
  </w:p>
  <w:p w:rsidR="00F666B0" w:rsidRPr="007A1328" w:rsidRDefault="00F666B0" w:rsidP="005D5418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F764D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F764D">
      <w:rPr>
        <w:noProof/>
        <w:sz w:val="24"/>
      </w:rPr>
      <w:t>24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0" w:rsidRPr="007A1328" w:rsidRDefault="00F666B0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0" w:rsidRPr="005F1388" w:rsidRDefault="00F666B0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0" w:rsidRPr="005F1388" w:rsidRDefault="00F666B0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0" w:rsidRPr="00ED79B6" w:rsidRDefault="00F666B0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0" w:rsidRPr="00ED79B6" w:rsidRDefault="00F666B0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0" w:rsidRPr="00ED79B6" w:rsidRDefault="00F666B0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0" w:rsidRDefault="00F666B0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F666B0" w:rsidRDefault="00F666B0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E4711F">
      <w:rPr>
        <w:b/>
        <w:sz w:val="20"/>
      </w:rPr>
      <w:fldChar w:fldCharType="separate"/>
    </w:r>
    <w:r w:rsidR="00E4711F">
      <w:rPr>
        <w:b/>
        <w:noProof/>
        <w:sz w:val="20"/>
      </w:rPr>
      <w:t>Part 4</w: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E4711F">
      <w:rPr>
        <w:sz w:val="20"/>
      </w:rPr>
      <w:fldChar w:fldCharType="separate"/>
    </w:r>
    <w:r w:rsidR="00E4711F">
      <w:rPr>
        <w:noProof/>
        <w:sz w:val="20"/>
      </w:rPr>
      <w:t>Transitional matters</w:t>
    </w:r>
    <w:r>
      <w:rPr>
        <w:sz w:val="20"/>
      </w:rPr>
      <w:fldChar w:fldCharType="end"/>
    </w:r>
  </w:p>
  <w:p w:rsidR="00F666B0" w:rsidRDefault="00F666B0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F666B0" w:rsidRDefault="00F666B0">
    <w:pPr>
      <w:rPr>
        <w:b/>
        <w:sz w:val="24"/>
      </w:rPr>
    </w:pPr>
  </w:p>
  <w:p w:rsidR="00F666B0" w:rsidRDefault="00F666B0" w:rsidP="005D541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E4711F">
      <w:rPr>
        <w:noProof/>
        <w:sz w:val="24"/>
      </w:rPr>
      <w:t>24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0" w:rsidRDefault="00F666B0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F666B0" w:rsidRDefault="00F666B0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E4711F">
      <w:rPr>
        <w:sz w:val="20"/>
      </w:rPr>
      <w:fldChar w:fldCharType="separate"/>
    </w:r>
    <w:r w:rsidR="008E635D">
      <w:rPr>
        <w:noProof/>
        <w:sz w:val="20"/>
      </w:rPr>
      <w:t>Preliminary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E4711F">
      <w:rPr>
        <w:b/>
        <w:sz w:val="20"/>
      </w:rPr>
      <w:fldChar w:fldCharType="separate"/>
    </w:r>
    <w:r w:rsidR="008E635D">
      <w:rPr>
        <w:b/>
        <w:noProof/>
        <w:sz w:val="20"/>
      </w:rPr>
      <w:t>Part 1</w:t>
    </w:r>
    <w:r>
      <w:rPr>
        <w:b/>
        <w:sz w:val="20"/>
      </w:rPr>
      <w:fldChar w:fldCharType="end"/>
    </w:r>
  </w:p>
  <w:p w:rsidR="00F666B0" w:rsidRDefault="00F666B0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F666B0" w:rsidRDefault="00F666B0">
    <w:pPr>
      <w:jc w:val="right"/>
      <w:rPr>
        <w:b/>
        <w:sz w:val="24"/>
      </w:rPr>
    </w:pPr>
  </w:p>
  <w:p w:rsidR="00F666B0" w:rsidRDefault="00F666B0" w:rsidP="005D5418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8E635D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0" w:rsidRDefault="00F666B0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F764D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F764D">
      <w:rPr>
        <w:noProof/>
        <w:sz w:val="20"/>
      </w:rPr>
      <w:t>Repeals</w:t>
    </w:r>
    <w:r>
      <w:rPr>
        <w:sz w:val="20"/>
      </w:rPr>
      <w:fldChar w:fldCharType="end"/>
    </w:r>
  </w:p>
  <w:p w:rsidR="00F666B0" w:rsidRDefault="00F666B0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F666B0" w:rsidRDefault="00F666B0" w:rsidP="005D5418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2B"/>
    <w:rsid w:val="0000119D"/>
    <w:rsid w:val="000019A2"/>
    <w:rsid w:val="00002093"/>
    <w:rsid w:val="00003F48"/>
    <w:rsid w:val="0000556A"/>
    <w:rsid w:val="000136AF"/>
    <w:rsid w:val="0001443F"/>
    <w:rsid w:val="0001477E"/>
    <w:rsid w:val="00022A14"/>
    <w:rsid w:val="00030CA8"/>
    <w:rsid w:val="00030E2B"/>
    <w:rsid w:val="00034097"/>
    <w:rsid w:val="00034BC9"/>
    <w:rsid w:val="00034E28"/>
    <w:rsid w:val="00036F06"/>
    <w:rsid w:val="00037230"/>
    <w:rsid w:val="000429FC"/>
    <w:rsid w:val="0005348C"/>
    <w:rsid w:val="00057C37"/>
    <w:rsid w:val="00061256"/>
    <w:rsid w:val="000614BF"/>
    <w:rsid w:val="00071330"/>
    <w:rsid w:val="0007153E"/>
    <w:rsid w:val="00073A7F"/>
    <w:rsid w:val="00073BBB"/>
    <w:rsid w:val="00074B46"/>
    <w:rsid w:val="00081376"/>
    <w:rsid w:val="000815D5"/>
    <w:rsid w:val="00081FC2"/>
    <w:rsid w:val="0009129D"/>
    <w:rsid w:val="00097C35"/>
    <w:rsid w:val="000A1AF6"/>
    <w:rsid w:val="000A2133"/>
    <w:rsid w:val="000A6C6A"/>
    <w:rsid w:val="000B05E6"/>
    <w:rsid w:val="000B1C74"/>
    <w:rsid w:val="000B3B31"/>
    <w:rsid w:val="000D05EF"/>
    <w:rsid w:val="000D242B"/>
    <w:rsid w:val="000D27DA"/>
    <w:rsid w:val="000D4F89"/>
    <w:rsid w:val="000E1E6B"/>
    <w:rsid w:val="000E2261"/>
    <w:rsid w:val="000E4706"/>
    <w:rsid w:val="000E4DF3"/>
    <w:rsid w:val="000E7754"/>
    <w:rsid w:val="000F1717"/>
    <w:rsid w:val="000F21C1"/>
    <w:rsid w:val="000F5E54"/>
    <w:rsid w:val="0010095C"/>
    <w:rsid w:val="00100ED1"/>
    <w:rsid w:val="00101DBC"/>
    <w:rsid w:val="00105E4B"/>
    <w:rsid w:val="00106121"/>
    <w:rsid w:val="0010745C"/>
    <w:rsid w:val="00112C34"/>
    <w:rsid w:val="00113683"/>
    <w:rsid w:val="00116547"/>
    <w:rsid w:val="00116BFD"/>
    <w:rsid w:val="001209CE"/>
    <w:rsid w:val="00121963"/>
    <w:rsid w:val="00121EB8"/>
    <w:rsid w:val="00122D13"/>
    <w:rsid w:val="001231C6"/>
    <w:rsid w:val="001311FD"/>
    <w:rsid w:val="00133FD2"/>
    <w:rsid w:val="0013435C"/>
    <w:rsid w:val="001363FB"/>
    <w:rsid w:val="001373D2"/>
    <w:rsid w:val="0014345C"/>
    <w:rsid w:val="0014542C"/>
    <w:rsid w:val="001473CF"/>
    <w:rsid w:val="001475B8"/>
    <w:rsid w:val="001517C5"/>
    <w:rsid w:val="001530E7"/>
    <w:rsid w:val="001554E3"/>
    <w:rsid w:val="00155793"/>
    <w:rsid w:val="0016125C"/>
    <w:rsid w:val="00161712"/>
    <w:rsid w:val="0016590A"/>
    <w:rsid w:val="00166C2F"/>
    <w:rsid w:val="00170ABA"/>
    <w:rsid w:val="00170F3E"/>
    <w:rsid w:val="00175A95"/>
    <w:rsid w:val="00176101"/>
    <w:rsid w:val="00177E56"/>
    <w:rsid w:val="00180BB3"/>
    <w:rsid w:val="00180EFA"/>
    <w:rsid w:val="00190377"/>
    <w:rsid w:val="00191AA8"/>
    <w:rsid w:val="00192D25"/>
    <w:rsid w:val="001939E1"/>
    <w:rsid w:val="00195382"/>
    <w:rsid w:val="001A7530"/>
    <w:rsid w:val="001B2FE5"/>
    <w:rsid w:val="001B30BD"/>
    <w:rsid w:val="001B39BC"/>
    <w:rsid w:val="001B3A7E"/>
    <w:rsid w:val="001B485C"/>
    <w:rsid w:val="001B693A"/>
    <w:rsid w:val="001B78C8"/>
    <w:rsid w:val="001C5F34"/>
    <w:rsid w:val="001C69C4"/>
    <w:rsid w:val="001C6B50"/>
    <w:rsid w:val="001D222E"/>
    <w:rsid w:val="001D37EF"/>
    <w:rsid w:val="001D7DA4"/>
    <w:rsid w:val="001E3590"/>
    <w:rsid w:val="001E3E0B"/>
    <w:rsid w:val="001E573D"/>
    <w:rsid w:val="001E7407"/>
    <w:rsid w:val="001F046C"/>
    <w:rsid w:val="001F0697"/>
    <w:rsid w:val="001F53F1"/>
    <w:rsid w:val="001F5D5E"/>
    <w:rsid w:val="001F6219"/>
    <w:rsid w:val="001F6F1D"/>
    <w:rsid w:val="0020002E"/>
    <w:rsid w:val="00201BC1"/>
    <w:rsid w:val="002060D4"/>
    <w:rsid w:val="00206D85"/>
    <w:rsid w:val="00207D47"/>
    <w:rsid w:val="002109FD"/>
    <w:rsid w:val="00210D40"/>
    <w:rsid w:val="00214D06"/>
    <w:rsid w:val="002153C1"/>
    <w:rsid w:val="00216F23"/>
    <w:rsid w:val="00220AE3"/>
    <w:rsid w:val="002225B3"/>
    <w:rsid w:val="00224017"/>
    <w:rsid w:val="0023028C"/>
    <w:rsid w:val="002348CF"/>
    <w:rsid w:val="0024010F"/>
    <w:rsid w:val="00240749"/>
    <w:rsid w:val="00241328"/>
    <w:rsid w:val="00241E2B"/>
    <w:rsid w:val="002435B3"/>
    <w:rsid w:val="00250417"/>
    <w:rsid w:val="002521A7"/>
    <w:rsid w:val="00253C35"/>
    <w:rsid w:val="002564A4"/>
    <w:rsid w:val="00260017"/>
    <w:rsid w:val="00261029"/>
    <w:rsid w:val="002624EB"/>
    <w:rsid w:val="0026691A"/>
    <w:rsid w:val="00270BDA"/>
    <w:rsid w:val="00270D03"/>
    <w:rsid w:val="0027307D"/>
    <w:rsid w:val="00273917"/>
    <w:rsid w:val="0027443C"/>
    <w:rsid w:val="002805E4"/>
    <w:rsid w:val="00280CC4"/>
    <w:rsid w:val="00285644"/>
    <w:rsid w:val="00287C6D"/>
    <w:rsid w:val="0029198D"/>
    <w:rsid w:val="00291DE4"/>
    <w:rsid w:val="00297ECB"/>
    <w:rsid w:val="002A3144"/>
    <w:rsid w:val="002A33FD"/>
    <w:rsid w:val="002A3CED"/>
    <w:rsid w:val="002B0EA5"/>
    <w:rsid w:val="002B7B38"/>
    <w:rsid w:val="002C03C7"/>
    <w:rsid w:val="002C0D98"/>
    <w:rsid w:val="002C248C"/>
    <w:rsid w:val="002C2CE9"/>
    <w:rsid w:val="002D01B1"/>
    <w:rsid w:val="002D040C"/>
    <w:rsid w:val="002D043A"/>
    <w:rsid w:val="002D6224"/>
    <w:rsid w:val="002D7037"/>
    <w:rsid w:val="002D7E67"/>
    <w:rsid w:val="002D7EDD"/>
    <w:rsid w:val="002E5B9B"/>
    <w:rsid w:val="002E6C76"/>
    <w:rsid w:val="002F007D"/>
    <w:rsid w:val="002F1243"/>
    <w:rsid w:val="002F3766"/>
    <w:rsid w:val="002F3805"/>
    <w:rsid w:val="002F7C4F"/>
    <w:rsid w:val="003074B7"/>
    <w:rsid w:val="00313E34"/>
    <w:rsid w:val="0031646F"/>
    <w:rsid w:val="00320743"/>
    <w:rsid w:val="003229CD"/>
    <w:rsid w:val="003244C3"/>
    <w:rsid w:val="003278F2"/>
    <w:rsid w:val="00330A1C"/>
    <w:rsid w:val="00333B20"/>
    <w:rsid w:val="003377FC"/>
    <w:rsid w:val="0034043F"/>
    <w:rsid w:val="003413D8"/>
    <w:rsid w:val="003415D3"/>
    <w:rsid w:val="00347700"/>
    <w:rsid w:val="003506DF"/>
    <w:rsid w:val="00352B0F"/>
    <w:rsid w:val="00360459"/>
    <w:rsid w:val="00363BEF"/>
    <w:rsid w:val="0036535A"/>
    <w:rsid w:val="00367ECD"/>
    <w:rsid w:val="00372B49"/>
    <w:rsid w:val="00372C84"/>
    <w:rsid w:val="00372FAD"/>
    <w:rsid w:val="0037469E"/>
    <w:rsid w:val="003749D0"/>
    <w:rsid w:val="00377232"/>
    <w:rsid w:val="003775E4"/>
    <w:rsid w:val="00380BA6"/>
    <w:rsid w:val="00381642"/>
    <w:rsid w:val="0038268D"/>
    <w:rsid w:val="00384AD3"/>
    <w:rsid w:val="00394F30"/>
    <w:rsid w:val="003A0BF9"/>
    <w:rsid w:val="003A5BFC"/>
    <w:rsid w:val="003A727D"/>
    <w:rsid w:val="003B57F5"/>
    <w:rsid w:val="003B5982"/>
    <w:rsid w:val="003B6FD0"/>
    <w:rsid w:val="003C1764"/>
    <w:rsid w:val="003C2335"/>
    <w:rsid w:val="003C3EBF"/>
    <w:rsid w:val="003C3F9D"/>
    <w:rsid w:val="003C6A9F"/>
    <w:rsid w:val="003D0BFE"/>
    <w:rsid w:val="003D1D12"/>
    <w:rsid w:val="003D5700"/>
    <w:rsid w:val="003E1C90"/>
    <w:rsid w:val="003E2628"/>
    <w:rsid w:val="003F238F"/>
    <w:rsid w:val="00403A11"/>
    <w:rsid w:val="00406C56"/>
    <w:rsid w:val="00406ED3"/>
    <w:rsid w:val="004116CD"/>
    <w:rsid w:val="004118F0"/>
    <w:rsid w:val="00417EB9"/>
    <w:rsid w:val="00422464"/>
    <w:rsid w:val="00424CA9"/>
    <w:rsid w:val="00424FFC"/>
    <w:rsid w:val="004278E5"/>
    <w:rsid w:val="004309B5"/>
    <w:rsid w:val="00431586"/>
    <w:rsid w:val="00432F99"/>
    <w:rsid w:val="00434990"/>
    <w:rsid w:val="004361EA"/>
    <w:rsid w:val="0044287E"/>
    <w:rsid w:val="0044291A"/>
    <w:rsid w:val="00444DB4"/>
    <w:rsid w:val="0045153E"/>
    <w:rsid w:val="00453BB1"/>
    <w:rsid w:val="0045612A"/>
    <w:rsid w:val="00485837"/>
    <w:rsid w:val="00487CB8"/>
    <w:rsid w:val="00490092"/>
    <w:rsid w:val="00491263"/>
    <w:rsid w:val="004912A6"/>
    <w:rsid w:val="004933E2"/>
    <w:rsid w:val="0049536B"/>
    <w:rsid w:val="00496F97"/>
    <w:rsid w:val="004A77E7"/>
    <w:rsid w:val="004B3875"/>
    <w:rsid w:val="004B5BEE"/>
    <w:rsid w:val="004B7144"/>
    <w:rsid w:val="004C438D"/>
    <w:rsid w:val="004D246F"/>
    <w:rsid w:val="004E065E"/>
    <w:rsid w:val="004E3FAB"/>
    <w:rsid w:val="004E7BEC"/>
    <w:rsid w:val="004F0625"/>
    <w:rsid w:val="004F07A0"/>
    <w:rsid w:val="004F1647"/>
    <w:rsid w:val="004F1BEF"/>
    <w:rsid w:val="004F4B72"/>
    <w:rsid w:val="004F69B5"/>
    <w:rsid w:val="00500F85"/>
    <w:rsid w:val="00504DD3"/>
    <w:rsid w:val="0050600B"/>
    <w:rsid w:val="00506C1B"/>
    <w:rsid w:val="00507C30"/>
    <w:rsid w:val="00513A40"/>
    <w:rsid w:val="00516068"/>
    <w:rsid w:val="00516B8D"/>
    <w:rsid w:val="00520B5D"/>
    <w:rsid w:val="0052101B"/>
    <w:rsid w:val="00521A7F"/>
    <w:rsid w:val="00521C02"/>
    <w:rsid w:val="00522C0D"/>
    <w:rsid w:val="005253D0"/>
    <w:rsid w:val="005321D3"/>
    <w:rsid w:val="005352B6"/>
    <w:rsid w:val="00535B5F"/>
    <w:rsid w:val="005371F2"/>
    <w:rsid w:val="00537FBC"/>
    <w:rsid w:val="00543F5F"/>
    <w:rsid w:val="00544A49"/>
    <w:rsid w:val="00554544"/>
    <w:rsid w:val="00555771"/>
    <w:rsid w:val="00556A45"/>
    <w:rsid w:val="0056187F"/>
    <w:rsid w:val="00584811"/>
    <w:rsid w:val="005911DF"/>
    <w:rsid w:val="00593AA6"/>
    <w:rsid w:val="00594161"/>
    <w:rsid w:val="005941BA"/>
    <w:rsid w:val="00594749"/>
    <w:rsid w:val="005968E3"/>
    <w:rsid w:val="0059723F"/>
    <w:rsid w:val="005A1D9B"/>
    <w:rsid w:val="005A3F82"/>
    <w:rsid w:val="005A6A02"/>
    <w:rsid w:val="005A7899"/>
    <w:rsid w:val="005B0152"/>
    <w:rsid w:val="005B357A"/>
    <w:rsid w:val="005B4067"/>
    <w:rsid w:val="005C02B3"/>
    <w:rsid w:val="005C1DBA"/>
    <w:rsid w:val="005C24F3"/>
    <w:rsid w:val="005C3F41"/>
    <w:rsid w:val="005C3F89"/>
    <w:rsid w:val="005C561E"/>
    <w:rsid w:val="005C6BEC"/>
    <w:rsid w:val="005C7E01"/>
    <w:rsid w:val="005D06B2"/>
    <w:rsid w:val="005D1AFC"/>
    <w:rsid w:val="005D2D09"/>
    <w:rsid w:val="005D2D83"/>
    <w:rsid w:val="005D5418"/>
    <w:rsid w:val="005E0FFE"/>
    <w:rsid w:val="005E31E0"/>
    <w:rsid w:val="005E51D9"/>
    <w:rsid w:val="005E535A"/>
    <w:rsid w:val="005E6593"/>
    <w:rsid w:val="005E66FD"/>
    <w:rsid w:val="005F61C2"/>
    <w:rsid w:val="005F6B71"/>
    <w:rsid w:val="00600219"/>
    <w:rsid w:val="00600A4C"/>
    <w:rsid w:val="00600EA6"/>
    <w:rsid w:val="00601690"/>
    <w:rsid w:val="00605450"/>
    <w:rsid w:val="00605A5A"/>
    <w:rsid w:val="006065C4"/>
    <w:rsid w:val="0060678C"/>
    <w:rsid w:val="006103C9"/>
    <w:rsid w:val="0062639B"/>
    <w:rsid w:val="00627BF9"/>
    <w:rsid w:val="00627C1B"/>
    <w:rsid w:val="00634C80"/>
    <w:rsid w:val="00636224"/>
    <w:rsid w:val="006442D3"/>
    <w:rsid w:val="006475DA"/>
    <w:rsid w:val="00652B65"/>
    <w:rsid w:val="00655864"/>
    <w:rsid w:val="006561C5"/>
    <w:rsid w:val="006573E4"/>
    <w:rsid w:val="00666FA7"/>
    <w:rsid w:val="006679B5"/>
    <w:rsid w:val="006717E6"/>
    <w:rsid w:val="006742EF"/>
    <w:rsid w:val="00677CC2"/>
    <w:rsid w:val="006816E5"/>
    <w:rsid w:val="006820FD"/>
    <w:rsid w:val="00687200"/>
    <w:rsid w:val="006905DE"/>
    <w:rsid w:val="0069119E"/>
    <w:rsid w:val="0069207B"/>
    <w:rsid w:val="00697D74"/>
    <w:rsid w:val="006A0B6C"/>
    <w:rsid w:val="006A0BC4"/>
    <w:rsid w:val="006A4B07"/>
    <w:rsid w:val="006A68D5"/>
    <w:rsid w:val="006B1582"/>
    <w:rsid w:val="006B3CF8"/>
    <w:rsid w:val="006B74BB"/>
    <w:rsid w:val="006C0F9C"/>
    <w:rsid w:val="006C6FFF"/>
    <w:rsid w:val="006C7A55"/>
    <w:rsid w:val="006C7F8C"/>
    <w:rsid w:val="006D02BD"/>
    <w:rsid w:val="006D342A"/>
    <w:rsid w:val="006D5022"/>
    <w:rsid w:val="006E082F"/>
    <w:rsid w:val="006E5800"/>
    <w:rsid w:val="006E59E2"/>
    <w:rsid w:val="006E715C"/>
    <w:rsid w:val="006E71B7"/>
    <w:rsid w:val="006F318F"/>
    <w:rsid w:val="006F47C1"/>
    <w:rsid w:val="00700B2C"/>
    <w:rsid w:val="00707174"/>
    <w:rsid w:val="0071014D"/>
    <w:rsid w:val="00711BA8"/>
    <w:rsid w:val="00713084"/>
    <w:rsid w:val="00713799"/>
    <w:rsid w:val="0071442A"/>
    <w:rsid w:val="00715914"/>
    <w:rsid w:val="007177B1"/>
    <w:rsid w:val="00721631"/>
    <w:rsid w:val="00723802"/>
    <w:rsid w:val="00723EB1"/>
    <w:rsid w:val="007270D3"/>
    <w:rsid w:val="00727788"/>
    <w:rsid w:val="00731670"/>
    <w:rsid w:val="00731E00"/>
    <w:rsid w:val="007335E0"/>
    <w:rsid w:val="00735504"/>
    <w:rsid w:val="00737CF5"/>
    <w:rsid w:val="007440B7"/>
    <w:rsid w:val="00745B4C"/>
    <w:rsid w:val="00745F33"/>
    <w:rsid w:val="007472C1"/>
    <w:rsid w:val="0075089C"/>
    <w:rsid w:val="0075357B"/>
    <w:rsid w:val="007553B3"/>
    <w:rsid w:val="0076129B"/>
    <w:rsid w:val="00761D5D"/>
    <w:rsid w:val="00764506"/>
    <w:rsid w:val="00765575"/>
    <w:rsid w:val="00765829"/>
    <w:rsid w:val="0077099E"/>
    <w:rsid w:val="007715C9"/>
    <w:rsid w:val="0077303C"/>
    <w:rsid w:val="00774EDD"/>
    <w:rsid w:val="007757EC"/>
    <w:rsid w:val="00776F76"/>
    <w:rsid w:val="0078009A"/>
    <w:rsid w:val="00792951"/>
    <w:rsid w:val="00792FCD"/>
    <w:rsid w:val="007A24B9"/>
    <w:rsid w:val="007A36DF"/>
    <w:rsid w:val="007A4F8C"/>
    <w:rsid w:val="007A6816"/>
    <w:rsid w:val="007B323F"/>
    <w:rsid w:val="007C0631"/>
    <w:rsid w:val="007C20E3"/>
    <w:rsid w:val="007C577A"/>
    <w:rsid w:val="007C61A7"/>
    <w:rsid w:val="007D519E"/>
    <w:rsid w:val="007D6C3C"/>
    <w:rsid w:val="007D725B"/>
    <w:rsid w:val="007E0876"/>
    <w:rsid w:val="007E163D"/>
    <w:rsid w:val="007E23EE"/>
    <w:rsid w:val="007E478E"/>
    <w:rsid w:val="007E4ECF"/>
    <w:rsid w:val="007F2199"/>
    <w:rsid w:val="007F5B0B"/>
    <w:rsid w:val="007F76C8"/>
    <w:rsid w:val="007F7A04"/>
    <w:rsid w:val="0081063B"/>
    <w:rsid w:val="0081082C"/>
    <w:rsid w:val="00811AA6"/>
    <w:rsid w:val="008143CD"/>
    <w:rsid w:val="008147FF"/>
    <w:rsid w:val="00816DDA"/>
    <w:rsid w:val="00820265"/>
    <w:rsid w:val="008222DA"/>
    <w:rsid w:val="0082548D"/>
    <w:rsid w:val="00827817"/>
    <w:rsid w:val="00827A7A"/>
    <w:rsid w:val="00833C1A"/>
    <w:rsid w:val="00835C03"/>
    <w:rsid w:val="00841403"/>
    <w:rsid w:val="008442BC"/>
    <w:rsid w:val="00851BB5"/>
    <w:rsid w:val="00851EE1"/>
    <w:rsid w:val="0085365A"/>
    <w:rsid w:val="00856A31"/>
    <w:rsid w:val="008570AA"/>
    <w:rsid w:val="00857207"/>
    <w:rsid w:val="008604D9"/>
    <w:rsid w:val="00860A57"/>
    <w:rsid w:val="008709C7"/>
    <w:rsid w:val="00870B8B"/>
    <w:rsid w:val="00871861"/>
    <w:rsid w:val="008754D0"/>
    <w:rsid w:val="00877E19"/>
    <w:rsid w:val="00880C34"/>
    <w:rsid w:val="00884FDE"/>
    <w:rsid w:val="008861ED"/>
    <w:rsid w:val="00886894"/>
    <w:rsid w:val="008908AE"/>
    <w:rsid w:val="00894E1C"/>
    <w:rsid w:val="008A34E8"/>
    <w:rsid w:val="008A35BF"/>
    <w:rsid w:val="008A73F5"/>
    <w:rsid w:val="008B45EE"/>
    <w:rsid w:val="008B5F65"/>
    <w:rsid w:val="008B7205"/>
    <w:rsid w:val="008C0692"/>
    <w:rsid w:val="008C2550"/>
    <w:rsid w:val="008C6504"/>
    <w:rsid w:val="008D0EE0"/>
    <w:rsid w:val="008D1E91"/>
    <w:rsid w:val="008D1ED1"/>
    <w:rsid w:val="008D3561"/>
    <w:rsid w:val="008D4533"/>
    <w:rsid w:val="008E1EE8"/>
    <w:rsid w:val="008E42A5"/>
    <w:rsid w:val="008E635D"/>
    <w:rsid w:val="008E6E0F"/>
    <w:rsid w:val="008F2E95"/>
    <w:rsid w:val="008F4714"/>
    <w:rsid w:val="008F5396"/>
    <w:rsid w:val="008F54E7"/>
    <w:rsid w:val="008F5AAF"/>
    <w:rsid w:val="008F6E1F"/>
    <w:rsid w:val="008F6F92"/>
    <w:rsid w:val="008F764D"/>
    <w:rsid w:val="00903346"/>
    <w:rsid w:val="00903422"/>
    <w:rsid w:val="00912306"/>
    <w:rsid w:val="009148B2"/>
    <w:rsid w:val="00914E68"/>
    <w:rsid w:val="0092115C"/>
    <w:rsid w:val="00930618"/>
    <w:rsid w:val="00931C61"/>
    <w:rsid w:val="00932377"/>
    <w:rsid w:val="009334DF"/>
    <w:rsid w:val="00934ACB"/>
    <w:rsid w:val="00936316"/>
    <w:rsid w:val="00936A68"/>
    <w:rsid w:val="00936E67"/>
    <w:rsid w:val="009446B6"/>
    <w:rsid w:val="00947D5A"/>
    <w:rsid w:val="00950188"/>
    <w:rsid w:val="00950467"/>
    <w:rsid w:val="009532A5"/>
    <w:rsid w:val="009532AF"/>
    <w:rsid w:val="00961F41"/>
    <w:rsid w:val="00967AB4"/>
    <w:rsid w:val="00967C37"/>
    <w:rsid w:val="009716DA"/>
    <w:rsid w:val="00974770"/>
    <w:rsid w:val="009777B8"/>
    <w:rsid w:val="00980BB5"/>
    <w:rsid w:val="00980C83"/>
    <w:rsid w:val="009831DB"/>
    <w:rsid w:val="009868E9"/>
    <w:rsid w:val="00986A71"/>
    <w:rsid w:val="00993115"/>
    <w:rsid w:val="00995F42"/>
    <w:rsid w:val="00997EC4"/>
    <w:rsid w:val="009A05D1"/>
    <w:rsid w:val="009A3CEF"/>
    <w:rsid w:val="009B3043"/>
    <w:rsid w:val="009B4090"/>
    <w:rsid w:val="009B5228"/>
    <w:rsid w:val="009C00C4"/>
    <w:rsid w:val="009C36EC"/>
    <w:rsid w:val="009C5CE5"/>
    <w:rsid w:val="009C678B"/>
    <w:rsid w:val="009D2928"/>
    <w:rsid w:val="009D2BEF"/>
    <w:rsid w:val="009D456F"/>
    <w:rsid w:val="009E050B"/>
    <w:rsid w:val="009E1A4C"/>
    <w:rsid w:val="009E2334"/>
    <w:rsid w:val="009E38F9"/>
    <w:rsid w:val="009E3B60"/>
    <w:rsid w:val="009E7895"/>
    <w:rsid w:val="009F137C"/>
    <w:rsid w:val="009F5CA5"/>
    <w:rsid w:val="009F5CC6"/>
    <w:rsid w:val="009F5E24"/>
    <w:rsid w:val="009F5E71"/>
    <w:rsid w:val="00A00146"/>
    <w:rsid w:val="00A064AC"/>
    <w:rsid w:val="00A06ED3"/>
    <w:rsid w:val="00A0784B"/>
    <w:rsid w:val="00A1304B"/>
    <w:rsid w:val="00A1355A"/>
    <w:rsid w:val="00A15726"/>
    <w:rsid w:val="00A16601"/>
    <w:rsid w:val="00A16E55"/>
    <w:rsid w:val="00A17133"/>
    <w:rsid w:val="00A22C98"/>
    <w:rsid w:val="00A231E2"/>
    <w:rsid w:val="00A271EF"/>
    <w:rsid w:val="00A43AF3"/>
    <w:rsid w:val="00A549BB"/>
    <w:rsid w:val="00A559F5"/>
    <w:rsid w:val="00A56C29"/>
    <w:rsid w:val="00A63F8E"/>
    <w:rsid w:val="00A64912"/>
    <w:rsid w:val="00A65502"/>
    <w:rsid w:val="00A70A74"/>
    <w:rsid w:val="00A752AD"/>
    <w:rsid w:val="00A76737"/>
    <w:rsid w:val="00A76EC4"/>
    <w:rsid w:val="00A802BC"/>
    <w:rsid w:val="00A861EE"/>
    <w:rsid w:val="00A872DC"/>
    <w:rsid w:val="00A90D04"/>
    <w:rsid w:val="00A91E42"/>
    <w:rsid w:val="00A925AD"/>
    <w:rsid w:val="00AB7EA4"/>
    <w:rsid w:val="00AC03E1"/>
    <w:rsid w:val="00AC2943"/>
    <w:rsid w:val="00AC4ECB"/>
    <w:rsid w:val="00AC60DD"/>
    <w:rsid w:val="00AC7547"/>
    <w:rsid w:val="00AC7B66"/>
    <w:rsid w:val="00AD5641"/>
    <w:rsid w:val="00AE521E"/>
    <w:rsid w:val="00AF06CF"/>
    <w:rsid w:val="00AF1F6B"/>
    <w:rsid w:val="00AF3423"/>
    <w:rsid w:val="00AF48FE"/>
    <w:rsid w:val="00AF78F4"/>
    <w:rsid w:val="00B029C2"/>
    <w:rsid w:val="00B04C24"/>
    <w:rsid w:val="00B07E59"/>
    <w:rsid w:val="00B136FC"/>
    <w:rsid w:val="00B14BF5"/>
    <w:rsid w:val="00B1535F"/>
    <w:rsid w:val="00B16892"/>
    <w:rsid w:val="00B20503"/>
    <w:rsid w:val="00B21C8E"/>
    <w:rsid w:val="00B21F29"/>
    <w:rsid w:val="00B23729"/>
    <w:rsid w:val="00B23F8F"/>
    <w:rsid w:val="00B3211B"/>
    <w:rsid w:val="00B33B3C"/>
    <w:rsid w:val="00B41448"/>
    <w:rsid w:val="00B423E7"/>
    <w:rsid w:val="00B46132"/>
    <w:rsid w:val="00B50D2B"/>
    <w:rsid w:val="00B524C7"/>
    <w:rsid w:val="00B52575"/>
    <w:rsid w:val="00B54457"/>
    <w:rsid w:val="00B558E4"/>
    <w:rsid w:val="00B57394"/>
    <w:rsid w:val="00B6205C"/>
    <w:rsid w:val="00B63834"/>
    <w:rsid w:val="00B63C63"/>
    <w:rsid w:val="00B64BD3"/>
    <w:rsid w:val="00B67F93"/>
    <w:rsid w:val="00B75258"/>
    <w:rsid w:val="00B76D6A"/>
    <w:rsid w:val="00B80199"/>
    <w:rsid w:val="00B80398"/>
    <w:rsid w:val="00B8092A"/>
    <w:rsid w:val="00B85C1D"/>
    <w:rsid w:val="00B85F4C"/>
    <w:rsid w:val="00B86B52"/>
    <w:rsid w:val="00B8730A"/>
    <w:rsid w:val="00B90E54"/>
    <w:rsid w:val="00B913D1"/>
    <w:rsid w:val="00B92CE9"/>
    <w:rsid w:val="00B95C93"/>
    <w:rsid w:val="00BA220B"/>
    <w:rsid w:val="00BA4F63"/>
    <w:rsid w:val="00BB5241"/>
    <w:rsid w:val="00BC3606"/>
    <w:rsid w:val="00BC69FE"/>
    <w:rsid w:val="00BD00BA"/>
    <w:rsid w:val="00BD2BAC"/>
    <w:rsid w:val="00BD3476"/>
    <w:rsid w:val="00BD3739"/>
    <w:rsid w:val="00BD44E6"/>
    <w:rsid w:val="00BD495E"/>
    <w:rsid w:val="00BD6176"/>
    <w:rsid w:val="00BE06E7"/>
    <w:rsid w:val="00BE3EF6"/>
    <w:rsid w:val="00BE459C"/>
    <w:rsid w:val="00BE4AA3"/>
    <w:rsid w:val="00BE5B0A"/>
    <w:rsid w:val="00BE719A"/>
    <w:rsid w:val="00BE720A"/>
    <w:rsid w:val="00BF08EB"/>
    <w:rsid w:val="00BF394C"/>
    <w:rsid w:val="00BF5F12"/>
    <w:rsid w:val="00BF6D0F"/>
    <w:rsid w:val="00BF75D6"/>
    <w:rsid w:val="00C10B28"/>
    <w:rsid w:val="00C25D71"/>
    <w:rsid w:val="00C30947"/>
    <w:rsid w:val="00C30D84"/>
    <w:rsid w:val="00C30EE0"/>
    <w:rsid w:val="00C31DE7"/>
    <w:rsid w:val="00C3307E"/>
    <w:rsid w:val="00C33FA4"/>
    <w:rsid w:val="00C367A9"/>
    <w:rsid w:val="00C40BE9"/>
    <w:rsid w:val="00C42BF8"/>
    <w:rsid w:val="00C42E0D"/>
    <w:rsid w:val="00C50043"/>
    <w:rsid w:val="00C54AA1"/>
    <w:rsid w:val="00C54F86"/>
    <w:rsid w:val="00C57684"/>
    <w:rsid w:val="00C6081C"/>
    <w:rsid w:val="00C61A94"/>
    <w:rsid w:val="00C70B70"/>
    <w:rsid w:val="00C750C3"/>
    <w:rsid w:val="00C752ED"/>
    <w:rsid w:val="00C7573B"/>
    <w:rsid w:val="00C82EE5"/>
    <w:rsid w:val="00C830FB"/>
    <w:rsid w:val="00C87568"/>
    <w:rsid w:val="00C97687"/>
    <w:rsid w:val="00CA34F2"/>
    <w:rsid w:val="00CA7C19"/>
    <w:rsid w:val="00CB0EC3"/>
    <w:rsid w:val="00CB50CD"/>
    <w:rsid w:val="00CB54F9"/>
    <w:rsid w:val="00CB691E"/>
    <w:rsid w:val="00CC1A98"/>
    <w:rsid w:val="00CC266D"/>
    <w:rsid w:val="00CC6E50"/>
    <w:rsid w:val="00CD61A1"/>
    <w:rsid w:val="00CD6BA3"/>
    <w:rsid w:val="00CE038B"/>
    <w:rsid w:val="00CE493D"/>
    <w:rsid w:val="00CE51C7"/>
    <w:rsid w:val="00CE6309"/>
    <w:rsid w:val="00CE6B8C"/>
    <w:rsid w:val="00CE6D80"/>
    <w:rsid w:val="00CF0BB2"/>
    <w:rsid w:val="00CF2466"/>
    <w:rsid w:val="00CF3EE8"/>
    <w:rsid w:val="00CF68F0"/>
    <w:rsid w:val="00CF773E"/>
    <w:rsid w:val="00D00024"/>
    <w:rsid w:val="00D00D6F"/>
    <w:rsid w:val="00D011E0"/>
    <w:rsid w:val="00D02616"/>
    <w:rsid w:val="00D040EE"/>
    <w:rsid w:val="00D04725"/>
    <w:rsid w:val="00D05207"/>
    <w:rsid w:val="00D06849"/>
    <w:rsid w:val="00D06D3D"/>
    <w:rsid w:val="00D111E2"/>
    <w:rsid w:val="00D117EA"/>
    <w:rsid w:val="00D1286E"/>
    <w:rsid w:val="00D13441"/>
    <w:rsid w:val="00D1445C"/>
    <w:rsid w:val="00D16E36"/>
    <w:rsid w:val="00D2127E"/>
    <w:rsid w:val="00D235FE"/>
    <w:rsid w:val="00D23E72"/>
    <w:rsid w:val="00D23F2B"/>
    <w:rsid w:val="00D32CE3"/>
    <w:rsid w:val="00D332E6"/>
    <w:rsid w:val="00D33E37"/>
    <w:rsid w:val="00D35CA5"/>
    <w:rsid w:val="00D36063"/>
    <w:rsid w:val="00D43C6A"/>
    <w:rsid w:val="00D5206B"/>
    <w:rsid w:val="00D5236A"/>
    <w:rsid w:val="00D559F1"/>
    <w:rsid w:val="00D564DF"/>
    <w:rsid w:val="00D5675E"/>
    <w:rsid w:val="00D62ADB"/>
    <w:rsid w:val="00D62F3D"/>
    <w:rsid w:val="00D675E2"/>
    <w:rsid w:val="00D70DFB"/>
    <w:rsid w:val="00D766DF"/>
    <w:rsid w:val="00D779A9"/>
    <w:rsid w:val="00D80112"/>
    <w:rsid w:val="00D80C42"/>
    <w:rsid w:val="00D81EF1"/>
    <w:rsid w:val="00D862C1"/>
    <w:rsid w:val="00D90E0F"/>
    <w:rsid w:val="00D9238E"/>
    <w:rsid w:val="00D93A50"/>
    <w:rsid w:val="00D96A62"/>
    <w:rsid w:val="00DA002B"/>
    <w:rsid w:val="00DA186E"/>
    <w:rsid w:val="00DA31C3"/>
    <w:rsid w:val="00DA5AA1"/>
    <w:rsid w:val="00DB1E62"/>
    <w:rsid w:val="00DB4B37"/>
    <w:rsid w:val="00DB6179"/>
    <w:rsid w:val="00DC051A"/>
    <w:rsid w:val="00DC4F88"/>
    <w:rsid w:val="00DC5074"/>
    <w:rsid w:val="00DD064C"/>
    <w:rsid w:val="00DD17BA"/>
    <w:rsid w:val="00DD29C8"/>
    <w:rsid w:val="00DD5E3D"/>
    <w:rsid w:val="00DE03F0"/>
    <w:rsid w:val="00DE0DEC"/>
    <w:rsid w:val="00DE6BDD"/>
    <w:rsid w:val="00DF01AD"/>
    <w:rsid w:val="00DF2743"/>
    <w:rsid w:val="00DF3C78"/>
    <w:rsid w:val="00DF5886"/>
    <w:rsid w:val="00DF5954"/>
    <w:rsid w:val="00DF68EA"/>
    <w:rsid w:val="00E008DC"/>
    <w:rsid w:val="00E02F6A"/>
    <w:rsid w:val="00E04C04"/>
    <w:rsid w:val="00E05704"/>
    <w:rsid w:val="00E10719"/>
    <w:rsid w:val="00E10CF7"/>
    <w:rsid w:val="00E132B8"/>
    <w:rsid w:val="00E13C9B"/>
    <w:rsid w:val="00E158D1"/>
    <w:rsid w:val="00E27394"/>
    <w:rsid w:val="00E3248E"/>
    <w:rsid w:val="00E338EF"/>
    <w:rsid w:val="00E35C17"/>
    <w:rsid w:val="00E361C1"/>
    <w:rsid w:val="00E3791E"/>
    <w:rsid w:val="00E44C17"/>
    <w:rsid w:val="00E44C2E"/>
    <w:rsid w:val="00E45E2C"/>
    <w:rsid w:val="00E4711F"/>
    <w:rsid w:val="00E47C09"/>
    <w:rsid w:val="00E511BC"/>
    <w:rsid w:val="00E5437D"/>
    <w:rsid w:val="00E551A1"/>
    <w:rsid w:val="00E567B9"/>
    <w:rsid w:val="00E708D8"/>
    <w:rsid w:val="00E71E89"/>
    <w:rsid w:val="00E74DC7"/>
    <w:rsid w:val="00E75FF5"/>
    <w:rsid w:val="00E81357"/>
    <w:rsid w:val="00E81A22"/>
    <w:rsid w:val="00E85C54"/>
    <w:rsid w:val="00E91D86"/>
    <w:rsid w:val="00E9222C"/>
    <w:rsid w:val="00E92628"/>
    <w:rsid w:val="00E94D5E"/>
    <w:rsid w:val="00E96DE3"/>
    <w:rsid w:val="00E97F31"/>
    <w:rsid w:val="00EA4541"/>
    <w:rsid w:val="00EA7100"/>
    <w:rsid w:val="00EB22CA"/>
    <w:rsid w:val="00EB34A9"/>
    <w:rsid w:val="00EB4903"/>
    <w:rsid w:val="00EB5A2D"/>
    <w:rsid w:val="00EC01C1"/>
    <w:rsid w:val="00EC6349"/>
    <w:rsid w:val="00EC77CD"/>
    <w:rsid w:val="00ED1E5D"/>
    <w:rsid w:val="00ED2B51"/>
    <w:rsid w:val="00ED513B"/>
    <w:rsid w:val="00ED533F"/>
    <w:rsid w:val="00ED54E8"/>
    <w:rsid w:val="00ED5A5B"/>
    <w:rsid w:val="00ED6062"/>
    <w:rsid w:val="00ED657C"/>
    <w:rsid w:val="00EE678F"/>
    <w:rsid w:val="00EF0B00"/>
    <w:rsid w:val="00EF183B"/>
    <w:rsid w:val="00EF218B"/>
    <w:rsid w:val="00EF2E3A"/>
    <w:rsid w:val="00EF3217"/>
    <w:rsid w:val="00EF6B16"/>
    <w:rsid w:val="00EF7BF5"/>
    <w:rsid w:val="00EF7C51"/>
    <w:rsid w:val="00F0130B"/>
    <w:rsid w:val="00F033EC"/>
    <w:rsid w:val="00F06C88"/>
    <w:rsid w:val="00F072A7"/>
    <w:rsid w:val="00F078DC"/>
    <w:rsid w:val="00F07F6A"/>
    <w:rsid w:val="00F134C6"/>
    <w:rsid w:val="00F210D0"/>
    <w:rsid w:val="00F241A3"/>
    <w:rsid w:val="00F25230"/>
    <w:rsid w:val="00F2571F"/>
    <w:rsid w:val="00F259C1"/>
    <w:rsid w:val="00F34408"/>
    <w:rsid w:val="00F344B8"/>
    <w:rsid w:val="00F36F58"/>
    <w:rsid w:val="00F425D8"/>
    <w:rsid w:val="00F440DB"/>
    <w:rsid w:val="00F44AFE"/>
    <w:rsid w:val="00F45D97"/>
    <w:rsid w:val="00F47483"/>
    <w:rsid w:val="00F53975"/>
    <w:rsid w:val="00F57274"/>
    <w:rsid w:val="00F61B89"/>
    <w:rsid w:val="00F666B0"/>
    <w:rsid w:val="00F71B5F"/>
    <w:rsid w:val="00F71EEC"/>
    <w:rsid w:val="00F73BD6"/>
    <w:rsid w:val="00F74792"/>
    <w:rsid w:val="00F74AC1"/>
    <w:rsid w:val="00F75D16"/>
    <w:rsid w:val="00F76C11"/>
    <w:rsid w:val="00F8242A"/>
    <w:rsid w:val="00F83989"/>
    <w:rsid w:val="00F86420"/>
    <w:rsid w:val="00F86758"/>
    <w:rsid w:val="00F90B86"/>
    <w:rsid w:val="00F90E5C"/>
    <w:rsid w:val="00F9115E"/>
    <w:rsid w:val="00F9509D"/>
    <w:rsid w:val="00F9632C"/>
    <w:rsid w:val="00FA056D"/>
    <w:rsid w:val="00FA46B1"/>
    <w:rsid w:val="00FA47F4"/>
    <w:rsid w:val="00FA4B61"/>
    <w:rsid w:val="00FA5392"/>
    <w:rsid w:val="00FA6946"/>
    <w:rsid w:val="00FB288E"/>
    <w:rsid w:val="00FB4EFF"/>
    <w:rsid w:val="00FB774B"/>
    <w:rsid w:val="00FC235D"/>
    <w:rsid w:val="00FC3642"/>
    <w:rsid w:val="00FC50EE"/>
    <w:rsid w:val="00FD0636"/>
    <w:rsid w:val="00FD2C45"/>
    <w:rsid w:val="00FD50DE"/>
    <w:rsid w:val="00FD7AED"/>
    <w:rsid w:val="00FF02C7"/>
    <w:rsid w:val="00FF2995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73D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0D24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4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4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4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4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D2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4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4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373D2"/>
  </w:style>
  <w:style w:type="paragraph" w:customStyle="1" w:styleId="OPCParaBase">
    <w:name w:val="OPCParaBase"/>
    <w:qFormat/>
    <w:rsid w:val="001373D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373D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373D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373D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373D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373D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373D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373D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373D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373D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373D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373D2"/>
  </w:style>
  <w:style w:type="paragraph" w:customStyle="1" w:styleId="Blocks">
    <w:name w:val="Blocks"/>
    <w:aliases w:val="bb"/>
    <w:basedOn w:val="OPCParaBase"/>
    <w:qFormat/>
    <w:rsid w:val="001373D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373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373D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373D2"/>
    <w:rPr>
      <w:i/>
    </w:rPr>
  </w:style>
  <w:style w:type="paragraph" w:customStyle="1" w:styleId="BoxList">
    <w:name w:val="BoxList"/>
    <w:aliases w:val="bl"/>
    <w:basedOn w:val="BoxText"/>
    <w:qFormat/>
    <w:rsid w:val="001373D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373D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373D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373D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1373D2"/>
  </w:style>
  <w:style w:type="character" w:customStyle="1" w:styleId="CharAmPartText">
    <w:name w:val="CharAmPartText"/>
    <w:basedOn w:val="OPCCharBase"/>
    <w:uiPriority w:val="1"/>
    <w:qFormat/>
    <w:rsid w:val="001373D2"/>
  </w:style>
  <w:style w:type="character" w:customStyle="1" w:styleId="CharAmSchNo">
    <w:name w:val="CharAmSchNo"/>
    <w:basedOn w:val="OPCCharBase"/>
    <w:uiPriority w:val="1"/>
    <w:qFormat/>
    <w:rsid w:val="001373D2"/>
  </w:style>
  <w:style w:type="character" w:customStyle="1" w:styleId="CharAmSchText">
    <w:name w:val="CharAmSchText"/>
    <w:basedOn w:val="OPCCharBase"/>
    <w:uiPriority w:val="1"/>
    <w:qFormat/>
    <w:rsid w:val="001373D2"/>
  </w:style>
  <w:style w:type="character" w:customStyle="1" w:styleId="CharBoldItalic">
    <w:name w:val="CharBoldItalic"/>
    <w:basedOn w:val="OPCCharBase"/>
    <w:uiPriority w:val="1"/>
    <w:qFormat/>
    <w:rsid w:val="001373D2"/>
    <w:rPr>
      <w:b/>
      <w:i/>
    </w:rPr>
  </w:style>
  <w:style w:type="character" w:customStyle="1" w:styleId="CharChapNo">
    <w:name w:val="CharChapNo"/>
    <w:basedOn w:val="OPCCharBase"/>
    <w:qFormat/>
    <w:rsid w:val="001373D2"/>
  </w:style>
  <w:style w:type="character" w:customStyle="1" w:styleId="CharChapText">
    <w:name w:val="CharChapText"/>
    <w:basedOn w:val="OPCCharBase"/>
    <w:qFormat/>
    <w:rsid w:val="001373D2"/>
  </w:style>
  <w:style w:type="character" w:customStyle="1" w:styleId="CharDivNo">
    <w:name w:val="CharDivNo"/>
    <w:basedOn w:val="OPCCharBase"/>
    <w:qFormat/>
    <w:rsid w:val="001373D2"/>
  </w:style>
  <w:style w:type="character" w:customStyle="1" w:styleId="CharDivText">
    <w:name w:val="CharDivText"/>
    <w:basedOn w:val="OPCCharBase"/>
    <w:qFormat/>
    <w:rsid w:val="001373D2"/>
  </w:style>
  <w:style w:type="character" w:customStyle="1" w:styleId="CharItalic">
    <w:name w:val="CharItalic"/>
    <w:basedOn w:val="OPCCharBase"/>
    <w:uiPriority w:val="1"/>
    <w:qFormat/>
    <w:rsid w:val="001373D2"/>
    <w:rPr>
      <w:i/>
    </w:rPr>
  </w:style>
  <w:style w:type="character" w:customStyle="1" w:styleId="CharPartNo">
    <w:name w:val="CharPartNo"/>
    <w:basedOn w:val="OPCCharBase"/>
    <w:qFormat/>
    <w:rsid w:val="001373D2"/>
  </w:style>
  <w:style w:type="character" w:customStyle="1" w:styleId="CharPartText">
    <w:name w:val="CharPartText"/>
    <w:basedOn w:val="OPCCharBase"/>
    <w:qFormat/>
    <w:rsid w:val="001373D2"/>
  </w:style>
  <w:style w:type="character" w:customStyle="1" w:styleId="CharSectno">
    <w:name w:val="CharSectno"/>
    <w:basedOn w:val="OPCCharBase"/>
    <w:qFormat/>
    <w:rsid w:val="001373D2"/>
  </w:style>
  <w:style w:type="character" w:customStyle="1" w:styleId="CharSubdNo">
    <w:name w:val="CharSubdNo"/>
    <w:basedOn w:val="OPCCharBase"/>
    <w:uiPriority w:val="1"/>
    <w:qFormat/>
    <w:rsid w:val="001373D2"/>
  </w:style>
  <w:style w:type="character" w:customStyle="1" w:styleId="CharSubdText">
    <w:name w:val="CharSubdText"/>
    <w:basedOn w:val="OPCCharBase"/>
    <w:uiPriority w:val="1"/>
    <w:qFormat/>
    <w:rsid w:val="001373D2"/>
  </w:style>
  <w:style w:type="paragraph" w:customStyle="1" w:styleId="CTA--">
    <w:name w:val="CTA --"/>
    <w:basedOn w:val="OPCParaBase"/>
    <w:next w:val="Normal"/>
    <w:rsid w:val="001373D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373D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373D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373D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373D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373D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373D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373D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373D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373D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373D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373D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373D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373D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373D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373D2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1373D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373D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373D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373D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373D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373D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373D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373D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373D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373D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373D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373D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373D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373D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373D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1373D2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1373D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373D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373D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373D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373D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373D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373D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373D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373D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373D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373D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373D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373D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373D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373D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373D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373D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373D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373D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373D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373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373D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373D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373D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1373D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1373D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1373D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1373D2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373D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373D2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373D2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373D2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373D2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373D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373D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373D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373D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373D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373D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373D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373D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373D2"/>
    <w:rPr>
      <w:sz w:val="16"/>
    </w:rPr>
  </w:style>
  <w:style w:type="table" w:customStyle="1" w:styleId="CFlag">
    <w:name w:val="CFlag"/>
    <w:basedOn w:val="TableNormal"/>
    <w:uiPriority w:val="99"/>
    <w:rsid w:val="001373D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37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373D2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59723F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1373D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373D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373D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1373D2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1373D2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373D2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373D2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373D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373D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1373D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373D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373D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373D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373D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373D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373D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373D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73D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373D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373D2"/>
  </w:style>
  <w:style w:type="character" w:customStyle="1" w:styleId="CharSubPartNoCASA">
    <w:name w:val="CharSubPartNo(CASA)"/>
    <w:basedOn w:val="OPCCharBase"/>
    <w:uiPriority w:val="1"/>
    <w:rsid w:val="001373D2"/>
  </w:style>
  <w:style w:type="paragraph" w:customStyle="1" w:styleId="ENoteTTIndentHeadingSub">
    <w:name w:val="ENoteTTIndentHeadingSub"/>
    <w:aliases w:val="enTTHis"/>
    <w:basedOn w:val="OPCParaBase"/>
    <w:rsid w:val="001373D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373D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373D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373D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541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373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373D2"/>
    <w:rPr>
      <w:sz w:val="22"/>
    </w:rPr>
  </w:style>
  <w:style w:type="paragraph" w:customStyle="1" w:styleId="SOTextNote">
    <w:name w:val="SO TextNote"/>
    <w:aliases w:val="sont"/>
    <w:basedOn w:val="SOText"/>
    <w:qFormat/>
    <w:rsid w:val="001373D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373D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373D2"/>
    <w:rPr>
      <w:sz w:val="22"/>
    </w:rPr>
  </w:style>
  <w:style w:type="paragraph" w:customStyle="1" w:styleId="FileName">
    <w:name w:val="FileName"/>
    <w:basedOn w:val="Normal"/>
    <w:rsid w:val="001373D2"/>
  </w:style>
  <w:style w:type="paragraph" w:customStyle="1" w:styleId="TableHeading">
    <w:name w:val="TableHeading"/>
    <w:aliases w:val="th"/>
    <w:basedOn w:val="OPCParaBase"/>
    <w:next w:val="Tabletext"/>
    <w:rsid w:val="001373D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373D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373D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373D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373D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373D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373D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373D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373D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373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373D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373D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D242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D242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rsid w:val="000D2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42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4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42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0D242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42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42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4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ctHead5Char">
    <w:name w:val="ActHead 5 Char"/>
    <w:aliases w:val="s Char"/>
    <w:link w:val="ActHead5"/>
    <w:rsid w:val="00903346"/>
    <w:rPr>
      <w:rFonts w:eastAsia="Times New Roman" w:cs="Times New Roman"/>
      <w:b/>
      <w:kern w:val="28"/>
      <w:sz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B3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73D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0D24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4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4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4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4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D2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4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4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373D2"/>
  </w:style>
  <w:style w:type="paragraph" w:customStyle="1" w:styleId="OPCParaBase">
    <w:name w:val="OPCParaBase"/>
    <w:qFormat/>
    <w:rsid w:val="001373D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373D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373D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373D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373D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373D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373D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373D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373D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373D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373D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373D2"/>
  </w:style>
  <w:style w:type="paragraph" w:customStyle="1" w:styleId="Blocks">
    <w:name w:val="Blocks"/>
    <w:aliases w:val="bb"/>
    <w:basedOn w:val="OPCParaBase"/>
    <w:qFormat/>
    <w:rsid w:val="001373D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373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373D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373D2"/>
    <w:rPr>
      <w:i/>
    </w:rPr>
  </w:style>
  <w:style w:type="paragraph" w:customStyle="1" w:styleId="BoxList">
    <w:name w:val="BoxList"/>
    <w:aliases w:val="bl"/>
    <w:basedOn w:val="BoxText"/>
    <w:qFormat/>
    <w:rsid w:val="001373D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373D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373D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373D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1373D2"/>
  </w:style>
  <w:style w:type="character" w:customStyle="1" w:styleId="CharAmPartText">
    <w:name w:val="CharAmPartText"/>
    <w:basedOn w:val="OPCCharBase"/>
    <w:uiPriority w:val="1"/>
    <w:qFormat/>
    <w:rsid w:val="001373D2"/>
  </w:style>
  <w:style w:type="character" w:customStyle="1" w:styleId="CharAmSchNo">
    <w:name w:val="CharAmSchNo"/>
    <w:basedOn w:val="OPCCharBase"/>
    <w:uiPriority w:val="1"/>
    <w:qFormat/>
    <w:rsid w:val="001373D2"/>
  </w:style>
  <w:style w:type="character" w:customStyle="1" w:styleId="CharAmSchText">
    <w:name w:val="CharAmSchText"/>
    <w:basedOn w:val="OPCCharBase"/>
    <w:uiPriority w:val="1"/>
    <w:qFormat/>
    <w:rsid w:val="001373D2"/>
  </w:style>
  <w:style w:type="character" w:customStyle="1" w:styleId="CharBoldItalic">
    <w:name w:val="CharBoldItalic"/>
    <w:basedOn w:val="OPCCharBase"/>
    <w:uiPriority w:val="1"/>
    <w:qFormat/>
    <w:rsid w:val="001373D2"/>
    <w:rPr>
      <w:b/>
      <w:i/>
    </w:rPr>
  </w:style>
  <w:style w:type="character" w:customStyle="1" w:styleId="CharChapNo">
    <w:name w:val="CharChapNo"/>
    <w:basedOn w:val="OPCCharBase"/>
    <w:qFormat/>
    <w:rsid w:val="001373D2"/>
  </w:style>
  <w:style w:type="character" w:customStyle="1" w:styleId="CharChapText">
    <w:name w:val="CharChapText"/>
    <w:basedOn w:val="OPCCharBase"/>
    <w:qFormat/>
    <w:rsid w:val="001373D2"/>
  </w:style>
  <w:style w:type="character" w:customStyle="1" w:styleId="CharDivNo">
    <w:name w:val="CharDivNo"/>
    <w:basedOn w:val="OPCCharBase"/>
    <w:qFormat/>
    <w:rsid w:val="001373D2"/>
  </w:style>
  <w:style w:type="character" w:customStyle="1" w:styleId="CharDivText">
    <w:name w:val="CharDivText"/>
    <w:basedOn w:val="OPCCharBase"/>
    <w:qFormat/>
    <w:rsid w:val="001373D2"/>
  </w:style>
  <w:style w:type="character" w:customStyle="1" w:styleId="CharItalic">
    <w:name w:val="CharItalic"/>
    <w:basedOn w:val="OPCCharBase"/>
    <w:uiPriority w:val="1"/>
    <w:qFormat/>
    <w:rsid w:val="001373D2"/>
    <w:rPr>
      <w:i/>
    </w:rPr>
  </w:style>
  <w:style w:type="character" w:customStyle="1" w:styleId="CharPartNo">
    <w:name w:val="CharPartNo"/>
    <w:basedOn w:val="OPCCharBase"/>
    <w:qFormat/>
    <w:rsid w:val="001373D2"/>
  </w:style>
  <w:style w:type="character" w:customStyle="1" w:styleId="CharPartText">
    <w:name w:val="CharPartText"/>
    <w:basedOn w:val="OPCCharBase"/>
    <w:qFormat/>
    <w:rsid w:val="001373D2"/>
  </w:style>
  <w:style w:type="character" w:customStyle="1" w:styleId="CharSectno">
    <w:name w:val="CharSectno"/>
    <w:basedOn w:val="OPCCharBase"/>
    <w:qFormat/>
    <w:rsid w:val="001373D2"/>
  </w:style>
  <w:style w:type="character" w:customStyle="1" w:styleId="CharSubdNo">
    <w:name w:val="CharSubdNo"/>
    <w:basedOn w:val="OPCCharBase"/>
    <w:uiPriority w:val="1"/>
    <w:qFormat/>
    <w:rsid w:val="001373D2"/>
  </w:style>
  <w:style w:type="character" w:customStyle="1" w:styleId="CharSubdText">
    <w:name w:val="CharSubdText"/>
    <w:basedOn w:val="OPCCharBase"/>
    <w:uiPriority w:val="1"/>
    <w:qFormat/>
    <w:rsid w:val="001373D2"/>
  </w:style>
  <w:style w:type="paragraph" w:customStyle="1" w:styleId="CTA--">
    <w:name w:val="CTA --"/>
    <w:basedOn w:val="OPCParaBase"/>
    <w:next w:val="Normal"/>
    <w:rsid w:val="001373D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373D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373D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373D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373D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373D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373D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373D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373D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373D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373D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373D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373D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373D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373D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373D2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1373D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373D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373D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373D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373D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373D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373D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373D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373D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373D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373D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373D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373D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373D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373D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1373D2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1373D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373D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373D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373D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373D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373D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373D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373D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373D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373D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373D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373D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373D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373D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373D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373D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373D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373D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373D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373D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373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373D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373D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373D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1373D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1373D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1373D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1373D2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373D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373D2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373D2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373D2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373D2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373D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373D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373D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373D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373D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373D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373D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373D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373D2"/>
    <w:rPr>
      <w:sz w:val="16"/>
    </w:rPr>
  </w:style>
  <w:style w:type="table" w:customStyle="1" w:styleId="CFlag">
    <w:name w:val="CFlag"/>
    <w:basedOn w:val="TableNormal"/>
    <w:uiPriority w:val="99"/>
    <w:rsid w:val="001373D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37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373D2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59723F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1373D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373D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373D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1373D2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1373D2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373D2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373D2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373D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373D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1373D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373D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373D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373D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373D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373D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373D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373D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73D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373D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373D2"/>
  </w:style>
  <w:style w:type="character" w:customStyle="1" w:styleId="CharSubPartNoCASA">
    <w:name w:val="CharSubPartNo(CASA)"/>
    <w:basedOn w:val="OPCCharBase"/>
    <w:uiPriority w:val="1"/>
    <w:rsid w:val="001373D2"/>
  </w:style>
  <w:style w:type="paragraph" w:customStyle="1" w:styleId="ENoteTTIndentHeadingSub">
    <w:name w:val="ENoteTTIndentHeadingSub"/>
    <w:aliases w:val="enTTHis"/>
    <w:basedOn w:val="OPCParaBase"/>
    <w:rsid w:val="001373D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373D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373D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373D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541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373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373D2"/>
    <w:rPr>
      <w:sz w:val="22"/>
    </w:rPr>
  </w:style>
  <w:style w:type="paragraph" w:customStyle="1" w:styleId="SOTextNote">
    <w:name w:val="SO TextNote"/>
    <w:aliases w:val="sont"/>
    <w:basedOn w:val="SOText"/>
    <w:qFormat/>
    <w:rsid w:val="001373D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373D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373D2"/>
    <w:rPr>
      <w:sz w:val="22"/>
    </w:rPr>
  </w:style>
  <w:style w:type="paragraph" w:customStyle="1" w:styleId="FileName">
    <w:name w:val="FileName"/>
    <w:basedOn w:val="Normal"/>
    <w:rsid w:val="001373D2"/>
  </w:style>
  <w:style w:type="paragraph" w:customStyle="1" w:styleId="TableHeading">
    <w:name w:val="TableHeading"/>
    <w:aliases w:val="th"/>
    <w:basedOn w:val="OPCParaBase"/>
    <w:next w:val="Tabletext"/>
    <w:rsid w:val="001373D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373D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373D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373D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373D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373D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373D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373D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373D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373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373D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373D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D242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D242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rsid w:val="000D2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42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4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42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0D242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42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42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4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ctHead5Char">
    <w:name w:val="ActHead 5 Char"/>
    <w:aliases w:val="s Char"/>
    <w:link w:val="ActHead5"/>
    <w:rsid w:val="00903346"/>
    <w:rPr>
      <w:rFonts w:eastAsia="Times New Roman" w:cs="Times New Roman"/>
      <w:b/>
      <w:kern w:val="28"/>
      <w:sz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B3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8282"/>
                                <w:left w:val="single" w:sz="6" w:space="0" w:color="828282"/>
                                <w:bottom w:val="single" w:sz="6" w:space="0" w:color="828282"/>
                                <w:right w:val="single" w:sz="6" w:space="0" w:color="828282"/>
                              </w:divBdr>
                              <w:divsChild>
                                <w:div w:id="160025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9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3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8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2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8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06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28282"/>
                                            <w:left w:val="single" w:sz="6" w:space="0" w:color="828282"/>
                                            <w:bottom w:val="none" w:sz="0" w:space="0" w:color="auto"/>
                                            <w:right w:val="single" w:sz="6" w:space="0" w:color="828282"/>
                                          </w:divBdr>
                                          <w:divsChild>
                                            <w:div w:id="137704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4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00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55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9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1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28282"/>
                                            <w:left w:val="single" w:sz="6" w:space="0" w:color="828282"/>
                                            <w:bottom w:val="none" w:sz="0" w:space="0" w:color="auto"/>
                                            <w:right w:val="single" w:sz="6" w:space="0" w:color="828282"/>
                                          </w:divBdr>
                                          <w:divsChild>
                                            <w:div w:id="4998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9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34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51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4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0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1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28282"/>
                                            <w:left w:val="single" w:sz="6" w:space="0" w:color="828282"/>
                                            <w:bottom w:val="none" w:sz="0" w:space="0" w:color="auto"/>
                                            <w:right w:val="single" w:sz="6" w:space="0" w:color="828282"/>
                                          </w:divBdr>
                                          <w:divsChild>
                                            <w:div w:id="84876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53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61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62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1088-74ED-4C32-A402-8CDA93AD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19</Pages>
  <Words>4209</Words>
  <Characters>20096</Characters>
  <Application>Microsoft Office Word</Application>
  <DocSecurity>0</DocSecurity>
  <PresentationFormat/>
  <Lines>598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(Trade Descriptions) Regulation 2016</vt:lpstr>
    </vt:vector>
  </TitlesOfParts>
  <Manager/>
  <Company/>
  <LinksUpToDate>false</LinksUpToDate>
  <CharactersWithSpaces>23965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2016-03-29T02:55:00Z</cp:lastPrinted>
  <dcterms:created xsi:type="dcterms:W3CDTF">2016-12-05T00:34:00Z</dcterms:created>
  <dcterms:modified xsi:type="dcterms:W3CDTF">2016-12-05T00:34:00Z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2016</vt:lpwstr>
  </property>
  <property fmtid="{D5CDD505-2E9C-101B-9397-08002B2CF9AE}" pid="3" name="ShortT">
    <vt:lpwstr>Commerce (Trade Descriptions) Regulation 2016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08 December 2016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OPC61655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Commerce (Trade Descriptions) Act 1905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08 December 2016</vt:lpwstr>
  </property>
</Properties>
</file>