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224FC" w14:textId="77777777" w:rsidR="00D00891" w:rsidRDefault="00D00891" w:rsidP="00042C02">
      <w:pPr>
        <w:pStyle w:val="Heading1"/>
        <w:rPr>
          <w:rFonts w:ascii="Times New Roman" w:hAnsi="Times New Roman"/>
          <w:szCs w:val="28"/>
          <w:u w:val="none"/>
        </w:rPr>
      </w:pPr>
      <w:bookmarkStart w:id="0" w:name="_GoBack"/>
      <w:bookmarkEnd w:id="0"/>
      <w:r w:rsidRPr="00D13D93">
        <w:rPr>
          <w:rFonts w:ascii="Times New Roman" w:hAnsi="Times New Roman"/>
          <w:szCs w:val="28"/>
          <w:u w:val="none"/>
        </w:rPr>
        <w:t>EXPLANATORY STATEMENT</w:t>
      </w:r>
    </w:p>
    <w:p w14:paraId="6161B714" w14:textId="77777777" w:rsidR="00D13D93" w:rsidRPr="00C94D85" w:rsidRDefault="00D13D93" w:rsidP="00EC208C">
      <w:pPr>
        <w:jc w:val="center"/>
      </w:pPr>
      <w:r w:rsidRPr="00EC208C">
        <w:rPr>
          <w:b/>
          <w:u w:val="single"/>
        </w:rPr>
        <w:t>Issued by the authority of the Minister for Revenue and Financial Services</w:t>
      </w:r>
    </w:p>
    <w:p w14:paraId="7CB96ACE" w14:textId="77777777" w:rsidR="00B40F22" w:rsidRDefault="00B40F22" w:rsidP="00B40F22">
      <w:pPr>
        <w:tabs>
          <w:tab w:val="left" w:pos="1701"/>
          <w:tab w:val="right" w:pos="9072"/>
        </w:tabs>
        <w:spacing w:before="0" w:after="0" w:line="240" w:lineRule="exact"/>
        <w:ind w:right="91"/>
        <w:jc w:val="center"/>
        <w:rPr>
          <w:i/>
        </w:rPr>
      </w:pPr>
    </w:p>
    <w:p w14:paraId="70435A4B" w14:textId="77777777" w:rsidR="00BF05F2" w:rsidRDefault="00BF05F2" w:rsidP="006232CB">
      <w:pPr>
        <w:tabs>
          <w:tab w:val="left" w:pos="1701"/>
          <w:tab w:val="right" w:pos="9072"/>
        </w:tabs>
        <w:spacing w:before="0" w:after="0" w:line="240" w:lineRule="exact"/>
        <w:ind w:left="1440" w:right="91" w:firstLine="1962"/>
        <w:rPr>
          <w:i/>
        </w:rPr>
      </w:pPr>
      <w:r>
        <w:rPr>
          <w:i/>
        </w:rPr>
        <w:t>Bankruptcy Act 1966</w:t>
      </w:r>
    </w:p>
    <w:p w14:paraId="62EBDA04" w14:textId="77777777" w:rsidR="00BF05F2" w:rsidRDefault="00BF05F2" w:rsidP="006232CB">
      <w:pPr>
        <w:tabs>
          <w:tab w:val="left" w:pos="1701"/>
          <w:tab w:val="right" w:pos="9072"/>
        </w:tabs>
        <w:spacing w:before="0" w:after="0" w:line="240" w:lineRule="exact"/>
        <w:ind w:right="91"/>
        <w:rPr>
          <w:i/>
        </w:rPr>
      </w:pPr>
    </w:p>
    <w:p w14:paraId="0D17C584" w14:textId="77777777" w:rsidR="00D00891" w:rsidRDefault="00084214" w:rsidP="00B40F22">
      <w:pPr>
        <w:tabs>
          <w:tab w:val="left" w:pos="1701"/>
          <w:tab w:val="right" w:pos="9072"/>
        </w:tabs>
        <w:spacing w:before="0" w:after="0" w:line="240" w:lineRule="exact"/>
        <w:ind w:right="91"/>
        <w:jc w:val="center"/>
        <w:rPr>
          <w:i/>
        </w:rPr>
      </w:pPr>
      <w:r w:rsidRPr="00B40F22">
        <w:rPr>
          <w:i/>
        </w:rPr>
        <w:t>Corporations Act 2001</w:t>
      </w:r>
    </w:p>
    <w:p w14:paraId="6401084E" w14:textId="77777777" w:rsidR="00B40F22" w:rsidRPr="00B40F22" w:rsidRDefault="00B40F22" w:rsidP="00B40F22">
      <w:pPr>
        <w:tabs>
          <w:tab w:val="left" w:pos="1701"/>
          <w:tab w:val="right" w:pos="9072"/>
        </w:tabs>
        <w:spacing w:before="0" w:after="0" w:line="240" w:lineRule="exact"/>
        <w:ind w:right="91"/>
        <w:jc w:val="center"/>
        <w:rPr>
          <w:i/>
        </w:rPr>
      </w:pPr>
    </w:p>
    <w:p w14:paraId="16A890C0" w14:textId="77777777" w:rsidR="00084214" w:rsidRPr="00B40F22" w:rsidRDefault="00084214" w:rsidP="00B40F22">
      <w:pPr>
        <w:tabs>
          <w:tab w:val="left" w:pos="1701"/>
          <w:tab w:val="right" w:pos="9072"/>
        </w:tabs>
        <w:spacing w:before="0" w:after="0" w:line="240" w:lineRule="exact"/>
        <w:ind w:right="91"/>
        <w:jc w:val="center"/>
        <w:rPr>
          <w:i/>
        </w:rPr>
      </w:pPr>
      <w:r w:rsidRPr="00B40F22">
        <w:rPr>
          <w:i/>
        </w:rPr>
        <w:t>Corporations and Other Legislation Amendment (Insolvency Law Reform) Regulation 2016</w:t>
      </w:r>
    </w:p>
    <w:p w14:paraId="5BC5C541" w14:textId="77777777" w:rsidR="00042C02" w:rsidRDefault="00042C02" w:rsidP="00D00891"/>
    <w:p w14:paraId="4D2D2E99" w14:textId="34D67540" w:rsidR="00EF31D4" w:rsidRDefault="00D00891" w:rsidP="00EF31D4">
      <w:pPr>
        <w:spacing w:before="0" w:after="240"/>
      </w:pPr>
      <w:r w:rsidRPr="00503E44">
        <w:t xml:space="preserve">Section </w:t>
      </w:r>
      <w:r w:rsidR="00A76828">
        <w:t>1364</w:t>
      </w:r>
      <w:r w:rsidRPr="00503E44">
        <w:t xml:space="preserve"> of the </w:t>
      </w:r>
      <w:r>
        <w:rPr>
          <w:i/>
        </w:rPr>
        <w:t xml:space="preserve">Corporations Act 2001 </w:t>
      </w:r>
      <w:r w:rsidRPr="00503E44">
        <w:t xml:space="preserve">(the </w:t>
      </w:r>
      <w:r w:rsidR="0097628D">
        <w:t xml:space="preserve">Corporations </w:t>
      </w:r>
      <w:r w:rsidRPr="00503E44">
        <w:t>Act)</w:t>
      </w:r>
      <w:r w:rsidR="0097628D">
        <w:t xml:space="preserve"> and section 315 of the </w:t>
      </w:r>
      <w:r w:rsidR="0097628D" w:rsidRPr="00F1651D">
        <w:rPr>
          <w:i/>
        </w:rPr>
        <w:t>Bankruptcy Act 1966</w:t>
      </w:r>
      <w:r w:rsidR="0097628D">
        <w:t xml:space="preserve"> (the Bankruptcy Act) </w:t>
      </w:r>
      <w:r w:rsidRPr="00503E44">
        <w:t>provide that the Governor-General may make regulations prescribing matters required or permitted by the Act to be prescribed, or necessary or convenient to be prescribed for carrying out or giving effect to the Act.</w:t>
      </w:r>
    </w:p>
    <w:p w14:paraId="59617135" w14:textId="7B53282B" w:rsidR="00DD01A7" w:rsidRDefault="00A76828" w:rsidP="00EF31D4">
      <w:pPr>
        <w:spacing w:before="0" w:after="240"/>
      </w:pPr>
      <w:r>
        <w:t xml:space="preserve">Section 1634 of the </w:t>
      </w:r>
      <w:r w:rsidR="0097628D">
        <w:t xml:space="preserve">Corporations </w:t>
      </w:r>
      <w:r>
        <w:t>Act</w:t>
      </w:r>
      <w:r w:rsidR="001D7A83">
        <w:t xml:space="preserve">, which will commence when the </w:t>
      </w:r>
      <w:r w:rsidR="001D7A83" w:rsidRPr="00167486">
        <w:rPr>
          <w:i/>
        </w:rPr>
        <w:t>Insolvency Law Reform Act 2016</w:t>
      </w:r>
      <w:r w:rsidR="00061692">
        <w:t xml:space="preserve"> (the </w:t>
      </w:r>
      <w:r w:rsidR="00167486">
        <w:t>A</w:t>
      </w:r>
      <w:r w:rsidR="001D7A83">
        <w:t>mending Act) commences,</w:t>
      </w:r>
      <w:r w:rsidR="0097628D">
        <w:t xml:space="preserve"> </w:t>
      </w:r>
      <w:r>
        <w:t>provides that the Governor-General may make regulations prescribing matters of a transitional nature</w:t>
      </w:r>
      <w:r w:rsidR="00EF31D4">
        <w:t>, or modifying provisions, relating to Schedule 2 of the amending Act</w:t>
      </w:r>
      <w:r w:rsidR="001D7A83">
        <w:t>.</w:t>
      </w:r>
    </w:p>
    <w:p w14:paraId="0A40DEFD" w14:textId="77777777" w:rsidR="00EF31D4" w:rsidRDefault="00167486" w:rsidP="00EF31D4">
      <w:pPr>
        <w:spacing w:before="0" w:after="240"/>
      </w:pPr>
      <w:r>
        <w:t>The Amending Act implemented the Australian Government’s reforms to create common rules for the regulation of corporate insolvency and personal bankruptcy that will:</w:t>
      </w:r>
    </w:p>
    <w:p w14:paraId="75B7567D" w14:textId="77777777" w:rsidR="00167486" w:rsidRDefault="00167486" w:rsidP="00167486">
      <w:pPr>
        <w:pStyle w:val="Bullet"/>
      </w:pPr>
      <w:r>
        <w:t xml:space="preserve">Remove unnecessary costs and increase efficiency in insolvency administrations; </w:t>
      </w:r>
    </w:p>
    <w:p w14:paraId="157DFDA9" w14:textId="77777777" w:rsidR="00167486" w:rsidRDefault="00D13D93" w:rsidP="00167486">
      <w:pPr>
        <w:pStyle w:val="Bullet"/>
      </w:pPr>
      <w:r>
        <w:t xml:space="preserve">align </w:t>
      </w:r>
      <w:r w:rsidR="00167486">
        <w:t>the registration and disciplinary frameworks that apply to registered liquidators and registered trustees;</w:t>
      </w:r>
    </w:p>
    <w:p w14:paraId="1D7906CD" w14:textId="77777777" w:rsidR="00167486" w:rsidRDefault="00D13D93" w:rsidP="00167486">
      <w:pPr>
        <w:pStyle w:val="Bullet"/>
      </w:pPr>
      <w:r>
        <w:t xml:space="preserve">align </w:t>
      </w:r>
      <w:r w:rsidR="00167486">
        <w:t>a range of specific rules relating to the handling of personal bankruptcies and corporate external administrations;</w:t>
      </w:r>
    </w:p>
    <w:p w14:paraId="4706A81C" w14:textId="77777777" w:rsidR="00167486" w:rsidRDefault="00D13D93" w:rsidP="00167486">
      <w:pPr>
        <w:pStyle w:val="Bullet"/>
      </w:pPr>
      <w:r>
        <w:t xml:space="preserve">enhance </w:t>
      </w:r>
      <w:r w:rsidR="00167486">
        <w:t>communication and transparency between stakeholders;</w:t>
      </w:r>
    </w:p>
    <w:p w14:paraId="656C1881" w14:textId="77777777" w:rsidR="00167486" w:rsidRDefault="00D13D93" w:rsidP="00167486">
      <w:pPr>
        <w:pStyle w:val="Bullet"/>
      </w:pPr>
      <w:r>
        <w:t xml:space="preserve">promote </w:t>
      </w:r>
      <w:r w:rsidR="00167486">
        <w:t xml:space="preserve">market competition on price and quality; </w:t>
      </w:r>
    </w:p>
    <w:p w14:paraId="7EF50100" w14:textId="77777777" w:rsidR="00167486" w:rsidRDefault="00D13D93" w:rsidP="00167486">
      <w:pPr>
        <w:pStyle w:val="Bullet"/>
      </w:pPr>
      <w:r>
        <w:t xml:space="preserve">improve </w:t>
      </w:r>
      <w:r w:rsidR="00167486">
        <w:t xml:space="preserve">the powers available to the corporate regulators to regulate the corporate insolvency market; and </w:t>
      </w:r>
    </w:p>
    <w:p w14:paraId="18344BAC" w14:textId="77777777" w:rsidR="00167486" w:rsidRDefault="00D13D93" w:rsidP="00167486">
      <w:pPr>
        <w:pStyle w:val="Bullet"/>
      </w:pPr>
      <w:r>
        <w:t xml:space="preserve">improve </w:t>
      </w:r>
      <w:r w:rsidR="00167486">
        <w:t xml:space="preserve">overall confidence in the professionalism and competence of insolvency practitioners. </w:t>
      </w:r>
    </w:p>
    <w:p w14:paraId="2947C3E7" w14:textId="1316BF43" w:rsidR="006509E5" w:rsidRDefault="00167486" w:rsidP="006232CB">
      <w:r>
        <w:t xml:space="preserve">A number of </w:t>
      </w:r>
      <w:r w:rsidR="006509E5">
        <w:t xml:space="preserve">legislative instruments, including the </w:t>
      </w:r>
      <w:r w:rsidR="006509E5" w:rsidRPr="00D00891">
        <w:rPr>
          <w:i/>
        </w:rPr>
        <w:t>Corporat</w:t>
      </w:r>
      <w:r w:rsidR="001612ED">
        <w:rPr>
          <w:i/>
        </w:rPr>
        <w:t>i</w:t>
      </w:r>
      <w:r w:rsidR="006509E5" w:rsidRPr="00D00891">
        <w:rPr>
          <w:i/>
        </w:rPr>
        <w:t>ons and Other Legislation Amendment (Insolvency Law Reform) Regulation 2016</w:t>
      </w:r>
      <w:r w:rsidR="006509E5">
        <w:rPr>
          <w:i/>
        </w:rPr>
        <w:t xml:space="preserve"> </w:t>
      </w:r>
      <w:r w:rsidR="001612ED">
        <w:t xml:space="preserve">(the </w:t>
      </w:r>
      <w:r w:rsidR="006509E5">
        <w:t xml:space="preserve">Regulation), are required to fully implement the Australian Government’s reforms. </w:t>
      </w:r>
    </w:p>
    <w:p w14:paraId="41333428" w14:textId="745ACC18" w:rsidR="00D00891" w:rsidRDefault="002E211E" w:rsidP="006509E5">
      <w:pPr>
        <w:pStyle w:val="Bullet"/>
        <w:numPr>
          <w:ilvl w:val="0"/>
          <w:numId w:val="0"/>
        </w:numPr>
      </w:pPr>
      <w:r>
        <w:t>The</w:t>
      </w:r>
      <w:r w:rsidR="00D00891">
        <w:t xml:space="preserve"> </w:t>
      </w:r>
      <w:r w:rsidR="00A00232">
        <w:t xml:space="preserve">Regulation </w:t>
      </w:r>
      <w:r w:rsidR="00B40F22">
        <w:t>amend</w:t>
      </w:r>
      <w:r>
        <w:t>s</w:t>
      </w:r>
      <w:r w:rsidR="00B40F22">
        <w:t xml:space="preserve"> </w:t>
      </w:r>
      <w:r w:rsidR="00BF05F2">
        <w:t xml:space="preserve">the </w:t>
      </w:r>
      <w:r w:rsidR="00BF05F2">
        <w:rPr>
          <w:i/>
        </w:rPr>
        <w:t xml:space="preserve">Corporations Regulations 2001 </w:t>
      </w:r>
      <w:r w:rsidR="00BF05F2">
        <w:t>(the Principal Regulations)</w:t>
      </w:r>
      <w:r w:rsidR="001D7A83">
        <w:t xml:space="preserve"> and the </w:t>
      </w:r>
      <w:r w:rsidR="001D7A83" w:rsidRPr="001D7A83">
        <w:rPr>
          <w:i/>
        </w:rPr>
        <w:t>Bankruptcy Regulations 1996</w:t>
      </w:r>
      <w:r w:rsidR="00B40F22">
        <w:t xml:space="preserve"> </w:t>
      </w:r>
      <w:r w:rsidR="001612ED">
        <w:t>(the Bankruptcy Regulations</w:t>
      </w:r>
      <w:r w:rsidR="001D7A83">
        <w:t xml:space="preserve">) </w:t>
      </w:r>
      <w:r w:rsidR="00B40F22">
        <w:t>to:</w:t>
      </w:r>
    </w:p>
    <w:p w14:paraId="6464C80F" w14:textId="0EC40DC6" w:rsidR="00B2556B" w:rsidRDefault="00B2556B" w:rsidP="004D4455">
      <w:pPr>
        <w:pStyle w:val="Bullet"/>
      </w:pPr>
      <w:r>
        <w:t xml:space="preserve">Delay the commencement of Part 3 of Schedule 2 - Insolvency Practice Schedule (Corporations) to the </w:t>
      </w:r>
      <w:r w:rsidR="001612ED">
        <w:t xml:space="preserve">Amending </w:t>
      </w:r>
      <w:r>
        <w:t xml:space="preserve">Act and amendments to the Corporations Act consequential on this Part; </w:t>
      </w:r>
    </w:p>
    <w:p w14:paraId="095BC603" w14:textId="77777777" w:rsidR="00D00891" w:rsidRDefault="00D13D93" w:rsidP="004D4455">
      <w:pPr>
        <w:pStyle w:val="Bullet"/>
      </w:pPr>
      <w:r>
        <w:t>r</w:t>
      </w:r>
      <w:r w:rsidR="00DD01A7">
        <w:t>e</w:t>
      </w:r>
      <w:r w:rsidR="00193D85">
        <w:t>peal</w:t>
      </w:r>
      <w:r w:rsidR="00DD01A7">
        <w:t xml:space="preserve"> provisions made redundant as a result of the amending Act; </w:t>
      </w:r>
      <w:r w:rsidR="001D7A83">
        <w:t>and</w:t>
      </w:r>
    </w:p>
    <w:p w14:paraId="20C81D69" w14:textId="77777777" w:rsidR="00193D85" w:rsidRDefault="00D13D93" w:rsidP="0097628D">
      <w:pPr>
        <w:pStyle w:val="Bullet"/>
      </w:pPr>
      <w:r>
        <w:t>r</w:t>
      </w:r>
      <w:r w:rsidR="00193D85">
        <w:t xml:space="preserve">epeal provisions made redundant as a result of legislative instruments to be known as </w:t>
      </w:r>
      <w:r w:rsidR="00193D85">
        <w:rPr>
          <w:i/>
        </w:rPr>
        <w:t>Insolvency Practice Rules (Corporations)</w:t>
      </w:r>
      <w:r w:rsidR="00193D85">
        <w:t xml:space="preserve"> and </w:t>
      </w:r>
      <w:r w:rsidR="00193D85">
        <w:rPr>
          <w:i/>
        </w:rPr>
        <w:t>Insolvency Practice Rules (Bankruptcy)</w:t>
      </w:r>
      <w:r w:rsidR="00193D85">
        <w:t xml:space="preserve"> </w:t>
      </w:r>
      <w:r w:rsidR="00193D85">
        <w:lastRenderedPageBreak/>
        <w:t>that will be made by the Minister for Revenue and Financial Services and the Attorney</w:t>
      </w:r>
      <w:r w:rsidR="00193D85">
        <w:noBreakHyphen/>
        <w:t xml:space="preserve">General </w:t>
      </w:r>
      <w:r w:rsidR="00212B97">
        <w:t>respectively</w:t>
      </w:r>
      <w:r w:rsidR="0097628D">
        <w:t>.</w:t>
      </w:r>
    </w:p>
    <w:p w14:paraId="381D0117" w14:textId="58EC1525" w:rsidR="00212B97" w:rsidRDefault="00212B97" w:rsidP="00212B97">
      <w:pPr>
        <w:pStyle w:val="Bullet"/>
        <w:numPr>
          <w:ilvl w:val="0"/>
          <w:numId w:val="0"/>
        </w:numPr>
        <w:spacing w:before="0" w:after="240"/>
      </w:pPr>
      <w:r>
        <w:t xml:space="preserve">The Regulation also </w:t>
      </w:r>
      <w:r w:rsidR="001D7A83">
        <w:t xml:space="preserve">consequentially </w:t>
      </w:r>
      <w:r>
        <w:t>amends other legislative instruments</w:t>
      </w:r>
      <w:r w:rsidR="0097628D">
        <w:t xml:space="preserve">, </w:t>
      </w:r>
      <w:r w:rsidR="0097628D" w:rsidRPr="001D7A83">
        <w:t>including the</w:t>
      </w:r>
      <w:r w:rsidR="0097628D" w:rsidRPr="0097628D">
        <w:rPr>
          <w:i/>
        </w:rPr>
        <w:t xml:space="preserve"> Corporations (Aboriginal and Torres Strait Islander) Regulations 2007</w:t>
      </w:r>
      <w:r w:rsidR="00E605EC">
        <w:rPr>
          <w:i/>
        </w:rPr>
        <w:t xml:space="preserve"> </w:t>
      </w:r>
      <w:r w:rsidR="00E605EC">
        <w:t>(CATSI Regulations)</w:t>
      </w:r>
      <w:r w:rsidR="0097628D">
        <w:t>,</w:t>
      </w:r>
      <w:r>
        <w:t xml:space="preserve"> as a </w:t>
      </w:r>
      <w:r w:rsidR="001D7A83">
        <w:t xml:space="preserve">result </w:t>
      </w:r>
      <w:r>
        <w:t xml:space="preserve">of </w:t>
      </w:r>
      <w:r w:rsidR="0097628D">
        <w:t xml:space="preserve">the </w:t>
      </w:r>
      <w:r w:rsidR="00E605EC">
        <w:t>A</w:t>
      </w:r>
      <w:r w:rsidR="0097628D">
        <w:t xml:space="preserve">mending Act and the delayed commencement of Part 3 of Schedule 2 - Insolvency Practice Schedule (Corporations) to the </w:t>
      </w:r>
      <w:r w:rsidR="001612ED">
        <w:t xml:space="preserve">Amending </w:t>
      </w:r>
      <w:r w:rsidR="0097628D">
        <w:t xml:space="preserve">Act. </w:t>
      </w:r>
    </w:p>
    <w:p w14:paraId="4BBF8ED2" w14:textId="081B87E4" w:rsidR="00D00891" w:rsidRDefault="00212B97" w:rsidP="00212B97">
      <w:pPr>
        <w:pStyle w:val="Bullet"/>
        <w:numPr>
          <w:ilvl w:val="0"/>
          <w:numId w:val="0"/>
        </w:numPr>
        <w:spacing w:before="0" w:after="240"/>
      </w:pPr>
      <w:r>
        <w:t>D</w:t>
      </w:r>
      <w:r w:rsidR="00D00891">
        <w:t>etails of the Regulation are set out in</w:t>
      </w:r>
      <w:r>
        <w:t xml:space="preserve"> </w:t>
      </w:r>
      <w:r w:rsidR="001612ED">
        <w:t xml:space="preserve">the </w:t>
      </w:r>
      <w:r w:rsidR="00D00891" w:rsidRPr="00D00891">
        <w:rPr>
          <w:u w:val="single"/>
        </w:rPr>
        <w:t>Attachmen</w:t>
      </w:r>
      <w:r>
        <w:rPr>
          <w:u w:val="single"/>
        </w:rPr>
        <w:t>t</w:t>
      </w:r>
      <w:r w:rsidR="00D00891">
        <w:t xml:space="preserve">. </w:t>
      </w:r>
    </w:p>
    <w:p w14:paraId="0ED6E25D" w14:textId="77777777" w:rsidR="00056D02" w:rsidRDefault="00056D02" w:rsidP="00212B97">
      <w:pPr>
        <w:pStyle w:val="Bullet"/>
        <w:numPr>
          <w:ilvl w:val="0"/>
          <w:numId w:val="0"/>
        </w:numPr>
        <w:spacing w:before="0" w:after="240"/>
      </w:pPr>
      <w:r>
        <w:t xml:space="preserve">The Regulation has been informed by public consultation on a proposals paper outlining the contents of the legislative instrument released in 2015 and on a draft of the instrument in 2016. As a result of industry feedback following the passage of the Amending Act, the Australian Government agreed to the partial delay of the commencement of the Amending Act to ensure an efficient transition to the new obligations. In particular, the delay will allow for the development and dissemination of insolvency firm software used by the majority of the industry. </w:t>
      </w:r>
    </w:p>
    <w:p w14:paraId="64B6B59E" w14:textId="77777777" w:rsidR="001D7A83" w:rsidRDefault="001D7A83" w:rsidP="00212B97">
      <w:pPr>
        <w:pStyle w:val="Bullet"/>
        <w:numPr>
          <w:ilvl w:val="0"/>
          <w:numId w:val="0"/>
        </w:numPr>
        <w:spacing w:before="0" w:after="240"/>
      </w:pPr>
      <w:r>
        <w:t xml:space="preserve">The approval of the Legislative Governance Forum on Corporations </w:t>
      </w:r>
      <w:r w:rsidR="00A00232">
        <w:t xml:space="preserve">has been obtained </w:t>
      </w:r>
      <w:r>
        <w:t xml:space="preserve">for the amendments in the Regulation in accordance with the </w:t>
      </w:r>
      <w:r w:rsidRPr="001D7A83">
        <w:rPr>
          <w:i/>
        </w:rPr>
        <w:t>Corporations Agreement 2002</w:t>
      </w:r>
      <w:r>
        <w:t>.</w:t>
      </w:r>
    </w:p>
    <w:p w14:paraId="50625234" w14:textId="77777777" w:rsidR="00ED66EF" w:rsidRDefault="00DB3D2F" w:rsidP="00ED66EF">
      <w:r>
        <w:t>The</w:t>
      </w:r>
      <w:r w:rsidR="00270F06">
        <w:t xml:space="preserve"> Early Assessment</w:t>
      </w:r>
      <w:r w:rsidR="00ED66EF">
        <w:t xml:space="preserve"> Regulation Impact Statement prepared for the introduction of the </w:t>
      </w:r>
      <w:r w:rsidR="008A37E5">
        <w:t>A</w:t>
      </w:r>
      <w:r w:rsidR="00ED66EF">
        <w:t>mending Act in December 2015</w:t>
      </w:r>
      <w:r>
        <w:t>, and published as part of the Explanatory Memorandum to that Act,</w:t>
      </w:r>
      <w:r w:rsidR="00270F06">
        <w:t xml:space="preserve"> has been updated</w:t>
      </w:r>
      <w:r>
        <w:t xml:space="preserve">. A Final </w:t>
      </w:r>
      <w:r w:rsidR="00ED66EF">
        <w:t xml:space="preserve">RIS </w:t>
      </w:r>
      <w:r>
        <w:t xml:space="preserve">will be published when the </w:t>
      </w:r>
      <w:r w:rsidRPr="00331EB7">
        <w:t>Insolvency Practice Rules (Corporations)</w:t>
      </w:r>
      <w:r w:rsidRPr="004F32D6">
        <w:t xml:space="preserve"> and </w:t>
      </w:r>
      <w:r w:rsidRPr="00331EB7">
        <w:t>Insolvency Practice Rules (Bankruptcy)</w:t>
      </w:r>
      <w:r>
        <w:t xml:space="preserve"> are made. </w:t>
      </w:r>
    </w:p>
    <w:p w14:paraId="66F86CA1" w14:textId="4A8B2AC7" w:rsidR="00ED66EF" w:rsidRDefault="00ED66EF" w:rsidP="00ED66EF">
      <w:pPr>
        <w:pStyle w:val="Bullet"/>
        <w:numPr>
          <w:ilvl w:val="0"/>
          <w:numId w:val="0"/>
        </w:numPr>
        <w:spacing w:before="0" w:after="240"/>
      </w:pPr>
      <w:r>
        <w:t xml:space="preserve">The Regulation commences on the day that the </w:t>
      </w:r>
      <w:r w:rsidR="00E605EC">
        <w:t>A</w:t>
      </w:r>
      <w:r>
        <w:t xml:space="preserve">mending Act commences (which will be 1 March 2017), with Schedule 1, Part 2 of the Regulation commencing on 1 September 2017. </w:t>
      </w:r>
    </w:p>
    <w:p w14:paraId="636C513A" w14:textId="77777777" w:rsidR="00ED66EF" w:rsidRDefault="00ED66EF" w:rsidP="00ED66EF"/>
    <w:p w14:paraId="4D74F7C2" w14:textId="77777777" w:rsidR="00ED66EF" w:rsidRDefault="00ED66EF" w:rsidP="00212B97">
      <w:pPr>
        <w:pStyle w:val="Bullet"/>
        <w:numPr>
          <w:ilvl w:val="0"/>
          <w:numId w:val="0"/>
        </w:numPr>
        <w:spacing w:before="0" w:after="240"/>
      </w:pPr>
    </w:p>
    <w:p w14:paraId="1B51B794" w14:textId="77777777" w:rsidR="002C3AF8" w:rsidRDefault="002C3AF8">
      <w:pPr>
        <w:spacing w:before="0" w:after="200" w:line="276" w:lineRule="auto"/>
        <w:rPr>
          <w:rFonts w:asciiTheme="majorHAnsi" w:eastAsiaTheme="majorEastAsia" w:hAnsiTheme="majorHAnsi" w:cstheme="majorBidi"/>
          <w:b/>
          <w:bCs/>
        </w:rPr>
      </w:pPr>
      <w:r>
        <w:br w:type="page"/>
      </w:r>
    </w:p>
    <w:p w14:paraId="28FC6409" w14:textId="77777777" w:rsidR="002B2DDC" w:rsidRPr="002B2DDC" w:rsidRDefault="002B2DDC" w:rsidP="002B2DDC">
      <w:pPr>
        <w:pStyle w:val="Heading3"/>
        <w:jc w:val="center"/>
        <w:rPr>
          <w:color w:val="auto"/>
        </w:rPr>
      </w:pPr>
      <w:r w:rsidRPr="002B2DDC">
        <w:rPr>
          <w:color w:val="auto"/>
        </w:rPr>
        <w:lastRenderedPageBreak/>
        <w:t>Statement of Compatibility with Human Rights</w:t>
      </w:r>
    </w:p>
    <w:p w14:paraId="75967ABE" w14:textId="77777777" w:rsidR="002B2DDC" w:rsidRPr="002B2DDC" w:rsidRDefault="002B2DDC" w:rsidP="002B2DDC"/>
    <w:p w14:paraId="28EFC42F" w14:textId="77777777" w:rsidR="002B2DDC" w:rsidRDefault="002B2DDC" w:rsidP="002B2DDC">
      <w:pPr>
        <w:jc w:val="center"/>
        <w:rPr>
          <w:i/>
        </w:rPr>
      </w:pPr>
      <w:r w:rsidRPr="00E4438C">
        <w:rPr>
          <w:i/>
        </w:rPr>
        <w:t>Prepared in accordance with Part 3 of the Human Rights (Parliamentary Scrutiny) Act 2011</w:t>
      </w:r>
    </w:p>
    <w:p w14:paraId="11460DFA" w14:textId="77777777" w:rsidR="002B2DDC" w:rsidRDefault="002B2DDC" w:rsidP="002B2DDC">
      <w:pPr>
        <w:jc w:val="center"/>
        <w:rPr>
          <w:i/>
        </w:rPr>
      </w:pPr>
    </w:p>
    <w:p w14:paraId="4792ED90" w14:textId="77777777" w:rsidR="002B2DDC" w:rsidRDefault="002B2DDC" w:rsidP="002B2DDC">
      <w:pPr>
        <w:jc w:val="center"/>
        <w:rPr>
          <w:i/>
        </w:rPr>
      </w:pPr>
      <w:r w:rsidRPr="00B40F22">
        <w:rPr>
          <w:i/>
        </w:rPr>
        <w:t>Corporations and Other Legislation Amendment (Insolvency Law Reform) Regulation 2016</w:t>
      </w:r>
    </w:p>
    <w:p w14:paraId="6AB07A90" w14:textId="77777777" w:rsidR="002B2DDC" w:rsidRDefault="002B2DDC" w:rsidP="002B2DDC">
      <w:pPr>
        <w:rPr>
          <w:i/>
        </w:rPr>
      </w:pPr>
    </w:p>
    <w:p w14:paraId="0F5ACA92" w14:textId="77777777" w:rsidR="002B2DDC" w:rsidRPr="00B15EE9" w:rsidRDefault="002B2DDC" w:rsidP="002B2DDC">
      <w:pPr>
        <w:rPr>
          <w:szCs w:val="24"/>
        </w:rPr>
      </w:pPr>
      <w:r>
        <w:t xml:space="preserve">This Legislative Instrument is compatible with the human rights and freedoms </w:t>
      </w:r>
      <w:r w:rsidRPr="00B15EE9">
        <w:rPr>
          <w:szCs w:val="24"/>
        </w:rPr>
        <w:t xml:space="preserve">recognised or declared in the international instruments listed in section 3 of the </w:t>
      </w:r>
      <w:r w:rsidRPr="00B15EE9">
        <w:rPr>
          <w:i/>
          <w:szCs w:val="24"/>
        </w:rPr>
        <w:t>Human Rights (Parliamentary Scrutiny) Act 2011</w:t>
      </w:r>
      <w:r w:rsidRPr="00B15EE9">
        <w:rPr>
          <w:szCs w:val="24"/>
        </w:rPr>
        <w:t>.</w:t>
      </w:r>
      <w:r w:rsidRPr="00B15EE9">
        <w:rPr>
          <w:szCs w:val="24"/>
        </w:rPr>
        <w:br/>
      </w:r>
    </w:p>
    <w:p w14:paraId="2919F7DE" w14:textId="77777777" w:rsidR="002B2DDC" w:rsidRPr="002B2DDC" w:rsidRDefault="002B2DDC" w:rsidP="002B2DDC">
      <w:pPr>
        <w:pStyle w:val="Heading4"/>
        <w:rPr>
          <w:b w:val="0"/>
          <w:i w:val="0"/>
          <w:color w:val="auto"/>
          <w:szCs w:val="24"/>
        </w:rPr>
      </w:pPr>
      <w:r w:rsidRPr="002B2DDC">
        <w:rPr>
          <w:i w:val="0"/>
          <w:color w:val="auto"/>
          <w:szCs w:val="24"/>
        </w:rPr>
        <w:t>Overview of the Legislative Instrument</w:t>
      </w:r>
    </w:p>
    <w:p w14:paraId="6446B54C" w14:textId="77777777" w:rsidR="002B2DDC" w:rsidRDefault="002B2DDC" w:rsidP="002B2DDC">
      <w:pPr>
        <w:spacing w:after="240"/>
        <w:ind w:right="91"/>
      </w:pPr>
      <w:r>
        <w:t xml:space="preserve">The </w:t>
      </w:r>
      <w:r w:rsidRPr="00B40F22">
        <w:rPr>
          <w:i/>
        </w:rPr>
        <w:t>Corporations and Other Legislation Amendment (Insolvency Law Reform) Regulation 2016</w:t>
      </w:r>
      <w:r>
        <w:t xml:space="preserve">  amend</w:t>
      </w:r>
      <w:r w:rsidR="00ED66EF">
        <w:t>s</w:t>
      </w:r>
      <w:r>
        <w:t xml:space="preserve"> the </w:t>
      </w:r>
      <w:r w:rsidRPr="007A34FD">
        <w:rPr>
          <w:i/>
        </w:rPr>
        <w:t>Corporations Regulations</w:t>
      </w:r>
      <w:r>
        <w:t xml:space="preserve"> </w:t>
      </w:r>
      <w:r>
        <w:rPr>
          <w:i/>
        </w:rPr>
        <w:t xml:space="preserve">2001, </w:t>
      </w:r>
      <w:r>
        <w:t xml:space="preserve">the </w:t>
      </w:r>
      <w:r w:rsidRPr="002B2DDC">
        <w:rPr>
          <w:i/>
        </w:rPr>
        <w:t>Bankruptcy Regulations 1996</w:t>
      </w:r>
      <w:r>
        <w:t xml:space="preserve"> and various other legislative instruments to:</w:t>
      </w:r>
    </w:p>
    <w:p w14:paraId="07A6008D" w14:textId="77777777" w:rsidR="002B2DDC" w:rsidRDefault="002B2DDC" w:rsidP="002B2DDC">
      <w:pPr>
        <w:pStyle w:val="Bullet"/>
      </w:pPr>
      <w:r>
        <w:t xml:space="preserve">Repeal provisions made redundant as a result of the amending Act; </w:t>
      </w:r>
    </w:p>
    <w:p w14:paraId="066FCFD5" w14:textId="77777777" w:rsidR="002B2DDC" w:rsidRDefault="00ED66EF" w:rsidP="002B2DDC">
      <w:pPr>
        <w:pStyle w:val="Bullet"/>
      </w:pPr>
      <w:r>
        <w:t>r</w:t>
      </w:r>
      <w:r w:rsidR="002B2DDC">
        <w:t xml:space="preserve">epeal provisions made redundant as a result of legislative instruments to be known as </w:t>
      </w:r>
      <w:r w:rsidR="002B2DDC">
        <w:rPr>
          <w:i/>
        </w:rPr>
        <w:t>Insolvency Practice Rules (Corporations)</w:t>
      </w:r>
      <w:r w:rsidR="002B2DDC">
        <w:t xml:space="preserve"> and </w:t>
      </w:r>
      <w:r w:rsidR="002B2DDC">
        <w:rPr>
          <w:i/>
        </w:rPr>
        <w:t>Insolvency Practice Rules (Bankruptcy)</w:t>
      </w:r>
      <w:r w:rsidR="002B2DDC">
        <w:t xml:space="preserve"> that will be made by the Minister for Revenue and Financial Services and the Attorney</w:t>
      </w:r>
      <w:r w:rsidR="002B2DDC">
        <w:noBreakHyphen/>
        <w:t>General respectively;</w:t>
      </w:r>
    </w:p>
    <w:p w14:paraId="0A84D11C" w14:textId="0C2A9015" w:rsidR="002B2DDC" w:rsidRDefault="00ED66EF" w:rsidP="002B2DDC">
      <w:pPr>
        <w:pStyle w:val="Bullet"/>
        <w:numPr>
          <w:ilvl w:val="0"/>
          <w:numId w:val="7"/>
        </w:numPr>
        <w:spacing w:before="0" w:after="240"/>
        <w:ind w:right="91"/>
      </w:pPr>
      <w:r>
        <w:t>d</w:t>
      </w:r>
      <w:r w:rsidR="002B2DDC">
        <w:t xml:space="preserve">elay the commencement of Part 3 of Schedule 2 - Insolvency Practice Schedule (Corporations) to the </w:t>
      </w:r>
      <w:r w:rsidR="001612ED">
        <w:t xml:space="preserve">Amending </w:t>
      </w:r>
      <w:r w:rsidR="002B2DDC">
        <w:t xml:space="preserve">Act and amendments to the Act consequential on this Part; and </w:t>
      </w:r>
    </w:p>
    <w:p w14:paraId="2456D187" w14:textId="3BFA852A" w:rsidR="002B2DDC" w:rsidRDefault="00ED66EF" w:rsidP="002B2DDC">
      <w:pPr>
        <w:pStyle w:val="Bullet"/>
        <w:numPr>
          <w:ilvl w:val="0"/>
          <w:numId w:val="7"/>
        </w:numPr>
        <w:spacing w:before="0" w:after="240"/>
        <w:ind w:right="91"/>
      </w:pPr>
      <w:r>
        <w:t>c</w:t>
      </w:r>
      <w:r w:rsidR="002B2DDC">
        <w:t xml:space="preserve">onsequentially amend other legislative instruments, </w:t>
      </w:r>
      <w:r w:rsidR="002B2DDC" w:rsidRPr="001D7A83">
        <w:t>including the</w:t>
      </w:r>
      <w:r w:rsidR="002B2DDC" w:rsidRPr="0097628D">
        <w:rPr>
          <w:i/>
        </w:rPr>
        <w:t xml:space="preserve"> Corporations (Aboriginal and Torres Strait Islander) Regulations 2007</w:t>
      </w:r>
      <w:r w:rsidR="002B2DDC">
        <w:t xml:space="preserve">, as a result of the amending Act and the delayed commencement of Part 3 of Schedule 2 - Insolvency Practice Schedule (Corporations) to the </w:t>
      </w:r>
      <w:r w:rsidR="00C75488">
        <w:t xml:space="preserve">Amending </w:t>
      </w:r>
      <w:r w:rsidR="002B2DDC">
        <w:t>Act.</w:t>
      </w:r>
    </w:p>
    <w:p w14:paraId="31B0DDEB" w14:textId="77777777" w:rsidR="002B2DDC" w:rsidRPr="00151086" w:rsidRDefault="002B2DDC" w:rsidP="002B2DDC">
      <w:r w:rsidRPr="00CA5DE5">
        <w:rPr>
          <w:b/>
        </w:rPr>
        <w:t>Human rights implications</w:t>
      </w:r>
    </w:p>
    <w:p w14:paraId="693E4AD9" w14:textId="77777777" w:rsidR="002B2DDC" w:rsidRDefault="002B2DDC" w:rsidP="002B2DDC">
      <w:r>
        <w:t>This Legislative Instrument does not engage any of the applicable rights or freedoms.</w:t>
      </w:r>
      <w:r>
        <w:br/>
      </w:r>
    </w:p>
    <w:p w14:paraId="15CA55CE" w14:textId="77777777" w:rsidR="002B2DDC" w:rsidRPr="002B2DDC" w:rsidRDefault="002B2DDC" w:rsidP="002B2DDC">
      <w:pPr>
        <w:pStyle w:val="Heading4"/>
        <w:rPr>
          <w:b w:val="0"/>
          <w:i w:val="0"/>
          <w:color w:val="auto"/>
          <w:szCs w:val="24"/>
        </w:rPr>
      </w:pPr>
      <w:r w:rsidRPr="002B2DDC">
        <w:rPr>
          <w:i w:val="0"/>
          <w:color w:val="auto"/>
          <w:szCs w:val="24"/>
        </w:rPr>
        <w:t>Conclusion</w:t>
      </w:r>
    </w:p>
    <w:p w14:paraId="0E4A73B1" w14:textId="77777777" w:rsidR="002B2DDC" w:rsidRDefault="002B2DDC" w:rsidP="002B2DDC">
      <w:pPr>
        <w:rPr>
          <w:b/>
          <w:bCs/>
          <w:szCs w:val="24"/>
          <w:u w:val="single"/>
        </w:rPr>
      </w:pPr>
      <w:r w:rsidRPr="00B15EE9">
        <w:rPr>
          <w:szCs w:val="24"/>
        </w:rPr>
        <w:t>This Legislative Instrument</w:t>
      </w:r>
      <w:r>
        <w:t xml:space="preserve"> is compatible with human rights as it does not raise any human rights issues.</w:t>
      </w:r>
    </w:p>
    <w:p w14:paraId="5944F516" w14:textId="77777777" w:rsidR="00084214" w:rsidRDefault="00084214" w:rsidP="00084214">
      <w:pPr>
        <w:spacing w:before="0" w:after="0"/>
        <w:rPr>
          <w:b/>
          <w:bCs/>
          <w:szCs w:val="24"/>
          <w:u w:val="single"/>
        </w:rPr>
      </w:pPr>
      <w:r>
        <w:rPr>
          <w:b/>
          <w:bCs/>
          <w:szCs w:val="24"/>
          <w:u w:val="single"/>
        </w:rPr>
        <w:br w:type="page"/>
      </w:r>
    </w:p>
    <w:p w14:paraId="457B3824" w14:textId="0EB8F728" w:rsidR="00084214" w:rsidRPr="00E323CD" w:rsidRDefault="00084214" w:rsidP="00084214">
      <w:pPr>
        <w:shd w:val="clear" w:color="auto" w:fill="FFFFFF"/>
        <w:spacing w:before="100" w:beforeAutospacing="1" w:after="100" w:afterAutospacing="1"/>
        <w:jc w:val="right"/>
        <w:rPr>
          <w:szCs w:val="24"/>
          <w:lang w:val="en-US"/>
        </w:rPr>
      </w:pPr>
      <w:r w:rsidRPr="00E323CD">
        <w:rPr>
          <w:b/>
          <w:bCs/>
          <w:szCs w:val="24"/>
          <w:u w:val="single"/>
        </w:rPr>
        <w:lastRenderedPageBreak/>
        <w:t>ATTACHMENT</w:t>
      </w:r>
    </w:p>
    <w:p w14:paraId="23258D2E" w14:textId="77777777" w:rsidR="00084214" w:rsidRDefault="00084214" w:rsidP="00084214">
      <w:pPr>
        <w:rPr>
          <w:i/>
        </w:rPr>
      </w:pPr>
      <w:r w:rsidRPr="00E323CD">
        <w:rPr>
          <w:b/>
          <w:bCs/>
          <w:szCs w:val="24"/>
          <w:u w:val="single"/>
        </w:rPr>
        <w:t xml:space="preserve">Details of the </w:t>
      </w:r>
      <w:r w:rsidRPr="00084214">
        <w:rPr>
          <w:b/>
          <w:i/>
          <w:u w:val="single"/>
        </w:rPr>
        <w:t>Corporations and Other Legislation Amendment (Insolvency Law Reform) Regulation 2016</w:t>
      </w:r>
    </w:p>
    <w:p w14:paraId="72A5D7DA" w14:textId="63C93F2D" w:rsidR="00084214" w:rsidRDefault="00084214" w:rsidP="00084214">
      <w:pPr>
        <w:rPr>
          <w:szCs w:val="24"/>
          <w:lang w:val="en-US"/>
        </w:rPr>
      </w:pPr>
      <w:r>
        <w:rPr>
          <w:szCs w:val="24"/>
          <w:lang w:val="en-US"/>
        </w:rPr>
        <w:t xml:space="preserve">This Attachment sets out further details of the </w:t>
      </w:r>
      <w:r w:rsidRPr="00D00891">
        <w:rPr>
          <w:i/>
        </w:rPr>
        <w:t>Corporations and Other Legislation Amendment (Insolvency Law Reform) Regulation 2016</w:t>
      </w:r>
      <w:r w:rsidR="001612ED">
        <w:rPr>
          <w:szCs w:val="24"/>
          <w:lang w:val="en-US"/>
        </w:rPr>
        <w:t xml:space="preserve"> (the </w:t>
      </w:r>
      <w:r>
        <w:rPr>
          <w:szCs w:val="24"/>
          <w:lang w:val="en-US"/>
        </w:rPr>
        <w:t xml:space="preserve">Regulation). </w:t>
      </w:r>
      <w:r w:rsidRPr="00E323CD">
        <w:rPr>
          <w:szCs w:val="24"/>
          <w:lang w:val="en-US"/>
        </w:rPr>
        <w:t>All references are to the</w:t>
      </w:r>
      <w:r>
        <w:rPr>
          <w:szCs w:val="24"/>
          <w:lang w:val="en-US"/>
        </w:rPr>
        <w:t xml:space="preserve"> Regulation</w:t>
      </w:r>
      <w:r w:rsidRPr="00E323CD">
        <w:rPr>
          <w:szCs w:val="24"/>
          <w:lang w:val="en-US"/>
        </w:rPr>
        <w:t xml:space="preserve"> unless otherwise stated.</w:t>
      </w:r>
    </w:p>
    <w:p w14:paraId="5F56C499" w14:textId="77777777" w:rsidR="00084214" w:rsidRPr="00A43D68" w:rsidRDefault="00084214" w:rsidP="00084214">
      <w:pPr>
        <w:shd w:val="clear" w:color="auto" w:fill="FFFFFF"/>
        <w:spacing w:before="100" w:beforeAutospacing="1" w:after="100" w:afterAutospacing="1"/>
        <w:rPr>
          <w:szCs w:val="24"/>
          <w:lang w:val="en-US"/>
        </w:rPr>
      </w:pPr>
      <w:r w:rsidRPr="00A43D68">
        <w:rPr>
          <w:b/>
          <w:bCs/>
          <w:szCs w:val="24"/>
          <w:u w:val="single"/>
        </w:rPr>
        <w:t>Part 1 – Preliminary</w:t>
      </w:r>
    </w:p>
    <w:p w14:paraId="1EC10BE8" w14:textId="77777777" w:rsidR="00084214" w:rsidRPr="00135E2C" w:rsidRDefault="00084214" w:rsidP="00084214">
      <w:pPr>
        <w:shd w:val="clear" w:color="auto" w:fill="FFFFFF"/>
        <w:spacing w:before="100" w:beforeAutospacing="1" w:after="100" w:afterAutospacing="1"/>
        <w:rPr>
          <w:szCs w:val="24"/>
          <w:lang w:val="en-US"/>
        </w:rPr>
      </w:pPr>
      <w:r w:rsidRPr="00CA5DE5">
        <w:rPr>
          <w:i/>
          <w:iCs/>
          <w:szCs w:val="24"/>
        </w:rPr>
        <w:t>Section 1</w:t>
      </w:r>
      <w:r w:rsidRPr="00135E2C">
        <w:rPr>
          <w:i/>
          <w:iCs/>
          <w:szCs w:val="24"/>
        </w:rPr>
        <w:t xml:space="preserve"> – Name of Regulation</w:t>
      </w:r>
    </w:p>
    <w:p w14:paraId="6EF29374" w14:textId="77777777" w:rsidR="00084214" w:rsidRPr="00135E2C" w:rsidRDefault="00084214" w:rsidP="00084214">
      <w:pPr>
        <w:shd w:val="clear" w:color="auto" w:fill="FFFFFF"/>
        <w:spacing w:before="100" w:beforeAutospacing="1" w:after="100" w:afterAutospacing="1"/>
        <w:rPr>
          <w:szCs w:val="24"/>
          <w:lang w:val="en-US"/>
        </w:rPr>
      </w:pPr>
      <w:r w:rsidRPr="00135E2C">
        <w:rPr>
          <w:szCs w:val="24"/>
        </w:rPr>
        <w:t xml:space="preserve">This section provides that the title of the Regulation is the </w:t>
      </w:r>
      <w:r w:rsidR="00A45077" w:rsidRPr="00D00891">
        <w:rPr>
          <w:i/>
        </w:rPr>
        <w:t>Corporations and Other Legislation Amendment (Insolvency Law Reform) Regulation 2016</w:t>
      </w:r>
      <w:r w:rsidRPr="00135E2C">
        <w:rPr>
          <w:szCs w:val="24"/>
        </w:rPr>
        <w:t>.</w:t>
      </w:r>
    </w:p>
    <w:p w14:paraId="6B0FB09D" w14:textId="77777777" w:rsidR="00084214" w:rsidRPr="00135E2C" w:rsidRDefault="00084214" w:rsidP="00084214">
      <w:pPr>
        <w:shd w:val="clear" w:color="auto" w:fill="FFFFFF"/>
        <w:spacing w:before="100" w:beforeAutospacing="1" w:after="100" w:afterAutospacing="1"/>
        <w:rPr>
          <w:szCs w:val="24"/>
          <w:lang w:val="en-US"/>
        </w:rPr>
      </w:pPr>
      <w:r w:rsidRPr="00CA5DE5">
        <w:rPr>
          <w:i/>
          <w:iCs/>
          <w:szCs w:val="24"/>
        </w:rPr>
        <w:t xml:space="preserve">Section </w:t>
      </w:r>
      <w:r>
        <w:rPr>
          <w:i/>
          <w:iCs/>
          <w:szCs w:val="24"/>
        </w:rPr>
        <w:t>2</w:t>
      </w:r>
      <w:r w:rsidRPr="00135E2C">
        <w:rPr>
          <w:i/>
          <w:iCs/>
          <w:szCs w:val="24"/>
        </w:rPr>
        <w:t xml:space="preserve"> – Commencement</w:t>
      </w:r>
    </w:p>
    <w:p w14:paraId="53F77164" w14:textId="77777777" w:rsidR="00A45077" w:rsidRDefault="00084214" w:rsidP="00084214">
      <w:pPr>
        <w:shd w:val="clear" w:color="auto" w:fill="FFFFFF"/>
        <w:spacing w:before="100" w:beforeAutospacing="1" w:after="100" w:afterAutospacing="1"/>
        <w:rPr>
          <w:szCs w:val="24"/>
        </w:rPr>
      </w:pPr>
      <w:r w:rsidRPr="00135E2C">
        <w:rPr>
          <w:szCs w:val="24"/>
        </w:rPr>
        <w:t xml:space="preserve">This section provides that the Regulation </w:t>
      </w:r>
      <w:r w:rsidR="00A45077">
        <w:rPr>
          <w:szCs w:val="24"/>
        </w:rPr>
        <w:t xml:space="preserve">will commence in two stages. </w:t>
      </w:r>
    </w:p>
    <w:p w14:paraId="56C5FAFE" w14:textId="74689DED" w:rsidR="00A45077" w:rsidRDefault="00A45077" w:rsidP="00084214">
      <w:pPr>
        <w:shd w:val="clear" w:color="auto" w:fill="FFFFFF"/>
        <w:spacing w:before="100" w:beforeAutospacing="1" w:after="100" w:afterAutospacing="1"/>
        <w:rPr>
          <w:szCs w:val="24"/>
        </w:rPr>
      </w:pPr>
      <w:r>
        <w:rPr>
          <w:szCs w:val="24"/>
        </w:rPr>
        <w:t>The following provisions of the Regulation will commence</w:t>
      </w:r>
      <w:r w:rsidR="00084214" w:rsidRPr="00135E2C">
        <w:rPr>
          <w:szCs w:val="24"/>
        </w:rPr>
        <w:t xml:space="preserve"> on</w:t>
      </w:r>
      <w:r w:rsidR="00084214">
        <w:rPr>
          <w:szCs w:val="24"/>
        </w:rPr>
        <w:t xml:space="preserve"> </w:t>
      </w:r>
      <w:r>
        <w:rPr>
          <w:szCs w:val="24"/>
        </w:rPr>
        <w:t xml:space="preserve">the day that the </w:t>
      </w:r>
      <w:r w:rsidRPr="00A45077">
        <w:rPr>
          <w:i/>
          <w:szCs w:val="24"/>
        </w:rPr>
        <w:t xml:space="preserve">Insolvency Law Reform Act 2016 </w:t>
      </w:r>
      <w:r w:rsidR="001612ED">
        <w:rPr>
          <w:szCs w:val="24"/>
        </w:rPr>
        <w:t xml:space="preserve">(the Amending Act) </w:t>
      </w:r>
      <w:r>
        <w:rPr>
          <w:szCs w:val="24"/>
        </w:rPr>
        <w:t>commences:</w:t>
      </w:r>
    </w:p>
    <w:p w14:paraId="043AD12C" w14:textId="77777777" w:rsidR="00A45077" w:rsidRDefault="00A45077" w:rsidP="00A45077">
      <w:pPr>
        <w:pStyle w:val="Bullet"/>
      </w:pPr>
      <w:r>
        <w:t>Sections 1 to 4;</w:t>
      </w:r>
    </w:p>
    <w:p w14:paraId="5F7731DD" w14:textId="77777777" w:rsidR="00A45077" w:rsidRDefault="00A45077" w:rsidP="00A45077">
      <w:pPr>
        <w:pStyle w:val="Bullet"/>
      </w:pPr>
      <w:r>
        <w:t>Schedule 1, Part 1; and</w:t>
      </w:r>
    </w:p>
    <w:p w14:paraId="7AC0E3EB" w14:textId="77777777" w:rsidR="00A45077" w:rsidRDefault="00A45077" w:rsidP="00A45077">
      <w:pPr>
        <w:pStyle w:val="Bullet"/>
      </w:pPr>
      <w:r>
        <w:t xml:space="preserve">Schedule 2. </w:t>
      </w:r>
    </w:p>
    <w:p w14:paraId="54F49925" w14:textId="77777777" w:rsidR="00A45077" w:rsidRDefault="00333A65" w:rsidP="00A45077">
      <w:pPr>
        <w:pStyle w:val="Bullet"/>
        <w:numPr>
          <w:ilvl w:val="0"/>
          <w:numId w:val="0"/>
        </w:numPr>
      </w:pPr>
      <w:r>
        <w:t>Schedule 1, Part 2 of the Regulation will commence on 1 September 2017.</w:t>
      </w:r>
    </w:p>
    <w:p w14:paraId="46A3F423" w14:textId="77777777" w:rsidR="00084214" w:rsidRPr="00135E2C" w:rsidRDefault="00084214" w:rsidP="00084214">
      <w:pPr>
        <w:shd w:val="clear" w:color="auto" w:fill="FFFFFF"/>
        <w:spacing w:before="100" w:beforeAutospacing="1" w:after="100" w:afterAutospacing="1"/>
        <w:rPr>
          <w:szCs w:val="24"/>
          <w:lang w:val="en-US"/>
        </w:rPr>
      </w:pPr>
      <w:r w:rsidRPr="00CA5DE5">
        <w:rPr>
          <w:i/>
          <w:iCs/>
          <w:szCs w:val="24"/>
        </w:rPr>
        <w:t xml:space="preserve">Section </w:t>
      </w:r>
      <w:r>
        <w:rPr>
          <w:i/>
          <w:iCs/>
          <w:szCs w:val="24"/>
        </w:rPr>
        <w:t>3</w:t>
      </w:r>
      <w:r w:rsidRPr="00135E2C">
        <w:rPr>
          <w:i/>
          <w:iCs/>
          <w:szCs w:val="24"/>
        </w:rPr>
        <w:t xml:space="preserve"> – Authority</w:t>
      </w:r>
    </w:p>
    <w:p w14:paraId="1AD9B86F" w14:textId="77777777" w:rsidR="00084214" w:rsidRPr="00135E2C" w:rsidRDefault="00084214" w:rsidP="00084214">
      <w:pPr>
        <w:shd w:val="clear" w:color="auto" w:fill="FFFFFF"/>
        <w:spacing w:before="100" w:beforeAutospacing="1" w:after="100" w:afterAutospacing="1"/>
        <w:rPr>
          <w:szCs w:val="24"/>
          <w:lang w:val="en-US"/>
        </w:rPr>
      </w:pPr>
      <w:r w:rsidRPr="00135E2C">
        <w:rPr>
          <w:szCs w:val="24"/>
        </w:rPr>
        <w:t xml:space="preserve">This section provides that the Regulation is made under </w:t>
      </w:r>
      <w:r w:rsidR="00C40E56">
        <w:rPr>
          <w:szCs w:val="24"/>
        </w:rPr>
        <w:t xml:space="preserve">the authority of </w:t>
      </w:r>
      <w:r w:rsidR="00A45077">
        <w:rPr>
          <w:szCs w:val="24"/>
        </w:rPr>
        <w:t>15 separate pieces of legislation</w:t>
      </w:r>
      <w:r w:rsidRPr="00135E2C">
        <w:rPr>
          <w:szCs w:val="24"/>
        </w:rPr>
        <w:t>.</w:t>
      </w:r>
    </w:p>
    <w:p w14:paraId="2D854C5F" w14:textId="77777777" w:rsidR="00084214" w:rsidRPr="00135E2C" w:rsidRDefault="00084214" w:rsidP="00084214">
      <w:pPr>
        <w:shd w:val="clear" w:color="auto" w:fill="FFFFFF"/>
        <w:spacing w:before="100" w:beforeAutospacing="1" w:after="100" w:afterAutospacing="1"/>
        <w:rPr>
          <w:szCs w:val="24"/>
          <w:lang w:val="en-US"/>
        </w:rPr>
      </w:pPr>
      <w:r w:rsidRPr="00CA5DE5">
        <w:rPr>
          <w:i/>
          <w:iCs/>
          <w:szCs w:val="24"/>
        </w:rPr>
        <w:t xml:space="preserve">Section </w:t>
      </w:r>
      <w:r>
        <w:rPr>
          <w:i/>
          <w:iCs/>
          <w:szCs w:val="24"/>
        </w:rPr>
        <w:t>4</w:t>
      </w:r>
      <w:r w:rsidRPr="00135E2C">
        <w:rPr>
          <w:i/>
          <w:iCs/>
          <w:szCs w:val="24"/>
        </w:rPr>
        <w:t xml:space="preserve"> – Schedules</w:t>
      </w:r>
    </w:p>
    <w:p w14:paraId="6DCFAE61" w14:textId="77777777" w:rsidR="00084214" w:rsidRDefault="00084214" w:rsidP="00084214">
      <w:pPr>
        <w:shd w:val="clear" w:color="auto" w:fill="FFFFFF"/>
        <w:spacing w:before="100" w:beforeAutospacing="1" w:after="100" w:afterAutospacing="1"/>
        <w:rPr>
          <w:szCs w:val="24"/>
          <w:lang w:val="en-US"/>
        </w:rPr>
      </w:pPr>
      <w:r w:rsidRPr="00135E2C">
        <w:rPr>
          <w:szCs w:val="24"/>
        </w:rPr>
        <w:t>This section provides that each instrument that is specified in a Schedule to the Regulation</w:t>
      </w:r>
      <w:r w:rsidRPr="00A43D68">
        <w:rPr>
          <w:szCs w:val="24"/>
        </w:rPr>
        <w:t xml:space="preserve"> is amended or repealed as set out in the applicable items in the Schedule concerned, and any other item in a Schedule to the Regulation has effect according to its terms.</w:t>
      </w:r>
    </w:p>
    <w:p w14:paraId="53619F38" w14:textId="77777777" w:rsidR="00084214" w:rsidRPr="00ED66EF" w:rsidRDefault="00C40E56" w:rsidP="00120E33">
      <w:pPr>
        <w:pStyle w:val="Heading2"/>
        <w:rPr>
          <w:sz w:val="24"/>
        </w:rPr>
      </w:pPr>
      <w:r w:rsidRPr="00ED66EF">
        <w:rPr>
          <w:sz w:val="24"/>
        </w:rPr>
        <w:t xml:space="preserve">Schedule 1, </w:t>
      </w:r>
      <w:r w:rsidR="00A45077" w:rsidRPr="00ED66EF">
        <w:rPr>
          <w:sz w:val="24"/>
        </w:rPr>
        <w:t xml:space="preserve">Part </w:t>
      </w:r>
      <w:r w:rsidRPr="00ED66EF">
        <w:rPr>
          <w:sz w:val="24"/>
        </w:rPr>
        <w:t>1</w:t>
      </w:r>
      <w:r w:rsidR="00A45077" w:rsidRPr="00ED66EF">
        <w:rPr>
          <w:sz w:val="24"/>
        </w:rPr>
        <w:t xml:space="preserve"> – </w:t>
      </w:r>
      <w:r w:rsidR="00333A65" w:rsidRPr="00ED66EF">
        <w:rPr>
          <w:sz w:val="24"/>
        </w:rPr>
        <w:t>Amendments commencing at same time as Schedule 1 to the Insolvency Law Reform Act 2016</w:t>
      </w:r>
    </w:p>
    <w:p w14:paraId="63261B68" w14:textId="77777777" w:rsidR="00120E33" w:rsidRPr="00120E33" w:rsidRDefault="00120E33" w:rsidP="00A45077">
      <w:pPr>
        <w:shd w:val="clear" w:color="auto" w:fill="FFFFFF"/>
        <w:spacing w:before="100" w:beforeAutospacing="1" w:after="100" w:afterAutospacing="1"/>
        <w:rPr>
          <w:b/>
          <w:iCs/>
          <w:szCs w:val="24"/>
        </w:rPr>
      </w:pPr>
      <w:r w:rsidRPr="00120E33">
        <w:rPr>
          <w:b/>
          <w:iCs/>
          <w:szCs w:val="24"/>
        </w:rPr>
        <w:t>Amendments to miscellaneous legislative instruments</w:t>
      </w:r>
    </w:p>
    <w:p w14:paraId="47F64C7B" w14:textId="77777777" w:rsidR="002E211E" w:rsidRDefault="002E211E" w:rsidP="002E211E">
      <w:pPr>
        <w:shd w:val="clear" w:color="auto" w:fill="FFFFFF"/>
        <w:spacing w:before="100" w:beforeAutospacing="1" w:after="100" w:afterAutospacing="1"/>
        <w:rPr>
          <w:i/>
          <w:iCs/>
          <w:szCs w:val="24"/>
        </w:rPr>
      </w:pPr>
      <w:r>
        <w:rPr>
          <w:i/>
          <w:iCs/>
          <w:szCs w:val="24"/>
        </w:rPr>
        <w:t>Items 1-4; 17-28; 42; 45-46; 48-51</w:t>
      </w:r>
    </w:p>
    <w:p w14:paraId="4EE0F382" w14:textId="2338E6C2" w:rsidR="00A45077" w:rsidRDefault="00A45077" w:rsidP="00A45077">
      <w:pPr>
        <w:rPr>
          <w:szCs w:val="24"/>
          <w:lang w:val="en-US"/>
        </w:rPr>
      </w:pPr>
      <w:r>
        <w:rPr>
          <w:szCs w:val="24"/>
          <w:lang w:val="en-US"/>
        </w:rPr>
        <w:t xml:space="preserve">These </w:t>
      </w:r>
      <w:r w:rsidR="00C40E56">
        <w:rPr>
          <w:szCs w:val="24"/>
          <w:lang w:val="en-US"/>
        </w:rPr>
        <w:t xml:space="preserve">items substitute references to an ‘externally-administered body corporate’ </w:t>
      </w:r>
      <w:r w:rsidR="00732DEF">
        <w:rPr>
          <w:szCs w:val="24"/>
          <w:lang w:val="en-US"/>
        </w:rPr>
        <w:t xml:space="preserve">in the following provisions of a range of legislative instruments </w:t>
      </w:r>
      <w:r w:rsidR="00C40E56">
        <w:rPr>
          <w:szCs w:val="24"/>
          <w:lang w:val="en-US"/>
        </w:rPr>
        <w:t xml:space="preserve">with ‘a Chapter 5 body corporate’ in order to reflect changes in terminology made through the </w:t>
      </w:r>
      <w:r w:rsidR="001612ED">
        <w:rPr>
          <w:szCs w:val="24"/>
          <w:lang w:val="en-US"/>
        </w:rPr>
        <w:t>Amending Act</w:t>
      </w:r>
      <w:r w:rsidR="002E211E">
        <w:rPr>
          <w:szCs w:val="24"/>
          <w:lang w:val="en-US"/>
        </w:rPr>
        <w:t xml:space="preserve">.  </w:t>
      </w:r>
    </w:p>
    <w:p w14:paraId="26EAA07D" w14:textId="77777777" w:rsidR="00732DEF" w:rsidRDefault="00732DEF" w:rsidP="00732DEF">
      <w:pPr>
        <w:pStyle w:val="Bullet"/>
      </w:pPr>
      <w:r>
        <w:lastRenderedPageBreak/>
        <w:t xml:space="preserve">Subparagraph 3.315(1)(c)(ii) of the </w:t>
      </w:r>
      <w:r w:rsidRPr="00CC395B">
        <w:rPr>
          <w:i/>
        </w:rPr>
        <w:t>Agricultural and Veterinary Chemicals (Administration) Regulations 1995</w:t>
      </w:r>
      <w:r w:rsidR="00716F93">
        <w:rPr>
          <w:i/>
        </w:rPr>
        <w:t>.</w:t>
      </w:r>
    </w:p>
    <w:p w14:paraId="121BA238" w14:textId="77777777" w:rsidR="00732DEF" w:rsidRDefault="00732DEF" w:rsidP="00732DEF">
      <w:pPr>
        <w:pStyle w:val="Bullet"/>
      </w:pPr>
      <w:r>
        <w:t xml:space="preserve">Subregulation 61(10) of the </w:t>
      </w:r>
      <w:r w:rsidRPr="00CC395B">
        <w:rPr>
          <w:i/>
        </w:rPr>
        <w:t>Agricultur</w:t>
      </w:r>
      <w:r w:rsidR="00CC395B" w:rsidRPr="00CC395B">
        <w:rPr>
          <w:i/>
        </w:rPr>
        <w:t>al and Veterinary Chemicals Code Regulations 1995</w:t>
      </w:r>
      <w:r w:rsidR="00716F93">
        <w:rPr>
          <w:i/>
        </w:rPr>
        <w:t>.</w:t>
      </w:r>
    </w:p>
    <w:p w14:paraId="492B0AC5" w14:textId="77777777" w:rsidR="00CC395B" w:rsidRPr="00CC395B" w:rsidRDefault="00CC395B" w:rsidP="00732DEF">
      <w:pPr>
        <w:pStyle w:val="Bullet"/>
        <w:rPr>
          <w:i/>
        </w:rPr>
      </w:pPr>
      <w:r>
        <w:t xml:space="preserve">Subregulation 33-15.03(2) of </w:t>
      </w:r>
      <w:r w:rsidRPr="00CC395B">
        <w:rPr>
          <w:i/>
        </w:rPr>
        <w:t>A New Tax System (Goods and Services Tax) Regulations 1999</w:t>
      </w:r>
      <w:r w:rsidR="00716F93">
        <w:rPr>
          <w:i/>
        </w:rPr>
        <w:t>.</w:t>
      </w:r>
    </w:p>
    <w:p w14:paraId="13490BE6" w14:textId="77777777" w:rsidR="00CC395B" w:rsidRDefault="00CC395B" w:rsidP="00732DEF">
      <w:pPr>
        <w:pStyle w:val="Bullet"/>
      </w:pPr>
      <w:r>
        <w:t xml:space="preserve">Subparagraph 11.072(1)(g)(i)(A) of the </w:t>
      </w:r>
      <w:r w:rsidRPr="00CC395B">
        <w:rPr>
          <w:i/>
        </w:rPr>
        <w:t>Civil Aviation Safety Regulations 1998</w:t>
      </w:r>
      <w:r w:rsidR="00716F93">
        <w:rPr>
          <w:i/>
        </w:rPr>
        <w:t>.</w:t>
      </w:r>
    </w:p>
    <w:p w14:paraId="745A3258" w14:textId="77777777" w:rsidR="00CC395B" w:rsidRPr="00CC395B" w:rsidRDefault="00CC395B" w:rsidP="00732DEF">
      <w:pPr>
        <w:pStyle w:val="Bullet"/>
        <w:rPr>
          <w:i/>
        </w:rPr>
      </w:pPr>
      <w:r>
        <w:t xml:space="preserve">Paragraph 3(3)(a) of the </w:t>
      </w:r>
      <w:r w:rsidRPr="00CC395B">
        <w:rPr>
          <w:i/>
        </w:rPr>
        <w:t>Coal Mining Industry (Long Service Leave) Administration Regulations 1993</w:t>
      </w:r>
      <w:r w:rsidR="00716F93">
        <w:rPr>
          <w:i/>
        </w:rPr>
        <w:t>.</w:t>
      </w:r>
    </w:p>
    <w:p w14:paraId="434A5839" w14:textId="77777777" w:rsidR="00CC395B" w:rsidRPr="00CC395B" w:rsidRDefault="00CC395B" w:rsidP="00732DEF">
      <w:pPr>
        <w:pStyle w:val="Bullet"/>
        <w:rPr>
          <w:i/>
        </w:rPr>
      </w:pPr>
      <w:r>
        <w:t>Subclause 4.2</w:t>
      </w:r>
      <w:r w:rsidRPr="00CC395B">
        <w:t xml:space="preserve"> </w:t>
      </w:r>
      <w:r>
        <w:t xml:space="preserve">of Schedule 1, Paragraphs 17(3)(g) and 29(1)(b) of Schedule 1, and Paragraph 4.2(c) of Annexure 1 of Schedule 1 to the </w:t>
      </w:r>
      <w:r w:rsidRPr="00CC395B">
        <w:rPr>
          <w:i/>
        </w:rPr>
        <w:t>Competition and Consumer (Industry Codes – Franchising) Regulation 2014</w:t>
      </w:r>
      <w:r w:rsidR="00716F93">
        <w:rPr>
          <w:i/>
        </w:rPr>
        <w:t>.</w:t>
      </w:r>
    </w:p>
    <w:p w14:paraId="16275F19" w14:textId="77777777" w:rsidR="00CC395B" w:rsidRDefault="00716F93" w:rsidP="00732DEF">
      <w:pPr>
        <w:pStyle w:val="Bullet"/>
      </w:pPr>
      <w:r>
        <w:t xml:space="preserve">Subsection 4(2), Paragraphs 29(2)(j) and 36(1)(b) of Schedule 1, Paragraph 4.2(c) of Annexure 1 of Schedule 1, and Paragraph 3.2(c) of Annexure 2 of Schedule 1 to the </w:t>
      </w:r>
      <w:r w:rsidRPr="00716F93">
        <w:rPr>
          <w:i/>
        </w:rPr>
        <w:t>Competition and Consumer (Industry Codes – Oilcode) Regulation 2006</w:t>
      </w:r>
      <w:r>
        <w:t xml:space="preserve">. </w:t>
      </w:r>
    </w:p>
    <w:p w14:paraId="7F77F421" w14:textId="77777777" w:rsidR="004A1B72" w:rsidRDefault="004A1B72" w:rsidP="00732DEF">
      <w:pPr>
        <w:pStyle w:val="Bullet"/>
      </w:pPr>
      <w:r>
        <w:t xml:space="preserve">Subparagraph 9.2A.01(c)(v) </w:t>
      </w:r>
      <w:r w:rsidR="001F035B">
        <w:t xml:space="preserve">and Schedule 10D, table item 2 </w:t>
      </w:r>
      <w:r>
        <w:t xml:space="preserve">of the </w:t>
      </w:r>
      <w:r w:rsidRPr="004A1B72">
        <w:rPr>
          <w:i/>
        </w:rPr>
        <w:t>Corporations Regulations</w:t>
      </w:r>
      <w:r>
        <w:t xml:space="preserve">. </w:t>
      </w:r>
    </w:p>
    <w:p w14:paraId="37DDA314" w14:textId="77777777" w:rsidR="00716F93" w:rsidRDefault="00716F93" w:rsidP="00732DEF">
      <w:pPr>
        <w:pStyle w:val="Bullet"/>
      </w:pPr>
      <w:r>
        <w:t xml:space="preserve">Paragraph 2.01(2)(b) of the </w:t>
      </w:r>
      <w:r w:rsidRPr="00716F93">
        <w:rPr>
          <w:i/>
        </w:rPr>
        <w:t>Dairy Produce Regulations 1986</w:t>
      </w:r>
      <w:r>
        <w:t xml:space="preserve">. </w:t>
      </w:r>
    </w:p>
    <w:p w14:paraId="4CC6114E" w14:textId="77777777" w:rsidR="00716F93" w:rsidRDefault="00716F93" w:rsidP="00732DEF">
      <w:pPr>
        <w:pStyle w:val="Bullet"/>
      </w:pPr>
      <w:r>
        <w:t xml:space="preserve">Subparagraph 2.28(2)(f)(i) of the </w:t>
      </w:r>
      <w:r w:rsidRPr="00716F93">
        <w:rPr>
          <w:i/>
        </w:rPr>
        <w:t>National Greenhouse and Energy Reporting Regulations 2008</w:t>
      </w:r>
      <w:r>
        <w:t>.</w:t>
      </w:r>
    </w:p>
    <w:p w14:paraId="6592AB69" w14:textId="77777777" w:rsidR="00716F93" w:rsidRDefault="00716F93" w:rsidP="00732DEF">
      <w:pPr>
        <w:pStyle w:val="Bullet"/>
      </w:pPr>
      <w:r>
        <w:t xml:space="preserve">Paragraphs 2.04(g) and 5.06(2)(f) of the </w:t>
      </w:r>
      <w:r w:rsidRPr="00716F93">
        <w:rPr>
          <w:i/>
        </w:rPr>
        <w:t>Product Stewardship (Televisions and Computers) Regulations 2011</w:t>
      </w:r>
      <w:r>
        <w:t>.</w:t>
      </w:r>
    </w:p>
    <w:p w14:paraId="46C6BF53" w14:textId="77777777" w:rsidR="00716F93" w:rsidRDefault="00716F93" w:rsidP="00732DEF">
      <w:pPr>
        <w:pStyle w:val="Bullet"/>
      </w:pPr>
      <w:r>
        <w:t xml:space="preserve">Subparagraph 3L(1)(f)(ii) of the </w:t>
      </w:r>
      <w:r w:rsidRPr="00716F93">
        <w:rPr>
          <w:i/>
        </w:rPr>
        <w:t>Renewable Energy (Electricity) Regulations 2001</w:t>
      </w:r>
      <w:r>
        <w:t>.</w:t>
      </w:r>
    </w:p>
    <w:p w14:paraId="51A6A75F" w14:textId="77777777" w:rsidR="00716F93" w:rsidRDefault="00DC015F" w:rsidP="00716F93">
      <w:pPr>
        <w:pStyle w:val="Bullet"/>
        <w:numPr>
          <w:ilvl w:val="0"/>
          <w:numId w:val="0"/>
        </w:numPr>
      </w:pPr>
      <w:r>
        <w:rPr>
          <w:i/>
        </w:rPr>
        <w:t xml:space="preserve">Item 5 </w:t>
      </w:r>
    </w:p>
    <w:p w14:paraId="016FC7A6" w14:textId="53A57A4A" w:rsidR="00DC015F" w:rsidRDefault="00DC015F" w:rsidP="00716F93">
      <w:pPr>
        <w:pStyle w:val="Bullet"/>
        <w:numPr>
          <w:ilvl w:val="0"/>
          <w:numId w:val="0"/>
        </w:numPr>
      </w:pPr>
      <w:r>
        <w:t>This section amend</w:t>
      </w:r>
      <w:r w:rsidR="00BF05F2">
        <w:t>s</w:t>
      </w:r>
      <w:r>
        <w:t xml:space="preserve"> Regulation 8AA of the </w:t>
      </w:r>
      <w:r w:rsidRPr="008F67E4">
        <w:rPr>
          <w:i/>
        </w:rPr>
        <w:t>Australian Securities and Investments Commission Regulations 2001</w:t>
      </w:r>
      <w:r>
        <w:t xml:space="preserve"> </w:t>
      </w:r>
      <w:r w:rsidR="00E605EC">
        <w:t>(the ASIC Regulations)</w:t>
      </w:r>
      <w:r w:rsidR="008F67E4">
        <w:t xml:space="preserve"> </w:t>
      </w:r>
      <w:r>
        <w:t>to expand the number of professional disciplinary bodies able to receive confidential information from ASIC to inclu</w:t>
      </w:r>
      <w:r w:rsidR="002E211E">
        <w:t>de the Australian Restructuring</w:t>
      </w:r>
      <w:r>
        <w:t xml:space="preserve"> Insolvency and Turnaround Association and any</w:t>
      </w:r>
      <w:r w:rsidR="002E211E">
        <w:t xml:space="preserve"> State or Territory law society, statutory board or commission </w:t>
      </w:r>
      <w:r>
        <w:t xml:space="preserve">that </w:t>
      </w:r>
      <w:r w:rsidR="00B80CED">
        <w:t>has disciplinary functions recognised under a law regulating legal practitioners in the State or Territory</w:t>
      </w:r>
      <w:r>
        <w:t>.</w:t>
      </w:r>
    </w:p>
    <w:p w14:paraId="384AE081" w14:textId="77777777" w:rsidR="00DC015F" w:rsidRDefault="008F67E4" w:rsidP="00716F93">
      <w:pPr>
        <w:pStyle w:val="Bullet"/>
        <w:numPr>
          <w:ilvl w:val="0"/>
          <w:numId w:val="0"/>
        </w:numPr>
        <w:rPr>
          <w:i/>
        </w:rPr>
      </w:pPr>
      <w:r w:rsidRPr="008F67E4">
        <w:rPr>
          <w:i/>
        </w:rPr>
        <w:t xml:space="preserve">Item </w:t>
      </w:r>
      <w:r w:rsidR="00397573">
        <w:rPr>
          <w:i/>
        </w:rPr>
        <w:t>6</w:t>
      </w:r>
    </w:p>
    <w:p w14:paraId="2B938D5B" w14:textId="77777777" w:rsidR="008F67E4" w:rsidRDefault="008F67E4" w:rsidP="00716F93">
      <w:pPr>
        <w:pStyle w:val="Bullet"/>
        <w:numPr>
          <w:ilvl w:val="0"/>
          <w:numId w:val="0"/>
        </w:numPr>
      </w:pPr>
      <w:r>
        <w:t>This section amend</w:t>
      </w:r>
      <w:r w:rsidR="00BF05F2">
        <w:t>s</w:t>
      </w:r>
      <w:r>
        <w:t xml:space="preserve"> subregulation 8AAA(2) of the </w:t>
      </w:r>
      <w:r w:rsidRPr="00E605EC">
        <w:t>ASIC Regulations</w:t>
      </w:r>
      <w:r>
        <w:rPr>
          <w:i/>
        </w:rPr>
        <w:t xml:space="preserve"> </w:t>
      </w:r>
      <w:r>
        <w:t xml:space="preserve">to </w:t>
      </w:r>
      <w:r w:rsidR="00120E33">
        <w:t xml:space="preserve">require ASIC to report on its use of coercive powers to request information and books from liquidators under new section 30B of the ASIC Act. </w:t>
      </w:r>
    </w:p>
    <w:p w14:paraId="56A2AEDA" w14:textId="77777777" w:rsidR="002E211E" w:rsidRDefault="002E211E" w:rsidP="002E211E">
      <w:pPr>
        <w:rPr>
          <w:i/>
        </w:rPr>
      </w:pPr>
      <w:r>
        <w:rPr>
          <w:i/>
        </w:rPr>
        <w:t>Item 7</w:t>
      </w:r>
    </w:p>
    <w:p w14:paraId="3A1AD662" w14:textId="77777777" w:rsidR="002E211E" w:rsidRDefault="002E211E" w:rsidP="002E211E">
      <w:r>
        <w:t>This item amends Schedule 1 (Form 3) to replace the reference to the ‘Companies Auditors and Liquidators Disciplinary Board’ with a reference to the ‘Companies Auditors Disciplinary Board’.</w:t>
      </w:r>
    </w:p>
    <w:p w14:paraId="329F4ABD" w14:textId="77777777" w:rsidR="00F20012" w:rsidRPr="00F20012" w:rsidRDefault="00F20012" w:rsidP="00A84D41">
      <w:pPr>
        <w:pStyle w:val="Bullet"/>
        <w:keepNext/>
        <w:numPr>
          <w:ilvl w:val="0"/>
          <w:numId w:val="0"/>
        </w:numPr>
        <w:rPr>
          <w:i/>
        </w:rPr>
      </w:pPr>
      <w:r w:rsidRPr="00F20012">
        <w:rPr>
          <w:i/>
        </w:rPr>
        <w:t xml:space="preserve">Item </w:t>
      </w:r>
      <w:r w:rsidR="002E211E">
        <w:rPr>
          <w:i/>
        </w:rPr>
        <w:t>29</w:t>
      </w:r>
    </w:p>
    <w:p w14:paraId="24030609" w14:textId="2BADD807" w:rsidR="00F20012" w:rsidRDefault="002E211E" w:rsidP="00A84D41">
      <w:pPr>
        <w:pStyle w:val="Bullet"/>
        <w:keepNext/>
        <w:numPr>
          <w:ilvl w:val="0"/>
          <w:numId w:val="0"/>
        </w:numPr>
      </w:pPr>
      <w:r>
        <w:t>Item 29</w:t>
      </w:r>
      <w:r w:rsidR="00914F08">
        <w:t xml:space="preserve"> replace</w:t>
      </w:r>
      <w:r w:rsidR="00BF05F2">
        <w:t>s</w:t>
      </w:r>
      <w:r w:rsidR="00914F08">
        <w:t xml:space="preserve"> the reference to ‘deed of corporation arrangement’ with a reference to a ‘notice of execution of the deed of company arrangement’ in item 19, Part 4 of Schedule 2 of the </w:t>
      </w:r>
      <w:r w:rsidR="00E605EC">
        <w:t>CATSI Regulations</w:t>
      </w:r>
      <w:r w:rsidR="00914F08">
        <w:t xml:space="preserve">. This change is necessary as a consequence of amendments made to </w:t>
      </w:r>
      <w:r w:rsidR="00914F08">
        <w:lastRenderedPageBreak/>
        <w:t xml:space="preserve">section 450B(c) of the Corporations Act through the </w:t>
      </w:r>
      <w:r w:rsidR="00E605EC">
        <w:t>Amending</w:t>
      </w:r>
      <w:r w:rsidR="00914F08">
        <w:t xml:space="preserve"> Act, which is applied to Aboriginal and Torres Strait Islander corporations </w:t>
      </w:r>
      <w:r w:rsidR="00E605EC">
        <w:t xml:space="preserve">(ATSI corporations) </w:t>
      </w:r>
      <w:r w:rsidR="00914F08">
        <w:t xml:space="preserve">under section 418-10 of the </w:t>
      </w:r>
      <w:r w:rsidR="00914F08" w:rsidRPr="00914F08">
        <w:rPr>
          <w:i/>
        </w:rPr>
        <w:t>Corporations (Aboriginal and Torres Strait Islander) Act 2007</w:t>
      </w:r>
      <w:r w:rsidR="00E605EC">
        <w:rPr>
          <w:i/>
        </w:rPr>
        <w:t xml:space="preserve"> </w:t>
      </w:r>
      <w:r w:rsidR="00E605EC">
        <w:t>(CATSI Act)</w:t>
      </w:r>
      <w:r w:rsidR="00914F08">
        <w:t xml:space="preserve">.   </w:t>
      </w:r>
    </w:p>
    <w:p w14:paraId="230B44CA" w14:textId="77777777" w:rsidR="00332C82" w:rsidRDefault="00332C82" w:rsidP="00332C82">
      <w:pPr>
        <w:pStyle w:val="Bullet"/>
        <w:numPr>
          <w:ilvl w:val="0"/>
          <w:numId w:val="0"/>
        </w:numPr>
        <w:tabs>
          <w:tab w:val="left" w:pos="720"/>
        </w:tabs>
        <w:rPr>
          <w:i/>
        </w:rPr>
      </w:pPr>
      <w:r>
        <w:rPr>
          <w:i/>
        </w:rPr>
        <w:t>Item 47</w:t>
      </w:r>
    </w:p>
    <w:p w14:paraId="025AB1BC" w14:textId="4682BDFA" w:rsidR="00332C82" w:rsidRDefault="00332C82" w:rsidP="00332C82">
      <w:pPr>
        <w:pStyle w:val="Bullet"/>
        <w:numPr>
          <w:ilvl w:val="0"/>
          <w:numId w:val="0"/>
        </w:numPr>
        <w:tabs>
          <w:tab w:val="left" w:pos="720"/>
        </w:tabs>
        <w:rPr>
          <w:i/>
        </w:rPr>
      </w:pPr>
      <w:r>
        <w:t xml:space="preserve">The </w:t>
      </w:r>
      <w:r w:rsidR="00E605EC">
        <w:t>Amending</w:t>
      </w:r>
      <w:r>
        <w:t xml:space="preserve"> Act repealed the concept of registration as an official liquidator. As a result, any registered liquidator can undertake administrations previously only available to individuals registered as official liquidators. The reference to official liquidator in subparagraph 2.84(3)(k)(iv) of the </w:t>
      </w:r>
      <w:r>
        <w:rPr>
          <w:i/>
        </w:rPr>
        <w:t>Migration Regulations 1994</w:t>
      </w:r>
      <w:r>
        <w:t xml:space="preserve"> is therefore no longer operational and is amended to refer to a registered liquidator instead. </w:t>
      </w:r>
    </w:p>
    <w:p w14:paraId="6C611D2F" w14:textId="77777777" w:rsidR="00120E33" w:rsidRDefault="00120E33" w:rsidP="00716F93">
      <w:pPr>
        <w:pStyle w:val="Bullet"/>
        <w:numPr>
          <w:ilvl w:val="0"/>
          <w:numId w:val="0"/>
        </w:numPr>
        <w:rPr>
          <w:b/>
        </w:rPr>
      </w:pPr>
      <w:r w:rsidRPr="00120E33">
        <w:rPr>
          <w:b/>
        </w:rPr>
        <w:t>Amendments to the Bankruptcy Regulations 1996</w:t>
      </w:r>
    </w:p>
    <w:p w14:paraId="64A99480" w14:textId="77777777" w:rsidR="007D35D8" w:rsidRDefault="007D35D8" w:rsidP="007D35D8">
      <w:pPr>
        <w:rPr>
          <w:i/>
        </w:rPr>
      </w:pPr>
      <w:r>
        <w:rPr>
          <w:i/>
        </w:rPr>
        <w:t>Items 8-9</w:t>
      </w:r>
    </w:p>
    <w:p w14:paraId="58B2F001" w14:textId="77777777" w:rsidR="007D35D8" w:rsidRDefault="007D35D8" w:rsidP="007D35D8">
      <w:r>
        <w:t xml:space="preserve">The definitions of ‘working day’ and ‘taxing officer’ in subregulation 1.03(1) </w:t>
      </w:r>
      <w:r w:rsidR="00BF05F2">
        <w:t>are</w:t>
      </w:r>
      <w:r>
        <w:t xml:space="preserve"> repealed. </w:t>
      </w:r>
    </w:p>
    <w:p w14:paraId="63AE39B7" w14:textId="77777777" w:rsidR="002E211E" w:rsidRPr="00054CF4" w:rsidRDefault="002E211E" w:rsidP="002E211E">
      <w:pPr>
        <w:rPr>
          <w:i/>
        </w:rPr>
      </w:pPr>
      <w:r w:rsidRPr="00054CF4">
        <w:rPr>
          <w:i/>
        </w:rPr>
        <w:t>Items 10</w:t>
      </w:r>
      <w:r>
        <w:rPr>
          <w:i/>
        </w:rPr>
        <w:t>-13, 15-</w:t>
      </w:r>
      <w:r w:rsidRPr="00054CF4">
        <w:rPr>
          <w:i/>
        </w:rPr>
        <w:t>16</w:t>
      </w:r>
    </w:p>
    <w:p w14:paraId="2DE91C24" w14:textId="77777777" w:rsidR="007D35D8" w:rsidRDefault="007D35D8" w:rsidP="007D35D8">
      <w:r>
        <w:t xml:space="preserve">The following sections </w:t>
      </w:r>
      <w:r w:rsidR="00BF05F2">
        <w:t>are</w:t>
      </w:r>
      <w:r>
        <w:t xml:space="preserve"> amended to replace </w:t>
      </w:r>
      <w:r w:rsidRPr="00F021E8">
        <w:t xml:space="preserve">references to ‘working days’ with ‘business days’. </w:t>
      </w:r>
    </w:p>
    <w:p w14:paraId="62E951D0" w14:textId="77777777" w:rsidR="007D35D8" w:rsidRDefault="007D35D8" w:rsidP="007D35D8">
      <w:pPr>
        <w:pStyle w:val="Bullet"/>
      </w:pPr>
      <w:r>
        <w:t>Subregulations 4.05(1) and (3)</w:t>
      </w:r>
    </w:p>
    <w:p w14:paraId="2BF4965E" w14:textId="77777777" w:rsidR="007D35D8" w:rsidRDefault="007D35D8" w:rsidP="007D35D8">
      <w:pPr>
        <w:pStyle w:val="Bullet"/>
      </w:pPr>
      <w:r>
        <w:t>Subregulations 10.03(2) and (3)</w:t>
      </w:r>
    </w:p>
    <w:p w14:paraId="61396D03" w14:textId="77777777" w:rsidR="007D35D8" w:rsidRDefault="007D35D8" w:rsidP="007D35D8">
      <w:pPr>
        <w:pStyle w:val="Bullet"/>
      </w:pPr>
      <w:r>
        <w:t>Subregulations 11.01A(1) and (2)</w:t>
      </w:r>
    </w:p>
    <w:p w14:paraId="7317F643" w14:textId="77777777" w:rsidR="007D35D8" w:rsidRDefault="007D35D8" w:rsidP="007D35D8">
      <w:pPr>
        <w:pStyle w:val="Bullet"/>
      </w:pPr>
      <w:r>
        <w:t>Item 2 of Schedule 8</w:t>
      </w:r>
    </w:p>
    <w:p w14:paraId="794F50F0" w14:textId="77777777" w:rsidR="007D35D8" w:rsidRDefault="007D35D8" w:rsidP="007D35D8">
      <w:pPr>
        <w:pStyle w:val="Bullet"/>
      </w:pPr>
      <w:r>
        <w:t>Item 22 of Schedule 8</w:t>
      </w:r>
    </w:p>
    <w:p w14:paraId="72E0F6E7" w14:textId="77777777" w:rsidR="007D35D8" w:rsidRDefault="007D35D8" w:rsidP="007D35D8">
      <w:pPr>
        <w:pStyle w:val="Bullet"/>
      </w:pPr>
      <w:r>
        <w:t>Item 24 of Schedule 8</w:t>
      </w:r>
    </w:p>
    <w:p w14:paraId="3B6CF587" w14:textId="77777777" w:rsidR="00054CF4" w:rsidRPr="00054CF4" w:rsidRDefault="00054CF4" w:rsidP="00054CF4">
      <w:pPr>
        <w:pStyle w:val="Bullet"/>
        <w:numPr>
          <w:ilvl w:val="0"/>
          <w:numId w:val="0"/>
        </w:numPr>
        <w:rPr>
          <w:i/>
        </w:rPr>
      </w:pPr>
      <w:r w:rsidRPr="00054CF4">
        <w:rPr>
          <w:i/>
        </w:rPr>
        <w:t>Item 1</w:t>
      </w:r>
      <w:r w:rsidR="002E211E">
        <w:rPr>
          <w:i/>
        </w:rPr>
        <w:t>4</w:t>
      </w:r>
    </w:p>
    <w:p w14:paraId="5E140E63" w14:textId="4D46D23C" w:rsidR="007B2313" w:rsidRDefault="007B2313" w:rsidP="00A5721E">
      <w:r w:rsidRPr="00F021E8">
        <w:t xml:space="preserve">Items 16, 17, 18 and 19 of Schedule 8 to the Bankruptcy Regulations refer to sections of the Bankruptcy Act that have been repealed by the </w:t>
      </w:r>
      <w:r w:rsidR="001612ED">
        <w:t xml:space="preserve">Amending </w:t>
      </w:r>
      <w:r w:rsidRPr="00F021E8">
        <w:t xml:space="preserve">Act. These Items in Schedule 8 </w:t>
      </w:r>
      <w:r w:rsidR="00BF05F2">
        <w:t xml:space="preserve">are </w:t>
      </w:r>
      <w:r w:rsidR="00A5721E">
        <w:t xml:space="preserve">therefore repealed. </w:t>
      </w:r>
    </w:p>
    <w:p w14:paraId="4278DDB5" w14:textId="77777777" w:rsidR="00A3164A" w:rsidRDefault="00A3164A" w:rsidP="00A3164A">
      <w:pPr>
        <w:pStyle w:val="Bullet"/>
        <w:numPr>
          <w:ilvl w:val="0"/>
          <w:numId w:val="0"/>
        </w:numPr>
        <w:rPr>
          <w:b/>
        </w:rPr>
      </w:pPr>
      <w:r w:rsidRPr="00120E33">
        <w:rPr>
          <w:b/>
        </w:rPr>
        <w:t xml:space="preserve">Amendments to the </w:t>
      </w:r>
      <w:r>
        <w:rPr>
          <w:b/>
        </w:rPr>
        <w:t>Corporations</w:t>
      </w:r>
      <w:r w:rsidRPr="00120E33">
        <w:rPr>
          <w:b/>
        </w:rPr>
        <w:t xml:space="preserve"> Regulations </w:t>
      </w:r>
      <w:r>
        <w:rPr>
          <w:b/>
        </w:rPr>
        <w:t>2001</w:t>
      </w:r>
    </w:p>
    <w:p w14:paraId="31DE3841" w14:textId="77777777" w:rsidR="002E211E" w:rsidRDefault="002E211E" w:rsidP="002E211E">
      <w:pPr>
        <w:pStyle w:val="Bullet"/>
        <w:numPr>
          <w:ilvl w:val="0"/>
          <w:numId w:val="0"/>
        </w:numPr>
        <w:rPr>
          <w:i/>
        </w:rPr>
      </w:pPr>
      <w:r w:rsidRPr="009334EE">
        <w:rPr>
          <w:i/>
        </w:rPr>
        <w:t>Item</w:t>
      </w:r>
      <w:r>
        <w:rPr>
          <w:i/>
        </w:rPr>
        <w:t>s</w:t>
      </w:r>
      <w:r w:rsidRPr="009334EE">
        <w:rPr>
          <w:i/>
        </w:rPr>
        <w:t xml:space="preserve"> 3</w:t>
      </w:r>
      <w:r>
        <w:rPr>
          <w:i/>
        </w:rPr>
        <w:t>0, 37, 38</w:t>
      </w:r>
    </w:p>
    <w:p w14:paraId="3520E4BD" w14:textId="20BF0A12" w:rsidR="00270CEB" w:rsidRDefault="00270CEB" w:rsidP="00A3164A">
      <w:pPr>
        <w:pStyle w:val="Bullet"/>
        <w:numPr>
          <w:ilvl w:val="0"/>
          <w:numId w:val="0"/>
        </w:numPr>
      </w:pPr>
      <w:r>
        <w:t>Under section 15-1 of the</w:t>
      </w:r>
      <w:r w:rsidR="001F035B">
        <w:t xml:space="preserve"> </w:t>
      </w:r>
      <w:r w:rsidR="00E605EC">
        <w:t xml:space="preserve">Amending </w:t>
      </w:r>
      <w:r w:rsidR="001F035B">
        <w:t xml:space="preserve">Act, ASIC may keep a register of liquidators in any form it deems appropriate. Under section 15-1 of the Insolvency Practice Rules (Corporations) </w:t>
      </w:r>
      <w:r w:rsidR="002E211E">
        <w:t xml:space="preserve">to be made by the Minister for Revenue and Financial Services, </w:t>
      </w:r>
      <w:r w:rsidR="001F035B">
        <w:t xml:space="preserve">ASIC must </w:t>
      </w:r>
      <w:r>
        <w:t>make a wide range of details about registered liquidators publicly available</w:t>
      </w:r>
      <w:r w:rsidR="001F035B">
        <w:t xml:space="preserve"> including the individual’s name</w:t>
      </w:r>
      <w:r>
        <w:t xml:space="preserve">. </w:t>
      </w:r>
      <w:r w:rsidR="001F035B">
        <w:t xml:space="preserve">As a result the permission for ASIC to place the name of insolvency practitioners on an electronically searchable register, currently provided through regulations 9.1.01 and 9.1.02, will no longer be required. </w:t>
      </w:r>
      <w:r>
        <w:t xml:space="preserve"> </w:t>
      </w:r>
    </w:p>
    <w:p w14:paraId="49F3F94E" w14:textId="77777777" w:rsidR="009334EE" w:rsidRDefault="00270CEB" w:rsidP="00A3164A">
      <w:pPr>
        <w:pStyle w:val="Bullet"/>
        <w:numPr>
          <w:ilvl w:val="0"/>
          <w:numId w:val="0"/>
        </w:numPr>
      </w:pPr>
      <w:r>
        <w:t>T</w:t>
      </w:r>
      <w:r w:rsidR="009334EE">
        <w:t xml:space="preserve">he definition of ‘registration number’ in subregulation 1.0.02(1) </w:t>
      </w:r>
      <w:r w:rsidR="00481911">
        <w:t xml:space="preserve">is </w:t>
      </w:r>
      <w:r>
        <w:t xml:space="preserve">also amended </w:t>
      </w:r>
      <w:r w:rsidR="009334EE">
        <w:t xml:space="preserve">to remove the references to ‘registered liquidators’ and ‘official liquidators’ as </w:t>
      </w:r>
      <w:r w:rsidR="004A1B72">
        <w:t>a registration number is no longer required to be provided by ASIC upon registration.</w:t>
      </w:r>
      <w:r>
        <w:t xml:space="preserve"> </w:t>
      </w:r>
    </w:p>
    <w:p w14:paraId="2FB00C97" w14:textId="77777777" w:rsidR="004A1B72" w:rsidRDefault="004A1B72" w:rsidP="00A84D41">
      <w:pPr>
        <w:pStyle w:val="Bullet"/>
        <w:keepNext/>
        <w:numPr>
          <w:ilvl w:val="0"/>
          <w:numId w:val="0"/>
        </w:numPr>
        <w:rPr>
          <w:i/>
        </w:rPr>
      </w:pPr>
      <w:r>
        <w:rPr>
          <w:i/>
        </w:rPr>
        <w:t xml:space="preserve">Item </w:t>
      </w:r>
      <w:r w:rsidR="002E211E">
        <w:rPr>
          <w:i/>
        </w:rPr>
        <w:t>31</w:t>
      </w:r>
    </w:p>
    <w:p w14:paraId="0FDFBBE0" w14:textId="17DB0DB6" w:rsidR="004A1B72" w:rsidRDefault="004A1B72" w:rsidP="00A84D41">
      <w:pPr>
        <w:pStyle w:val="Bullet"/>
        <w:keepNext/>
        <w:numPr>
          <w:ilvl w:val="0"/>
          <w:numId w:val="0"/>
        </w:numPr>
      </w:pPr>
      <w:r>
        <w:t xml:space="preserve">The requirement for registered liquidators to provide ASIC with an annual statement under section 1288 </w:t>
      </w:r>
      <w:r w:rsidR="002E211E">
        <w:t xml:space="preserve">of the Corporations Act </w:t>
      </w:r>
      <w:r>
        <w:t xml:space="preserve">has been repealed and replaced </w:t>
      </w:r>
      <w:r w:rsidR="001F035B">
        <w:t xml:space="preserve">with a similar obligation </w:t>
      </w:r>
      <w:r w:rsidR="001F035B">
        <w:lastRenderedPageBreak/>
        <w:t>in</w:t>
      </w:r>
      <w:r>
        <w:t xml:space="preserve"> Schedule 2, </w:t>
      </w:r>
      <w:r w:rsidR="00E605EC">
        <w:t xml:space="preserve">section </w:t>
      </w:r>
      <w:r>
        <w:t>30-1</w:t>
      </w:r>
      <w:r w:rsidR="00E605EC">
        <w:t xml:space="preserve"> of the Amending Act</w:t>
      </w:r>
      <w:r>
        <w:t xml:space="preserve">. This </w:t>
      </w:r>
      <w:r w:rsidR="001F035B">
        <w:t>amendment</w:t>
      </w:r>
      <w:r>
        <w:t xml:space="preserve"> will not result in any substantive change</w:t>
      </w:r>
      <w:r w:rsidR="001F035B">
        <w:t xml:space="preserve"> to the obligations on practitioners or ASIC</w:t>
      </w:r>
      <w:r>
        <w:t>.</w:t>
      </w:r>
    </w:p>
    <w:p w14:paraId="15372AA3" w14:textId="77777777" w:rsidR="004A1B72" w:rsidRPr="00315DD9" w:rsidRDefault="00315DD9" w:rsidP="00A3164A">
      <w:pPr>
        <w:pStyle w:val="Bullet"/>
        <w:numPr>
          <w:ilvl w:val="0"/>
          <w:numId w:val="0"/>
        </w:numPr>
        <w:rPr>
          <w:i/>
        </w:rPr>
      </w:pPr>
      <w:r w:rsidRPr="00315DD9">
        <w:rPr>
          <w:i/>
        </w:rPr>
        <w:t>Item 34</w:t>
      </w:r>
    </w:p>
    <w:p w14:paraId="006B73C7" w14:textId="77777777" w:rsidR="008E72A6" w:rsidRDefault="00315DD9" w:rsidP="00A3164A">
      <w:pPr>
        <w:pStyle w:val="Bullet"/>
        <w:numPr>
          <w:ilvl w:val="0"/>
          <w:numId w:val="0"/>
        </w:numPr>
      </w:pPr>
      <w:r>
        <w:t xml:space="preserve">The requirement for registered liquidators to notify ASIC of a change of address </w:t>
      </w:r>
      <w:r w:rsidR="009E326E">
        <w:t>will</w:t>
      </w:r>
      <w:r>
        <w:t xml:space="preserve"> </w:t>
      </w:r>
      <w:r w:rsidR="002427CB">
        <w:t xml:space="preserve">now </w:t>
      </w:r>
      <w:r w:rsidR="009E326E">
        <w:t xml:space="preserve">be </w:t>
      </w:r>
      <w:r>
        <w:t xml:space="preserve">required under section 35-5 of the </w:t>
      </w:r>
      <w:r w:rsidRPr="00331EB7">
        <w:t>Insolvency Practice Rules (Corporations)</w:t>
      </w:r>
      <w:r w:rsidR="009E326E" w:rsidRPr="00331EB7">
        <w:t xml:space="preserve"> </w:t>
      </w:r>
      <w:r w:rsidR="009E326E" w:rsidRPr="004F32D6">
        <w:t>t</w:t>
      </w:r>
      <w:r w:rsidR="009E326E">
        <w:t>o be made by the Minister for Revenue and Financial Services</w:t>
      </w:r>
      <w:r w:rsidRPr="00315DD9">
        <w:rPr>
          <w:i/>
        </w:rPr>
        <w:t>.</w:t>
      </w:r>
      <w:r w:rsidR="002427CB">
        <w:t xml:space="preserve"> The similar requirement under regulation</w:t>
      </w:r>
      <w:r w:rsidR="009E326E">
        <w:t> </w:t>
      </w:r>
      <w:r w:rsidR="002427CB">
        <w:t xml:space="preserve">5.3A.04 </w:t>
      </w:r>
      <w:r w:rsidR="009E326E">
        <w:t>is</w:t>
      </w:r>
      <w:r w:rsidR="00481911">
        <w:t xml:space="preserve"> </w:t>
      </w:r>
      <w:r w:rsidR="002427CB">
        <w:t>therefore repealed.</w:t>
      </w:r>
      <w:r>
        <w:t xml:space="preserve">  </w:t>
      </w:r>
    </w:p>
    <w:p w14:paraId="3545547D" w14:textId="77777777" w:rsidR="009E326E" w:rsidRDefault="009E326E" w:rsidP="009E326E">
      <w:pPr>
        <w:pStyle w:val="Bullet"/>
        <w:numPr>
          <w:ilvl w:val="0"/>
          <w:numId w:val="0"/>
        </w:numPr>
        <w:rPr>
          <w:i/>
        </w:rPr>
      </w:pPr>
      <w:r>
        <w:rPr>
          <w:i/>
        </w:rPr>
        <w:t>Item 35</w:t>
      </w:r>
    </w:p>
    <w:p w14:paraId="3FC705EB" w14:textId="0D522D1C" w:rsidR="009E326E" w:rsidRDefault="009E326E" w:rsidP="009E326E">
      <w:r w:rsidRPr="00A70B28">
        <w:t>The contents of Regulation 5.3A.07 have been replicated in the new section 446AA</w:t>
      </w:r>
      <w:r>
        <w:t xml:space="preserve"> of the Corporations Act which was inserted by the </w:t>
      </w:r>
      <w:r w:rsidR="00E605EC">
        <w:t>Amending</w:t>
      </w:r>
      <w:r>
        <w:t xml:space="preserve"> Act</w:t>
      </w:r>
      <w:r w:rsidRPr="00A70B28">
        <w:t xml:space="preserve">. Regulation 5.3A.07 is therefore </w:t>
      </w:r>
      <w:r>
        <w:t>r</w:t>
      </w:r>
      <w:r w:rsidRPr="00A70B28">
        <w:t>epealed.</w:t>
      </w:r>
    </w:p>
    <w:p w14:paraId="513AEACA" w14:textId="77777777" w:rsidR="009E326E" w:rsidRDefault="009E326E" w:rsidP="009E326E">
      <w:pPr>
        <w:pStyle w:val="Bullet"/>
        <w:numPr>
          <w:ilvl w:val="0"/>
          <w:numId w:val="0"/>
        </w:numPr>
        <w:rPr>
          <w:i/>
        </w:rPr>
      </w:pPr>
      <w:r>
        <w:rPr>
          <w:i/>
        </w:rPr>
        <w:t>Items 39-41</w:t>
      </w:r>
    </w:p>
    <w:p w14:paraId="5C4E2484" w14:textId="249950DB" w:rsidR="002427CB" w:rsidRDefault="00333A65" w:rsidP="00A3164A">
      <w:pPr>
        <w:pStyle w:val="Bullet"/>
        <w:numPr>
          <w:ilvl w:val="0"/>
          <w:numId w:val="0"/>
        </w:numPr>
      </w:pPr>
      <w:r>
        <w:t xml:space="preserve">Following the commencement of the </w:t>
      </w:r>
      <w:r w:rsidR="00E605EC">
        <w:t xml:space="preserve">Amending </w:t>
      </w:r>
      <w:r>
        <w:t>Act, t</w:t>
      </w:r>
      <w:r w:rsidR="002427CB">
        <w:t xml:space="preserve">he </w:t>
      </w:r>
      <w:r>
        <w:t xml:space="preserve">requirements and processes regarding the </w:t>
      </w:r>
      <w:r w:rsidR="002427CB">
        <w:t xml:space="preserve">registration of liquidators </w:t>
      </w:r>
      <w:r>
        <w:t>will</w:t>
      </w:r>
      <w:r w:rsidR="002427CB">
        <w:t xml:space="preserve"> now </w:t>
      </w:r>
      <w:r>
        <w:t xml:space="preserve">be </w:t>
      </w:r>
      <w:r w:rsidR="002427CB">
        <w:t xml:space="preserve">provided for under Schedule 2, Division 20 of the </w:t>
      </w:r>
      <w:r>
        <w:t xml:space="preserve">Corporations Act and Division 20 of the Insolvency Practice Rules (Corporations). </w:t>
      </w:r>
    </w:p>
    <w:p w14:paraId="3CDBD3B0" w14:textId="77777777" w:rsidR="00C10900" w:rsidRDefault="00333A65" w:rsidP="004D5C16">
      <w:pPr>
        <w:pStyle w:val="Bullet"/>
        <w:numPr>
          <w:ilvl w:val="0"/>
          <w:numId w:val="0"/>
        </w:numPr>
      </w:pPr>
      <w:r>
        <w:t xml:space="preserve">Regulation 9.2.02 </w:t>
      </w:r>
      <w:r w:rsidR="00481911">
        <w:t xml:space="preserve">is </w:t>
      </w:r>
      <w:r>
        <w:t xml:space="preserve">therefore amended to remove the reference to subparagraph 1282(2)(a)(ii) of the Corporations Act, as this provision will be repealed. </w:t>
      </w:r>
    </w:p>
    <w:p w14:paraId="5854EAD1" w14:textId="77777777" w:rsidR="00C10900" w:rsidRDefault="008E72A6" w:rsidP="004D5C16">
      <w:pPr>
        <w:pStyle w:val="Bullet"/>
        <w:numPr>
          <w:ilvl w:val="0"/>
          <w:numId w:val="0"/>
        </w:numPr>
      </w:pPr>
      <w:r>
        <w:t xml:space="preserve">The heading to Part 9.2 </w:t>
      </w:r>
      <w:r w:rsidR="00481911">
        <w:t>is also</w:t>
      </w:r>
      <w:r>
        <w:t xml:space="preserve"> amended to remove the reference to the registration of liquidators.</w:t>
      </w:r>
    </w:p>
    <w:p w14:paraId="4CC132A2" w14:textId="77777777" w:rsidR="009E326E" w:rsidRDefault="009E326E" w:rsidP="009E326E">
      <w:pPr>
        <w:pStyle w:val="Bullet"/>
        <w:numPr>
          <w:ilvl w:val="0"/>
          <w:numId w:val="0"/>
        </w:numPr>
        <w:rPr>
          <w:i/>
        </w:rPr>
      </w:pPr>
      <w:r>
        <w:rPr>
          <w:i/>
        </w:rPr>
        <w:t xml:space="preserve">Items 43-45 </w:t>
      </w:r>
    </w:p>
    <w:p w14:paraId="2AC06178" w14:textId="77777777" w:rsidR="009E326E" w:rsidRPr="006C0FE8" w:rsidRDefault="009E326E" w:rsidP="009E326E">
      <w:pPr>
        <w:pStyle w:val="Bullet"/>
        <w:numPr>
          <w:ilvl w:val="0"/>
          <w:numId w:val="0"/>
        </w:numPr>
      </w:pPr>
      <w:r>
        <w:t xml:space="preserve">Items 43-45 address a mistake in the numbering of the Regulations which has allowed for two schedules to be called Schedule 10D. The second Schedule 10D is therefore renumbered as Schedule 11. </w:t>
      </w:r>
    </w:p>
    <w:p w14:paraId="316812A9" w14:textId="77777777" w:rsidR="00333A65" w:rsidRPr="00ED66EF" w:rsidRDefault="00333A65" w:rsidP="00333A65">
      <w:pPr>
        <w:pStyle w:val="Heading2"/>
        <w:rPr>
          <w:sz w:val="24"/>
          <w:szCs w:val="24"/>
        </w:rPr>
      </w:pPr>
      <w:r w:rsidRPr="00ED66EF">
        <w:rPr>
          <w:sz w:val="24"/>
          <w:szCs w:val="24"/>
        </w:rPr>
        <w:t xml:space="preserve">Schedule 1, Part 2 – Amendments commencing on 1 September 2017 </w:t>
      </w:r>
    </w:p>
    <w:p w14:paraId="00A09D9D" w14:textId="77777777" w:rsidR="003008AB" w:rsidRPr="00333A65" w:rsidRDefault="00333A65" w:rsidP="00333A65">
      <w:pPr>
        <w:pStyle w:val="Bullet"/>
        <w:numPr>
          <w:ilvl w:val="0"/>
          <w:numId w:val="0"/>
        </w:numPr>
        <w:rPr>
          <w:b/>
        </w:rPr>
      </w:pPr>
      <w:r w:rsidRPr="00333A65">
        <w:rPr>
          <w:b/>
        </w:rPr>
        <w:t>Amendments to the Bankruptcy Regulations 1996</w:t>
      </w:r>
    </w:p>
    <w:p w14:paraId="2CCB36B3" w14:textId="77777777" w:rsidR="00481911" w:rsidRDefault="00481911" w:rsidP="00481911">
      <w:pPr>
        <w:pStyle w:val="Bullet"/>
        <w:numPr>
          <w:ilvl w:val="0"/>
          <w:numId w:val="0"/>
        </w:numPr>
        <w:rPr>
          <w:i/>
        </w:rPr>
      </w:pPr>
      <w:r>
        <w:rPr>
          <w:i/>
        </w:rPr>
        <w:t>I</w:t>
      </w:r>
      <w:r w:rsidRPr="0000346F">
        <w:rPr>
          <w:i/>
        </w:rPr>
        <w:t>tem</w:t>
      </w:r>
      <w:r>
        <w:rPr>
          <w:i/>
        </w:rPr>
        <w:t xml:space="preserve"> </w:t>
      </w:r>
      <w:r w:rsidR="009E326E">
        <w:rPr>
          <w:i/>
        </w:rPr>
        <w:t>52</w:t>
      </w:r>
    </w:p>
    <w:p w14:paraId="0AFE4062" w14:textId="525F461D" w:rsidR="00481911" w:rsidRDefault="00481911" w:rsidP="00481911">
      <w:pPr>
        <w:pStyle w:val="Bullet"/>
        <w:numPr>
          <w:ilvl w:val="0"/>
          <w:numId w:val="0"/>
        </w:numPr>
      </w:pPr>
      <w:r>
        <w:t xml:space="preserve">The </w:t>
      </w:r>
      <w:r w:rsidR="00E605EC">
        <w:t>Amending</w:t>
      </w:r>
      <w:r w:rsidR="009E326E">
        <w:t xml:space="preserve"> </w:t>
      </w:r>
      <w:r>
        <w:t xml:space="preserve">Act inserted the ability for the Inspector-General to disclose certain information to ‘a prescribed disciplinary body’. Item </w:t>
      </w:r>
      <w:r w:rsidR="009E326E">
        <w:t>52</w:t>
      </w:r>
      <w:r>
        <w:t xml:space="preserve"> specifies that the following disciplinary bodies are prescribed:</w:t>
      </w:r>
    </w:p>
    <w:p w14:paraId="56F895ED" w14:textId="77777777" w:rsidR="009E326E" w:rsidRPr="00FD3449" w:rsidRDefault="009E326E" w:rsidP="009E326E">
      <w:pPr>
        <w:pStyle w:val="Bullet"/>
      </w:pPr>
      <w:r>
        <w:t>Chartered Accountants Australia and New Zealand</w:t>
      </w:r>
      <w:r w:rsidRPr="00FD3449">
        <w:t>;</w:t>
      </w:r>
    </w:p>
    <w:p w14:paraId="199C8EA3" w14:textId="77777777" w:rsidR="00481911" w:rsidRPr="00FD3449" w:rsidRDefault="00481911" w:rsidP="00481911">
      <w:pPr>
        <w:pStyle w:val="Bullet"/>
      </w:pPr>
      <w:r w:rsidRPr="00FD3449">
        <w:t>CPA Australia;</w:t>
      </w:r>
    </w:p>
    <w:p w14:paraId="2618C3CE" w14:textId="77777777" w:rsidR="00481911" w:rsidRPr="00FD3449" w:rsidRDefault="00481911" w:rsidP="00481911">
      <w:pPr>
        <w:pStyle w:val="Bullet"/>
      </w:pPr>
      <w:r w:rsidRPr="00FD3449">
        <w:t>Institute of Public Accountants;</w:t>
      </w:r>
    </w:p>
    <w:p w14:paraId="1F1C7F58" w14:textId="77777777" w:rsidR="00481911" w:rsidRPr="00FD3449" w:rsidRDefault="009E326E" w:rsidP="00481911">
      <w:pPr>
        <w:pStyle w:val="Bullet"/>
      </w:pPr>
      <w:r>
        <w:t>Australian Restructuring</w:t>
      </w:r>
      <w:r w:rsidR="00481911" w:rsidRPr="00FD3449">
        <w:t xml:space="preserve"> Insolvency and Turnaround Association;</w:t>
      </w:r>
      <w:r>
        <w:t xml:space="preserve"> and</w:t>
      </w:r>
    </w:p>
    <w:p w14:paraId="234E0DB7" w14:textId="77777777" w:rsidR="00481911" w:rsidRDefault="00481911" w:rsidP="00481911">
      <w:pPr>
        <w:pStyle w:val="Bullet"/>
      </w:pPr>
      <w:r w:rsidRPr="00FD3449">
        <w:t>a State or Territory law society</w:t>
      </w:r>
      <w:r w:rsidR="009E326E">
        <w:t>, statutory board or committee</w:t>
      </w:r>
      <w:r w:rsidRPr="00FD3449">
        <w:t xml:space="preserve"> that has disciplinary functions recognised under a law regulating legal practitioners in the State or Territory.</w:t>
      </w:r>
    </w:p>
    <w:p w14:paraId="0470E88C" w14:textId="77777777" w:rsidR="00481911" w:rsidRDefault="00481911" w:rsidP="00A84D41">
      <w:pPr>
        <w:pStyle w:val="Bullet"/>
        <w:keepNext/>
        <w:numPr>
          <w:ilvl w:val="0"/>
          <w:numId w:val="0"/>
        </w:numPr>
        <w:ind w:left="567" w:hanging="567"/>
        <w:rPr>
          <w:i/>
        </w:rPr>
      </w:pPr>
      <w:r>
        <w:rPr>
          <w:i/>
        </w:rPr>
        <w:t>Item 5</w:t>
      </w:r>
      <w:r w:rsidR="009E326E">
        <w:rPr>
          <w:i/>
        </w:rPr>
        <w:t>3</w:t>
      </w:r>
    </w:p>
    <w:p w14:paraId="7A95E5C6" w14:textId="77777777" w:rsidR="00481911" w:rsidRDefault="00481911" w:rsidP="00A84D41">
      <w:pPr>
        <w:pStyle w:val="Bullet"/>
        <w:keepNext/>
        <w:numPr>
          <w:ilvl w:val="0"/>
          <w:numId w:val="0"/>
        </w:numPr>
      </w:pPr>
      <w:r>
        <w:t>Regulations 4.15 and 4.16 relate to proxies for creditors’ meetings. Subdivision D of Division 75 of the Insolvency Practice Rules (Bankruptcy) relates to proxies making these regulations redundant. Item 5</w:t>
      </w:r>
      <w:r w:rsidR="009E326E">
        <w:t>3</w:t>
      </w:r>
      <w:r>
        <w:t xml:space="preserve"> repeals these regulations.</w:t>
      </w:r>
    </w:p>
    <w:p w14:paraId="639CCF7E" w14:textId="77777777" w:rsidR="00481911" w:rsidRDefault="00481911" w:rsidP="00481911">
      <w:pPr>
        <w:pStyle w:val="Bullet"/>
        <w:numPr>
          <w:ilvl w:val="0"/>
          <w:numId w:val="0"/>
        </w:numPr>
        <w:rPr>
          <w:i/>
        </w:rPr>
      </w:pPr>
      <w:r>
        <w:rPr>
          <w:i/>
        </w:rPr>
        <w:t>Item 5</w:t>
      </w:r>
      <w:r w:rsidR="009E326E">
        <w:rPr>
          <w:i/>
        </w:rPr>
        <w:t>4</w:t>
      </w:r>
    </w:p>
    <w:p w14:paraId="11D10AA4" w14:textId="77777777" w:rsidR="00481911" w:rsidRDefault="00481911" w:rsidP="00481911">
      <w:pPr>
        <w:pStyle w:val="Bullet"/>
        <w:numPr>
          <w:ilvl w:val="0"/>
          <w:numId w:val="0"/>
        </w:numPr>
      </w:pPr>
      <w:r>
        <w:lastRenderedPageBreak/>
        <w:t>The majority of Part 8 of the Bankruptcy Regulations relates to the registration, remuneration and disciplinary matters, which would be dealt with by the Insolvency Prac</w:t>
      </w:r>
      <w:r w:rsidR="009E326E">
        <w:t>tice Rules (Bankruptcy). Item 54</w:t>
      </w:r>
      <w:r>
        <w:t xml:space="preserve"> preserves the regulations that are not covered by the Insolvency Practice Rules (Bankruptcy) but repeals the redundant regulations. </w:t>
      </w:r>
    </w:p>
    <w:p w14:paraId="1B91DE57" w14:textId="77777777" w:rsidR="00481911" w:rsidRDefault="009E326E" w:rsidP="00481911">
      <w:pPr>
        <w:pStyle w:val="Bullet"/>
        <w:numPr>
          <w:ilvl w:val="0"/>
          <w:numId w:val="0"/>
        </w:numPr>
        <w:rPr>
          <w:i/>
        </w:rPr>
      </w:pPr>
      <w:r>
        <w:rPr>
          <w:i/>
        </w:rPr>
        <w:t>Item 55</w:t>
      </w:r>
    </w:p>
    <w:p w14:paraId="460B8240" w14:textId="77777777" w:rsidR="00481911" w:rsidRDefault="00481911" w:rsidP="00481911">
      <w:pPr>
        <w:pStyle w:val="Bullet"/>
        <w:numPr>
          <w:ilvl w:val="0"/>
          <w:numId w:val="0"/>
        </w:numPr>
      </w:pPr>
      <w:r>
        <w:t xml:space="preserve">Regulations 10.04, 10.05 and 10.09 relate to requirements in a creditors’ meeting. Subdivision 75 of the Insolvency Practice Rules (Bankruptcy) </w:t>
      </w:r>
      <w:r w:rsidR="009E326E">
        <w:t xml:space="preserve">will </w:t>
      </w:r>
      <w:r>
        <w:t>relate to rules around creditors’ meetings making thes</w:t>
      </w:r>
      <w:r w:rsidR="009E326E">
        <w:t>e regulations redundant. Item 55</w:t>
      </w:r>
      <w:r>
        <w:t xml:space="preserve"> repeals these regulations.</w:t>
      </w:r>
    </w:p>
    <w:p w14:paraId="4290B880" w14:textId="77777777" w:rsidR="009E326E" w:rsidRDefault="009E326E" w:rsidP="009E326E">
      <w:pPr>
        <w:pStyle w:val="Bullet"/>
        <w:numPr>
          <w:ilvl w:val="0"/>
          <w:numId w:val="0"/>
        </w:numPr>
      </w:pPr>
      <w:r>
        <w:rPr>
          <w:i/>
        </w:rPr>
        <w:t>Items 56, 59</w:t>
      </w:r>
      <w:r>
        <w:t xml:space="preserve"> </w:t>
      </w:r>
    </w:p>
    <w:p w14:paraId="4502EBE1" w14:textId="5847C5B1" w:rsidR="00481911" w:rsidRDefault="00481911" w:rsidP="00481911">
      <w:pPr>
        <w:pStyle w:val="Bullet"/>
        <w:numPr>
          <w:ilvl w:val="0"/>
          <w:numId w:val="0"/>
        </w:numPr>
      </w:pPr>
      <w:r>
        <w:t xml:space="preserve">Schedule 2 and Part 2 of Schedule 6 to the </w:t>
      </w:r>
      <w:r w:rsidR="00AA3C84">
        <w:t xml:space="preserve">Bankruptcy </w:t>
      </w:r>
      <w:r>
        <w:t>Regulations modify the meeting requirements for compositions and Personal Insolvency Agreements, respectively. Subdivision 75 of the Insolvency Practice Rules (Bankruptcy) relates to rules around creditors’ meetings making these schedules redundant. Items 5</w:t>
      </w:r>
      <w:r w:rsidR="009E326E">
        <w:t>6</w:t>
      </w:r>
      <w:r>
        <w:t xml:space="preserve"> and 5</w:t>
      </w:r>
      <w:r w:rsidR="009E326E">
        <w:t>9</w:t>
      </w:r>
      <w:r>
        <w:t xml:space="preserve"> repeal these regulations.</w:t>
      </w:r>
    </w:p>
    <w:p w14:paraId="1C1FE75D" w14:textId="77777777" w:rsidR="00481911" w:rsidRDefault="00481911" w:rsidP="00481911">
      <w:pPr>
        <w:pStyle w:val="Bullet"/>
        <w:numPr>
          <w:ilvl w:val="0"/>
          <w:numId w:val="0"/>
        </w:numPr>
        <w:rPr>
          <w:i/>
        </w:rPr>
      </w:pPr>
      <w:r>
        <w:rPr>
          <w:i/>
        </w:rPr>
        <w:t>Item 5</w:t>
      </w:r>
      <w:r w:rsidR="009E326E">
        <w:rPr>
          <w:i/>
        </w:rPr>
        <w:t>7</w:t>
      </w:r>
    </w:p>
    <w:p w14:paraId="0EFB9F59" w14:textId="739A40D5" w:rsidR="00481911" w:rsidRDefault="00481911" w:rsidP="00481911">
      <w:pPr>
        <w:pStyle w:val="Bullet"/>
        <w:numPr>
          <w:ilvl w:val="0"/>
          <w:numId w:val="0"/>
        </w:numPr>
      </w:pPr>
      <w:r>
        <w:t xml:space="preserve">Item 8 of Schedule 3 currently refers to section 175 of the Bankruptcy Act, which relates to auditing of trustee accounts. The </w:t>
      </w:r>
      <w:r w:rsidR="001612ED">
        <w:t>Amending Act</w:t>
      </w:r>
      <w:r>
        <w:t xml:space="preserve"> repeals section 175 of the Bankruptcy Act and replaces it with section 70-15 of Schedule 2 to the Bankruptcy Act. Item 5</w:t>
      </w:r>
      <w:r w:rsidR="009E326E">
        <w:t>7</w:t>
      </w:r>
      <w:r>
        <w:t xml:space="preserve"> updates the reference in this item. </w:t>
      </w:r>
    </w:p>
    <w:p w14:paraId="661CD486" w14:textId="77777777" w:rsidR="009E326E" w:rsidRPr="007B2313" w:rsidRDefault="009E326E" w:rsidP="009E326E">
      <w:pPr>
        <w:pStyle w:val="Bullet"/>
        <w:numPr>
          <w:ilvl w:val="0"/>
          <w:numId w:val="0"/>
        </w:numPr>
        <w:rPr>
          <w:i/>
        </w:rPr>
      </w:pPr>
      <w:r w:rsidRPr="007B2313">
        <w:rPr>
          <w:i/>
        </w:rPr>
        <w:t xml:space="preserve">Item </w:t>
      </w:r>
      <w:r>
        <w:rPr>
          <w:i/>
        </w:rPr>
        <w:t>58</w:t>
      </w:r>
      <w:r w:rsidRPr="007B2313">
        <w:rPr>
          <w:i/>
        </w:rPr>
        <w:t xml:space="preserve"> </w:t>
      </w:r>
    </w:p>
    <w:p w14:paraId="7B12058C" w14:textId="77777777" w:rsidR="009E326E" w:rsidRDefault="009E326E" w:rsidP="009E326E">
      <w:r w:rsidRPr="00F021E8">
        <w:t xml:space="preserve">Schedule 4A of the Bankruptcy Regulations which set down </w:t>
      </w:r>
      <w:r>
        <w:t>p</w:t>
      </w:r>
      <w:r w:rsidRPr="00F021E8">
        <w:t xml:space="preserve">erformance standards for registered trustees is repealed, modified and replaced as Division 42 in the </w:t>
      </w:r>
      <w:r w:rsidRPr="00331EB7">
        <w:t>Insolvency Practice Rules (Bankruptcy)</w:t>
      </w:r>
      <w:r w:rsidRPr="004F32D6">
        <w:t>.</w:t>
      </w:r>
    </w:p>
    <w:p w14:paraId="7D6BC923" w14:textId="77777777" w:rsidR="009E326E" w:rsidRDefault="009E326E" w:rsidP="009E326E">
      <w:pPr>
        <w:pStyle w:val="Bullet"/>
        <w:numPr>
          <w:ilvl w:val="0"/>
          <w:numId w:val="0"/>
        </w:numPr>
        <w:rPr>
          <w:i/>
        </w:rPr>
      </w:pPr>
      <w:r>
        <w:rPr>
          <w:i/>
        </w:rPr>
        <w:t>Item 60</w:t>
      </w:r>
    </w:p>
    <w:p w14:paraId="2B103888" w14:textId="61F47437" w:rsidR="00481911" w:rsidRPr="002003F9" w:rsidRDefault="00481911" w:rsidP="00481911">
      <w:pPr>
        <w:pStyle w:val="Bullet"/>
        <w:numPr>
          <w:ilvl w:val="0"/>
          <w:numId w:val="0"/>
        </w:numPr>
      </w:pPr>
      <w:r>
        <w:t xml:space="preserve">Items 8 and 10 modify the operation of sections 173 and 181 of the Bankruptcy Act for personal insolvency agreements. The </w:t>
      </w:r>
      <w:r w:rsidR="00AA3C84">
        <w:t>Amending</w:t>
      </w:r>
      <w:r w:rsidR="009E326E">
        <w:t xml:space="preserve"> </w:t>
      </w:r>
      <w:r>
        <w:t xml:space="preserve">Act repeals sections 173 and 181 of the Bankruptcy Act making this modification unnecessary. Item </w:t>
      </w:r>
      <w:r w:rsidR="009E326E">
        <w:t>60</w:t>
      </w:r>
      <w:r>
        <w:t xml:space="preserve"> removes this part.</w:t>
      </w:r>
    </w:p>
    <w:p w14:paraId="285573C7" w14:textId="77777777" w:rsidR="009E326E" w:rsidRDefault="009E326E" w:rsidP="009E326E">
      <w:pPr>
        <w:pStyle w:val="Bullet"/>
        <w:numPr>
          <w:ilvl w:val="0"/>
          <w:numId w:val="0"/>
        </w:numPr>
        <w:rPr>
          <w:i/>
        </w:rPr>
      </w:pPr>
      <w:r>
        <w:rPr>
          <w:i/>
        </w:rPr>
        <w:t>Item 61</w:t>
      </w:r>
    </w:p>
    <w:p w14:paraId="71475FDF" w14:textId="1C1F5913" w:rsidR="00481911" w:rsidRDefault="00481911" w:rsidP="00481911">
      <w:pPr>
        <w:pStyle w:val="Bullet"/>
        <w:numPr>
          <w:ilvl w:val="0"/>
          <w:numId w:val="0"/>
        </w:numPr>
      </w:pPr>
      <w:r>
        <w:t xml:space="preserve">Part 7 of Schedule 6 modifies the operation of subsection 173(1) of the Bankruptcy Act for personal insolvency agreements. The </w:t>
      </w:r>
      <w:r w:rsidR="00AA3C84">
        <w:t>Amending</w:t>
      </w:r>
      <w:r w:rsidR="009E326E">
        <w:t xml:space="preserve"> </w:t>
      </w:r>
      <w:r>
        <w:t xml:space="preserve">Act repeals subsection 173(1) of the Bankruptcy Act making this modification unnecessary. Item </w:t>
      </w:r>
      <w:r w:rsidR="009E326E">
        <w:t>61</w:t>
      </w:r>
      <w:r>
        <w:t xml:space="preserve"> removes this part.</w:t>
      </w:r>
    </w:p>
    <w:p w14:paraId="5A35F242" w14:textId="77777777" w:rsidR="00481911" w:rsidRDefault="00481911" w:rsidP="00481911">
      <w:pPr>
        <w:pStyle w:val="Bullet"/>
        <w:numPr>
          <w:ilvl w:val="0"/>
          <w:numId w:val="0"/>
        </w:numPr>
        <w:rPr>
          <w:i/>
        </w:rPr>
      </w:pPr>
      <w:r>
        <w:rPr>
          <w:i/>
        </w:rPr>
        <w:t xml:space="preserve">Items </w:t>
      </w:r>
      <w:r w:rsidR="009E326E">
        <w:rPr>
          <w:i/>
        </w:rPr>
        <w:t>62-65</w:t>
      </w:r>
    </w:p>
    <w:p w14:paraId="629BBEBE" w14:textId="77777777" w:rsidR="00481911" w:rsidRDefault="00481911" w:rsidP="00481911">
      <w:pPr>
        <w:pStyle w:val="Bullet"/>
        <w:numPr>
          <w:ilvl w:val="0"/>
          <w:numId w:val="0"/>
        </w:numPr>
      </w:pPr>
      <w:r>
        <w:t xml:space="preserve">Schedule 7 </w:t>
      </w:r>
      <w:r w:rsidR="00FB4EDB">
        <w:t xml:space="preserve">of the Bankruptcy Regulations </w:t>
      </w:r>
      <w:r>
        <w:t xml:space="preserve">modifies the operation of certain sections of the Bankruptcy Act for administration of a bankrupt estate where the debtor is deceased. </w:t>
      </w:r>
    </w:p>
    <w:p w14:paraId="0BF16707" w14:textId="31562650" w:rsidR="00481911" w:rsidRDefault="00481911" w:rsidP="00481911">
      <w:pPr>
        <w:pStyle w:val="Bullet"/>
        <w:numPr>
          <w:ilvl w:val="0"/>
          <w:numId w:val="0"/>
        </w:numPr>
      </w:pPr>
      <w:r>
        <w:t xml:space="preserve">Items 3 to 14 and subitems 14.3 and 14.4 of Schedule 7 modify sections of the Bankruptcy Act that have been repealed by the </w:t>
      </w:r>
      <w:r w:rsidR="00C75488">
        <w:t xml:space="preserve">Amending </w:t>
      </w:r>
      <w:r>
        <w:t xml:space="preserve">Act making these modifications unnecessary. Items </w:t>
      </w:r>
      <w:r w:rsidR="00FB4EDB">
        <w:t>62</w:t>
      </w:r>
      <w:r>
        <w:t xml:space="preserve"> and </w:t>
      </w:r>
      <w:r w:rsidR="00FB4EDB">
        <w:t>63</w:t>
      </w:r>
      <w:r>
        <w:t xml:space="preserve"> remove these items and subitems. </w:t>
      </w:r>
    </w:p>
    <w:p w14:paraId="470A2F84" w14:textId="18BE0824" w:rsidR="00481911" w:rsidRDefault="00481911" w:rsidP="00481911">
      <w:pPr>
        <w:pStyle w:val="Bullet"/>
        <w:numPr>
          <w:ilvl w:val="0"/>
          <w:numId w:val="0"/>
        </w:numPr>
      </w:pPr>
      <w:r>
        <w:t xml:space="preserve">Subitem 15.1 refers to subsection 73(4) of the Bankruptcy Act. The </w:t>
      </w:r>
      <w:r w:rsidR="00AA3C84">
        <w:t xml:space="preserve">Amending </w:t>
      </w:r>
      <w:r>
        <w:t xml:space="preserve">Act repeals this subsection. Item </w:t>
      </w:r>
      <w:r w:rsidR="00FB4EDB">
        <w:t>64</w:t>
      </w:r>
      <w:r>
        <w:t xml:space="preserve"> updates this subitem to refer instead to subsection 74(1) of the Bankruptcy Act (as amended by the </w:t>
      </w:r>
      <w:r w:rsidR="00AA3C84">
        <w:t xml:space="preserve">Amending </w:t>
      </w:r>
      <w:r>
        <w:t>Act).</w:t>
      </w:r>
    </w:p>
    <w:p w14:paraId="6CCDA8BA" w14:textId="7CCAC450" w:rsidR="00727C76" w:rsidRDefault="00481911" w:rsidP="00A3164A">
      <w:pPr>
        <w:pStyle w:val="Bullet"/>
        <w:numPr>
          <w:ilvl w:val="0"/>
          <w:numId w:val="0"/>
        </w:numPr>
      </w:pPr>
      <w:r>
        <w:t xml:space="preserve">The modification made by item 27 of Schedule 7 is not based on a statutory power and is therefore removed. Items 46, 47 and 48 of Schedule 7 modify sections of the Bankruptcy Act </w:t>
      </w:r>
      <w:r>
        <w:lastRenderedPageBreak/>
        <w:t xml:space="preserve">that have been repealed by the </w:t>
      </w:r>
      <w:r w:rsidR="00AA3C84">
        <w:t xml:space="preserve">Amending </w:t>
      </w:r>
      <w:r>
        <w:t>Act making these modifications unnecessary. Item</w:t>
      </w:r>
      <w:r w:rsidR="00AA3C84">
        <w:t> </w:t>
      </w:r>
      <w:r w:rsidR="00FB4EDB">
        <w:t>65</w:t>
      </w:r>
      <w:r>
        <w:t xml:space="preserve"> repeals these items accordingly. </w:t>
      </w:r>
    </w:p>
    <w:p w14:paraId="28CED63E" w14:textId="77777777" w:rsidR="002F364A" w:rsidRDefault="002F364A" w:rsidP="00A3164A">
      <w:pPr>
        <w:pStyle w:val="Bullet"/>
        <w:numPr>
          <w:ilvl w:val="0"/>
          <w:numId w:val="0"/>
        </w:numPr>
        <w:rPr>
          <w:b/>
        </w:rPr>
      </w:pPr>
      <w:r w:rsidRPr="002F364A">
        <w:rPr>
          <w:b/>
        </w:rPr>
        <w:t>Amendments to the Corporations (Aboriginal and Torres Strait Islander) Regulations 2007</w:t>
      </w:r>
    </w:p>
    <w:p w14:paraId="21FDC6F1" w14:textId="77777777" w:rsidR="002F364A" w:rsidRDefault="002F364A" w:rsidP="00A3164A">
      <w:pPr>
        <w:pStyle w:val="Bullet"/>
        <w:numPr>
          <w:ilvl w:val="0"/>
          <w:numId w:val="0"/>
        </w:numPr>
        <w:rPr>
          <w:i/>
        </w:rPr>
      </w:pPr>
      <w:r>
        <w:rPr>
          <w:i/>
        </w:rPr>
        <w:t>Items 6</w:t>
      </w:r>
      <w:r w:rsidR="00FB4EDB">
        <w:rPr>
          <w:i/>
        </w:rPr>
        <w:t>6</w:t>
      </w:r>
      <w:r>
        <w:rPr>
          <w:i/>
        </w:rPr>
        <w:t xml:space="preserve"> – </w:t>
      </w:r>
      <w:r w:rsidR="00FB4EDB">
        <w:rPr>
          <w:i/>
        </w:rPr>
        <w:t>7</w:t>
      </w:r>
      <w:r w:rsidR="00F527FB">
        <w:rPr>
          <w:i/>
        </w:rPr>
        <w:t>6</w:t>
      </w:r>
    </w:p>
    <w:p w14:paraId="1FC5CACB" w14:textId="77777777" w:rsidR="00077977" w:rsidRDefault="00077977" w:rsidP="00A3164A">
      <w:pPr>
        <w:pStyle w:val="Bullet"/>
        <w:numPr>
          <w:ilvl w:val="0"/>
          <w:numId w:val="0"/>
        </w:numPr>
      </w:pPr>
      <w:r>
        <w:t xml:space="preserve">The external administration of ATSI corporations is primarily provided for under the </w:t>
      </w:r>
      <w:r w:rsidRPr="00914F08">
        <w:rPr>
          <w:i/>
        </w:rPr>
        <w:t>Corporations (Aboriginal and Torres Strait Islander) Act 200</w:t>
      </w:r>
      <w:r>
        <w:rPr>
          <w:i/>
        </w:rPr>
        <w:t>7</w:t>
      </w:r>
      <w:r>
        <w:t xml:space="preserve"> </w:t>
      </w:r>
      <w:r w:rsidR="00EA52E3">
        <w:t>by</w:t>
      </w:r>
      <w:r>
        <w:t xml:space="preserve"> applying the provisions</w:t>
      </w:r>
      <w:r w:rsidR="00EA52E3">
        <w:t>, or a modified version,</w:t>
      </w:r>
      <w:r>
        <w:t xml:space="preserve"> of the Corporations Act.  </w:t>
      </w:r>
    </w:p>
    <w:p w14:paraId="02018CEA" w14:textId="77777777" w:rsidR="00077977" w:rsidRDefault="00077977" w:rsidP="00077977">
      <w:pPr>
        <w:pStyle w:val="Bullet"/>
      </w:pPr>
      <w:r>
        <w:t>Section 516-1 applies the controllership provisions of the Corporations Act to ATSI corporations;</w:t>
      </w:r>
    </w:p>
    <w:p w14:paraId="1087A535" w14:textId="77777777" w:rsidR="003727AD" w:rsidRDefault="003727AD" w:rsidP="00077977">
      <w:pPr>
        <w:pStyle w:val="Bullet"/>
      </w:pPr>
      <w:r>
        <w:t xml:space="preserve">Section 521-1 applies the voluntary administration </w:t>
      </w:r>
      <w:r w:rsidR="00077977">
        <w:t xml:space="preserve">provisions </w:t>
      </w:r>
      <w:r>
        <w:t>to ATSI corporations;</w:t>
      </w:r>
      <w:r w:rsidR="00077977">
        <w:t xml:space="preserve"> and</w:t>
      </w:r>
    </w:p>
    <w:p w14:paraId="3ED99E93" w14:textId="77777777" w:rsidR="003727AD" w:rsidRDefault="003727AD" w:rsidP="00077977">
      <w:pPr>
        <w:pStyle w:val="Bullet"/>
      </w:pPr>
      <w:r>
        <w:t xml:space="preserve">Section 526-35 applies the winding up provisions </w:t>
      </w:r>
      <w:r w:rsidR="00077977">
        <w:t>to ATSI corporations.</w:t>
      </w:r>
    </w:p>
    <w:p w14:paraId="3DA54059" w14:textId="61191507" w:rsidR="00812AEF" w:rsidRPr="00812AEF" w:rsidRDefault="00812AEF" w:rsidP="00A3164A">
      <w:pPr>
        <w:pStyle w:val="Bullet"/>
        <w:numPr>
          <w:ilvl w:val="0"/>
          <w:numId w:val="0"/>
        </w:numPr>
      </w:pPr>
      <w:r>
        <w:t xml:space="preserve">Regulation 418-10.01 of the </w:t>
      </w:r>
      <w:r w:rsidR="00AA3C84">
        <w:t>CATSI Act</w:t>
      </w:r>
      <w:r>
        <w:t xml:space="preserve"> obliges the Registrar for Indigenous Corporations to keep a Register of </w:t>
      </w:r>
      <w:r w:rsidR="00AA3C84">
        <w:t>ATSI</w:t>
      </w:r>
      <w:r>
        <w:t xml:space="preserve"> Corporations which holds information specified in Part 4 of Schedule 2. </w:t>
      </w:r>
    </w:p>
    <w:p w14:paraId="07A27319" w14:textId="77777777" w:rsidR="00385971" w:rsidRDefault="009932C3" w:rsidP="00A3164A">
      <w:pPr>
        <w:pStyle w:val="Bullet"/>
        <w:numPr>
          <w:ilvl w:val="0"/>
          <w:numId w:val="0"/>
        </w:numPr>
      </w:pPr>
      <w:r>
        <w:t xml:space="preserve">Part 4 of Schedule 2 of the CATSI Act modifies information or documents which must be kept on a Register kept by ASIC under the Corporations Act, and then applies those obligations on the Registrar for Indigenous Corporations to keep a similar register for ATSI corporations. </w:t>
      </w:r>
    </w:p>
    <w:p w14:paraId="7E26349C" w14:textId="1A488EBA" w:rsidR="00EA52E3" w:rsidRDefault="00FB4EDB" w:rsidP="00A3164A">
      <w:pPr>
        <w:pStyle w:val="Bullet"/>
        <w:numPr>
          <w:ilvl w:val="0"/>
          <w:numId w:val="0"/>
        </w:numPr>
      </w:pPr>
      <w:r>
        <w:t xml:space="preserve">Items 66, 67, </w:t>
      </w:r>
      <w:r w:rsidR="00F527FB">
        <w:t>68, 70</w:t>
      </w:r>
      <w:r>
        <w:t xml:space="preserve"> and 7</w:t>
      </w:r>
      <w:r w:rsidR="00F527FB">
        <w:t>3</w:t>
      </w:r>
      <w:r>
        <w:t xml:space="preserve"> </w:t>
      </w:r>
      <w:r w:rsidR="00EA52E3">
        <w:t xml:space="preserve">of this Regulation amend table items 17, 22, 35 and 43 to reflect changes made by the </w:t>
      </w:r>
      <w:r w:rsidR="00AA3C84">
        <w:t xml:space="preserve">Amending </w:t>
      </w:r>
      <w:r w:rsidR="00EA52E3">
        <w:t xml:space="preserve">Act. </w:t>
      </w:r>
    </w:p>
    <w:p w14:paraId="1ABD3D29" w14:textId="6C983F99" w:rsidR="00EA52E3" w:rsidRDefault="00FB4EDB" w:rsidP="00A3164A">
      <w:pPr>
        <w:pStyle w:val="Bullet"/>
        <w:numPr>
          <w:ilvl w:val="0"/>
          <w:numId w:val="0"/>
        </w:numPr>
        <w:rPr>
          <w:i/>
        </w:rPr>
      </w:pPr>
      <w:r>
        <w:t>Items 6</w:t>
      </w:r>
      <w:r w:rsidR="00F527FB">
        <w:t>9</w:t>
      </w:r>
      <w:r>
        <w:t>, 7</w:t>
      </w:r>
      <w:r w:rsidR="00F527FB">
        <w:t>1</w:t>
      </w:r>
      <w:r>
        <w:t xml:space="preserve">, </w:t>
      </w:r>
      <w:r w:rsidR="00F527FB">
        <w:t>72</w:t>
      </w:r>
      <w:r>
        <w:t xml:space="preserve"> and 7</w:t>
      </w:r>
      <w:r w:rsidR="00F527FB">
        <w:t>4</w:t>
      </w:r>
      <w:r>
        <w:t xml:space="preserve"> </w:t>
      </w:r>
      <w:r w:rsidR="00EA52E3">
        <w:t xml:space="preserve">of this Regulation repeal table items 30, 36, 40, 41, 42 and 47 as the Corporations Act provisions referred to in those table items have been repealed by the </w:t>
      </w:r>
      <w:r w:rsidR="00AA3C84">
        <w:t xml:space="preserve">Amending </w:t>
      </w:r>
      <w:r w:rsidR="00EA52E3">
        <w:t xml:space="preserve">Act. </w:t>
      </w:r>
    </w:p>
    <w:p w14:paraId="68E0045D" w14:textId="77777777" w:rsidR="002F364A" w:rsidRDefault="002F364A" w:rsidP="00A3164A">
      <w:pPr>
        <w:pStyle w:val="Bullet"/>
        <w:numPr>
          <w:ilvl w:val="0"/>
          <w:numId w:val="0"/>
        </w:numPr>
        <w:rPr>
          <w:i/>
        </w:rPr>
      </w:pPr>
      <w:r>
        <w:rPr>
          <w:i/>
        </w:rPr>
        <w:t xml:space="preserve">Items </w:t>
      </w:r>
      <w:r w:rsidR="00FB4EDB">
        <w:rPr>
          <w:i/>
        </w:rPr>
        <w:t>7</w:t>
      </w:r>
      <w:r w:rsidR="00F527FB">
        <w:rPr>
          <w:i/>
        </w:rPr>
        <w:t>5</w:t>
      </w:r>
      <w:r w:rsidR="00FB4EDB">
        <w:rPr>
          <w:i/>
        </w:rPr>
        <w:t xml:space="preserve"> – </w:t>
      </w:r>
      <w:r w:rsidR="00F527FB">
        <w:rPr>
          <w:i/>
        </w:rPr>
        <w:t>76</w:t>
      </w:r>
    </w:p>
    <w:p w14:paraId="75146602" w14:textId="77777777" w:rsidR="002F364A" w:rsidRDefault="00EA52E3" w:rsidP="00A3164A">
      <w:pPr>
        <w:pStyle w:val="Bullet"/>
        <w:numPr>
          <w:ilvl w:val="0"/>
          <w:numId w:val="0"/>
        </w:numPr>
      </w:pPr>
      <w:r>
        <w:t xml:space="preserve">Schedule 4 of the CATSI Regulations modifies a range of obligations set out in the Corporations Act which </w:t>
      </w:r>
      <w:r w:rsidR="00D228F0">
        <w:t>are</w:t>
      </w:r>
      <w:r>
        <w:t xml:space="preserve"> then applied </w:t>
      </w:r>
      <w:r w:rsidR="00D228F0">
        <w:t xml:space="preserve">to ATSI corporations through the operation of the CATSI Act. </w:t>
      </w:r>
    </w:p>
    <w:p w14:paraId="2A9A4F18" w14:textId="27CCBC1B" w:rsidR="00D228F0" w:rsidRDefault="00D228F0" w:rsidP="00A3164A">
      <w:pPr>
        <w:pStyle w:val="Bullet"/>
        <w:numPr>
          <w:ilvl w:val="0"/>
          <w:numId w:val="0"/>
        </w:numPr>
      </w:pPr>
      <w:r>
        <w:t xml:space="preserve">Item </w:t>
      </w:r>
      <w:r w:rsidR="00FB4EDB">
        <w:t>7</w:t>
      </w:r>
      <w:r w:rsidR="00F527FB">
        <w:t>5</w:t>
      </w:r>
      <w:r>
        <w:t xml:space="preserve"> of this Regulation repeal</w:t>
      </w:r>
      <w:r w:rsidR="00481911">
        <w:t>s</w:t>
      </w:r>
      <w:r>
        <w:t xml:space="preserve"> table item 23 of Schedule 4 as the Corporations Act provision referred to in that table item (Paragraph 473(5)(a) of the Corporations Act) has been repealed by the </w:t>
      </w:r>
      <w:r w:rsidR="00AA3C84">
        <w:t xml:space="preserve">Amending </w:t>
      </w:r>
      <w:r>
        <w:t xml:space="preserve">Act.  </w:t>
      </w:r>
    </w:p>
    <w:p w14:paraId="7CD902A3" w14:textId="74592475" w:rsidR="00D228F0" w:rsidRDefault="00FB4EDB" w:rsidP="00A3164A">
      <w:pPr>
        <w:pStyle w:val="Bullet"/>
        <w:numPr>
          <w:ilvl w:val="0"/>
          <w:numId w:val="0"/>
        </w:numPr>
      </w:pPr>
      <w:r>
        <w:t>Item 7</w:t>
      </w:r>
      <w:r w:rsidR="00F527FB">
        <w:t>6</w:t>
      </w:r>
      <w:r w:rsidR="00D228F0">
        <w:t xml:space="preserve"> of this Regulation amend</w:t>
      </w:r>
      <w:r w:rsidR="00481911">
        <w:t>s</w:t>
      </w:r>
      <w:r w:rsidR="00D228F0">
        <w:t xml:space="preserve"> table item 27 of Schedule 4 to reflect the change made to section 532 (1) of the Corporations Act by the </w:t>
      </w:r>
      <w:r w:rsidR="00AA3C84">
        <w:t xml:space="preserve">Amending </w:t>
      </w:r>
      <w:r w:rsidR="00D228F0">
        <w:t xml:space="preserve">Act. </w:t>
      </w:r>
    </w:p>
    <w:p w14:paraId="2C472CE3" w14:textId="77777777" w:rsidR="001874A4" w:rsidRPr="001874A4" w:rsidRDefault="001874A4" w:rsidP="00A84D41">
      <w:pPr>
        <w:pStyle w:val="Bullet"/>
        <w:keepNext/>
        <w:numPr>
          <w:ilvl w:val="0"/>
          <w:numId w:val="0"/>
        </w:numPr>
        <w:rPr>
          <w:b/>
        </w:rPr>
      </w:pPr>
      <w:r w:rsidRPr="001874A4">
        <w:rPr>
          <w:b/>
        </w:rPr>
        <w:t>Amendments to the Corporations Regulations 2001</w:t>
      </w:r>
    </w:p>
    <w:p w14:paraId="4191DC1A" w14:textId="77777777" w:rsidR="001874A4" w:rsidRDefault="001874A4" w:rsidP="00A84D41">
      <w:pPr>
        <w:pStyle w:val="Bullet"/>
        <w:keepNext/>
        <w:numPr>
          <w:ilvl w:val="0"/>
          <w:numId w:val="0"/>
        </w:numPr>
        <w:rPr>
          <w:i/>
        </w:rPr>
      </w:pPr>
      <w:r>
        <w:rPr>
          <w:i/>
        </w:rPr>
        <w:t xml:space="preserve">Item </w:t>
      </w:r>
      <w:r w:rsidR="00FB4EDB">
        <w:rPr>
          <w:i/>
        </w:rPr>
        <w:t>7</w:t>
      </w:r>
      <w:r w:rsidR="00F527FB">
        <w:rPr>
          <w:i/>
        </w:rPr>
        <w:t>7</w:t>
      </w:r>
    </w:p>
    <w:p w14:paraId="13B5B0E8" w14:textId="51F1E39F" w:rsidR="001874A4" w:rsidRDefault="001874A4" w:rsidP="00A84D41">
      <w:pPr>
        <w:pStyle w:val="Bullet"/>
        <w:keepNext/>
        <w:numPr>
          <w:ilvl w:val="0"/>
          <w:numId w:val="0"/>
        </w:numPr>
      </w:pPr>
      <w:r>
        <w:t xml:space="preserve">Regulation 1.0.03A </w:t>
      </w:r>
      <w:r w:rsidR="008B596B">
        <w:t xml:space="preserve">(table items 13 and 14) </w:t>
      </w:r>
      <w:r>
        <w:t xml:space="preserve">requires a return regarding the holding of a meeting under section 509 of the Corporations Act, or the provision of a liquidator’s receipts and payments under section 539 of the Corporations Act, to be lodged in a prescribed form. These obligations </w:t>
      </w:r>
      <w:r w:rsidR="00481911">
        <w:t>are</w:t>
      </w:r>
      <w:r>
        <w:t xml:space="preserve"> repealed </w:t>
      </w:r>
      <w:r w:rsidR="006A34E3">
        <w:t>when</w:t>
      </w:r>
      <w:r>
        <w:t xml:space="preserve"> Schedule 1, Part 2 of the </w:t>
      </w:r>
      <w:r w:rsidR="001612ED">
        <w:t xml:space="preserve">Amending </w:t>
      </w:r>
      <w:r>
        <w:t xml:space="preserve">Act commences. </w:t>
      </w:r>
    </w:p>
    <w:p w14:paraId="3C50777E" w14:textId="77777777" w:rsidR="001874A4" w:rsidRDefault="001874A4" w:rsidP="00A3164A">
      <w:pPr>
        <w:pStyle w:val="Bullet"/>
        <w:numPr>
          <w:ilvl w:val="0"/>
          <w:numId w:val="0"/>
        </w:numPr>
        <w:rPr>
          <w:i/>
        </w:rPr>
      </w:pPr>
      <w:r>
        <w:rPr>
          <w:i/>
        </w:rPr>
        <w:t xml:space="preserve">Item </w:t>
      </w:r>
      <w:r w:rsidR="00FB4EDB">
        <w:rPr>
          <w:i/>
        </w:rPr>
        <w:t>7</w:t>
      </w:r>
      <w:r w:rsidR="00F527FB">
        <w:rPr>
          <w:i/>
        </w:rPr>
        <w:t>8</w:t>
      </w:r>
    </w:p>
    <w:p w14:paraId="7604F3FD" w14:textId="62FD89E8" w:rsidR="00B837FB" w:rsidRDefault="008B596B" w:rsidP="00A3164A">
      <w:pPr>
        <w:pStyle w:val="Bullet"/>
        <w:numPr>
          <w:ilvl w:val="0"/>
          <w:numId w:val="0"/>
        </w:numPr>
      </w:pPr>
      <w:r>
        <w:lastRenderedPageBreak/>
        <w:t>Regulation 1.0.03C</w:t>
      </w:r>
      <w:r w:rsidR="006A34E3">
        <w:t xml:space="preserve"> (table item </w:t>
      </w:r>
      <w:r>
        <w:t xml:space="preserve">1) requires a statement about the company’s business, property, affairs and financial circumstance </w:t>
      </w:r>
      <w:r w:rsidR="00B837FB">
        <w:t xml:space="preserve">under subsection 438B (2) of the Corporations </w:t>
      </w:r>
      <w:r w:rsidR="006A34E3">
        <w:t xml:space="preserve">Act </w:t>
      </w:r>
      <w:r w:rsidR="00B837FB">
        <w:t xml:space="preserve">to be lodged in a form approved by ASIC. The </w:t>
      </w:r>
      <w:r w:rsidR="001612ED">
        <w:t xml:space="preserve">Amending </w:t>
      </w:r>
      <w:r w:rsidR="00B837FB">
        <w:t>Act amends subsection 438B (2) to achieve this same effect, making</w:t>
      </w:r>
      <w:r w:rsidR="006A34E3">
        <w:t xml:space="preserve"> this</w:t>
      </w:r>
      <w:r w:rsidR="00B837FB">
        <w:t xml:space="preserve"> table item redundant.</w:t>
      </w:r>
      <w:r w:rsidR="003273DE">
        <w:t xml:space="preserve"> The table item </w:t>
      </w:r>
      <w:r w:rsidR="00481911">
        <w:t>is</w:t>
      </w:r>
      <w:r w:rsidR="003273DE">
        <w:t xml:space="preserve"> repealed.</w:t>
      </w:r>
    </w:p>
    <w:p w14:paraId="37111B3C" w14:textId="77777777" w:rsidR="006A34E3" w:rsidRDefault="006A34E3" w:rsidP="00A3164A">
      <w:pPr>
        <w:pStyle w:val="Bullet"/>
        <w:numPr>
          <w:ilvl w:val="0"/>
          <w:numId w:val="0"/>
        </w:numPr>
      </w:pPr>
      <w:r>
        <w:t xml:space="preserve">Regulation 1.0.03C (table item 2) requires a report to creditors as part of the second meeting of creditors in a voluntary administration under paragraph </w:t>
      </w:r>
      <w:r w:rsidR="00923189">
        <w:t>439A (</w:t>
      </w:r>
      <w:r>
        <w:t>4)</w:t>
      </w:r>
      <w:r w:rsidR="00923189">
        <w:t xml:space="preserve"> </w:t>
      </w:r>
      <w:r>
        <w:t xml:space="preserve">(a) of the Corporations Act to be prepared in a form approved by ASIC. This obligation </w:t>
      </w:r>
      <w:r w:rsidR="00FB4EDB">
        <w:t>will</w:t>
      </w:r>
      <w:r>
        <w:t xml:space="preserve"> be moved to the Insolvency Practice Rules</w:t>
      </w:r>
      <w:r w:rsidR="00FB4EDB">
        <w:t xml:space="preserve"> (Corporations)</w:t>
      </w:r>
      <w:r>
        <w:t>, making this table item redundant.</w:t>
      </w:r>
      <w:r w:rsidR="003273DE">
        <w:t xml:space="preserve"> The table item </w:t>
      </w:r>
      <w:r w:rsidR="00481911">
        <w:t>is</w:t>
      </w:r>
      <w:r w:rsidR="003273DE">
        <w:t xml:space="preserve"> repealed.</w:t>
      </w:r>
    </w:p>
    <w:p w14:paraId="264E9D0C" w14:textId="77777777" w:rsidR="00FB4EDB" w:rsidRPr="00543FE7" w:rsidRDefault="00FB4EDB" w:rsidP="00FB4EDB">
      <w:pPr>
        <w:pStyle w:val="Bullet"/>
        <w:numPr>
          <w:ilvl w:val="0"/>
          <w:numId w:val="0"/>
        </w:numPr>
        <w:rPr>
          <w:i/>
        </w:rPr>
      </w:pPr>
      <w:r w:rsidRPr="00543FE7">
        <w:rPr>
          <w:i/>
        </w:rPr>
        <w:t>Item</w:t>
      </w:r>
      <w:r>
        <w:rPr>
          <w:i/>
        </w:rPr>
        <w:t>s</w:t>
      </w:r>
      <w:r w:rsidRPr="00543FE7">
        <w:rPr>
          <w:i/>
        </w:rPr>
        <w:t xml:space="preserve"> </w:t>
      </w:r>
      <w:r w:rsidR="00F527FB">
        <w:rPr>
          <w:i/>
        </w:rPr>
        <w:t>80</w:t>
      </w:r>
      <w:r>
        <w:rPr>
          <w:i/>
        </w:rPr>
        <w:t>-8</w:t>
      </w:r>
      <w:r w:rsidR="00F527FB">
        <w:rPr>
          <w:i/>
        </w:rPr>
        <w:t>1</w:t>
      </w:r>
    </w:p>
    <w:p w14:paraId="30EB9D71" w14:textId="77777777" w:rsidR="00543FE7" w:rsidRPr="00923189" w:rsidRDefault="00543FE7" w:rsidP="00A3164A">
      <w:pPr>
        <w:pStyle w:val="Bullet"/>
        <w:numPr>
          <w:ilvl w:val="0"/>
          <w:numId w:val="0"/>
        </w:numPr>
      </w:pPr>
      <w:r>
        <w:t>Regulations 5.3A.01</w:t>
      </w:r>
      <w:r w:rsidR="003726B4">
        <w:t xml:space="preserve">, 5.3A.02, </w:t>
      </w:r>
      <w:r>
        <w:t>5.3A.03</w:t>
      </w:r>
      <w:r w:rsidR="003726B4">
        <w:t xml:space="preserve"> and 5.3A.03AB</w:t>
      </w:r>
      <w:r>
        <w:t xml:space="preserve"> will be replicated in the Insolvency Practice Rules</w:t>
      </w:r>
      <w:r w:rsidR="00FB4EDB">
        <w:t xml:space="preserve"> (Corporations)</w:t>
      </w:r>
      <w:r>
        <w:t xml:space="preserve">. These Regulations are therefore repealed. </w:t>
      </w:r>
    </w:p>
    <w:p w14:paraId="5A03C7D9" w14:textId="77777777" w:rsidR="00FB4EDB" w:rsidRPr="00C9586F" w:rsidRDefault="00FB4EDB" w:rsidP="00FB4EDB">
      <w:pPr>
        <w:rPr>
          <w:i/>
        </w:rPr>
      </w:pPr>
      <w:r>
        <w:rPr>
          <w:i/>
        </w:rPr>
        <w:t>Item</w:t>
      </w:r>
      <w:r w:rsidRPr="00C9586F">
        <w:rPr>
          <w:i/>
        </w:rPr>
        <w:t xml:space="preserve"> </w:t>
      </w:r>
      <w:r>
        <w:rPr>
          <w:i/>
        </w:rPr>
        <w:t>8</w:t>
      </w:r>
      <w:r w:rsidR="00F527FB">
        <w:rPr>
          <w:i/>
        </w:rPr>
        <w:t>2</w:t>
      </w:r>
    </w:p>
    <w:p w14:paraId="5E16BAD4" w14:textId="77777777" w:rsidR="00C531EB" w:rsidRPr="006232CB" w:rsidRDefault="00C531EB" w:rsidP="00A5721E">
      <w:pPr>
        <w:rPr>
          <w:i/>
        </w:rPr>
      </w:pPr>
      <w:r>
        <w:t>Subregulation 5.3A.06A(2</w:t>
      </w:r>
      <w:r w:rsidRPr="00560673">
        <w:t xml:space="preserve">) </w:t>
      </w:r>
      <w:r>
        <w:t>replaces the timing for the publication of notice regarding the passing of a special resolution by a company that the company be wound up voluntarily. Instead of within 15 days of the special resolution, the notice must be published by the end of the next business day after a liquidator is appointed to administer the winding up of the company.</w:t>
      </w:r>
    </w:p>
    <w:p w14:paraId="290A3F8B" w14:textId="77777777" w:rsidR="00FB4EDB" w:rsidRDefault="00FB4EDB" w:rsidP="00FB4EDB">
      <w:pPr>
        <w:rPr>
          <w:i/>
        </w:rPr>
      </w:pPr>
      <w:r>
        <w:rPr>
          <w:i/>
        </w:rPr>
        <w:t>Items 8</w:t>
      </w:r>
      <w:r w:rsidR="00F527FB">
        <w:rPr>
          <w:i/>
        </w:rPr>
        <w:t>3</w:t>
      </w:r>
    </w:p>
    <w:p w14:paraId="093479E3" w14:textId="1AD895BE" w:rsidR="00CD3C2B" w:rsidRPr="00A70B28" w:rsidRDefault="002137B4" w:rsidP="00A5721E">
      <w:r>
        <w:t xml:space="preserve">Section 449C </w:t>
      </w:r>
      <w:r w:rsidR="00BA7F8F">
        <w:t xml:space="preserve">of the Corporations Act </w:t>
      </w:r>
      <w:r>
        <w:t xml:space="preserve">is repealed by the </w:t>
      </w:r>
      <w:r w:rsidR="00AA3C84">
        <w:t xml:space="preserve">Amending </w:t>
      </w:r>
      <w:r>
        <w:t>Act</w:t>
      </w:r>
      <w:r w:rsidR="00F062B5">
        <w:t xml:space="preserve"> – as a result regulation </w:t>
      </w:r>
      <w:r w:rsidR="00F062B5" w:rsidRPr="00A70B28">
        <w:t>5.3A.06AB is no longer operational and should be repealed.</w:t>
      </w:r>
    </w:p>
    <w:p w14:paraId="3D34AA65" w14:textId="77777777" w:rsidR="00B95C0B" w:rsidRPr="006232CB" w:rsidRDefault="00B95C0B" w:rsidP="00A5721E">
      <w:pPr>
        <w:rPr>
          <w:i/>
        </w:rPr>
      </w:pPr>
      <w:r w:rsidRPr="006232CB">
        <w:rPr>
          <w:i/>
        </w:rPr>
        <w:t>Item 8</w:t>
      </w:r>
      <w:r w:rsidR="00F527FB">
        <w:rPr>
          <w:i/>
        </w:rPr>
        <w:t>5</w:t>
      </w:r>
    </w:p>
    <w:p w14:paraId="2879AF9F" w14:textId="01F54975" w:rsidR="00B95C0B" w:rsidRDefault="00620210" w:rsidP="00A5721E">
      <w:r>
        <w:t>Item 8</w:t>
      </w:r>
      <w:r w:rsidR="00F527FB">
        <w:t>5</w:t>
      </w:r>
      <w:r>
        <w:t xml:space="preserve"> omit</w:t>
      </w:r>
      <w:r w:rsidR="00481911">
        <w:t>s</w:t>
      </w:r>
      <w:r>
        <w:t xml:space="preserve"> the reference to ‘465A(c)’ and substitute</w:t>
      </w:r>
      <w:r w:rsidR="00AA3C84">
        <w:t>s</w:t>
      </w:r>
      <w:r>
        <w:t xml:space="preserve"> it with a reference to ‘465A(1)(c)’.</w:t>
      </w:r>
    </w:p>
    <w:p w14:paraId="5F5332D0" w14:textId="77777777" w:rsidR="00CD3C2B" w:rsidRPr="00F062B5" w:rsidRDefault="00CD3C2B" w:rsidP="00A5721E">
      <w:r>
        <w:rPr>
          <w:i/>
        </w:rPr>
        <w:t xml:space="preserve">Item </w:t>
      </w:r>
      <w:r w:rsidR="00FB4EDB">
        <w:rPr>
          <w:i/>
        </w:rPr>
        <w:t>8</w:t>
      </w:r>
      <w:r w:rsidR="00F527FB">
        <w:rPr>
          <w:i/>
        </w:rPr>
        <w:t>6</w:t>
      </w:r>
    </w:p>
    <w:p w14:paraId="15D13D6A" w14:textId="77777777" w:rsidR="00041694" w:rsidRPr="00BA7F8F" w:rsidRDefault="00BA7F8F" w:rsidP="00A5721E">
      <w:r>
        <w:t xml:space="preserve">Subsection 465A(2) of the Corporations Act </w:t>
      </w:r>
      <w:r w:rsidR="00EC26D6">
        <w:t xml:space="preserve">requires a liquidator to cause a notice to be published on ASIC’s </w:t>
      </w:r>
      <w:r w:rsidR="00EC26D6">
        <w:rPr>
          <w:i/>
        </w:rPr>
        <w:t xml:space="preserve">Published Notices Website </w:t>
      </w:r>
      <w:r w:rsidR="00EC26D6">
        <w:t>once a winding up order has been made by the Court. Regulation 5.4.01B set</w:t>
      </w:r>
      <w:r w:rsidR="00481911">
        <w:t>s</w:t>
      </w:r>
      <w:r w:rsidR="00EC26D6">
        <w:t xml:space="preserve"> out the information required in the notice. </w:t>
      </w:r>
      <w:r>
        <w:t xml:space="preserve">  </w:t>
      </w:r>
    </w:p>
    <w:p w14:paraId="172DDBE9" w14:textId="77777777" w:rsidR="00041694" w:rsidRDefault="00041694" w:rsidP="00A5721E">
      <w:pPr>
        <w:rPr>
          <w:i/>
        </w:rPr>
      </w:pPr>
      <w:r>
        <w:rPr>
          <w:i/>
        </w:rPr>
        <w:t>Item 8</w:t>
      </w:r>
      <w:r w:rsidR="00F527FB">
        <w:rPr>
          <w:i/>
        </w:rPr>
        <w:t>7</w:t>
      </w:r>
    </w:p>
    <w:p w14:paraId="555A294C" w14:textId="77777777" w:rsidR="00041694" w:rsidRDefault="00EC26D6" w:rsidP="00A5721E">
      <w:pPr>
        <w:rPr>
          <w:i/>
        </w:rPr>
      </w:pPr>
      <w:r w:rsidRPr="00560673">
        <w:t xml:space="preserve">Subregulation 5.5.01(3) </w:t>
      </w:r>
      <w:r w:rsidR="00560673">
        <w:t>replaces the timing for the publication of notice regarding the appointment of a liquidator to a creditors’ voluntary winding up commenced by a special resolution of the company. Instead of within 21 days of the special resolution, the liquidator appointed to administer the winding up will be required to cause a notice to be published on ASIC</w:t>
      </w:r>
      <w:r w:rsidR="00FB4EDB">
        <w:t>’</w:t>
      </w:r>
      <w:r w:rsidR="00560673">
        <w:t xml:space="preserve">s </w:t>
      </w:r>
      <w:r w:rsidR="00560673">
        <w:rPr>
          <w:i/>
        </w:rPr>
        <w:t xml:space="preserve">Published Notices Website </w:t>
      </w:r>
      <w:r w:rsidR="00560673">
        <w:t>by the end of the next business day.</w:t>
      </w:r>
    </w:p>
    <w:p w14:paraId="7EEF3687" w14:textId="77777777" w:rsidR="00041694" w:rsidRDefault="00041694" w:rsidP="00A5721E">
      <w:pPr>
        <w:rPr>
          <w:i/>
        </w:rPr>
      </w:pPr>
      <w:r>
        <w:rPr>
          <w:i/>
        </w:rPr>
        <w:t xml:space="preserve">Item </w:t>
      </w:r>
      <w:r w:rsidR="00FB4EDB">
        <w:rPr>
          <w:i/>
        </w:rPr>
        <w:t>8</w:t>
      </w:r>
      <w:r w:rsidR="00F527FB">
        <w:rPr>
          <w:i/>
        </w:rPr>
        <w:t>8</w:t>
      </w:r>
    </w:p>
    <w:p w14:paraId="3A0BC4CA" w14:textId="094B9049" w:rsidR="00420872" w:rsidRDefault="00420872" w:rsidP="00A5721E">
      <w:r>
        <w:t xml:space="preserve">The requirement for an initial meeting of creditors in a creditor’s voluntary winding up was repealed by the </w:t>
      </w:r>
      <w:r w:rsidR="00AA3C84">
        <w:t>Amending</w:t>
      </w:r>
      <w:r w:rsidR="00FB4EDB">
        <w:t xml:space="preserve"> </w:t>
      </w:r>
      <w:r>
        <w:t xml:space="preserve">Act, as was the requirement to publish a notice regarding the meeting on ASIC’s website. Regulation 5.5.02 is therefore no longer operational and </w:t>
      </w:r>
      <w:r w:rsidR="00481911">
        <w:t>is</w:t>
      </w:r>
      <w:r>
        <w:t xml:space="preserve"> repealed.</w:t>
      </w:r>
    </w:p>
    <w:p w14:paraId="70895ADD" w14:textId="77777777" w:rsidR="003B7A17" w:rsidRDefault="003B7A17" w:rsidP="003B7A17">
      <w:pPr>
        <w:rPr>
          <w:i/>
        </w:rPr>
      </w:pPr>
      <w:r>
        <w:rPr>
          <w:i/>
        </w:rPr>
        <w:t>Item 8</w:t>
      </w:r>
      <w:r w:rsidR="00F527FB">
        <w:rPr>
          <w:i/>
        </w:rPr>
        <w:t>9</w:t>
      </w:r>
      <w:r>
        <w:rPr>
          <w:i/>
        </w:rPr>
        <w:t xml:space="preserve"> and 9</w:t>
      </w:r>
      <w:r w:rsidR="00F527FB">
        <w:rPr>
          <w:i/>
        </w:rPr>
        <w:t>4</w:t>
      </w:r>
    </w:p>
    <w:p w14:paraId="606FB630" w14:textId="794C1E91" w:rsidR="00041694" w:rsidRDefault="001C5EC0" w:rsidP="00A5721E">
      <w:pPr>
        <w:rPr>
          <w:i/>
        </w:rPr>
      </w:pPr>
      <w:r>
        <w:t xml:space="preserve">Regulations 5.6.01 to 5.6.36A (except regulations 5.6.11 and 5.6.11A) relate to the keeping of books and records by an external administrator, the handling of administration funds, and the convening, conduct, and voting at meetings during an external administration. </w:t>
      </w:r>
      <w:r w:rsidR="00612C37">
        <w:t xml:space="preserve">The regulation of these requirements </w:t>
      </w:r>
      <w:r w:rsidR="00481911">
        <w:t>is</w:t>
      </w:r>
      <w:r w:rsidR="00612C37">
        <w:t xml:space="preserve"> repealed and </w:t>
      </w:r>
      <w:r w:rsidR="00AA3C84">
        <w:t>will</w:t>
      </w:r>
      <w:r w:rsidR="00481911">
        <w:t xml:space="preserve"> be </w:t>
      </w:r>
      <w:r w:rsidR="00612C37">
        <w:t xml:space="preserve">dealt with through Rules made by the </w:t>
      </w:r>
      <w:r w:rsidR="00612C37">
        <w:lastRenderedPageBreak/>
        <w:t>Minister in order to provide for</w:t>
      </w:r>
      <w:r>
        <w:t xml:space="preserve"> the greater alignment of these requirements </w:t>
      </w:r>
      <w:r w:rsidR="00612C37">
        <w:t>between corporate and personal insolvencies</w:t>
      </w:r>
      <w:r w:rsidR="005A3DD1">
        <w:t>.</w:t>
      </w:r>
      <w:r w:rsidR="00612C37">
        <w:t xml:space="preserve"> </w:t>
      </w:r>
    </w:p>
    <w:p w14:paraId="38AD2A7A" w14:textId="77777777" w:rsidR="003B7A17" w:rsidRDefault="003B7A17" w:rsidP="003B7A17">
      <w:pPr>
        <w:rPr>
          <w:i/>
        </w:rPr>
      </w:pPr>
      <w:r>
        <w:rPr>
          <w:i/>
        </w:rPr>
        <w:t>Items</w:t>
      </w:r>
      <w:r w:rsidR="00F527FB">
        <w:rPr>
          <w:i/>
        </w:rPr>
        <w:t xml:space="preserve"> </w:t>
      </w:r>
      <w:r>
        <w:rPr>
          <w:i/>
        </w:rPr>
        <w:t>9</w:t>
      </w:r>
      <w:r w:rsidR="00F527FB">
        <w:rPr>
          <w:i/>
        </w:rPr>
        <w:t>0</w:t>
      </w:r>
      <w:r>
        <w:rPr>
          <w:i/>
        </w:rPr>
        <w:t xml:space="preserve"> - 9</w:t>
      </w:r>
      <w:r w:rsidR="00F527FB">
        <w:rPr>
          <w:i/>
        </w:rPr>
        <w:t>2</w:t>
      </w:r>
    </w:p>
    <w:p w14:paraId="66435865" w14:textId="77777777" w:rsidR="00041694" w:rsidRDefault="00612C37" w:rsidP="00A5721E">
      <w:r>
        <w:t>Subregulation</w:t>
      </w:r>
      <w:r w:rsidR="001B35B1">
        <w:t>s</w:t>
      </w:r>
      <w:r>
        <w:t xml:space="preserve"> 5.6.11</w:t>
      </w:r>
      <w:r w:rsidR="001B35B1">
        <w:t>(2) and (3)</w:t>
      </w:r>
      <w:r>
        <w:t xml:space="preserve"> of the Corporations </w:t>
      </w:r>
      <w:r w:rsidR="001B35B1">
        <w:t xml:space="preserve">Regulations provide that where certain meetings are held during external administrators under the Corporations Act, the rules for meetings set out under 5.6.12 to 5.6.36A will apply. With the repeal of regulations 5.6.12 to 5.6.36A, subregulations 5.6.11(2) and (3) are redundant and </w:t>
      </w:r>
      <w:r w:rsidR="00481911">
        <w:t>are</w:t>
      </w:r>
      <w:r w:rsidR="001B35B1">
        <w:t xml:space="preserve"> repealed. </w:t>
      </w:r>
      <w:r>
        <w:t xml:space="preserve"> </w:t>
      </w:r>
    </w:p>
    <w:p w14:paraId="40A2FEDF" w14:textId="77777777" w:rsidR="003B7A17" w:rsidRDefault="003B7A17" w:rsidP="003B7A17">
      <w:pPr>
        <w:rPr>
          <w:i/>
        </w:rPr>
      </w:pPr>
      <w:r>
        <w:rPr>
          <w:i/>
        </w:rPr>
        <w:t>Item 9</w:t>
      </w:r>
      <w:r w:rsidR="00F527FB">
        <w:rPr>
          <w:i/>
        </w:rPr>
        <w:t>3</w:t>
      </w:r>
    </w:p>
    <w:p w14:paraId="4818853B" w14:textId="77777777" w:rsidR="00612C37" w:rsidRDefault="001B35B1" w:rsidP="00612C37">
      <w:pPr>
        <w:rPr>
          <w:i/>
        </w:rPr>
      </w:pPr>
      <w:r>
        <w:t>R</w:t>
      </w:r>
      <w:r w:rsidR="00612C37">
        <w:t>egulation 5.6.11A of the Corporations Regulations</w:t>
      </w:r>
      <w:r>
        <w:t xml:space="preserve"> sets outs when a person is authorised to send information to another person electronically. Subregulations 5.6.11A(1)(a) and (b) apply these rules to subregulation 5.6.12(1) and 5.6.16(6) which </w:t>
      </w:r>
      <w:r w:rsidR="00481911">
        <w:t>is</w:t>
      </w:r>
      <w:r>
        <w:t xml:space="preserve"> repealed under Item 90. These references </w:t>
      </w:r>
      <w:r w:rsidR="00481911">
        <w:t xml:space="preserve">are </w:t>
      </w:r>
      <w:r>
        <w:t xml:space="preserve">therefore redundant and </w:t>
      </w:r>
      <w:r w:rsidR="00481911">
        <w:t>are</w:t>
      </w:r>
      <w:r>
        <w:t xml:space="preserve"> repealed.</w:t>
      </w:r>
    </w:p>
    <w:p w14:paraId="6FBC0890" w14:textId="77777777" w:rsidR="003B7A17" w:rsidRDefault="003B7A17" w:rsidP="003B7A17">
      <w:pPr>
        <w:rPr>
          <w:i/>
        </w:rPr>
      </w:pPr>
      <w:r>
        <w:rPr>
          <w:i/>
        </w:rPr>
        <w:t>Item 9</w:t>
      </w:r>
      <w:r w:rsidR="00F527FB">
        <w:rPr>
          <w:i/>
        </w:rPr>
        <w:t>4</w:t>
      </w:r>
    </w:p>
    <w:p w14:paraId="1BA17E3E" w14:textId="1390B54A" w:rsidR="00041694" w:rsidRPr="008F570A" w:rsidRDefault="008F570A" w:rsidP="00A5721E">
      <w:r>
        <w:t xml:space="preserve">The </w:t>
      </w:r>
      <w:r w:rsidR="00AA3C84">
        <w:t>Amending</w:t>
      </w:r>
      <w:r w:rsidR="003B7A17">
        <w:t xml:space="preserve"> </w:t>
      </w:r>
      <w:r>
        <w:t xml:space="preserve">Act amended section 497 of the Corporations Act to remove the requirement for an initial meeting in a creditors’ voluntary winding up. As a result the requirement to send out a creditor list to all known creditors has been moved from subparagraph 497(2)(b)(ii) to subparagraph 497(1)(a)(ii). The reference to subparagraph 497(2)(b)(ii) of the Corporations Act in regulation 5.6.65 </w:t>
      </w:r>
      <w:r w:rsidR="00160393">
        <w:t xml:space="preserve">is </w:t>
      </w:r>
      <w:r>
        <w:t xml:space="preserve">therefore amended to reflect these changes to the </w:t>
      </w:r>
      <w:r w:rsidR="00AA3C84">
        <w:t xml:space="preserve">Corporations </w:t>
      </w:r>
      <w:r>
        <w:t xml:space="preserve">Act. </w:t>
      </w:r>
    </w:p>
    <w:p w14:paraId="1D74C2A7" w14:textId="77777777" w:rsidR="003B7A17" w:rsidRDefault="003B7A17" w:rsidP="003B7A17">
      <w:pPr>
        <w:rPr>
          <w:i/>
        </w:rPr>
      </w:pPr>
      <w:r>
        <w:rPr>
          <w:i/>
        </w:rPr>
        <w:t>Item 9</w:t>
      </w:r>
      <w:r w:rsidR="00F527FB">
        <w:rPr>
          <w:i/>
        </w:rPr>
        <w:t>5</w:t>
      </w:r>
    </w:p>
    <w:p w14:paraId="235C4800" w14:textId="31878EF5" w:rsidR="008B37FD" w:rsidRDefault="003B7A17" w:rsidP="003B7A17">
      <w:pPr>
        <w:rPr>
          <w:szCs w:val="24"/>
          <w:lang w:val="en-US"/>
        </w:rPr>
      </w:pPr>
      <w:r>
        <w:rPr>
          <w:szCs w:val="24"/>
          <w:lang w:val="en-US"/>
        </w:rPr>
        <w:t>Item 9</w:t>
      </w:r>
      <w:r w:rsidR="00F527FB">
        <w:rPr>
          <w:szCs w:val="24"/>
          <w:lang w:val="en-US"/>
        </w:rPr>
        <w:t>5</w:t>
      </w:r>
      <w:r>
        <w:rPr>
          <w:szCs w:val="24"/>
          <w:lang w:val="en-US"/>
        </w:rPr>
        <w:t xml:space="preserve"> </w:t>
      </w:r>
      <w:r w:rsidR="008B37FD">
        <w:rPr>
          <w:szCs w:val="24"/>
          <w:lang w:val="en-US"/>
        </w:rPr>
        <w:t>provide</w:t>
      </w:r>
      <w:r w:rsidR="00160393">
        <w:rPr>
          <w:szCs w:val="24"/>
          <w:lang w:val="en-US"/>
        </w:rPr>
        <w:t>s</w:t>
      </w:r>
      <w:r w:rsidR="008B37FD">
        <w:rPr>
          <w:szCs w:val="24"/>
          <w:lang w:val="en-US"/>
        </w:rPr>
        <w:t xml:space="preserve"> for the substitution of references to an ‘externally-administered body corporate’ with ‘a Chapter 5 body corporate’ in order to reflect changes in terminology made through the </w:t>
      </w:r>
      <w:r w:rsidR="00AA3C84">
        <w:rPr>
          <w:szCs w:val="24"/>
          <w:lang w:val="en-US"/>
        </w:rPr>
        <w:t xml:space="preserve">Amending </w:t>
      </w:r>
      <w:r w:rsidR="008B37FD">
        <w:rPr>
          <w:szCs w:val="24"/>
          <w:lang w:val="en-US"/>
        </w:rPr>
        <w:t xml:space="preserve">Act.  </w:t>
      </w:r>
    </w:p>
    <w:p w14:paraId="2642FED8" w14:textId="77777777" w:rsidR="003B7A17" w:rsidRDefault="003B7A17" w:rsidP="003B7A17">
      <w:pPr>
        <w:rPr>
          <w:i/>
          <w:szCs w:val="24"/>
          <w:lang w:val="en-US"/>
        </w:rPr>
      </w:pPr>
      <w:r>
        <w:rPr>
          <w:i/>
          <w:szCs w:val="24"/>
          <w:lang w:val="en-US"/>
        </w:rPr>
        <w:t>Item 9</w:t>
      </w:r>
      <w:r w:rsidR="00F527FB">
        <w:rPr>
          <w:i/>
          <w:szCs w:val="24"/>
          <w:lang w:val="en-US"/>
        </w:rPr>
        <w:t>6</w:t>
      </w:r>
    </w:p>
    <w:p w14:paraId="73376BF3" w14:textId="77777777" w:rsidR="00CA34BD" w:rsidRDefault="003B7A17" w:rsidP="003B7A17">
      <w:pPr>
        <w:rPr>
          <w:szCs w:val="24"/>
          <w:lang w:val="en-US"/>
        </w:rPr>
      </w:pPr>
      <w:r>
        <w:rPr>
          <w:szCs w:val="24"/>
          <w:lang w:val="en-US"/>
        </w:rPr>
        <w:t>Item 9</w:t>
      </w:r>
      <w:r w:rsidR="00F527FB">
        <w:rPr>
          <w:szCs w:val="24"/>
          <w:lang w:val="en-US"/>
        </w:rPr>
        <w:t>6</w:t>
      </w:r>
      <w:r>
        <w:rPr>
          <w:szCs w:val="24"/>
          <w:lang w:val="en-US"/>
        </w:rPr>
        <w:t xml:space="preserve"> </w:t>
      </w:r>
      <w:r w:rsidR="00620210">
        <w:rPr>
          <w:szCs w:val="24"/>
          <w:lang w:val="en-US"/>
        </w:rPr>
        <w:t>omit</w:t>
      </w:r>
      <w:r w:rsidR="00160393">
        <w:rPr>
          <w:szCs w:val="24"/>
          <w:lang w:val="en-US"/>
        </w:rPr>
        <w:t>s</w:t>
      </w:r>
      <w:r w:rsidR="00620210">
        <w:rPr>
          <w:szCs w:val="24"/>
          <w:lang w:val="en-US"/>
        </w:rPr>
        <w:t xml:space="preserve"> the reference to ‘Schedule 10D’ in Regulation 10.2.36 and replace</w:t>
      </w:r>
      <w:r w:rsidR="00160393">
        <w:rPr>
          <w:szCs w:val="24"/>
          <w:lang w:val="en-US"/>
        </w:rPr>
        <w:t>s</w:t>
      </w:r>
      <w:r w:rsidR="00620210">
        <w:rPr>
          <w:szCs w:val="24"/>
          <w:lang w:val="en-US"/>
        </w:rPr>
        <w:t xml:space="preserve"> it with a reference to ‘Schedule 11’.</w:t>
      </w:r>
    </w:p>
    <w:p w14:paraId="30352E0F" w14:textId="77777777" w:rsidR="003B7A17" w:rsidRDefault="003B7A17" w:rsidP="003B7A17">
      <w:pPr>
        <w:rPr>
          <w:i/>
        </w:rPr>
      </w:pPr>
      <w:r>
        <w:rPr>
          <w:i/>
        </w:rPr>
        <w:t>Items 9</w:t>
      </w:r>
      <w:r w:rsidR="00F527FB">
        <w:rPr>
          <w:i/>
        </w:rPr>
        <w:t>7</w:t>
      </w:r>
      <w:r>
        <w:rPr>
          <w:i/>
        </w:rPr>
        <w:t>-10</w:t>
      </w:r>
      <w:r w:rsidR="00F527FB">
        <w:rPr>
          <w:i/>
        </w:rPr>
        <w:t>2</w:t>
      </w:r>
    </w:p>
    <w:p w14:paraId="0334B4C5" w14:textId="388413E3" w:rsidR="008B37FD" w:rsidRPr="008F570A" w:rsidRDefault="008B37FD" w:rsidP="008B37FD">
      <w:r>
        <w:t xml:space="preserve">Schedule 2 to the Corporations Regulations prescribes the format for a range of forms required to be lodged with ASIC during external administrations. As a result of the </w:t>
      </w:r>
      <w:r w:rsidR="00AA3C84">
        <w:t xml:space="preserve">Amending </w:t>
      </w:r>
      <w:r>
        <w:t xml:space="preserve">Act, paragraph 445F(2)(a), subsection 496(2) and subsection 449C(5) have been repealed. These forms are now redundant and </w:t>
      </w:r>
      <w:r w:rsidR="00160393">
        <w:t>are</w:t>
      </w:r>
      <w:r>
        <w:t xml:space="preserve"> repealed.  </w:t>
      </w:r>
    </w:p>
    <w:p w14:paraId="18078957" w14:textId="77777777" w:rsidR="00041694" w:rsidRPr="00ED66EF" w:rsidRDefault="00041694" w:rsidP="009B67DB">
      <w:pPr>
        <w:pStyle w:val="Heading2"/>
        <w:rPr>
          <w:sz w:val="24"/>
          <w:szCs w:val="24"/>
        </w:rPr>
      </w:pPr>
      <w:r w:rsidRPr="00ED66EF">
        <w:rPr>
          <w:sz w:val="24"/>
          <w:szCs w:val="24"/>
        </w:rPr>
        <w:t>Schedule 2 – Transition to Part 3 of the Insolvency Practice Schedule (Corporations)</w:t>
      </w:r>
    </w:p>
    <w:p w14:paraId="742C82AE" w14:textId="77777777" w:rsidR="006635B4" w:rsidRPr="00E06C0A" w:rsidRDefault="008B2111" w:rsidP="006232CB">
      <w:r>
        <w:rPr>
          <w:i/>
        </w:rPr>
        <w:t>Item 1</w:t>
      </w:r>
    </w:p>
    <w:p w14:paraId="6A9E4744" w14:textId="3DFBBEDC" w:rsidR="008B2111" w:rsidRDefault="008B2111" w:rsidP="00A5721E">
      <w:pPr>
        <w:rPr>
          <w:i/>
        </w:rPr>
      </w:pPr>
      <w:r>
        <w:t>Item</w:t>
      </w:r>
      <w:r w:rsidR="006635B4">
        <w:t xml:space="preserve"> 1 </w:t>
      </w:r>
      <w:r>
        <w:t>insert</w:t>
      </w:r>
      <w:r w:rsidR="006635B4">
        <w:t>s</w:t>
      </w:r>
      <w:r>
        <w:t xml:space="preserve"> a new Part 10.25 into the Corporations Regulations for the purposes of the transition of Part 3 of the Insolvency Practice Schedule (Corporations) under the </w:t>
      </w:r>
      <w:r w:rsidR="00AA3C84">
        <w:t xml:space="preserve">Amending </w:t>
      </w:r>
      <w:r>
        <w:t xml:space="preserve">Act. </w:t>
      </w:r>
    </w:p>
    <w:p w14:paraId="5520F7DC" w14:textId="77777777" w:rsidR="00041694" w:rsidRDefault="00041694" w:rsidP="00A5721E">
      <w:pPr>
        <w:rPr>
          <w:i/>
        </w:rPr>
      </w:pPr>
      <w:r>
        <w:rPr>
          <w:i/>
        </w:rPr>
        <w:t>10.25.01</w:t>
      </w:r>
    </w:p>
    <w:p w14:paraId="6CD18BEF" w14:textId="029C315A" w:rsidR="00041694" w:rsidRDefault="00A674AF" w:rsidP="00A5721E">
      <w:r w:rsidRPr="00A674AF">
        <w:t>S</w:t>
      </w:r>
      <w:r w:rsidR="00E07FF5">
        <w:t>ubs</w:t>
      </w:r>
      <w:r w:rsidRPr="00A674AF">
        <w:t xml:space="preserve">ection 1634 </w:t>
      </w:r>
      <w:r w:rsidR="00E07FF5">
        <w:t xml:space="preserve">(1) </w:t>
      </w:r>
      <w:r w:rsidRPr="00A674AF">
        <w:t xml:space="preserve">of the </w:t>
      </w:r>
      <w:r w:rsidR="001612ED">
        <w:t xml:space="preserve">Amending </w:t>
      </w:r>
      <w:r w:rsidRPr="00A674AF">
        <w:t xml:space="preserve">Act </w:t>
      </w:r>
      <w:r w:rsidR="00E07FF5">
        <w:t xml:space="preserve">allows for regulations to be made </w:t>
      </w:r>
      <w:r>
        <w:t xml:space="preserve">prescribing matters of a transitional nature relating to the amendments and repeals made by Schedule 2 to the Act. </w:t>
      </w:r>
      <w:r w:rsidR="000177F5">
        <w:t>Subregulation 10.25.01 (1) provide</w:t>
      </w:r>
      <w:r w:rsidR="00160393">
        <w:t>s</w:t>
      </w:r>
      <w:r w:rsidR="000177F5">
        <w:t xml:space="preserve"> for the commencement of transitional provisions outlined under Divisions 3 and 5 </w:t>
      </w:r>
      <w:r w:rsidR="00DB3FE7">
        <w:t>of Part 10.25</w:t>
      </w:r>
      <w:r w:rsidR="00BF3063">
        <w:t xml:space="preserve"> </w:t>
      </w:r>
      <w:r w:rsidR="00DB3FE7">
        <w:t xml:space="preserve">of the </w:t>
      </w:r>
      <w:r w:rsidR="00AA3C84">
        <w:t xml:space="preserve">Amending </w:t>
      </w:r>
      <w:r w:rsidR="00DB3FE7">
        <w:t xml:space="preserve">Act from 1 September 2017. </w:t>
      </w:r>
    </w:p>
    <w:p w14:paraId="3DF247EF" w14:textId="418739BD" w:rsidR="00A674AF" w:rsidRPr="00A674AF" w:rsidRDefault="00A674AF" w:rsidP="00A5721E">
      <w:r>
        <w:lastRenderedPageBreak/>
        <w:t xml:space="preserve">Subsection </w:t>
      </w:r>
      <w:r w:rsidR="00E07FF5">
        <w:t xml:space="preserve">1634 (2) of the </w:t>
      </w:r>
      <w:r w:rsidR="001612ED">
        <w:t xml:space="preserve">Amending </w:t>
      </w:r>
      <w:r w:rsidR="00E07FF5">
        <w:t xml:space="preserve">Act allows for regulations to be made modifying the effect of </w:t>
      </w:r>
      <w:r w:rsidR="00DB3FE7">
        <w:t xml:space="preserve">the </w:t>
      </w:r>
      <w:r w:rsidR="00E07FF5">
        <w:t xml:space="preserve">Act. </w:t>
      </w:r>
      <w:r w:rsidR="00DB3FE7">
        <w:t>Subregulation 10.25.</w:t>
      </w:r>
      <w:r w:rsidR="00BF3063">
        <w:t>01 (2) provide</w:t>
      </w:r>
      <w:r w:rsidR="00160393">
        <w:t>s</w:t>
      </w:r>
      <w:r w:rsidR="00BF3063">
        <w:t xml:space="preserve"> that the operation of Divisions 1 and 3 of Part</w:t>
      </w:r>
      <w:r w:rsidR="00BA45C3">
        <w:t> </w:t>
      </w:r>
      <w:r w:rsidR="00BF3063">
        <w:t xml:space="preserve">10.25 of the </w:t>
      </w:r>
      <w:r w:rsidR="00AA3C84">
        <w:t xml:space="preserve">Amending </w:t>
      </w:r>
      <w:r w:rsidR="00BF3063">
        <w:t xml:space="preserve">Act are modified as set out in a new Schedule 13 to the Corporations Regulations. </w:t>
      </w:r>
      <w:r w:rsidR="00DB3FE7">
        <w:t xml:space="preserve"> </w:t>
      </w:r>
      <w:r>
        <w:t xml:space="preserve"> </w:t>
      </w:r>
    </w:p>
    <w:p w14:paraId="12BE7C43" w14:textId="77777777" w:rsidR="00041694" w:rsidRDefault="00041694" w:rsidP="00A5721E">
      <w:pPr>
        <w:rPr>
          <w:i/>
        </w:rPr>
      </w:pPr>
      <w:r>
        <w:rPr>
          <w:i/>
        </w:rPr>
        <w:t>10.25.02</w:t>
      </w:r>
    </w:p>
    <w:p w14:paraId="30B1C10D" w14:textId="3464A1BA" w:rsidR="00041694" w:rsidRDefault="008B2111" w:rsidP="00A5721E">
      <w:r>
        <w:t>Regulation 10.25.02</w:t>
      </w:r>
      <w:r w:rsidR="00160393">
        <w:t xml:space="preserve"> </w:t>
      </w:r>
      <w:r>
        <w:t>delay</w:t>
      </w:r>
      <w:r w:rsidR="00160393">
        <w:t>s</w:t>
      </w:r>
      <w:r>
        <w:t xml:space="preserve"> the commencement of consequential amendments to the Corporations Act </w:t>
      </w:r>
      <w:r w:rsidR="00D9341C">
        <w:t xml:space="preserve">and the </w:t>
      </w:r>
      <w:r w:rsidR="00AA3C84">
        <w:t>CATSI</w:t>
      </w:r>
      <w:r w:rsidR="00D9341C">
        <w:t xml:space="preserve"> Act </w:t>
      </w:r>
      <w:r>
        <w:t>which were required as a result of the introduction of Part 3 of the Insolvency Practice Schedule (Corporations) to the</w:t>
      </w:r>
      <w:r w:rsidR="00AA3C84">
        <w:t xml:space="preserve"> Amending</w:t>
      </w:r>
      <w:r>
        <w:t xml:space="preserve"> Act. </w:t>
      </w:r>
      <w:r w:rsidR="00BA45C3">
        <w:t>The amendments listed apply in relation to external administrations on and after 1</w:t>
      </w:r>
      <w:r w:rsidR="00AA3C84">
        <w:t> </w:t>
      </w:r>
      <w:r w:rsidR="00BA45C3">
        <w:t>September</w:t>
      </w:r>
      <w:r w:rsidR="00AA3C84">
        <w:t> </w:t>
      </w:r>
      <w:r w:rsidR="00BA45C3">
        <w:t xml:space="preserve">2017, instead of upon the commencement of the </w:t>
      </w:r>
      <w:r w:rsidR="00AA3C84">
        <w:t xml:space="preserve">Amending </w:t>
      </w:r>
      <w:r w:rsidR="00BA45C3">
        <w:t xml:space="preserve">Act. </w:t>
      </w:r>
    </w:p>
    <w:p w14:paraId="2E47D7BB" w14:textId="77777777" w:rsidR="00036526" w:rsidRDefault="00036526" w:rsidP="00A5721E">
      <w:pPr>
        <w:rPr>
          <w:i/>
        </w:rPr>
      </w:pPr>
      <w:r>
        <w:rPr>
          <w:i/>
        </w:rPr>
        <w:t xml:space="preserve">Item 2 </w:t>
      </w:r>
    </w:p>
    <w:p w14:paraId="152BE9C4" w14:textId="139D1A17" w:rsidR="00036526" w:rsidRDefault="00036526" w:rsidP="00A5721E">
      <w:r>
        <w:t xml:space="preserve">Item 2 inserts a new Schedule 13 into the Corporations Regulations for the purposes of the transition to Part 3 of the Insolvency Practice Schedule (Corporations) under the </w:t>
      </w:r>
      <w:r w:rsidR="00AA3C84">
        <w:t xml:space="preserve">Amending </w:t>
      </w:r>
      <w:r>
        <w:t>Act.</w:t>
      </w:r>
    </w:p>
    <w:p w14:paraId="50B3CCF5" w14:textId="77777777" w:rsidR="009B67DB" w:rsidRDefault="009B67DB" w:rsidP="00A5721E">
      <w:pPr>
        <w:rPr>
          <w:i/>
        </w:rPr>
      </w:pPr>
      <w:r>
        <w:rPr>
          <w:b/>
          <w:i/>
        </w:rPr>
        <w:t>Schedule 13, Item</w:t>
      </w:r>
      <w:r w:rsidR="00BA45C3">
        <w:rPr>
          <w:b/>
          <w:i/>
        </w:rPr>
        <w:t>s</w:t>
      </w:r>
      <w:r>
        <w:rPr>
          <w:b/>
          <w:i/>
        </w:rPr>
        <w:t xml:space="preserve"> 1</w:t>
      </w:r>
      <w:r w:rsidR="00BA45C3">
        <w:rPr>
          <w:b/>
          <w:i/>
        </w:rPr>
        <w:t xml:space="preserve"> and </w:t>
      </w:r>
      <w:r w:rsidR="003B7A17">
        <w:rPr>
          <w:b/>
          <w:i/>
        </w:rPr>
        <w:t>3</w:t>
      </w:r>
    </w:p>
    <w:p w14:paraId="1CCABB28" w14:textId="77777777" w:rsidR="00BA45C3" w:rsidRDefault="00BA45C3" w:rsidP="00A5721E">
      <w:r>
        <w:t xml:space="preserve">Items 1 and </w:t>
      </w:r>
      <w:r w:rsidR="003B7A17">
        <w:t>3</w:t>
      </w:r>
      <w:r>
        <w:t xml:space="preserve"> of Schedule 13 amend the simplified outlines at section 1550 and 1578 which refer to the commencement of Part 3 of the Insolvency Practice Schedule (Corporations) occurring when the Part 1 of Schedule 2 commences. These sections now operate in a manner to refer to Part 3 commencing on 1 September 2017. </w:t>
      </w:r>
    </w:p>
    <w:p w14:paraId="287AB371" w14:textId="77777777" w:rsidR="003B7A17" w:rsidRDefault="003B7A17" w:rsidP="003B7A17">
      <w:pPr>
        <w:rPr>
          <w:b/>
          <w:i/>
        </w:rPr>
      </w:pPr>
      <w:r>
        <w:rPr>
          <w:b/>
          <w:i/>
        </w:rPr>
        <w:t>Schedule 13, Item 2</w:t>
      </w:r>
    </w:p>
    <w:p w14:paraId="0642BB97" w14:textId="1ECE6FA6" w:rsidR="003B7A17" w:rsidRDefault="003B7A17" w:rsidP="003B7A17">
      <w:pPr>
        <w:rPr>
          <w:b/>
          <w:i/>
        </w:rPr>
      </w:pPr>
      <w:r>
        <w:t xml:space="preserve">Item 2 of Schedule 13 allows for the continued existence and operation of the Register of Official Liquidators despite the repeal of sections 1283 and 1286 of the Corporations Act by the </w:t>
      </w:r>
      <w:r w:rsidR="00AA3C84">
        <w:t>Amending</w:t>
      </w:r>
      <w:r>
        <w:t xml:space="preserve"> Act. </w:t>
      </w:r>
    </w:p>
    <w:p w14:paraId="4923328C" w14:textId="77777777" w:rsidR="009B67DB" w:rsidRDefault="009B67DB" w:rsidP="009B67DB">
      <w:pPr>
        <w:rPr>
          <w:b/>
          <w:i/>
        </w:rPr>
      </w:pPr>
      <w:r>
        <w:rPr>
          <w:b/>
          <w:i/>
        </w:rPr>
        <w:t xml:space="preserve">Schedule 13, Item </w:t>
      </w:r>
      <w:r w:rsidR="003B7A17">
        <w:rPr>
          <w:b/>
          <w:i/>
        </w:rPr>
        <w:t>4</w:t>
      </w:r>
    </w:p>
    <w:p w14:paraId="66570285" w14:textId="49C4F57C" w:rsidR="001510CF" w:rsidRDefault="001510CF" w:rsidP="009B67DB">
      <w:pPr>
        <w:rPr>
          <w:b/>
          <w:i/>
        </w:rPr>
      </w:pPr>
      <w:r>
        <w:t xml:space="preserve">Item </w:t>
      </w:r>
      <w:r w:rsidR="003B7A17">
        <w:t>4</w:t>
      </w:r>
      <w:r>
        <w:t xml:space="preserve"> of Schedule 13 substitute</w:t>
      </w:r>
      <w:r w:rsidR="00160393">
        <w:t>s</w:t>
      </w:r>
      <w:r>
        <w:t xml:space="preserve"> section 1579 of the </w:t>
      </w:r>
      <w:r w:rsidR="001612ED">
        <w:t xml:space="preserve">Amending </w:t>
      </w:r>
      <w:r>
        <w:t>Act and replace</w:t>
      </w:r>
      <w:r w:rsidR="00160393">
        <w:t>s</w:t>
      </w:r>
      <w:r>
        <w:t xml:space="preserve"> it with a provision which allows for Part 3 of the Insolvency Practice Schedule (Corporations) to apply in relation to an external administration of company that starts on or after 1 September 2017, instead of on or after the commencement of the remainder of the</w:t>
      </w:r>
      <w:r w:rsidR="00AA3C84">
        <w:t xml:space="preserve"> Amending</w:t>
      </w:r>
      <w:r>
        <w:t xml:space="preserve"> Act. </w:t>
      </w:r>
    </w:p>
    <w:p w14:paraId="3308841B" w14:textId="77777777" w:rsidR="009B67DB" w:rsidRDefault="009B67DB" w:rsidP="009B67DB">
      <w:pPr>
        <w:rPr>
          <w:b/>
          <w:i/>
        </w:rPr>
      </w:pPr>
      <w:r>
        <w:rPr>
          <w:b/>
          <w:i/>
        </w:rPr>
        <w:t xml:space="preserve">Schedule 13, Item </w:t>
      </w:r>
      <w:r w:rsidR="003B7A17">
        <w:rPr>
          <w:b/>
          <w:i/>
        </w:rPr>
        <w:t>5</w:t>
      </w:r>
    </w:p>
    <w:p w14:paraId="68C0C6D7" w14:textId="343715A7" w:rsidR="001510CF" w:rsidRPr="00A5721E" w:rsidRDefault="001510CF" w:rsidP="001510CF">
      <w:pPr>
        <w:rPr>
          <w:b/>
          <w:i/>
        </w:rPr>
      </w:pPr>
      <w:r>
        <w:t xml:space="preserve">Item </w:t>
      </w:r>
      <w:r w:rsidR="003B7A17">
        <w:t>5</w:t>
      </w:r>
      <w:r>
        <w:t xml:space="preserve"> of Schedule 13</w:t>
      </w:r>
      <w:r w:rsidR="00160393">
        <w:t xml:space="preserve"> </w:t>
      </w:r>
      <w:r>
        <w:t>substitute</w:t>
      </w:r>
      <w:r w:rsidR="00160393">
        <w:t>s</w:t>
      </w:r>
      <w:r>
        <w:t xml:space="preserve"> section 1581 of the </w:t>
      </w:r>
      <w:r w:rsidR="001612ED">
        <w:t xml:space="preserve">Amending </w:t>
      </w:r>
      <w:r>
        <w:t>Act and replace</w:t>
      </w:r>
      <w:r w:rsidR="00160393">
        <w:t>s</w:t>
      </w:r>
      <w:r>
        <w:t xml:space="preserve"> it with provision</w:t>
      </w:r>
      <w:r w:rsidR="002800F8">
        <w:t>s</w:t>
      </w:r>
      <w:r>
        <w:t xml:space="preserve"> that operate in the same manner but which commence on 1 September 2017, instead of in line with the commencement of Part 1 of Schedule 2.</w:t>
      </w:r>
    </w:p>
    <w:p w14:paraId="46990770" w14:textId="77777777" w:rsidR="009B67DB" w:rsidRDefault="009B67DB" w:rsidP="009B67DB">
      <w:pPr>
        <w:rPr>
          <w:b/>
          <w:i/>
        </w:rPr>
      </w:pPr>
      <w:r>
        <w:rPr>
          <w:b/>
          <w:i/>
        </w:rPr>
        <w:t xml:space="preserve">Schedule 13, Item </w:t>
      </w:r>
      <w:r w:rsidR="003B7A17">
        <w:rPr>
          <w:b/>
          <w:i/>
        </w:rPr>
        <w:t>6</w:t>
      </w:r>
    </w:p>
    <w:p w14:paraId="77BF2BA6" w14:textId="74B3F7F0" w:rsidR="001510CF" w:rsidRDefault="00160393" w:rsidP="009B67DB">
      <w:r>
        <w:t xml:space="preserve">Item 6 of Schedule 13 </w:t>
      </w:r>
      <w:r w:rsidR="00E06C0A">
        <w:t>amend</w:t>
      </w:r>
      <w:r>
        <w:t>s</w:t>
      </w:r>
      <w:r w:rsidR="00E06C0A">
        <w:t xml:space="preserve"> subsection 1582(1) of the A</w:t>
      </w:r>
      <w:r w:rsidR="00AA3C84">
        <w:t>mending A</w:t>
      </w:r>
      <w:r w:rsidR="00E06C0A">
        <w:t>ct to provide that it applies on and after 1 September 2017.</w:t>
      </w:r>
    </w:p>
    <w:p w14:paraId="7BFA88F2" w14:textId="77777777" w:rsidR="009B67DB" w:rsidRDefault="009B67DB" w:rsidP="009B67DB">
      <w:pPr>
        <w:rPr>
          <w:b/>
          <w:i/>
        </w:rPr>
      </w:pPr>
      <w:r>
        <w:rPr>
          <w:b/>
          <w:i/>
        </w:rPr>
        <w:t xml:space="preserve">Schedule 13, Item </w:t>
      </w:r>
      <w:r w:rsidR="003B7A17">
        <w:rPr>
          <w:b/>
          <w:i/>
        </w:rPr>
        <w:t>7</w:t>
      </w:r>
    </w:p>
    <w:p w14:paraId="55649FAD" w14:textId="373BA5A7" w:rsidR="009B67DB" w:rsidRDefault="001510CF" w:rsidP="009B67DB">
      <w:r>
        <w:t xml:space="preserve">Item </w:t>
      </w:r>
      <w:r w:rsidR="003B7A17">
        <w:t>7</w:t>
      </w:r>
      <w:r>
        <w:t xml:space="preserve"> of Schedule 13 amend</w:t>
      </w:r>
      <w:r w:rsidR="00160393">
        <w:t>s</w:t>
      </w:r>
      <w:r>
        <w:t xml:space="preserve"> section 1584 of the </w:t>
      </w:r>
      <w:r w:rsidR="00AA3C84">
        <w:t xml:space="preserve">Amending </w:t>
      </w:r>
      <w:r>
        <w:t xml:space="preserve">Act to provide that the new provisions about vacancies of court-appointed liquidators apply whether or not the vacancy in the office of liquidator occurred before, on </w:t>
      </w:r>
      <w:r w:rsidR="00E06C0A">
        <w:t>and</w:t>
      </w:r>
      <w:r>
        <w:t xml:space="preserve"> after 1 September 2017, instead of upon the commencement day.</w:t>
      </w:r>
    </w:p>
    <w:p w14:paraId="104EA21E" w14:textId="77777777" w:rsidR="009B67DB" w:rsidRDefault="009B67DB" w:rsidP="009B67DB">
      <w:pPr>
        <w:rPr>
          <w:b/>
          <w:i/>
        </w:rPr>
      </w:pPr>
      <w:r>
        <w:rPr>
          <w:b/>
          <w:i/>
        </w:rPr>
        <w:t xml:space="preserve">Schedule 13, Item </w:t>
      </w:r>
      <w:r w:rsidR="00D10925">
        <w:rPr>
          <w:b/>
          <w:i/>
        </w:rPr>
        <w:t>8</w:t>
      </w:r>
    </w:p>
    <w:p w14:paraId="33AE0C73" w14:textId="064ECE10" w:rsidR="00807962" w:rsidRDefault="001510CF" w:rsidP="009B67DB">
      <w:r>
        <w:lastRenderedPageBreak/>
        <w:t xml:space="preserve">Item </w:t>
      </w:r>
      <w:r w:rsidR="00D10925">
        <w:t>8</w:t>
      </w:r>
      <w:r>
        <w:t xml:space="preserve"> of Schedule 13 amend</w:t>
      </w:r>
      <w:r w:rsidR="00160393">
        <w:t>s</w:t>
      </w:r>
      <w:r>
        <w:t xml:space="preserve"> section 158</w:t>
      </w:r>
      <w:r w:rsidR="00807962">
        <w:t>6</w:t>
      </w:r>
      <w:r>
        <w:t xml:space="preserve"> of the </w:t>
      </w:r>
      <w:r w:rsidR="00AA3C84">
        <w:t xml:space="preserve">Amending </w:t>
      </w:r>
      <w:r>
        <w:t xml:space="preserve">Act to provide that the new provisions about the exercise of power </w:t>
      </w:r>
      <w:r w:rsidR="00807962">
        <w:t>under section 198G</w:t>
      </w:r>
      <w:r w:rsidR="00160393">
        <w:t xml:space="preserve"> </w:t>
      </w:r>
      <w:r w:rsidR="00807962">
        <w:t>apply to such an exercise occurring on or after 1 September 2017, instead of upon commencement day.</w:t>
      </w:r>
    </w:p>
    <w:p w14:paraId="3720706B" w14:textId="77777777" w:rsidR="009B67DB" w:rsidRDefault="009B67DB" w:rsidP="009B67DB">
      <w:pPr>
        <w:rPr>
          <w:b/>
          <w:i/>
        </w:rPr>
      </w:pPr>
      <w:r>
        <w:rPr>
          <w:b/>
          <w:i/>
        </w:rPr>
        <w:t xml:space="preserve">Schedule 13, Item </w:t>
      </w:r>
      <w:r w:rsidR="00D10925">
        <w:rPr>
          <w:b/>
          <w:i/>
        </w:rPr>
        <w:t>11</w:t>
      </w:r>
    </w:p>
    <w:p w14:paraId="72858E23" w14:textId="37D479D0" w:rsidR="009B67DB" w:rsidRPr="00807962" w:rsidRDefault="00807962" w:rsidP="009B67DB">
      <w:r>
        <w:t>Item 1</w:t>
      </w:r>
      <w:r w:rsidR="00D10925">
        <w:t>1</w:t>
      </w:r>
      <w:r>
        <w:t xml:space="preserve"> of Schedule 13 </w:t>
      </w:r>
      <w:r w:rsidR="00160393">
        <w:t>a</w:t>
      </w:r>
      <w:r>
        <w:t>mend</w:t>
      </w:r>
      <w:r w:rsidR="00160393">
        <w:t>s</w:t>
      </w:r>
      <w:r>
        <w:t xml:space="preserve"> section 1591 of the </w:t>
      </w:r>
      <w:r w:rsidR="00AA3C84">
        <w:t xml:space="preserve">Amending </w:t>
      </w:r>
      <w:r>
        <w:t>Act to provide that Division</w:t>
      </w:r>
      <w:r w:rsidR="00AA3C84">
        <w:t> </w:t>
      </w:r>
      <w:r>
        <w:t>70 of the Insolvency Practice Schedule (Corporations) commence</w:t>
      </w:r>
      <w:r w:rsidR="00160393">
        <w:t>s</w:t>
      </w:r>
      <w:r>
        <w:t xml:space="preserve"> on and after 1 September 2017, instead of on and after the commencement day.</w:t>
      </w:r>
    </w:p>
    <w:p w14:paraId="08AAC9AE" w14:textId="77777777" w:rsidR="009B67DB" w:rsidRDefault="009B67DB" w:rsidP="009B67DB">
      <w:pPr>
        <w:rPr>
          <w:b/>
          <w:i/>
        </w:rPr>
      </w:pPr>
      <w:r>
        <w:rPr>
          <w:b/>
          <w:i/>
        </w:rPr>
        <w:t>Schedule 13, Item</w:t>
      </w:r>
      <w:r w:rsidR="00FE1045">
        <w:rPr>
          <w:b/>
          <w:i/>
        </w:rPr>
        <w:t>s</w:t>
      </w:r>
      <w:r>
        <w:rPr>
          <w:b/>
          <w:i/>
        </w:rPr>
        <w:t xml:space="preserve"> 1</w:t>
      </w:r>
      <w:r w:rsidR="00D10925">
        <w:rPr>
          <w:b/>
          <w:i/>
        </w:rPr>
        <w:t>2</w:t>
      </w:r>
      <w:r w:rsidR="00FE1045">
        <w:rPr>
          <w:b/>
          <w:i/>
        </w:rPr>
        <w:t xml:space="preserve"> and </w:t>
      </w:r>
      <w:r w:rsidR="00D10925">
        <w:rPr>
          <w:b/>
          <w:i/>
        </w:rPr>
        <w:t>39</w:t>
      </w:r>
    </w:p>
    <w:p w14:paraId="1B07E085" w14:textId="77777777" w:rsidR="00FE1045" w:rsidRPr="00FE1045" w:rsidRDefault="00FE1045" w:rsidP="00FE1045">
      <w:r>
        <w:t>Item 1</w:t>
      </w:r>
      <w:r w:rsidR="00D10925">
        <w:t>2</w:t>
      </w:r>
      <w:r>
        <w:t xml:space="preserve"> of Schedule 13</w:t>
      </w:r>
      <w:r w:rsidR="00160393">
        <w:t xml:space="preserve"> </w:t>
      </w:r>
      <w:r>
        <w:t>replace</w:t>
      </w:r>
      <w:r w:rsidR="00160393">
        <w:t>s</w:t>
      </w:r>
      <w:r>
        <w:t xml:space="preserve"> </w:t>
      </w:r>
      <w:r w:rsidRPr="00FE1045">
        <w:t xml:space="preserve">the transitional provision for annual administration returns set out at section 1592 of the Corporations Act.  </w:t>
      </w:r>
    </w:p>
    <w:p w14:paraId="183D0CA9" w14:textId="77777777" w:rsidR="00FE1045" w:rsidRPr="00FE1045" w:rsidRDefault="00FE1045" w:rsidP="00FE1045">
      <w:r w:rsidRPr="00FE1045">
        <w:t xml:space="preserve">Under the new transitional rule, </w:t>
      </w:r>
    </w:p>
    <w:p w14:paraId="791B67AA" w14:textId="77777777" w:rsidR="00FE1045" w:rsidRPr="00F021E8" w:rsidRDefault="00FE1045" w:rsidP="00FE1045">
      <w:pPr>
        <w:pStyle w:val="Bullet"/>
      </w:pPr>
      <w:r w:rsidRPr="002704E8">
        <w:t xml:space="preserve">A liquidator </w:t>
      </w:r>
      <w:r w:rsidR="00160393">
        <w:t>is</w:t>
      </w:r>
      <w:r w:rsidR="00A70B28">
        <w:t xml:space="preserve"> required to</w:t>
      </w:r>
      <w:r w:rsidRPr="002704E8">
        <w:t xml:space="preserve"> continue to comply with his or her obligations to lodge documents under </w:t>
      </w:r>
      <w:r w:rsidRPr="00FE1045">
        <w:t>old return provisions</w:t>
      </w:r>
      <w:r w:rsidRPr="00F021E8">
        <w:t xml:space="preserve"> in the first six months after 1 September 2017 if the administration commenced before 1 September 2017.</w:t>
      </w:r>
    </w:p>
    <w:p w14:paraId="2B64CE69" w14:textId="77777777" w:rsidR="00FE1045" w:rsidRPr="002704E8" w:rsidRDefault="00FE1045" w:rsidP="00FE1045">
      <w:pPr>
        <w:pStyle w:val="Bullet"/>
      </w:pPr>
      <w:r w:rsidRPr="002704E8">
        <w:t>If there is then a further six month</w:t>
      </w:r>
      <w:r w:rsidR="00160393">
        <w:t>s</w:t>
      </w:r>
      <w:r w:rsidRPr="002704E8">
        <w:t xml:space="preserve"> until the administration’s </w:t>
      </w:r>
      <w:r w:rsidR="00A70B28">
        <w:t xml:space="preserve">anniversary, the liquidator </w:t>
      </w:r>
      <w:r w:rsidR="00160393">
        <w:t>is</w:t>
      </w:r>
      <w:r w:rsidR="00160393" w:rsidRPr="002704E8">
        <w:t xml:space="preserve"> </w:t>
      </w:r>
      <w:r w:rsidRPr="002704E8">
        <w:t xml:space="preserve">then required to lodge a return in the form approved by ASIC for the period after the post-1 September 2017 lodgement under the </w:t>
      </w:r>
      <w:r w:rsidRPr="00FE1045">
        <w:t>old return provision</w:t>
      </w:r>
      <w:r w:rsidRPr="00F021E8">
        <w:t xml:space="preserve"> and the remainder of the year until the anniversary date of the administration (that is, six</w:t>
      </w:r>
      <w:r>
        <w:t> </w:t>
      </w:r>
      <w:r w:rsidRPr="00F021E8">
        <w:t xml:space="preserve">months). This is referred to as the </w:t>
      </w:r>
      <w:r w:rsidRPr="00FE1045">
        <w:t>transitional return period</w:t>
      </w:r>
      <w:r w:rsidRPr="002704E8">
        <w:t xml:space="preserve">. </w:t>
      </w:r>
    </w:p>
    <w:p w14:paraId="554F49F7" w14:textId="77777777" w:rsidR="00FE1045" w:rsidRPr="002704E8" w:rsidRDefault="00FE1045" w:rsidP="00FE1045">
      <w:pPr>
        <w:pStyle w:val="Bullet"/>
      </w:pPr>
      <w:r w:rsidRPr="002704E8">
        <w:t xml:space="preserve">After the end of the </w:t>
      </w:r>
      <w:r w:rsidRPr="00FE1045">
        <w:t>transitional return period</w:t>
      </w:r>
      <w:r w:rsidRPr="00F021E8">
        <w:t xml:space="preserve">, the liquidator </w:t>
      </w:r>
      <w:r w:rsidR="00160393">
        <w:t xml:space="preserve">is </w:t>
      </w:r>
      <w:r w:rsidR="00A70B28">
        <w:t xml:space="preserve">then required to </w:t>
      </w:r>
      <w:r w:rsidRPr="00F021E8">
        <w:t>lodge a section</w:t>
      </w:r>
      <w:r>
        <w:t> </w:t>
      </w:r>
      <w:r w:rsidRPr="00F021E8">
        <w:t>70-5 return that covers the first full anniversary year after 1 September 2017.</w:t>
      </w:r>
    </w:p>
    <w:p w14:paraId="5DD56EEE" w14:textId="77777777" w:rsidR="00FE1045" w:rsidRPr="00FE1045" w:rsidRDefault="00FE1045" w:rsidP="00FE1045">
      <w:r w:rsidRPr="00FE1045">
        <w:t>The old return provisions include subsection 438E(1), subsection 445J(1) and subsection</w:t>
      </w:r>
      <w:r w:rsidR="00A70B28">
        <w:t> </w:t>
      </w:r>
      <w:r w:rsidRPr="00FE1045">
        <w:t>539(1) where the liquidator is continuing on with the winding up.</w:t>
      </w:r>
    </w:p>
    <w:p w14:paraId="600D975F" w14:textId="77777777" w:rsidR="00FE1045" w:rsidRPr="00FE1045" w:rsidRDefault="00FE1045" w:rsidP="00FE1045">
      <w:r w:rsidRPr="00FE1045">
        <w:t xml:space="preserve">A new transitional rule (section 1592A) </w:t>
      </w:r>
      <w:r w:rsidR="00042C02" w:rsidRPr="00FE1045">
        <w:t>provide</w:t>
      </w:r>
      <w:r w:rsidR="00160393">
        <w:t>s</w:t>
      </w:r>
      <w:r w:rsidRPr="00FE1045">
        <w:t xml:space="preserve"> for a change in the commencement of the end of administration obligation under section 70-6</w:t>
      </w:r>
      <w:r w:rsidR="00A70B28">
        <w:t xml:space="preserve"> of the Insolvency Practice Schedule (Corporations)</w:t>
      </w:r>
      <w:r w:rsidRPr="00FE1045">
        <w:t xml:space="preserve">. </w:t>
      </w:r>
    </w:p>
    <w:p w14:paraId="0474FB78" w14:textId="77777777" w:rsidR="00FE1045" w:rsidRPr="00FE1045" w:rsidRDefault="00FE1045" w:rsidP="00FE1045">
      <w:r w:rsidRPr="00FE1045">
        <w:t xml:space="preserve">Both sections 70-5 and 70-6 refer to returns to be lodged with ASIC in the approved form. The contents and lodgement processes for the approved form may change over time. For example, ASIC may approve an end of administration form under section 70-6 that takes effect from 1 September 2017 which substantively reflects old lodgement obligations (that is, the contents of the approved form may be similar to the contents of a Form 524 Presentation of accounts and statement). ASIC may then subsequently approve a form that takes effect from 1 March 2018 which asks for different information in a different format (including mandating a form which can only be lodged electronically).   </w:t>
      </w:r>
    </w:p>
    <w:p w14:paraId="16DFE9E9" w14:textId="7FB6133A" w:rsidR="00FE1045" w:rsidRDefault="00FE1045" w:rsidP="00FE1045">
      <w:r w:rsidRPr="00FE1045">
        <w:t>Similar transitional arrangements apply to the requirement for statements to</w:t>
      </w:r>
      <w:r>
        <w:t xml:space="preserve"> the transitional rules applying to returns under section 1623 of the </w:t>
      </w:r>
      <w:r w:rsidR="001612ED">
        <w:t>Amending A</w:t>
      </w:r>
      <w:r>
        <w:t>ct</w:t>
      </w:r>
      <w:r w:rsidRPr="00FE1045">
        <w:t xml:space="preserve"> </w:t>
      </w:r>
      <w:r w:rsidR="00D10925">
        <w:t xml:space="preserve">to </w:t>
      </w:r>
      <w:r w:rsidRPr="00FE1045">
        <w:t xml:space="preserve">be prepared by controllers annually and at the completion of a controllership. </w:t>
      </w:r>
    </w:p>
    <w:p w14:paraId="271D55C7" w14:textId="77777777" w:rsidR="00FE1045" w:rsidRPr="00FE1045" w:rsidRDefault="00FE1045" w:rsidP="00FE1045">
      <w:r w:rsidRPr="0094601B">
        <w:rPr>
          <w:noProof/>
        </w:rPr>
        <w:lastRenderedPageBreak/>
        <w:drawing>
          <wp:inline distT="0" distB="0" distL="0" distR="0" wp14:anchorId="027511F4" wp14:editId="603E7204">
            <wp:extent cx="5731510" cy="38576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tion.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1510" cy="3857663"/>
                    </a:xfrm>
                    <a:prstGeom prst="rect">
                      <a:avLst/>
                    </a:prstGeom>
                    <a:ln>
                      <a:noFill/>
                    </a:ln>
                    <a:extLst>
                      <a:ext uri="{53640926-AAD7-44D8-BBD7-CCE9431645EC}">
                        <a14:shadowObscured xmlns:a14="http://schemas.microsoft.com/office/drawing/2010/main"/>
                      </a:ext>
                    </a:extLst>
                  </pic:spPr>
                </pic:pic>
              </a:graphicData>
            </a:graphic>
          </wp:inline>
        </w:drawing>
      </w:r>
    </w:p>
    <w:p w14:paraId="2B708DBC" w14:textId="77777777" w:rsidR="009B67DB" w:rsidRPr="00FE1045" w:rsidRDefault="009B67DB" w:rsidP="009B67DB"/>
    <w:p w14:paraId="17FA21FE" w14:textId="77777777" w:rsidR="009B67DB" w:rsidRDefault="00EB3864" w:rsidP="009B67DB">
      <w:pPr>
        <w:rPr>
          <w:b/>
          <w:i/>
        </w:rPr>
      </w:pPr>
      <w:r>
        <w:rPr>
          <w:b/>
          <w:i/>
        </w:rPr>
        <w:t xml:space="preserve">Schedule 13, Items </w:t>
      </w:r>
      <w:r w:rsidR="00D10925">
        <w:rPr>
          <w:b/>
          <w:i/>
        </w:rPr>
        <w:t>13</w:t>
      </w:r>
      <w:r>
        <w:rPr>
          <w:b/>
          <w:i/>
        </w:rPr>
        <w:t>-1</w:t>
      </w:r>
      <w:r w:rsidR="00D10925">
        <w:rPr>
          <w:b/>
          <w:i/>
        </w:rPr>
        <w:t>6</w:t>
      </w:r>
    </w:p>
    <w:p w14:paraId="71F6C5B1" w14:textId="77777777" w:rsidR="009B67DB" w:rsidRPr="00FE1045" w:rsidRDefault="00D10925" w:rsidP="009B67DB">
      <w:r>
        <w:t>Items 13</w:t>
      </w:r>
      <w:r w:rsidR="00EB3864">
        <w:t xml:space="preserve"> to 1</w:t>
      </w:r>
      <w:r>
        <w:t>6</w:t>
      </w:r>
      <w:r w:rsidR="00EB3864">
        <w:t xml:space="preserve"> of Schedule 13 operate to amend sections 1594, 1596, 1597, 1598, 1599 and 1601 so that these sections apply on and after 1 September 2017, instead of on or after the commencement day.</w:t>
      </w:r>
    </w:p>
    <w:p w14:paraId="230B0EE3" w14:textId="77777777" w:rsidR="009B67DB" w:rsidRDefault="009B67DB" w:rsidP="009B67DB">
      <w:pPr>
        <w:rPr>
          <w:b/>
          <w:i/>
        </w:rPr>
      </w:pPr>
      <w:r>
        <w:rPr>
          <w:b/>
          <w:i/>
        </w:rPr>
        <w:t>Schedule 13, Item 1</w:t>
      </w:r>
      <w:r w:rsidR="00D10925">
        <w:rPr>
          <w:b/>
          <w:i/>
        </w:rPr>
        <w:t>7</w:t>
      </w:r>
    </w:p>
    <w:p w14:paraId="7A46F068" w14:textId="7C2B5CA8" w:rsidR="009B67DB" w:rsidRPr="00EB3864" w:rsidRDefault="00EB3864" w:rsidP="009B67DB">
      <w:r>
        <w:t>Item 1</w:t>
      </w:r>
      <w:r w:rsidR="00D10925">
        <w:t>7</w:t>
      </w:r>
      <w:r>
        <w:t xml:space="preserve"> of Schedule 13 to the </w:t>
      </w:r>
      <w:r w:rsidR="00AA3C84">
        <w:t xml:space="preserve">Amending </w:t>
      </w:r>
      <w:r>
        <w:t xml:space="preserve">Act operate to modify section 1604 so that </w:t>
      </w:r>
      <w:r w:rsidR="0049520F">
        <w:t xml:space="preserve">the repeal and substitution of section 509 of the Corporations Act by Schedule 2 to the </w:t>
      </w:r>
      <w:r w:rsidR="00AA3C84">
        <w:t xml:space="preserve">Amending </w:t>
      </w:r>
      <w:r w:rsidR="0049520F">
        <w:t>Act applies where the external administration of the company ends during a financial year stating or after 1 July 2018, instead of 1 July 2017.</w:t>
      </w:r>
    </w:p>
    <w:p w14:paraId="0E81ACBC" w14:textId="77777777" w:rsidR="00D10925" w:rsidRDefault="00D10925" w:rsidP="00D10925">
      <w:pPr>
        <w:rPr>
          <w:b/>
          <w:i/>
        </w:rPr>
      </w:pPr>
      <w:r>
        <w:rPr>
          <w:b/>
          <w:i/>
        </w:rPr>
        <w:t>Schedule 13, Items 18-20, 22-38, 40</w:t>
      </w:r>
    </w:p>
    <w:p w14:paraId="1FCC71CE" w14:textId="580B65F1" w:rsidR="0049520F" w:rsidRPr="00FE1045" w:rsidRDefault="00D10925" w:rsidP="0049520F">
      <w:r>
        <w:t xml:space="preserve">Items 18, 19, 20 and 22-38 </w:t>
      </w:r>
      <w:r w:rsidR="0049520F">
        <w:t xml:space="preserve">of Schedule 13 operate to amend sections </w:t>
      </w:r>
      <w:r>
        <w:t xml:space="preserve">1613, 1615, 1618, 1619, 1620 and 1627 </w:t>
      </w:r>
      <w:r w:rsidR="00AA3C84">
        <w:t xml:space="preserve">of the Amending Act </w:t>
      </w:r>
      <w:r w:rsidR="0049520F">
        <w:t>so that these sections apply on and after 1</w:t>
      </w:r>
      <w:r w:rsidR="00AA3C84">
        <w:t> </w:t>
      </w:r>
      <w:r w:rsidR="0049520F">
        <w:t>September</w:t>
      </w:r>
      <w:r w:rsidR="00AA3C84">
        <w:t> </w:t>
      </w:r>
      <w:r w:rsidR="0049520F">
        <w:t>2017, instead of on or after the commencement day.</w:t>
      </w:r>
    </w:p>
    <w:p w14:paraId="0136A695" w14:textId="77777777" w:rsidR="009B67DB" w:rsidRPr="0049520F" w:rsidRDefault="009B67DB" w:rsidP="009B67DB"/>
    <w:p w14:paraId="28A16531" w14:textId="77777777" w:rsidR="009B67DB" w:rsidRPr="00A5721E" w:rsidRDefault="009B67DB" w:rsidP="009B67DB">
      <w:pPr>
        <w:rPr>
          <w:b/>
          <w:i/>
        </w:rPr>
      </w:pPr>
    </w:p>
    <w:p w14:paraId="52B3D215" w14:textId="77777777" w:rsidR="009B67DB" w:rsidRDefault="009B67DB" w:rsidP="009B67DB">
      <w:pPr>
        <w:rPr>
          <w:b/>
          <w:i/>
        </w:rPr>
      </w:pPr>
    </w:p>
    <w:p w14:paraId="578F4755" w14:textId="77777777" w:rsidR="009B67DB" w:rsidRPr="00A5721E" w:rsidRDefault="009B67DB" w:rsidP="009B67DB">
      <w:pPr>
        <w:rPr>
          <w:b/>
          <w:i/>
        </w:rPr>
      </w:pPr>
    </w:p>
    <w:p w14:paraId="2EB065FD" w14:textId="77777777" w:rsidR="009B67DB" w:rsidRDefault="009B67DB" w:rsidP="009B67DB">
      <w:pPr>
        <w:rPr>
          <w:b/>
          <w:i/>
        </w:rPr>
      </w:pPr>
    </w:p>
    <w:p w14:paraId="40457A25" w14:textId="77777777" w:rsidR="009B67DB" w:rsidRPr="00A5721E" w:rsidRDefault="009B67DB" w:rsidP="009B67DB">
      <w:pPr>
        <w:rPr>
          <w:b/>
          <w:i/>
        </w:rPr>
      </w:pPr>
    </w:p>
    <w:p w14:paraId="446BB21C" w14:textId="77777777" w:rsidR="009B67DB" w:rsidRDefault="009B67DB" w:rsidP="009B67DB">
      <w:pPr>
        <w:rPr>
          <w:b/>
          <w:i/>
        </w:rPr>
      </w:pPr>
    </w:p>
    <w:p w14:paraId="729CBFC0" w14:textId="77777777" w:rsidR="009B67DB" w:rsidRDefault="009B67DB" w:rsidP="009B67DB">
      <w:pPr>
        <w:rPr>
          <w:b/>
          <w:i/>
        </w:rPr>
      </w:pPr>
    </w:p>
    <w:sectPr w:rsidR="009B67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006E8" w14:textId="77777777" w:rsidR="004A47A2" w:rsidRDefault="004A47A2" w:rsidP="00160393">
      <w:pPr>
        <w:spacing w:before="0" w:after="0"/>
      </w:pPr>
      <w:r>
        <w:separator/>
      </w:r>
    </w:p>
  </w:endnote>
  <w:endnote w:type="continuationSeparator" w:id="0">
    <w:p w14:paraId="38560E39" w14:textId="77777777" w:rsidR="004A47A2" w:rsidRDefault="004A47A2" w:rsidP="00160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DC05" w14:textId="77777777" w:rsidR="004A47A2" w:rsidRDefault="004A47A2" w:rsidP="00160393">
      <w:pPr>
        <w:spacing w:before="0" w:after="0"/>
      </w:pPr>
      <w:r>
        <w:separator/>
      </w:r>
    </w:p>
  </w:footnote>
  <w:footnote w:type="continuationSeparator" w:id="0">
    <w:p w14:paraId="4E851BEA" w14:textId="77777777" w:rsidR="004A47A2" w:rsidRDefault="004A47A2" w:rsidP="0016039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29EE088C"/>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
    <w:nsid w:val="0A464A7E"/>
    <w:multiLevelType w:val="multilevel"/>
    <w:tmpl w:val="36E437F4"/>
    <w:name w:val="StandardNumberedList"/>
    <w:lvl w:ilvl="0">
      <w:start w:val="1"/>
      <w:numFmt w:val="decimal"/>
      <w:pStyle w:val="OutlineNumbered1"/>
      <w:lvlText w:val="%1."/>
      <w:lvlJc w:val="left"/>
      <w:pPr>
        <w:tabs>
          <w:tab w:val="num" w:pos="520"/>
        </w:tabs>
        <w:ind w:left="520" w:hanging="520"/>
      </w:pPr>
      <w:rPr>
        <w:rFonts w:asciiTheme="minorHAnsi" w:hAnsiTheme="minorHAnsi" w:hint="default"/>
        <w:color w:val="auto"/>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3284" w:hanging="360"/>
      </w:pPr>
    </w:lvl>
    <w:lvl w:ilvl="4">
      <w:start w:val="1"/>
      <w:numFmt w:val="lowerLetter"/>
      <w:lvlText w:val="(%5)"/>
      <w:lvlJc w:val="left"/>
      <w:pPr>
        <w:ind w:left="3644" w:hanging="360"/>
      </w:pPr>
    </w:lvl>
    <w:lvl w:ilvl="5">
      <w:start w:val="1"/>
      <w:numFmt w:val="lowerRoman"/>
      <w:lvlText w:val="(%6)"/>
      <w:lvlJc w:val="left"/>
      <w:pPr>
        <w:ind w:left="4004" w:hanging="360"/>
      </w:pPr>
    </w:lvl>
    <w:lvl w:ilvl="6">
      <w:start w:val="1"/>
      <w:numFmt w:val="decimal"/>
      <w:lvlText w:val="%7."/>
      <w:lvlJc w:val="left"/>
      <w:pPr>
        <w:ind w:left="4364" w:hanging="360"/>
      </w:pPr>
    </w:lvl>
    <w:lvl w:ilvl="7">
      <w:start w:val="1"/>
      <w:numFmt w:val="lowerLetter"/>
      <w:lvlText w:val="%8."/>
      <w:lvlJc w:val="left"/>
      <w:pPr>
        <w:ind w:left="4724" w:hanging="360"/>
      </w:pPr>
    </w:lvl>
    <w:lvl w:ilvl="8">
      <w:start w:val="1"/>
      <w:numFmt w:val="lowerRoman"/>
      <w:lvlText w:val="%9."/>
      <w:lvlJc w:val="left"/>
      <w:pPr>
        <w:ind w:left="5084" w:hanging="360"/>
      </w:pPr>
    </w:lvl>
  </w:abstractNum>
  <w:abstractNum w:abstractNumId="2">
    <w:nsid w:val="1D8113F3"/>
    <w:multiLevelType w:val="multilevel"/>
    <w:tmpl w:val="3D9E40A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4237C5"/>
    <w:multiLevelType w:val="multilevel"/>
    <w:tmpl w:val="073018FA"/>
    <w:lvl w:ilvl="0">
      <w:start w:val="1"/>
      <w:numFmt w:val="decimal"/>
      <w:lvlText w:val="%1."/>
      <w:lvlJc w:val="left"/>
      <w:pPr>
        <w:tabs>
          <w:tab w:val="num" w:pos="946"/>
        </w:tabs>
        <w:ind w:left="567" w:hanging="567"/>
      </w:pPr>
      <w:rPr>
        <w:rFonts w:asciiTheme="minorHAnsi" w:hAnsiTheme="minorHAnsi" w:cstheme="minorHAnsi" w:hint="default"/>
        <w:b w:val="0"/>
        <w:i w:val="0"/>
        <w:color w:val="auto"/>
        <w:sz w:val="22"/>
        <w:szCs w:val="22"/>
      </w:rPr>
    </w:lvl>
    <w:lvl w:ilvl="1">
      <w:start w:val="1"/>
      <w:numFmt w:val="decimal"/>
      <w:lvlText w:val="%1.%2"/>
      <w:lvlJc w:val="left"/>
      <w:pPr>
        <w:tabs>
          <w:tab w:val="num" w:pos="4915"/>
        </w:tabs>
        <w:ind w:left="850" w:hanging="522"/>
      </w:pPr>
      <w:rPr>
        <w:rFonts w:asciiTheme="minorHAnsi" w:hAnsiTheme="minorHAnsi" w:cstheme="minorHAnsi" w:hint="default"/>
        <w:b w:val="0"/>
        <w:i w:val="0"/>
      </w:rPr>
    </w:lvl>
    <w:lvl w:ilvl="2">
      <w:start w:val="1"/>
      <w:numFmt w:val="decimal"/>
      <w:lvlText w:val="%1.%3.%2"/>
      <w:lvlJc w:val="left"/>
      <w:pPr>
        <w:tabs>
          <w:tab w:val="num" w:pos="850"/>
        </w:tabs>
        <w:ind w:left="850" w:hanging="520"/>
      </w:pPr>
      <w:rPr>
        <w:rFonts w:hint="default"/>
        <w:b w:val="0"/>
        <w:i w:val="0"/>
      </w:rPr>
    </w:lvl>
    <w:lvl w:ilvl="3">
      <w:start w:val="1"/>
      <w:numFmt w:val="decimal"/>
      <w:lvlText w:val="(%4)"/>
      <w:lvlJc w:val="left"/>
      <w:pPr>
        <w:tabs>
          <w:tab w:val="num" w:pos="730"/>
        </w:tabs>
        <w:ind w:left="730" w:hanging="360"/>
      </w:pPr>
      <w:rPr>
        <w:rFonts w:hint="default"/>
        <w:b w:val="0"/>
        <w:i w:val="0"/>
      </w:rPr>
    </w:lvl>
    <w:lvl w:ilvl="4">
      <w:start w:val="1"/>
      <w:numFmt w:val="lowerLetter"/>
      <w:lvlText w:val="(%5)"/>
      <w:lvlJc w:val="left"/>
      <w:pPr>
        <w:tabs>
          <w:tab w:val="num" w:pos="1090"/>
        </w:tabs>
        <w:ind w:left="1090" w:hanging="360"/>
      </w:pPr>
      <w:rPr>
        <w:rFonts w:hint="default"/>
        <w:b w:val="0"/>
        <w:i w:val="0"/>
      </w:rPr>
    </w:lvl>
    <w:lvl w:ilvl="5">
      <w:start w:val="1"/>
      <w:numFmt w:val="lowerRoman"/>
      <w:lvlText w:val="(%6)"/>
      <w:lvlJc w:val="left"/>
      <w:pPr>
        <w:tabs>
          <w:tab w:val="num" w:pos="1450"/>
        </w:tabs>
        <w:ind w:left="1450" w:hanging="360"/>
      </w:pPr>
      <w:rPr>
        <w:rFonts w:hint="default"/>
        <w:b w:val="0"/>
        <w:i w:val="0"/>
      </w:rPr>
    </w:lvl>
    <w:lvl w:ilvl="6">
      <w:start w:val="1"/>
      <w:numFmt w:val="decimal"/>
      <w:lvlText w:val="%7."/>
      <w:lvlJc w:val="left"/>
      <w:pPr>
        <w:tabs>
          <w:tab w:val="num" w:pos="1810"/>
        </w:tabs>
        <w:ind w:left="1810" w:hanging="360"/>
      </w:pPr>
      <w:rPr>
        <w:rFonts w:hint="default"/>
        <w:b w:val="0"/>
        <w:i w:val="0"/>
      </w:rPr>
    </w:lvl>
    <w:lvl w:ilvl="7">
      <w:start w:val="1"/>
      <w:numFmt w:val="lowerLetter"/>
      <w:lvlText w:val="%8."/>
      <w:lvlJc w:val="left"/>
      <w:pPr>
        <w:tabs>
          <w:tab w:val="num" w:pos="2170"/>
        </w:tabs>
        <w:ind w:left="2170" w:hanging="360"/>
      </w:pPr>
      <w:rPr>
        <w:rFonts w:hint="default"/>
        <w:b w:val="0"/>
        <w:i w:val="0"/>
      </w:rPr>
    </w:lvl>
    <w:lvl w:ilvl="8">
      <w:start w:val="1"/>
      <w:numFmt w:val="lowerRoman"/>
      <w:lvlText w:val="%9."/>
      <w:lvlJc w:val="left"/>
      <w:pPr>
        <w:tabs>
          <w:tab w:val="num" w:pos="2530"/>
        </w:tabs>
        <w:ind w:left="2530" w:hanging="360"/>
      </w:pPr>
      <w:rPr>
        <w:rFonts w:hint="default"/>
        <w:b w:val="0"/>
        <w:i w:val="0"/>
      </w:rPr>
    </w:lvl>
  </w:abstractNum>
  <w:abstractNum w:abstractNumId="4">
    <w:nsid w:val="2CC675E3"/>
    <w:multiLevelType w:val="multilevel"/>
    <w:tmpl w:val="68FCE9E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8C65195"/>
    <w:multiLevelType w:val="hybridMultilevel"/>
    <w:tmpl w:val="FA983D3A"/>
    <w:lvl w:ilvl="0" w:tplc="59BCF34C">
      <w:start w:val="1"/>
      <w:numFmt w:val="decimal"/>
      <w:lvlText w:val="%1."/>
      <w:lvlJc w:val="left"/>
      <w:pPr>
        <w:ind w:left="603" w:hanging="570"/>
      </w:pPr>
      <w:rPr>
        <w:rFonts w:hint="default"/>
        <w:b w:val="0"/>
      </w:rPr>
    </w:lvl>
    <w:lvl w:ilvl="1" w:tplc="0C090019">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6">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950960"/>
    <w:multiLevelType w:val="multilevel"/>
    <w:tmpl w:val="D706BA9E"/>
    <w:name w:val="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8">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478D416D"/>
    <w:multiLevelType w:val="multilevel"/>
    <w:tmpl w:val="83AA7CCE"/>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A9612E3"/>
    <w:multiLevelType w:val="multilevel"/>
    <w:tmpl w:val="254E69A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374716"/>
    <w:multiLevelType w:val="multilevel"/>
    <w:tmpl w:val="60E6B9D4"/>
    <w:lvl w:ilvl="0">
      <w:start w:val="1"/>
      <w:numFmt w:val="bullet"/>
      <w:lvlText w:val="•"/>
      <w:lvlJc w:val="left"/>
      <w:pPr>
        <w:tabs>
          <w:tab w:val="num" w:pos="520"/>
        </w:tabs>
        <w:ind w:left="520" w:hanging="520"/>
      </w:pPr>
      <w:rPr>
        <w:rFonts w:ascii="Times New Roman" w:hAnsi="Times New Roman" w:cs="Times New Roman" w:hint="default"/>
        <w:color w:val="auto"/>
        <w:sz w:val="24"/>
        <w:szCs w:val="24"/>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bullet"/>
      <w:lvlText w:val=""/>
      <w:lvlJc w:val="left"/>
      <w:pPr>
        <w:ind w:left="3851" w:hanging="360"/>
      </w:pPr>
      <w:rPr>
        <w:rFonts w:ascii="Symbol" w:hAnsi="Symbol" w:hint="default"/>
        <w:color w:val="auto"/>
      </w:rPr>
    </w:lvl>
    <w:lvl w:ilvl="4">
      <w:start w:val="1"/>
      <w:numFmt w:val="lowerLetter"/>
      <w:lvlText w:val="(%5)"/>
      <w:lvlJc w:val="left"/>
      <w:pPr>
        <w:ind w:left="4211" w:hanging="360"/>
      </w:pPr>
      <w:rPr>
        <w:rFonts w:hint="default"/>
      </w:rPr>
    </w:lvl>
    <w:lvl w:ilvl="5">
      <w:start w:val="1"/>
      <w:numFmt w:val="lowerRoman"/>
      <w:lvlText w:val="(%6)"/>
      <w:lvlJc w:val="left"/>
      <w:pPr>
        <w:ind w:left="4571" w:hanging="360"/>
      </w:pPr>
      <w:rPr>
        <w:rFonts w:hint="default"/>
      </w:rPr>
    </w:lvl>
    <w:lvl w:ilvl="6">
      <w:start w:val="1"/>
      <w:numFmt w:val="decimal"/>
      <w:lvlText w:val="%7."/>
      <w:lvlJc w:val="left"/>
      <w:pPr>
        <w:ind w:left="4931" w:hanging="360"/>
      </w:pPr>
      <w:rPr>
        <w:rFonts w:hint="default"/>
      </w:rPr>
    </w:lvl>
    <w:lvl w:ilvl="7">
      <w:start w:val="1"/>
      <w:numFmt w:val="lowerLetter"/>
      <w:lvlText w:val="%8."/>
      <w:lvlJc w:val="left"/>
      <w:pPr>
        <w:ind w:left="5291" w:hanging="360"/>
      </w:pPr>
      <w:rPr>
        <w:rFonts w:hint="default"/>
      </w:rPr>
    </w:lvl>
    <w:lvl w:ilvl="8">
      <w:start w:val="1"/>
      <w:numFmt w:val="lowerRoman"/>
      <w:lvlText w:val="%9."/>
      <w:lvlJc w:val="left"/>
      <w:pPr>
        <w:ind w:left="5651" w:hanging="360"/>
      </w:pPr>
      <w:rPr>
        <w:rFonts w:hint="default"/>
      </w:rPr>
    </w:lvl>
  </w:abstractNum>
  <w:abstractNum w:abstractNumId="12">
    <w:nsid w:val="5B80748E"/>
    <w:multiLevelType w:val="multilevel"/>
    <w:tmpl w:val="8794D0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7A43C0B"/>
    <w:multiLevelType w:val="multilevel"/>
    <w:tmpl w:val="42F65A1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BB13FB2"/>
    <w:multiLevelType w:val="multilevel"/>
    <w:tmpl w:val="80E2D91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624F25"/>
    <w:multiLevelType w:val="multilevel"/>
    <w:tmpl w:val="1A5C8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
  </w:num>
  <w:num w:numId="3">
    <w:abstractNumId w:val="10"/>
  </w:num>
  <w:num w:numId="4">
    <w:abstractNumId w:val="10"/>
  </w:num>
  <w:num w:numId="5">
    <w:abstractNumId w:val="4"/>
  </w:num>
  <w:num w:numId="6">
    <w:abstractNumId w:val="10"/>
  </w:num>
  <w:num w:numId="7">
    <w:abstractNumId w:val="2"/>
  </w:num>
  <w:num w:numId="8">
    <w:abstractNumId w:val="7"/>
  </w:num>
  <w:num w:numId="9">
    <w:abstractNumId w:val="6"/>
  </w:num>
  <w:num w:numId="10">
    <w:abstractNumId w:val="9"/>
  </w:num>
  <w:num w:numId="11">
    <w:abstractNumId w:val="1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color w:val="auto"/>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4"/>
  </w:num>
  <w:num w:numId="13">
    <w:abstractNumId w:val="3"/>
  </w:num>
  <w:num w:numId="14">
    <w:abstractNumId w:val="11"/>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8"/>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
  </w:num>
  <w:num w:numId="3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91"/>
    <w:rsid w:val="000177F5"/>
    <w:rsid w:val="00030289"/>
    <w:rsid w:val="00030C66"/>
    <w:rsid w:val="00036526"/>
    <w:rsid w:val="00041694"/>
    <w:rsid w:val="00042C02"/>
    <w:rsid w:val="00044E18"/>
    <w:rsid w:val="00054CF4"/>
    <w:rsid w:val="00056D02"/>
    <w:rsid w:val="00061692"/>
    <w:rsid w:val="00077977"/>
    <w:rsid w:val="00084214"/>
    <w:rsid w:val="000A1E29"/>
    <w:rsid w:val="000C3D3C"/>
    <w:rsid w:val="00120E33"/>
    <w:rsid w:val="00121533"/>
    <w:rsid w:val="001268D5"/>
    <w:rsid w:val="0014114E"/>
    <w:rsid w:val="001510CF"/>
    <w:rsid w:val="00160393"/>
    <w:rsid w:val="001612ED"/>
    <w:rsid w:val="00167486"/>
    <w:rsid w:val="00186391"/>
    <w:rsid w:val="001874A4"/>
    <w:rsid w:val="00193D85"/>
    <w:rsid w:val="001B35B1"/>
    <w:rsid w:val="001C5EC0"/>
    <w:rsid w:val="001D7A83"/>
    <w:rsid w:val="001F035B"/>
    <w:rsid w:val="001F1EFF"/>
    <w:rsid w:val="00212B97"/>
    <w:rsid w:val="002137B4"/>
    <w:rsid w:val="00227DB1"/>
    <w:rsid w:val="00230388"/>
    <w:rsid w:val="002427CB"/>
    <w:rsid w:val="00262237"/>
    <w:rsid w:val="0027004E"/>
    <w:rsid w:val="00270CEB"/>
    <w:rsid w:val="00270F06"/>
    <w:rsid w:val="002800F8"/>
    <w:rsid w:val="00284C61"/>
    <w:rsid w:val="002B2DDC"/>
    <w:rsid w:val="002C3AF8"/>
    <w:rsid w:val="002E211E"/>
    <w:rsid w:val="002E4A35"/>
    <w:rsid w:val="002F364A"/>
    <w:rsid w:val="003008AB"/>
    <w:rsid w:val="00314647"/>
    <w:rsid w:val="00315DD9"/>
    <w:rsid w:val="003273DE"/>
    <w:rsid w:val="00331EB7"/>
    <w:rsid w:val="00332C82"/>
    <w:rsid w:val="00333A65"/>
    <w:rsid w:val="003726B4"/>
    <w:rsid w:val="003727AD"/>
    <w:rsid w:val="00385971"/>
    <w:rsid w:val="00397573"/>
    <w:rsid w:val="003B7A17"/>
    <w:rsid w:val="003E0EC7"/>
    <w:rsid w:val="00420872"/>
    <w:rsid w:val="004547C0"/>
    <w:rsid w:val="00475D38"/>
    <w:rsid w:val="00481911"/>
    <w:rsid w:val="0049520F"/>
    <w:rsid w:val="004A1B72"/>
    <w:rsid w:val="004A21CF"/>
    <w:rsid w:val="004A47A2"/>
    <w:rsid w:val="004A7812"/>
    <w:rsid w:val="004D4455"/>
    <w:rsid w:val="004D5C16"/>
    <w:rsid w:val="004E66E2"/>
    <w:rsid w:val="004F32D6"/>
    <w:rsid w:val="0051309B"/>
    <w:rsid w:val="00520979"/>
    <w:rsid w:val="00525215"/>
    <w:rsid w:val="00543FE7"/>
    <w:rsid w:val="00553F1A"/>
    <w:rsid w:val="00560673"/>
    <w:rsid w:val="005A3DD1"/>
    <w:rsid w:val="005D0FAD"/>
    <w:rsid w:val="00612C37"/>
    <w:rsid w:val="00620210"/>
    <w:rsid w:val="006232CB"/>
    <w:rsid w:val="006509E5"/>
    <w:rsid w:val="006635B4"/>
    <w:rsid w:val="006A34E3"/>
    <w:rsid w:val="006B18BB"/>
    <w:rsid w:val="006C2662"/>
    <w:rsid w:val="006E7292"/>
    <w:rsid w:val="00716F93"/>
    <w:rsid w:val="00727C76"/>
    <w:rsid w:val="00732DEF"/>
    <w:rsid w:val="00766B5F"/>
    <w:rsid w:val="00772FF5"/>
    <w:rsid w:val="007B2313"/>
    <w:rsid w:val="007D35D8"/>
    <w:rsid w:val="007E44E3"/>
    <w:rsid w:val="00807962"/>
    <w:rsid w:val="00812AEF"/>
    <w:rsid w:val="0082403D"/>
    <w:rsid w:val="00872C01"/>
    <w:rsid w:val="008A37E5"/>
    <w:rsid w:val="008B2111"/>
    <w:rsid w:val="008B37FD"/>
    <w:rsid w:val="008B596B"/>
    <w:rsid w:val="008E72A6"/>
    <w:rsid w:val="008F570A"/>
    <w:rsid w:val="008F67E4"/>
    <w:rsid w:val="00914F08"/>
    <w:rsid w:val="00923189"/>
    <w:rsid w:val="009334EE"/>
    <w:rsid w:val="009403C0"/>
    <w:rsid w:val="00960708"/>
    <w:rsid w:val="009646AE"/>
    <w:rsid w:val="0097628D"/>
    <w:rsid w:val="009932C3"/>
    <w:rsid w:val="009B67DB"/>
    <w:rsid w:val="009E326E"/>
    <w:rsid w:val="00A00232"/>
    <w:rsid w:val="00A052FD"/>
    <w:rsid w:val="00A3164A"/>
    <w:rsid w:val="00A45077"/>
    <w:rsid w:val="00A5721E"/>
    <w:rsid w:val="00A674AF"/>
    <w:rsid w:val="00A70B28"/>
    <w:rsid w:val="00A749AB"/>
    <w:rsid w:val="00A76828"/>
    <w:rsid w:val="00A84D41"/>
    <w:rsid w:val="00A92943"/>
    <w:rsid w:val="00AA3C84"/>
    <w:rsid w:val="00B2556B"/>
    <w:rsid w:val="00B40F22"/>
    <w:rsid w:val="00B4395E"/>
    <w:rsid w:val="00B80CED"/>
    <w:rsid w:val="00B837FB"/>
    <w:rsid w:val="00B95C0B"/>
    <w:rsid w:val="00BA45C3"/>
    <w:rsid w:val="00BA7F8F"/>
    <w:rsid w:val="00BF05F2"/>
    <w:rsid w:val="00BF3063"/>
    <w:rsid w:val="00C10900"/>
    <w:rsid w:val="00C248C2"/>
    <w:rsid w:val="00C34548"/>
    <w:rsid w:val="00C40E56"/>
    <w:rsid w:val="00C531EB"/>
    <w:rsid w:val="00C60745"/>
    <w:rsid w:val="00C75488"/>
    <w:rsid w:val="00C810EF"/>
    <w:rsid w:val="00C92B7B"/>
    <w:rsid w:val="00C94D85"/>
    <w:rsid w:val="00C9586F"/>
    <w:rsid w:val="00CA34BD"/>
    <w:rsid w:val="00CC395B"/>
    <w:rsid w:val="00CD1FB9"/>
    <w:rsid w:val="00CD3C2B"/>
    <w:rsid w:val="00D00891"/>
    <w:rsid w:val="00D10925"/>
    <w:rsid w:val="00D13D93"/>
    <w:rsid w:val="00D228F0"/>
    <w:rsid w:val="00D30B38"/>
    <w:rsid w:val="00D82D8A"/>
    <w:rsid w:val="00D9341C"/>
    <w:rsid w:val="00DA2981"/>
    <w:rsid w:val="00DB3D2F"/>
    <w:rsid w:val="00DB3FE7"/>
    <w:rsid w:val="00DC015F"/>
    <w:rsid w:val="00DD01A7"/>
    <w:rsid w:val="00DE52D0"/>
    <w:rsid w:val="00E06C0A"/>
    <w:rsid w:val="00E07FF5"/>
    <w:rsid w:val="00E1106F"/>
    <w:rsid w:val="00E605EC"/>
    <w:rsid w:val="00E75F30"/>
    <w:rsid w:val="00EA52E3"/>
    <w:rsid w:val="00EA6BAD"/>
    <w:rsid w:val="00EB3864"/>
    <w:rsid w:val="00EC1D07"/>
    <w:rsid w:val="00EC208C"/>
    <w:rsid w:val="00EC26D6"/>
    <w:rsid w:val="00ED66EF"/>
    <w:rsid w:val="00EE6402"/>
    <w:rsid w:val="00EE6614"/>
    <w:rsid w:val="00EF31D4"/>
    <w:rsid w:val="00F062B5"/>
    <w:rsid w:val="00F06C98"/>
    <w:rsid w:val="00F1651D"/>
    <w:rsid w:val="00F20012"/>
    <w:rsid w:val="00F527FB"/>
    <w:rsid w:val="00F73152"/>
    <w:rsid w:val="00F818AA"/>
    <w:rsid w:val="00FA50B6"/>
    <w:rsid w:val="00FB4EDB"/>
    <w:rsid w:val="00FE0DBA"/>
    <w:rsid w:val="00FE1045"/>
    <w:rsid w:val="00FF6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91"/>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D00891"/>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9"/>
    <w:qFormat/>
    <w:rsid w:val="00D00891"/>
    <w:pPr>
      <w:keepNext/>
      <w:spacing w:before="240" w:after="60"/>
      <w:outlineLvl w:val="1"/>
    </w:pPr>
    <w:rPr>
      <w:b/>
      <w:sz w:val="28"/>
      <w:u w:val="single"/>
    </w:rPr>
  </w:style>
  <w:style w:type="paragraph" w:styleId="Heading3">
    <w:name w:val="heading 3"/>
    <w:basedOn w:val="Normal"/>
    <w:next w:val="Normal"/>
    <w:link w:val="Heading3Char"/>
    <w:uiPriority w:val="9"/>
    <w:unhideWhenUsed/>
    <w:qFormat/>
    <w:rsid w:val="000842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42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646AE"/>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qFormat/>
    <w:rsid w:val="009646AE"/>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91"/>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uiPriority w:val="9"/>
    <w:rsid w:val="00D00891"/>
    <w:rPr>
      <w:rFonts w:ascii="Times New Roman" w:eastAsia="Times New Roman" w:hAnsi="Times New Roman" w:cs="Times New Roman"/>
      <w:b/>
      <w:sz w:val="28"/>
      <w:szCs w:val="20"/>
      <w:u w:val="single"/>
      <w:lang w:eastAsia="en-AU"/>
    </w:rPr>
  </w:style>
  <w:style w:type="paragraph" w:customStyle="1" w:styleId="base-text-paragraph">
    <w:name w:val="base-text-paragraph"/>
    <w:link w:val="base-text-paragraphChar"/>
    <w:rsid w:val="00D00891"/>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customStyle="1" w:styleId="Bullet">
    <w:name w:val="Bullet"/>
    <w:aliases w:val="b"/>
    <w:basedOn w:val="Normal"/>
    <w:link w:val="BulletChar"/>
    <w:qFormat/>
    <w:rsid w:val="00D00891"/>
    <w:pPr>
      <w:numPr>
        <w:numId w:val="1"/>
      </w:numPr>
    </w:pPr>
  </w:style>
  <w:style w:type="character" w:customStyle="1" w:styleId="BulletChar">
    <w:name w:val="Bullet Char"/>
    <w:basedOn w:val="DefaultParagraphFont"/>
    <w:link w:val="Bullet"/>
    <w:rsid w:val="00D00891"/>
    <w:rPr>
      <w:rFonts w:ascii="Times New Roman" w:eastAsia="Times New Roman" w:hAnsi="Times New Roman" w:cs="Times New Roman"/>
      <w:sz w:val="24"/>
      <w:szCs w:val="20"/>
      <w:lang w:eastAsia="en-AU"/>
    </w:rPr>
  </w:style>
  <w:style w:type="paragraph" w:customStyle="1" w:styleId="Dash">
    <w:name w:val="Dash"/>
    <w:basedOn w:val="Normal"/>
    <w:link w:val="DashChar"/>
    <w:rsid w:val="00D00891"/>
    <w:pPr>
      <w:numPr>
        <w:ilvl w:val="1"/>
        <w:numId w:val="1"/>
      </w:numPr>
    </w:pPr>
  </w:style>
  <w:style w:type="character" w:customStyle="1" w:styleId="DashChar">
    <w:name w:val="Dash Char"/>
    <w:basedOn w:val="DefaultParagraphFont"/>
    <w:link w:val="Dash"/>
    <w:rsid w:val="00D00891"/>
    <w:rPr>
      <w:rFonts w:ascii="Times New Roman" w:eastAsia="Times New Roman" w:hAnsi="Times New Roman" w:cs="Times New Roman"/>
      <w:sz w:val="24"/>
      <w:szCs w:val="20"/>
      <w:lang w:eastAsia="en-AU"/>
    </w:rPr>
  </w:style>
  <w:style w:type="paragraph" w:customStyle="1" w:styleId="DoubleDot">
    <w:name w:val="Double Dot"/>
    <w:basedOn w:val="Normal"/>
    <w:link w:val="DoubleDotChar"/>
    <w:rsid w:val="00D00891"/>
    <w:pPr>
      <w:numPr>
        <w:ilvl w:val="2"/>
        <w:numId w:val="1"/>
      </w:numPr>
    </w:pPr>
  </w:style>
  <w:style w:type="character" w:customStyle="1" w:styleId="DoubleDotChar">
    <w:name w:val="Double Dot Char"/>
    <w:basedOn w:val="DefaultParagraphFont"/>
    <w:link w:val="DoubleDot"/>
    <w:rsid w:val="00D00891"/>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uiPriority w:val="9"/>
    <w:rsid w:val="00084214"/>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rsid w:val="00084214"/>
    <w:rPr>
      <w:rFonts w:asciiTheme="majorHAnsi" w:eastAsiaTheme="majorEastAsia" w:hAnsiTheme="majorHAnsi" w:cstheme="majorBidi"/>
      <w:b/>
      <w:bCs/>
      <w:i/>
      <w:iCs/>
      <w:color w:val="4F81BD" w:themeColor="accent1"/>
      <w:sz w:val="24"/>
      <w:szCs w:val="20"/>
      <w:lang w:eastAsia="en-AU"/>
    </w:rPr>
  </w:style>
  <w:style w:type="paragraph" w:customStyle="1" w:styleId="OutlineNumbered1">
    <w:name w:val="Outline Numbered 1"/>
    <w:basedOn w:val="Normal"/>
    <w:link w:val="OutlineNumbered1Char"/>
    <w:rsid w:val="007B2313"/>
    <w:pPr>
      <w:numPr>
        <w:numId w:val="2"/>
      </w:numPr>
    </w:pPr>
    <w:rPr>
      <w:sz w:val="22"/>
    </w:rPr>
  </w:style>
  <w:style w:type="character" w:customStyle="1" w:styleId="OutlineNumbered1Char">
    <w:name w:val="Outline Numbered 1 Char"/>
    <w:basedOn w:val="DefaultParagraphFont"/>
    <w:link w:val="OutlineNumbered1"/>
    <w:rsid w:val="007B2313"/>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7B2313"/>
    <w:pPr>
      <w:numPr>
        <w:ilvl w:val="1"/>
        <w:numId w:val="2"/>
      </w:numPr>
    </w:pPr>
    <w:rPr>
      <w:sz w:val="22"/>
    </w:rPr>
  </w:style>
  <w:style w:type="paragraph" w:customStyle="1" w:styleId="OutlineNumbered3">
    <w:name w:val="Outline Numbered 3"/>
    <w:basedOn w:val="Normal"/>
    <w:rsid w:val="007B2313"/>
    <w:pPr>
      <w:numPr>
        <w:ilvl w:val="2"/>
        <w:numId w:val="2"/>
      </w:numPr>
    </w:pPr>
    <w:rPr>
      <w:sz w:val="22"/>
    </w:rPr>
  </w:style>
  <w:style w:type="paragraph" w:styleId="BalloonText">
    <w:name w:val="Balloon Text"/>
    <w:basedOn w:val="Normal"/>
    <w:link w:val="BalloonTextChar"/>
    <w:uiPriority w:val="99"/>
    <w:semiHidden/>
    <w:unhideWhenUsed/>
    <w:rsid w:val="00FE10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45"/>
    <w:rPr>
      <w:rFonts w:ascii="Tahoma" w:eastAsia="Times New Roman" w:hAnsi="Tahoma" w:cs="Tahoma"/>
      <w:sz w:val="16"/>
      <w:szCs w:val="16"/>
      <w:lang w:eastAsia="en-AU"/>
    </w:rPr>
  </w:style>
  <w:style w:type="paragraph" w:customStyle="1" w:styleId="ChapterHeading">
    <w:name w:val="Chapter Heading"/>
    <w:next w:val="Heading2"/>
    <w:rsid w:val="0082403D"/>
    <w:pPr>
      <w:pBdr>
        <w:top w:val="single" w:sz="4" w:space="1" w:color="auto"/>
        <w:bottom w:val="single" w:sz="4" w:space="1" w:color="auto"/>
      </w:pBdr>
      <w:tabs>
        <w:tab w:val="num"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82403D"/>
    <w:pPr>
      <w:keepLines w:val="0"/>
      <w:tabs>
        <w:tab w:val="num" w:pos="360"/>
      </w:tabs>
      <w:spacing w:before="120" w:after="120"/>
      <w:ind w:left="1134"/>
    </w:pPr>
    <w:rPr>
      <w:rFonts w:ascii="Times New Roman" w:eastAsia="Times New Roman" w:hAnsi="Times New Roman" w:cs="Times New Roman"/>
      <w:bCs w:val="0"/>
      <w:i w:val="0"/>
      <w:iCs w:val="0"/>
      <w:color w:val="auto"/>
      <w:sz w:val="22"/>
    </w:rPr>
  </w:style>
  <w:style w:type="paragraph" w:customStyle="1" w:styleId="base-text-paragraphnonumbers">
    <w:name w:val="base-text-paragraph no numbers"/>
    <w:basedOn w:val="Normal"/>
    <w:rsid w:val="0082403D"/>
    <w:pPr>
      <w:ind w:left="1134"/>
    </w:pPr>
    <w:rPr>
      <w:sz w:val="22"/>
    </w:rPr>
  </w:style>
  <w:style w:type="paragraph" w:customStyle="1" w:styleId="ExampleHeading">
    <w:name w:val="Example Heading"/>
    <w:basedOn w:val="Normal"/>
    <w:next w:val="Normal"/>
    <w:rsid w:val="0082403D"/>
    <w:pPr>
      <w:keepNext/>
      <w:ind w:left="1134"/>
    </w:pPr>
    <w:rPr>
      <w:b/>
      <w:sz w:val="22"/>
    </w:rPr>
  </w:style>
  <w:style w:type="paragraph" w:customStyle="1" w:styleId="Diagram">
    <w:name w:val="Diagram"/>
    <w:basedOn w:val="Normal"/>
    <w:next w:val="base-text-paragraphnonumbers"/>
    <w:rsid w:val="0082403D"/>
    <w:pPr>
      <w:keepNext/>
      <w:spacing w:before="0" w:after="0"/>
      <w:ind w:left="1134"/>
    </w:pPr>
    <w:rPr>
      <w:b/>
      <w:sz w:val="22"/>
    </w:rPr>
  </w:style>
  <w:style w:type="paragraph" w:customStyle="1" w:styleId="dotpoint">
    <w:name w:val="dot point"/>
    <w:basedOn w:val="Normal"/>
    <w:rsid w:val="0082403D"/>
    <w:pPr>
      <w:numPr>
        <w:numId w:val="10"/>
      </w:numPr>
    </w:pPr>
    <w:rPr>
      <w:sz w:val="22"/>
    </w:rPr>
  </w:style>
  <w:style w:type="paragraph" w:customStyle="1" w:styleId="dotpoint2">
    <w:name w:val="dot point 2"/>
    <w:basedOn w:val="Normal"/>
    <w:rsid w:val="0082403D"/>
    <w:pPr>
      <w:numPr>
        <w:ilvl w:val="1"/>
        <w:numId w:val="10"/>
      </w:numPr>
    </w:pPr>
    <w:rPr>
      <w:sz w:val="22"/>
    </w:rPr>
  </w:style>
  <w:style w:type="character" w:customStyle="1" w:styleId="BoldItalic">
    <w:name w:val="BoldItalic"/>
    <w:basedOn w:val="DefaultParagraphFont"/>
    <w:rsid w:val="0082403D"/>
    <w:rPr>
      <w:b/>
      <w:i/>
    </w:rPr>
  </w:style>
  <w:style w:type="character" w:customStyle="1" w:styleId="base-text-paragraphChar">
    <w:name w:val="base-text-paragraph Char"/>
    <w:basedOn w:val="DefaultParagraphFont"/>
    <w:link w:val="base-text-paragraph"/>
    <w:rsid w:val="0082403D"/>
    <w:rPr>
      <w:rFonts w:ascii="Times New Roman" w:eastAsia="Times New Roman" w:hAnsi="Times New Roman" w:cs="Times New Roman"/>
      <w:sz w:val="24"/>
      <w:szCs w:val="20"/>
      <w:lang w:eastAsia="en-AU"/>
    </w:rPr>
  </w:style>
  <w:style w:type="numbering" w:customStyle="1" w:styleId="ChapterList">
    <w:name w:val="ChapterList"/>
    <w:uiPriority w:val="99"/>
    <w:rsid w:val="002E4A35"/>
    <w:pPr>
      <w:numPr>
        <w:numId w:val="9"/>
      </w:numPr>
    </w:pPr>
  </w:style>
  <w:style w:type="numbering" w:customStyle="1" w:styleId="DotPointList">
    <w:name w:val="Dot Point List"/>
    <w:uiPriority w:val="99"/>
    <w:rsid w:val="002E4A35"/>
    <w:pPr>
      <w:numPr>
        <w:numId w:val="10"/>
      </w:numPr>
    </w:pPr>
  </w:style>
  <w:style w:type="character" w:customStyle="1" w:styleId="Heading5Char">
    <w:name w:val="Heading 5 Char"/>
    <w:basedOn w:val="DefaultParagraphFont"/>
    <w:link w:val="Heading5"/>
    <w:uiPriority w:val="9"/>
    <w:rsid w:val="009646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646AE"/>
    <w:rPr>
      <w:rFonts w:asciiTheme="majorHAnsi" w:eastAsiaTheme="majorEastAsia" w:hAnsiTheme="majorHAnsi" w:cstheme="majorBidi"/>
      <w:i/>
      <w:iCs/>
      <w:color w:val="243F60" w:themeColor="accent1" w:themeShade="7F"/>
    </w:rPr>
  </w:style>
  <w:style w:type="numbering" w:customStyle="1" w:styleId="NoList1">
    <w:name w:val="No List1"/>
    <w:next w:val="NoList"/>
    <w:uiPriority w:val="99"/>
    <w:semiHidden/>
    <w:unhideWhenUsed/>
    <w:rsid w:val="009646AE"/>
  </w:style>
  <w:style w:type="paragraph" w:styleId="FootnoteText">
    <w:name w:val="footnote text"/>
    <w:aliases w:val="Car"/>
    <w:basedOn w:val="Normal"/>
    <w:link w:val="FootnoteTextChar"/>
    <w:rsid w:val="009646AE"/>
    <w:pPr>
      <w:tabs>
        <w:tab w:val="left" w:pos="284"/>
      </w:tabs>
      <w:spacing w:before="0" w:after="240" w:line="260" w:lineRule="exact"/>
      <w:jc w:val="both"/>
    </w:pPr>
    <w:rPr>
      <w:rFonts w:ascii="Book Antiqua" w:hAnsi="Book Antiqua"/>
      <w:color w:val="000000"/>
      <w:sz w:val="18"/>
    </w:rPr>
  </w:style>
  <w:style w:type="character" w:customStyle="1" w:styleId="FootnoteTextChar">
    <w:name w:val="Footnote Text Char"/>
    <w:aliases w:val="Car Char"/>
    <w:basedOn w:val="DefaultParagraphFont"/>
    <w:link w:val="FootnoteText"/>
    <w:rsid w:val="009646AE"/>
    <w:rPr>
      <w:rFonts w:ascii="Book Antiqua" w:eastAsia="Times New Roman" w:hAnsi="Book Antiqua" w:cs="Times New Roman"/>
      <w:color w:val="000000"/>
      <w:sz w:val="18"/>
      <w:szCs w:val="20"/>
      <w:lang w:eastAsia="en-AU"/>
    </w:rPr>
  </w:style>
  <w:style w:type="character" w:styleId="FootnoteReference">
    <w:name w:val="footnote reference"/>
    <w:basedOn w:val="DefaultParagraphFont"/>
    <w:rsid w:val="009646AE"/>
    <w:rPr>
      <w:vertAlign w:val="superscript"/>
    </w:rPr>
  </w:style>
  <w:style w:type="character" w:customStyle="1" w:styleId="OutlineNumbered2Char">
    <w:name w:val="Outline Numbered 2 Char"/>
    <w:basedOn w:val="DefaultParagraphFont"/>
    <w:link w:val="OutlineNumbered2"/>
    <w:rsid w:val="009646AE"/>
    <w:rPr>
      <w:rFonts w:ascii="Times New Roman" w:eastAsia="Times New Roman" w:hAnsi="Times New Roman" w:cs="Times New Roman"/>
      <w:szCs w:val="20"/>
      <w:lang w:eastAsia="en-AU"/>
    </w:rPr>
  </w:style>
  <w:style w:type="table" w:styleId="TableGrid">
    <w:name w:val="Table Grid"/>
    <w:basedOn w:val="TableNormal"/>
    <w:rsid w:val="0096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6AE"/>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646AE"/>
    <w:rPr>
      <w:i/>
      <w:iCs/>
    </w:rPr>
  </w:style>
  <w:style w:type="character" w:styleId="Strong">
    <w:name w:val="Strong"/>
    <w:basedOn w:val="DefaultParagraphFont"/>
    <w:uiPriority w:val="22"/>
    <w:qFormat/>
    <w:rsid w:val="009646AE"/>
    <w:rPr>
      <w:b/>
      <w:bCs/>
    </w:rPr>
  </w:style>
  <w:style w:type="paragraph" w:styleId="CommentText">
    <w:name w:val="annotation text"/>
    <w:basedOn w:val="Normal"/>
    <w:link w:val="CommentTextChar"/>
    <w:uiPriority w:val="99"/>
    <w:unhideWhenUsed/>
    <w:rsid w:val="009646AE"/>
    <w:pPr>
      <w:spacing w:before="0"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9646AE"/>
    <w:rPr>
      <w:rFonts w:eastAsiaTheme="minorEastAsia"/>
      <w:sz w:val="20"/>
      <w:szCs w:val="20"/>
      <w:lang w:eastAsia="en-AU"/>
    </w:rPr>
  </w:style>
  <w:style w:type="paragraph" w:styleId="ListParagraph">
    <w:name w:val="List Paragraph"/>
    <w:basedOn w:val="Normal"/>
    <w:uiPriority w:val="34"/>
    <w:qFormat/>
    <w:rsid w:val="009646AE"/>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EnvelopeAddress">
    <w:name w:val="envelope address"/>
    <w:basedOn w:val="Normal"/>
    <w:rsid w:val="009646AE"/>
    <w:pPr>
      <w:framePr w:w="7920" w:h="1980" w:hRule="exact" w:hSpace="180" w:wrap="auto" w:hAnchor="page" w:xAlign="center" w:yAlign="bottom"/>
      <w:spacing w:before="0" w:after="0"/>
      <w:ind w:left="2880"/>
    </w:pPr>
  </w:style>
  <w:style w:type="character" w:styleId="EndnoteReference">
    <w:name w:val="endnote reference"/>
    <w:basedOn w:val="DefaultParagraphFont"/>
    <w:uiPriority w:val="99"/>
    <w:semiHidden/>
    <w:unhideWhenUsed/>
    <w:rsid w:val="009646AE"/>
    <w:rPr>
      <w:vertAlign w:val="superscript"/>
    </w:rPr>
  </w:style>
  <w:style w:type="paragraph" w:styleId="NoSpacing">
    <w:name w:val="No Spacing"/>
    <w:uiPriority w:val="1"/>
    <w:qFormat/>
    <w:rsid w:val="009646AE"/>
    <w:pPr>
      <w:spacing w:after="0" w:line="240" w:lineRule="auto"/>
    </w:pPr>
    <w:rPr>
      <w:rFonts w:eastAsiaTheme="minorEastAsia"/>
      <w:lang w:eastAsia="en-AU"/>
    </w:rPr>
  </w:style>
  <w:style w:type="paragraph" w:customStyle="1" w:styleId="CABNETParagraph">
    <w:name w:val="CABNET Paragraph"/>
    <w:basedOn w:val="Normal"/>
    <w:link w:val="CABNETParagraphChar"/>
    <w:qFormat/>
    <w:rsid w:val="009646AE"/>
    <w:rPr>
      <w:rFonts w:ascii="Verdana" w:eastAsiaTheme="minorHAnsi" w:hAnsi="Verdana" w:cstheme="minorBidi"/>
      <w:sz w:val="22"/>
      <w:szCs w:val="22"/>
      <w:lang w:eastAsia="en-US"/>
    </w:rPr>
  </w:style>
  <w:style w:type="character" w:customStyle="1" w:styleId="CABNETParagraphChar">
    <w:name w:val="CABNET Paragraph Char"/>
    <w:basedOn w:val="DefaultParagraphFont"/>
    <w:link w:val="CABNETParagraph"/>
    <w:rsid w:val="009646AE"/>
    <w:rPr>
      <w:rFonts w:ascii="Verdana" w:hAnsi="Verdana"/>
    </w:rPr>
  </w:style>
  <w:style w:type="character" w:styleId="Hyperlink">
    <w:name w:val="Hyperlink"/>
    <w:basedOn w:val="DefaultParagraphFont"/>
    <w:uiPriority w:val="99"/>
    <w:unhideWhenUsed/>
    <w:rsid w:val="009646AE"/>
    <w:rPr>
      <w:color w:val="0000FF" w:themeColor="hyperlink"/>
      <w:u w:val="single"/>
    </w:rPr>
  </w:style>
  <w:style w:type="paragraph" w:styleId="TOCHeading">
    <w:name w:val="TOC Heading"/>
    <w:basedOn w:val="Heading1"/>
    <w:next w:val="Normal"/>
    <w:uiPriority w:val="39"/>
    <w:unhideWhenUsed/>
    <w:qFormat/>
    <w:rsid w:val="009646AE"/>
    <w:pPr>
      <w:keepLines/>
      <w:spacing w:before="480" w:after="0" w:line="276" w:lineRule="auto"/>
      <w:jc w:val="left"/>
      <w:outlineLvl w:val="9"/>
    </w:pPr>
    <w:rPr>
      <w:rFonts w:asciiTheme="majorHAnsi" w:eastAsiaTheme="majorEastAsia" w:hAnsiTheme="majorHAnsi" w:cstheme="majorBidi"/>
      <w:bCs/>
      <w:color w:val="365F91" w:themeColor="accent1" w:themeShade="BF"/>
      <w:kern w:val="0"/>
      <w:szCs w:val="28"/>
      <w:u w:val="none"/>
      <w:lang w:val="en-US" w:eastAsia="ja-JP"/>
    </w:rPr>
  </w:style>
  <w:style w:type="paragraph" w:styleId="TOC1">
    <w:name w:val="toc 1"/>
    <w:basedOn w:val="Normal"/>
    <w:next w:val="Normal"/>
    <w:autoRedefine/>
    <w:uiPriority w:val="39"/>
    <w:unhideWhenUsed/>
    <w:rsid w:val="009646AE"/>
    <w:pPr>
      <w:spacing w:before="0" w:after="100" w:line="276"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rsid w:val="009646AE"/>
    <w:pPr>
      <w:spacing w:before="0" w:after="100" w:line="276" w:lineRule="auto"/>
      <w:ind w:left="220"/>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9646AE"/>
    <w:pPr>
      <w:spacing w:before="0" w:after="100" w:line="276" w:lineRule="auto"/>
      <w:ind w:left="440"/>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rsid w:val="0096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46AE"/>
    <w:pPr>
      <w:spacing w:before="240" w:after="240"/>
    </w:pPr>
    <w:rPr>
      <w:szCs w:val="24"/>
    </w:rPr>
  </w:style>
  <w:style w:type="paragraph" w:styleId="Header">
    <w:name w:val="header"/>
    <w:basedOn w:val="Normal"/>
    <w:link w:val="HeaderChar"/>
    <w:uiPriority w:val="99"/>
    <w:unhideWhenUsed/>
    <w:rsid w:val="009646AE"/>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646AE"/>
  </w:style>
  <w:style w:type="paragraph" w:styleId="Footer">
    <w:name w:val="footer"/>
    <w:basedOn w:val="Normal"/>
    <w:link w:val="FooterChar"/>
    <w:uiPriority w:val="99"/>
    <w:unhideWhenUsed/>
    <w:rsid w:val="009646AE"/>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646AE"/>
  </w:style>
  <w:style w:type="paragraph" w:styleId="EndnoteText">
    <w:name w:val="endnote text"/>
    <w:basedOn w:val="Normal"/>
    <w:link w:val="EndnoteTextChar"/>
    <w:uiPriority w:val="99"/>
    <w:semiHidden/>
    <w:unhideWhenUsed/>
    <w:rsid w:val="009646AE"/>
    <w:pPr>
      <w:spacing w:before="0" w:after="0"/>
    </w:pPr>
    <w:rPr>
      <w:sz w:val="20"/>
    </w:rPr>
  </w:style>
  <w:style w:type="character" w:customStyle="1" w:styleId="EndnoteTextChar">
    <w:name w:val="Endnote Text Char"/>
    <w:basedOn w:val="DefaultParagraphFont"/>
    <w:link w:val="EndnoteText"/>
    <w:uiPriority w:val="99"/>
    <w:semiHidden/>
    <w:rsid w:val="009646AE"/>
    <w:rPr>
      <w:rFonts w:ascii="Times New Roman" w:eastAsia="Times New Roman" w:hAnsi="Times New Roman" w:cs="Times New Roman"/>
      <w:sz w:val="20"/>
      <w:szCs w:val="20"/>
      <w:lang w:eastAsia="en-AU"/>
    </w:rPr>
  </w:style>
  <w:style w:type="paragraph" w:styleId="Caption">
    <w:name w:val="caption"/>
    <w:basedOn w:val="Normal"/>
    <w:next w:val="Normal"/>
    <w:uiPriority w:val="35"/>
    <w:semiHidden/>
    <w:unhideWhenUsed/>
    <w:qFormat/>
    <w:rsid w:val="009646AE"/>
    <w:pPr>
      <w:spacing w:before="0" w:after="200"/>
    </w:pPr>
    <w:rPr>
      <w:rFonts w:asciiTheme="minorHAnsi" w:eastAsiaTheme="minorHAnsi" w:hAnsiTheme="minorHAnsi" w:cstheme="minorBidi"/>
      <w:b/>
      <w:bCs/>
      <w:color w:val="4F81BD" w:themeColor="accent1"/>
      <w:sz w:val="18"/>
      <w:szCs w:val="18"/>
      <w:lang w:eastAsia="en-US"/>
    </w:rPr>
  </w:style>
  <w:style w:type="table" w:styleId="LightList-Accent1">
    <w:name w:val="Light List Accent 1"/>
    <w:basedOn w:val="TableNormal"/>
    <w:uiPriority w:val="61"/>
    <w:rsid w:val="009646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9646AE"/>
    <w:rPr>
      <w:sz w:val="16"/>
      <w:szCs w:val="16"/>
    </w:rPr>
  </w:style>
  <w:style w:type="paragraph" w:styleId="CommentSubject">
    <w:name w:val="annotation subject"/>
    <w:basedOn w:val="CommentText"/>
    <w:next w:val="CommentText"/>
    <w:link w:val="CommentSubjectChar"/>
    <w:uiPriority w:val="99"/>
    <w:semiHidden/>
    <w:unhideWhenUsed/>
    <w:rsid w:val="009646AE"/>
    <w:rPr>
      <w:rFonts w:eastAsiaTheme="minorHAnsi"/>
      <w:b/>
      <w:bCs/>
      <w:lang w:eastAsia="en-US"/>
    </w:rPr>
  </w:style>
  <w:style w:type="character" w:customStyle="1" w:styleId="CommentSubjectChar">
    <w:name w:val="Comment Subject Char"/>
    <w:basedOn w:val="CommentTextChar"/>
    <w:link w:val="CommentSubject"/>
    <w:uiPriority w:val="99"/>
    <w:semiHidden/>
    <w:rsid w:val="009646AE"/>
    <w:rPr>
      <w:rFonts w:eastAsiaTheme="minorEastAsia"/>
      <w:b/>
      <w:bCs/>
      <w:sz w:val="20"/>
      <w:szCs w:val="20"/>
      <w:lang w:eastAsia="en-AU"/>
    </w:rPr>
  </w:style>
  <w:style w:type="numbering" w:customStyle="1" w:styleId="ChapterList1">
    <w:name w:val="ChapterList1"/>
    <w:uiPriority w:val="99"/>
    <w:rsid w:val="009646AE"/>
  </w:style>
  <w:style w:type="paragraph" w:customStyle="1" w:styleId="FooterAddress">
    <w:name w:val="FooterAddress"/>
    <w:basedOn w:val="Normal"/>
    <w:next w:val="Normal"/>
    <w:link w:val="FooterAddressChar"/>
    <w:rsid w:val="009646AE"/>
    <w:pPr>
      <w:tabs>
        <w:tab w:val="center" w:pos="4820"/>
      </w:tabs>
      <w:spacing w:before="0" w:after="0"/>
    </w:pPr>
    <w:rPr>
      <w:rFonts w:ascii="Arial" w:hAnsi="Arial"/>
      <w:color w:val="FFFFFF"/>
      <w:sz w:val="16"/>
    </w:rPr>
  </w:style>
  <w:style w:type="character" w:customStyle="1" w:styleId="FooterAddressChar">
    <w:name w:val="FooterAddress Char"/>
    <w:basedOn w:val="DefaultParagraphFont"/>
    <w:link w:val="FooterAddress"/>
    <w:rsid w:val="009646AE"/>
    <w:rPr>
      <w:rFonts w:ascii="Arial" w:eastAsia="Times New Roman" w:hAnsi="Arial" w:cs="Times New Roman"/>
      <w:color w:val="FFFFFF"/>
      <w:sz w:val="1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91"/>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D00891"/>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9"/>
    <w:qFormat/>
    <w:rsid w:val="00D00891"/>
    <w:pPr>
      <w:keepNext/>
      <w:spacing w:before="240" w:after="60"/>
      <w:outlineLvl w:val="1"/>
    </w:pPr>
    <w:rPr>
      <w:b/>
      <w:sz w:val="28"/>
      <w:u w:val="single"/>
    </w:rPr>
  </w:style>
  <w:style w:type="paragraph" w:styleId="Heading3">
    <w:name w:val="heading 3"/>
    <w:basedOn w:val="Normal"/>
    <w:next w:val="Normal"/>
    <w:link w:val="Heading3Char"/>
    <w:uiPriority w:val="9"/>
    <w:unhideWhenUsed/>
    <w:qFormat/>
    <w:rsid w:val="000842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42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646AE"/>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qFormat/>
    <w:rsid w:val="009646AE"/>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91"/>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uiPriority w:val="9"/>
    <w:rsid w:val="00D00891"/>
    <w:rPr>
      <w:rFonts w:ascii="Times New Roman" w:eastAsia="Times New Roman" w:hAnsi="Times New Roman" w:cs="Times New Roman"/>
      <w:b/>
      <w:sz w:val="28"/>
      <w:szCs w:val="20"/>
      <w:u w:val="single"/>
      <w:lang w:eastAsia="en-AU"/>
    </w:rPr>
  </w:style>
  <w:style w:type="paragraph" w:customStyle="1" w:styleId="base-text-paragraph">
    <w:name w:val="base-text-paragraph"/>
    <w:link w:val="base-text-paragraphChar"/>
    <w:rsid w:val="00D00891"/>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customStyle="1" w:styleId="Bullet">
    <w:name w:val="Bullet"/>
    <w:aliases w:val="b"/>
    <w:basedOn w:val="Normal"/>
    <w:link w:val="BulletChar"/>
    <w:qFormat/>
    <w:rsid w:val="00D00891"/>
    <w:pPr>
      <w:numPr>
        <w:numId w:val="1"/>
      </w:numPr>
    </w:pPr>
  </w:style>
  <w:style w:type="character" w:customStyle="1" w:styleId="BulletChar">
    <w:name w:val="Bullet Char"/>
    <w:basedOn w:val="DefaultParagraphFont"/>
    <w:link w:val="Bullet"/>
    <w:rsid w:val="00D00891"/>
    <w:rPr>
      <w:rFonts w:ascii="Times New Roman" w:eastAsia="Times New Roman" w:hAnsi="Times New Roman" w:cs="Times New Roman"/>
      <w:sz w:val="24"/>
      <w:szCs w:val="20"/>
      <w:lang w:eastAsia="en-AU"/>
    </w:rPr>
  </w:style>
  <w:style w:type="paragraph" w:customStyle="1" w:styleId="Dash">
    <w:name w:val="Dash"/>
    <w:basedOn w:val="Normal"/>
    <w:link w:val="DashChar"/>
    <w:rsid w:val="00D00891"/>
    <w:pPr>
      <w:numPr>
        <w:ilvl w:val="1"/>
        <w:numId w:val="1"/>
      </w:numPr>
    </w:pPr>
  </w:style>
  <w:style w:type="character" w:customStyle="1" w:styleId="DashChar">
    <w:name w:val="Dash Char"/>
    <w:basedOn w:val="DefaultParagraphFont"/>
    <w:link w:val="Dash"/>
    <w:rsid w:val="00D00891"/>
    <w:rPr>
      <w:rFonts w:ascii="Times New Roman" w:eastAsia="Times New Roman" w:hAnsi="Times New Roman" w:cs="Times New Roman"/>
      <w:sz w:val="24"/>
      <w:szCs w:val="20"/>
      <w:lang w:eastAsia="en-AU"/>
    </w:rPr>
  </w:style>
  <w:style w:type="paragraph" w:customStyle="1" w:styleId="DoubleDot">
    <w:name w:val="Double Dot"/>
    <w:basedOn w:val="Normal"/>
    <w:link w:val="DoubleDotChar"/>
    <w:rsid w:val="00D00891"/>
    <w:pPr>
      <w:numPr>
        <w:ilvl w:val="2"/>
        <w:numId w:val="1"/>
      </w:numPr>
    </w:pPr>
  </w:style>
  <w:style w:type="character" w:customStyle="1" w:styleId="DoubleDotChar">
    <w:name w:val="Double Dot Char"/>
    <w:basedOn w:val="DefaultParagraphFont"/>
    <w:link w:val="DoubleDot"/>
    <w:rsid w:val="00D00891"/>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uiPriority w:val="9"/>
    <w:rsid w:val="00084214"/>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rsid w:val="00084214"/>
    <w:rPr>
      <w:rFonts w:asciiTheme="majorHAnsi" w:eastAsiaTheme="majorEastAsia" w:hAnsiTheme="majorHAnsi" w:cstheme="majorBidi"/>
      <w:b/>
      <w:bCs/>
      <w:i/>
      <w:iCs/>
      <w:color w:val="4F81BD" w:themeColor="accent1"/>
      <w:sz w:val="24"/>
      <w:szCs w:val="20"/>
      <w:lang w:eastAsia="en-AU"/>
    </w:rPr>
  </w:style>
  <w:style w:type="paragraph" w:customStyle="1" w:styleId="OutlineNumbered1">
    <w:name w:val="Outline Numbered 1"/>
    <w:basedOn w:val="Normal"/>
    <w:link w:val="OutlineNumbered1Char"/>
    <w:rsid w:val="007B2313"/>
    <w:pPr>
      <w:numPr>
        <w:numId w:val="2"/>
      </w:numPr>
    </w:pPr>
    <w:rPr>
      <w:sz w:val="22"/>
    </w:rPr>
  </w:style>
  <w:style w:type="character" w:customStyle="1" w:styleId="OutlineNumbered1Char">
    <w:name w:val="Outline Numbered 1 Char"/>
    <w:basedOn w:val="DefaultParagraphFont"/>
    <w:link w:val="OutlineNumbered1"/>
    <w:rsid w:val="007B2313"/>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7B2313"/>
    <w:pPr>
      <w:numPr>
        <w:ilvl w:val="1"/>
        <w:numId w:val="2"/>
      </w:numPr>
    </w:pPr>
    <w:rPr>
      <w:sz w:val="22"/>
    </w:rPr>
  </w:style>
  <w:style w:type="paragraph" w:customStyle="1" w:styleId="OutlineNumbered3">
    <w:name w:val="Outline Numbered 3"/>
    <w:basedOn w:val="Normal"/>
    <w:rsid w:val="007B2313"/>
    <w:pPr>
      <w:numPr>
        <w:ilvl w:val="2"/>
        <w:numId w:val="2"/>
      </w:numPr>
    </w:pPr>
    <w:rPr>
      <w:sz w:val="22"/>
    </w:rPr>
  </w:style>
  <w:style w:type="paragraph" w:styleId="BalloonText">
    <w:name w:val="Balloon Text"/>
    <w:basedOn w:val="Normal"/>
    <w:link w:val="BalloonTextChar"/>
    <w:uiPriority w:val="99"/>
    <w:semiHidden/>
    <w:unhideWhenUsed/>
    <w:rsid w:val="00FE10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45"/>
    <w:rPr>
      <w:rFonts w:ascii="Tahoma" w:eastAsia="Times New Roman" w:hAnsi="Tahoma" w:cs="Tahoma"/>
      <w:sz w:val="16"/>
      <w:szCs w:val="16"/>
      <w:lang w:eastAsia="en-AU"/>
    </w:rPr>
  </w:style>
  <w:style w:type="paragraph" w:customStyle="1" w:styleId="ChapterHeading">
    <w:name w:val="Chapter Heading"/>
    <w:next w:val="Heading2"/>
    <w:rsid w:val="0082403D"/>
    <w:pPr>
      <w:pBdr>
        <w:top w:val="single" w:sz="4" w:space="1" w:color="auto"/>
        <w:bottom w:val="single" w:sz="4" w:space="1" w:color="auto"/>
      </w:pBdr>
      <w:tabs>
        <w:tab w:val="num"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82403D"/>
    <w:pPr>
      <w:keepLines w:val="0"/>
      <w:tabs>
        <w:tab w:val="num" w:pos="360"/>
      </w:tabs>
      <w:spacing w:before="120" w:after="120"/>
      <w:ind w:left="1134"/>
    </w:pPr>
    <w:rPr>
      <w:rFonts w:ascii="Times New Roman" w:eastAsia="Times New Roman" w:hAnsi="Times New Roman" w:cs="Times New Roman"/>
      <w:bCs w:val="0"/>
      <w:i w:val="0"/>
      <w:iCs w:val="0"/>
      <w:color w:val="auto"/>
      <w:sz w:val="22"/>
    </w:rPr>
  </w:style>
  <w:style w:type="paragraph" w:customStyle="1" w:styleId="base-text-paragraphnonumbers">
    <w:name w:val="base-text-paragraph no numbers"/>
    <w:basedOn w:val="Normal"/>
    <w:rsid w:val="0082403D"/>
    <w:pPr>
      <w:ind w:left="1134"/>
    </w:pPr>
    <w:rPr>
      <w:sz w:val="22"/>
    </w:rPr>
  </w:style>
  <w:style w:type="paragraph" w:customStyle="1" w:styleId="ExampleHeading">
    <w:name w:val="Example Heading"/>
    <w:basedOn w:val="Normal"/>
    <w:next w:val="Normal"/>
    <w:rsid w:val="0082403D"/>
    <w:pPr>
      <w:keepNext/>
      <w:ind w:left="1134"/>
    </w:pPr>
    <w:rPr>
      <w:b/>
      <w:sz w:val="22"/>
    </w:rPr>
  </w:style>
  <w:style w:type="paragraph" w:customStyle="1" w:styleId="Diagram">
    <w:name w:val="Diagram"/>
    <w:basedOn w:val="Normal"/>
    <w:next w:val="base-text-paragraphnonumbers"/>
    <w:rsid w:val="0082403D"/>
    <w:pPr>
      <w:keepNext/>
      <w:spacing w:before="0" w:after="0"/>
      <w:ind w:left="1134"/>
    </w:pPr>
    <w:rPr>
      <w:b/>
      <w:sz w:val="22"/>
    </w:rPr>
  </w:style>
  <w:style w:type="paragraph" w:customStyle="1" w:styleId="dotpoint">
    <w:name w:val="dot point"/>
    <w:basedOn w:val="Normal"/>
    <w:rsid w:val="0082403D"/>
    <w:pPr>
      <w:numPr>
        <w:numId w:val="10"/>
      </w:numPr>
    </w:pPr>
    <w:rPr>
      <w:sz w:val="22"/>
    </w:rPr>
  </w:style>
  <w:style w:type="paragraph" w:customStyle="1" w:styleId="dotpoint2">
    <w:name w:val="dot point 2"/>
    <w:basedOn w:val="Normal"/>
    <w:rsid w:val="0082403D"/>
    <w:pPr>
      <w:numPr>
        <w:ilvl w:val="1"/>
        <w:numId w:val="10"/>
      </w:numPr>
    </w:pPr>
    <w:rPr>
      <w:sz w:val="22"/>
    </w:rPr>
  </w:style>
  <w:style w:type="character" w:customStyle="1" w:styleId="BoldItalic">
    <w:name w:val="BoldItalic"/>
    <w:basedOn w:val="DefaultParagraphFont"/>
    <w:rsid w:val="0082403D"/>
    <w:rPr>
      <w:b/>
      <w:i/>
    </w:rPr>
  </w:style>
  <w:style w:type="character" w:customStyle="1" w:styleId="base-text-paragraphChar">
    <w:name w:val="base-text-paragraph Char"/>
    <w:basedOn w:val="DefaultParagraphFont"/>
    <w:link w:val="base-text-paragraph"/>
    <w:rsid w:val="0082403D"/>
    <w:rPr>
      <w:rFonts w:ascii="Times New Roman" w:eastAsia="Times New Roman" w:hAnsi="Times New Roman" w:cs="Times New Roman"/>
      <w:sz w:val="24"/>
      <w:szCs w:val="20"/>
      <w:lang w:eastAsia="en-AU"/>
    </w:rPr>
  </w:style>
  <w:style w:type="numbering" w:customStyle="1" w:styleId="ChapterList">
    <w:name w:val="ChapterList"/>
    <w:uiPriority w:val="99"/>
    <w:rsid w:val="002E4A35"/>
    <w:pPr>
      <w:numPr>
        <w:numId w:val="9"/>
      </w:numPr>
    </w:pPr>
  </w:style>
  <w:style w:type="numbering" w:customStyle="1" w:styleId="DotPointList">
    <w:name w:val="Dot Point List"/>
    <w:uiPriority w:val="99"/>
    <w:rsid w:val="002E4A35"/>
    <w:pPr>
      <w:numPr>
        <w:numId w:val="10"/>
      </w:numPr>
    </w:pPr>
  </w:style>
  <w:style w:type="character" w:customStyle="1" w:styleId="Heading5Char">
    <w:name w:val="Heading 5 Char"/>
    <w:basedOn w:val="DefaultParagraphFont"/>
    <w:link w:val="Heading5"/>
    <w:uiPriority w:val="9"/>
    <w:rsid w:val="009646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646AE"/>
    <w:rPr>
      <w:rFonts w:asciiTheme="majorHAnsi" w:eastAsiaTheme="majorEastAsia" w:hAnsiTheme="majorHAnsi" w:cstheme="majorBidi"/>
      <w:i/>
      <w:iCs/>
      <w:color w:val="243F60" w:themeColor="accent1" w:themeShade="7F"/>
    </w:rPr>
  </w:style>
  <w:style w:type="numbering" w:customStyle="1" w:styleId="NoList1">
    <w:name w:val="No List1"/>
    <w:next w:val="NoList"/>
    <w:uiPriority w:val="99"/>
    <w:semiHidden/>
    <w:unhideWhenUsed/>
    <w:rsid w:val="009646AE"/>
  </w:style>
  <w:style w:type="paragraph" w:styleId="FootnoteText">
    <w:name w:val="footnote text"/>
    <w:aliases w:val="Car"/>
    <w:basedOn w:val="Normal"/>
    <w:link w:val="FootnoteTextChar"/>
    <w:rsid w:val="009646AE"/>
    <w:pPr>
      <w:tabs>
        <w:tab w:val="left" w:pos="284"/>
      </w:tabs>
      <w:spacing w:before="0" w:after="240" w:line="260" w:lineRule="exact"/>
      <w:jc w:val="both"/>
    </w:pPr>
    <w:rPr>
      <w:rFonts w:ascii="Book Antiqua" w:hAnsi="Book Antiqua"/>
      <w:color w:val="000000"/>
      <w:sz w:val="18"/>
    </w:rPr>
  </w:style>
  <w:style w:type="character" w:customStyle="1" w:styleId="FootnoteTextChar">
    <w:name w:val="Footnote Text Char"/>
    <w:aliases w:val="Car Char"/>
    <w:basedOn w:val="DefaultParagraphFont"/>
    <w:link w:val="FootnoteText"/>
    <w:rsid w:val="009646AE"/>
    <w:rPr>
      <w:rFonts w:ascii="Book Antiqua" w:eastAsia="Times New Roman" w:hAnsi="Book Antiqua" w:cs="Times New Roman"/>
      <w:color w:val="000000"/>
      <w:sz w:val="18"/>
      <w:szCs w:val="20"/>
      <w:lang w:eastAsia="en-AU"/>
    </w:rPr>
  </w:style>
  <w:style w:type="character" w:styleId="FootnoteReference">
    <w:name w:val="footnote reference"/>
    <w:basedOn w:val="DefaultParagraphFont"/>
    <w:rsid w:val="009646AE"/>
    <w:rPr>
      <w:vertAlign w:val="superscript"/>
    </w:rPr>
  </w:style>
  <w:style w:type="character" w:customStyle="1" w:styleId="OutlineNumbered2Char">
    <w:name w:val="Outline Numbered 2 Char"/>
    <w:basedOn w:val="DefaultParagraphFont"/>
    <w:link w:val="OutlineNumbered2"/>
    <w:rsid w:val="009646AE"/>
    <w:rPr>
      <w:rFonts w:ascii="Times New Roman" w:eastAsia="Times New Roman" w:hAnsi="Times New Roman" w:cs="Times New Roman"/>
      <w:szCs w:val="20"/>
      <w:lang w:eastAsia="en-AU"/>
    </w:rPr>
  </w:style>
  <w:style w:type="table" w:styleId="TableGrid">
    <w:name w:val="Table Grid"/>
    <w:basedOn w:val="TableNormal"/>
    <w:rsid w:val="0096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6AE"/>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646AE"/>
    <w:rPr>
      <w:i/>
      <w:iCs/>
    </w:rPr>
  </w:style>
  <w:style w:type="character" w:styleId="Strong">
    <w:name w:val="Strong"/>
    <w:basedOn w:val="DefaultParagraphFont"/>
    <w:uiPriority w:val="22"/>
    <w:qFormat/>
    <w:rsid w:val="009646AE"/>
    <w:rPr>
      <w:b/>
      <w:bCs/>
    </w:rPr>
  </w:style>
  <w:style w:type="paragraph" w:styleId="CommentText">
    <w:name w:val="annotation text"/>
    <w:basedOn w:val="Normal"/>
    <w:link w:val="CommentTextChar"/>
    <w:uiPriority w:val="99"/>
    <w:unhideWhenUsed/>
    <w:rsid w:val="009646AE"/>
    <w:pPr>
      <w:spacing w:before="0"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9646AE"/>
    <w:rPr>
      <w:rFonts w:eastAsiaTheme="minorEastAsia"/>
      <w:sz w:val="20"/>
      <w:szCs w:val="20"/>
      <w:lang w:eastAsia="en-AU"/>
    </w:rPr>
  </w:style>
  <w:style w:type="paragraph" w:styleId="ListParagraph">
    <w:name w:val="List Paragraph"/>
    <w:basedOn w:val="Normal"/>
    <w:uiPriority w:val="34"/>
    <w:qFormat/>
    <w:rsid w:val="009646AE"/>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EnvelopeAddress">
    <w:name w:val="envelope address"/>
    <w:basedOn w:val="Normal"/>
    <w:rsid w:val="009646AE"/>
    <w:pPr>
      <w:framePr w:w="7920" w:h="1980" w:hRule="exact" w:hSpace="180" w:wrap="auto" w:hAnchor="page" w:xAlign="center" w:yAlign="bottom"/>
      <w:spacing w:before="0" w:after="0"/>
      <w:ind w:left="2880"/>
    </w:pPr>
  </w:style>
  <w:style w:type="character" w:styleId="EndnoteReference">
    <w:name w:val="endnote reference"/>
    <w:basedOn w:val="DefaultParagraphFont"/>
    <w:uiPriority w:val="99"/>
    <w:semiHidden/>
    <w:unhideWhenUsed/>
    <w:rsid w:val="009646AE"/>
    <w:rPr>
      <w:vertAlign w:val="superscript"/>
    </w:rPr>
  </w:style>
  <w:style w:type="paragraph" w:styleId="NoSpacing">
    <w:name w:val="No Spacing"/>
    <w:uiPriority w:val="1"/>
    <w:qFormat/>
    <w:rsid w:val="009646AE"/>
    <w:pPr>
      <w:spacing w:after="0" w:line="240" w:lineRule="auto"/>
    </w:pPr>
    <w:rPr>
      <w:rFonts w:eastAsiaTheme="minorEastAsia"/>
      <w:lang w:eastAsia="en-AU"/>
    </w:rPr>
  </w:style>
  <w:style w:type="paragraph" w:customStyle="1" w:styleId="CABNETParagraph">
    <w:name w:val="CABNET Paragraph"/>
    <w:basedOn w:val="Normal"/>
    <w:link w:val="CABNETParagraphChar"/>
    <w:qFormat/>
    <w:rsid w:val="009646AE"/>
    <w:rPr>
      <w:rFonts w:ascii="Verdana" w:eastAsiaTheme="minorHAnsi" w:hAnsi="Verdana" w:cstheme="minorBidi"/>
      <w:sz w:val="22"/>
      <w:szCs w:val="22"/>
      <w:lang w:eastAsia="en-US"/>
    </w:rPr>
  </w:style>
  <w:style w:type="character" w:customStyle="1" w:styleId="CABNETParagraphChar">
    <w:name w:val="CABNET Paragraph Char"/>
    <w:basedOn w:val="DefaultParagraphFont"/>
    <w:link w:val="CABNETParagraph"/>
    <w:rsid w:val="009646AE"/>
    <w:rPr>
      <w:rFonts w:ascii="Verdana" w:hAnsi="Verdana"/>
    </w:rPr>
  </w:style>
  <w:style w:type="character" w:styleId="Hyperlink">
    <w:name w:val="Hyperlink"/>
    <w:basedOn w:val="DefaultParagraphFont"/>
    <w:uiPriority w:val="99"/>
    <w:unhideWhenUsed/>
    <w:rsid w:val="009646AE"/>
    <w:rPr>
      <w:color w:val="0000FF" w:themeColor="hyperlink"/>
      <w:u w:val="single"/>
    </w:rPr>
  </w:style>
  <w:style w:type="paragraph" w:styleId="TOCHeading">
    <w:name w:val="TOC Heading"/>
    <w:basedOn w:val="Heading1"/>
    <w:next w:val="Normal"/>
    <w:uiPriority w:val="39"/>
    <w:unhideWhenUsed/>
    <w:qFormat/>
    <w:rsid w:val="009646AE"/>
    <w:pPr>
      <w:keepLines/>
      <w:spacing w:before="480" w:after="0" w:line="276" w:lineRule="auto"/>
      <w:jc w:val="left"/>
      <w:outlineLvl w:val="9"/>
    </w:pPr>
    <w:rPr>
      <w:rFonts w:asciiTheme="majorHAnsi" w:eastAsiaTheme="majorEastAsia" w:hAnsiTheme="majorHAnsi" w:cstheme="majorBidi"/>
      <w:bCs/>
      <w:color w:val="365F91" w:themeColor="accent1" w:themeShade="BF"/>
      <w:kern w:val="0"/>
      <w:szCs w:val="28"/>
      <w:u w:val="none"/>
      <w:lang w:val="en-US" w:eastAsia="ja-JP"/>
    </w:rPr>
  </w:style>
  <w:style w:type="paragraph" w:styleId="TOC1">
    <w:name w:val="toc 1"/>
    <w:basedOn w:val="Normal"/>
    <w:next w:val="Normal"/>
    <w:autoRedefine/>
    <w:uiPriority w:val="39"/>
    <w:unhideWhenUsed/>
    <w:rsid w:val="009646AE"/>
    <w:pPr>
      <w:spacing w:before="0" w:after="100" w:line="276"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rsid w:val="009646AE"/>
    <w:pPr>
      <w:spacing w:before="0" w:after="100" w:line="276" w:lineRule="auto"/>
      <w:ind w:left="220"/>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9646AE"/>
    <w:pPr>
      <w:spacing w:before="0" w:after="100" w:line="276" w:lineRule="auto"/>
      <w:ind w:left="440"/>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rsid w:val="0096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46AE"/>
    <w:pPr>
      <w:spacing w:before="240" w:after="240"/>
    </w:pPr>
    <w:rPr>
      <w:szCs w:val="24"/>
    </w:rPr>
  </w:style>
  <w:style w:type="paragraph" w:styleId="Header">
    <w:name w:val="header"/>
    <w:basedOn w:val="Normal"/>
    <w:link w:val="HeaderChar"/>
    <w:uiPriority w:val="99"/>
    <w:unhideWhenUsed/>
    <w:rsid w:val="009646AE"/>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646AE"/>
  </w:style>
  <w:style w:type="paragraph" w:styleId="Footer">
    <w:name w:val="footer"/>
    <w:basedOn w:val="Normal"/>
    <w:link w:val="FooterChar"/>
    <w:uiPriority w:val="99"/>
    <w:unhideWhenUsed/>
    <w:rsid w:val="009646AE"/>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646AE"/>
  </w:style>
  <w:style w:type="paragraph" w:styleId="EndnoteText">
    <w:name w:val="endnote text"/>
    <w:basedOn w:val="Normal"/>
    <w:link w:val="EndnoteTextChar"/>
    <w:uiPriority w:val="99"/>
    <w:semiHidden/>
    <w:unhideWhenUsed/>
    <w:rsid w:val="009646AE"/>
    <w:pPr>
      <w:spacing w:before="0" w:after="0"/>
    </w:pPr>
    <w:rPr>
      <w:sz w:val="20"/>
    </w:rPr>
  </w:style>
  <w:style w:type="character" w:customStyle="1" w:styleId="EndnoteTextChar">
    <w:name w:val="Endnote Text Char"/>
    <w:basedOn w:val="DefaultParagraphFont"/>
    <w:link w:val="EndnoteText"/>
    <w:uiPriority w:val="99"/>
    <w:semiHidden/>
    <w:rsid w:val="009646AE"/>
    <w:rPr>
      <w:rFonts w:ascii="Times New Roman" w:eastAsia="Times New Roman" w:hAnsi="Times New Roman" w:cs="Times New Roman"/>
      <w:sz w:val="20"/>
      <w:szCs w:val="20"/>
      <w:lang w:eastAsia="en-AU"/>
    </w:rPr>
  </w:style>
  <w:style w:type="paragraph" w:styleId="Caption">
    <w:name w:val="caption"/>
    <w:basedOn w:val="Normal"/>
    <w:next w:val="Normal"/>
    <w:uiPriority w:val="35"/>
    <w:semiHidden/>
    <w:unhideWhenUsed/>
    <w:qFormat/>
    <w:rsid w:val="009646AE"/>
    <w:pPr>
      <w:spacing w:before="0" w:after="200"/>
    </w:pPr>
    <w:rPr>
      <w:rFonts w:asciiTheme="minorHAnsi" w:eastAsiaTheme="minorHAnsi" w:hAnsiTheme="minorHAnsi" w:cstheme="minorBidi"/>
      <w:b/>
      <w:bCs/>
      <w:color w:val="4F81BD" w:themeColor="accent1"/>
      <w:sz w:val="18"/>
      <w:szCs w:val="18"/>
      <w:lang w:eastAsia="en-US"/>
    </w:rPr>
  </w:style>
  <w:style w:type="table" w:styleId="LightList-Accent1">
    <w:name w:val="Light List Accent 1"/>
    <w:basedOn w:val="TableNormal"/>
    <w:uiPriority w:val="61"/>
    <w:rsid w:val="009646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9646AE"/>
    <w:rPr>
      <w:sz w:val="16"/>
      <w:szCs w:val="16"/>
    </w:rPr>
  </w:style>
  <w:style w:type="paragraph" w:styleId="CommentSubject">
    <w:name w:val="annotation subject"/>
    <w:basedOn w:val="CommentText"/>
    <w:next w:val="CommentText"/>
    <w:link w:val="CommentSubjectChar"/>
    <w:uiPriority w:val="99"/>
    <w:semiHidden/>
    <w:unhideWhenUsed/>
    <w:rsid w:val="009646AE"/>
    <w:rPr>
      <w:rFonts w:eastAsiaTheme="minorHAnsi"/>
      <w:b/>
      <w:bCs/>
      <w:lang w:eastAsia="en-US"/>
    </w:rPr>
  </w:style>
  <w:style w:type="character" w:customStyle="1" w:styleId="CommentSubjectChar">
    <w:name w:val="Comment Subject Char"/>
    <w:basedOn w:val="CommentTextChar"/>
    <w:link w:val="CommentSubject"/>
    <w:uiPriority w:val="99"/>
    <w:semiHidden/>
    <w:rsid w:val="009646AE"/>
    <w:rPr>
      <w:rFonts w:eastAsiaTheme="minorEastAsia"/>
      <w:b/>
      <w:bCs/>
      <w:sz w:val="20"/>
      <w:szCs w:val="20"/>
      <w:lang w:eastAsia="en-AU"/>
    </w:rPr>
  </w:style>
  <w:style w:type="numbering" w:customStyle="1" w:styleId="ChapterList1">
    <w:name w:val="ChapterList1"/>
    <w:uiPriority w:val="99"/>
    <w:rsid w:val="009646AE"/>
  </w:style>
  <w:style w:type="paragraph" w:customStyle="1" w:styleId="FooterAddress">
    <w:name w:val="FooterAddress"/>
    <w:basedOn w:val="Normal"/>
    <w:next w:val="Normal"/>
    <w:link w:val="FooterAddressChar"/>
    <w:rsid w:val="009646AE"/>
    <w:pPr>
      <w:tabs>
        <w:tab w:val="center" w:pos="4820"/>
      </w:tabs>
      <w:spacing w:before="0" w:after="0"/>
    </w:pPr>
    <w:rPr>
      <w:rFonts w:ascii="Arial" w:hAnsi="Arial"/>
      <w:color w:val="FFFFFF"/>
      <w:sz w:val="16"/>
    </w:rPr>
  </w:style>
  <w:style w:type="character" w:customStyle="1" w:styleId="FooterAddressChar">
    <w:name w:val="FooterAddress Char"/>
    <w:basedOn w:val="DefaultParagraphFont"/>
    <w:link w:val="FooterAddress"/>
    <w:rsid w:val="009646AE"/>
    <w:rPr>
      <w:rFonts w:ascii="Arial" w:eastAsia="Times New Roman" w:hAnsi="Arial" w:cs="Times New Roman"/>
      <w:color w:val="FFFFFF"/>
      <w:sz w:val="1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2016RG-111-6543</_dlc_DocId>
    <_dlc_DocIdUrl xmlns="9f7bc583-7cbe-45b9-a2bd-8bbb6543b37e">
      <Url>http://tweb/sites/rg/ldp/lmu/_layouts/15/DocIdRedir.aspx?ID=2016RG-111-6543</Url>
      <Description>2016RG-111-6543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8FCADBD2-97C1-43FA-AC0E-E7F1EF7299DB}"/>
</file>

<file path=customXml/itemProps2.xml><?xml version="1.0" encoding="utf-8"?>
<ds:datastoreItem xmlns:ds="http://schemas.openxmlformats.org/officeDocument/2006/customXml" ds:itemID="{21EEA316-CDDC-4E32-8F71-9E4609285EE3}"/>
</file>

<file path=customXml/itemProps3.xml><?xml version="1.0" encoding="utf-8"?>
<ds:datastoreItem xmlns:ds="http://schemas.openxmlformats.org/officeDocument/2006/customXml" ds:itemID="{D81D5C33-BF0B-4DA6-8286-99868A1E02E7}"/>
</file>

<file path=customXml/itemProps4.xml><?xml version="1.0" encoding="utf-8"?>
<ds:datastoreItem xmlns:ds="http://schemas.openxmlformats.org/officeDocument/2006/customXml" ds:itemID="{A5014F54-A294-4E2F-A1D8-99BFC54E63A8}"/>
</file>

<file path=customXml/itemProps5.xml><?xml version="1.0" encoding="utf-8"?>
<ds:datastoreItem xmlns:ds="http://schemas.openxmlformats.org/officeDocument/2006/customXml" ds:itemID="{1B8861F6-257D-4781-A8C0-994C7C343925}"/>
</file>

<file path=docProps/app.xml><?xml version="1.0" encoding="utf-8"?>
<Properties xmlns="http://schemas.openxmlformats.org/officeDocument/2006/extended-properties" xmlns:vt="http://schemas.openxmlformats.org/officeDocument/2006/docPropsVTypes">
  <Template>Normal.dotm</Template>
  <TotalTime>1</TotalTime>
  <Pages>14</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Jenkinson, Aaron</dc:creator>
  <cp:lastModifiedBy>Anderson, Sharon</cp:lastModifiedBy>
  <cp:revision>2</cp:revision>
  <dcterms:created xsi:type="dcterms:W3CDTF">2016-11-29T01:29:00Z</dcterms:created>
  <dcterms:modified xsi:type="dcterms:W3CDTF">2016-11-29T01:29:00Z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11;#TSY RA-9237 - Destroy 5 years after action completed|9f1a030e-81bf-44c5-98eb-4d5d869a40d5</vt:lpwstr>
  </property>
  <property fmtid="{D5CDD505-2E9C-101B-9397-08002B2CF9AE}" pid="4" name="_dlc_DocIdItemGuid">
    <vt:lpwstr>4992d447-0ab5-49ea-ac75-95cd5722d09b</vt:lpwstr>
  </property>
  <property fmtid="{D5CDD505-2E9C-101B-9397-08002B2CF9AE}" pid="5" name="_AdHocReviewCycleID">
    <vt:i4>1660639891</vt:i4>
  </property>
  <property fmtid="{D5CDD505-2E9C-101B-9397-08002B2CF9AE}" pid="6" name="_NewReviewCycle">
    <vt:lpwstr/>
  </property>
  <property fmtid="{D5CDD505-2E9C-101B-9397-08002B2CF9AE}" pid="7" name="_EmailSubject">
    <vt:lpwstr>RE: Compare verson - Corporations and other legislation regulations [DLM=For-Official-Use-Only]</vt:lpwstr>
  </property>
  <property fmtid="{D5CDD505-2E9C-101B-9397-08002B2CF9AE}" pid="8" name="_AuthorEmail">
    <vt:lpwstr>Aaron.Jenkinson@TREASURY.GOV.AU</vt:lpwstr>
  </property>
  <property fmtid="{D5CDD505-2E9C-101B-9397-08002B2CF9AE}" pid="9" name="_AuthorEmailDisplayName">
    <vt:lpwstr>Jenkinson, Aaron</vt:lpwstr>
  </property>
  <property fmtid="{D5CDD505-2E9C-101B-9397-08002B2CF9AE}" pid="10" name="RecordPoint_WorkflowType">
    <vt:lpwstr>ActiveSubmitStub</vt:lpwstr>
  </property>
  <property fmtid="{D5CDD505-2E9C-101B-9397-08002B2CF9AE}" pid="11" name="RecordPoint_ActiveItemListId">
    <vt:lpwstr>{1a010be9-83b3-4740-abb7-452f2d1120fe}</vt:lpwstr>
  </property>
  <property fmtid="{D5CDD505-2E9C-101B-9397-08002B2CF9AE}" pid="12" name="RecordPoint_ActiveItemUniqueId">
    <vt:lpwstr>{4992d447-0ab5-49ea-ac75-95cd5722d09b}</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RecordNumberSubmitted">
    <vt:lpwstr>R0001161431</vt:lpwstr>
  </property>
  <property fmtid="{D5CDD505-2E9C-101B-9397-08002B2CF9AE}" pid="16" name="RecordPoint_SubmissionCompleted">
    <vt:lpwstr>2016-11-29T12:33:07.1812730+11:00</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1565202565</vt:i4>
  </property>
  <property fmtid="{D5CDD505-2E9C-101B-9397-08002B2CF9AE}" pid="21" name="_ReviewingToolsShownOnce">
    <vt:lpwstr/>
  </property>
</Properties>
</file>