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73967" w14:textId="77777777" w:rsidR="00696579" w:rsidRPr="00621EFF" w:rsidRDefault="00696579" w:rsidP="00696579">
      <w:r w:rsidRPr="00621EFF">
        <w:rPr>
          <w:noProof/>
          <w:lang w:eastAsia="en-AU"/>
        </w:rPr>
        <w:drawing>
          <wp:inline distT="0" distB="0" distL="0" distR="0" wp14:anchorId="357D8B26" wp14:editId="2C50039A">
            <wp:extent cx="1419225" cy="1104900"/>
            <wp:effectExtent l="0" t="0" r="9525" b="0"/>
            <wp:docPr id="25" name="Picture 2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F420DC5" w14:textId="77777777" w:rsidR="00696579" w:rsidRPr="00621EFF" w:rsidRDefault="00696579" w:rsidP="00696579"/>
    <w:p w14:paraId="141700E2" w14:textId="77777777" w:rsidR="00696579" w:rsidRPr="00621EFF" w:rsidRDefault="00696579" w:rsidP="00696579">
      <w:pPr>
        <w:pStyle w:val="ShortT"/>
      </w:pPr>
      <w:proofErr w:type="spellStart"/>
      <w:r w:rsidRPr="00621EFF">
        <w:t>Radiocommunications</w:t>
      </w:r>
      <w:proofErr w:type="spellEnd"/>
      <w:r w:rsidRPr="00621EFF">
        <w:t xml:space="preserve"> (Spectrum Licence Allocation—Residual 700 MHz </w:t>
      </w:r>
      <w:r>
        <w:t>Spectrum</w:t>
      </w:r>
      <w:r w:rsidRPr="00621EFF">
        <w:t>) Direction 2016</w:t>
      </w:r>
    </w:p>
    <w:p w14:paraId="51898810" w14:textId="77777777" w:rsidR="00696579" w:rsidRPr="00621EFF" w:rsidRDefault="00696579" w:rsidP="00696579"/>
    <w:p w14:paraId="24359CDD" w14:textId="77777777" w:rsidR="00696579" w:rsidRPr="00621EFF" w:rsidRDefault="00696579" w:rsidP="00696579">
      <w:pPr>
        <w:rPr>
          <w:i/>
          <w:sz w:val="28"/>
          <w:szCs w:val="26"/>
        </w:rPr>
      </w:pPr>
      <w:r w:rsidRPr="00621EFF">
        <w:rPr>
          <w:i/>
          <w:sz w:val="28"/>
          <w:szCs w:val="26"/>
        </w:rPr>
        <w:t>Australian Communications and Media Authority Act 2005</w:t>
      </w:r>
    </w:p>
    <w:p w14:paraId="37CF95F7" w14:textId="77777777" w:rsidR="00696579" w:rsidRPr="00621EFF" w:rsidRDefault="00696579" w:rsidP="00696579">
      <w:pPr>
        <w:rPr>
          <w:i/>
          <w:sz w:val="28"/>
          <w:szCs w:val="26"/>
        </w:rPr>
      </w:pPr>
      <w:proofErr w:type="spellStart"/>
      <w:r w:rsidRPr="00621EFF">
        <w:rPr>
          <w:i/>
          <w:sz w:val="28"/>
          <w:szCs w:val="26"/>
        </w:rPr>
        <w:t>Radiocommunications</w:t>
      </w:r>
      <w:proofErr w:type="spellEnd"/>
      <w:r w:rsidRPr="00621EFF">
        <w:rPr>
          <w:i/>
          <w:sz w:val="28"/>
          <w:szCs w:val="26"/>
        </w:rPr>
        <w:t xml:space="preserve"> Act 1992</w:t>
      </w:r>
    </w:p>
    <w:p w14:paraId="31B8E9BE" w14:textId="77777777" w:rsidR="00696579" w:rsidRPr="00621EFF" w:rsidRDefault="00696579" w:rsidP="00696579"/>
    <w:p w14:paraId="1DEBDCAA" w14:textId="77777777" w:rsidR="00696579" w:rsidRPr="00621EFF" w:rsidRDefault="00696579" w:rsidP="00696579"/>
    <w:p w14:paraId="7C7D39E6" w14:textId="77777777" w:rsidR="00696579" w:rsidRPr="00621EFF" w:rsidRDefault="00696579" w:rsidP="00696579">
      <w:pPr>
        <w:pStyle w:val="SignCoverPageStart"/>
        <w:spacing w:before="240"/>
      </w:pPr>
      <w:r w:rsidRPr="00621EFF">
        <w:t>I, MITCH FIFIELD, Minister for Communications, give the following direction.</w:t>
      </w:r>
    </w:p>
    <w:p w14:paraId="6B232C15" w14:textId="624D34A5" w:rsidR="00696579" w:rsidRPr="00621EFF" w:rsidRDefault="00696579" w:rsidP="00696579">
      <w:pPr>
        <w:keepNext/>
        <w:spacing w:before="720" w:line="240" w:lineRule="atLeast"/>
        <w:ind w:right="397"/>
        <w:jc w:val="both"/>
        <w:rPr>
          <w:sz w:val="24"/>
          <w:szCs w:val="24"/>
        </w:rPr>
      </w:pPr>
      <w:r w:rsidRPr="00621EFF">
        <w:rPr>
          <w:sz w:val="24"/>
          <w:szCs w:val="24"/>
        </w:rPr>
        <w:t xml:space="preserve">Dated </w:t>
      </w:r>
      <w:bookmarkStart w:id="0" w:name="BKCheck15B_2"/>
      <w:bookmarkEnd w:id="0"/>
      <w:r w:rsidR="000765C8">
        <w:rPr>
          <w:sz w:val="24"/>
          <w:szCs w:val="24"/>
        </w:rPr>
        <w:t xml:space="preserve"> 11 December 2016</w:t>
      </w:r>
      <w:bookmarkStart w:id="1" w:name="_GoBack"/>
      <w:bookmarkEnd w:id="1"/>
    </w:p>
    <w:p w14:paraId="3F5F0176" w14:textId="77777777" w:rsidR="00696579" w:rsidRPr="00621EFF" w:rsidRDefault="00696579" w:rsidP="00696579">
      <w:pPr>
        <w:keepNext/>
        <w:tabs>
          <w:tab w:val="left" w:pos="3402"/>
        </w:tabs>
        <w:spacing w:before="960" w:line="300" w:lineRule="atLeast"/>
        <w:ind w:right="397"/>
        <w:rPr>
          <w:szCs w:val="22"/>
        </w:rPr>
      </w:pPr>
      <w:r w:rsidRPr="00621EFF">
        <w:rPr>
          <w:szCs w:val="22"/>
        </w:rPr>
        <w:t>MITCH FIFIELD</w:t>
      </w:r>
    </w:p>
    <w:p w14:paraId="3AC7F1FF" w14:textId="77777777" w:rsidR="00696579" w:rsidRPr="00621EFF" w:rsidRDefault="00696579" w:rsidP="00696579">
      <w:pPr>
        <w:pStyle w:val="SignCoverPageEnd"/>
      </w:pPr>
      <w:r w:rsidRPr="00621EFF">
        <w:t>Minister for Communications</w:t>
      </w:r>
    </w:p>
    <w:p w14:paraId="239B8D38" w14:textId="77777777" w:rsidR="00696579" w:rsidRPr="00621EFF" w:rsidRDefault="00696579" w:rsidP="00696579">
      <w:pPr>
        <w:pStyle w:val="Header"/>
        <w:keepNext w:val="0"/>
        <w:tabs>
          <w:tab w:val="clear" w:pos="4150"/>
          <w:tab w:val="clear" w:pos="8307"/>
        </w:tabs>
        <w:spacing w:line="80" w:lineRule="exact"/>
      </w:pPr>
      <w:r w:rsidRPr="00621EFF">
        <w:rPr>
          <w:rStyle w:val="CharChapNo"/>
        </w:rPr>
        <w:t xml:space="preserve"> </w:t>
      </w:r>
      <w:r w:rsidRPr="00621EFF">
        <w:rPr>
          <w:rStyle w:val="CharChapText"/>
        </w:rPr>
        <w:t xml:space="preserve"> </w:t>
      </w:r>
      <w:r w:rsidRPr="00621EFF">
        <w:rPr>
          <w:rStyle w:val="CharPartNo"/>
        </w:rPr>
        <w:t xml:space="preserve"> </w:t>
      </w:r>
      <w:r w:rsidRPr="00621EFF">
        <w:rPr>
          <w:rStyle w:val="CharPartText"/>
        </w:rPr>
        <w:t xml:space="preserve"> </w:t>
      </w:r>
      <w:r w:rsidRPr="00621EFF">
        <w:rPr>
          <w:rStyle w:val="CharDivNo"/>
        </w:rPr>
        <w:t xml:space="preserve"> </w:t>
      </w:r>
      <w:r w:rsidRPr="00621EFF">
        <w:rPr>
          <w:rStyle w:val="CharDivText"/>
        </w:rPr>
        <w:t xml:space="preserve"> </w:t>
      </w:r>
    </w:p>
    <w:p w14:paraId="21855F0F" w14:textId="77777777" w:rsidR="00696579" w:rsidRPr="00621EFF" w:rsidRDefault="00696579" w:rsidP="00696579">
      <w:pPr>
        <w:pStyle w:val="ActHead5"/>
      </w:pPr>
      <w:bookmarkStart w:id="2" w:name="_Toc418067266"/>
      <w:bookmarkStart w:id="3" w:name="_Toc418067518"/>
      <w:bookmarkStart w:id="4" w:name="_Toc418067534"/>
      <w:bookmarkStart w:id="5" w:name="_Toc418067960"/>
      <w:bookmarkStart w:id="6" w:name="_Toc418165041"/>
      <w:proofErr w:type="gramStart"/>
      <w:r w:rsidRPr="00621EFF">
        <w:rPr>
          <w:rStyle w:val="CharSectno"/>
        </w:rPr>
        <w:t>1</w:t>
      </w:r>
      <w:r w:rsidRPr="00621EFF">
        <w:t xml:space="preserve">  Name</w:t>
      </w:r>
      <w:bookmarkEnd w:id="2"/>
      <w:bookmarkEnd w:id="3"/>
      <w:bookmarkEnd w:id="4"/>
      <w:bookmarkEnd w:id="5"/>
      <w:bookmarkEnd w:id="6"/>
      <w:proofErr w:type="gramEnd"/>
    </w:p>
    <w:p w14:paraId="149C8164" w14:textId="77777777" w:rsidR="00696579" w:rsidRPr="00621EFF" w:rsidRDefault="00696579" w:rsidP="00696579">
      <w:pPr>
        <w:pStyle w:val="subsection"/>
      </w:pPr>
      <w:r w:rsidRPr="00621EFF">
        <w:tab/>
      </w:r>
      <w:r w:rsidRPr="00621EFF">
        <w:tab/>
        <w:t xml:space="preserve">This is the </w:t>
      </w:r>
      <w:proofErr w:type="spellStart"/>
      <w:r w:rsidRPr="00621EFF">
        <w:rPr>
          <w:i/>
        </w:rPr>
        <w:t>Radiocommunications</w:t>
      </w:r>
      <w:proofErr w:type="spellEnd"/>
      <w:r w:rsidRPr="00621EFF">
        <w:rPr>
          <w:i/>
        </w:rPr>
        <w:t xml:space="preserve"> (Spectrum Licence Allocation—Residual 700 MHz</w:t>
      </w:r>
      <w:r>
        <w:rPr>
          <w:i/>
        </w:rPr>
        <w:t xml:space="preserve"> Spectrum</w:t>
      </w:r>
      <w:r w:rsidRPr="00621EFF">
        <w:rPr>
          <w:i/>
        </w:rPr>
        <w:t>) Direction 2016</w:t>
      </w:r>
      <w:r w:rsidRPr="00621EFF">
        <w:t>.</w:t>
      </w:r>
    </w:p>
    <w:p w14:paraId="531CA2FB" w14:textId="77777777" w:rsidR="00696579" w:rsidRPr="00621EFF" w:rsidRDefault="00696579" w:rsidP="00696579">
      <w:pPr>
        <w:pStyle w:val="ActHead5"/>
      </w:pPr>
      <w:bookmarkStart w:id="7" w:name="_Toc418067267"/>
      <w:bookmarkStart w:id="8" w:name="_Toc418067519"/>
      <w:bookmarkStart w:id="9" w:name="_Toc418067535"/>
      <w:bookmarkStart w:id="10" w:name="_Toc418067961"/>
      <w:bookmarkStart w:id="11" w:name="_Toc418165042"/>
      <w:proofErr w:type="gramStart"/>
      <w:r w:rsidRPr="00621EFF">
        <w:rPr>
          <w:rStyle w:val="CharSectno"/>
        </w:rPr>
        <w:lastRenderedPageBreak/>
        <w:t>2</w:t>
      </w:r>
      <w:r w:rsidRPr="00621EFF">
        <w:t xml:space="preserve">  Commencement</w:t>
      </w:r>
      <w:bookmarkEnd w:id="7"/>
      <w:bookmarkEnd w:id="8"/>
      <w:bookmarkEnd w:id="9"/>
      <w:bookmarkEnd w:id="10"/>
      <w:bookmarkEnd w:id="11"/>
      <w:proofErr w:type="gramEnd"/>
    </w:p>
    <w:p w14:paraId="0CA5663B" w14:textId="77777777" w:rsidR="00696579" w:rsidRDefault="00696579" w:rsidP="00696579">
      <w:pPr>
        <w:pStyle w:val="subsection"/>
      </w:pPr>
      <w:r w:rsidRPr="00621EFF">
        <w:tab/>
      </w:r>
      <w:r>
        <w:t>(1)</w:t>
      </w:r>
      <w:r w:rsidRPr="00621EFF">
        <w:tab/>
      </w:r>
      <w:r>
        <w:t xml:space="preserve">Except as provided in subsection 2(2), this </w:t>
      </w:r>
      <w:r w:rsidRPr="00621EFF">
        <w:t xml:space="preserve">instrument commences on the day after </w:t>
      </w:r>
      <w:r>
        <w:t xml:space="preserve">this instrument </w:t>
      </w:r>
      <w:r w:rsidRPr="00621EFF">
        <w:t>is registered on the Federal Register of Legislation.</w:t>
      </w:r>
    </w:p>
    <w:p w14:paraId="404FA041" w14:textId="77777777" w:rsidR="00696579" w:rsidRDefault="00696579" w:rsidP="00696579">
      <w:pPr>
        <w:pStyle w:val="subsection"/>
      </w:pPr>
      <w:r>
        <w:tab/>
        <w:t>(2)</w:t>
      </w:r>
      <w:r>
        <w:tab/>
        <w:t xml:space="preserve">Sections 9 and 10 commence on a single day fixed in a notifiable instrument made by the Minister for the purposes of this subsection. </w:t>
      </w:r>
      <w:bookmarkStart w:id="12" w:name="_Toc418067269"/>
      <w:bookmarkStart w:id="13" w:name="_Toc418067521"/>
      <w:bookmarkStart w:id="14" w:name="_Toc418067537"/>
      <w:bookmarkStart w:id="15" w:name="_Toc418067963"/>
      <w:bookmarkStart w:id="16" w:name="_Toc418165044"/>
    </w:p>
    <w:p w14:paraId="49C3A7A4" w14:textId="77777777" w:rsidR="00696579" w:rsidRPr="00621EFF" w:rsidRDefault="00696579" w:rsidP="00696579">
      <w:pPr>
        <w:pStyle w:val="ActHead5"/>
      </w:pPr>
      <w:proofErr w:type="gramStart"/>
      <w:r w:rsidRPr="00621EFF">
        <w:rPr>
          <w:rStyle w:val="CharSectno"/>
        </w:rPr>
        <w:t>3</w:t>
      </w:r>
      <w:r w:rsidRPr="00621EFF">
        <w:t xml:space="preserve">  Authority</w:t>
      </w:r>
      <w:proofErr w:type="gramEnd"/>
    </w:p>
    <w:p w14:paraId="72032A19" w14:textId="77777777" w:rsidR="00696579" w:rsidRPr="00621EFF" w:rsidRDefault="00696579" w:rsidP="00696579">
      <w:pPr>
        <w:pStyle w:val="subsection"/>
      </w:pPr>
      <w:r w:rsidRPr="00621EFF">
        <w:tab/>
      </w:r>
      <w:r w:rsidRPr="00621EFF">
        <w:tab/>
        <w:t>This instrument is made under:</w:t>
      </w:r>
    </w:p>
    <w:p w14:paraId="7E72F405" w14:textId="77777777" w:rsidR="00696579" w:rsidRPr="00621EFF" w:rsidRDefault="00696579" w:rsidP="00696579">
      <w:pPr>
        <w:pStyle w:val="paragraph"/>
      </w:pPr>
      <w:r w:rsidRPr="00621EFF">
        <w:tab/>
        <w:t>(a)</w:t>
      </w:r>
      <w:r w:rsidRPr="00621EFF">
        <w:tab/>
      </w:r>
      <w:proofErr w:type="gramStart"/>
      <w:r w:rsidRPr="00621EFF">
        <w:t>subsection</w:t>
      </w:r>
      <w:proofErr w:type="gramEnd"/>
      <w:r w:rsidRPr="00621EFF">
        <w:t> 14(1) of the ACMA Act;</w:t>
      </w:r>
    </w:p>
    <w:p w14:paraId="1B08563C" w14:textId="77777777" w:rsidR="00696579" w:rsidRPr="00621EFF" w:rsidRDefault="00696579" w:rsidP="00696579">
      <w:pPr>
        <w:pStyle w:val="paragraph"/>
      </w:pPr>
      <w:r w:rsidRPr="00621EFF">
        <w:tab/>
        <w:t>(b)</w:t>
      </w:r>
      <w:r w:rsidRPr="00621EFF">
        <w:tab/>
      </w:r>
      <w:proofErr w:type="gramStart"/>
      <w:r w:rsidRPr="00621EFF">
        <w:t>subsection</w:t>
      </w:r>
      <w:proofErr w:type="gramEnd"/>
      <w:r w:rsidRPr="00621EFF">
        <w:t xml:space="preserve"> 60(10) of the </w:t>
      </w:r>
      <w:proofErr w:type="spellStart"/>
      <w:r w:rsidRPr="00621EFF">
        <w:t>Radiocommunications</w:t>
      </w:r>
      <w:proofErr w:type="spellEnd"/>
      <w:r w:rsidRPr="00621EFF">
        <w:t xml:space="preserve"> Act;</w:t>
      </w:r>
      <w:r>
        <w:t xml:space="preserve"> and</w:t>
      </w:r>
    </w:p>
    <w:p w14:paraId="29E0FD5C" w14:textId="77777777" w:rsidR="00696579" w:rsidRPr="00621EFF" w:rsidRDefault="00696579" w:rsidP="00696579">
      <w:pPr>
        <w:pStyle w:val="paragraph"/>
      </w:pPr>
      <w:r w:rsidRPr="00621EFF">
        <w:tab/>
        <w:t>(c)</w:t>
      </w:r>
      <w:r w:rsidRPr="00621EFF">
        <w:tab/>
      </w:r>
      <w:proofErr w:type="gramStart"/>
      <w:r w:rsidRPr="00621EFF">
        <w:t>subsection</w:t>
      </w:r>
      <w:proofErr w:type="gramEnd"/>
      <w:r w:rsidRPr="00621EFF">
        <w:t xml:space="preserve"> 294(2) of the </w:t>
      </w:r>
      <w:proofErr w:type="spellStart"/>
      <w:r w:rsidRPr="00621EFF">
        <w:t>Radiocommunications</w:t>
      </w:r>
      <w:proofErr w:type="spellEnd"/>
      <w:r w:rsidRPr="00621EFF">
        <w:t xml:space="preserve"> Act.</w:t>
      </w:r>
    </w:p>
    <w:p w14:paraId="376489CA" w14:textId="77777777" w:rsidR="00696579" w:rsidRPr="00621EFF" w:rsidRDefault="00696579" w:rsidP="00696579">
      <w:pPr>
        <w:pStyle w:val="ActHead5"/>
      </w:pPr>
      <w:proofErr w:type="gramStart"/>
      <w:r w:rsidRPr="00621EFF">
        <w:rPr>
          <w:rStyle w:val="CharSectno"/>
        </w:rPr>
        <w:t>4</w:t>
      </w:r>
      <w:r w:rsidRPr="00621EFF">
        <w:t xml:space="preserve">  </w:t>
      </w:r>
      <w:bookmarkEnd w:id="12"/>
      <w:bookmarkEnd w:id="13"/>
      <w:bookmarkEnd w:id="14"/>
      <w:bookmarkEnd w:id="15"/>
      <w:bookmarkEnd w:id="16"/>
      <w:r w:rsidRPr="00621EFF">
        <w:t>Interpretation</w:t>
      </w:r>
      <w:proofErr w:type="gramEnd"/>
    </w:p>
    <w:p w14:paraId="2706DC48" w14:textId="77777777" w:rsidR="00696579" w:rsidRPr="00621EFF" w:rsidRDefault="00696579" w:rsidP="00696579">
      <w:pPr>
        <w:pStyle w:val="subsection"/>
      </w:pPr>
      <w:r w:rsidRPr="00621EFF">
        <w:tab/>
        <w:t>(1)</w:t>
      </w:r>
      <w:r w:rsidRPr="00621EFF">
        <w:tab/>
        <w:t>In this instrument:</w:t>
      </w:r>
    </w:p>
    <w:p w14:paraId="4D3D7E16" w14:textId="77777777" w:rsidR="00696579" w:rsidRPr="00621EFF" w:rsidRDefault="00696579" w:rsidP="00696579">
      <w:pPr>
        <w:pStyle w:val="Definition"/>
      </w:pPr>
      <w:r>
        <w:rPr>
          <w:b/>
          <w:i/>
        </w:rPr>
        <w:t>2x10 MHz lot</w:t>
      </w:r>
      <w:r w:rsidRPr="00621EFF">
        <w:t xml:space="preserve"> means the following parts of the spectrum:</w:t>
      </w:r>
    </w:p>
    <w:p w14:paraId="4B1AFA38" w14:textId="77777777" w:rsidR="00696579" w:rsidRPr="00621EFF" w:rsidRDefault="00696579" w:rsidP="00696579">
      <w:pPr>
        <w:pStyle w:val="paragraph"/>
      </w:pPr>
      <w:r w:rsidRPr="00621EFF">
        <w:tab/>
        <w:t>(a)</w:t>
      </w:r>
      <w:r w:rsidRPr="00621EFF">
        <w:tab/>
        <w:t>73</w:t>
      </w:r>
      <w:r>
        <w:t>8</w:t>
      </w:r>
      <w:r w:rsidRPr="00621EFF">
        <w:t xml:space="preserve"> MHz to 74</w:t>
      </w:r>
      <w:r>
        <w:t>8</w:t>
      </w:r>
      <w:r w:rsidRPr="00621EFF">
        <w:t xml:space="preserve"> MHz; and</w:t>
      </w:r>
    </w:p>
    <w:p w14:paraId="64FE0338" w14:textId="77777777" w:rsidR="00696579" w:rsidRPr="00621EFF" w:rsidRDefault="00696579" w:rsidP="00696579">
      <w:pPr>
        <w:pStyle w:val="paragraph"/>
      </w:pPr>
      <w:r w:rsidRPr="00621EFF">
        <w:tab/>
        <w:t>(b)</w:t>
      </w:r>
      <w:r w:rsidRPr="00621EFF">
        <w:tab/>
      </w:r>
      <w:r>
        <w:t>793</w:t>
      </w:r>
      <w:r w:rsidRPr="00621EFF">
        <w:t xml:space="preserve"> MHz to </w:t>
      </w:r>
      <w:r>
        <w:t xml:space="preserve">803 </w:t>
      </w:r>
      <w:proofErr w:type="spellStart"/>
      <w:r w:rsidRPr="00621EFF">
        <w:t>MHz.</w:t>
      </w:r>
      <w:proofErr w:type="spellEnd"/>
    </w:p>
    <w:p w14:paraId="7FCE631E" w14:textId="77777777" w:rsidR="00696579" w:rsidRPr="00621EFF" w:rsidRDefault="00696579" w:rsidP="00696579">
      <w:pPr>
        <w:pStyle w:val="Definition"/>
      </w:pPr>
      <w:r>
        <w:rPr>
          <w:b/>
          <w:i/>
        </w:rPr>
        <w:t>2x5 MHz lot</w:t>
      </w:r>
      <w:r w:rsidRPr="004F69C4">
        <w:t xml:space="preserve"> </w:t>
      </w:r>
      <w:r w:rsidRPr="00621EFF">
        <w:t>means the following parts of the spectrum:</w:t>
      </w:r>
    </w:p>
    <w:p w14:paraId="2BBD65B1" w14:textId="77777777" w:rsidR="00696579" w:rsidRPr="00621EFF" w:rsidRDefault="00696579" w:rsidP="00696579">
      <w:pPr>
        <w:pStyle w:val="paragraph"/>
      </w:pPr>
      <w:r w:rsidRPr="00621EFF">
        <w:tab/>
        <w:t>(a)</w:t>
      </w:r>
      <w:r w:rsidRPr="00621EFF">
        <w:tab/>
        <w:t>7</w:t>
      </w:r>
      <w:r>
        <w:t>3</w:t>
      </w:r>
      <w:r w:rsidRPr="00621EFF">
        <w:t>3 MHz to 7</w:t>
      </w:r>
      <w:r>
        <w:t>3</w:t>
      </w:r>
      <w:r w:rsidRPr="00621EFF">
        <w:t>8 MHz; and</w:t>
      </w:r>
    </w:p>
    <w:p w14:paraId="1BF31171" w14:textId="77777777" w:rsidR="00696579" w:rsidRPr="00621EFF" w:rsidRDefault="00696579" w:rsidP="00696579">
      <w:pPr>
        <w:pStyle w:val="paragraph"/>
      </w:pPr>
      <w:r w:rsidRPr="00621EFF">
        <w:tab/>
        <w:t>(b)</w:t>
      </w:r>
      <w:r w:rsidRPr="00621EFF">
        <w:tab/>
        <w:t>7</w:t>
      </w:r>
      <w:r>
        <w:t>8</w:t>
      </w:r>
      <w:r w:rsidRPr="00621EFF">
        <w:t xml:space="preserve">8 MHz to </w:t>
      </w:r>
      <w:r>
        <w:t>79</w:t>
      </w:r>
      <w:r w:rsidRPr="00621EFF">
        <w:t xml:space="preserve">3 </w:t>
      </w:r>
      <w:proofErr w:type="spellStart"/>
      <w:r w:rsidRPr="00621EFF">
        <w:t>MHz.</w:t>
      </w:r>
      <w:proofErr w:type="spellEnd"/>
    </w:p>
    <w:p w14:paraId="56F0E33B" w14:textId="77777777" w:rsidR="00696579" w:rsidRPr="00621EFF" w:rsidRDefault="00696579" w:rsidP="00696579">
      <w:pPr>
        <w:pStyle w:val="Definition"/>
        <w:rPr>
          <w:b/>
          <w:i/>
        </w:rPr>
      </w:pPr>
      <w:r w:rsidRPr="00621EFF">
        <w:rPr>
          <w:b/>
          <w:i/>
        </w:rPr>
        <w:t>ACMA Act</w:t>
      </w:r>
      <w:r w:rsidRPr="00621EFF">
        <w:t xml:space="preserve"> means the </w:t>
      </w:r>
      <w:r w:rsidRPr="00621EFF">
        <w:rPr>
          <w:i/>
        </w:rPr>
        <w:t>Australian Communications and Media Authority Act 2005</w:t>
      </w:r>
      <w:r>
        <w:rPr>
          <w:i/>
        </w:rPr>
        <w:t>.</w:t>
      </w:r>
    </w:p>
    <w:p w14:paraId="724A3DB3" w14:textId="77777777" w:rsidR="00696579" w:rsidRPr="00621EFF" w:rsidRDefault="00696579" w:rsidP="00696579">
      <w:pPr>
        <w:pStyle w:val="Definition"/>
      </w:pPr>
      <w:proofErr w:type="gramStart"/>
      <w:r w:rsidRPr="00621EFF">
        <w:rPr>
          <w:b/>
          <w:i/>
        </w:rPr>
        <w:t>allocation</w:t>
      </w:r>
      <w:proofErr w:type="gramEnd"/>
      <w:r w:rsidRPr="00621EFF">
        <w:rPr>
          <w:b/>
          <w:i/>
        </w:rPr>
        <w:t xml:space="preserve"> procedures </w:t>
      </w:r>
      <w:r w:rsidRPr="00621EFF">
        <w:t xml:space="preserve">means any procedures </w:t>
      </w:r>
      <w:r>
        <w:t xml:space="preserve">that are </w:t>
      </w:r>
      <w:r w:rsidRPr="00621EFF">
        <w:t>determined</w:t>
      </w:r>
      <w:r>
        <w:t xml:space="preserve"> </w:t>
      </w:r>
      <w:r w:rsidRPr="00621EFF">
        <w:t xml:space="preserve">under section 60 of the </w:t>
      </w:r>
      <w:proofErr w:type="spellStart"/>
      <w:r w:rsidRPr="00621EFF">
        <w:t>Radiocommunications</w:t>
      </w:r>
      <w:proofErr w:type="spellEnd"/>
      <w:r w:rsidRPr="00621EFF">
        <w:t xml:space="preserve"> Act.</w:t>
      </w:r>
    </w:p>
    <w:p w14:paraId="252DF21E" w14:textId="77777777" w:rsidR="00696579" w:rsidRPr="00621EFF" w:rsidRDefault="00696579" w:rsidP="00696579">
      <w:pPr>
        <w:pStyle w:val="Definition"/>
      </w:pPr>
      <w:proofErr w:type="gramStart"/>
      <w:r w:rsidRPr="00621EFF">
        <w:rPr>
          <w:b/>
          <w:i/>
        </w:rPr>
        <w:t>associate</w:t>
      </w:r>
      <w:proofErr w:type="gramEnd"/>
      <w:r w:rsidRPr="00621EFF">
        <w:t>, in relation to a person, means:</w:t>
      </w:r>
    </w:p>
    <w:p w14:paraId="6EAE2690" w14:textId="77777777" w:rsidR="00696579" w:rsidRPr="00621EFF" w:rsidRDefault="00696579" w:rsidP="00696579">
      <w:pPr>
        <w:pStyle w:val="paragraph"/>
      </w:pPr>
      <w:r w:rsidRPr="00621EFF">
        <w:tab/>
        <w:t>(a)</w:t>
      </w:r>
      <w:r w:rsidRPr="00621EFF">
        <w:tab/>
      </w:r>
      <w:proofErr w:type="gramStart"/>
      <w:r w:rsidRPr="00621EFF">
        <w:t>for</w:t>
      </w:r>
      <w:proofErr w:type="gramEnd"/>
      <w:r w:rsidRPr="00621EFF">
        <w:t xml:space="preserve"> a body corporate:</w:t>
      </w:r>
    </w:p>
    <w:p w14:paraId="2A0A4EF6" w14:textId="77777777" w:rsidR="00696579" w:rsidRPr="00621EFF" w:rsidRDefault="00696579" w:rsidP="00696579">
      <w:pPr>
        <w:pStyle w:val="paragraphsub"/>
      </w:pPr>
      <w:r w:rsidRPr="00621EFF">
        <w:tab/>
        <w:t>(</w:t>
      </w:r>
      <w:proofErr w:type="spellStart"/>
      <w:r w:rsidRPr="00621EFF">
        <w:t>i</w:t>
      </w:r>
      <w:proofErr w:type="spellEnd"/>
      <w:r w:rsidRPr="00621EFF">
        <w:t>)</w:t>
      </w:r>
      <w:r w:rsidRPr="00621EFF">
        <w:tab/>
      </w:r>
      <w:proofErr w:type="gramStart"/>
      <w:r w:rsidRPr="00621EFF">
        <w:t>a</w:t>
      </w:r>
      <w:proofErr w:type="gramEnd"/>
      <w:r w:rsidRPr="00621EFF">
        <w:t xml:space="preserve"> director or secretary of the body; or</w:t>
      </w:r>
    </w:p>
    <w:p w14:paraId="6883F587" w14:textId="77777777" w:rsidR="00696579" w:rsidRPr="00621EFF" w:rsidRDefault="00696579" w:rsidP="00696579">
      <w:pPr>
        <w:pStyle w:val="paragraphsub"/>
      </w:pPr>
      <w:r w:rsidRPr="00621EFF">
        <w:tab/>
        <w:t>(ii)</w:t>
      </w:r>
      <w:r w:rsidRPr="00621EFF">
        <w:tab/>
      </w:r>
      <w:proofErr w:type="gramStart"/>
      <w:r w:rsidRPr="00621EFF">
        <w:t>a</w:t>
      </w:r>
      <w:proofErr w:type="gramEnd"/>
      <w:r w:rsidRPr="00621EFF">
        <w:t xml:space="preserve"> related body corporate; or</w:t>
      </w:r>
    </w:p>
    <w:p w14:paraId="296F24CB" w14:textId="77777777" w:rsidR="00696579" w:rsidRPr="00621EFF" w:rsidRDefault="00696579" w:rsidP="00696579">
      <w:pPr>
        <w:pStyle w:val="paragraphsub"/>
      </w:pPr>
      <w:r w:rsidRPr="00621EFF">
        <w:lastRenderedPageBreak/>
        <w:tab/>
        <w:t>(iii)</w:t>
      </w:r>
      <w:r w:rsidRPr="00621EFF">
        <w:tab/>
      </w:r>
      <w:proofErr w:type="gramStart"/>
      <w:r w:rsidRPr="00621EFF">
        <w:t>a</w:t>
      </w:r>
      <w:proofErr w:type="gramEnd"/>
      <w:r w:rsidRPr="00621EFF">
        <w:t xml:space="preserve"> director or secretary of a related body corporate; or</w:t>
      </w:r>
    </w:p>
    <w:p w14:paraId="27E3570A" w14:textId="77777777" w:rsidR="00696579" w:rsidRPr="00621EFF" w:rsidRDefault="00696579" w:rsidP="00696579">
      <w:pPr>
        <w:pStyle w:val="paragraphsub"/>
      </w:pPr>
      <w:r w:rsidRPr="00621EFF">
        <w:tab/>
        <w:t>(</w:t>
      </w:r>
      <w:r>
        <w:t>i</w:t>
      </w:r>
      <w:r w:rsidRPr="00621EFF">
        <w:t>v)</w:t>
      </w:r>
      <w:r w:rsidRPr="00621EFF">
        <w:tab/>
        <w:t>an individual who controls at least 15% of the voting power or holds at least 15% of the issued shares in the body; or</w:t>
      </w:r>
    </w:p>
    <w:p w14:paraId="578EE58F" w14:textId="77777777" w:rsidR="00696579" w:rsidRPr="00621EFF" w:rsidRDefault="00696579" w:rsidP="00696579">
      <w:pPr>
        <w:pStyle w:val="paragraph"/>
      </w:pPr>
      <w:r w:rsidRPr="00621EFF">
        <w:tab/>
        <w:t>(b)</w:t>
      </w:r>
      <w:r w:rsidRPr="00621EFF">
        <w:tab/>
      </w:r>
      <w:proofErr w:type="gramStart"/>
      <w:r w:rsidRPr="00621EFF">
        <w:t>for</w:t>
      </w:r>
      <w:proofErr w:type="gramEnd"/>
      <w:r w:rsidRPr="00621EFF">
        <w:t xml:space="preserve"> an individual:</w:t>
      </w:r>
    </w:p>
    <w:p w14:paraId="2009915E" w14:textId="77777777" w:rsidR="00696579" w:rsidRPr="00621EFF" w:rsidRDefault="00696579" w:rsidP="00696579">
      <w:pPr>
        <w:pStyle w:val="paragraphsub"/>
      </w:pPr>
      <w:r w:rsidRPr="00621EFF">
        <w:tab/>
        <w:t>(</w:t>
      </w:r>
      <w:proofErr w:type="spellStart"/>
      <w:r w:rsidRPr="00621EFF">
        <w:t>i</w:t>
      </w:r>
      <w:proofErr w:type="spellEnd"/>
      <w:r w:rsidRPr="00621EFF">
        <w:t>)</w:t>
      </w:r>
      <w:r w:rsidRPr="00621EFF">
        <w:tab/>
      </w:r>
      <w:proofErr w:type="gramStart"/>
      <w:r w:rsidRPr="00621EFF">
        <w:t>the</w:t>
      </w:r>
      <w:proofErr w:type="gramEnd"/>
      <w:r w:rsidRPr="00621EFF">
        <w:t xml:space="preserve"> individual’s spouse; or</w:t>
      </w:r>
    </w:p>
    <w:p w14:paraId="2A1A84A3" w14:textId="77777777" w:rsidR="00696579" w:rsidRPr="00621EFF" w:rsidRDefault="00696579" w:rsidP="00696579">
      <w:pPr>
        <w:pStyle w:val="paragraphsub"/>
      </w:pPr>
      <w:r w:rsidRPr="00621EFF">
        <w:tab/>
        <w:t>(ii)</w:t>
      </w:r>
      <w:r w:rsidRPr="00621EFF">
        <w:tab/>
      </w:r>
      <w:proofErr w:type="gramStart"/>
      <w:r w:rsidRPr="00621EFF">
        <w:t>the</w:t>
      </w:r>
      <w:proofErr w:type="gramEnd"/>
      <w:r w:rsidRPr="00621EFF">
        <w:t xml:space="preserve"> individual’s de facto partner </w:t>
      </w:r>
      <w:r>
        <w:t>(</w:t>
      </w:r>
      <w:r w:rsidRPr="00621EFF">
        <w:t xml:space="preserve">within the meaning </w:t>
      </w:r>
      <w:r>
        <w:t xml:space="preserve">of </w:t>
      </w:r>
      <w:r w:rsidRPr="00621EFF">
        <w:t xml:space="preserve">the </w:t>
      </w:r>
      <w:r w:rsidRPr="00621EFF">
        <w:rPr>
          <w:i/>
        </w:rPr>
        <w:t>Acts Interpretation Act 1901</w:t>
      </w:r>
      <w:r>
        <w:t>)</w:t>
      </w:r>
      <w:r w:rsidRPr="00621EFF">
        <w:t>; or</w:t>
      </w:r>
    </w:p>
    <w:p w14:paraId="565F319D" w14:textId="77777777" w:rsidR="00696579" w:rsidRPr="00621EFF" w:rsidRDefault="00696579" w:rsidP="00696579">
      <w:pPr>
        <w:pStyle w:val="paragraphsub"/>
      </w:pPr>
      <w:r w:rsidRPr="00621EFF">
        <w:tab/>
        <w:t>(i</w:t>
      </w:r>
      <w:r>
        <w:t>ii</w:t>
      </w:r>
      <w:r w:rsidRPr="00621EFF">
        <w:t>)</w:t>
      </w:r>
      <w:r w:rsidRPr="00621EFF">
        <w:tab/>
        <w:t>a body corporate in which the individual controls at least 15% of the voting power or holds at least 15% of the issued shares; or</w:t>
      </w:r>
    </w:p>
    <w:p w14:paraId="1CFF2A0E" w14:textId="77777777" w:rsidR="00696579" w:rsidRPr="00621EFF" w:rsidRDefault="00696579" w:rsidP="00696579">
      <w:pPr>
        <w:pStyle w:val="paragraphsub"/>
      </w:pPr>
      <w:r w:rsidRPr="00621EFF">
        <w:tab/>
        <w:t>(</w:t>
      </w:r>
      <w:r>
        <w:t>i</w:t>
      </w:r>
      <w:r w:rsidRPr="00621EFF">
        <w:t>v)</w:t>
      </w:r>
      <w:r w:rsidRPr="00621EFF">
        <w:tab/>
      </w:r>
      <w:proofErr w:type="gramStart"/>
      <w:r w:rsidRPr="00621EFF">
        <w:t>a</w:t>
      </w:r>
      <w:proofErr w:type="gramEnd"/>
      <w:r w:rsidRPr="00621EFF">
        <w:t xml:space="preserve"> body corporate of which the individual is a director or secretary; or</w:t>
      </w:r>
    </w:p>
    <w:p w14:paraId="03FD22A5" w14:textId="77777777" w:rsidR="00696579" w:rsidRPr="00621EFF" w:rsidRDefault="00696579" w:rsidP="00696579">
      <w:pPr>
        <w:pStyle w:val="paragraphsub"/>
      </w:pPr>
      <w:r w:rsidRPr="00621EFF">
        <w:tab/>
        <w:t>(v)</w:t>
      </w:r>
      <w:r w:rsidRPr="00621EFF">
        <w:tab/>
      </w:r>
      <w:proofErr w:type="gramStart"/>
      <w:r w:rsidRPr="00621EFF">
        <w:t>a</w:t>
      </w:r>
      <w:proofErr w:type="gramEnd"/>
      <w:r w:rsidRPr="00621EFF">
        <w:t xml:space="preserve"> body corporate that is related to a body corporate of which the individual is a director or secretary; or</w:t>
      </w:r>
    </w:p>
    <w:p w14:paraId="2126D954" w14:textId="77777777" w:rsidR="00696579" w:rsidRPr="00621EFF" w:rsidRDefault="00696579" w:rsidP="00696579">
      <w:pPr>
        <w:pStyle w:val="paragraph"/>
      </w:pPr>
      <w:r w:rsidRPr="00621EFF">
        <w:tab/>
        <w:t>(c)</w:t>
      </w:r>
      <w:r w:rsidRPr="00621EFF">
        <w:tab/>
      </w:r>
      <w:proofErr w:type="gramStart"/>
      <w:r w:rsidRPr="00621EFF">
        <w:t>in</w:t>
      </w:r>
      <w:proofErr w:type="gramEnd"/>
      <w:r w:rsidRPr="00621EFF">
        <w:t xml:space="preserve"> any case—any other person (other than the ACMA) who has a relevant agreement with the person that:</w:t>
      </w:r>
    </w:p>
    <w:p w14:paraId="6A6C26A2" w14:textId="77777777" w:rsidR="00696579" w:rsidRPr="00621EFF" w:rsidRDefault="00696579" w:rsidP="00696579">
      <w:pPr>
        <w:pStyle w:val="paragraphsub"/>
      </w:pPr>
      <w:r w:rsidRPr="00621EFF">
        <w:tab/>
        <w:t>(</w:t>
      </w:r>
      <w:proofErr w:type="spellStart"/>
      <w:r w:rsidRPr="00621EFF">
        <w:t>i</w:t>
      </w:r>
      <w:proofErr w:type="spellEnd"/>
      <w:r w:rsidRPr="00621EFF">
        <w:t>)</w:t>
      </w:r>
      <w:r w:rsidRPr="00621EFF">
        <w:tab/>
        <w:t xml:space="preserve">is for the use by a party to the agreement of spectrum licensed to either of those parties under a spectrum licence for </w:t>
      </w:r>
      <w:r>
        <w:t>residual 700 MHz spectrum in the designated area</w:t>
      </w:r>
      <w:r w:rsidRPr="00621EFF">
        <w:t>; or</w:t>
      </w:r>
    </w:p>
    <w:p w14:paraId="5212FAC1" w14:textId="77777777" w:rsidR="00696579" w:rsidRPr="00621EFF" w:rsidRDefault="00696579" w:rsidP="00696579">
      <w:pPr>
        <w:pStyle w:val="paragraphsub"/>
      </w:pPr>
      <w:r w:rsidRPr="00621EFF">
        <w:tab/>
        <w:t>(ii)</w:t>
      </w:r>
      <w:r w:rsidRPr="00621EFF">
        <w:tab/>
      </w:r>
      <w:proofErr w:type="gramStart"/>
      <w:r w:rsidRPr="00621EFF">
        <w:t>relates</w:t>
      </w:r>
      <w:proofErr w:type="gramEnd"/>
      <w:r w:rsidRPr="00621EFF">
        <w:t xml:space="preserve"> to the acquisition of a spectrum licence for </w:t>
      </w:r>
      <w:r>
        <w:t>residual 700 MHz spectrum in the designated area</w:t>
      </w:r>
      <w:r w:rsidRPr="00621EFF">
        <w:t>.</w:t>
      </w:r>
    </w:p>
    <w:p w14:paraId="3D2A9927" w14:textId="77777777" w:rsidR="00696579" w:rsidRPr="00621EFF" w:rsidRDefault="00696579" w:rsidP="00696579">
      <w:pPr>
        <w:pStyle w:val="Definition"/>
      </w:pPr>
      <w:proofErr w:type="gramStart"/>
      <w:r w:rsidRPr="00621EFF">
        <w:rPr>
          <w:b/>
          <w:i/>
        </w:rPr>
        <w:t>carrier</w:t>
      </w:r>
      <w:proofErr w:type="gramEnd"/>
      <w:r w:rsidRPr="00621EFF">
        <w:t xml:space="preserve"> has the same meaning as in the </w:t>
      </w:r>
      <w:r w:rsidRPr="00621EFF">
        <w:rPr>
          <w:i/>
        </w:rPr>
        <w:t>Telecommunications Act 1997</w:t>
      </w:r>
      <w:r w:rsidRPr="00621EFF">
        <w:t>.</w:t>
      </w:r>
    </w:p>
    <w:p w14:paraId="26423B3F" w14:textId="77777777" w:rsidR="00696579" w:rsidRPr="00C268FF" w:rsidRDefault="00696579" w:rsidP="00696579">
      <w:pPr>
        <w:pStyle w:val="Definition"/>
      </w:pPr>
      <w:proofErr w:type="gramStart"/>
      <w:r>
        <w:rPr>
          <w:b/>
          <w:i/>
        </w:rPr>
        <w:t>charges</w:t>
      </w:r>
      <w:proofErr w:type="gramEnd"/>
      <w:r>
        <w:rPr>
          <w:b/>
          <w:i/>
        </w:rPr>
        <w:t xml:space="preserve"> determination</w:t>
      </w:r>
      <w:r>
        <w:t xml:space="preserve"> means a determination that is made under subsection 294(1) of the </w:t>
      </w:r>
      <w:proofErr w:type="spellStart"/>
      <w:r>
        <w:t>Radiocommunications</w:t>
      </w:r>
      <w:proofErr w:type="spellEnd"/>
      <w:r>
        <w:t xml:space="preserve"> Act and that either fixes spectrum access charges payable by licensees for issuing spectrum licences for residual 700 MHz spectrum in the designated area, or specifies the times when those spectrum access charges are payable, or both.</w:t>
      </w:r>
    </w:p>
    <w:p w14:paraId="55E79DB4" w14:textId="77777777" w:rsidR="00696579" w:rsidRPr="00E50E49" w:rsidRDefault="00696579" w:rsidP="00696579">
      <w:pPr>
        <w:pStyle w:val="Definition"/>
        <w:rPr>
          <w:b/>
          <w:i/>
          <w:szCs w:val="22"/>
        </w:rPr>
      </w:pPr>
      <w:proofErr w:type="gramStart"/>
      <w:r w:rsidRPr="00C268FF">
        <w:rPr>
          <w:b/>
          <w:bCs/>
          <w:i/>
          <w:iCs/>
          <w:szCs w:val="22"/>
        </w:rPr>
        <w:t>designated</w:t>
      </w:r>
      <w:proofErr w:type="gramEnd"/>
      <w:r w:rsidRPr="00C268FF">
        <w:rPr>
          <w:b/>
          <w:bCs/>
          <w:i/>
          <w:iCs/>
          <w:szCs w:val="22"/>
        </w:rPr>
        <w:t xml:space="preserve"> area</w:t>
      </w:r>
      <w:r w:rsidRPr="003222C3">
        <w:rPr>
          <w:bCs/>
          <w:iCs/>
          <w:szCs w:val="22"/>
        </w:rPr>
        <w:t xml:space="preserve"> </w:t>
      </w:r>
      <w:r w:rsidRPr="00C268FF">
        <w:rPr>
          <w:szCs w:val="22"/>
        </w:rPr>
        <w:t>means the area to which the re-allocation declaration applies, as described in subsection</w:t>
      </w:r>
      <w:r>
        <w:rPr>
          <w:szCs w:val="22"/>
        </w:rPr>
        <w:t> </w:t>
      </w:r>
      <w:r w:rsidRPr="00C268FF">
        <w:rPr>
          <w:szCs w:val="22"/>
        </w:rPr>
        <w:t>4(2) of the re</w:t>
      </w:r>
      <w:r>
        <w:rPr>
          <w:szCs w:val="22"/>
        </w:rPr>
        <w:noBreakHyphen/>
      </w:r>
      <w:r w:rsidRPr="00C268FF">
        <w:rPr>
          <w:szCs w:val="22"/>
        </w:rPr>
        <w:t>allocation declaration.</w:t>
      </w:r>
    </w:p>
    <w:p w14:paraId="3199D69C" w14:textId="77777777" w:rsidR="00696579" w:rsidRDefault="00696579" w:rsidP="00696579">
      <w:pPr>
        <w:pStyle w:val="Definition"/>
      </w:pPr>
      <w:proofErr w:type="gramStart"/>
      <w:r w:rsidRPr="00621EFF">
        <w:rPr>
          <w:b/>
          <w:i/>
        </w:rPr>
        <w:lastRenderedPageBreak/>
        <w:t>marketing</w:t>
      </w:r>
      <w:proofErr w:type="gramEnd"/>
      <w:r w:rsidRPr="00621EFF">
        <w:rPr>
          <w:b/>
          <w:i/>
        </w:rPr>
        <w:t xml:space="preserve"> plan</w:t>
      </w:r>
      <w:r w:rsidRPr="00621EFF">
        <w:t xml:space="preserve"> means any plan </w:t>
      </w:r>
      <w:r>
        <w:t xml:space="preserve">that is </w:t>
      </w:r>
      <w:r w:rsidRPr="00621EFF">
        <w:t>made</w:t>
      </w:r>
      <w:r>
        <w:t xml:space="preserve"> </w:t>
      </w:r>
      <w:r w:rsidRPr="00621EFF">
        <w:t xml:space="preserve">under section 39A of the </w:t>
      </w:r>
      <w:proofErr w:type="spellStart"/>
      <w:r w:rsidRPr="00621EFF">
        <w:t>Radiocommunications</w:t>
      </w:r>
      <w:proofErr w:type="spellEnd"/>
      <w:r w:rsidRPr="00621EFF">
        <w:t xml:space="preserve"> Act in accordance with the re</w:t>
      </w:r>
      <w:r w:rsidRPr="00621EFF">
        <w:noBreakHyphen/>
        <w:t>allocation declaration.</w:t>
      </w:r>
    </w:p>
    <w:p w14:paraId="75CAFECD" w14:textId="77777777" w:rsidR="00696579" w:rsidRPr="00621EFF" w:rsidRDefault="00696579" w:rsidP="00696579">
      <w:pPr>
        <w:pStyle w:val="Definition"/>
      </w:pPr>
      <w:proofErr w:type="gramStart"/>
      <w:r w:rsidRPr="00621EFF">
        <w:rPr>
          <w:b/>
          <w:i/>
        </w:rPr>
        <w:t>public</w:t>
      </w:r>
      <w:proofErr w:type="gramEnd"/>
      <w:r w:rsidRPr="00621EFF">
        <w:rPr>
          <w:b/>
          <w:i/>
        </w:rPr>
        <w:t xml:space="preserve"> mobile telecommunications service</w:t>
      </w:r>
      <w:r w:rsidRPr="00621EFF">
        <w:t xml:space="preserve"> has the same meaning as in the </w:t>
      </w:r>
      <w:r w:rsidRPr="00621EFF">
        <w:rPr>
          <w:i/>
        </w:rPr>
        <w:t>Telecommunications Act 1997</w:t>
      </w:r>
      <w:r w:rsidRPr="00621EFF">
        <w:t>.</w:t>
      </w:r>
    </w:p>
    <w:p w14:paraId="079E0067" w14:textId="77777777" w:rsidR="00696579" w:rsidRPr="00621EFF" w:rsidRDefault="00696579" w:rsidP="00696579">
      <w:pPr>
        <w:pStyle w:val="Definition"/>
      </w:pPr>
      <w:proofErr w:type="spellStart"/>
      <w:r w:rsidRPr="00621EFF">
        <w:rPr>
          <w:b/>
          <w:i/>
        </w:rPr>
        <w:t>Radiocommunications</w:t>
      </w:r>
      <w:proofErr w:type="spellEnd"/>
      <w:r w:rsidRPr="00621EFF">
        <w:rPr>
          <w:b/>
          <w:i/>
        </w:rPr>
        <w:t xml:space="preserve"> Act</w:t>
      </w:r>
      <w:r w:rsidRPr="00621EFF">
        <w:t xml:space="preserve"> means the </w:t>
      </w:r>
      <w:proofErr w:type="spellStart"/>
      <w:r w:rsidRPr="00621EFF">
        <w:rPr>
          <w:i/>
        </w:rPr>
        <w:t>Radiocommunications</w:t>
      </w:r>
      <w:proofErr w:type="spellEnd"/>
      <w:r w:rsidRPr="00621EFF">
        <w:rPr>
          <w:i/>
        </w:rPr>
        <w:t xml:space="preserve"> Act 1992</w:t>
      </w:r>
      <w:r w:rsidRPr="00621EFF">
        <w:t>.</w:t>
      </w:r>
    </w:p>
    <w:p w14:paraId="538221B2" w14:textId="77777777" w:rsidR="00696579" w:rsidRPr="003222C3" w:rsidRDefault="00696579" w:rsidP="00696579">
      <w:pPr>
        <w:pStyle w:val="Definition"/>
      </w:pPr>
      <w:proofErr w:type="spellStart"/>
      <w:proofErr w:type="gramStart"/>
      <w:r>
        <w:rPr>
          <w:b/>
          <w:i/>
        </w:rPr>
        <w:t>radiocommunications</w:t>
      </w:r>
      <w:proofErr w:type="spellEnd"/>
      <w:proofErr w:type="gramEnd"/>
      <w:r>
        <w:rPr>
          <w:b/>
          <w:i/>
        </w:rPr>
        <w:t xml:space="preserve"> device</w:t>
      </w:r>
      <w:r>
        <w:t xml:space="preserve"> has the same meaning as in the </w:t>
      </w:r>
      <w:proofErr w:type="spellStart"/>
      <w:r>
        <w:t>Radiocommunications</w:t>
      </w:r>
      <w:proofErr w:type="spellEnd"/>
      <w:r>
        <w:t xml:space="preserve"> Act.</w:t>
      </w:r>
    </w:p>
    <w:p w14:paraId="42537EEF" w14:textId="77777777" w:rsidR="00696579" w:rsidRPr="00621EFF" w:rsidRDefault="00696579" w:rsidP="00696579">
      <w:pPr>
        <w:pStyle w:val="Definition"/>
      </w:pPr>
      <w:proofErr w:type="gramStart"/>
      <w:r w:rsidRPr="00621EFF">
        <w:rPr>
          <w:b/>
          <w:i/>
        </w:rPr>
        <w:t>re-allocation</w:t>
      </w:r>
      <w:proofErr w:type="gramEnd"/>
      <w:r w:rsidRPr="00621EFF">
        <w:rPr>
          <w:b/>
          <w:i/>
        </w:rPr>
        <w:t xml:space="preserve"> declaration</w:t>
      </w:r>
      <w:r w:rsidRPr="00621EFF">
        <w:t xml:space="preserve"> means the </w:t>
      </w:r>
      <w:proofErr w:type="spellStart"/>
      <w:r w:rsidRPr="00621EFF">
        <w:rPr>
          <w:i/>
        </w:rPr>
        <w:t>Radiocommunications</w:t>
      </w:r>
      <w:proofErr w:type="spellEnd"/>
      <w:r w:rsidRPr="00621EFF">
        <w:rPr>
          <w:i/>
        </w:rPr>
        <w:t xml:space="preserve"> (Spectrum Re-allocation) Declaration No. 1 of 2011</w:t>
      </w:r>
      <w:r w:rsidRPr="00621EFF">
        <w:t>.</w:t>
      </w:r>
    </w:p>
    <w:p w14:paraId="1839656D" w14:textId="77777777" w:rsidR="00696579" w:rsidRPr="00621EFF" w:rsidRDefault="00696579" w:rsidP="00696579">
      <w:pPr>
        <w:pStyle w:val="Definition"/>
      </w:pPr>
      <w:proofErr w:type="gramStart"/>
      <w:r w:rsidRPr="00621EFF">
        <w:rPr>
          <w:b/>
          <w:i/>
        </w:rPr>
        <w:t>related</w:t>
      </w:r>
      <w:proofErr w:type="gramEnd"/>
      <w:r w:rsidRPr="00621EFF">
        <w:rPr>
          <w:b/>
          <w:i/>
        </w:rPr>
        <w:t xml:space="preserve"> body corporate</w:t>
      </w:r>
      <w:r w:rsidRPr="00621EFF">
        <w:t xml:space="preserve"> has the meaning given by the </w:t>
      </w:r>
      <w:r w:rsidRPr="00621EFF">
        <w:rPr>
          <w:i/>
        </w:rPr>
        <w:t>Corporations Act 2001</w:t>
      </w:r>
      <w:r w:rsidRPr="00621EFF">
        <w:t>.</w:t>
      </w:r>
    </w:p>
    <w:p w14:paraId="6CF4CED3" w14:textId="77777777" w:rsidR="00696579" w:rsidRPr="00621EFF" w:rsidRDefault="00696579" w:rsidP="00696579">
      <w:pPr>
        <w:pStyle w:val="Definition"/>
      </w:pPr>
      <w:proofErr w:type="gramStart"/>
      <w:r w:rsidRPr="00621EFF">
        <w:rPr>
          <w:b/>
          <w:i/>
        </w:rPr>
        <w:t>relevant</w:t>
      </w:r>
      <w:proofErr w:type="gramEnd"/>
      <w:r w:rsidRPr="00621EFF">
        <w:rPr>
          <w:b/>
          <w:i/>
        </w:rPr>
        <w:t xml:space="preserve"> agreement</w:t>
      </w:r>
      <w:r w:rsidRPr="00621EFF">
        <w:t xml:space="preserve"> means an agreement, arrangement or understanding:</w:t>
      </w:r>
    </w:p>
    <w:p w14:paraId="06AF78C1" w14:textId="77777777" w:rsidR="00696579" w:rsidRPr="00621EFF" w:rsidRDefault="00696579" w:rsidP="00696579">
      <w:pPr>
        <w:pStyle w:val="paragraph"/>
      </w:pPr>
      <w:r w:rsidRPr="00621EFF">
        <w:tab/>
        <w:t>(a)</w:t>
      </w:r>
      <w:r w:rsidRPr="00621EFF">
        <w:tab/>
      </w:r>
      <w:proofErr w:type="gramStart"/>
      <w:r w:rsidRPr="00621EFF">
        <w:t>whether</w:t>
      </w:r>
      <w:proofErr w:type="gramEnd"/>
      <w:r w:rsidRPr="00621EFF">
        <w:t xml:space="preserve"> formal or informal or partly formal and partly informal; and</w:t>
      </w:r>
    </w:p>
    <w:p w14:paraId="14B84095" w14:textId="77777777" w:rsidR="00696579" w:rsidRPr="00621EFF" w:rsidRDefault="00696579" w:rsidP="00696579">
      <w:pPr>
        <w:pStyle w:val="paragraph"/>
      </w:pPr>
      <w:r w:rsidRPr="00621EFF">
        <w:tab/>
        <w:t>(b)</w:t>
      </w:r>
      <w:r w:rsidRPr="00621EFF">
        <w:tab/>
      </w:r>
      <w:proofErr w:type="gramStart"/>
      <w:r w:rsidRPr="00621EFF">
        <w:t>whether</w:t>
      </w:r>
      <w:proofErr w:type="gramEnd"/>
      <w:r w:rsidRPr="00621EFF">
        <w:t xml:space="preserve"> written or oral or partly written and partly oral; and</w:t>
      </w:r>
    </w:p>
    <w:p w14:paraId="7B925E01" w14:textId="77777777" w:rsidR="00696579" w:rsidRPr="00621EFF" w:rsidRDefault="00696579" w:rsidP="00696579">
      <w:pPr>
        <w:pStyle w:val="paragraph"/>
      </w:pPr>
      <w:r w:rsidRPr="00621EFF">
        <w:tab/>
        <w:t>(c)</w:t>
      </w:r>
      <w:r w:rsidRPr="00621EFF">
        <w:tab/>
      </w:r>
      <w:proofErr w:type="gramStart"/>
      <w:r w:rsidRPr="00621EFF">
        <w:t>whether</w:t>
      </w:r>
      <w:proofErr w:type="gramEnd"/>
      <w:r w:rsidRPr="00621EFF">
        <w:t xml:space="preserve"> or not having legal or equitable force and whether or not based on legal or equitable rights</w:t>
      </w:r>
      <w:r>
        <w:t>,</w:t>
      </w:r>
    </w:p>
    <w:p w14:paraId="392D5050" w14:textId="77777777" w:rsidR="00696579" w:rsidRPr="00621EFF" w:rsidRDefault="00696579" w:rsidP="00696579">
      <w:pPr>
        <w:pStyle w:val="subsection2"/>
      </w:pPr>
      <w:proofErr w:type="gramStart"/>
      <w:r w:rsidRPr="00621EFF">
        <w:t>other</w:t>
      </w:r>
      <w:proofErr w:type="gramEnd"/>
      <w:r w:rsidRPr="00621EFF">
        <w:t xml:space="preserve"> than a roaming services agreement or an agreement between carriers provided for by or under the </w:t>
      </w:r>
      <w:r w:rsidRPr="00621EFF">
        <w:rPr>
          <w:i/>
        </w:rPr>
        <w:t>Telecommunications Act 1997</w:t>
      </w:r>
      <w:r w:rsidRPr="00621EFF">
        <w:t xml:space="preserve"> or Part XIC of the </w:t>
      </w:r>
      <w:r w:rsidRPr="00621EFF">
        <w:rPr>
          <w:i/>
        </w:rPr>
        <w:t>Competition and Consumer Act 2010</w:t>
      </w:r>
      <w:r w:rsidRPr="00621EFF">
        <w:t>.</w:t>
      </w:r>
    </w:p>
    <w:p w14:paraId="1A6EE1F5" w14:textId="77777777" w:rsidR="00696579" w:rsidRPr="00621EFF" w:rsidRDefault="00696579" w:rsidP="00696579">
      <w:pPr>
        <w:pStyle w:val="Definition"/>
      </w:pPr>
      <w:proofErr w:type="gramStart"/>
      <w:r w:rsidRPr="00621EFF">
        <w:rPr>
          <w:b/>
          <w:i/>
        </w:rPr>
        <w:t>residual</w:t>
      </w:r>
      <w:proofErr w:type="gramEnd"/>
      <w:r w:rsidRPr="00621EFF">
        <w:rPr>
          <w:b/>
          <w:i/>
        </w:rPr>
        <w:t xml:space="preserve"> 700 MHz </w:t>
      </w:r>
      <w:r>
        <w:rPr>
          <w:b/>
          <w:i/>
        </w:rPr>
        <w:t>spectrum</w:t>
      </w:r>
      <w:r w:rsidRPr="00621EFF">
        <w:rPr>
          <w:b/>
          <w:i/>
        </w:rPr>
        <w:t xml:space="preserve"> </w:t>
      </w:r>
      <w:r w:rsidRPr="00621EFF">
        <w:t>means the following parts of the spectrum:</w:t>
      </w:r>
    </w:p>
    <w:p w14:paraId="2ADF4620" w14:textId="77777777" w:rsidR="00696579" w:rsidRPr="00621EFF" w:rsidRDefault="00696579" w:rsidP="00696579">
      <w:pPr>
        <w:pStyle w:val="paragraph"/>
      </w:pPr>
      <w:r w:rsidRPr="00621EFF">
        <w:tab/>
        <w:t>(a)</w:t>
      </w:r>
      <w:r w:rsidRPr="00621EFF">
        <w:tab/>
        <w:t>733 MHz to 748 MHz; and</w:t>
      </w:r>
    </w:p>
    <w:p w14:paraId="52921676" w14:textId="77777777" w:rsidR="00696579" w:rsidRPr="00621EFF" w:rsidRDefault="00696579" w:rsidP="00696579">
      <w:pPr>
        <w:pStyle w:val="paragraph"/>
      </w:pPr>
      <w:r w:rsidRPr="00621EFF">
        <w:tab/>
        <w:t>(b)</w:t>
      </w:r>
      <w:r w:rsidRPr="00621EFF">
        <w:tab/>
        <w:t xml:space="preserve">788 MHz to 803 </w:t>
      </w:r>
      <w:proofErr w:type="spellStart"/>
      <w:r w:rsidRPr="00621EFF">
        <w:t>MHz.</w:t>
      </w:r>
      <w:proofErr w:type="spellEnd"/>
    </w:p>
    <w:p w14:paraId="497488BB" w14:textId="77777777" w:rsidR="00696579" w:rsidRPr="00621EFF" w:rsidRDefault="00696579" w:rsidP="00696579">
      <w:pPr>
        <w:pStyle w:val="Definition"/>
      </w:pPr>
      <w:proofErr w:type="gramStart"/>
      <w:r w:rsidRPr="00621EFF">
        <w:rPr>
          <w:b/>
          <w:i/>
        </w:rPr>
        <w:t>roaming</w:t>
      </w:r>
      <w:proofErr w:type="gramEnd"/>
      <w:r w:rsidRPr="00621EFF">
        <w:rPr>
          <w:b/>
          <w:i/>
        </w:rPr>
        <w:t xml:space="preserve"> services agreement</w:t>
      </w:r>
      <w:r w:rsidRPr="00621EFF">
        <w:t xml:space="preserve"> means an agreement between carriers for the principal purpose of enabling end-users of public mobile telecommunications services supplied by one carrier to use public mobile telecommunications services supplied by another carrier, in </w:t>
      </w:r>
      <w:r w:rsidRPr="00621EFF">
        <w:lastRenderedPageBreak/>
        <w:t>geographic locations where the first-mentioned carrier’s public mobile telecommunications services are not available.</w:t>
      </w:r>
    </w:p>
    <w:p w14:paraId="16AE3BF0" w14:textId="77777777" w:rsidR="00696579" w:rsidRDefault="00696579" w:rsidP="00696579">
      <w:pPr>
        <w:pStyle w:val="Definition"/>
      </w:pPr>
      <w:proofErr w:type="gramStart"/>
      <w:r w:rsidRPr="00621EFF">
        <w:rPr>
          <w:b/>
          <w:i/>
        </w:rPr>
        <w:t>specified</w:t>
      </w:r>
      <w:proofErr w:type="gramEnd"/>
      <w:r w:rsidRPr="00621EFF">
        <w:rPr>
          <w:b/>
          <w:i/>
        </w:rPr>
        <w:t xml:space="preserve"> group of persons</w:t>
      </w:r>
      <w:r w:rsidRPr="00621EFF">
        <w:t xml:space="preserve"> means an applicant for a spectrum licence and all associates of the applicant</w:t>
      </w:r>
      <w:r>
        <w:t xml:space="preserve">, or any </w:t>
      </w:r>
      <w:r>
        <w:rPr>
          <w:szCs w:val="22"/>
        </w:rPr>
        <w:t xml:space="preserve">2 or more such groups of persons that have at least 1 </w:t>
      </w:r>
      <w:r w:rsidRPr="004C3E32">
        <w:t>member</w:t>
      </w:r>
      <w:r>
        <w:rPr>
          <w:szCs w:val="22"/>
        </w:rPr>
        <w:t xml:space="preserve"> in common.</w:t>
      </w:r>
    </w:p>
    <w:p w14:paraId="353E1D09" w14:textId="77777777" w:rsidR="00696579" w:rsidRDefault="00696579" w:rsidP="00696579">
      <w:pPr>
        <w:pStyle w:val="Definition"/>
      </w:pPr>
      <w:proofErr w:type="gramStart"/>
      <w:r>
        <w:rPr>
          <w:b/>
          <w:i/>
        </w:rPr>
        <w:t>spectrum</w:t>
      </w:r>
      <w:proofErr w:type="gramEnd"/>
      <w:r>
        <w:rPr>
          <w:b/>
          <w:i/>
        </w:rPr>
        <w:t xml:space="preserve"> licence</w:t>
      </w:r>
      <w:r>
        <w:t xml:space="preserve"> has the same meaning as in the </w:t>
      </w:r>
      <w:proofErr w:type="spellStart"/>
      <w:r>
        <w:t>Radiocommunications</w:t>
      </w:r>
      <w:proofErr w:type="spellEnd"/>
      <w:r>
        <w:t xml:space="preserve"> Act.</w:t>
      </w:r>
    </w:p>
    <w:p w14:paraId="2AECBA9D" w14:textId="77777777" w:rsidR="00696579" w:rsidRPr="00D5165A" w:rsidRDefault="00696579" w:rsidP="00696579">
      <w:pPr>
        <w:pStyle w:val="Definition"/>
      </w:pPr>
      <w:proofErr w:type="gramStart"/>
      <w:r w:rsidRPr="00BB10EB">
        <w:rPr>
          <w:b/>
          <w:i/>
        </w:rPr>
        <w:t>valid</w:t>
      </w:r>
      <w:proofErr w:type="gramEnd"/>
      <w:r w:rsidRPr="00BB10EB">
        <w:rPr>
          <w:b/>
          <w:i/>
        </w:rPr>
        <w:t xml:space="preserve"> expression of interest</w:t>
      </w:r>
      <w:r>
        <w:t xml:space="preserve"> means an expression of interest for a spectrum licence which may be allocated in accordance with section 10 and which complies with section 10 and any other requirements specified by the ACMA as contemplated by section 10.</w:t>
      </w:r>
    </w:p>
    <w:p w14:paraId="56BFD26E" w14:textId="77777777" w:rsidR="00696579" w:rsidRPr="00621EFF" w:rsidRDefault="00696579" w:rsidP="00696579">
      <w:pPr>
        <w:pStyle w:val="subsection"/>
      </w:pPr>
      <w:bookmarkStart w:id="17" w:name="_Toc418165046"/>
      <w:r w:rsidRPr="00621EFF">
        <w:tab/>
        <w:t>(</w:t>
      </w:r>
      <w:r>
        <w:t>2</w:t>
      </w:r>
      <w:r w:rsidRPr="00621EFF">
        <w:t>)</w:t>
      </w:r>
      <w:r w:rsidRPr="00621EFF">
        <w:tab/>
        <w:t>In this instrument, a reference to a part of the spectrum includes all frequencies that are greater than</w:t>
      </w:r>
      <w:r>
        <w:t xml:space="preserve"> but not including</w:t>
      </w:r>
      <w:r w:rsidRPr="00621EFF">
        <w:t xml:space="preserve"> the lower frequency, up to and including the higher frequency.</w:t>
      </w:r>
    </w:p>
    <w:p w14:paraId="17F8A50C" w14:textId="77777777" w:rsidR="00696579" w:rsidRDefault="00696579" w:rsidP="00696579">
      <w:pPr>
        <w:pStyle w:val="subsection"/>
        <w:rPr>
          <w:szCs w:val="22"/>
        </w:rPr>
      </w:pPr>
      <w:r>
        <w:rPr>
          <w:szCs w:val="22"/>
        </w:rPr>
        <w:tab/>
        <w:t>(3)</w:t>
      </w:r>
      <w:r>
        <w:rPr>
          <w:szCs w:val="22"/>
        </w:rPr>
        <w:tab/>
        <w:t>In this instrument, a figure expressed as $x/MHz/pop means a unit amount to be applied in accordance with this instrument to determine the reserve price or pre-determined price for the allocation of spectrum licences, where:</w:t>
      </w:r>
    </w:p>
    <w:p w14:paraId="38E08418" w14:textId="77777777" w:rsidR="00696579" w:rsidRDefault="00696579" w:rsidP="00696579">
      <w:pPr>
        <w:pStyle w:val="paragraph"/>
      </w:pPr>
      <w:r>
        <w:tab/>
        <w:t>(a)</w:t>
      </w:r>
      <w:r>
        <w:tab/>
        <w:t xml:space="preserve">$x = an amount of Australian </w:t>
      </w:r>
      <w:r w:rsidRPr="004C3E32">
        <w:t>dollars</w:t>
      </w:r>
      <w:r>
        <w:t>;</w:t>
      </w:r>
    </w:p>
    <w:p w14:paraId="1838522E" w14:textId="77777777" w:rsidR="00696579" w:rsidRDefault="00696579" w:rsidP="00696579">
      <w:pPr>
        <w:pStyle w:val="paragraph"/>
      </w:pPr>
      <w:r>
        <w:tab/>
        <w:t>(b)</w:t>
      </w:r>
      <w:r>
        <w:tab/>
        <w:t xml:space="preserve">MHz = the bandwidth of the part of the spectrum to be specified in a spectrum licence in which operation of </w:t>
      </w:r>
      <w:proofErr w:type="spellStart"/>
      <w:r>
        <w:t>radiocommunications</w:t>
      </w:r>
      <w:proofErr w:type="spellEnd"/>
      <w:r>
        <w:t xml:space="preserve"> devices is authorised; and</w:t>
      </w:r>
    </w:p>
    <w:p w14:paraId="43B570CC" w14:textId="77777777" w:rsidR="00696579" w:rsidRDefault="00696579" w:rsidP="00696579">
      <w:pPr>
        <w:pStyle w:val="paragraph"/>
      </w:pPr>
      <w:r>
        <w:tab/>
        <w:t>(c)</w:t>
      </w:r>
      <w:r>
        <w:tab/>
      </w:r>
      <w:proofErr w:type="gramStart"/>
      <w:r>
        <w:t>pop</w:t>
      </w:r>
      <w:proofErr w:type="gramEnd"/>
      <w:r>
        <w:t xml:space="preserve"> = 22,872,578.</w:t>
      </w:r>
    </w:p>
    <w:p w14:paraId="22B523E5" w14:textId="77777777" w:rsidR="00696579" w:rsidRPr="00621EFF" w:rsidRDefault="00696579" w:rsidP="00696579">
      <w:pPr>
        <w:pStyle w:val="ActHead5"/>
        <w:ind w:left="0" w:firstLine="0"/>
      </w:pPr>
      <w:proofErr w:type="gramStart"/>
      <w:r w:rsidRPr="00621EFF">
        <w:rPr>
          <w:rStyle w:val="CharSectno"/>
        </w:rPr>
        <w:t>5</w:t>
      </w:r>
      <w:r w:rsidRPr="00621EFF">
        <w:t xml:space="preserve">  </w:t>
      </w:r>
      <w:r>
        <w:t>Repeal</w:t>
      </w:r>
      <w:proofErr w:type="gramEnd"/>
      <w:r>
        <w:t xml:space="preserve"> of prior instruments</w:t>
      </w:r>
    </w:p>
    <w:p w14:paraId="1A2EBD3E" w14:textId="77777777" w:rsidR="00696579" w:rsidRPr="00621EFF" w:rsidRDefault="00696579" w:rsidP="00696579">
      <w:pPr>
        <w:pStyle w:val="subsection"/>
      </w:pPr>
      <w:r w:rsidRPr="00621EFF">
        <w:tab/>
      </w:r>
      <w:r w:rsidRPr="00621EFF">
        <w:tab/>
        <w:t xml:space="preserve">The following instruments are </w:t>
      </w:r>
      <w:r>
        <w:t>repealed</w:t>
      </w:r>
      <w:r w:rsidRPr="00621EFF">
        <w:t>:</w:t>
      </w:r>
    </w:p>
    <w:p w14:paraId="0E1EBE15" w14:textId="77777777" w:rsidR="00696579" w:rsidRPr="00621EFF" w:rsidRDefault="00696579" w:rsidP="00696579">
      <w:pPr>
        <w:pStyle w:val="paragraph"/>
      </w:pPr>
      <w:r w:rsidRPr="00621EFF">
        <w:tab/>
        <w:t>(a)</w:t>
      </w:r>
      <w:r w:rsidRPr="00621EFF">
        <w:tab/>
      </w:r>
      <w:proofErr w:type="spellStart"/>
      <w:r w:rsidRPr="00621EFF">
        <w:rPr>
          <w:i/>
        </w:rPr>
        <w:t>Radiocommunications</w:t>
      </w:r>
      <w:proofErr w:type="spellEnd"/>
      <w:r w:rsidRPr="00621EFF">
        <w:rPr>
          <w:i/>
        </w:rPr>
        <w:t xml:space="preserve"> (Spectrum Licence Limits) Direction No. 1 of 2012</w:t>
      </w:r>
      <w:r w:rsidRPr="00621EFF">
        <w:t>; and</w:t>
      </w:r>
    </w:p>
    <w:p w14:paraId="4C6ED4D7" w14:textId="77777777" w:rsidR="00696579" w:rsidRPr="00621EFF" w:rsidRDefault="00696579" w:rsidP="00696579">
      <w:pPr>
        <w:pStyle w:val="paragraph"/>
      </w:pPr>
      <w:r w:rsidRPr="00621EFF">
        <w:tab/>
        <w:t>(b)</w:t>
      </w:r>
      <w:r w:rsidRPr="00621EFF">
        <w:tab/>
      </w:r>
      <w:proofErr w:type="spellStart"/>
      <w:r w:rsidRPr="00621EFF">
        <w:rPr>
          <w:i/>
        </w:rPr>
        <w:t>Radiocommunications</w:t>
      </w:r>
      <w:proofErr w:type="spellEnd"/>
      <w:r w:rsidRPr="00621EFF">
        <w:rPr>
          <w:i/>
        </w:rPr>
        <w:t xml:space="preserve"> (Spectrum Access Charges – 700 MHz Band) Direction No. 1 of 2013</w:t>
      </w:r>
      <w:r w:rsidRPr="00621EFF">
        <w:t>.</w:t>
      </w:r>
    </w:p>
    <w:p w14:paraId="52E81232" w14:textId="77777777" w:rsidR="00696579" w:rsidRPr="00621EFF" w:rsidRDefault="00696579" w:rsidP="00696579">
      <w:pPr>
        <w:pStyle w:val="ActHead5"/>
        <w:ind w:left="0" w:firstLine="0"/>
      </w:pPr>
      <w:bookmarkStart w:id="18" w:name="_Toc418067271"/>
      <w:bookmarkStart w:id="19" w:name="_Toc418067523"/>
      <w:bookmarkStart w:id="20" w:name="_Toc418067539"/>
      <w:bookmarkStart w:id="21" w:name="_Toc418067965"/>
      <w:bookmarkStart w:id="22" w:name="_Toc418165047"/>
      <w:bookmarkStart w:id="23" w:name="_Toc418165039"/>
      <w:proofErr w:type="gramStart"/>
      <w:r>
        <w:rPr>
          <w:rStyle w:val="CharSectno"/>
        </w:rPr>
        <w:lastRenderedPageBreak/>
        <w:t>6</w:t>
      </w:r>
      <w:r w:rsidRPr="00621EFF">
        <w:t xml:space="preserve">  Direction</w:t>
      </w:r>
      <w:proofErr w:type="gramEnd"/>
      <w:r w:rsidRPr="00621EFF">
        <w:t>—</w:t>
      </w:r>
      <w:r>
        <w:t>a</w:t>
      </w:r>
      <w:r w:rsidRPr="00621EFF">
        <w:t xml:space="preserve">llocation </w:t>
      </w:r>
      <w:r>
        <w:t>l</w:t>
      </w:r>
      <w:r w:rsidRPr="00621EFF">
        <w:t>imits</w:t>
      </w:r>
    </w:p>
    <w:p w14:paraId="2C0EFD0E" w14:textId="77777777" w:rsidR="00696579" w:rsidRPr="00621EFF" w:rsidRDefault="00696579" w:rsidP="00696579">
      <w:pPr>
        <w:pStyle w:val="subsection"/>
      </w:pPr>
      <w:r w:rsidRPr="00621EFF">
        <w:tab/>
        <w:t>(1)</w:t>
      </w:r>
      <w:r w:rsidRPr="00621EFF">
        <w:tab/>
        <w:t xml:space="preserve">This direction is given to the ACMA under subsection 60(10) of the </w:t>
      </w:r>
      <w:proofErr w:type="spellStart"/>
      <w:r w:rsidRPr="00621EFF">
        <w:t>Radiocommunications</w:t>
      </w:r>
      <w:proofErr w:type="spellEnd"/>
      <w:r w:rsidRPr="00621EFF">
        <w:t xml:space="preserve"> Act.</w:t>
      </w:r>
    </w:p>
    <w:p w14:paraId="560EC359" w14:textId="77777777" w:rsidR="00696579" w:rsidRDefault="00696579" w:rsidP="00696579">
      <w:pPr>
        <w:pStyle w:val="subsection"/>
      </w:pPr>
      <w:r w:rsidRPr="00621EFF">
        <w:tab/>
        <w:t>(</w:t>
      </w:r>
      <w:r>
        <w:t>2</w:t>
      </w:r>
      <w:r w:rsidRPr="00621EFF">
        <w:t>)</w:t>
      </w:r>
      <w:r w:rsidRPr="00621EFF">
        <w:tab/>
        <w:t xml:space="preserve">I direct the ACMA to determine allocation procedures that impose limits </w:t>
      </w:r>
      <w:r>
        <w:t xml:space="preserve">on the aggregate of the parts of the spectrum that may be used </w:t>
      </w:r>
      <w:r w:rsidRPr="00621EFF">
        <w:t>as a result of the allocation of spectrum licences under Subdivision B</w:t>
      </w:r>
      <w:r>
        <w:t xml:space="preserve"> of Division 1</w:t>
      </w:r>
      <w:r w:rsidRPr="00621EFF">
        <w:t xml:space="preserve"> of Part 3.2 of the </w:t>
      </w:r>
      <w:proofErr w:type="spellStart"/>
      <w:r>
        <w:t>Radiocommunications</w:t>
      </w:r>
      <w:proofErr w:type="spellEnd"/>
      <w:r>
        <w:t xml:space="preserve"> </w:t>
      </w:r>
      <w:r w:rsidRPr="00621EFF">
        <w:t>Act</w:t>
      </w:r>
      <w:r>
        <w:t>, in accordance with subsection 6(3).</w:t>
      </w:r>
    </w:p>
    <w:p w14:paraId="0F690F31" w14:textId="77777777" w:rsidR="00696579" w:rsidRDefault="00696579" w:rsidP="00696579">
      <w:pPr>
        <w:pStyle w:val="subsection"/>
      </w:pPr>
      <w:r>
        <w:tab/>
        <w:t>(3)</w:t>
      </w:r>
      <w:r>
        <w:tab/>
        <w:t>The limits must:</w:t>
      </w:r>
    </w:p>
    <w:p w14:paraId="4C7886D1" w14:textId="77777777" w:rsidR="00696579" w:rsidRDefault="00696579" w:rsidP="00696579">
      <w:pPr>
        <w:pStyle w:val="paragraph"/>
      </w:pPr>
      <w:r>
        <w:tab/>
        <w:t>(a)</w:t>
      </w:r>
      <w:r>
        <w:tab/>
      </w:r>
      <w:proofErr w:type="gramStart"/>
      <w:r>
        <w:t>apply</w:t>
      </w:r>
      <w:proofErr w:type="gramEnd"/>
      <w:r>
        <w:t xml:space="preserve"> to the allocation of spectrum licences for residual 700 MHz spectrum in the designated area; and</w:t>
      </w:r>
    </w:p>
    <w:p w14:paraId="46D8ECB9" w14:textId="77777777" w:rsidR="00696579" w:rsidRPr="00621EFF" w:rsidRDefault="00696579" w:rsidP="00696579">
      <w:pPr>
        <w:pStyle w:val="paragraph"/>
      </w:pPr>
      <w:r>
        <w:tab/>
        <w:t>(b)</w:t>
      </w:r>
      <w:r>
        <w:tab/>
      </w:r>
      <w:proofErr w:type="gramStart"/>
      <w:r>
        <w:t>apply</w:t>
      </w:r>
      <w:proofErr w:type="gramEnd"/>
      <w:r>
        <w:t xml:space="preserve"> in relation to the entire 700 MHz band, being the following parts of the spectrum,</w:t>
      </w:r>
      <w:r w:rsidRPr="00FE66B0">
        <w:t xml:space="preserve"> </w:t>
      </w:r>
      <w:r>
        <w:t>in the designated area:</w:t>
      </w:r>
    </w:p>
    <w:p w14:paraId="0AFE4529" w14:textId="77777777" w:rsidR="00696579" w:rsidRPr="00621EFF" w:rsidRDefault="00696579" w:rsidP="00696579">
      <w:pPr>
        <w:pStyle w:val="paragraphsub"/>
      </w:pPr>
      <w:r w:rsidRPr="00621EFF">
        <w:tab/>
        <w:t>(</w:t>
      </w:r>
      <w:proofErr w:type="spellStart"/>
      <w:r>
        <w:t>i</w:t>
      </w:r>
      <w:proofErr w:type="spellEnd"/>
      <w:r w:rsidRPr="00621EFF">
        <w:t>)</w:t>
      </w:r>
      <w:r w:rsidRPr="00621EFF">
        <w:tab/>
      </w:r>
      <w:r>
        <w:t>703 MHz to 748 MHz; and</w:t>
      </w:r>
    </w:p>
    <w:p w14:paraId="57AFE21A" w14:textId="77777777" w:rsidR="00696579" w:rsidRDefault="00696579" w:rsidP="00696579">
      <w:pPr>
        <w:pStyle w:val="paragraphsub"/>
      </w:pPr>
      <w:r w:rsidRPr="00621EFF">
        <w:tab/>
        <w:t>(</w:t>
      </w:r>
      <w:r>
        <w:t>ii</w:t>
      </w:r>
      <w:r w:rsidRPr="00621EFF">
        <w:t>)</w:t>
      </w:r>
      <w:r w:rsidRPr="00621EFF">
        <w:tab/>
      </w:r>
      <w:r>
        <w:t>758 MHz to 803 MHz; and</w:t>
      </w:r>
    </w:p>
    <w:p w14:paraId="1181DFBB" w14:textId="77777777" w:rsidR="00696579" w:rsidRDefault="00696579" w:rsidP="00696579">
      <w:pPr>
        <w:pStyle w:val="paragraph"/>
      </w:pPr>
      <w:r>
        <w:tab/>
        <w:t>(c)</w:t>
      </w:r>
      <w:r>
        <w:tab/>
      </w:r>
      <w:proofErr w:type="gramStart"/>
      <w:r>
        <w:t>ensure</w:t>
      </w:r>
      <w:proofErr w:type="gramEnd"/>
      <w:r>
        <w:t xml:space="preserve"> that no person or specified group of persons may use</w:t>
      </w:r>
      <w:bookmarkEnd w:id="18"/>
      <w:bookmarkEnd w:id="19"/>
      <w:bookmarkEnd w:id="20"/>
      <w:bookmarkEnd w:id="21"/>
      <w:bookmarkEnd w:id="22"/>
      <w:r>
        <w:t xml:space="preserve"> more than 20 MHz of either part of the spectrum</w:t>
      </w:r>
      <w:r w:rsidRPr="00C50D81">
        <w:t xml:space="preserve"> </w:t>
      </w:r>
      <w:r>
        <w:t>described in paragraph 6(3)(b) in the designated area.</w:t>
      </w:r>
    </w:p>
    <w:p w14:paraId="3E70CC12" w14:textId="77777777" w:rsidR="00696579" w:rsidRPr="00621EFF" w:rsidRDefault="00696579" w:rsidP="00696579">
      <w:pPr>
        <w:pStyle w:val="ActHead5"/>
        <w:ind w:left="0" w:firstLine="0"/>
      </w:pPr>
      <w:proofErr w:type="gramStart"/>
      <w:r>
        <w:rPr>
          <w:rStyle w:val="CharSectno"/>
        </w:rPr>
        <w:t>7</w:t>
      </w:r>
      <w:r w:rsidRPr="00621EFF">
        <w:t xml:space="preserve">  </w:t>
      </w:r>
      <w:r>
        <w:t>Direction</w:t>
      </w:r>
      <w:proofErr w:type="gramEnd"/>
      <w:r>
        <w:t>—spectrum access charges payable by instalments</w:t>
      </w:r>
    </w:p>
    <w:p w14:paraId="08519ECA" w14:textId="77777777" w:rsidR="00696579" w:rsidRDefault="00696579" w:rsidP="00696579">
      <w:pPr>
        <w:pStyle w:val="subsection"/>
      </w:pPr>
      <w:r>
        <w:tab/>
        <w:t>(1)</w:t>
      </w:r>
      <w:r>
        <w:tab/>
        <w:t xml:space="preserve">This direction is given to the ACMA under subsection 294(2) of the </w:t>
      </w:r>
      <w:proofErr w:type="spellStart"/>
      <w:r>
        <w:t>Radiocommunications</w:t>
      </w:r>
      <w:proofErr w:type="spellEnd"/>
      <w:r>
        <w:t xml:space="preserve"> Act.</w:t>
      </w:r>
    </w:p>
    <w:p w14:paraId="3E457377" w14:textId="77777777" w:rsidR="00696579" w:rsidRDefault="00696579" w:rsidP="00696579">
      <w:pPr>
        <w:pStyle w:val="SubsectionHead"/>
      </w:pPr>
      <w:r>
        <w:t>Payment by instalments</w:t>
      </w:r>
    </w:p>
    <w:p w14:paraId="7368A320" w14:textId="2F9C7B2E" w:rsidR="00263069" w:rsidRPr="00621EFF" w:rsidRDefault="00696579" w:rsidP="003613BB">
      <w:pPr>
        <w:pStyle w:val="subsection"/>
      </w:pPr>
      <w:r w:rsidRPr="00621EFF">
        <w:tab/>
        <w:t>(</w:t>
      </w:r>
      <w:r>
        <w:t>2</w:t>
      </w:r>
      <w:r w:rsidRPr="00621EFF">
        <w:t>)</w:t>
      </w:r>
      <w:r w:rsidRPr="00621EFF">
        <w:tab/>
      </w:r>
      <w:r>
        <w:t xml:space="preserve">I direct the ACMA that </w:t>
      </w:r>
      <w:r w:rsidRPr="00621EFF">
        <w:t>person</w:t>
      </w:r>
      <w:r>
        <w:t>s</w:t>
      </w:r>
      <w:r w:rsidRPr="00621EFF">
        <w:t xml:space="preserve"> be permitted to pay </w:t>
      </w:r>
      <w:r>
        <w:t>spectrum access charges fixed by it in a charges determination relating to spectrum licences for residual 700 MHz spectrum allocated and issued in accordance with this instrument in instalments, if the instalments meet the conditions set out in subsections 7(3) to 7(6)</w:t>
      </w:r>
      <w:r w:rsidRPr="00621EFF">
        <w:t>.</w:t>
      </w:r>
      <w:r>
        <w:t xml:space="preserve"> Nothing in this instrument otherwise limits the ACMA’s power to make a charges determination, where the exercise of the power is consistent with the relevant parts of the instrument.</w:t>
      </w:r>
    </w:p>
    <w:p w14:paraId="791C338A" w14:textId="77777777" w:rsidR="00696579" w:rsidRDefault="00696579" w:rsidP="00696579">
      <w:pPr>
        <w:pStyle w:val="SubsectionHead"/>
      </w:pPr>
      <w:r>
        <w:lastRenderedPageBreak/>
        <w:t>Conditions for payment by instalments</w:t>
      </w:r>
    </w:p>
    <w:p w14:paraId="49F21DA8" w14:textId="77777777" w:rsidR="00696579" w:rsidRDefault="00696579" w:rsidP="00696579">
      <w:pPr>
        <w:pStyle w:val="subsection"/>
      </w:pPr>
      <w:r>
        <w:tab/>
        <w:t>(3)</w:t>
      </w:r>
      <w:r>
        <w:tab/>
        <w:t>The first instalment payment must be payable at least 2 months before the commencement of the spectrum licence.</w:t>
      </w:r>
    </w:p>
    <w:p w14:paraId="68689EDB" w14:textId="77777777" w:rsidR="00696579" w:rsidRDefault="00696579" w:rsidP="00696579">
      <w:pPr>
        <w:pStyle w:val="subsection"/>
      </w:pPr>
      <w:r>
        <w:tab/>
        <w:t>(4)</w:t>
      </w:r>
      <w:r>
        <w:tab/>
        <w:t>The present value of the total spectrum access charges fixed for issuing a spectrum licence must be the same (when rounded to the nearest $1,000) as the amount determined in accordance with the allocation procedures, after adding together the present value of each instalment calculated in accordance with subsection 7(5).</w:t>
      </w:r>
    </w:p>
    <w:p w14:paraId="10A315D2" w14:textId="77777777" w:rsidR="00696579" w:rsidRDefault="00696579" w:rsidP="00696579">
      <w:pPr>
        <w:pStyle w:val="subsection"/>
      </w:pPr>
      <w:r>
        <w:tab/>
        <w:t>(5)</w:t>
      </w:r>
      <w:r>
        <w:tab/>
        <w:t>The present value of the first instalment payment must be calculated as being the same as the amount of that payment. The present value of any subsequent instalment payment must be calculated as being the amount of that instalment payment reduced at the rate of 5% per annum for the period from the date that instalment payment is payable to the date the first instalment payment is payable.</w:t>
      </w:r>
    </w:p>
    <w:p w14:paraId="5B88E018" w14:textId="77777777" w:rsidR="00696579" w:rsidRDefault="00696579" w:rsidP="00696579">
      <w:pPr>
        <w:pStyle w:val="subsection"/>
      </w:pPr>
      <w:r>
        <w:tab/>
        <w:t>(6)</w:t>
      </w:r>
      <w:r>
        <w:tab/>
        <w:t>If a spectrum licence is allocated in accordance with an allocation process conducted by the ACMA in accordance with the direction in section 8, the spectrum access charges must be payable in no more than three consecutive annual instalments.</w:t>
      </w:r>
    </w:p>
    <w:p w14:paraId="2D09EB83" w14:textId="77777777" w:rsidR="00696579" w:rsidRDefault="00696579" w:rsidP="00696579">
      <w:pPr>
        <w:pStyle w:val="notetext"/>
      </w:pPr>
      <w:r>
        <w:t>Example:</w:t>
      </w:r>
      <w:r>
        <w:tab/>
        <w:t>Spectrum access charges may be payable on 1 January 2018, 1 January 2019 and 1 January 2020.</w:t>
      </w:r>
    </w:p>
    <w:bookmarkEnd w:id="23"/>
    <w:p w14:paraId="709CBE8E" w14:textId="77777777" w:rsidR="00696579" w:rsidRPr="00621EFF" w:rsidRDefault="00696579" w:rsidP="00696579">
      <w:pPr>
        <w:pStyle w:val="ActHead5"/>
        <w:ind w:left="0" w:firstLine="0"/>
      </w:pPr>
      <w:proofErr w:type="gramStart"/>
      <w:r>
        <w:rPr>
          <w:rStyle w:val="CharSectno"/>
        </w:rPr>
        <w:t>8</w:t>
      </w:r>
      <w:r w:rsidRPr="00621EFF">
        <w:t xml:space="preserve">  Direction</w:t>
      </w:r>
      <w:proofErr w:type="gramEnd"/>
      <w:r w:rsidRPr="00621EFF">
        <w:t>—</w:t>
      </w:r>
      <w:r>
        <w:t>primary a</w:t>
      </w:r>
      <w:r w:rsidRPr="00621EFF">
        <w:t xml:space="preserve">llocation </w:t>
      </w:r>
      <w:r>
        <w:t xml:space="preserve">process </w:t>
      </w:r>
    </w:p>
    <w:p w14:paraId="48472FBE" w14:textId="77777777" w:rsidR="00696579" w:rsidRPr="0031671D" w:rsidRDefault="00696579" w:rsidP="00696579">
      <w:pPr>
        <w:pStyle w:val="subsection"/>
      </w:pPr>
      <w:r w:rsidRPr="00621EFF">
        <w:tab/>
        <w:t>(1)</w:t>
      </w:r>
      <w:r w:rsidRPr="00621EFF">
        <w:tab/>
        <w:t>This direction is given to the ACMA under subsection 14(1) of the ACMA Act.</w:t>
      </w:r>
    </w:p>
    <w:p w14:paraId="6DFF6410" w14:textId="77777777" w:rsidR="00696579" w:rsidRDefault="00696579" w:rsidP="00696579">
      <w:pPr>
        <w:pStyle w:val="SubsectionHead"/>
      </w:pPr>
      <w:r>
        <w:t>Direction</w:t>
      </w:r>
    </w:p>
    <w:p w14:paraId="79AEA40F" w14:textId="77777777" w:rsidR="00696579" w:rsidRPr="00621EFF" w:rsidRDefault="00696579" w:rsidP="00696579">
      <w:pPr>
        <w:pStyle w:val="subsection"/>
      </w:pPr>
      <w:r w:rsidRPr="00621EFF">
        <w:tab/>
        <w:t>(</w:t>
      </w:r>
      <w:r>
        <w:t>2</w:t>
      </w:r>
      <w:r w:rsidRPr="00621EFF">
        <w:t>)</w:t>
      </w:r>
      <w:r w:rsidRPr="00621EFF">
        <w:tab/>
        <w:t>I direct the ACMA to take such action as it considers necessary</w:t>
      </w:r>
      <w:r>
        <w:t xml:space="preserve"> or convenient</w:t>
      </w:r>
      <w:r w:rsidRPr="00621EFF">
        <w:t xml:space="preserve"> to allocate and issue </w:t>
      </w:r>
      <w:r>
        <w:t xml:space="preserve">spectrum </w:t>
      </w:r>
      <w:r w:rsidRPr="00621EFF">
        <w:t>licences</w:t>
      </w:r>
      <w:r>
        <w:t>,</w:t>
      </w:r>
      <w:r w:rsidRPr="00621EFF">
        <w:t xml:space="preserve"> </w:t>
      </w:r>
      <w:r>
        <w:t xml:space="preserve">authorising the operation of </w:t>
      </w:r>
      <w:proofErr w:type="spellStart"/>
      <w:r>
        <w:t>radiocommunications</w:t>
      </w:r>
      <w:proofErr w:type="spellEnd"/>
      <w:r>
        <w:t xml:space="preserve"> devices in </w:t>
      </w:r>
      <w:r w:rsidRPr="00621EFF">
        <w:t xml:space="preserve">residual 700 MHz </w:t>
      </w:r>
      <w:r>
        <w:t>spectrum</w:t>
      </w:r>
      <w:r w:rsidRPr="00621EFF">
        <w:t xml:space="preserve"> in the </w:t>
      </w:r>
      <w:r>
        <w:t>designated</w:t>
      </w:r>
      <w:r w:rsidRPr="00621EFF">
        <w:t xml:space="preserve"> area</w:t>
      </w:r>
      <w:r>
        <w:t>, in a manner that is consistent with the requirements of this instrument</w:t>
      </w:r>
      <w:r w:rsidRPr="00621EFF">
        <w:t>.</w:t>
      </w:r>
    </w:p>
    <w:p w14:paraId="3BD8C32B" w14:textId="77777777" w:rsidR="00696579" w:rsidRDefault="00696579" w:rsidP="00696579">
      <w:pPr>
        <w:pStyle w:val="SubsectionHead"/>
      </w:pPr>
      <w:r>
        <w:lastRenderedPageBreak/>
        <w:t>Allocation instruments</w:t>
      </w:r>
    </w:p>
    <w:p w14:paraId="05C41BDF" w14:textId="77777777" w:rsidR="00696579" w:rsidRDefault="00696579" w:rsidP="00696579">
      <w:pPr>
        <w:pStyle w:val="subsection"/>
      </w:pPr>
      <w:r w:rsidRPr="00621EFF">
        <w:tab/>
        <w:t>(</w:t>
      </w:r>
      <w:r>
        <w:t>3</w:t>
      </w:r>
      <w:r w:rsidRPr="00621EFF">
        <w:t>)</w:t>
      </w:r>
      <w:r w:rsidRPr="00621EFF">
        <w:tab/>
        <w:t>In giving effect to this direction, the ACMA must, as it considers necessary</w:t>
      </w:r>
      <w:r>
        <w:t xml:space="preserve"> or convenient</w:t>
      </w:r>
      <w:r w:rsidRPr="00621EFF">
        <w:t>, make or amend a marketing plan and determine allocation procedures</w:t>
      </w:r>
      <w:r>
        <w:t xml:space="preserve"> that are consistent with the requirements of this instrument</w:t>
      </w:r>
      <w:r w:rsidRPr="00621EFF">
        <w:t>.</w:t>
      </w:r>
      <w:r>
        <w:t xml:space="preserve"> Nothing in this instrument otherwise limits the ACMA’s power to make or amend a marketing plan, or determine allocation procedures, where the exercise of the power is consistent with the relevant parts of the instrument.</w:t>
      </w:r>
    </w:p>
    <w:p w14:paraId="4F6DE5EB" w14:textId="77777777" w:rsidR="00696579" w:rsidRDefault="00696579" w:rsidP="00696579">
      <w:pPr>
        <w:pStyle w:val="notetext"/>
      </w:pPr>
      <w:r>
        <w:t>Examples:</w:t>
      </w:r>
      <w:r>
        <w:tab/>
        <w:t>The ACMA may charge an application fee or require financial security be given prior to the allocation of a licence.</w:t>
      </w:r>
    </w:p>
    <w:bookmarkEnd w:id="17"/>
    <w:p w14:paraId="461A5325" w14:textId="77777777" w:rsidR="00696579" w:rsidRPr="0012332C" w:rsidRDefault="00696579" w:rsidP="00696579">
      <w:pPr>
        <w:pStyle w:val="SubsectionHead"/>
      </w:pPr>
      <w:r w:rsidRPr="0012332C">
        <w:t>Lot configuration and order of allocation</w:t>
      </w:r>
    </w:p>
    <w:p w14:paraId="7AF4860F" w14:textId="77777777" w:rsidR="00696579" w:rsidRDefault="00696579" w:rsidP="00696579">
      <w:pPr>
        <w:pStyle w:val="subsection"/>
      </w:pPr>
      <w:r>
        <w:tab/>
        <w:t>(4)</w:t>
      </w:r>
      <w:r>
        <w:tab/>
        <w:t>Spectrum licences allocated in accordance with this section must be offered as two products sequentially (and not concurrently) in the following order:</w:t>
      </w:r>
    </w:p>
    <w:p w14:paraId="11C7E291" w14:textId="77777777" w:rsidR="00696579" w:rsidRDefault="00696579" w:rsidP="00696579">
      <w:pPr>
        <w:pStyle w:val="paragraph"/>
      </w:pPr>
      <w:r>
        <w:tab/>
        <w:t>(a)</w:t>
      </w:r>
      <w:r>
        <w:tab/>
      </w:r>
      <w:proofErr w:type="gramStart"/>
      <w:r>
        <w:t>first</w:t>
      </w:r>
      <w:proofErr w:type="gramEnd"/>
      <w:r>
        <w:t xml:space="preserve"> product—2x10 MHz lot;</w:t>
      </w:r>
    </w:p>
    <w:p w14:paraId="3C4B848E" w14:textId="77777777" w:rsidR="00696579" w:rsidRPr="00C268FF" w:rsidRDefault="00696579" w:rsidP="00696579">
      <w:pPr>
        <w:pStyle w:val="paragraph"/>
      </w:pPr>
      <w:r>
        <w:tab/>
        <w:t>(b)</w:t>
      </w:r>
      <w:r>
        <w:tab/>
      </w:r>
      <w:proofErr w:type="gramStart"/>
      <w:r>
        <w:t>second</w:t>
      </w:r>
      <w:proofErr w:type="gramEnd"/>
      <w:r>
        <w:t xml:space="preserve"> product—2x5 MHz lot.</w:t>
      </w:r>
    </w:p>
    <w:p w14:paraId="3829180C" w14:textId="77777777" w:rsidR="00696579" w:rsidRPr="0012332C" w:rsidRDefault="00696579" w:rsidP="00696579">
      <w:pPr>
        <w:pStyle w:val="SubsectionHead"/>
      </w:pPr>
      <w:r w:rsidRPr="0012332C">
        <w:t>Method of allocation</w:t>
      </w:r>
    </w:p>
    <w:p w14:paraId="1B8C63BF" w14:textId="77777777" w:rsidR="00696579" w:rsidRDefault="00696579" w:rsidP="00696579">
      <w:pPr>
        <w:pStyle w:val="subsection"/>
      </w:pPr>
      <w:r w:rsidRPr="00621EFF">
        <w:tab/>
      </w:r>
      <w:r>
        <w:t>(5)</w:t>
      </w:r>
      <w:r w:rsidRPr="00621EFF">
        <w:tab/>
      </w:r>
      <w:r>
        <w:t>Subject to subsection 8(6), s</w:t>
      </w:r>
      <w:r w:rsidRPr="00621EFF">
        <w:t xml:space="preserve">pectrum licences allocated in accordance with </w:t>
      </w:r>
      <w:r>
        <w:t xml:space="preserve">this section </w:t>
      </w:r>
      <w:r w:rsidRPr="00621EFF">
        <w:t xml:space="preserve">must be allocated by way of </w:t>
      </w:r>
      <w:r>
        <w:t>auction.</w:t>
      </w:r>
    </w:p>
    <w:p w14:paraId="73DB52A0" w14:textId="77777777" w:rsidR="00696579" w:rsidRPr="0012332C" w:rsidRDefault="00696579" w:rsidP="00696579">
      <w:pPr>
        <w:pStyle w:val="SubsectionHead"/>
      </w:pPr>
      <w:r w:rsidRPr="0012332C">
        <w:t>Alternative method of allocation</w:t>
      </w:r>
    </w:p>
    <w:p w14:paraId="3FFDC5D4" w14:textId="77777777" w:rsidR="00696579" w:rsidRPr="00621EFF" w:rsidRDefault="00696579" w:rsidP="00696579">
      <w:pPr>
        <w:pStyle w:val="subsection"/>
      </w:pPr>
      <w:r>
        <w:tab/>
        <w:t>(6)</w:t>
      </w:r>
      <w:r>
        <w:tab/>
        <w:t>If the ACMA considers that it can identify a person willing to make the highest value payment for the allocation a spectrum licence that may be allocated in accordance with this section, then the licence may instead be allocated for a pre-determined price that is calculated as specified in subsection 8(8)</w:t>
      </w:r>
      <w:r w:rsidRPr="00621EFF">
        <w:t>.</w:t>
      </w:r>
    </w:p>
    <w:p w14:paraId="059B19AE" w14:textId="77777777" w:rsidR="00696579" w:rsidRPr="0012332C" w:rsidRDefault="00696579" w:rsidP="00696579">
      <w:pPr>
        <w:pStyle w:val="SubsectionHead"/>
      </w:pPr>
      <w:r w:rsidRPr="0012332C">
        <w:t>Duration of licences</w:t>
      </w:r>
    </w:p>
    <w:p w14:paraId="2A34DC83" w14:textId="77777777" w:rsidR="00696579" w:rsidRDefault="00696579" w:rsidP="00696579">
      <w:pPr>
        <w:pStyle w:val="subsection"/>
      </w:pPr>
      <w:r>
        <w:tab/>
        <w:t>(7)</w:t>
      </w:r>
      <w:r>
        <w:tab/>
        <w:t>Spectrum licences allocated in accordance with this section must be issued to come into force on 1 April 2018 and expire on 31 December 2029</w:t>
      </w:r>
      <w:r w:rsidRPr="00621EFF">
        <w:t>.</w:t>
      </w:r>
    </w:p>
    <w:p w14:paraId="48FC5F30" w14:textId="77777777" w:rsidR="00696579" w:rsidRPr="00CD3D9C" w:rsidRDefault="00696579" w:rsidP="00696579">
      <w:pPr>
        <w:pStyle w:val="SubsectionHead"/>
      </w:pPr>
      <w:r w:rsidRPr="00CD3D9C">
        <w:lastRenderedPageBreak/>
        <w:t>Reserve price</w:t>
      </w:r>
    </w:p>
    <w:p w14:paraId="6020A35F" w14:textId="79D1B4FD" w:rsidR="008D29D4" w:rsidRDefault="00696579" w:rsidP="00696579">
      <w:pPr>
        <w:pStyle w:val="subsection"/>
      </w:pPr>
      <w:r w:rsidRPr="00621EFF">
        <w:tab/>
      </w:r>
      <w:r>
        <w:t>(8)</w:t>
      </w:r>
      <w:r w:rsidRPr="00621EFF">
        <w:tab/>
        <w:t>The reserve price</w:t>
      </w:r>
      <w:r>
        <w:t xml:space="preserve"> for an auction,</w:t>
      </w:r>
      <w:r w:rsidRPr="00621EFF">
        <w:t xml:space="preserve"> </w:t>
      </w:r>
      <w:r>
        <w:t xml:space="preserve">or the pre-determined price (if not allocated by way of auction), </w:t>
      </w:r>
      <w:r w:rsidRPr="00621EFF">
        <w:t xml:space="preserve">for each spectrum licence allocated in accordance with </w:t>
      </w:r>
      <w:r>
        <w:t xml:space="preserve">this </w:t>
      </w:r>
      <w:r w:rsidRPr="00621EFF">
        <w:t>section must be $</w:t>
      </w:r>
      <w:r>
        <w:t>1.25/</w:t>
      </w:r>
      <w:r w:rsidRPr="00621EFF">
        <w:t>MHz</w:t>
      </w:r>
      <w:r>
        <w:t>/pop (rounded to the nearest $1,000)</w:t>
      </w:r>
      <w:r w:rsidRPr="00621EFF">
        <w:t>.</w:t>
      </w:r>
    </w:p>
    <w:p w14:paraId="5C32AAA8" w14:textId="312174C7" w:rsidR="00263069" w:rsidRPr="00E0556E" w:rsidRDefault="003613BB" w:rsidP="003613BB">
      <w:pPr>
        <w:pStyle w:val="SubsectionHead"/>
      </w:pPr>
      <w:r>
        <w:t>P</w:t>
      </w:r>
      <w:r w:rsidRPr="00E0556E">
        <w:t>ayment of spectrum access charge</w:t>
      </w:r>
      <w:r>
        <w:t>s by instalments – amounts secured by</w:t>
      </w:r>
      <w:r w:rsidR="00B36F73">
        <w:t xml:space="preserve"> guarantee</w:t>
      </w:r>
      <w:r w:rsidR="00263069" w:rsidRPr="00E0556E">
        <w:t xml:space="preserve"> </w:t>
      </w:r>
    </w:p>
    <w:p w14:paraId="32A88220" w14:textId="20CBFF7B" w:rsidR="00A46F2E" w:rsidRDefault="00263069" w:rsidP="00A46F2E">
      <w:pPr>
        <w:pStyle w:val="subsection"/>
      </w:pPr>
      <w:r w:rsidRPr="00621EFF">
        <w:tab/>
      </w:r>
      <w:r>
        <w:t>(9)</w:t>
      </w:r>
      <w:r w:rsidRPr="00E0556E">
        <w:t xml:space="preserve"> </w:t>
      </w:r>
      <w:r w:rsidRPr="00621EFF">
        <w:tab/>
      </w:r>
      <w:r w:rsidR="00A46F2E" w:rsidRPr="00A46F2E">
        <w:t xml:space="preserve"> </w:t>
      </w:r>
      <w:r w:rsidR="00A46F2E">
        <w:t>If the ACMA requires a person paying spectrum access charges by instalments for a spectrum licence allocated in accordance with this instrument to provide a bank guarantee, the following conditions apply:</w:t>
      </w:r>
    </w:p>
    <w:p w14:paraId="3BAC85A3" w14:textId="41E36307" w:rsidR="00A46F2E" w:rsidRDefault="00A46F2E" w:rsidP="007C7F08">
      <w:pPr>
        <w:pStyle w:val="paragraph"/>
      </w:pPr>
      <w:r>
        <w:tab/>
      </w:r>
      <w:r>
        <w:tab/>
        <w:t>(a)</w:t>
      </w:r>
      <w:r>
        <w:tab/>
        <w:t>the bank guarantee is only required to be provided for the period during which any spectrum access charges remain owing by that person; and</w:t>
      </w:r>
    </w:p>
    <w:p w14:paraId="2C5A2D84" w14:textId="45D55476" w:rsidR="00D26CC8" w:rsidRDefault="00A46F2E" w:rsidP="007C7F08">
      <w:pPr>
        <w:pStyle w:val="paragraph"/>
      </w:pPr>
      <w:r>
        <w:tab/>
      </w:r>
      <w:r>
        <w:tab/>
        <w:t>(b)</w:t>
      </w:r>
      <w:r>
        <w:tab/>
      </w:r>
      <w:proofErr w:type="gramStart"/>
      <w:r>
        <w:t>the</w:t>
      </w:r>
      <w:proofErr w:type="gramEnd"/>
      <w:r>
        <w:t xml:space="preserve"> maximum amount that may be claimed by the Commonwealth under the bank guarantee must not at any time exceed 5% of the amount of the spectrum access charges owing to the Commonwealth at that time.</w:t>
      </w:r>
    </w:p>
    <w:p w14:paraId="6B2E7844" w14:textId="77777777" w:rsidR="00696579" w:rsidRPr="00621EFF" w:rsidRDefault="00696579" w:rsidP="00696579">
      <w:pPr>
        <w:pStyle w:val="ActHead5"/>
        <w:ind w:left="0" w:firstLine="0"/>
      </w:pPr>
      <w:proofErr w:type="gramStart"/>
      <w:r>
        <w:rPr>
          <w:rStyle w:val="CharSectno"/>
        </w:rPr>
        <w:t>9</w:t>
      </w:r>
      <w:r w:rsidRPr="00621EFF">
        <w:t xml:space="preserve">  </w:t>
      </w:r>
      <w:r>
        <w:t>Repeal</w:t>
      </w:r>
      <w:proofErr w:type="gramEnd"/>
      <w:r>
        <w:t xml:space="preserve"> of provisions of this instrument</w:t>
      </w:r>
    </w:p>
    <w:p w14:paraId="70C8BA71" w14:textId="77777777" w:rsidR="00696579" w:rsidRDefault="00696579" w:rsidP="00696579">
      <w:pPr>
        <w:pStyle w:val="subsection"/>
      </w:pPr>
      <w:r>
        <w:tab/>
      </w:r>
      <w:r>
        <w:tab/>
        <w:t>The following provisions of this instrument are repealed:</w:t>
      </w:r>
    </w:p>
    <w:p w14:paraId="5FA57710" w14:textId="77777777" w:rsidR="00696579" w:rsidRDefault="00696579" w:rsidP="00696579">
      <w:pPr>
        <w:pStyle w:val="paragraph"/>
      </w:pPr>
      <w:r>
        <w:tab/>
        <w:t>(a)</w:t>
      </w:r>
      <w:r>
        <w:tab/>
      </w:r>
      <w:proofErr w:type="gramStart"/>
      <w:r>
        <w:t>section</w:t>
      </w:r>
      <w:proofErr w:type="gramEnd"/>
      <w:r>
        <w:t xml:space="preserve"> 6; and</w:t>
      </w:r>
    </w:p>
    <w:p w14:paraId="69D57DF2" w14:textId="77777777" w:rsidR="00696579" w:rsidRDefault="00696579" w:rsidP="00696579">
      <w:pPr>
        <w:pStyle w:val="paragraph"/>
      </w:pPr>
      <w:r>
        <w:tab/>
        <w:t>(b)</w:t>
      </w:r>
      <w:r>
        <w:tab/>
      </w:r>
      <w:proofErr w:type="gramStart"/>
      <w:r>
        <w:t>section</w:t>
      </w:r>
      <w:proofErr w:type="gramEnd"/>
      <w:r>
        <w:t xml:space="preserve"> 8.</w:t>
      </w:r>
    </w:p>
    <w:p w14:paraId="3E4DA4A6" w14:textId="77777777" w:rsidR="00696579" w:rsidRDefault="00696579" w:rsidP="00696579">
      <w:pPr>
        <w:pStyle w:val="ActHead5"/>
        <w:ind w:left="0" w:firstLine="0"/>
      </w:pPr>
      <w:proofErr w:type="gramStart"/>
      <w:r w:rsidRPr="00043001">
        <w:rPr>
          <w:rStyle w:val="CharSectno"/>
        </w:rPr>
        <w:t>10</w:t>
      </w:r>
      <w:r>
        <w:t xml:space="preserve">  </w:t>
      </w:r>
      <w:r w:rsidRPr="00D56998">
        <w:t>Direction</w:t>
      </w:r>
      <w:proofErr w:type="gramEnd"/>
      <w:r w:rsidRPr="00D56998">
        <w:t>—secondary allocation process</w:t>
      </w:r>
    </w:p>
    <w:p w14:paraId="43B2582F" w14:textId="77777777" w:rsidR="00696579" w:rsidRPr="0031671D" w:rsidRDefault="00696579" w:rsidP="00696579">
      <w:pPr>
        <w:pStyle w:val="subsection"/>
      </w:pPr>
      <w:r w:rsidRPr="00621EFF">
        <w:tab/>
        <w:t>(1)</w:t>
      </w:r>
      <w:r w:rsidRPr="00621EFF">
        <w:tab/>
      </w:r>
      <w:r>
        <w:t>T</w:t>
      </w:r>
      <w:r w:rsidRPr="00621EFF">
        <w:t>his direction is given to the ACMA under subsection 14(1) of the ACMA Act.</w:t>
      </w:r>
    </w:p>
    <w:p w14:paraId="2BEDE1C9" w14:textId="77777777" w:rsidR="00696579" w:rsidRDefault="00696579" w:rsidP="00696579">
      <w:pPr>
        <w:pStyle w:val="SubsectionHead"/>
      </w:pPr>
      <w:r>
        <w:t>Direction</w:t>
      </w:r>
    </w:p>
    <w:p w14:paraId="5FFBA646" w14:textId="77777777" w:rsidR="00696579" w:rsidRPr="00621EFF" w:rsidRDefault="00696579" w:rsidP="00696579">
      <w:pPr>
        <w:pStyle w:val="subsection"/>
      </w:pPr>
      <w:r w:rsidRPr="00621EFF">
        <w:tab/>
        <w:t>(</w:t>
      </w:r>
      <w:r>
        <w:t>2</w:t>
      </w:r>
      <w:r w:rsidRPr="00621EFF">
        <w:t>)</w:t>
      </w:r>
      <w:r w:rsidRPr="00621EFF">
        <w:tab/>
        <w:t>I direct the ACMA to take such action as it considers necessary</w:t>
      </w:r>
      <w:r>
        <w:t xml:space="preserve"> or convenient</w:t>
      </w:r>
      <w:r w:rsidRPr="00621EFF">
        <w:t xml:space="preserve"> to allocate and issue </w:t>
      </w:r>
      <w:r>
        <w:t xml:space="preserve">spectrum </w:t>
      </w:r>
      <w:r w:rsidRPr="00621EFF">
        <w:t>licence</w:t>
      </w:r>
      <w:r>
        <w:t>s,</w:t>
      </w:r>
      <w:r w:rsidRPr="00621EFF">
        <w:t xml:space="preserve"> </w:t>
      </w:r>
      <w:r>
        <w:t xml:space="preserve">authorising the operation of </w:t>
      </w:r>
      <w:proofErr w:type="spellStart"/>
      <w:r>
        <w:t>radiocommunications</w:t>
      </w:r>
      <w:proofErr w:type="spellEnd"/>
      <w:r>
        <w:t xml:space="preserve"> devices in any part of </w:t>
      </w:r>
      <w:r w:rsidRPr="00621EFF">
        <w:t xml:space="preserve">residual 700 MHz </w:t>
      </w:r>
      <w:r>
        <w:t>spectrum</w:t>
      </w:r>
      <w:r w:rsidRPr="00621EFF">
        <w:t xml:space="preserve"> in the </w:t>
      </w:r>
      <w:r>
        <w:t>designated</w:t>
      </w:r>
      <w:r w:rsidRPr="00621EFF">
        <w:t xml:space="preserve"> area</w:t>
      </w:r>
      <w:r>
        <w:t xml:space="preserve"> for which a spectrum </w:t>
      </w:r>
      <w:r>
        <w:lastRenderedPageBreak/>
        <w:t>licence has not been allocated as at the commencement of sections 9 and 10 of this instrument, in a manner that is consistent with the requirements of this instrument</w:t>
      </w:r>
      <w:r w:rsidRPr="00621EFF">
        <w:t>.</w:t>
      </w:r>
    </w:p>
    <w:p w14:paraId="5426A57E" w14:textId="77777777" w:rsidR="00696579" w:rsidRDefault="00696579" w:rsidP="00696579">
      <w:pPr>
        <w:pStyle w:val="SubsectionHead"/>
      </w:pPr>
      <w:r>
        <w:t>Allocation instruments</w:t>
      </w:r>
    </w:p>
    <w:p w14:paraId="69A7B959" w14:textId="77777777" w:rsidR="00696579" w:rsidRDefault="00696579" w:rsidP="00696579">
      <w:pPr>
        <w:pStyle w:val="subsection"/>
      </w:pPr>
      <w:r w:rsidRPr="00621EFF">
        <w:tab/>
        <w:t>(</w:t>
      </w:r>
      <w:r>
        <w:t>3</w:t>
      </w:r>
      <w:r w:rsidRPr="00621EFF">
        <w:t>)</w:t>
      </w:r>
      <w:r w:rsidRPr="00621EFF">
        <w:tab/>
        <w:t>In giving effect to this direction, the ACMA must, as it considers necessary</w:t>
      </w:r>
      <w:r>
        <w:t xml:space="preserve"> or convenient</w:t>
      </w:r>
      <w:r w:rsidRPr="00621EFF">
        <w:t>, make or amend a marketing plan and determine allocation procedures</w:t>
      </w:r>
      <w:r>
        <w:t xml:space="preserve"> that are consistent with the requirements of this instrument</w:t>
      </w:r>
      <w:r w:rsidRPr="00621EFF">
        <w:t>.</w:t>
      </w:r>
      <w:r>
        <w:t xml:space="preserve"> Nothing in this instrument otherwise limits the ACMA’s power to make or amend a marketing plan, or determine allocation procedures, where the exercise of the power is consistent with the relevant parts of the instrument.</w:t>
      </w:r>
    </w:p>
    <w:p w14:paraId="627E7EB8" w14:textId="77777777" w:rsidR="00696579" w:rsidRDefault="00696579" w:rsidP="00696579">
      <w:pPr>
        <w:pStyle w:val="notetext"/>
      </w:pPr>
      <w:r>
        <w:t>Examples:</w:t>
      </w:r>
      <w:r>
        <w:tab/>
        <w:t>The ACMA may assess the validity of an expression of interest against determined criteria, charge an application fee or require financial security be given prior to the allocation of a licence.</w:t>
      </w:r>
    </w:p>
    <w:p w14:paraId="29D04E8F" w14:textId="77777777" w:rsidR="00696579" w:rsidRDefault="00696579" w:rsidP="00696579">
      <w:pPr>
        <w:pStyle w:val="SubsectionHead"/>
      </w:pPr>
      <w:r>
        <w:t>Lot configuration</w:t>
      </w:r>
    </w:p>
    <w:p w14:paraId="37628523" w14:textId="77777777" w:rsidR="00696579" w:rsidRDefault="00696579" w:rsidP="00696579">
      <w:pPr>
        <w:pStyle w:val="subsection"/>
      </w:pPr>
      <w:r>
        <w:tab/>
        <w:t>(4)</w:t>
      </w:r>
      <w:r>
        <w:tab/>
        <w:t>Spectrum licences which may be allocated in accordance with this section must, to the extent not allocated as at the commencement of sections 9 and 10, be offered as the following two products:</w:t>
      </w:r>
    </w:p>
    <w:p w14:paraId="599A6A9A" w14:textId="77777777" w:rsidR="00696579" w:rsidRDefault="00696579" w:rsidP="00696579">
      <w:pPr>
        <w:pStyle w:val="paragraph"/>
      </w:pPr>
      <w:r>
        <w:tab/>
        <w:t>(a)</w:t>
      </w:r>
      <w:r>
        <w:tab/>
      </w:r>
      <w:proofErr w:type="gramStart"/>
      <w:r>
        <w:t>first</w:t>
      </w:r>
      <w:proofErr w:type="gramEnd"/>
      <w:r>
        <w:t xml:space="preserve"> product—2x10 MHz lot;</w:t>
      </w:r>
    </w:p>
    <w:p w14:paraId="13F87C73" w14:textId="77777777" w:rsidR="00696579" w:rsidRDefault="00696579" w:rsidP="00696579">
      <w:pPr>
        <w:pStyle w:val="paragraph"/>
      </w:pPr>
      <w:r>
        <w:tab/>
        <w:t>(b)</w:t>
      </w:r>
      <w:r>
        <w:tab/>
      </w:r>
      <w:proofErr w:type="gramStart"/>
      <w:r>
        <w:t>second</w:t>
      </w:r>
      <w:proofErr w:type="gramEnd"/>
      <w:r>
        <w:t xml:space="preserve"> product—2x5 MHz lot.</w:t>
      </w:r>
    </w:p>
    <w:p w14:paraId="3ECB0DD6" w14:textId="77777777" w:rsidR="00696579" w:rsidRPr="00621EFF" w:rsidRDefault="00696579" w:rsidP="00696579">
      <w:pPr>
        <w:pStyle w:val="SubsectionHead"/>
      </w:pPr>
      <w:r>
        <w:t>Method of allocation</w:t>
      </w:r>
    </w:p>
    <w:p w14:paraId="0EDE9E37" w14:textId="77777777" w:rsidR="00696579" w:rsidRDefault="00696579" w:rsidP="00696579">
      <w:pPr>
        <w:pStyle w:val="subsection"/>
      </w:pPr>
      <w:r w:rsidRPr="00621EFF">
        <w:tab/>
      </w:r>
      <w:r>
        <w:t>(5)</w:t>
      </w:r>
      <w:r w:rsidRPr="00621EFF">
        <w:tab/>
      </w:r>
      <w:r>
        <w:t>S</w:t>
      </w:r>
      <w:r w:rsidRPr="00621EFF">
        <w:t>pectrum licence</w:t>
      </w:r>
      <w:r>
        <w:t>s</w:t>
      </w:r>
      <w:r w:rsidRPr="00621EFF">
        <w:t xml:space="preserve"> allocated in accordance with </w:t>
      </w:r>
      <w:r>
        <w:t xml:space="preserve">this section </w:t>
      </w:r>
      <w:r w:rsidRPr="00621EFF">
        <w:t xml:space="preserve">must be allocated </w:t>
      </w:r>
      <w:r>
        <w:t>for a pre-determined price or by way of tender.</w:t>
      </w:r>
    </w:p>
    <w:p w14:paraId="0D6864CC" w14:textId="77777777" w:rsidR="00696579" w:rsidRDefault="00696579" w:rsidP="00696579">
      <w:pPr>
        <w:pStyle w:val="subsection"/>
      </w:pPr>
      <w:r>
        <w:tab/>
        <w:t>(6)</w:t>
      </w:r>
      <w:r>
        <w:tab/>
        <w:t>The ACMA must publish an offer seeking expressions of interest in the conduct of a tender for the allocation of spectrum licences in accordance with this section.</w:t>
      </w:r>
      <w:r w:rsidRPr="006C321B">
        <w:t xml:space="preserve"> </w:t>
      </w:r>
      <w:r>
        <w:t>That offer must be published not later than 30 days after the date this section commences and must remain open, in respect of a spectrum licence covered by the offer, until the first to occur of:</w:t>
      </w:r>
    </w:p>
    <w:p w14:paraId="78EF9E27" w14:textId="77777777" w:rsidR="00696579" w:rsidRDefault="00696579" w:rsidP="00696579">
      <w:pPr>
        <w:pStyle w:val="paragraph"/>
      </w:pPr>
      <w:r>
        <w:tab/>
        <w:t>(a)</w:t>
      </w:r>
      <w:r>
        <w:tab/>
      </w:r>
      <w:proofErr w:type="gramStart"/>
      <w:r>
        <w:t>the</w:t>
      </w:r>
      <w:proofErr w:type="gramEnd"/>
      <w:r>
        <w:t xml:space="preserve"> date on which the first valid expression of interest is received by the ACMA in respect of that spectrum licence; and </w:t>
      </w:r>
    </w:p>
    <w:p w14:paraId="1B933947" w14:textId="77777777" w:rsidR="00696579" w:rsidRDefault="00696579" w:rsidP="00696579">
      <w:pPr>
        <w:pStyle w:val="paragraph"/>
      </w:pPr>
      <w:r>
        <w:lastRenderedPageBreak/>
        <w:tab/>
        <w:t>(b)</w:t>
      </w:r>
      <w:r>
        <w:tab/>
        <w:t>6 months.</w:t>
      </w:r>
    </w:p>
    <w:p w14:paraId="7A091D0D" w14:textId="77777777" w:rsidR="00696579" w:rsidRPr="00B2691A" w:rsidRDefault="00696579" w:rsidP="00696579">
      <w:pPr>
        <w:pStyle w:val="subsection"/>
      </w:pPr>
      <w:r w:rsidRPr="00B2691A">
        <w:tab/>
        <w:t>(7)</w:t>
      </w:r>
      <w:r w:rsidRPr="00B2691A">
        <w:tab/>
        <w:t>An expression of interest from a person responding to an offer for the allocation of a spectrum licence referred to in subsection 10(6) will only be valid if:</w:t>
      </w:r>
    </w:p>
    <w:p w14:paraId="4AAC67C5" w14:textId="77777777" w:rsidR="00696579" w:rsidRDefault="00696579" w:rsidP="00696579">
      <w:pPr>
        <w:pStyle w:val="paragraph"/>
      </w:pPr>
      <w:r>
        <w:tab/>
        <w:t>(a)</w:t>
      </w:r>
      <w:r>
        <w:tab/>
      </w:r>
      <w:proofErr w:type="gramStart"/>
      <w:r>
        <w:t>it</w:t>
      </w:r>
      <w:proofErr w:type="gramEnd"/>
      <w:r>
        <w:t xml:space="preserve"> identifies the spectrum licence which the person wishes to be allocated, which is a spectrum licence which may be allocated in accordance with this section;</w:t>
      </w:r>
    </w:p>
    <w:p w14:paraId="5315C7B5" w14:textId="77777777" w:rsidR="00696579" w:rsidRDefault="00696579" w:rsidP="00696579">
      <w:pPr>
        <w:pStyle w:val="paragraph"/>
      </w:pPr>
      <w:r>
        <w:tab/>
        <w:t>(b)</w:t>
      </w:r>
      <w:r>
        <w:tab/>
      </w:r>
      <w:proofErr w:type="gramStart"/>
      <w:r>
        <w:t>it</w:t>
      </w:r>
      <w:proofErr w:type="gramEnd"/>
      <w:r>
        <w:t xml:space="preserve"> states the licence period which the spectrum licence is sought, which must be consistent with subsection </w:t>
      </w:r>
      <w:r w:rsidRPr="008554C2">
        <w:t>10(</w:t>
      </w:r>
      <w:r w:rsidRPr="00296CBD">
        <w:t>11</w:t>
      </w:r>
      <w:r>
        <w:t>);</w:t>
      </w:r>
    </w:p>
    <w:p w14:paraId="059B4E1D" w14:textId="77777777" w:rsidR="00696579" w:rsidRDefault="00696579" w:rsidP="00696579">
      <w:pPr>
        <w:pStyle w:val="paragraph"/>
      </w:pPr>
      <w:r>
        <w:tab/>
        <w:t>(c)</w:t>
      </w:r>
      <w:r>
        <w:tab/>
        <w:t xml:space="preserve">it states that the person is willing to pay, for the issue of the spectrum licence, at least the reserve price determined in accordance with subsection </w:t>
      </w:r>
      <w:r w:rsidRPr="008554C2">
        <w:t>10(12</w:t>
      </w:r>
      <w:r>
        <w:t>); and</w:t>
      </w:r>
    </w:p>
    <w:p w14:paraId="32105C78" w14:textId="77777777" w:rsidR="00696579" w:rsidRDefault="00696579" w:rsidP="00696579">
      <w:pPr>
        <w:pStyle w:val="paragraph"/>
      </w:pPr>
      <w:r>
        <w:tab/>
        <w:t>(d)</w:t>
      </w:r>
      <w:r>
        <w:tab/>
      </w:r>
      <w:proofErr w:type="gramStart"/>
      <w:r>
        <w:t>it</w:t>
      </w:r>
      <w:proofErr w:type="gramEnd"/>
      <w:r>
        <w:t xml:space="preserve"> otherwise complies with any requirements specified by the ACMA in the offer published in accordance with subsection </w:t>
      </w:r>
      <w:r w:rsidRPr="008554C2">
        <w:t>10(6).</w:t>
      </w:r>
    </w:p>
    <w:p w14:paraId="38B82855" w14:textId="77777777" w:rsidR="00696579" w:rsidRDefault="00696579" w:rsidP="00696579">
      <w:pPr>
        <w:pStyle w:val="subsection"/>
      </w:pPr>
      <w:r>
        <w:tab/>
        <w:t>(8)</w:t>
      </w:r>
      <w:r>
        <w:tab/>
        <w:t xml:space="preserve">If the ACMA receives a valid expression of interest for a spectrum licence in response to the standing offer, then the ACMA must, as soon as is practicable after receiving the first valid expression of interest, conduct a tender for the allocation of the licence which is open for a period of 30 days. </w:t>
      </w:r>
    </w:p>
    <w:p w14:paraId="0BF01C53" w14:textId="77777777" w:rsidR="00696579" w:rsidRDefault="00696579" w:rsidP="00696579">
      <w:pPr>
        <w:pStyle w:val="subsection"/>
      </w:pPr>
      <w:r>
        <w:tab/>
        <w:t>(9)</w:t>
      </w:r>
      <w:r>
        <w:tab/>
        <w:t>A tender conducted in accordance with subsection 10(8) must offer the relevant spectrum licence that, when issued, would have the longest licence period included in any valid expression of interest received by the ACMA for that spectrum licence. The spectrum licence is to be allocated to the person who submits a valid tender for the highest present value for the relevant spectrum licence, subject to any method determined by the ACMA for allocating that licence where two equal tenders are received.</w:t>
      </w:r>
    </w:p>
    <w:p w14:paraId="157B4EA8" w14:textId="77777777" w:rsidR="00696579" w:rsidRDefault="00696579" w:rsidP="00696579">
      <w:pPr>
        <w:pStyle w:val="subsection"/>
      </w:pPr>
      <w:r>
        <w:tab/>
        <w:t>(10)</w:t>
      </w:r>
      <w:r>
        <w:tab/>
        <w:t>If the ACMA does not receive a valid expression of interest for a spectrum licence in response to the offer, then the ACMA may allocate the licence for a licence period that is consistent with subsection 10(11) and a pre-determined price that is calculated as specified in subsection 10(12).</w:t>
      </w:r>
    </w:p>
    <w:p w14:paraId="368546D8" w14:textId="77777777" w:rsidR="00696579" w:rsidRPr="00621EFF" w:rsidRDefault="00696579" w:rsidP="00696579">
      <w:pPr>
        <w:pStyle w:val="SubsectionHead"/>
      </w:pPr>
      <w:r>
        <w:lastRenderedPageBreak/>
        <w:t>Duration of licence</w:t>
      </w:r>
    </w:p>
    <w:p w14:paraId="31FB8EB5" w14:textId="77777777" w:rsidR="00696579" w:rsidRDefault="00696579" w:rsidP="00696579">
      <w:pPr>
        <w:pStyle w:val="subsection"/>
      </w:pPr>
      <w:r>
        <w:tab/>
        <w:t>(11)</w:t>
      </w:r>
      <w:r>
        <w:tab/>
        <w:t>A spectrum licence allocated in accordance with this section must be issued to:</w:t>
      </w:r>
    </w:p>
    <w:p w14:paraId="1A9E7F1C" w14:textId="77777777" w:rsidR="00696579" w:rsidRDefault="00696579" w:rsidP="00696579">
      <w:pPr>
        <w:pStyle w:val="paragraph"/>
      </w:pPr>
      <w:r>
        <w:tab/>
        <w:t>(a)</w:t>
      </w:r>
      <w:r>
        <w:tab/>
      </w:r>
      <w:proofErr w:type="gramStart"/>
      <w:r>
        <w:t>come</w:t>
      </w:r>
      <w:proofErr w:type="gramEnd"/>
      <w:r>
        <w:t xml:space="preserve"> into force no later than the date which is 18 months after:</w:t>
      </w:r>
    </w:p>
    <w:p w14:paraId="4D7F2857" w14:textId="77777777" w:rsidR="00696579" w:rsidRDefault="00696579" w:rsidP="00696579">
      <w:pPr>
        <w:pStyle w:val="paragraphsub"/>
      </w:pPr>
      <w:r>
        <w:tab/>
        <w:t>(</w:t>
      </w:r>
      <w:proofErr w:type="spellStart"/>
      <w:r>
        <w:t>i</w:t>
      </w:r>
      <w:proofErr w:type="spellEnd"/>
      <w:r>
        <w:t>)</w:t>
      </w:r>
      <w:r>
        <w:tab/>
      </w:r>
      <w:proofErr w:type="gramStart"/>
      <w:r>
        <w:t>if</w:t>
      </w:r>
      <w:proofErr w:type="gramEnd"/>
      <w:r>
        <w:t xml:space="preserve"> allocated by way of tender—the first valid expression of interest for the licence is received by the ACMA; or</w:t>
      </w:r>
    </w:p>
    <w:p w14:paraId="223B8346" w14:textId="77777777" w:rsidR="00696579" w:rsidRDefault="00696579" w:rsidP="00696579">
      <w:pPr>
        <w:pStyle w:val="paragraphsub"/>
      </w:pPr>
      <w:r>
        <w:tab/>
        <w:t>(ii)</w:t>
      </w:r>
      <w:r>
        <w:tab/>
      </w:r>
      <w:proofErr w:type="gramStart"/>
      <w:r>
        <w:t>if</w:t>
      </w:r>
      <w:proofErr w:type="gramEnd"/>
      <w:r>
        <w:t xml:space="preserve"> allocated for a pre-determined price—the request for the allocation of the licence is received by the ACMA; and</w:t>
      </w:r>
    </w:p>
    <w:p w14:paraId="6027DCF5" w14:textId="77777777" w:rsidR="00696579" w:rsidRPr="00EF39A2" w:rsidRDefault="00696579" w:rsidP="00696579">
      <w:pPr>
        <w:pStyle w:val="paragraph"/>
      </w:pPr>
      <w:r>
        <w:tab/>
        <w:t>(b)</w:t>
      </w:r>
      <w:r>
        <w:tab/>
      </w:r>
      <w:proofErr w:type="gramStart"/>
      <w:r>
        <w:t>expire</w:t>
      </w:r>
      <w:proofErr w:type="gramEnd"/>
      <w:r>
        <w:t xml:space="preserve"> no later than 31 December 2029.</w:t>
      </w:r>
    </w:p>
    <w:p w14:paraId="74549C9C" w14:textId="77777777" w:rsidR="00696579" w:rsidRPr="00F6216C" w:rsidRDefault="00696579" w:rsidP="00696579">
      <w:pPr>
        <w:pStyle w:val="SubsectionHead"/>
      </w:pPr>
      <w:r>
        <w:t>Pre-determined price or reserve price</w:t>
      </w:r>
    </w:p>
    <w:p w14:paraId="6D09054E" w14:textId="77777777" w:rsidR="00696579" w:rsidRDefault="00696579" w:rsidP="00696579">
      <w:pPr>
        <w:pStyle w:val="subsection"/>
      </w:pPr>
      <w:r w:rsidRPr="00621EFF">
        <w:tab/>
      </w:r>
      <w:r>
        <w:t>(12)</w:t>
      </w:r>
      <w:r w:rsidRPr="00621EFF">
        <w:tab/>
      </w:r>
      <w:r>
        <w:t>T</w:t>
      </w:r>
      <w:r w:rsidRPr="00621EFF">
        <w:t xml:space="preserve">he </w:t>
      </w:r>
      <w:r>
        <w:t xml:space="preserve">reserve price or pre-determined price (depending on the method of allocation) </w:t>
      </w:r>
      <w:r w:rsidRPr="00621EFF">
        <w:t xml:space="preserve">for </w:t>
      </w:r>
      <w:r>
        <w:t xml:space="preserve">a </w:t>
      </w:r>
      <w:r w:rsidRPr="00621EFF">
        <w:t xml:space="preserve">spectrum licence allocated in accordance with </w:t>
      </w:r>
      <w:r>
        <w:t xml:space="preserve">this </w:t>
      </w:r>
      <w:r w:rsidRPr="00621EFF">
        <w:t>section must be</w:t>
      </w:r>
      <w:r>
        <w:t>:</w:t>
      </w:r>
    </w:p>
    <w:p w14:paraId="0E1D6C43" w14:textId="77777777" w:rsidR="00696579" w:rsidRDefault="00696579" w:rsidP="00696579">
      <w:pPr>
        <w:pStyle w:val="paragraph"/>
      </w:pPr>
      <w:r>
        <w:tab/>
        <w:t>(a)</w:t>
      </w:r>
      <w:r>
        <w:tab/>
      </w:r>
      <w:proofErr w:type="gramStart"/>
      <w:r>
        <w:t>if</w:t>
      </w:r>
      <w:proofErr w:type="gramEnd"/>
      <w:r>
        <w:t xml:space="preserve"> the licence is to be issued to commence on 1 April 2018—</w:t>
      </w:r>
      <w:r w:rsidRPr="00621EFF">
        <w:t>$</w:t>
      </w:r>
      <w:r>
        <w:t>1.25/</w:t>
      </w:r>
      <w:r w:rsidRPr="00621EFF">
        <w:t>MHz</w:t>
      </w:r>
      <w:r>
        <w:t>/pop (rounded to the nearest $1,000); or</w:t>
      </w:r>
    </w:p>
    <w:p w14:paraId="19CF019C" w14:textId="77777777" w:rsidR="00696579" w:rsidRPr="00EF39A2" w:rsidRDefault="00696579" w:rsidP="00696579">
      <w:pPr>
        <w:pStyle w:val="paragraph"/>
      </w:pPr>
      <w:r>
        <w:tab/>
        <w:t>(b)</w:t>
      </w:r>
      <w:r>
        <w:tab/>
      </w:r>
      <w:proofErr w:type="gramStart"/>
      <w:r>
        <w:t>if</w:t>
      </w:r>
      <w:proofErr w:type="gramEnd"/>
      <w:r>
        <w:t xml:space="preserve"> the licence is to be issued to commence on a later date—$1.25/MHz/pop  reduced to reflect the shorter period (and rounded to the nearest $1,000) as determined by the ACMA</w:t>
      </w:r>
      <w:r w:rsidRPr="00621EFF">
        <w:t>.</w:t>
      </w:r>
    </w:p>
    <w:p w14:paraId="4580E460" w14:textId="2C022BCE" w:rsidR="009836C0" w:rsidRDefault="009836C0" w:rsidP="00696579"/>
    <w:p w14:paraId="1E99A0E2" w14:textId="77777777" w:rsidR="00803540" w:rsidRPr="00E0556E" w:rsidRDefault="00803540" w:rsidP="00803540">
      <w:pPr>
        <w:pStyle w:val="SubsectionHead"/>
      </w:pPr>
      <w:r>
        <w:t>P</w:t>
      </w:r>
      <w:r w:rsidRPr="00E0556E">
        <w:t>ayment of spectrum access charge</w:t>
      </w:r>
      <w:r>
        <w:t>s by instalments – amounts secured by guarantee</w:t>
      </w:r>
      <w:r w:rsidRPr="00E0556E">
        <w:t xml:space="preserve"> </w:t>
      </w:r>
    </w:p>
    <w:p w14:paraId="0765364D" w14:textId="77777777" w:rsidR="00A46F2E" w:rsidRDefault="00803540" w:rsidP="00A46F2E">
      <w:pPr>
        <w:pStyle w:val="subsection"/>
      </w:pPr>
      <w:r w:rsidRPr="00621EFF">
        <w:tab/>
      </w:r>
      <w:r>
        <w:t>(13)</w:t>
      </w:r>
      <w:r w:rsidRPr="00E0556E">
        <w:t xml:space="preserve"> </w:t>
      </w:r>
      <w:r w:rsidRPr="00621EFF">
        <w:tab/>
      </w:r>
      <w:r w:rsidR="00A46F2E">
        <w:t>If the ACMA requires a person paying spectrum access charges by instalments for a spectrum licence allocated in accordance with this instrument to provide a bank guarantee, the following conditions apply:</w:t>
      </w:r>
    </w:p>
    <w:p w14:paraId="50E0E723" w14:textId="77777777" w:rsidR="00A46F2E" w:rsidRDefault="00A46F2E" w:rsidP="00A46F2E">
      <w:pPr>
        <w:pStyle w:val="paragraph"/>
      </w:pPr>
      <w:r>
        <w:tab/>
      </w:r>
      <w:r>
        <w:tab/>
        <w:t>(a)</w:t>
      </w:r>
      <w:r>
        <w:tab/>
        <w:t>the bank guarantee is only required to be provided for the period during which any spectrum access charges remain owing by that person; and</w:t>
      </w:r>
    </w:p>
    <w:p w14:paraId="5E3CB08D" w14:textId="516E4C89" w:rsidR="00B54EF1" w:rsidRPr="00B54EF1" w:rsidRDefault="00A46F2E" w:rsidP="007C7F08">
      <w:pPr>
        <w:pStyle w:val="paragraph"/>
      </w:pPr>
      <w:r>
        <w:tab/>
      </w:r>
      <w:r>
        <w:tab/>
        <w:t>(b)</w:t>
      </w:r>
      <w:r>
        <w:tab/>
      </w:r>
      <w:proofErr w:type="gramStart"/>
      <w:r>
        <w:t>the</w:t>
      </w:r>
      <w:proofErr w:type="gramEnd"/>
      <w:r>
        <w:t xml:space="preserve"> maximum amount that may be claimed by the Commonwealth under the bank guarantee must not at any </w:t>
      </w:r>
      <w:r>
        <w:lastRenderedPageBreak/>
        <w:t>time exceed 5% of the amount of the spectrum access charges owing to the Commonwealth at that time.</w:t>
      </w:r>
      <w:r w:rsidDel="00803540">
        <w:t xml:space="preserve"> </w:t>
      </w:r>
    </w:p>
    <w:sectPr w:rsidR="00B54EF1" w:rsidRPr="00B54EF1" w:rsidSect="00AD45AC">
      <w:headerReference w:type="even" r:id="rId12"/>
      <w:headerReference w:type="default" r:id="rId13"/>
      <w:footerReference w:type="even" r:id="rId14"/>
      <w:footerReference w:type="default" r:id="rId15"/>
      <w:pgSz w:w="11907" w:h="16839"/>
      <w:pgMar w:top="2381" w:right="2410" w:bottom="4252" w:left="2410"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4D674" w14:textId="77777777" w:rsidR="00355157" w:rsidRDefault="00355157">
      <w:r>
        <w:separator/>
      </w:r>
    </w:p>
  </w:endnote>
  <w:endnote w:type="continuationSeparator" w:id="0">
    <w:p w14:paraId="25AE1DE9" w14:textId="77777777" w:rsidR="00355157" w:rsidRDefault="0035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FED08" w14:textId="77777777" w:rsidR="000B7288" w:rsidRPr="00074661" w:rsidRDefault="000B7288" w:rsidP="00BE2C51">
    <w:pPr>
      <w:pBdr>
        <w:top w:val="single" w:sz="6" w:space="1" w:color="auto"/>
      </w:pBdr>
      <w:spacing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5232"/>
      <w:gridCol w:w="1332"/>
    </w:tblGrid>
    <w:tr w:rsidR="000B7288" w:rsidRPr="00074661" w14:paraId="7220DB6B" w14:textId="77777777" w:rsidTr="00BE2C51">
      <w:tc>
        <w:tcPr>
          <w:tcW w:w="533" w:type="dxa"/>
        </w:tcPr>
        <w:p w14:paraId="7B5549B5" w14:textId="77777777" w:rsidR="000B7288" w:rsidRPr="00074661" w:rsidRDefault="000B7288" w:rsidP="00BE2C51">
          <w:pPr>
            <w:spacing w:line="0" w:lineRule="atLeast"/>
            <w:rPr>
              <w:rFonts w:cs="Times New Roman"/>
              <w:sz w:val="18"/>
            </w:rPr>
          </w:pPr>
          <w:r w:rsidRPr="00074661">
            <w:rPr>
              <w:rFonts w:cs="Times New Roman"/>
              <w:i/>
              <w:sz w:val="18"/>
            </w:rPr>
            <w:fldChar w:fldCharType="begin"/>
          </w:r>
          <w:r w:rsidRPr="00074661">
            <w:rPr>
              <w:rFonts w:cs="Times New Roman"/>
              <w:i/>
              <w:sz w:val="18"/>
            </w:rPr>
            <w:instrText xml:space="preserve"> PAGE </w:instrText>
          </w:r>
          <w:r w:rsidRPr="00074661">
            <w:rPr>
              <w:rFonts w:cs="Times New Roman"/>
              <w:i/>
              <w:sz w:val="18"/>
            </w:rPr>
            <w:fldChar w:fldCharType="separate"/>
          </w:r>
          <w:r w:rsidR="000765C8">
            <w:rPr>
              <w:rFonts w:cs="Times New Roman"/>
              <w:i/>
              <w:noProof/>
              <w:sz w:val="18"/>
            </w:rPr>
            <w:t>4</w:t>
          </w:r>
          <w:r w:rsidRPr="00074661">
            <w:rPr>
              <w:rFonts w:cs="Times New Roman"/>
              <w:i/>
              <w:sz w:val="18"/>
            </w:rPr>
            <w:fldChar w:fldCharType="end"/>
          </w:r>
        </w:p>
      </w:tc>
      <w:tc>
        <w:tcPr>
          <w:tcW w:w="5387" w:type="dxa"/>
        </w:tcPr>
        <w:p w14:paraId="11F9A40F" w14:textId="77777777" w:rsidR="000B7288" w:rsidRPr="00074661" w:rsidRDefault="000B7288" w:rsidP="00BE2C51">
          <w:pPr>
            <w:spacing w:line="0" w:lineRule="atLeast"/>
            <w:jc w:val="center"/>
            <w:rPr>
              <w:rFonts w:cs="Times New Roman"/>
              <w:sz w:val="18"/>
            </w:rPr>
          </w:pPr>
          <w:r>
            <w:rPr>
              <w:i/>
              <w:sz w:val="18"/>
            </w:rPr>
            <w:fldChar w:fldCharType="begin"/>
          </w:r>
          <w:r>
            <w:rPr>
              <w:i/>
              <w:sz w:val="18"/>
            </w:rPr>
            <w:instrText xml:space="preserve"> STYLEREF  ShortT </w:instrText>
          </w:r>
          <w:r>
            <w:rPr>
              <w:i/>
              <w:sz w:val="18"/>
            </w:rPr>
            <w:fldChar w:fldCharType="separate"/>
          </w:r>
          <w:r w:rsidR="000765C8">
            <w:rPr>
              <w:i/>
              <w:noProof/>
              <w:sz w:val="18"/>
            </w:rPr>
            <w:t>Radiocommunications (Spectrum Licence Allocation—Residual 700 MHz Spectrum) Direction 2016</w:t>
          </w:r>
          <w:r>
            <w:rPr>
              <w:i/>
              <w:sz w:val="18"/>
            </w:rPr>
            <w:fldChar w:fldCharType="end"/>
          </w:r>
        </w:p>
      </w:tc>
      <w:tc>
        <w:tcPr>
          <w:tcW w:w="1383" w:type="dxa"/>
        </w:tcPr>
        <w:p w14:paraId="31179E4E" w14:textId="77777777" w:rsidR="000B7288" w:rsidRPr="00074661" w:rsidRDefault="000B7288" w:rsidP="00BE2C51">
          <w:pPr>
            <w:spacing w:line="0" w:lineRule="atLeast"/>
            <w:jc w:val="right"/>
            <w:rPr>
              <w:rFonts w:cs="Times New Roman"/>
              <w:sz w:val="18"/>
            </w:rPr>
          </w:pPr>
          <w:r w:rsidRPr="00074661">
            <w:rPr>
              <w:rFonts w:cs="Times New Roman"/>
              <w:i/>
              <w:sz w:val="18"/>
            </w:rPr>
            <w:fldChar w:fldCharType="begin"/>
          </w:r>
          <w:r w:rsidRPr="00074661">
            <w:rPr>
              <w:rFonts w:cs="Times New Roman"/>
              <w:i/>
              <w:sz w:val="18"/>
            </w:rPr>
            <w:instrText xml:space="preserve"> DOCPROPERTY ActNo </w:instrText>
          </w:r>
          <w:r w:rsidRPr="00074661">
            <w:rPr>
              <w:rFonts w:cs="Times New Roman"/>
              <w:i/>
              <w:sz w:val="18"/>
            </w:rPr>
            <w:fldChar w:fldCharType="separate"/>
          </w:r>
          <w:r w:rsidR="00A03A76">
            <w:rPr>
              <w:rFonts w:cs="Times New Roman"/>
              <w:i/>
              <w:sz w:val="18"/>
            </w:rPr>
            <w:t xml:space="preserve"> </w:t>
          </w:r>
          <w:r w:rsidRPr="00074661">
            <w:rPr>
              <w:rFonts w:cs="Times New Roman"/>
              <w:i/>
              <w:sz w:val="18"/>
            </w:rPr>
            <w:fldChar w:fldCharType="end"/>
          </w:r>
        </w:p>
      </w:tc>
    </w:tr>
    <w:tr w:rsidR="000B7288" w:rsidRPr="00074661" w14:paraId="0364C592" w14:textId="77777777" w:rsidTr="00BE2C51">
      <w:tc>
        <w:tcPr>
          <w:tcW w:w="7303" w:type="dxa"/>
          <w:gridSpan w:val="3"/>
        </w:tcPr>
        <w:p w14:paraId="718E83D7" w14:textId="77777777" w:rsidR="000B7288" w:rsidRPr="00074661" w:rsidRDefault="000B7288" w:rsidP="00BE2C51">
          <w:pPr>
            <w:jc w:val="right"/>
            <w:rPr>
              <w:rFonts w:cs="Times New Roman"/>
              <w:sz w:val="18"/>
            </w:rPr>
          </w:pPr>
        </w:p>
      </w:tc>
    </w:tr>
  </w:tbl>
  <w:p w14:paraId="4BFC2C42" w14:textId="77777777" w:rsidR="000B7288" w:rsidRPr="00074661" w:rsidRDefault="000B7288" w:rsidP="000527F0">
    <w:pPr>
      <w:rPr>
        <w:rFonts w:cs="Times New Roman"/>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DAFAC" w14:textId="77777777" w:rsidR="000B7288" w:rsidRPr="002B0EA5" w:rsidRDefault="000B7288" w:rsidP="00BE2C51">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2"/>
      <w:gridCol w:w="5232"/>
      <w:gridCol w:w="523"/>
    </w:tblGrid>
    <w:tr w:rsidR="000B7288" w14:paraId="455A53D2" w14:textId="77777777" w:rsidTr="00BE2C51">
      <w:tc>
        <w:tcPr>
          <w:tcW w:w="1383" w:type="dxa"/>
        </w:tcPr>
        <w:p w14:paraId="1409496E" w14:textId="77777777" w:rsidR="000B7288" w:rsidRDefault="000B7288" w:rsidP="00BE2C51">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03A76">
            <w:rPr>
              <w:i/>
              <w:sz w:val="18"/>
            </w:rPr>
            <w:t xml:space="preserve"> </w:t>
          </w:r>
          <w:r w:rsidRPr="007A1328">
            <w:rPr>
              <w:i/>
              <w:sz w:val="18"/>
            </w:rPr>
            <w:fldChar w:fldCharType="end"/>
          </w:r>
        </w:p>
      </w:tc>
      <w:tc>
        <w:tcPr>
          <w:tcW w:w="5387" w:type="dxa"/>
        </w:tcPr>
        <w:p w14:paraId="4352C2D3" w14:textId="77777777" w:rsidR="000B7288" w:rsidRDefault="000B7288" w:rsidP="00BE2C51">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0765C8">
            <w:rPr>
              <w:i/>
              <w:noProof/>
              <w:sz w:val="18"/>
            </w:rPr>
            <w:t>Radiocommunications (Spectrum Licence Allocation—Residual 700 MHz Spectrum) Direction 2016</w:t>
          </w:r>
          <w:r>
            <w:rPr>
              <w:i/>
              <w:sz w:val="18"/>
            </w:rPr>
            <w:fldChar w:fldCharType="end"/>
          </w:r>
        </w:p>
      </w:tc>
      <w:tc>
        <w:tcPr>
          <w:tcW w:w="533" w:type="dxa"/>
        </w:tcPr>
        <w:p w14:paraId="5908E587" w14:textId="77777777" w:rsidR="000B7288" w:rsidRDefault="000B7288" w:rsidP="00BE2C5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765C8">
            <w:rPr>
              <w:i/>
              <w:noProof/>
              <w:sz w:val="18"/>
            </w:rPr>
            <w:t>3</w:t>
          </w:r>
          <w:r w:rsidRPr="00ED79B6">
            <w:rPr>
              <w:i/>
              <w:sz w:val="18"/>
            </w:rPr>
            <w:fldChar w:fldCharType="end"/>
          </w:r>
        </w:p>
      </w:tc>
    </w:tr>
    <w:tr w:rsidR="000B7288" w14:paraId="1C1434FC" w14:textId="77777777" w:rsidTr="00BE2C51">
      <w:tc>
        <w:tcPr>
          <w:tcW w:w="7303" w:type="dxa"/>
          <w:gridSpan w:val="3"/>
        </w:tcPr>
        <w:p w14:paraId="354E68B8" w14:textId="77777777" w:rsidR="000B7288" w:rsidRDefault="000B7288" w:rsidP="00BE2C51">
          <w:pPr>
            <w:rPr>
              <w:sz w:val="18"/>
            </w:rPr>
          </w:pPr>
        </w:p>
      </w:tc>
    </w:tr>
  </w:tbl>
  <w:p w14:paraId="4E416EBA" w14:textId="77777777" w:rsidR="000B7288" w:rsidRPr="00ED79B6" w:rsidRDefault="000B7288" w:rsidP="00074661">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60C13" w14:textId="77777777" w:rsidR="00355157" w:rsidRDefault="00355157">
      <w:r>
        <w:separator/>
      </w:r>
    </w:p>
  </w:footnote>
  <w:footnote w:type="continuationSeparator" w:id="0">
    <w:p w14:paraId="284948CA" w14:textId="77777777" w:rsidR="00355157" w:rsidRDefault="00355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49ED4" w14:textId="77777777" w:rsidR="000B7288" w:rsidRDefault="000B7288" w:rsidP="00BE2C5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ABE1496" w14:textId="77777777" w:rsidR="000B7288" w:rsidRDefault="000B7288" w:rsidP="00BE2C51">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928BC13" w14:textId="77777777" w:rsidR="000B7288" w:rsidRPr="007A1328" w:rsidRDefault="000B7288" w:rsidP="00BE2C5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AC3E8DD" w14:textId="77777777" w:rsidR="000B7288" w:rsidRPr="007A1328" w:rsidRDefault="000B7288" w:rsidP="00BE2C51">
    <w:pPr>
      <w:rPr>
        <w:b/>
        <w:sz w:val="24"/>
      </w:rPr>
    </w:pPr>
  </w:p>
  <w:p w14:paraId="58C93675" w14:textId="77777777" w:rsidR="000B7288" w:rsidRPr="007A1328" w:rsidRDefault="000B7288" w:rsidP="004976A6">
    <w:pPr>
      <w:pBdr>
        <w:bottom w:val="single" w:sz="6" w:space="1" w:color="auto"/>
      </w:pBdr>
      <w:spacing w:after="120"/>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765C8">
      <w:rPr>
        <w:noProof/>
        <w:sz w:val="24"/>
      </w:rPr>
      <w:t>4</w:t>
    </w:r>
    <w:r w:rsidRPr="007A1328">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42A1B" w14:textId="77777777" w:rsidR="000B7288" w:rsidRPr="007A1328" w:rsidRDefault="000B7288" w:rsidP="00BE2C5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D201211" w14:textId="77777777" w:rsidR="000B7288" w:rsidRPr="007A1328" w:rsidRDefault="000B7288" w:rsidP="00BE2C5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2620239" w14:textId="77777777" w:rsidR="000B7288" w:rsidRPr="007A1328" w:rsidRDefault="000B7288" w:rsidP="00BE2C5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4FC1BDA" w14:textId="77777777" w:rsidR="000B7288" w:rsidRPr="007A1328" w:rsidRDefault="000B7288" w:rsidP="00BE2C51">
    <w:pPr>
      <w:jc w:val="right"/>
      <w:rPr>
        <w:b/>
        <w:sz w:val="24"/>
      </w:rPr>
    </w:pPr>
  </w:p>
  <w:p w14:paraId="26C53730" w14:textId="77777777" w:rsidR="000B7288" w:rsidRPr="007A1328" w:rsidRDefault="000B7288" w:rsidP="004976A6">
    <w:pPr>
      <w:pBdr>
        <w:bottom w:val="single" w:sz="6" w:space="1" w:color="auto"/>
      </w:pBdr>
      <w:spacing w:after="120"/>
      <w:jc w:val="right"/>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765C8">
      <w:rPr>
        <w:noProof/>
        <w:sz w:val="24"/>
      </w:rPr>
      <w:t>4</w:t>
    </w:r>
    <w:r w:rsidRPr="007A1328">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93525"/>
    <w:multiLevelType w:val="hybridMultilevel"/>
    <w:tmpl w:val="001EF60C"/>
    <w:lvl w:ilvl="0" w:tplc="331873A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D94FBC"/>
    <w:multiLevelType w:val="hybridMultilevel"/>
    <w:tmpl w:val="6B6EC45C"/>
    <w:lvl w:ilvl="0" w:tplc="56EAA4B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00E7F14"/>
    <w:multiLevelType w:val="hybridMultilevel"/>
    <w:tmpl w:val="C95C54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92A68EC"/>
    <w:multiLevelType w:val="hybridMultilevel"/>
    <w:tmpl w:val="1D7ED334"/>
    <w:lvl w:ilvl="0" w:tplc="36581C12">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0" w15:restartNumberingAfterBreak="0">
    <w:nsid w:val="5FC41CF2"/>
    <w:multiLevelType w:val="hybridMultilevel"/>
    <w:tmpl w:val="777C47D4"/>
    <w:lvl w:ilvl="0" w:tplc="7884D792">
      <w:start w:val="1"/>
      <w:numFmt w:val="decimal"/>
      <w:lvlText w:val="(%1)"/>
      <w:lvlJc w:val="left"/>
      <w:pPr>
        <w:ind w:left="1489" w:hanging="360"/>
      </w:pPr>
      <w:rPr>
        <w:rFonts w:hint="default"/>
      </w:rPr>
    </w:lvl>
    <w:lvl w:ilvl="1" w:tplc="0C090019" w:tentative="1">
      <w:start w:val="1"/>
      <w:numFmt w:val="lowerLetter"/>
      <w:lvlText w:val="%2."/>
      <w:lvlJc w:val="left"/>
      <w:pPr>
        <w:ind w:left="2209" w:hanging="360"/>
      </w:pPr>
    </w:lvl>
    <w:lvl w:ilvl="2" w:tplc="0C09001B" w:tentative="1">
      <w:start w:val="1"/>
      <w:numFmt w:val="lowerRoman"/>
      <w:lvlText w:val="%3."/>
      <w:lvlJc w:val="right"/>
      <w:pPr>
        <w:ind w:left="2929" w:hanging="180"/>
      </w:pPr>
    </w:lvl>
    <w:lvl w:ilvl="3" w:tplc="0C09000F" w:tentative="1">
      <w:start w:val="1"/>
      <w:numFmt w:val="decimal"/>
      <w:lvlText w:val="%4."/>
      <w:lvlJc w:val="left"/>
      <w:pPr>
        <w:ind w:left="3649" w:hanging="360"/>
      </w:pPr>
    </w:lvl>
    <w:lvl w:ilvl="4" w:tplc="0C090019" w:tentative="1">
      <w:start w:val="1"/>
      <w:numFmt w:val="lowerLetter"/>
      <w:lvlText w:val="%5."/>
      <w:lvlJc w:val="left"/>
      <w:pPr>
        <w:ind w:left="4369" w:hanging="360"/>
      </w:pPr>
    </w:lvl>
    <w:lvl w:ilvl="5" w:tplc="0C09001B" w:tentative="1">
      <w:start w:val="1"/>
      <w:numFmt w:val="lowerRoman"/>
      <w:lvlText w:val="%6."/>
      <w:lvlJc w:val="right"/>
      <w:pPr>
        <w:ind w:left="5089" w:hanging="180"/>
      </w:pPr>
    </w:lvl>
    <w:lvl w:ilvl="6" w:tplc="0C09000F" w:tentative="1">
      <w:start w:val="1"/>
      <w:numFmt w:val="decimal"/>
      <w:lvlText w:val="%7."/>
      <w:lvlJc w:val="left"/>
      <w:pPr>
        <w:ind w:left="5809" w:hanging="360"/>
      </w:pPr>
    </w:lvl>
    <w:lvl w:ilvl="7" w:tplc="0C090019" w:tentative="1">
      <w:start w:val="1"/>
      <w:numFmt w:val="lowerLetter"/>
      <w:lvlText w:val="%8."/>
      <w:lvlJc w:val="left"/>
      <w:pPr>
        <w:ind w:left="6529" w:hanging="360"/>
      </w:pPr>
    </w:lvl>
    <w:lvl w:ilvl="8" w:tplc="0C09001B" w:tentative="1">
      <w:start w:val="1"/>
      <w:numFmt w:val="lowerRoman"/>
      <w:lvlText w:val="%9."/>
      <w:lvlJc w:val="right"/>
      <w:pPr>
        <w:ind w:left="7249" w:hanging="180"/>
      </w:pPr>
    </w:lvl>
  </w:abstractNum>
  <w:abstractNum w:abstractNumId="2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2957D8"/>
    <w:multiLevelType w:val="hybridMultilevel"/>
    <w:tmpl w:val="A198DC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1"/>
  </w:num>
  <w:num w:numId="2">
    <w:abstractNumId w:val="15"/>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8"/>
  </w:num>
  <w:num w:numId="16">
    <w:abstractNumId w:val="16"/>
  </w:num>
  <w:num w:numId="17">
    <w:abstractNumId w:val="21"/>
  </w:num>
  <w:num w:numId="18">
    <w:abstractNumId w:val="14"/>
  </w:num>
  <w:num w:numId="19">
    <w:abstractNumId w:val="12"/>
  </w:num>
  <w:num w:numId="20">
    <w:abstractNumId w:val="19"/>
  </w:num>
  <w:num w:numId="21">
    <w:abstractNumId w:val="20"/>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90"/>
    <w:rsid w:val="00001E7A"/>
    <w:rsid w:val="00002328"/>
    <w:rsid w:val="000030BA"/>
    <w:rsid w:val="000047FD"/>
    <w:rsid w:val="000056EE"/>
    <w:rsid w:val="00007819"/>
    <w:rsid w:val="00010203"/>
    <w:rsid w:val="00012A4E"/>
    <w:rsid w:val="00013A38"/>
    <w:rsid w:val="0001739E"/>
    <w:rsid w:val="00020180"/>
    <w:rsid w:val="00022037"/>
    <w:rsid w:val="00022695"/>
    <w:rsid w:val="00023FD2"/>
    <w:rsid w:val="000265BC"/>
    <w:rsid w:val="00026EEB"/>
    <w:rsid w:val="00027C6F"/>
    <w:rsid w:val="00031EFC"/>
    <w:rsid w:val="0003434D"/>
    <w:rsid w:val="0003498B"/>
    <w:rsid w:val="00036586"/>
    <w:rsid w:val="0004081D"/>
    <w:rsid w:val="00040DD1"/>
    <w:rsid w:val="00041822"/>
    <w:rsid w:val="00042B22"/>
    <w:rsid w:val="00043001"/>
    <w:rsid w:val="000472C2"/>
    <w:rsid w:val="000504A1"/>
    <w:rsid w:val="00050C80"/>
    <w:rsid w:val="000510B9"/>
    <w:rsid w:val="0005128E"/>
    <w:rsid w:val="0005136F"/>
    <w:rsid w:val="00051C9B"/>
    <w:rsid w:val="000527F0"/>
    <w:rsid w:val="000551A3"/>
    <w:rsid w:val="00055E25"/>
    <w:rsid w:val="00056311"/>
    <w:rsid w:val="00060C7F"/>
    <w:rsid w:val="000617C7"/>
    <w:rsid w:val="00061F6A"/>
    <w:rsid w:val="000620C5"/>
    <w:rsid w:val="00065A0E"/>
    <w:rsid w:val="0006722F"/>
    <w:rsid w:val="00070692"/>
    <w:rsid w:val="00071791"/>
    <w:rsid w:val="000721B0"/>
    <w:rsid w:val="000727F9"/>
    <w:rsid w:val="000729E4"/>
    <w:rsid w:val="00074661"/>
    <w:rsid w:val="00074D5E"/>
    <w:rsid w:val="000753EE"/>
    <w:rsid w:val="00075B3D"/>
    <w:rsid w:val="000765C8"/>
    <w:rsid w:val="00076B35"/>
    <w:rsid w:val="00077634"/>
    <w:rsid w:val="00080E25"/>
    <w:rsid w:val="000824EA"/>
    <w:rsid w:val="00083CC7"/>
    <w:rsid w:val="00085877"/>
    <w:rsid w:val="00086090"/>
    <w:rsid w:val="00086E1D"/>
    <w:rsid w:val="00090414"/>
    <w:rsid w:val="0009067F"/>
    <w:rsid w:val="000925D8"/>
    <w:rsid w:val="00092802"/>
    <w:rsid w:val="00095CC4"/>
    <w:rsid w:val="00097B55"/>
    <w:rsid w:val="000A3C52"/>
    <w:rsid w:val="000B0A20"/>
    <w:rsid w:val="000B26C3"/>
    <w:rsid w:val="000B52F3"/>
    <w:rsid w:val="000B68A5"/>
    <w:rsid w:val="000B7288"/>
    <w:rsid w:val="000C12AB"/>
    <w:rsid w:val="000C2AB1"/>
    <w:rsid w:val="000C56FE"/>
    <w:rsid w:val="000C5AE2"/>
    <w:rsid w:val="000C771F"/>
    <w:rsid w:val="000C78B5"/>
    <w:rsid w:val="000D112D"/>
    <w:rsid w:val="000D363E"/>
    <w:rsid w:val="000D3CCA"/>
    <w:rsid w:val="000D44F8"/>
    <w:rsid w:val="000D7167"/>
    <w:rsid w:val="000D736B"/>
    <w:rsid w:val="000D7F47"/>
    <w:rsid w:val="000E081D"/>
    <w:rsid w:val="000E470D"/>
    <w:rsid w:val="000E63CF"/>
    <w:rsid w:val="000F140F"/>
    <w:rsid w:val="000F3758"/>
    <w:rsid w:val="000F4572"/>
    <w:rsid w:val="00100409"/>
    <w:rsid w:val="00102347"/>
    <w:rsid w:val="00102ADD"/>
    <w:rsid w:val="00103248"/>
    <w:rsid w:val="00105826"/>
    <w:rsid w:val="00110F98"/>
    <w:rsid w:val="00111056"/>
    <w:rsid w:val="0011161E"/>
    <w:rsid w:val="0011172E"/>
    <w:rsid w:val="00111E48"/>
    <w:rsid w:val="0011314E"/>
    <w:rsid w:val="00114286"/>
    <w:rsid w:val="00115DA8"/>
    <w:rsid w:val="00117290"/>
    <w:rsid w:val="001209D7"/>
    <w:rsid w:val="00120EE8"/>
    <w:rsid w:val="00121B18"/>
    <w:rsid w:val="00122CA1"/>
    <w:rsid w:val="0012332C"/>
    <w:rsid w:val="0012560F"/>
    <w:rsid w:val="00126C80"/>
    <w:rsid w:val="00126D00"/>
    <w:rsid w:val="00131E5D"/>
    <w:rsid w:val="00133419"/>
    <w:rsid w:val="00133A71"/>
    <w:rsid w:val="00134204"/>
    <w:rsid w:val="00136004"/>
    <w:rsid w:val="001363F5"/>
    <w:rsid w:val="00137EF4"/>
    <w:rsid w:val="0014055A"/>
    <w:rsid w:val="001407EE"/>
    <w:rsid w:val="00143B92"/>
    <w:rsid w:val="0014545E"/>
    <w:rsid w:val="00145C33"/>
    <w:rsid w:val="0014660D"/>
    <w:rsid w:val="001509A9"/>
    <w:rsid w:val="00150C6D"/>
    <w:rsid w:val="001510F9"/>
    <w:rsid w:val="0015255D"/>
    <w:rsid w:val="00152824"/>
    <w:rsid w:val="00152D59"/>
    <w:rsid w:val="00153593"/>
    <w:rsid w:val="001544DD"/>
    <w:rsid w:val="00154AA0"/>
    <w:rsid w:val="00155E4F"/>
    <w:rsid w:val="00156A5A"/>
    <w:rsid w:val="00157E82"/>
    <w:rsid w:val="00160988"/>
    <w:rsid w:val="00160A6A"/>
    <w:rsid w:val="00160EE0"/>
    <w:rsid w:val="00161468"/>
    <w:rsid w:val="00162FDE"/>
    <w:rsid w:val="0016552E"/>
    <w:rsid w:val="001661B3"/>
    <w:rsid w:val="001673B7"/>
    <w:rsid w:val="0017150E"/>
    <w:rsid w:val="001719FE"/>
    <w:rsid w:val="00171A0A"/>
    <w:rsid w:val="0017420C"/>
    <w:rsid w:val="00176457"/>
    <w:rsid w:val="0017669E"/>
    <w:rsid w:val="00176BCE"/>
    <w:rsid w:val="001802C1"/>
    <w:rsid w:val="00180CD3"/>
    <w:rsid w:val="00181999"/>
    <w:rsid w:val="00182100"/>
    <w:rsid w:val="001840EA"/>
    <w:rsid w:val="00184DD7"/>
    <w:rsid w:val="00185AAC"/>
    <w:rsid w:val="00185B10"/>
    <w:rsid w:val="00190D22"/>
    <w:rsid w:val="00191B57"/>
    <w:rsid w:val="0019559B"/>
    <w:rsid w:val="001A062E"/>
    <w:rsid w:val="001A25BD"/>
    <w:rsid w:val="001A26AC"/>
    <w:rsid w:val="001A284D"/>
    <w:rsid w:val="001A2921"/>
    <w:rsid w:val="001A2B82"/>
    <w:rsid w:val="001A4737"/>
    <w:rsid w:val="001A550E"/>
    <w:rsid w:val="001A745A"/>
    <w:rsid w:val="001B2B49"/>
    <w:rsid w:val="001B4168"/>
    <w:rsid w:val="001B6479"/>
    <w:rsid w:val="001B680B"/>
    <w:rsid w:val="001B750D"/>
    <w:rsid w:val="001C2D2D"/>
    <w:rsid w:val="001C48B6"/>
    <w:rsid w:val="001C52FA"/>
    <w:rsid w:val="001C5A60"/>
    <w:rsid w:val="001C6C78"/>
    <w:rsid w:val="001C6E23"/>
    <w:rsid w:val="001D00B9"/>
    <w:rsid w:val="001D0BFE"/>
    <w:rsid w:val="001D1730"/>
    <w:rsid w:val="001D33C9"/>
    <w:rsid w:val="001D49E7"/>
    <w:rsid w:val="001D7DD2"/>
    <w:rsid w:val="001E1B92"/>
    <w:rsid w:val="001E1FF9"/>
    <w:rsid w:val="001E205A"/>
    <w:rsid w:val="001E2492"/>
    <w:rsid w:val="001E551F"/>
    <w:rsid w:val="001E6E32"/>
    <w:rsid w:val="001F0063"/>
    <w:rsid w:val="001F0F35"/>
    <w:rsid w:val="001F1819"/>
    <w:rsid w:val="001F1D9C"/>
    <w:rsid w:val="001F204C"/>
    <w:rsid w:val="001F24CF"/>
    <w:rsid w:val="001F3D0A"/>
    <w:rsid w:val="001F4C6D"/>
    <w:rsid w:val="001F5B50"/>
    <w:rsid w:val="002024E2"/>
    <w:rsid w:val="0020253A"/>
    <w:rsid w:val="00203205"/>
    <w:rsid w:val="0020488A"/>
    <w:rsid w:val="0020650F"/>
    <w:rsid w:val="00207F54"/>
    <w:rsid w:val="002125DA"/>
    <w:rsid w:val="00212A75"/>
    <w:rsid w:val="00220EDA"/>
    <w:rsid w:val="00221EB1"/>
    <w:rsid w:val="00222DA1"/>
    <w:rsid w:val="00223A7F"/>
    <w:rsid w:val="00224EED"/>
    <w:rsid w:val="002250FB"/>
    <w:rsid w:val="00226223"/>
    <w:rsid w:val="002271DC"/>
    <w:rsid w:val="00230352"/>
    <w:rsid w:val="00231115"/>
    <w:rsid w:val="00232CD7"/>
    <w:rsid w:val="002363F8"/>
    <w:rsid w:val="00236609"/>
    <w:rsid w:val="00236EEB"/>
    <w:rsid w:val="00240CD1"/>
    <w:rsid w:val="00242B35"/>
    <w:rsid w:val="00245159"/>
    <w:rsid w:val="002457D1"/>
    <w:rsid w:val="00246624"/>
    <w:rsid w:val="00253EE7"/>
    <w:rsid w:val="00254B2F"/>
    <w:rsid w:val="00254C12"/>
    <w:rsid w:val="00260641"/>
    <w:rsid w:val="00262431"/>
    <w:rsid w:val="00262A08"/>
    <w:rsid w:val="00263069"/>
    <w:rsid w:val="00265E15"/>
    <w:rsid w:val="00265ED0"/>
    <w:rsid w:val="00265F55"/>
    <w:rsid w:val="002673BD"/>
    <w:rsid w:val="00270826"/>
    <w:rsid w:val="0027106F"/>
    <w:rsid w:val="0027210B"/>
    <w:rsid w:val="00272310"/>
    <w:rsid w:val="0027467B"/>
    <w:rsid w:val="00275065"/>
    <w:rsid w:val="002757D6"/>
    <w:rsid w:val="00275F71"/>
    <w:rsid w:val="00283099"/>
    <w:rsid w:val="00286BB1"/>
    <w:rsid w:val="002870C2"/>
    <w:rsid w:val="00290303"/>
    <w:rsid w:val="00291E0F"/>
    <w:rsid w:val="002937F9"/>
    <w:rsid w:val="00293C63"/>
    <w:rsid w:val="00294F06"/>
    <w:rsid w:val="002957A9"/>
    <w:rsid w:val="00296435"/>
    <w:rsid w:val="0029646C"/>
    <w:rsid w:val="00296E69"/>
    <w:rsid w:val="002A57A4"/>
    <w:rsid w:val="002B2A9A"/>
    <w:rsid w:val="002B63A3"/>
    <w:rsid w:val="002B6DA4"/>
    <w:rsid w:val="002C0290"/>
    <w:rsid w:val="002C0E89"/>
    <w:rsid w:val="002C0F7D"/>
    <w:rsid w:val="002C3F3D"/>
    <w:rsid w:val="002C40A0"/>
    <w:rsid w:val="002C42F1"/>
    <w:rsid w:val="002C763B"/>
    <w:rsid w:val="002C77BC"/>
    <w:rsid w:val="002C79E4"/>
    <w:rsid w:val="002C7F8D"/>
    <w:rsid w:val="002D18D2"/>
    <w:rsid w:val="002D35D3"/>
    <w:rsid w:val="002D658C"/>
    <w:rsid w:val="002E2FE3"/>
    <w:rsid w:val="002E3A9B"/>
    <w:rsid w:val="002E43E5"/>
    <w:rsid w:val="002E4402"/>
    <w:rsid w:val="002E7D9E"/>
    <w:rsid w:val="002F05DB"/>
    <w:rsid w:val="002F0CE6"/>
    <w:rsid w:val="002F11AE"/>
    <w:rsid w:val="002F149C"/>
    <w:rsid w:val="002F2244"/>
    <w:rsid w:val="002F4254"/>
    <w:rsid w:val="002F5E03"/>
    <w:rsid w:val="002F7F66"/>
    <w:rsid w:val="00300A1C"/>
    <w:rsid w:val="00302D1D"/>
    <w:rsid w:val="00304F86"/>
    <w:rsid w:val="0030627F"/>
    <w:rsid w:val="00307011"/>
    <w:rsid w:val="003073E4"/>
    <w:rsid w:val="00312BF2"/>
    <w:rsid w:val="003145C8"/>
    <w:rsid w:val="0031671D"/>
    <w:rsid w:val="003209FE"/>
    <w:rsid w:val="00320E7B"/>
    <w:rsid w:val="003222C3"/>
    <w:rsid w:val="003229AA"/>
    <w:rsid w:val="00323901"/>
    <w:rsid w:val="003242D2"/>
    <w:rsid w:val="00325C10"/>
    <w:rsid w:val="003269CD"/>
    <w:rsid w:val="00327AAB"/>
    <w:rsid w:val="0033106A"/>
    <w:rsid w:val="00332345"/>
    <w:rsid w:val="003328BD"/>
    <w:rsid w:val="003332AF"/>
    <w:rsid w:val="00336768"/>
    <w:rsid w:val="003367C2"/>
    <w:rsid w:val="00336865"/>
    <w:rsid w:val="00336E26"/>
    <w:rsid w:val="00337612"/>
    <w:rsid w:val="00340AEC"/>
    <w:rsid w:val="003412DC"/>
    <w:rsid w:val="00341C71"/>
    <w:rsid w:val="00343A1B"/>
    <w:rsid w:val="00343EA6"/>
    <w:rsid w:val="00344037"/>
    <w:rsid w:val="00347380"/>
    <w:rsid w:val="0034765C"/>
    <w:rsid w:val="00347ABE"/>
    <w:rsid w:val="00351600"/>
    <w:rsid w:val="003526D3"/>
    <w:rsid w:val="00355157"/>
    <w:rsid w:val="003567D5"/>
    <w:rsid w:val="00356E61"/>
    <w:rsid w:val="003570F6"/>
    <w:rsid w:val="003613BB"/>
    <w:rsid w:val="003638FA"/>
    <w:rsid w:val="00363C3E"/>
    <w:rsid w:val="0036497C"/>
    <w:rsid w:val="00364DB8"/>
    <w:rsid w:val="00365485"/>
    <w:rsid w:val="00365707"/>
    <w:rsid w:val="00366209"/>
    <w:rsid w:val="00366F9B"/>
    <w:rsid w:val="0037147E"/>
    <w:rsid w:val="003722D5"/>
    <w:rsid w:val="00374DBE"/>
    <w:rsid w:val="0037528D"/>
    <w:rsid w:val="00376918"/>
    <w:rsid w:val="00377C91"/>
    <w:rsid w:val="00380C43"/>
    <w:rsid w:val="00382AB6"/>
    <w:rsid w:val="00383FC4"/>
    <w:rsid w:val="00385A57"/>
    <w:rsid w:val="00386521"/>
    <w:rsid w:val="0038715C"/>
    <w:rsid w:val="00387563"/>
    <w:rsid w:val="00390E65"/>
    <w:rsid w:val="00393A96"/>
    <w:rsid w:val="00395FAC"/>
    <w:rsid w:val="00396732"/>
    <w:rsid w:val="003A0BD7"/>
    <w:rsid w:val="003A0C0D"/>
    <w:rsid w:val="003A271A"/>
    <w:rsid w:val="003A29E3"/>
    <w:rsid w:val="003A3291"/>
    <w:rsid w:val="003A34CC"/>
    <w:rsid w:val="003A358A"/>
    <w:rsid w:val="003A3951"/>
    <w:rsid w:val="003A4C15"/>
    <w:rsid w:val="003B55ED"/>
    <w:rsid w:val="003B61F2"/>
    <w:rsid w:val="003C1016"/>
    <w:rsid w:val="003C41F2"/>
    <w:rsid w:val="003C6D45"/>
    <w:rsid w:val="003C700C"/>
    <w:rsid w:val="003C71FC"/>
    <w:rsid w:val="003C76D8"/>
    <w:rsid w:val="003D0A16"/>
    <w:rsid w:val="003D1F25"/>
    <w:rsid w:val="003D20DD"/>
    <w:rsid w:val="003D57BF"/>
    <w:rsid w:val="003D5B35"/>
    <w:rsid w:val="003D7314"/>
    <w:rsid w:val="003E1CCB"/>
    <w:rsid w:val="003E1D45"/>
    <w:rsid w:val="003E1E3F"/>
    <w:rsid w:val="003E2ABA"/>
    <w:rsid w:val="003E5662"/>
    <w:rsid w:val="003E64C5"/>
    <w:rsid w:val="003F18D4"/>
    <w:rsid w:val="003F1A97"/>
    <w:rsid w:val="003F1AF9"/>
    <w:rsid w:val="003F22D4"/>
    <w:rsid w:val="003F3B63"/>
    <w:rsid w:val="003F7349"/>
    <w:rsid w:val="0040015B"/>
    <w:rsid w:val="00402120"/>
    <w:rsid w:val="00402693"/>
    <w:rsid w:val="00402E52"/>
    <w:rsid w:val="00403326"/>
    <w:rsid w:val="00403373"/>
    <w:rsid w:val="00403AE4"/>
    <w:rsid w:val="0040581C"/>
    <w:rsid w:val="00405873"/>
    <w:rsid w:val="00405A62"/>
    <w:rsid w:val="00406A94"/>
    <w:rsid w:val="004070A9"/>
    <w:rsid w:val="00411455"/>
    <w:rsid w:val="004120B2"/>
    <w:rsid w:val="00412328"/>
    <w:rsid w:val="004134F6"/>
    <w:rsid w:val="00413922"/>
    <w:rsid w:val="00414DE1"/>
    <w:rsid w:val="00416715"/>
    <w:rsid w:val="00416A06"/>
    <w:rsid w:val="004207D7"/>
    <w:rsid w:val="00420E93"/>
    <w:rsid w:val="00423C02"/>
    <w:rsid w:val="00424431"/>
    <w:rsid w:val="0042496B"/>
    <w:rsid w:val="00425581"/>
    <w:rsid w:val="00427249"/>
    <w:rsid w:val="0043094C"/>
    <w:rsid w:val="00432D28"/>
    <w:rsid w:val="004403E8"/>
    <w:rsid w:val="00440DE0"/>
    <w:rsid w:val="00441257"/>
    <w:rsid w:val="0044209A"/>
    <w:rsid w:val="00442444"/>
    <w:rsid w:val="00442DED"/>
    <w:rsid w:val="004454CF"/>
    <w:rsid w:val="0044728E"/>
    <w:rsid w:val="00447FF1"/>
    <w:rsid w:val="0045063A"/>
    <w:rsid w:val="00452800"/>
    <w:rsid w:val="00454D0B"/>
    <w:rsid w:val="00456454"/>
    <w:rsid w:val="00460549"/>
    <w:rsid w:val="004615D6"/>
    <w:rsid w:val="00461A16"/>
    <w:rsid w:val="00463157"/>
    <w:rsid w:val="00464308"/>
    <w:rsid w:val="004709E2"/>
    <w:rsid w:val="00471344"/>
    <w:rsid w:val="0047221D"/>
    <w:rsid w:val="004742DF"/>
    <w:rsid w:val="00477B83"/>
    <w:rsid w:val="00480BB9"/>
    <w:rsid w:val="004825F7"/>
    <w:rsid w:val="00482B0A"/>
    <w:rsid w:val="00485A89"/>
    <w:rsid w:val="004871F0"/>
    <w:rsid w:val="00487A4B"/>
    <w:rsid w:val="004906FD"/>
    <w:rsid w:val="00490E26"/>
    <w:rsid w:val="004920F7"/>
    <w:rsid w:val="00492AF6"/>
    <w:rsid w:val="0049557B"/>
    <w:rsid w:val="00495EBA"/>
    <w:rsid w:val="00495FD3"/>
    <w:rsid w:val="004976A6"/>
    <w:rsid w:val="00497DA1"/>
    <w:rsid w:val="004A1AD0"/>
    <w:rsid w:val="004A7D5D"/>
    <w:rsid w:val="004B07D5"/>
    <w:rsid w:val="004B088C"/>
    <w:rsid w:val="004B0996"/>
    <w:rsid w:val="004B1E60"/>
    <w:rsid w:val="004B1F0D"/>
    <w:rsid w:val="004B3683"/>
    <w:rsid w:val="004B464A"/>
    <w:rsid w:val="004B717C"/>
    <w:rsid w:val="004C0190"/>
    <w:rsid w:val="004C3A75"/>
    <w:rsid w:val="004C3E32"/>
    <w:rsid w:val="004C5A9A"/>
    <w:rsid w:val="004C600A"/>
    <w:rsid w:val="004C6D83"/>
    <w:rsid w:val="004D0718"/>
    <w:rsid w:val="004D25A4"/>
    <w:rsid w:val="004D25B2"/>
    <w:rsid w:val="004D2CCB"/>
    <w:rsid w:val="004D460F"/>
    <w:rsid w:val="004D74CA"/>
    <w:rsid w:val="004E0126"/>
    <w:rsid w:val="004E01BE"/>
    <w:rsid w:val="004E1500"/>
    <w:rsid w:val="004E3375"/>
    <w:rsid w:val="004E3516"/>
    <w:rsid w:val="004E3B5D"/>
    <w:rsid w:val="004E58FF"/>
    <w:rsid w:val="004E6561"/>
    <w:rsid w:val="004E6672"/>
    <w:rsid w:val="004E70BA"/>
    <w:rsid w:val="004E74FC"/>
    <w:rsid w:val="004F0A32"/>
    <w:rsid w:val="004F10E6"/>
    <w:rsid w:val="004F586F"/>
    <w:rsid w:val="004F5C0A"/>
    <w:rsid w:val="004F66E5"/>
    <w:rsid w:val="004F6F63"/>
    <w:rsid w:val="004F6F66"/>
    <w:rsid w:val="004F7F16"/>
    <w:rsid w:val="005007C6"/>
    <w:rsid w:val="00500F8B"/>
    <w:rsid w:val="00502C8A"/>
    <w:rsid w:val="0050689B"/>
    <w:rsid w:val="005069EE"/>
    <w:rsid w:val="00507C08"/>
    <w:rsid w:val="00512C3B"/>
    <w:rsid w:val="0051543A"/>
    <w:rsid w:val="005160A0"/>
    <w:rsid w:val="005171AD"/>
    <w:rsid w:val="00517E9B"/>
    <w:rsid w:val="0052120B"/>
    <w:rsid w:val="0052196C"/>
    <w:rsid w:val="00521C09"/>
    <w:rsid w:val="00523778"/>
    <w:rsid w:val="00524BE1"/>
    <w:rsid w:val="00524C2B"/>
    <w:rsid w:val="00525F42"/>
    <w:rsid w:val="0052732A"/>
    <w:rsid w:val="0053078F"/>
    <w:rsid w:val="00531B18"/>
    <w:rsid w:val="00531F63"/>
    <w:rsid w:val="00532043"/>
    <w:rsid w:val="0053273C"/>
    <w:rsid w:val="00532F03"/>
    <w:rsid w:val="005342BE"/>
    <w:rsid w:val="00535BFA"/>
    <w:rsid w:val="00537CF6"/>
    <w:rsid w:val="005430FE"/>
    <w:rsid w:val="005475B8"/>
    <w:rsid w:val="00553592"/>
    <w:rsid w:val="00553BBD"/>
    <w:rsid w:val="00553CCE"/>
    <w:rsid w:val="00553D3D"/>
    <w:rsid w:val="005547EB"/>
    <w:rsid w:val="005548F9"/>
    <w:rsid w:val="00555098"/>
    <w:rsid w:val="00560D28"/>
    <w:rsid w:val="00561460"/>
    <w:rsid w:val="00564001"/>
    <w:rsid w:val="00564FF3"/>
    <w:rsid w:val="0056559C"/>
    <w:rsid w:val="005665B2"/>
    <w:rsid w:val="00571FCD"/>
    <w:rsid w:val="005732A7"/>
    <w:rsid w:val="00574104"/>
    <w:rsid w:val="00574A09"/>
    <w:rsid w:val="00574CAE"/>
    <w:rsid w:val="0057642D"/>
    <w:rsid w:val="00577475"/>
    <w:rsid w:val="00580E49"/>
    <w:rsid w:val="00581353"/>
    <w:rsid w:val="005818B9"/>
    <w:rsid w:val="00584A71"/>
    <w:rsid w:val="005867F2"/>
    <w:rsid w:val="00590B66"/>
    <w:rsid w:val="005914FF"/>
    <w:rsid w:val="00592EBD"/>
    <w:rsid w:val="0059382B"/>
    <w:rsid w:val="00594F6A"/>
    <w:rsid w:val="005962D1"/>
    <w:rsid w:val="00596B78"/>
    <w:rsid w:val="005A04A5"/>
    <w:rsid w:val="005A0F53"/>
    <w:rsid w:val="005A2A56"/>
    <w:rsid w:val="005A388A"/>
    <w:rsid w:val="005A3A13"/>
    <w:rsid w:val="005A472E"/>
    <w:rsid w:val="005A4ABC"/>
    <w:rsid w:val="005A5E49"/>
    <w:rsid w:val="005A7398"/>
    <w:rsid w:val="005B045D"/>
    <w:rsid w:val="005B19A9"/>
    <w:rsid w:val="005B2816"/>
    <w:rsid w:val="005B33E8"/>
    <w:rsid w:val="005B5ACE"/>
    <w:rsid w:val="005C2096"/>
    <w:rsid w:val="005C20BB"/>
    <w:rsid w:val="005C3553"/>
    <w:rsid w:val="005C3DF5"/>
    <w:rsid w:val="005C510F"/>
    <w:rsid w:val="005C5586"/>
    <w:rsid w:val="005C70B1"/>
    <w:rsid w:val="005C713B"/>
    <w:rsid w:val="005C7760"/>
    <w:rsid w:val="005C7BB8"/>
    <w:rsid w:val="005D40F1"/>
    <w:rsid w:val="005D491C"/>
    <w:rsid w:val="005D5651"/>
    <w:rsid w:val="005D68FA"/>
    <w:rsid w:val="005D6F22"/>
    <w:rsid w:val="005E3C9E"/>
    <w:rsid w:val="005E42DE"/>
    <w:rsid w:val="005E5309"/>
    <w:rsid w:val="005E5BF6"/>
    <w:rsid w:val="005E686A"/>
    <w:rsid w:val="005E6D7C"/>
    <w:rsid w:val="005E703B"/>
    <w:rsid w:val="005F002D"/>
    <w:rsid w:val="005F17D7"/>
    <w:rsid w:val="005F249E"/>
    <w:rsid w:val="005F5365"/>
    <w:rsid w:val="005F667E"/>
    <w:rsid w:val="005F6C67"/>
    <w:rsid w:val="005F7A59"/>
    <w:rsid w:val="006021D0"/>
    <w:rsid w:val="006045DF"/>
    <w:rsid w:val="0060499E"/>
    <w:rsid w:val="006060C4"/>
    <w:rsid w:val="00606878"/>
    <w:rsid w:val="00610CB1"/>
    <w:rsid w:val="00612688"/>
    <w:rsid w:val="006133D2"/>
    <w:rsid w:val="00617B30"/>
    <w:rsid w:val="0062109B"/>
    <w:rsid w:val="00621EFF"/>
    <w:rsid w:val="006228F8"/>
    <w:rsid w:val="00623ED6"/>
    <w:rsid w:val="00625EBE"/>
    <w:rsid w:val="00626972"/>
    <w:rsid w:val="00630C62"/>
    <w:rsid w:val="006334F8"/>
    <w:rsid w:val="0063531A"/>
    <w:rsid w:val="00635788"/>
    <w:rsid w:val="00640BE3"/>
    <w:rsid w:val="00640C5F"/>
    <w:rsid w:val="00641CB9"/>
    <w:rsid w:val="00642014"/>
    <w:rsid w:val="0064304E"/>
    <w:rsid w:val="00645165"/>
    <w:rsid w:val="00645A49"/>
    <w:rsid w:val="00647421"/>
    <w:rsid w:val="00647899"/>
    <w:rsid w:val="006503AC"/>
    <w:rsid w:val="0065051F"/>
    <w:rsid w:val="00651A97"/>
    <w:rsid w:val="006548E6"/>
    <w:rsid w:val="00657009"/>
    <w:rsid w:val="00657047"/>
    <w:rsid w:val="0065794A"/>
    <w:rsid w:val="006606A6"/>
    <w:rsid w:val="00665DE5"/>
    <w:rsid w:val="00666109"/>
    <w:rsid w:val="00666B8A"/>
    <w:rsid w:val="006671F5"/>
    <w:rsid w:val="00670D11"/>
    <w:rsid w:val="00672003"/>
    <w:rsid w:val="00672979"/>
    <w:rsid w:val="00675602"/>
    <w:rsid w:val="00675DB2"/>
    <w:rsid w:val="006766D2"/>
    <w:rsid w:val="00677994"/>
    <w:rsid w:val="00680DF0"/>
    <w:rsid w:val="0068466A"/>
    <w:rsid w:val="00686006"/>
    <w:rsid w:val="00686152"/>
    <w:rsid w:val="0068639D"/>
    <w:rsid w:val="00686485"/>
    <w:rsid w:val="00687F22"/>
    <w:rsid w:val="00691AD5"/>
    <w:rsid w:val="00693EFE"/>
    <w:rsid w:val="00696579"/>
    <w:rsid w:val="006A1BED"/>
    <w:rsid w:val="006A4638"/>
    <w:rsid w:val="006A4BA5"/>
    <w:rsid w:val="006A507E"/>
    <w:rsid w:val="006B0CD9"/>
    <w:rsid w:val="006B141F"/>
    <w:rsid w:val="006B28EE"/>
    <w:rsid w:val="006B3F9E"/>
    <w:rsid w:val="006B4CB4"/>
    <w:rsid w:val="006B5622"/>
    <w:rsid w:val="006B6FE0"/>
    <w:rsid w:val="006C31CA"/>
    <w:rsid w:val="006C321B"/>
    <w:rsid w:val="006C4BD9"/>
    <w:rsid w:val="006C4BED"/>
    <w:rsid w:val="006C53D2"/>
    <w:rsid w:val="006C795D"/>
    <w:rsid w:val="006D0603"/>
    <w:rsid w:val="006D18DE"/>
    <w:rsid w:val="006D2642"/>
    <w:rsid w:val="006E0D1E"/>
    <w:rsid w:val="006E1327"/>
    <w:rsid w:val="006E15A7"/>
    <w:rsid w:val="006E23CD"/>
    <w:rsid w:val="006E672E"/>
    <w:rsid w:val="006E6AF8"/>
    <w:rsid w:val="006F2504"/>
    <w:rsid w:val="006F4850"/>
    <w:rsid w:val="006F53B0"/>
    <w:rsid w:val="006F5AF5"/>
    <w:rsid w:val="006F76CC"/>
    <w:rsid w:val="00700F97"/>
    <w:rsid w:val="007014F3"/>
    <w:rsid w:val="007022CB"/>
    <w:rsid w:val="0070264A"/>
    <w:rsid w:val="00702C41"/>
    <w:rsid w:val="007037DD"/>
    <w:rsid w:val="00703B4D"/>
    <w:rsid w:val="007064B9"/>
    <w:rsid w:val="00707B9F"/>
    <w:rsid w:val="00711354"/>
    <w:rsid w:val="00711719"/>
    <w:rsid w:val="00711B1E"/>
    <w:rsid w:val="00712FD6"/>
    <w:rsid w:val="00714984"/>
    <w:rsid w:val="00714C74"/>
    <w:rsid w:val="00715B04"/>
    <w:rsid w:val="00717563"/>
    <w:rsid w:val="0071773A"/>
    <w:rsid w:val="00725A68"/>
    <w:rsid w:val="00730AB3"/>
    <w:rsid w:val="00732425"/>
    <w:rsid w:val="00732741"/>
    <w:rsid w:val="00733D1E"/>
    <w:rsid w:val="00733ED9"/>
    <w:rsid w:val="0073521A"/>
    <w:rsid w:val="007352EF"/>
    <w:rsid w:val="00735B24"/>
    <w:rsid w:val="0073757C"/>
    <w:rsid w:val="0073761F"/>
    <w:rsid w:val="00741706"/>
    <w:rsid w:val="00742BE4"/>
    <w:rsid w:val="00743F86"/>
    <w:rsid w:val="0074530F"/>
    <w:rsid w:val="0074550F"/>
    <w:rsid w:val="007507CB"/>
    <w:rsid w:val="00750F54"/>
    <w:rsid w:val="00751293"/>
    <w:rsid w:val="00755DC6"/>
    <w:rsid w:val="007576E3"/>
    <w:rsid w:val="00757D9D"/>
    <w:rsid w:val="007600AC"/>
    <w:rsid w:val="007608EF"/>
    <w:rsid w:val="0076136E"/>
    <w:rsid w:val="00761E10"/>
    <w:rsid w:val="007640FB"/>
    <w:rsid w:val="00767850"/>
    <w:rsid w:val="00770CA7"/>
    <w:rsid w:val="00772F15"/>
    <w:rsid w:val="00774C09"/>
    <w:rsid w:val="007755B6"/>
    <w:rsid w:val="00776570"/>
    <w:rsid w:val="0077765E"/>
    <w:rsid w:val="007803FF"/>
    <w:rsid w:val="00780DF1"/>
    <w:rsid w:val="0078324E"/>
    <w:rsid w:val="00783980"/>
    <w:rsid w:val="00784BFE"/>
    <w:rsid w:val="00785DFE"/>
    <w:rsid w:val="00787D5F"/>
    <w:rsid w:val="00787E97"/>
    <w:rsid w:val="00790500"/>
    <w:rsid w:val="00790CB2"/>
    <w:rsid w:val="007916FB"/>
    <w:rsid w:val="00792C57"/>
    <w:rsid w:val="00792D08"/>
    <w:rsid w:val="007952D3"/>
    <w:rsid w:val="007958FE"/>
    <w:rsid w:val="0079643C"/>
    <w:rsid w:val="0079666E"/>
    <w:rsid w:val="0079710F"/>
    <w:rsid w:val="00797C09"/>
    <w:rsid w:val="007A01AC"/>
    <w:rsid w:val="007A0273"/>
    <w:rsid w:val="007A1349"/>
    <w:rsid w:val="007A18FD"/>
    <w:rsid w:val="007A3567"/>
    <w:rsid w:val="007A6E0B"/>
    <w:rsid w:val="007A7801"/>
    <w:rsid w:val="007B0E83"/>
    <w:rsid w:val="007B21CD"/>
    <w:rsid w:val="007B4BFD"/>
    <w:rsid w:val="007B5948"/>
    <w:rsid w:val="007C012A"/>
    <w:rsid w:val="007C0284"/>
    <w:rsid w:val="007C0378"/>
    <w:rsid w:val="007C18C3"/>
    <w:rsid w:val="007C23A0"/>
    <w:rsid w:val="007C27A1"/>
    <w:rsid w:val="007C378E"/>
    <w:rsid w:val="007C420B"/>
    <w:rsid w:val="007C49D9"/>
    <w:rsid w:val="007C52F1"/>
    <w:rsid w:val="007C6BF9"/>
    <w:rsid w:val="007C7ED2"/>
    <w:rsid w:val="007C7EF6"/>
    <w:rsid w:val="007C7F08"/>
    <w:rsid w:val="007D1730"/>
    <w:rsid w:val="007D2042"/>
    <w:rsid w:val="007D259C"/>
    <w:rsid w:val="007D4230"/>
    <w:rsid w:val="007D4D7B"/>
    <w:rsid w:val="007D6680"/>
    <w:rsid w:val="007E14DD"/>
    <w:rsid w:val="007E21C3"/>
    <w:rsid w:val="007E5662"/>
    <w:rsid w:val="007F1C99"/>
    <w:rsid w:val="007F3623"/>
    <w:rsid w:val="007F6065"/>
    <w:rsid w:val="007F626A"/>
    <w:rsid w:val="007F6B43"/>
    <w:rsid w:val="007F7012"/>
    <w:rsid w:val="007F77CD"/>
    <w:rsid w:val="00800EE9"/>
    <w:rsid w:val="00802693"/>
    <w:rsid w:val="00803540"/>
    <w:rsid w:val="00803C34"/>
    <w:rsid w:val="00804C62"/>
    <w:rsid w:val="00805B1D"/>
    <w:rsid w:val="0081295B"/>
    <w:rsid w:val="00812E73"/>
    <w:rsid w:val="008136D5"/>
    <w:rsid w:val="00813B6F"/>
    <w:rsid w:val="00814D20"/>
    <w:rsid w:val="008164E4"/>
    <w:rsid w:val="008200F1"/>
    <w:rsid w:val="00820E6A"/>
    <w:rsid w:val="008222CC"/>
    <w:rsid w:val="00826D3D"/>
    <w:rsid w:val="0083232E"/>
    <w:rsid w:val="00832D8A"/>
    <w:rsid w:val="00832FE4"/>
    <w:rsid w:val="00833881"/>
    <w:rsid w:val="00834026"/>
    <w:rsid w:val="008345C7"/>
    <w:rsid w:val="00836F81"/>
    <w:rsid w:val="00837950"/>
    <w:rsid w:val="008405E8"/>
    <w:rsid w:val="008421EA"/>
    <w:rsid w:val="008469E4"/>
    <w:rsid w:val="008529D0"/>
    <w:rsid w:val="008546BF"/>
    <w:rsid w:val="008554C2"/>
    <w:rsid w:val="00855B7C"/>
    <w:rsid w:val="00856BBA"/>
    <w:rsid w:val="00861B2D"/>
    <w:rsid w:val="00861CC1"/>
    <w:rsid w:val="008621D6"/>
    <w:rsid w:val="008661D2"/>
    <w:rsid w:val="0087102C"/>
    <w:rsid w:val="00871BD1"/>
    <w:rsid w:val="00872D79"/>
    <w:rsid w:val="00877F21"/>
    <w:rsid w:val="008800E2"/>
    <w:rsid w:val="00880302"/>
    <w:rsid w:val="008847E0"/>
    <w:rsid w:val="00884A91"/>
    <w:rsid w:val="00884AF0"/>
    <w:rsid w:val="00884C41"/>
    <w:rsid w:val="00885A66"/>
    <w:rsid w:val="00886339"/>
    <w:rsid w:val="008901CD"/>
    <w:rsid w:val="00890231"/>
    <w:rsid w:val="00890489"/>
    <w:rsid w:val="00890765"/>
    <w:rsid w:val="00890A16"/>
    <w:rsid w:val="00890D18"/>
    <w:rsid w:val="008911A6"/>
    <w:rsid w:val="008965FC"/>
    <w:rsid w:val="00896DB8"/>
    <w:rsid w:val="008A0AE3"/>
    <w:rsid w:val="008A0D3A"/>
    <w:rsid w:val="008A0EF2"/>
    <w:rsid w:val="008A1B60"/>
    <w:rsid w:val="008A3D32"/>
    <w:rsid w:val="008A5870"/>
    <w:rsid w:val="008A5DD5"/>
    <w:rsid w:val="008A6DDA"/>
    <w:rsid w:val="008B02F9"/>
    <w:rsid w:val="008B09DB"/>
    <w:rsid w:val="008B399F"/>
    <w:rsid w:val="008B7BA7"/>
    <w:rsid w:val="008B7DD7"/>
    <w:rsid w:val="008C0BCA"/>
    <w:rsid w:val="008C117F"/>
    <w:rsid w:val="008C15A7"/>
    <w:rsid w:val="008C1D70"/>
    <w:rsid w:val="008C1E3D"/>
    <w:rsid w:val="008C23F1"/>
    <w:rsid w:val="008C2B87"/>
    <w:rsid w:val="008C38FE"/>
    <w:rsid w:val="008C3C4E"/>
    <w:rsid w:val="008C4D6A"/>
    <w:rsid w:val="008C628F"/>
    <w:rsid w:val="008C6FFC"/>
    <w:rsid w:val="008D027A"/>
    <w:rsid w:val="008D0A2F"/>
    <w:rsid w:val="008D29D4"/>
    <w:rsid w:val="008D2C3B"/>
    <w:rsid w:val="008D2F4A"/>
    <w:rsid w:val="008D3896"/>
    <w:rsid w:val="008D3FB6"/>
    <w:rsid w:val="008D64ED"/>
    <w:rsid w:val="008D6FBE"/>
    <w:rsid w:val="008D7CC2"/>
    <w:rsid w:val="008D7FBC"/>
    <w:rsid w:val="008E02E5"/>
    <w:rsid w:val="008E0640"/>
    <w:rsid w:val="008E1131"/>
    <w:rsid w:val="008E34D8"/>
    <w:rsid w:val="008E4225"/>
    <w:rsid w:val="008E45F9"/>
    <w:rsid w:val="008E5726"/>
    <w:rsid w:val="008E5BB1"/>
    <w:rsid w:val="008E74ED"/>
    <w:rsid w:val="008E7D39"/>
    <w:rsid w:val="008F0F9F"/>
    <w:rsid w:val="008F4A91"/>
    <w:rsid w:val="008F5EC2"/>
    <w:rsid w:val="00900F55"/>
    <w:rsid w:val="00901DA5"/>
    <w:rsid w:val="00902FB5"/>
    <w:rsid w:val="0090335E"/>
    <w:rsid w:val="009042F5"/>
    <w:rsid w:val="00905A06"/>
    <w:rsid w:val="00906D49"/>
    <w:rsid w:val="009070F5"/>
    <w:rsid w:val="009106E4"/>
    <w:rsid w:val="00911EFF"/>
    <w:rsid w:val="009123E3"/>
    <w:rsid w:val="009125B8"/>
    <w:rsid w:val="00913ECD"/>
    <w:rsid w:val="009149F1"/>
    <w:rsid w:val="00914CC9"/>
    <w:rsid w:val="00914D92"/>
    <w:rsid w:val="00915994"/>
    <w:rsid w:val="00916FDB"/>
    <w:rsid w:val="00922335"/>
    <w:rsid w:val="00923493"/>
    <w:rsid w:val="00924C24"/>
    <w:rsid w:val="009253AD"/>
    <w:rsid w:val="0093033C"/>
    <w:rsid w:val="00930C1D"/>
    <w:rsid w:val="009356C5"/>
    <w:rsid w:val="009360BD"/>
    <w:rsid w:val="00942C0F"/>
    <w:rsid w:val="009437DF"/>
    <w:rsid w:val="00944599"/>
    <w:rsid w:val="009455F5"/>
    <w:rsid w:val="00946AE0"/>
    <w:rsid w:val="00950B11"/>
    <w:rsid w:val="0095322A"/>
    <w:rsid w:val="0095467D"/>
    <w:rsid w:val="009553F5"/>
    <w:rsid w:val="00955B97"/>
    <w:rsid w:val="00956462"/>
    <w:rsid w:val="009606F8"/>
    <w:rsid w:val="00960E91"/>
    <w:rsid w:val="009635A5"/>
    <w:rsid w:val="009668DE"/>
    <w:rsid w:val="00966987"/>
    <w:rsid w:val="009669B2"/>
    <w:rsid w:val="00966D2A"/>
    <w:rsid w:val="009676B9"/>
    <w:rsid w:val="00970DE9"/>
    <w:rsid w:val="009746D4"/>
    <w:rsid w:val="009746D8"/>
    <w:rsid w:val="00977DF9"/>
    <w:rsid w:val="00982FFF"/>
    <w:rsid w:val="009836C0"/>
    <w:rsid w:val="00983F35"/>
    <w:rsid w:val="009856EA"/>
    <w:rsid w:val="00985B59"/>
    <w:rsid w:val="0098641C"/>
    <w:rsid w:val="00987DF2"/>
    <w:rsid w:val="009901D6"/>
    <w:rsid w:val="00992087"/>
    <w:rsid w:val="00992710"/>
    <w:rsid w:val="00992DAC"/>
    <w:rsid w:val="0099319B"/>
    <w:rsid w:val="009940E2"/>
    <w:rsid w:val="009955A7"/>
    <w:rsid w:val="00995E3E"/>
    <w:rsid w:val="00996B0A"/>
    <w:rsid w:val="009A4BDC"/>
    <w:rsid w:val="009A57A5"/>
    <w:rsid w:val="009A595E"/>
    <w:rsid w:val="009A773E"/>
    <w:rsid w:val="009A7E21"/>
    <w:rsid w:val="009B10B3"/>
    <w:rsid w:val="009B242B"/>
    <w:rsid w:val="009B252C"/>
    <w:rsid w:val="009B29A9"/>
    <w:rsid w:val="009B32D7"/>
    <w:rsid w:val="009B3986"/>
    <w:rsid w:val="009C0DF3"/>
    <w:rsid w:val="009C2E05"/>
    <w:rsid w:val="009C72E8"/>
    <w:rsid w:val="009D44A9"/>
    <w:rsid w:val="009D4A6E"/>
    <w:rsid w:val="009D6E17"/>
    <w:rsid w:val="009E104B"/>
    <w:rsid w:val="009E2539"/>
    <w:rsid w:val="009E3171"/>
    <w:rsid w:val="009E3974"/>
    <w:rsid w:val="009E39CE"/>
    <w:rsid w:val="009E5220"/>
    <w:rsid w:val="009E5801"/>
    <w:rsid w:val="009E6F97"/>
    <w:rsid w:val="009F3211"/>
    <w:rsid w:val="009F3F34"/>
    <w:rsid w:val="009F46E7"/>
    <w:rsid w:val="009F61D3"/>
    <w:rsid w:val="00A01333"/>
    <w:rsid w:val="00A01FB2"/>
    <w:rsid w:val="00A03A76"/>
    <w:rsid w:val="00A03F01"/>
    <w:rsid w:val="00A04160"/>
    <w:rsid w:val="00A047B4"/>
    <w:rsid w:val="00A07733"/>
    <w:rsid w:val="00A12816"/>
    <w:rsid w:val="00A1281A"/>
    <w:rsid w:val="00A12AEA"/>
    <w:rsid w:val="00A12B40"/>
    <w:rsid w:val="00A13D48"/>
    <w:rsid w:val="00A143DD"/>
    <w:rsid w:val="00A15733"/>
    <w:rsid w:val="00A162E6"/>
    <w:rsid w:val="00A178F7"/>
    <w:rsid w:val="00A17D1D"/>
    <w:rsid w:val="00A20966"/>
    <w:rsid w:val="00A2158C"/>
    <w:rsid w:val="00A240E5"/>
    <w:rsid w:val="00A26EC4"/>
    <w:rsid w:val="00A26EFD"/>
    <w:rsid w:val="00A30816"/>
    <w:rsid w:val="00A30A15"/>
    <w:rsid w:val="00A31BE9"/>
    <w:rsid w:val="00A33BCC"/>
    <w:rsid w:val="00A3491E"/>
    <w:rsid w:val="00A3517E"/>
    <w:rsid w:val="00A37E7E"/>
    <w:rsid w:val="00A40509"/>
    <w:rsid w:val="00A40923"/>
    <w:rsid w:val="00A41806"/>
    <w:rsid w:val="00A420BB"/>
    <w:rsid w:val="00A42213"/>
    <w:rsid w:val="00A428C2"/>
    <w:rsid w:val="00A43AF6"/>
    <w:rsid w:val="00A4455C"/>
    <w:rsid w:val="00A45B5F"/>
    <w:rsid w:val="00A45C77"/>
    <w:rsid w:val="00A464BC"/>
    <w:rsid w:val="00A46F2E"/>
    <w:rsid w:val="00A4716C"/>
    <w:rsid w:val="00A50DD4"/>
    <w:rsid w:val="00A538F6"/>
    <w:rsid w:val="00A539BA"/>
    <w:rsid w:val="00A5742A"/>
    <w:rsid w:val="00A5794C"/>
    <w:rsid w:val="00A60B79"/>
    <w:rsid w:val="00A611D5"/>
    <w:rsid w:val="00A64421"/>
    <w:rsid w:val="00A64D50"/>
    <w:rsid w:val="00A650BA"/>
    <w:rsid w:val="00A65E59"/>
    <w:rsid w:val="00A67535"/>
    <w:rsid w:val="00A67927"/>
    <w:rsid w:val="00A706A7"/>
    <w:rsid w:val="00A70B87"/>
    <w:rsid w:val="00A715A3"/>
    <w:rsid w:val="00A7238F"/>
    <w:rsid w:val="00A725A4"/>
    <w:rsid w:val="00A72DDC"/>
    <w:rsid w:val="00A756B7"/>
    <w:rsid w:val="00A90469"/>
    <w:rsid w:val="00A91F48"/>
    <w:rsid w:val="00A92A3F"/>
    <w:rsid w:val="00A939BC"/>
    <w:rsid w:val="00A93D60"/>
    <w:rsid w:val="00A9492D"/>
    <w:rsid w:val="00A94CF7"/>
    <w:rsid w:val="00A955D9"/>
    <w:rsid w:val="00A96DE7"/>
    <w:rsid w:val="00AA04DF"/>
    <w:rsid w:val="00AA097C"/>
    <w:rsid w:val="00AA2200"/>
    <w:rsid w:val="00AA43E4"/>
    <w:rsid w:val="00AA4A4C"/>
    <w:rsid w:val="00AA5241"/>
    <w:rsid w:val="00AA6438"/>
    <w:rsid w:val="00AA64FB"/>
    <w:rsid w:val="00AB0406"/>
    <w:rsid w:val="00AB071A"/>
    <w:rsid w:val="00AB2B35"/>
    <w:rsid w:val="00AB3442"/>
    <w:rsid w:val="00AB3647"/>
    <w:rsid w:val="00AB370F"/>
    <w:rsid w:val="00AB3AB7"/>
    <w:rsid w:val="00AB492E"/>
    <w:rsid w:val="00AB4D55"/>
    <w:rsid w:val="00AB539C"/>
    <w:rsid w:val="00AB6E48"/>
    <w:rsid w:val="00AC0714"/>
    <w:rsid w:val="00AC260E"/>
    <w:rsid w:val="00AC2749"/>
    <w:rsid w:val="00AC2A78"/>
    <w:rsid w:val="00AC2F87"/>
    <w:rsid w:val="00AC3EF3"/>
    <w:rsid w:val="00AC4206"/>
    <w:rsid w:val="00AC5561"/>
    <w:rsid w:val="00AC6723"/>
    <w:rsid w:val="00AC7CC2"/>
    <w:rsid w:val="00AD1409"/>
    <w:rsid w:val="00AD2129"/>
    <w:rsid w:val="00AD27F8"/>
    <w:rsid w:val="00AD2C1D"/>
    <w:rsid w:val="00AD2FDA"/>
    <w:rsid w:val="00AD318A"/>
    <w:rsid w:val="00AD3862"/>
    <w:rsid w:val="00AD3BA7"/>
    <w:rsid w:val="00AD45AC"/>
    <w:rsid w:val="00AD4C82"/>
    <w:rsid w:val="00AD56FF"/>
    <w:rsid w:val="00AD5AD3"/>
    <w:rsid w:val="00AD6369"/>
    <w:rsid w:val="00AD7490"/>
    <w:rsid w:val="00AE3BDB"/>
    <w:rsid w:val="00AE5649"/>
    <w:rsid w:val="00AE59B1"/>
    <w:rsid w:val="00AE73B4"/>
    <w:rsid w:val="00AF0266"/>
    <w:rsid w:val="00AF319F"/>
    <w:rsid w:val="00AF77CA"/>
    <w:rsid w:val="00B022E4"/>
    <w:rsid w:val="00B02301"/>
    <w:rsid w:val="00B02802"/>
    <w:rsid w:val="00B02A08"/>
    <w:rsid w:val="00B0347E"/>
    <w:rsid w:val="00B07D2B"/>
    <w:rsid w:val="00B10557"/>
    <w:rsid w:val="00B11FF4"/>
    <w:rsid w:val="00B1270A"/>
    <w:rsid w:val="00B12ACE"/>
    <w:rsid w:val="00B15265"/>
    <w:rsid w:val="00B20DCA"/>
    <w:rsid w:val="00B23D22"/>
    <w:rsid w:val="00B25390"/>
    <w:rsid w:val="00B25BB6"/>
    <w:rsid w:val="00B267A3"/>
    <w:rsid w:val="00B2691A"/>
    <w:rsid w:val="00B2730F"/>
    <w:rsid w:val="00B30277"/>
    <w:rsid w:val="00B312AC"/>
    <w:rsid w:val="00B31CE4"/>
    <w:rsid w:val="00B32109"/>
    <w:rsid w:val="00B3370B"/>
    <w:rsid w:val="00B341F1"/>
    <w:rsid w:val="00B35329"/>
    <w:rsid w:val="00B36F73"/>
    <w:rsid w:val="00B37210"/>
    <w:rsid w:val="00B373DC"/>
    <w:rsid w:val="00B4067E"/>
    <w:rsid w:val="00B41A08"/>
    <w:rsid w:val="00B423E1"/>
    <w:rsid w:val="00B425A5"/>
    <w:rsid w:val="00B4372D"/>
    <w:rsid w:val="00B440EB"/>
    <w:rsid w:val="00B44A30"/>
    <w:rsid w:val="00B47FA2"/>
    <w:rsid w:val="00B50B2D"/>
    <w:rsid w:val="00B534EC"/>
    <w:rsid w:val="00B54EF1"/>
    <w:rsid w:val="00B564FE"/>
    <w:rsid w:val="00B56B8D"/>
    <w:rsid w:val="00B57B4D"/>
    <w:rsid w:val="00B602AB"/>
    <w:rsid w:val="00B61209"/>
    <w:rsid w:val="00B61B9D"/>
    <w:rsid w:val="00B64636"/>
    <w:rsid w:val="00B64D46"/>
    <w:rsid w:val="00B65B18"/>
    <w:rsid w:val="00B65D30"/>
    <w:rsid w:val="00B6604D"/>
    <w:rsid w:val="00B664EF"/>
    <w:rsid w:val="00B70432"/>
    <w:rsid w:val="00B74EBD"/>
    <w:rsid w:val="00B750D0"/>
    <w:rsid w:val="00B75122"/>
    <w:rsid w:val="00B75420"/>
    <w:rsid w:val="00B75D7B"/>
    <w:rsid w:val="00B76F60"/>
    <w:rsid w:val="00B779A9"/>
    <w:rsid w:val="00B812D7"/>
    <w:rsid w:val="00B82EAA"/>
    <w:rsid w:val="00B82EF2"/>
    <w:rsid w:val="00B83763"/>
    <w:rsid w:val="00B83997"/>
    <w:rsid w:val="00B87786"/>
    <w:rsid w:val="00B90F48"/>
    <w:rsid w:val="00B91853"/>
    <w:rsid w:val="00B91BFB"/>
    <w:rsid w:val="00B922ED"/>
    <w:rsid w:val="00B947B5"/>
    <w:rsid w:val="00B94967"/>
    <w:rsid w:val="00BA04B6"/>
    <w:rsid w:val="00BA099A"/>
    <w:rsid w:val="00BA0D5A"/>
    <w:rsid w:val="00BA22C5"/>
    <w:rsid w:val="00BA3AA3"/>
    <w:rsid w:val="00BA454E"/>
    <w:rsid w:val="00BA4CD6"/>
    <w:rsid w:val="00BA4E2C"/>
    <w:rsid w:val="00BA56DA"/>
    <w:rsid w:val="00BA5A9A"/>
    <w:rsid w:val="00BA61EE"/>
    <w:rsid w:val="00BA761C"/>
    <w:rsid w:val="00BA7815"/>
    <w:rsid w:val="00BB10EB"/>
    <w:rsid w:val="00BB1C21"/>
    <w:rsid w:val="00BB2BDD"/>
    <w:rsid w:val="00BB4AFF"/>
    <w:rsid w:val="00BB626D"/>
    <w:rsid w:val="00BB724F"/>
    <w:rsid w:val="00BC0B39"/>
    <w:rsid w:val="00BC3295"/>
    <w:rsid w:val="00BC3D9E"/>
    <w:rsid w:val="00BC4F37"/>
    <w:rsid w:val="00BC63F3"/>
    <w:rsid w:val="00BD0739"/>
    <w:rsid w:val="00BD12AB"/>
    <w:rsid w:val="00BD1A10"/>
    <w:rsid w:val="00BD3F1E"/>
    <w:rsid w:val="00BD456F"/>
    <w:rsid w:val="00BD4BF4"/>
    <w:rsid w:val="00BD5B32"/>
    <w:rsid w:val="00BD659E"/>
    <w:rsid w:val="00BD7F60"/>
    <w:rsid w:val="00BE2C51"/>
    <w:rsid w:val="00BE5B3F"/>
    <w:rsid w:val="00BE63CA"/>
    <w:rsid w:val="00BE7E1E"/>
    <w:rsid w:val="00BF039D"/>
    <w:rsid w:val="00BF12B8"/>
    <w:rsid w:val="00BF1409"/>
    <w:rsid w:val="00BF44A6"/>
    <w:rsid w:val="00BF45FB"/>
    <w:rsid w:val="00BF6458"/>
    <w:rsid w:val="00BF65E6"/>
    <w:rsid w:val="00BF6D49"/>
    <w:rsid w:val="00C00E04"/>
    <w:rsid w:val="00C01793"/>
    <w:rsid w:val="00C01E41"/>
    <w:rsid w:val="00C02DBF"/>
    <w:rsid w:val="00C0309B"/>
    <w:rsid w:val="00C03332"/>
    <w:rsid w:val="00C040AB"/>
    <w:rsid w:val="00C0430D"/>
    <w:rsid w:val="00C06014"/>
    <w:rsid w:val="00C071C9"/>
    <w:rsid w:val="00C07B1D"/>
    <w:rsid w:val="00C13C8E"/>
    <w:rsid w:val="00C143E8"/>
    <w:rsid w:val="00C1732D"/>
    <w:rsid w:val="00C17668"/>
    <w:rsid w:val="00C20C39"/>
    <w:rsid w:val="00C2242E"/>
    <w:rsid w:val="00C24C71"/>
    <w:rsid w:val="00C24D82"/>
    <w:rsid w:val="00C2521C"/>
    <w:rsid w:val="00C25CE4"/>
    <w:rsid w:val="00C26338"/>
    <w:rsid w:val="00C2651E"/>
    <w:rsid w:val="00C268FF"/>
    <w:rsid w:val="00C321EA"/>
    <w:rsid w:val="00C33891"/>
    <w:rsid w:val="00C33CD1"/>
    <w:rsid w:val="00C33E69"/>
    <w:rsid w:val="00C34B2A"/>
    <w:rsid w:val="00C35717"/>
    <w:rsid w:val="00C35C14"/>
    <w:rsid w:val="00C378FD"/>
    <w:rsid w:val="00C47091"/>
    <w:rsid w:val="00C47468"/>
    <w:rsid w:val="00C47986"/>
    <w:rsid w:val="00C47D2A"/>
    <w:rsid w:val="00C50D81"/>
    <w:rsid w:val="00C50FB8"/>
    <w:rsid w:val="00C5123D"/>
    <w:rsid w:val="00C5142A"/>
    <w:rsid w:val="00C534C8"/>
    <w:rsid w:val="00C54244"/>
    <w:rsid w:val="00C55B9C"/>
    <w:rsid w:val="00C5685E"/>
    <w:rsid w:val="00C56C15"/>
    <w:rsid w:val="00C56E9C"/>
    <w:rsid w:val="00C60711"/>
    <w:rsid w:val="00C63BD4"/>
    <w:rsid w:val="00C63FE9"/>
    <w:rsid w:val="00C65016"/>
    <w:rsid w:val="00C66035"/>
    <w:rsid w:val="00C70AEF"/>
    <w:rsid w:val="00C70FAF"/>
    <w:rsid w:val="00C73929"/>
    <w:rsid w:val="00C73DB5"/>
    <w:rsid w:val="00C757B2"/>
    <w:rsid w:val="00C77407"/>
    <w:rsid w:val="00C8071F"/>
    <w:rsid w:val="00C80AEA"/>
    <w:rsid w:val="00C82B39"/>
    <w:rsid w:val="00C82D38"/>
    <w:rsid w:val="00C839E5"/>
    <w:rsid w:val="00C83FC3"/>
    <w:rsid w:val="00C84977"/>
    <w:rsid w:val="00C85260"/>
    <w:rsid w:val="00C8547F"/>
    <w:rsid w:val="00C861D2"/>
    <w:rsid w:val="00C87D72"/>
    <w:rsid w:val="00C920FB"/>
    <w:rsid w:val="00C92281"/>
    <w:rsid w:val="00C92CDA"/>
    <w:rsid w:val="00C9472B"/>
    <w:rsid w:val="00C95A4E"/>
    <w:rsid w:val="00C96597"/>
    <w:rsid w:val="00C969F3"/>
    <w:rsid w:val="00C97211"/>
    <w:rsid w:val="00CA12A7"/>
    <w:rsid w:val="00CA1EB2"/>
    <w:rsid w:val="00CA1FCD"/>
    <w:rsid w:val="00CA2653"/>
    <w:rsid w:val="00CA2747"/>
    <w:rsid w:val="00CA549E"/>
    <w:rsid w:val="00CA5FE9"/>
    <w:rsid w:val="00CA6F71"/>
    <w:rsid w:val="00CB2099"/>
    <w:rsid w:val="00CB418B"/>
    <w:rsid w:val="00CB7654"/>
    <w:rsid w:val="00CC0028"/>
    <w:rsid w:val="00CC0106"/>
    <w:rsid w:val="00CC0728"/>
    <w:rsid w:val="00CC0B86"/>
    <w:rsid w:val="00CC1069"/>
    <w:rsid w:val="00CC14D5"/>
    <w:rsid w:val="00CC1B36"/>
    <w:rsid w:val="00CC4EF4"/>
    <w:rsid w:val="00CC5842"/>
    <w:rsid w:val="00CC5A7E"/>
    <w:rsid w:val="00CC60E7"/>
    <w:rsid w:val="00CC7753"/>
    <w:rsid w:val="00CD0141"/>
    <w:rsid w:val="00CD0C0E"/>
    <w:rsid w:val="00CD11C3"/>
    <w:rsid w:val="00CD1C54"/>
    <w:rsid w:val="00CD2143"/>
    <w:rsid w:val="00CD22C1"/>
    <w:rsid w:val="00CD3D9C"/>
    <w:rsid w:val="00CD5C01"/>
    <w:rsid w:val="00CE142D"/>
    <w:rsid w:val="00CE233A"/>
    <w:rsid w:val="00CE59C5"/>
    <w:rsid w:val="00CE792E"/>
    <w:rsid w:val="00CF2F05"/>
    <w:rsid w:val="00CF325B"/>
    <w:rsid w:val="00CF5D22"/>
    <w:rsid w:val="00CF60F8"/>
    <w:rsid w:val="00CF689A"/>
    <w:rsid w:val="00D0111E"/>
    <w:rsid w:val="00D035FA"/>
    <w:rsid w:val="00D061BC"/>
    <w:rsid w:val="00D06F31"/>
    <w:rsid w:val="00D10555"/>
    <w:rsid w:val="00D1206A"/>
    <w:rsid w:val="00D17E95"/>
    <w:rsid w:val="00D222D8"/>
    <w:rsid w:val="00D26CC8"/>
    <w:rsid w:val="00D27EAA"/>
    <w:rsid w:val="00D30298"/>
    <w:rsid w:val="00D304D1"/>
    <w:rsid w:val="00D33DA9"/>
    <w:rsid w:val="00D34D9F"/>
    <w:rsid w:val="00D358ED"/>
    <w:rsid w:val="00D36966"/>
    <w:rsid w:val="00D40E4E"/>
    <w:rsid w:val="00D4327E"/>
    <w:rsid w:val="00D43C47"/>
    <w:rsid w:val="00D4502B"/>
    <w:rsid w:val="00D467F6"/>
    <w:rsid w:val="00D47481"/>
    <w:rsid w:val="00D50A88"/>
    <w:rsid w:val="00D50AA7"/>
    <w:rsid w:val="00D50D04"/>
    <w:rsid w:val="00D5165A"/>
    <w:rsid w:val="00D51A6A"/>
    <w:rsid w:val="00D52499"/>
    <w:rsid w:val="00D52833"/>
    <w:rsid w:val="00D53BE1"/>
    <w:rsid w:val="00D56998"/>
    <w:rsid w:val="00D608D7"/>
    <w:rsid w:val="00D61C41"/>
    <w:rsid w:val="00D62311"/>
    <w:rsid w:val="00D62BB9"/>
    <w:rsid w:val="00D62D1E"/>
    <w:rsid w:val="00D67BFF"/>
    <w:rsid w:val="00D72203"/>
    <w:rsid w:val="00D72818"/>
    <w:rsid w:val="00D72D29"/>
    <w:rsid w:val="00D74F65"/>
    <w:rsid w:val="00D7537A"/>
    <w:rsid w:val="00D76D58"/>
    <w:rsid w:val="00D81637"/>
    <w:rsid w:val="00D81D67"/>
    <w:rsid w:val="00D83180"/>
    <w:rsid w:val="00D85BB3"/>
    <w:rsid w:val="00D8692C"/>
    <w:rsid w:val="00D86D2A"/>
    <w:rsid w:val="00D86E2B"/>
    <w:rsid w:val="00D873E7"/>
    <w:rsid w:val="00D93293"/>
    <w:rsid w:val="00D9354D"/>
    <w:rsid w:val="00D9415C"/>
    <w:rsid w:val="00D9466C"/>
    <w:rsid w:val="00D9574F"/>
    <w:rsid w:val="00D96034"/>
    <w:rsid w:val="00D96FAA"/>
    <w:rsid w:val="00D97C6A"/>
    <w:rsid w:val="00D97F3C"/>
    <w:rsid w:val="00DA39B1"/>
    <w:rsid w:val="00DA47F9"/>
    <w:rsid w:val="00DB002A"/>
    <w:rsid w:val="00DB0205"/>
    <w:rsid w:val="00DB1780"/>
    <w:rsid w:val="00DB1ADD"/>
    <w:rsid w:val="00DB2833"/>
    <w:rsid w:val="00DB3B4C"/>
    <w:rsid w:val="00DB6AD2"/>
    <w:rsid w:val="00DB6EFB"/>
    <w:rsid w:val="00DB78AA"/>
    <w:rsid w:val="00DB7978"/>
    <w:rsid w:val="00DC13C7"/>
    <w:rsid w:val="00DC2447"/>
    <w:rsid w:val="00DC2F75"/>
    <w:rsid w:val="00DC3DF8"/>
    <w:rsid w:val="00DC686D"/>
    <w:rsid w:val="00DC7046"/>
    <w:rsid w:val="00DD0F30"/>
    <w:rsid w:val="00DD2398"/>
    <w:rsid w:val="00DD355A"/>
    <w:rsid w:val="00DD3616"/>
    <w:rsid w:val="00DD3678"/>
    <w:rsid w:val="00DE0A50"/>
    <w:rsid w:val="00DE0B13"/>
    <w:rsid w:val="00DE2A58"/>
    <w:rsid w:val="00DE5F44"/>
    <w:rsid w:val="00DE6E03"/>
    <w:rsid w:val="00DF0933"/>
    <w:rsid w:val="00DF27AD"/>
    <w:rsid w:val="00DF504E"/>
    <w:rsid w:val="00DF5C3D"/>
    <w:rsid w:val="00DF5F3F"/>
    <w:rsid w:val="00DF6D67"/>
    <w:rsid w:val="00DF7A67"/>
    <w:rsid w:val="00E00CCB"/>
    <w:rsid w:val="00E0170F"/>
    <w:rsid w:val="00E01972"/>
    <w:rsid w:val="00E033E7"/>
    <w:rsid w:val="00E046CD"/>
    <w:rsid w:val="00E0556E"/>
    <w:rsid w:val="00E06384"/>
    <w:rsid w:val="00E115EE"/>
    <w:rsid w:val="00E12D64"/>
    <w:rsid w:val="00E1335F"/>
    <w:rsid w:val="00E147C5"/>
    <w:rsid w:val="00E14C28"/>
    <w:rsid w:val="00E1675E"/>
    <w:rsid w:val="00E174CE"/>
    <w:rsid w:val="00E204D4"/>
    <w:rsid w:val="00E212D0"/>
    <w:rsid w:val="00E21C9C"/>
    <w:rsid w:val="00E22161"/>
    <w:rsid w:val="00E2352B"/>
    <w:rsid w:val="00E2378E"/>
    <w:rsid w:val="00E26242"/>
    <w:rsid w:val="00E26CDE"/>
    <w:rsid w:val="00E26F1E"/>
    <w:rsid w:val="00E3021A"/>
    <w:rsid w:val="00E30BFD"/>
    <w:rsid w:val="00E326C3"/>
    <w:rsid w:val="00E326F4"/>
    <w:rsid w:val="00E3426A"/>
    <w:rsid w:val="00E34B83"/>
    <w:rsid w:val="00E36DF4"/>
    <w:rsid w:val="00E371BB"/>
    <w:rsid w:val="00E416C6"/>
    <w:rsid w:val="00E42448"/>
    <w:rsid w:val="00E42DB0"/>
    <w:rsid w:val="00E45F2B"/>
    <w:rsid w:val="00E476B6"/>
    <w:rsid w:val="00E479CD"/>
    <w:rsid w:val="00E47D47"/>
    <w:rsid w:val="00E50E49"/>
    <w:rsid w:val="00E51B0C"/>
    <w:rsid w:val="00E51FF8"/>
    <w:rsid w:val="00E529BC"/>
    <w:rsid w:val="00E532CB"/>
    <w:rsid w:val="00E537B4"/>
    <w:rsid w:val="00E61DD6"/>
    <w:rsid w:val="00E62BED"/>
    <w:rsid w:val="00E63E0D"/>
    <w:rsid w:val="00E66FD9"/>
    <w:rsid w:val="00E67A7B"/>
    <w:rsid w:val="00E73966"/>
    <w:rsid w:val="00E73A1B"/>
    <w:rsid w:val="00E75188"/>
    <w:rsid w:val="00E75D5B"/>
    <w:rsid w:val="00E76310"/>
    <w:rsid w:val="00E7672E"/>
    <w:rsid w:val="00E8347A"/>
    <w:rsid w:val="00E83CB5"/>
    <w:rsid w:val="00E85474"/>
    <w:rsid w:val="00E876A1"/>
    <w:rsid w:val="00E87CFE"/>
    <w:rsid w:val="00E91A76"/>
    <w:rsid w:val="00E924EE"/>
    <w:rsid w:val="00E94FEE"/>
    <w:rsid w:val="00E95A6B"/>
    <w:rsid w:val="00EA0056"/>
    <w:rsid w:val="00EA14B9"/>
    <w:rsid w:val="00EA5F6C"/>
    <w:rsid w:val="00EB00FD"/>
    <w:rsid w:val="00EB0254"/>
    <w:rsid w:val="00EB0903"/>
    <w:rsid w:val="00EB0B7B"/>
    <w:rsid w:val="00EB1707"/>
    <w:rsid w:val="00EB256F"/>
    <w:rsid w:val="00EB31CA"/>
    <w:rsid w:val="00EB5B57"/>
    <w:rsid w:val="00EB7BDE"/>
    <w:rsid w:val="00EB7CE6"/>
    <w:rsid w:val="00EC0C5E"/>
    <w:rsid w:val="00EC1470"/>
    <w:rsid w:val="00EC18DC"/>
    <w:rsid w:val="00EC3020"/>
    <w:rsid w:val="00EC40AD"/>
    <w:rsid w:val="00EC6938"/>
    <w:rsid w:val="00ED148F"/>
    <w:rsid w:val="00ED153A"/>
    <w:rsid w:val="00ED310D"/>
    <w:rsid w:val="00ED3249"/>
    <w:rsid w:val="00ED3B47"/>
    <w:rsid w:val="00EE004E"/>
    <w:rsid w:val="00EE3C6A"/>
    <w:rsid w:val="00EE54A3"/>
    <w:rsid w:val="00EE589D"/>
    <w:rsid w:val="00EE7017"/>
    <w:rsid w:val="00EE7651"/>
    <w:rsid w:val="00EF2A15"/>
    <w:rsid w:val="00EF2F9D"/>
    <w:rsid w:val="00EF39A2"/>
    <w:rsid w:val="00EF432F"/>
    <w:rsid w:val="00EF4880"/>
    <w:rsid w:val="00EF4F03"/>
    <w:rsid w:val="00EF5436"/>
    <w:rsid w:val="00EF54E6"/>
    <w:rsid w:val="00F00C4C"/>
    <w:rsid w:val="00F02FB6"/>
    <w:rsid w:val="00F037D4"/>
    <w:rsid w:val="00F03BA0"/>
    <w:rsid w:val="00F04553"/>
    <w:rsid w:val="00F057F6"/>
    <w:rsid w:val="00F07689"/>
    <w:rsid w:val="00F10055"/>
    <w:rsid w:val="00F10548"/>
    <w:rsid w:val="00F126D4"/>
    <w:rsid w:val="00F1343A"/>
    <w:rsid w:val="00F13B15"/>
    <w:rsid w:val="00F1449F"/>
    <w:rsid w:val="00F153BE"/>
    <w:rsid w:val="00F157AC"/>
    <w:rsid w:val="00F15ED1"/>
    <w:rsid w:val="00F17941"/>
    <w:rsid w:val="00F21027"/>
    <w:rsid w:val="00F21F2B"/>
    <w:rsid w:val="00F23800"/>
    <w:rsid w:val="00F275BD"/>
    <w:rsid w:val="00F27877"/>
    <w:rsid w:val="00F303FB"/>
    <w:rsid w:val="00F3058D"/>
    <w:rsid w:val="00F30F50"/>
    <w:rsid w:val="00F33606"/>
    <w:rsid w:val="00F35903"/>
    <w:rsid w:val="00F3623A"/>
    <w:rsid w:val="00F3797F"/>
    <w:rsid w:val="00F37E3B"/>
    <w:rsid w:val="00F41EA3"/>
    <w:rsid w:val="00F44A78"/>
    <w:rsid w:val="00F4594E"/>
    <w:rsid w:val="00F45A0E"/>
    <w:rsid w:val="00F46935"/>
    <w:rsid w:val="00F4771F"/>
    <w:rsid w:val="00F504C6"/>
    <w:rsid w:val="00F512CD"/>
    <w:rsid w:val="00F520D5"/>
    <w:rsid w:val="00F5332E"/>
    <w:rsid w:val="00F54B0B"/>
    <w:rsid w:val="00F54C88"/>
    <w:rsid w:val="00F54EC9"/>
    <w:rsid w:val="00F55371"/>
    <w:rsid w:val="00F57858"/>
    <w:rsid w:val="00F57E8A"/>
    <w:rsid w:val="00F60524"/>
    <w:rsid w:val="00F60AAA"/>
    <w:rsid w:val="00F61562"/>
    <w:rsid w:val="00F630E7"/>
    <w:rsid w:val="00F64B94"/>
    <w:rsid w:val="00F70E60"/>
    <w:rsid w:val="00F72662"/>
    <w:rsid w:val="00F72E61"/>
    <w:rsid w:val="00F738AB"/>
    <w:rsid w:val="00F73B00"/>
    <w:rsid w:val="00F7544B"/>
    <w:rsid w:val="00F7748A"/>
    <w:rsid w:val="00F77F9B"/>
    <w:rsid w:val="00F8004D"/>
    <w:rsid w:val="00F8050C"/>
    <w:rsid w:val="00F80AF7"/>
    <w:rsid w:val="00F81BE7"/>
    <w:rsid w:val="00F8464C"/>
    <w:rsid w:val="00F84FC8"/>
    <w:rsid w:val="00F85736"/>
    <w:rsid w:val="00F8632C"/>
    <w:rsid w:val="00F87B42"/>
    <w:rsid w:val="00F91344"/>
    <w:rsid w:val="00F94F72"/>
    <w:rsid w:val="00F96701"/>
    <w:rsid w:val="00F97093"/>
    <w:rsid w:val="00FA1CE4"/>
    <w:rsid w:val="00FA1D93"/>
    <w:rsid w:val="00FA2260"/>
    <w:rsid w:val="00FA33E4"/>
    <w:rsid w:val="00FA50A0"/>
    <w:rsid w:val="00FA61AA"/>
    <w:rsid w:val="00FA6DE7"/>
    <w:rsid w:val="00FA7422"/>
    <w:rsid w:val="00FB2A3E"/>
    <w:rsid w:val="00FB47DB"/>
    <w:rsid w:val="00FB515C"/>
    <w:rsid w:val="00FB7CFE"/>
    <w:rsid w:val="00FC1CF1"/>
    <w:rsid w:val="00FD0E8A"/>
    <w:rsid w:val="00FD189C"/>
    <w:rsid w:val="00FD212A"/>
    <w:rsid w:val="00FD41B2"/>
    <w:rsid w:val="00FD4856"/>
    <w:rsid w:val="00FD4915"/>
    <w:rsid w:val="00FD4B3A"/>
    <w:rsid w:val="00FD4C92"/>
    <w:rsid w:val="00FE03CA"/>
    <w:rsid w:val="00FE1E53"/>
    <w:rsid w:val="00FE3069"/>
    <w:rsid w:val="00FE6284"/>
    <w:rsid w:val="00FE66B0"/>
    <w:rsid w:val="00FE6E1C"/>
    <w:rsid w:val="00FE79D3"/>
    <w:rsid w:val="00FF0611"/>
    <w:rsid w:val="00FF16E6"/>
    <w:rsid w:val="00FF20D1"/>
    <w:rsid w:val="00FF4011"/>
    <w:rsid w:val="00FF5B0A"/>
    <w:rsid w:val="00FF7E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13D85DF5"/>
  <w15:docId w15:val="{164E195B-C1D8-47AB-AFA6-EA541704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53B0"/>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6F53B0"/>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6F53B0"/>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uiPriority w:val="99"/>
    <w:rsid w:val="00772F15"/>
    <w:rPr>
      <w:color w:val="auto"/>
      <w:u w:val="single"/>
    </w:rPr>
  </w:style>
  <w:style w:type="character" w:styleId="LineNumber">
    <w:name w:val="line number"/>
    <w:basedOn w:val="OPCCharBase"/>
    <w:uiPriority w:val="99"/>
    <w:unhideWhenUsed/>
    <w:rsid w:val="006F53B0"/>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521C09"/>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F53B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72F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6F53B0"/>
  </w:style>
  <w:style w:type="character" w:customStyle="1" w:styleId="CharAmSchText">
    <w:name w:val="CharAmSchText"/>
    <w:basedOn w:val="OPCCharBase"/>
    <w:uiPriority w:val="1"/>
    <w:qFormat/>
    <w:rsid w:val="006F53B0"/>
  </w:style>
  <w:style w:type="character" w:customStyle="1" w:styleId="CharChapNo">
    <w:name w:val="CharChapNo"/>
    <w:basedOn w:val="OPCCharBase"/>
    <w:qFormat/>
    <w:rsid w:val="006F53B0"/>
  </w:style>
  <w:style w:type="character" w:customStyle="1" w:styleId="CharChapText">
    <w:name w:val="CharChapText"/>
    <w:basedOn w:val="OPCCharBase"/>
    <w:qFormat/>
    <w:rsid w:val="006F53B0"/>
  </w:style>
  <w:style w:type="character" w:customStyle="1" w:styleId="CharDivNo">
    <w:name w:val="CharDivNo"/>
    <w:basedOn w:val="OPCCharBase"/>
    <w:qFormat/>
    <w:rsid w:val="006F53B0"/>
  </w:style>
  <w:style w:type="character" w:customStyle="1" w:styleId="CharDivText">
    <w:name w:val="CharDivText"/>
    <w:basedOn w:val="OPCCharBase"/>
    <w:qFormat/>
    <w:rsid w:val="006F53B0"/>
  </w:style>
  <w:style w:type="character" w:customStyle="1" w:styleId="CharPartNo">
    <w:name w:val="CharPartNo"/>
    <w:basedOn w:val="OPCCharBase"/>
    <w:qFormat/>
    <w:rsid w:val="006F53B0"/>
  </w:style>
  <w:style w:type="character" w:customStyle="1" w:styleId="CharPartText">
    <w:name w:val="CharPartText"/>
    <w:basedOn w:val="OPCCharBase"/>
    <w:qFormat/>
    <w:rsid w:val="006F53B0"/>
  </w:style>
  <w:style w:type="character" w:customStyle="1" w:styleId="OPCCharBase">
    <w:name w:val="OPCCharBase"/>
    <w:uiPriority w:val="1"/>
    <w:qFormat/>
    <w:rsid w:val="006F53B0"/>
  </w:style>
  <w:style w:type="paragraph" w:customStyle="1" w:styleId="OPCParaBase">
    <w:name w:val="OPCParaBase"/>
    <w:qFormat/>
    <w:rsid w:val="006F53B0"/>
    <w:pPr>
      <w:spacing w:line="260" w:lineRule="atLeast"/>
    </w:pPr>
    <w:rPr>
      <w:sz w:val="22"/>
    </w:rPr>
  </w:style>
  <w:style w:type="character" w:customStyle="1" w:styleId="CharSectno">
    <w:name w:val="CharSectno"/>
    <w:basedOn w:val="OPCCharBase"/>
    <w:qFormat/>
    <w:rsid w:val="006F53B0"/>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6F53B0"/>
    <w:pPr>
      <w:spacing w:line="240" w:lineRule="auto"/>
      <w:ind w:left="1134"/>
    </w:pPr>
    <w:rPr>
      <w:sz w:val="20"/>
    </w:rPr>
  </w:style>
  <w:style w:type="paragraph" w:customStyle="1" w:styleId="ShortT">
    <w:name w:val="ShortT"/>
    <w:basedOn w:val="OPCParaBase"/>
    <w:next w:val="Normal"/>
    <w:qFormat/>
    <w:rsid w:val="006F53B0"/>
    <w:pPr>
      <w:spacing w:line="240" w:lineRule="auto"/>
    </w:pPr>
    <w:rPr>
      <w:b/>
      <w:sz w:val="40"/>
    </w:rPr>
  </w:style>
  <w:style w:type="paragraph" w:customStyle="1" w:styleId="Penalty">
    <w:name w:val="Penalty"/>
    <w:basedOn w:val="OPCParaBase"/>
    <w:rsid w:val="006F53B0"/>
    <w:pPr>
      <w:tabs>
        <w:tab w:val="left" w:pos="2977"/>
      </w:tabs>
      <w:spacing w:before="180" w:line="240" w:lineRule="auto"/>
      <w:ind w:left="1985" w:hanging="851"/>
    </w:pPr>
  </w:style>
  <w:style w:type="paragraph" w:customStyle="1" w:styleId="ActHead1">
    <w:name w:val="ActHead 1"/>
    <w:aliases w:val="c"/>
    <w:basedOn w:val="OPCParaBase"/>
    <w:next w:val="Normal"/>
    <w:qFormat/>
    <w:rsid w:val="006F53B0"/>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6F53B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F53B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F53B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F53B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86BB1"/>
    <w:pPr>
      <w:keepLines/>
      <w:tabs>
        <w:tab w:val="right" w:leader="dot" w:pos="7088"/>
      </w:tabs>
      <w:spacing w:before="40" w:line="240" w:lineRule="auto"/>
      <w:ind w:left="1985" w:right="567" w:hanging="567"/>
    </w:pPr>
    <w:rPr>
      <w:kern w:val="28"/>
      <w:sz w:val="18"/>
    </w:rPr>
  </w:style>
  <w:style w:type="paragraph" w:styleId="TOC6">
    <w:name w:val="toc 6"/>
    <w:basedOn w:val="OPCParaBase"/>
    <w:next w:val="Normal"/>
    <w:uiPriority w:val="39"/>
    <w:unhideWhenUsed/>
    <w:rsid w:val="006F53B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F53B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F53B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F53B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6F53B0"/>
    <w:pPr>
      <w:spacing w:line="240" w:lineRule="auto"/>
    </w:pPr>
    <w:rPr>
      <w:sz w:val="20"/>
    </w:rPr>
  </w:style>
  <w:style w:type="paragraph" w:customStyle="1" w:styleId="ActHead2">
    <w:name w:val="ActHead 2"/>
    <w:aliases w:val="p"/>
    <w:basedOn w:val="OPCParaBase"/>
    <w:next w:val="ActHead3"/>
    <w:qFormat/>
    <w:rsid w:val="006F53B0"/>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6F53B0"/>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ActHead3">
    <w:name w:val="ActHead 3"/>
    <w:aliases w:val="d"/>
    <w:basedOn w:val="OPCParaBase"/>
    <w:next w:val="ActHead4"/>
    <w:qFormat/>
    <w:rsid w:val="006F53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F53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F53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F53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F53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F53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F53B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F53B0"/>
  </w:style>
  <w:style w:type="paragraph" w:customStyle="1" w:styleId="Blocks">
    <w:name w:val="Blocks"/>
    <w:aliases w:val="bb"/>
    <w:basedOn w:val="OPCParaBase"/>
    <w:qFormat/>
    <w:rsid w:val="006F53B0"/>
    <w:pPr>
      <w:spacing w:line="240" w:lineRule="auto"/>
    </w:pPr>
    <w:rPr>
      <w:sz w:val="24"/>
    </w:rPr>
  </w:style>
  <w:style w:type="paragraph" w:customStyle="1" w:styleId="BoxText">
    <w:name w:val="BoxText"/>
    <w:aliases w:val="bt"/>
    <w:basedOn w:val="OPCParaBase"/>
    <w:qFormat/>
    <w:rsid w:val="006F53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F53B0"/>
    <w:rPr>
      <w:b/>
    </w:rPr>
  </w:style>
  <w:style w:type="paragraph" w:customStyle="1" w:styleId="BoxHeadItalic">
    <w:name w:val="BoxHeadItalic"/>
    <w:aliases w:val="bhi"/>
    <w:basedOn w:val="BoxText"/>
    <w:next w:val="BoxStep"/>
    <w:qFormat/>
    <w:rsid w:val="006F53B0"/>
    <w:rPr>
      <w:i/>
    </w:rPr>
  </w:style>
  <w:style w:type="paragraph" w:customStyle="1" w:styleId="BoxList">
    <w:name w:val="BoxList"/>
    <w:aliases w:val="bl"/>
    <w:basedOn w:val="BoxText"/>
    <w:qFormat/>
    <w:rsid w:val="006F53B0"/>
    <w:pPr>
      <w:ind w:left="1559" w:hanging="425"/>
    </w:pPr>
  </w:style>
  <w:style w:type="paragraph" w:customStyle="1" w:styleId="BoxNote">
    <w:name w:val="BoxNote"/>
    <w:aliases w:val="bn"/>
    <w:basedOn w:val="BoxText"/>
    <w:qFormat/>
    <w:rsid w:val="006F53B0"/>
    <w:pPr>
      <w:tabs>
        <w:tab w:val="left" w:pos="1985"/>
      </w:tabs>
      <w:spacing w:before="122" w:line="198" w:lineRule="exact"/>
      <w:ind w:left="2948" w:hanging="1814"/>
    </w:pPr>
    <w:rPr>
      <w:sz w:val="18"/>
    </w:rPr>
  </w:style>
  <w:style w:type="paragraph" w:customStyle="1" w:styleId="BoxPara">
    <w:name w:val="BoxPara"/>
    <w:aliases w:val="bp"/>
    <w:basedOn w:val="BoxText"/>
    <w:qFormat/>
    <w:rsid w:val="006F53B0"/>
    <w:pPr>
      <w:tabs>
        <w:tab w:val="right" w:pos="2268"/>
      </w:tabs>
      <w:ind w:left="2552" w:hanging="1418"/>
    </w:pPr>
  </w:style>
  <w:style w:type="paragraph" w:customStyle="1" w:styleId="BoxStep">
    <w:name w:val="BoxStep"/>
    <w:aliases w:val="bs"/>
    <w:basedOn w:val="BoxText"/>
    <w:qFormat/>
    <w:rsid w:val="006F53B0"/>
    <w:pPr>
      <w:ind w:left="1985" w:hanging="851"/>
    </w:pPr>
  </w:style>
  <w:style w:type="character" w:customStyle="1" w:styleId="CharAmPartNo">
    <w:name w:val="CharAmPartNo"/>
    <w:basedOn w:val="OPCCharBase"/>
    <w:uiPriority w:val="1"/>
    <w:qFormat/>
    <w:rsid w:val="006F53B0"/>
  </w:style>
  <w:style w:type="character" w:customStyle="1" w:styleId="CharAmPartText">
    <w:name w:val="CharAmPartText"/>
    <w:basedOn w:val="OPCCharBase"/>
    <w:uiPriority w:val="1"/>
    <w:qFormat/>
    <w:rsid w:val="006F53B0"/>
  </w:style>
  <w:style w:type="character" w:customStyle="1" w:styleId="CharBoldItalic">
    <w:name w:val="CharBoldItalic"/>
    <w:basedOn w:val="OPCCharBase"/>
    <w:uiPriority w:val="1"/>
    <w:qFormat/>
    <w:rsid w:val="006F53B0"/>
    <w:rPr>
      <w:b/>
      <w:i/>
    </w:rPr>
  </w:style>
  <w:style w:type="character" w:customStyle="1" w:styleId="CharItalic">
    <w:name w:val="CharItalic"/>
    <w:basedOn w:val="OPCCharBase"/>
    <w:uiPriority w:val="1"/>
    <w:qFormat/>
    <w:rsid w:val="006F53B0"/>
    <w:rPr>
      <w:i/>
    </w:rPr>
  </w:style>
  <w:style w:type="character" w:customStyle="1" w:styleId="CharSubdNo">
    <w:name w:val="CharSubdNo"/>
    <w:basedOn w:val="OPCCharBase"/>
    <w:uiPriority w:val="1"/>
    <w:qFormat/>
    <w:rsid w:val="006F53B0"/>
  </w:style>
  <w:style w:type="character" w:customStyle="1" w:styleId="CharSubdText">
    <w:name w:val="CharSubdText"/>
    <w:basedOn w:val="OPCCharBase"/>
    <w:uiPriority w:val="1"/>
    <w:qFormat/>
    <w:rsid w:val="006F53B0"/>
  </w:style>
  <w:style w:type="paragraph" w:customStyle="1" w:styleId="CTA--">
    <w:name w:val="CTA --"/>
    <w:basedOn w:val="OPCParaBase"/>
    <w:next w:val="Normal"/>
    <w:rsid w:val="006F53B0"/>
    <w:pPr>
      <w:spacing w:before="60" w:line="240" w:lineRule="atLeast"/>
      <w:ind w:left="142" w:hanging="142"/>
    </w:pPr>
    <w:rPr>
      <w:sz w:val="20"/>
    </w:rPr>
  </w:style>
  <w:style w:type="paragraph" w:customStyle="1" w:styleId="CTA-">
    <w:name w:val="CTA -"/>
    <w:basedOn w:val="OPCParaBase"/>
    <w:rsid w:val="006F53B0"/>
    <w:pPr>
      <w:spacing w:before="60" w:line="240" w:lineRule="atLeast"/>
      <w:ind w:left="85" w:hanging="85"/>
    </w:pPr>
    <w:rPr>
      <w:sz w:val="20"/>
    </w:rPr>
  </w:style>
  <w:style w:type="paragraph" w:customStyle="1" w:styleId="CTA---">
    <w:name w:val="CTA ---"/>
    <w:basedOn w:val="OPCParaBase"/>
    <w:next w:val="Normal"/>
    <w:rsid w:val="006F53B0"/>
    <w:pPr>
      <w:spacing w:before="60" w:line="240" w:lineRule="atLeast"/>
      <w:ind w:left="198" w:hanging="198"/>
    </w:pPr>
    <w:rPr>
      <w:sz w:val="20"/>
    </w:rPr>
  </w:style>
  <w:style w:type="paragraph" w:customStyle="1" w:styleId="CTA----">
    <w:name w:val="CTA ----"/>
    <w:basedOn w:val="OPCParaBase"/>
    <w:next w:val="Normal"/>
    <w:rsid w:val="006F53B0"/>
    <w:pPr>
      <w:spacing w:before="60" w:line="240" w:lineRule="atLeast"/>
      <w:ind w:left="255" w:hanging="255"/>
    </w:pPr>
    <w:rPr>
      <w:sz w:val="20"/>
    </w:rPr>
  </w:style>
  <w:style w:type="paragraph" w:customStyle="1" w:styleId="CTA1a">
    <w:name w:val="CTA 1(a)"/>
    <w:basedOn w:val="OPCParaBase"/>
    <w:rsid w:val="006F53B0"/>
    <w:pPr>
      <w:tabs>
        <w:tab w:val="right" w:pos="414"/>
      </w:tabs>
      <w:spacing w:before="40" w:line="240" w:lineRule="atLeast"/>
      <w:ind w:left="675" w:hanging="675"/>
    </w:pPr>
    <w:rPr>
      <w:sz w:val="20"/>
    </w:rPr>
  </w:style>
  <w:style w:type="paragraph" w:customStyle="1" w:styleId="CTA1ai">
    <w:name w:val="CTA 1(a)(i)"/>
    <w:basedOn w:val="OPCParaBase"/>
    <w:rsid w:val="006F53B0"/>
    <w:pPr>
      <w:tabs>
        <w:tab w:val="right" w:pos="1004"/>
      </w:tabs>
      <w:spacing w:before="40" w:line="240" w:lineRule="atLeast"/>
      <w:ind w:left="1253" w:hanging="1253"/>
    </w:pPr>
    <w:rPr>
      <w:sz w:val="20"/>
    </w:rPr>
  </w:style>
  <w:style w:type="paragraph" w:customStyle="1" w:styleId="CTA2a">
    <w:name w:val="CTA 2(a)"/>
    <w:basedOn w:val="OPCParaBase"/>
    <w:rsid w:val="006F53B0"/>
    <w:pPr>
      <w:tabs>
        <w:tab w:val="right" w:pos="482"/>
      </w:tabs>
      <w:spacing w:before="40" w:line="240" w:lineRule="atLeast"/>
      <w:ind w:left="748" w:hanging="748"/>
    </w:pPr>
    <w:rPr>
      <w:sz w:val="20"/>
    </w:rPr>
  </w:style>
  <w:style w:type="paragraph" w:customStyle="1" w:styleId="CTA2ai">
    <w:name w:val="CTA 2(a)(i)"/>
    <w:basedOn w:val="OPCParaBase"/>
    <w:rsid w:val="006F53B0"/>
    <w:pPr>
      <w:tabs>
        <w:tab w:val="right" w:pos="1089"/>
      </w:tabs>
      <w:spacing w:before="40" w:line="240" w:lineRule="atLeast"/>
      <w:ind w:left="1327" w:hanging="1327"/>
    </w:pPr>
    <w:rPr>
      <w:sz w:val="20"/>
    </w:rPr>
  </w:style>
  <w:style w:type="paragraph" w:customStyle="1" w:styleId="CTA3a">
    <w:name w:val="CTA 3(a)"/>
    <w:basedOn w:val="OPCParaBase"/>
    <w:rsid w:val="006F53B0"/>
    <w:pPr>
      <w:tabs>
        <w:tab w:val="right" w:pos="556"/>
      </w:tabs>
      <w:spacing w:before="40" w:line="240" w:lineRule="atLeast"/>
      <w:ind w:left="805" w:hanging="805"/>
    </w:pPr>
    <w:rPr>
      <w:sz w:val="20"/>
    </w:rPr>
  </w:style>
  <w:style w:type="paragraph" w:customStyle="1" w:styleId="CTA3ai">
    <w:name w:val="CTA 3(a)(i)"/>
    <w:basedOn w:val="OPCParaBase"/>
    <w:rsid w:val="006F53B0"/>
    <w:pPr>
      <w:tabs>
        <w:tab w:val="right" w:pos="1140"/>
      </w:tabs>
      <w:spacing w:before="40" w:line="240" w:lineRule="atLeast"/>
      <w:ind w:left="1361" w:hanging="1361"/>
    </w:pPr>
    <w:rPr>
      <w:sz w:val="20"/>
    </w:rPr>
  </w:style>
  <w:style w:type="paragraph" w:customStyle="1" w:styleId="CTA4a">
    <w:name w:val="CTA 4(a)"/>
    <w:basedOn w:val="OPCParaBase"/>
    <w:rsid w:val="006F53B0"/>
    <w:pPr>
      <w:tabs>
        <w:tab w:val="right" w:pos="624"/>
      </w:tabs>
      <w:spacing w:before="40" w:line="240" w:lineRule="atLeast"/>
      <w:ind w:left="873" w:hanging="873"/>
    </w:pPr>
    <w:rPr>
      <w:sz w:val="20"/>
    </w:rPr>
  </w:style>
  <w:style w:type="paragraph" w:customStyle="1" w:styleId="CTA4ai">
    <w:name w:val="CTA 4(a)(i)"/>
    <w:basedOn w:val="OPCParaBase"/>
    <w:rsid w:val="006F53B0"/>
    <w:pPr>
      <w:tabs>
        <w:tab w:val="right" w:pos="1213"/>
      </w:tabs>
      <w:spacing w:before="40" w:line="240" w:lineRule="atLeast"/>
      <w:ind w:left="1452" w:hanging="1452"/>
    </w:pPr>
    <w:rPr>
      <w:sz w:val="20"/>
    </w:rPr>
  </w:style>
  <w:style w:type="paragraph" w:customStyle="1" w:styleId="CTACAPS">
    <w:name w:val="CTA CAPS"/>
    <w:basedOn w:val="OPCParaBase"/>
    <w:rsid w:val="006F53B0"/>
    <w:pPr>
      <w:spacing w:before="60" w:line="240" w:lineRule="atLeast"/>
    </w:pPr>
    <w:rPr>
      <w:sz w:val="20"/>
    </w:rPr>
  </w:style>
  <w:style w:type="paragraph" w:customStyle="1" w:styleId="CTAright">
    <w:name w:val="CTA right"/>
    <w:basedOn w:val="OPCParaBase"/>
    <w:rsid w:val="006F53B0"/>
    <w:pPr>
      <w:spacing w:before="60" w:line="240" w:lineRule="auto"/>
      <w:jc w:val="right"/>
    </w:pPr>
    <w:rPr>
      <w:sz w:val="20"/>
    </w:rPr>
  </w:style>
  <w:style w:type="paragraph" w:customStyle="1" w:styleId="subsection">
    <w:name w:val="subsection"/>
    <w:aliases w:val="ss"/>
    <w:basedOn w:val="OPCParaBase"/>
    <w:rsid w:val="006F53B0"/>
    <w:pPr>
      <w:tabs>
        <w:tab w:val="right" w:pos="1021"/>
      </w:tabs>
      <w:spacing w:before="180" w:line="240" w:lineRule="auto"/>
      <w:ind w:left="1134" w:hanging="1134"/>
    </w:pPr>
  </w:style>
  <w:style w:type="paragraph" w:customStyle="1" w:styleId="Definition">
    <w:name w:val="Definition"/>
    <w:aliases w:val="dd"/>
    <w:basedOn w:val="OPCParaBase"/>
    <w:rsid w:val="006F53B0"/>
    <w:pPr>
      <w:spacing w:before="180" w:line="240" w:lineRule="auto"/>
      <w:ind w:left="1134"/>
    </w:pPr>
  </w:style>
  <w:style w:type="character" w:customStyle="1" w:styleId="HeaderChar">
    <w:name w:val="Header Char"/>
    <w:basedOn w:val="DefaultParagraphFont"/>
    <w:link w:val="Header"/>
    <w:rsid w:val="006F53B0"/>
    <w:rPr>
      <w:sz w:val="16"/>
    </w:rPr>
  </w:style>
  <w:style w:type="paragraph" w:customStyle="1" w:styleId="House">
    <w:name w:val="House"/>
    <w:basedOn w:val="OPCParaBase"/>
    <w:rsid w:val="006F53B0"/>
    <w:pPr>
      <w:spacing w:line="240" w:lineRule="auto"/>
    </w:pPr>
    <w:rPr>
      <w:sz w:val="28"/>
    </w:rPr>
  </w:style>
  <w:style w:type="paragraph" w:customStyle="1" w:styleId="Item">
    <w:name w:val="Item"/>
    <w:aliases w:val="i"/>
    <w:basedOn w:val="OPCParaBase"/>
    <w:next w:val="ItemHead"/>
    <w:rsid w:val="006F53B0"/>
    <w:pPr>
      <w:keepLines/>
      <w:spacing w:before="80" w:line="240" w:lineRule="auto"/>
      <w:ind w:left="709"/>
    </w:pPr>
  </w:style>
  <w:style w:type="paragraph" w:customStyle="1" w:styleId="ItemHead">
    <w:name w:val="ItemHead"/>
    <w:aliases w:val="ih"/>
    <w:basedOn w:val="OPCParaBase"/>
    <w:next w:val="Item"/>
    <w:rsid w:val="006F53B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F53B0"/>
    <w:pPr>
      <w:spacing w:line="240" w:lineRule="auto"/>
    </w:pPr>
    <w:rPr>
      <w:b/>
      <w:sz w:val="32"/>
    </w:rPr>
  </w:style>
  <w:style w:type="paragraph" w:customStyle="1" w:styleId="notedraft">
    <w:name w:val="note(draft)"/>
    <w:aliases w:val="nd"/>
    <w:basedOn w:val="OPCParaBase"/>
    <w:rsid w:val="006F53B0"/>
    <w:pPr>
      <w:spacing w:before="240" w:line="240" w:lineRule="auto"/>
      <w:ind w:left="284" w:hanging="284"/>
    </w:pPr>
    <w:rPr>
      <w:i/>
      <w:sz w:val="24"/>
    </w:rPr>
  </w:style>
  <w:style w:type="paragraph" w:customStyle="1" w:styleId="notemargin">
    <w:name w:val="note(margin)"/>
    <w:aliases w:val="nm"/>
    <w:basedOn w:val="OPCParaBase"/>
    <w:rsid w:val="006F53B0"/>
    <w:pPr>
      <w:tabs>
        <w:tab w:val="left" w:pos="709"/>
      </w:tabs>
      <w:spacing w:before="122" w:line="198" w:lineRule="exact"/>
      <w:ind w:left="709" w:hanging="709"/>
    </w:pPr>
    <w:rPr>
      <w:sz w:val="18"/>
    </w:rPr>
  </w:style>
  <w:style w:type="paragraph" w:customStyle="1" w:styleId="notepara">
    <w:name w:val="note(para)"/>
    <w:aliases w:val="na"/>
    <w:basedOn w:val="OPCParaBase"/>
    <w:rsid w:val="006F53B0"/>
    <w:pPr>
      <w:spacing w:before="40" w:line="198" w:lineRule="exact"/>
      <w:ind w:left="2354" w:hanging="369"/>
    </w:pPr>
    <w:rPr>
      <w:sz w:val="18"/>
    </w:rPr>
  </w:style>
  <w:style w:type="paragraph" w:customStyle="1" w:styleId="noteParlAmend">
    <w:name w:val="note(ParlAmend)"/>
    <w:aliases w:val="npp"/>
    <w:basedOn w:val="OPCParaBase"/>
    <w:next w:val="ParlAmend"/>
    <w:rsid w:val="006F53B0"/>
    <w:pPr>
      <w:spacing w:line="240" w:lineRule="auto"/>
      <w:jc w:val="right"/>
    </w:pPr>
    <w:rPr>
      <w:rFonts w:ascii="Arial" w:hAnsi="Arial"/>
      <w:b/>
      <w:i/>
    </w:rPr>
  </w:style>
  <w:style w:type="paragraph" w:customStyle="1" w:styleId="notetext">
    <w:name w:val="note(text)"/>
    <w:aliases w:val="n"/>
    <w:basedOn w:val="OPCParaBase"/>
    <w:rsid w:val="006F53B0"/>
    <w:pPr>
      <w:spacing w:before="122" w:line="198" w:lineRule="exact"/>
      <w:ind w:left="1985" w:hanging="851"/>
    </w:pPr>
    <w:rPr>
      <w:sz w:val="18"/>
    </w:rPr>
  </w:style>
  <w:style w:type="paragraph" w:customStyle="1" w:styleId="Page1">
    <w:name w:val="Page1"/>
    <w:basedOn w:val="OPCParaBase"/>
    <w:rsid w:val="006F53B0"/>
    <w:pPr>
      <w:spacing w:before="5600" w:line="240" w:lineRule="auto"/>
    </w:pPr>
    <w:rPr>
      <w:b/>
      <w:sz w:val="32"/>
    </w:rPr>
  </w:style>
  <w:style w:type="paragraph" w:customStyle="1" w:styleId="paragraphsub">
    <w:name w:val="paragraph(sub)"/>
    <w:aliases w:val="aa"/>
    <w:basedOn w:val="OPCParaBase"/>
    <w:rsid w:val="006F53B0"/>
    <w:pPr>
      <w:tabs>
        <w:tab w:val="right" w:pos="1985"/>
      </w:tabs>
      <w:spacing w:before="40" w:line="240" w:lineRule="auto"/>
      <w:ind w:left="2098" w:hanging="2098"/>
    </w:pPr>
  </w:style>
  <w:style w:type="paragraph" w:customStyle="1" w:styleId="paragraphsub-sub">
    <w:name w:val="paragraph(sub-sub)"/>
    <w:aliases w:val="aaa"/>
    <w:basedOn w:val="OPCParaBase"/>
    <w:rsid w:val="006F53B0"/>
    <w:pPr>
      <w:tabs>
        <w:tab w:val="right" w:pos="2722"/>
      </w:tabs>
      <w:spacing w:before="40" w:line="240" w:lineRule="auto"/>
      <w:ind w:left="2835" w:hanging="2835"/>
    </w:pPr>
  </w:style>
  <w:style w:type="paragraph" w:customStyle="1" w:styleId="paragraph">
    <w:name w:val="paragraph"/>
    <w:aliases w:val="a"/>
    <w:basedOn w:val="OPCParaBase"/>
    <w:rsid w:val="006F53B0"/>
    <w:pPr>
      <w:tabs>
        <w:tab w:val="right" w:pos="1531"/>
      </w:tabs>
      <w:spacing w:before="40" w:line="240" w:lineRule="auto"/>
      <w:ind w:left="1644" w:hanging="1644"/>
    </w:pPr>
  </w:style>
  <w:style w:type="paragraph" w:customStyle="1" w:styleId="ParlAmend">
    <w:name w:val="ParlAmend"/>
    <w:aliases w:val="pp"/>
    <w:basedOn w:val="OPCParaBase"/>
    <w:rsid w:val="006F53B0"/>
    <w:pPr>
      <w:spacing w:before="240" w:line="240" w:lineRule="atLeast"/>
      <w:ind w:hanging="567"/>
    </w:pPr>
    <w:rPr>
      <w:sz w:val="24"/>
    </w:rPr>
  </w:style>
  <w:style w:type="paragraph" w:customStyle="1" w:styleId="Portfolio">
    <w:name w:val="Portfolio"/>
    <w:basedOn w:val="OPCParaBase"/>
    <w:rsid w:val="006F53B0"/>
    <w:pPr>
      <w:spacing w:line="240" w:lineRule="auto"/>
    </w:pPr>
    <w:rPr>
      <w:i/>
      <w:sz w:val="20"/>
    </w:rPr>
  </w:style>
  <w:style w:type="paragraph" w:customStyle="1" w:styleId="Preamble">
    <w:name w:val="Preamble"/>
    <w:basedOn w:val="OPCParaBase"/>
    <w:next w:val="Normal"/>
    <w:rsid w:val="006F53B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F53B0"/>
    <w:pPr>
      <w:spacing w:line="240" w:lineRule="auto"/>
    </w:pPr>
    <w:rPr>
      <w:i/>
      <w:sz w:val="20"/>
    </w:rPr>
  </w:style>
  <w:style w:type="paragraph" w:customStyle="1" w:styleId="Session">
    <w:name w:val="Session"/>
    <w:basedOn w:val="OPCParaBase"/>
    <w:rsid w:val="006F53B0"/>
    <w:pPr>
      <w:spacing w:line="240" w:lineRule="auto"/>
    </w:pPr>
    <w:rPr>
      <w:sz w:val="28"/>
    </w:rPr>
  </w:style>
  <w:style w:type="paragraph" w:customStyle="1" w:styleId="Sponsor">
    <w:name w:val="Sponsor"/>
    <w:basedOn w:val="OPCParaBase"/>
    <w:rsid w:val="006F53B0"/>
    <w:pPr>
      <w:spacing w:line="240" w:lineRule="auto"/>
    </w:pPr>
    <w:rPr>
      <w:i/>
    </w:rPr>
  </w:style>
  <w:style w:type="paragraph" w:customStyle="1" w:styleId="Subitem">
    <w:name w:val="Subitem"/>
    <w:aliases w:val="iss"/>
    <w:basedOn w:val="OPCParaBase"/>
    <w:rsid w:val="006F53B0"/>
    <w:pPr>
      <w:spacing w:before="180" w:line="240" w:lineRule="auto"/>
      <w:ind w:left="709" w:hanging="709"/>
    </w:pPr>
  </w:style>
  <w:style w:type="paragraph" w:customStyle="1" w:styleId="SubitemHead">
    <w:name w:val="SubitemHead"/>
    <w:aliases w:val="issh"/>
    <w:basedOn w:val="OPCParaBase"/>
    <w:rsid w:val="006F53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F53B0"/>
    <w:pPr>
      <w:spacing w:before="40" w:line="240" w:lineRule="auto"/>
      <w:ind w:left="1134"/>
    </w:pPr>
  </w:style>
  <w:style w:type="paragraph" w:customStyle="1" w:styleId="SubsectionHead">
    <w:name w:val="SubsectionHead"/>
    <w:aliases w:val="ssh"/>
    <w:basedOn w:val="OPCParaBase"/>
    <w:next w:val="subsection"/>
    <w:rsid w:val="006F53B0"/>
    <w:pPr>
      <w:keepNext/>
      <w:keepLines/>
      <w:spacing w:before="240" w:line="240" w:lineRule="auto"/>
      <w:ind w:left="1134"/>
    </w:pPr>
    <w:rPr>
      <w:i/>
    </w:rPr>
  </w:style>
  <w:style w:type="paragraph" w:customStyle="1" w:styleId="Tablea">
    <w:name w:val="Table(a)"/>
    <w:aliases w:val="ta"/>
    <w:basedOn w:val="OPCParaBase"/>
    <w:rsid w:val="006F53B0"/>
    <w:pPr>
      <w:spacing w:before="60" w:line="240" w:lineRule="auto"/>
      <w:ind w:left="284" w:hanging="284"/>
    </w:pPr>
    <w:rPr>
      <w:sz w:val="20"/>
    </w:rPr>
  </w:style>
  <w:style w:type="paragraph" w:customStyle="1" w:styleId="TableAA">
    <w:name w:val="Table(AA)"/>
    <w:aliases w:val="taaa"/>
    <w:basedOn w:val="OPCParaBase"/>
    <w:rsid w:val="006F53B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F53B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F53B0"/>
    <w:pPr>
      <w:spacing w:before="60" w:line="240" w:lineRule="atLeast"/>
    </w:pPr>
    <w:rPr>
      <w:sz w:val="20"/>
    </w:rPr>
  </w:style>
  <w:style w:type="paragraph" w:customStyle="1" w:styleId="TLPBoxTextnote">
    <w:name w:val="TLPBoxText(note"/>
    <w:aliases w:val="right)"/>
    <w:basedOn w:val="OPCParaBase"/>
    <w:rsid w:val="006F53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F53B0"/>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F53B0"/>
    <w:pPr>
      <w:spacing w:before="122" w:line="198" w:lineRule="exact"/>
      <w:ind w:left="1985" w:hanging="851"/>
      <w:jc w:val="right"/>
    </w:pPr>
    <w:rPr>
      <w:sz w:val="18"/>
    </w:rPr>
  </w:style>
  <w:style w:type="paragraph" w:customStyle="1" w:styleId="TLPTableBullet">
    <w:name w:val="TLPTableBullet"/>
    <w:aliases w:val="ttb"/>
    <w:basedOn w:val="OPCParaBase"/>
    <w:rsid w:val="006F53B0"/>
    <w:pPr>
      <w:spacing w:line="240" w:lineRule="exact"/>
      <w:ind w:left="284" w:hanging="284"/>
    </w:pPr>
    <w:rPr>
      <w:sz w:val="20"/>
    </w:rPr>
  </w:style>
  <w:style w:type="paragraph" w:customStyle="1" w:styleId="TofSectsGroupHeading">
    <w:name w:val="TofSects(GroupHeading)"/>
    <w:basedOn w:val="OPCParaBase"/>
    <w:next w:val="TofSectsSection"/>
    <w:rsid w:val="006F53B0"/>
    <w:pPr>
      <w:keepLines/>
      <w:spacing w:before="240" w:after="120" w:line="240" w:lineRule="auto"/>
      <w:ind w:left="794"/>
    </w:pPr>
    <w:rPr>
      <w:b/>
      <w:kern w:val="28"/>
      <w:sz w:val="20"/>
    </w:rPr>
  </w:style>
  <w:style w:type="paragraph" w:customStyle="1" w:styleId="TofSectsHeading">
    <w:name w:val="TofSects(Heading)"/>
    <w:basedOn w:val="OPCParaBase"/>
    <w:rsid w:val="006F53B0"/>
    <w:pPr>
      <w:spacing w:before="240" w:after="120" w:line="240" w:lineRule="auto"/>
    </w:pPr>
    <w:rPr>
      <w:b/>
      <w:sz w:val="24"/>
    </w:rPr>
  </w:style>
  <w:style w:type="paragraph" w:customStyle="1" w:styleId="TofSectsSection">
    <w:name w:val="TofSects(Section)"/>
    <w:basedOn w:val="OPCParaBase"/>
    <w:rsid w:val="006F53B0"/>
    <w:pPr>
      <w:keepLines/>
      <w:spacing w:before="40" w:line="240" w:lineRule="auto"/>
      <w:ind w:left="1588" w:hanging="794"/>
    </w:pPr>
    <w:rPr>
      <w:kern w:val="28"/>
      <w:sz w:val="18"/>
    </w:rPr>
  </w:style>
  <w:style w:type="paragraph" w:customStyle="1" w:styleId="TofSectsSubdiv">
    <w:name w:val="TofSects(Subdiv)"/>
    <w:basedOn w:val="OPCParaBase"/>
    <w:rsid w:val="006F53B0"/>
    <w:pPr>
      <w:keepLines/>
      <w:spacing w:before="80" w:line="240" w:lineRule="auto"/>
      <w:ind w:left="1588" w:hanging="794"/>
    </w:pPr>
    <w:rPr>
      <w:kern w:val="28"/>
    </w:rPr>
  </w:style>
  <w:style w:type="paragraph" w:customStyle="1" w:styleId="WRStyle">
    <w:name w:val="WR Style"/>
    <w:aliases w:val="WR"/>
    <w:basedOn w:val="OPCParaBase"/>
    <w:rsid w:val="006F53B0"/>
    <w:pPr>
      <w:spacing w:before="240" w:line="240" w:lineRule="auto"/>
      <w:ind w:left="284" w:hanging="284"/>
    </w:pPr>
    <w:rPr>
      <w:b/>
      <w:i/>
      <w:kern w:val="28"/>
      <w:sz w:val="24"/>
    </w:rPr>
  </w:style>
  <w:style w:type="numbering" w:customStyle="1" w:styleId="OPCBodyList">
    <w:name w:val="OPCBodyList"/>
    <w:uiPriority w:val="99"/>
    <w:rsid w:val="00521C09"/>
    <w:pPr>
      <w:numPr>
        <w:numId w:val="18"/>
      </w:numPr>
    </w:pPr>
  </w:style>
  <w:style w:type="paragraph" w:customStyle="1" w:styleId="noteToPara">
    <w:name w:val="noteToPara"/>
    <w:aliases w:val="ntp"/>
    <w:basedOn w:val="OPCParaBase"/>
    <w:rsid w:val="006F53B0"/>
    <w:pPr>
      <w:spacing w:before="122" w:line="198" w:lineRule="exact"/>
      <w:ind w:left="2353" w:hanging="709"/>
    </w:pPr>
    <w:rPr>
      <w:sz w:val="18"/>
    </w:rPr>
  </w:style>
  <w:style w:type="character" w:customStyle="1" w:styleId="FooterChar">
    <w:name w:val="Footer Char"/>
    <w:basedOn w:val="DefaultParagraphFont"/>
    <w:link w:val="Footer"/>
    <w:rsid w:val="006F53B0"/>
    <w:rPr>
      <w:sz w:val="22"/>
      <w:szCs w:val="24"/>
    </w:rPr>
  </w:style>
  <w:style w:type="character" w:customStyle="1" w:styleId="BalloonTextChar">
    <w:name w:val="Balloon Text Char"/>
    <w:basedOn w:val="DefaultParagraphFont"/>
    <w:link w:val="BalloonText"/>
    <w:uiPriority w:val="99"/>
    <w:rsid w:val="006F53B0"/>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6F53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F53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F53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F53B0"/>
    <w:pPr>
      <w:tabs>
        <w:tab w:val="right" w:pos="1412"/>
      </w:tabs>
      <w:spacing w:before="60" w:line="240" w:lineRule="auto"/>
      <w:ind w:left="1525" w:hanging="1525"/>
    </w:pPr>
    <w:rPr>
      <w:sz w:val="20"/>
    </w:rPr>
  </w:style>
  <w:style w:type="table" w:customStyle="1" w:styleId="CFlag">
    <w:name w:val="CFlag"/>
    <w:basedOn w:val="TableNormal"/>
    <w:uiPriority w:val="99"/>
    <w:rsid w:val="006F53B0"/>
    <w:tblPr/>
  </w:style>
  <w:style w:type="paragraph" w:customStyle="1" w:styleId="InstNo">
    <w:name w:val="InstNo"/>
    <w:basedOn w:val="OPCParaBase"/>
    <w:next w:val="Normal"/>
    <w:rsid w:val="006F53B0"/>
    <w:rPr>
      <w:b/>
      <w:sz w:val="28"/>
      <w:szCs w:val="32"/>
    </w:rPr>
  </w:style>
  <w:style w:type="paragraph" w:customStyle="1" w:styleId="TerritoryT">
    <w:name w:val="TerritoryT"/>
    <w:basedOn w:val="OPCParaBase"/>
    <w:next w:val="Normal"/>
    <w:rsid w:val="006F53B0"/>
    <w:rPr>
      <w:b/>
      <w:sz w:val="32"/>
    </w:rPr>
  </w:style>
  <w:style w:type="paragraph" w:customStyle="1" w:styleId="LegislationMadeUnder">
    <w:name w:val="LegislationMadeUnder"/>
    <w:basedOn w:val="OPCParaBase"/>
    <w:next w:val="Normal"/>
    <w:rsid w:val="006F53B0"/>
    <w:rPr>
      <w:i/>
      <w:sz w:val="32"/>
      <w:szCs w:val="32"/>
    </w:rPr>
  </w:style>
  <w:style w:type="paragraph" w:customStyle="1" w:styleId="SignCoverPageEnd">
    <w:name w:val="SignCoverPageEnd"/>
    <w:basedOn w:val="OPCParaBase"/>
    <w:next w:val="Normal"/>
    <w:rsid w:val="006F53B0"/>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6F53B0"/>
    <w:pPr>
      <w:pBdr>
        <w:top w:val="single" w:sz="4" w:space="1" w:color="auto"/>
      </w:pBdr>
      <w:spacing w:before="360"/>
      <w:ind w:right="397"/>
      <w:jc w:val="both"/>
    </w:pPr>
  </w:style>
  <w:style w:type="paragraph" w:customStyle="1" w:styleId="NotesHeading2">
    <w:name w:val="NotesHeading 2"/>
    <w:basedOn w:val="OPCParaBase"/>
    <w:next w:val="Normal"/>
    <w:rsid w:val="006F53B0"/>
    <w:rPr>
      <w:b/>
      <w:sz w:val="28"/>
      <w:szCs w:val="28"/>
    </w:rPr>
  </w:style>
  <w:style w:type="paragraph" w:customStyle="1" w:styleId="NotesHeading1">
    <w:name w:val="NotesHeading 1"/>
    <w:basedOn w:val="OPCParaBase"/>
    <w:next w:val="Normal"/>
    <w:rsid w:val="006F53B0"/>
    <w:rPr>
      <w:b/>
      <w:sz w:val="28"/>
      <w:szCs w:val="28"/>
    </w:rPr>
  </w:style>
  <w:style w:type="paragraph" w:customStyle="1" w:styleId="CompiledActNo">
    <w:name w:val="CompiledActNo"/>
    <w:basedOn w:val="OPCParaBase"/>
    <w:next w:val="Normal"/>
    <w:rsid w:val="006F53B0"/>
    <w:rPr>
      <w:b/>
      <w:sz w:val="24"/>
      <w:szCs w:val="24"/>
    </w:rPr>
  </w:style>
  <w:style w:type="paragraph" w:customStyle="1" w:styleId="ENotesHeading1">
    <w:name w:val="ENotesHeading 1"/>
    <w:aliases w:val="Enh1"/>
    <w:basedOn w:val="OPCParaBase"/>
    <w:next w:val="Normal"/>
    <w:rsid w:val="006F53B0"/>
    <w:pPr>
      <w:spacing w:before="120"/>
      <w:outlineLvl w:val="1"/>
    </w:pPr>
    <w:rPr>
      <w:b/>
      <w:sz w:val="28"/>
      <w:szCs w:val="28"/>
    </w:rPr>
  </w:style>
  <w:style w:type="paragraph" w:customStyle="1" w:styleId="ENotesHeading2">
    <w:name w:val="ENotesHeading 2"/>
    <w:aliases w:val="Enh2"/>
    <w:basedOn w:val="OPCParaBase"/>
    <w:next w:val="Normal"/>
    <w:rsid w:val="006F53B0"/>
    <w:pPr>
      <w:spacing w:before="120" w:after="120"/>
      <w:outlineLvl w:val="2"/>
    </w:pPr>
    <w:rPr>
      <w:b/>
      <w:sz w:val="24"/>
      <w:szCs w:val="28"/>
    </w:rPr>
  </w:style>
  <w:style w:type="paragraph" w:customStyle="1" w:styleId="ENotesHeading3">
    <w:name w:val="ENotesHeading 3"/>
    <w:aliases w:val="Enh3"/>
    <w:basedOn w:val="OPCParaBase"/>
    <w:next w:val="Normal"/>
    <w:rsid w:val="006F53B0"/>
    <w:pPr>
      <w:keepNext/>
      <w:spacing w:before="120" w:line="240" w:lineRule="auto"/>
      <w:outlineLvl w:val="4"/>
    </w:pPr>
    <w:rPr>
      <w:b/>
      <w:szCs w:val="24"/>
    </w:rPr>
  </w:style>
  <w:style w:type="paragraph" w:customStyle="1" w:styleId="ENotesText">
    <w:name w:val="ENotesText"/>
    <w:aliases w:val="Ent"/>
    <w:basedOn w:val="OPCParaBase"/>
    <w:next w:val="Normal"/>
    <w:rsid w:val="006F53B0"/>
    <w:pPr>
      <w:spacing w:before="120"/>
    </w:pPr>
  </w:style>
  <w:style w:type="paragraph" w:customStyle="1" w:styleId="CompiledMadeUnder">
    <w:name w:val="CompiledMadeUnder"/>
    <w:basedOn w:val="OPCParaBase"/>
    <w:next w:val="Normal"/>
    <w:rsid w:val="006F53B0"/>
    <w:rPr>
      <w:i/>
      <w:sz w:val="24"/>
      <w:szCs w:val="24"/>
    </w:rPr>
  </w:style>
  <w:style w:type="paragraph" w:customStyle="1" w:styleId="Paragraphsub-sub-sub">
    <w:name w:val="Paragraph(sub-sub-sub)"/>
    <w:aliases w:val="aaaa"/>
    <w:basedOn w:val="OPCParaBase"/>
    <w:rsid w:val="006F53B0"/>
    <w:pPr>
      <w:tabs>
        <w:tab w:val="right" w:pos="3402"/>
      </w:tabs>
      <w:spacing w:before="40" w:line="240" w:lineRule="auto"/>
      <w:ind w:left="3402" w:hanging="3402"/>
    </w:pPr>
  </w:style>
  <w:style w:type="paragraph" w:customStyle="1" w:styleId="TableTextEndNotes">
    <w:name w:val="TableTextEndNotes"/>
    <w:aliases w:val="Tten"/>
    <w:basedOn w:val="Normal"/>
    <w:rsid w:val="006F53B0"/>
    <w:pPr>
      <w:spacing w:before="60" w:line="240" w:lineRule="auto"/>
    </w:pPr>
    <w:rPr>
      <w:rFonts w:cs="Arial"/>
      <w:sz w:val="20"/>
      <w:szCs w:val="22"/>
    </w:rPr>
  </w:style>
  <w:style w:type="paragraph" w:customStyle="1" w:styleId="SubPartCASA">
    <w:name w:val="SubPart(CASA)"/>
    <w:aliases w:val="csp"/>
    <w:basedOn w:val="OPCParaBase"/>
    <w:next w:val="ActHead3"/>
    <w:rsid w:val="006F53B0"/>
    <w:pPr>
      <w:keepNext/>
      <w:keepLines/>
      <w:spacing w:before="280"/>
      <w:outlineLvl w:val="1"/>
    </w:pPr>
    <w:rPr>
      <w:b/>
      <w:kern w:val="28"/>
      <w:sz w:val="32"/>
    </w:rPr>
  </w:style>
  <w:style w:type="paragraph" w:customStyle="1" w:styleId="TableHeading">
    <w:name w:val="TableHeading"/>
    <w:aliases w:val="th"/>
    <w:basedOn w:val="OPCParaBase"/>
    <w:next w:val="Tabletext"/>
    <w:rsid w:val="006F53B0"/>
    <w:pPr>
      <w:keepNext/>
      <w:spacing w:before="60" w:line="240" w:lineRule="atLeast"/>
    </w:pPr>
    <w:rPr>
      <w:b/>
      <w:sz w:val="20"/>
    </w:rPr>
  </w:style>
  <w:style w:type="paragraph" w:customStyle="1" w:styleId="NoteToSubpara">
    <w:name w:val="NoteToSubpara"/>
    <w:aliases w:val="nts"/>
    <w:basedOn w:val="OPCParaBase"/>
    <w:rsid w:val="006F53B0"/>
    <w:pPr>
      <w:spacing w:before="40" w:line="198" w:lineRule="exact"/>
      <w:ind w:left="2835" w:hanging="709"/>
    </w:pPr>
    <w:rPr>
      <w:sz w:val="18"/>
    </w:rPr>
  </w:style>
  <w:style w:type="paragraph" w:customStyle="1" w:styleId="ENoteTableHeading">
    <w:name w:val="ENoteTableHeading"/>
    <w:aliases w:val="enth"/>
    <w:basedOn w:val="OPCParaBase"/>
    <w:rsid w:val="006F53B0"/>
    <w:pPr>
      <w:keepNext/>
      <w:spacing w:before="60" w:line="240" w:lineRule="atLeast"/>
    </w:pPr>
    <w:rPr>
      <w:rFonts w:ascii="Arial" w:hAnsi="Arial"/>
      <w:b/>
      <w:sz w:val="16"/>
    </w:rPr>
  </w:style>
  <w:style w:type="paragraph" w:customStyle="1" w:styleId="ENoteTTi">
    <w:name w:val="ENoteTTi"/>
    <w:aliases w:val="entti"/>
    <w:basedOn w:val="OPCParaBase"/>
    <w:rsid w:val="006F53B0"/>
    <w:pPr>
      <w:keepNext/>
      <w:spacing w:before="60" w:line="240" w:lineRule="atLeast"/>
      <w:ind w:left="170"/>
    </w:pPr>
    <w:rPr>
      <w:sz w:val="16"/>
    </w:rPr>
  </w:style>
  <w:style w:type="paragraph" w:customStyle="1" w:styleId="ENoteTTIndentHeading">
    <w:name w:val="ENoteTTIndentHeading"/>
    <w:aliases w:val="enTTHi"/>
    <w:basedOn w:val="OPCParaBase"/>
    <w:rsid w:val="006F53B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F53B0"/>
    <w:pPr>
      <w:spacing w:before="60" w:line="240" w:lineRule="atLeast"/>
    </w:pPr>
    <w:rPr>
      <w:sz w:val="16"/>
    </w:rPr>
  </w:style>
  <w:style w:type="paragraph" w:customStyle="1" w:styleId="MadeunderText">
    <w:name w:val="MadeunderText"/>
    <w:basedOn w:val="OPCParaBase"/>
    <w:next w:val="CompiledMadeUnder"/>
    <w:rsid w:val="006F53B0"/>
    <w:pPr>
      <w:spacing w:before="240"/>
    </w:pPr>
    <w:rPr>
      <w:sz w:val="24"/>
      <w:szCs w:val="24"/>
    </w:rPr>
  </w:style>
  <w:style w:type="character" w:customStyle="1" w:styleId="CharSubPartTextCASA">
    <w:name w:val="CharSubPartText(CASA)"/>
    <w:basedOn w:val="OPCCharBase"/>
    <w:uiPriority w:val="1"/>
    <w:rsid w:val="006F53B0"/>
  </w:style>
  <w:style w:type="character" w:customStyle="1" w:styleId="CharSubPartNoCASA">
    <w:name w:val="CharSubPartNo(CASA)"/>
    <w:basedOn w:val="OPCCharBase"/>
    <w:uiPriority w:val="1"/>
    <w:rsid w:val="006F53B0"/>
  </w:style>
  <w:style w:type="paragraph" w:customStyle="1" w:styleId="ENoteTTIndentHeadingSub">
    <w:name w:val="ENoteTTIndentHeadingSub"/>
    <w:aliases w:val="enTTHis"/>
    <w:basedOn w:val="OPCParaBase"/>
    <w:rsid w:val="006F53B0"/>
    <w:pPr>
      <w:keepNext/>
      <w:spacing w:before="60" w:line="240" w:lineRule="atLeast"/>
      <w:ind w:left="340"/>
    </w:pPr>
    <w:rPr>
      <w:b/>
      <w:sz w:val="16"/>
    </w:rPr>
  </w:style>
  <w:style w:type="paragraph" w:customStyle="1" w:styleId="ENoteTTiSub">
    <w:name w:val="ENoteTTiSub"/>
    <w:aliases w:val="enttis"/>
    <w:basedOn w:val="OPCParaBase"/>
    <w:rsid w:val="006F53B0"/>
    <w:pPr>
      <w:keepNext/>
      <w:spacing w:before="60" w:line="240" w:lineRule="atLeast"/>
      <w:ind w:left="340"/>
    </w:pPr>
    <w:rPr>
      <w:sz w:val="16"/>
    </w:rPr>
  </w:style>
  <w:style w:type="paragraph" w:customStyle="1" w:styleId="SubDivisionMigration">
    <w:name w:val="SubDivisionMigration"/>
    <w:aliases w:val="sdm"/>
    <w:basedOn w:val="OPCParaBase"/>
    <w:rsid w:val="006F53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F53B0"/>
    <w:pPr>
      <w:keepNext/>
      <w:keepLines/>
      <w:spacing w:before="240" w:line="240" w:lineRule="auto"/>
      <w:ind w:left="1134" w:hanging="1134"/>
    </w:pPr>
    <w:rPr>
      <w:b/>
      <w:sz w:val="28"/>
    </w:rPr>
  </w:style>
  <w:style w:type="paragraph" w:styleId="TOCHeading">
    <w:name w:val="TOC Heading"/>
    <w:basedOn w:val="Heading1"/>
    <w:next w:val="Normal"/>
    <w:uiPriority w:val="39"/>
    <w:unhideWhenUsed/>
    <w:qFormat/>
    <w:rsid w:val="004976A6"/>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customStyle="1" w:styleId="definition0">
    <w:name w:val="definition"/>
    <w:basedOn w:val="Normal"/>
    <w:rsid w:val="006B5622"/>
    <w:pPr>
      <w:spacing w:before="100" w:beforeAutospacing="1" w:after="100" w:afterAutospacing="1" w:line="240" w:lineRule="auto"/>
    </w:pPr>
    <w:rPr>
      <w:rFonts w:eastAsia="Times New Roman" w:cs="Times New Roman"/>
      <w:sz w:val="24"/>
      <w:szCs w:val="24"/>
      <w:lang w:eastAsia="en-AU"/>
    </w:rPr>
  </w:style>
  <w:style w:type="character" w:customStyle="1" w:styleId="apple-converted-space">
    <w:name w:val="apple-converted-space"/>
    <w:basedOn w:val="DefaultParagraphFont"/>
    <w:rsid w:val="006B5622"/>
  </w:style>
  <w:style w:type="paragraph" w:customStyle="1" w:styleId="paragrapha">
    <w:name w:val="paragraph(a)"/>
    <w:basedOn w:val="subsection"/>
    <w:rsid w:val="00A464BC"/>
  </w:style>
  <w:style w:type="paragraph" w:customStyle="1" w:styleId="subs2">
    <w:name w:val="subs2"/>
    <w:basedOn w:val="paragraph"/>
    <w:rsid w:val="00FD4856"/>
  </w:style>
  <w:style w:type="paragraph" w:customStyle="1" w:styleId="Sub2">
    <w:name w:val="Sub2"/>
    <w:basedOn w:val="subs2"/>
    <w:rsid w:val="00FD4856"/>
  </w:style>
  <w:style w:type="paragraph" w:styleId="Revision">
    <w:name w:val="Revision"/>
    <w:hidden/>
    <w:uiPriority w:val="99"/>
    <w:semiHidden/>
    <w:rsid w:val="00D56998"/>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96046">
      <w:bodyDiv w:val="1"/>
      <w:marLeft w:val="0"/>
      <w:marRight w:val="0"/>
      <w:marTop w:val="0"/>
      <w:marBottom w:val="0"/>
      <w:divBdr>
        <w:top w:val="none" w:sz="0" w:space="0" w:color="auto"/>
        <w:left w:val="none" w:sz="0" w:space="0" w:color="auto"/>
        <w:bottom w:val="none" w:sz="0" w:space="0" w:color="auto"/>
        <w:right w:val="none" w:sz="0" w:space="0" w:color="auto"/>
      </w:divBdr>
    </w:div>
    <w:div w:id="688066055">
      <w:bodyDiv w:val="1"/>
      <w:marLeft w:val="0"/>
      <w:marRight w:val="0"/>
      <w:marTop w:val="0"/>
      <w:marBottom w:val="0"/>
      <w:divBdr>
        <w:top w:val="none" w:sz="0" w:space="0" w:color="auto"/>
        <w:left w:val="none" w:sz="0" w:space="0" w:color="auto"/>
        <w:bottom w:val="none" w:sz="0" w:space="0" w:color="auto"/>
        <w:right w:val="none" w:sz="0" w:space="0" w:color="auto"/>
      </w:divBdr>
    </w:div>
    <w:div w:id="1091315208">
      <w:bodyDiv w:val="1"/>
      <w:marLeft w:val="0"/>
      <w:marRight w:val="0"/>
      <w:marTop w:val="0"/>
      <w:marBottom w:val="0"/>
      <w:divBdr>
        <w:top w:val="none" w:sz="0" w:space="0" w:color="auto"/>
        <w:left w:val="none" w:sz="0" w:space="0" w:color="auto"/>
        <w:bottom w:val="none" w:sz="0" w:space="0" w:color="auto"/>
        <w:right w:val="none" w:sz="0" w:space="0" w:color="auto"/>
      </w:divBdr>
    </w:div>
    <w:div w:id="1652245246">
      <w:bodyDiv w:val="1"/>
      <w:marLeft w:val="0"/>
      <w:marRight w:val="0"/>
      <w:marTop w:val="0"/>
      <w:marBottom w:val="0"/>
      <w:divBdr>
        <w:top w:val="none" w:sz="0" w:space="0" w:color="auto"/>
        <w:left w:val="none" w:sz="0" w:space="0" w:color="auto"/>
        <w:bottom w:val="none" w:sz="0" w:space="0" w:color="auto"/>
        <w:right w:val="none" w:sz="0" w:space="0" w:color="auto"/>
      </w:divBdr>
    </w:div>
    <w:div w:id="175728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DBF80943F2004A9A9063C92AC969B7" ma:contentTypeVersion="0" ma:contentTypeDescription="Create a new document." ma:contentTypeScope="" ma:versionID="0fc6a6067e5432b15fdf23799996da5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6B32B-9C04-4EE3-9C42-9C7D47CCCF6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F8E7061B-E1C6-430A-BA9E-4536087B0FDD}">
  <ds:schemaRefs>
    <ds:schemaRef ds:uri="http://schemas.microsoft.com/sharepoint/v3/contenttype/forms"/>
  </ds:schemaRefs>
</ds:datastoreItem>
</file>

<file path=customXml/itemProps3.xml><?xml version="1.0" encoding="utf-8"?>
<ds:datastoreItem xmlns:ds="http://schemas.openxmlformats.org/officeDocument/2006/customXml" ds:itemID="{25FB1F29-1B90-445D-82FE-05F81A911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C4245D-B078-4F64-AA1E-27D56DD54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2</TotalTime>
  <Pages>13</Pages>
  <Words>2630</Words>
  <Characters>14997</Characters>
  <Application>Microsoft Office Word</Application>
  <DocSecurity>0</DocSecurity>
  <PresentationFormat/>
  <Lines>124</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17592</CharactersWithSpaces>
  <SharedDoc>false</SharedDoc>
  <HyperlinkBase/>
  <HLinks>
    <vt:vector size="6" baseType="variant">
      <vt:variant>
        <vt:i4>6160468</vt:i4>
      </vt:variant>
      <vt:variant>
        <vt:i4>3</vt:i4>
      </vt:variant>
      <vt:variant>
        <vt:i4>0</vt:i4>
      </vt:variant>
      <vt:variant>
        <vt:i4>5</vt:i4>
      </vt:variant>
      <vt:variant>
        <vt:lpwstr>http://www.comlaw.gov.au/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Flannery, Angela</dc:creator>
  <cp:keywords/>
  <dc:description/>
  <cp:lastModifiedBy>Kerr, Leanne</cp:lastModifiedBy>
  <cp:revision>3</cp:revision>
  <cp:lastPrinted>2016-11-27T21:30:00Z</cp:lastPrinted>
  <dcterms:created xsi:type="dcterms:W3CDTF">2016-12-13T00:09:00Z</dcterms:created>
  <dcterms:modified xsi:type="dcterms:W3CDTF">2016-12-13T00:19:00Z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0</vt:lpwstr>
  </property>
  <property fmtid="{D5CDD505-2E9C-101B-9397-08002B2CF9AE}" pid="3" name="IndexMatter">
    <vt:lpwstr> </vt:lpwstr>
  </property>
  <property fmtid="{D5CDD505-2E9C-101B-9397-08002B2CF9AE}" pid="4" name="Converted">
    <vt:bool>true</vt:bool>
  </property>
  <property fmtid="{D5CDD505-2E9C-101B-9397-08002B2CF9AE}" pid="5" name="Header">
    <vt:lpwstr>Section</vt:lpwstr>
  </property>
  <property fmtid="{D5CDD505-2E9C-101B-9397-08002B2CF9AE}" pid="6" name="ActNo">
    <vt:lpwstr> </vt:lpwstr>
  </property>
  <property fmtid="{D5CDD505-2E9C-101B-9397-08002B2CF9AE}" pid="7" name="ShortT">
    <vt:lpwstr> </vt:lpwstr>
  </property>
  <property fmtid="{D5CDD505-2E9C-101B-9397-08002B2CF9AE}" pid="8" name="Class">
    <vt:lpwstr> </vt:lpwstr>
  </property>
  <property fmtid="{D5CDD505-2E9C-101B-9397-08002B2CF9AE}" pid="9" name="DocType">
    <vt:lpwstr>NEW</vt:lpwstr>
  </property>
  <property fmtid="{D5CDD505-2E9C-101B-9397-08002B2CF9AE}" pid="10" name="Exco">
    <vt:lpwstr>No</vt:lpwstr>
  </property>
  <property fmtid="{D5CDD505-2E9C-101B-9397-08002B2CF9AE}" pid="11" name="Authority">
    <vt:lpwstr/>
  </property>
  <property fmtid="{D5CDD505-2E9C-101B-9397-08002B2CF9AE}" pid="12" name="DateMade">
    <vt:lpwstr> </vt:lpwstr>
  </property>
  <property fmtid="{D5CDD505-2E9C-101B-9397-08002B2CF9AE}" pid="13" name="CounterSign">
    <vt:lpwstr/>
  </property>
  <property fmtid="{D5CDD505-2E9C-101B-9397-08002B2CF9AE}" pid="14" name="ExcoDate">
    <vt:lpwstr> </vt:lpwstr>
  </property>
  <property fmtid="{D5CDD505-2E9C-101B-9397-08002B2CF9AE}" pid="15" name="ContentTypeId">
    <vt:lpwstr>0x010100DADBF80943F2004A9A9063C92AC969B7</vt:lpwstr>
  </property>
  <property fmtid="{D5CDD505-2E9C-101B-9397-08002B2CF9AE}" pid="16" name="TrimRevisionNumber">
    <vt:i4>1</vt:i4>
  </property>
</Properties>
</file>