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EF" w:rsidRPr="00627CEC" w:rsidRDefault="00CB13EF" w:rsidP="00CB13EF">
      <w:pPr>
        <w:ind w:right="91"/>
        <w:jc w:val="center"/>
      </w:pPr>
      <w:bookmarkStart w:id="0" w:name="_GoBack"/>
      <w:bookmarkEnd w:id="0"/>
      <w:r w:rsidRPr="00627CEC">
        <w:rPr>
          <w:b/>
          <w:u w:val="single"/>
        </w:rPr>
        <w:t>EXPLANATORY STATEMENT</w:t>
      </w:r>
    </w:p>
    <w:p w:rsidR="00CB13EF" w:rsidRPr="00627CEC" w:rsidRDefault="00627CEC" w:rsidP="00CB13EF">
      <w:pPr>
        <w:pStyle w:val="Heading6"/>
        <w:jc w:val="center"/>
        <w:rPr>
          <w:u w:val="none"/>
        </w:rPr>
      </w:pPr>
      <w:r>
        <w:rPr>
          <w:u w:val="none"/>
        </w:rPr>
        <w:t xml:space="preserve">Issued by the Authority of the </w:t>
      </w:r>
      <w:r w:rsidR="00CB13EF" w:rsidRPr="00627CEC">
        <w:rPr>
          <w:u w:val="none"/>
        </w:rPr>
        <w:t xml:space="preserve">Minister for </w:t>
      </w:r>
      <w:r w:rsidR="00914ECD">
        <w:rPr>
          <w:u w:val="none"/>
        </w:rPr>
        <w:t>the Environment</w:t>
      </w:r>
      <w:r w:rsidR="00D44D57">
        <w:rPr>
          <w:u w:val="none"/>
        </w:rPr>
        <w:t xml:space="preserve"> and Energy</w:t>
      </w:r>
    </w:p>
    <w:p w:rsidR="00CB13EF" w:rsidRPr="00627CEC" w:rsidRDefault="00CB13EF" w:rsidP="00CB13EF">
      <w:pPr>
        <w:pStyle w:val="Heading2"/>
        <w:numPr>
          <w:ilvl w:val="0"/>
          <w:numId w:val="0"/>
        </w:numPr>
        <w:spacing w:before="0" w:after="0"/>
        <w:jc w:val="center"/>
        <w:rPr>
          <w:b w:val="0"/>
          <w:bCs/>
          <w:i/>
          <w:iCs/>
        </w:rPr>
      </w:pPr>
    </w:p>
    <w:p w:rsidR="00CB13EF" w:rsidRPr="00627CEC" w:rsidRDefault="00CB13EF" w:rsidP="00CB13EF">
      <w:pPr>
        <w:pStyle w:val="Heading2"/>
        <w:numPr>
          <w:ilvl w:val="0"/>
          <w:numId w:val="0"/>
        </w:numPr>
        <w:spacing w:before="0" w:after="0"/>
        <w:jc w:val="center"/>
        <w:rPr>
          <w:b w:val="0"/>
          <w:bCs/>
          <w:i/>
          <w:iCs/>
        </w:rPr>
      </w:pPr>
      <w:r w:rsidRPr="00627CEC">
        <w:rPr>
          <w:b w:val="0"/>
          <w:i/>
        </w:rPr>
        <w:t>Antarctic Treaty (Environment Protection) Act 1980</w:t>
      </w:r>
      <w:r w:rsidR="00BD1540" w:rsidRPr="00627CEC">
        <w:rPr>
          <w:b w:val="0"/>
        </w:rPr>
        <w:t xml:space="preserve"> (</w:t>
      </w:r>
      <w:proofErr w:type="spellStart"/>
      <w:r w:rsidR="00BD1540" w:rsidRPr="00627CEC">
        <w:rPr>
          <w:b w:val="0"/>
        </w:rPr>
        <w:t>Cth</w:t>
      </w:r>
      <w:proofErr w:type="spellEnd"/>
      <w:r w:rsidR="00BD1540" w:rsidRPr="00627CEC">
        <w:rPr>
          <w:b w:val="0"/>
        </w:rPr>
        <w:t>)</w:t>
      </w:r>
    </w:p>
    <w:p w:rsidR="00CB13EF" w:rsidRPr="00627CEC" w:rsidRDefault="00CB13EF" w:rsidP="00CB13EF">
      <w:pPr>
        <w:pStyle w:val="Footer"/>
        <w:tabs>
          <w:tab w:val="clear" w:pos="4153"/>
          <w:tab w:val="clear" w:pos="8306"/>
        </w:tabs>
        <w:spacing w:before="0"/>
      </w:pPr>
    </w:p>
    <w:p w:rsidR="00CB13EF" w:rsidRPr="00627CEC" w:rsidRDefault="00CB13EF" w:rsidP="00CB13EF">
      <w:pPr>
        <w:ind w:right="91" w:firstLine="8"/>
        <w:jc w:val="center"/>
        <w:rPr>
          <w:i/>
        </w:rPr>
      </w:pPr>
      <w:r w:rsidRPr="00627CEC">
        <w:rPr>
          <w:i/>
        </w:rPr>
        <w:t>Antarctic Treaty (Environment Protection)</w:t>
      </w:r>
      <w:r w:rsidR="00627CEC">
        <w:rPr>
          <w:i/>
        </w:rPr>
        <w:t xml:space="preserve"> Amendment</w:t>
      </w:r>
      <w:r w:rsidRPr="00627CEC">
        <w:rPr>
          <w:i/>
        </w:rPr>
        <w:t xml:space="preserve"> </w:t>
      </w:r>
      <w:r w:rsidR="00914ECD">
        <w:rPr>
          <w:i/>
        </w:rPr>
        <w:t>(</w:t>
      </w:r>
      <w:r w:rsidR="00AC21D5">
        <w:rPr>
          <w:i/>
        </w:rPr>
        <w:t xml:space="preserve">Protected </w:t>
      </w:r>
      <w:r w:rsidR="00B61105">
        <w:rPr>
          <w:i/>
        </w:rPr>
        <w:t xml:space="preserve">Areas </w:t>
      </w:r>
      <w:r w:rsidR="00AC21D5">
        <w:rPr>
          <w:i/>
        </w:rPr>
        <w:t>and Managed Areas) Proclamation 2016</w:t>
      </w:r>
    </w:p>
    <w:p w:rsidR="009C2298" w:rsidRPr="00627CEC" w:rsidRDefault="009C2298" w:rsidP="00CB13EF">
      <w:pPr>
        <w:ind w:right="91" w:firstLine="8"/>
        <w:jc w:val="center"/>
      </w:pPr>
    </w:p>
    <w:p w:rsidR="00914ECD" w:rsidRDefault="00914ECD" w:rsidP="00914ECD">
      <w:r>
        <w:t>Subsection 8</w:t>
      </w:r>
      <w:r w:rsidRPr="00E538D2">
        <w:t xml:space="preserve">(2) of the </w:t>
      </w:r>
      <w:r w:rsidRPr="00A42945">
        <w:rPr>
          <w:i/>
        </w:rPr>
        <w:t>Antarctic Treaty (Environment Protection) Act</w:t>
      </w:r>
      <w:r w:rsidRPr="00A7206B">
        <w:rPr>
          <w:i/>
        </w:rPr>
        <w:t xml:space="preserve"> 1980</w:t>
      </w:r>
      <w:r>
        <w:t xml:space="preserve"> (the </w:t>
      </w:r>
      <w:r w:rsidRPr="009C4F51">
        <w:rPr>
          <w:b/>
        </w:rPr>
        <w:t>Act</w:t>
      </w:r>
      <w:r>
        <w:t xml:space="preserve">) </w:t>
      </w:r>
      <w:r w:rsidRPr="00E538D2">
        <w:t>provides that the Governor-General may, by Proclamation, declare an area</w:t>
      </w:r>
      <w:r w:rsidR="00301B0B" w:rsidRPr="00301B0B">
        <w:t xml:space="preserve"> </w:t>
      </w:r>
      <w:r w:rsidR="00301B0B">
        <w:t>specified in the Proclamation</w:t>
      </w:r>
      <w:r w:rsidRPr="00E538D2">
        <w:t xml:space="preserve"> to be an Antarctic specially protected area (</w:t>
      </w:r>
      <w:r w:rsidRPr="009C4F51">
        <w:rPr>
          <w:b/>
        </w:rPr>
        <w:t>ASPA</w:t>
      </w:r>
      <w:r w:rsidRPr="00E538D2">
        <w:t>) and, by the same or another Proclamation, may declare an area</w:t>
      </w:r>
      <w:r w:rsidR="00301B0B" w:rsidRPr="00301B0B">
        <w:t xml:space="preserve"> </w:t>
      </w:r>
      <w:r w:rsidR="00301B0B">
        <w:t>specified in the Proclamation</w:t>
      </w:r>
      <w:r w:rsidRPr="00E538D2">
        <w:t xml:space="preserve"> to be an Antarctic specially managed area (</w:t>
      </w:r>
      <w:r w:rsidRPr="009C4F51">
        <w:rPr>
          <w:b/>
        </w:rPr>
        <w:t>ASMA</w:t>
      </w:r>
      <w:r w:rsidRPr="00E538D2">
        <w:t xml:space="preserve">).  </w:t>
      </w:r>
      <w:r>
        <w:t xml:space="preserve">However, subsection 8(3) of the Act provides that an area may not be declared </w:t>
      </w:r>
      <w:proofErr w:type="gramStart"/>
      <w:r>
        <w:t>to be an</w:t>
      </w:r>
      <w:proofErr w:type="gramEnd"/>
      <w:r>
        <w:t xml:space="preserve"> ASPA or an ASMA unless the Antarctic Treaty Consultative Parties have adopted a management plan in respect of the area</w:t>
      </w:r>
      <w:r w:rsidR="003F6555">
        <w:t xml:space="preserve"> under Article 6 of Annex V to the Madrid Protocol</w:t>
      </w:r>
      <w:r>
        <w:t xml:space="preserve">.  </w:t>
      </w:r>
      <w:r w:rsidRPr="000F5D79">
        <w:t xml:space="preserve">Subsection 8(6) of the Act provides that the Governor-General </w:t>
      </w:r>
      <w:proofErr w:type="gramStart"/>
      <w:r w:rsidRPr="000F5D79">
        <w:t>may, by Proclamation, vary</w:t>
      </w:r>
      <w:proofErr w:type="gramEnd"/>
      <w:r w:rsidRPr="000F5D79">
        <w:t xml:space="preserve"> the boundaries of an ASPA or ASMA in accordance with an amendment of the management plan adopted by the Antarctic Treaty Consultative Parties.</w:t>
      </w:r>
      <w:r>
        <w:t xml:space="preserve"> </w:t>
      </w:r>
    </w:p>
    <w:p w:rsidR="00914ECD" w:rsidRDefault="00914ECD" w:rsidP="00914ECD"/>
    <w:p w:rsidR="00914ECD" w:rsidRDefault="00914ECD" w:rsidP="00914ECD">
      <w:r>
        <w:t xml:space="preserve">Australia is an Antarctic Treaty Consultative Party under the Antarctic Treaty and the Proclamation seeks to give effect to measures agreed to by Antarctic Treaty Consultative Parties under the Protocol on Environmental Protection to the Antarctic Treaty in domestic law.  </w:t>
      </w:r>
    </w:p>
    <w:p w:rsidR="00914ECD" w:rsidRDefault="00914ECD" w:rsidP="00914ECD"/>
    <w:p w:rsidR="00914ECD" w:rsidRDefault="00914ECD" w:rsidP="00914ECD">
      <w:r w:rsidRPr="00B073AA">
        <w:t xml:space="preserve">The purpose of the Proclamation is to amend the </w:t>
      </w:r>
      <w:r w:rsidRPr="00B073AA">
        <w:rPr>
          <w:i/>
        </w:rPr>
        <w:t>Antarctic Treaty (Environment Protection) Proclamation 2007</w:t>
      </w:r>
      <w:r>
        <w:t xml:space="preserve"> (the </w:t>
      </w:r>
      <w:r w:rsidRPr="00A3679F">
        <w:rPr>
          <w:b/>
        </w:rPr>
        <w:t>Principal Proclamation</w:t>
      </w:r>
      <w:r>
        <w:t xml:space="preserve">) </w:t>
      </w:r>
      <w:r w:rsidR="003F6555">
        <w:t>by</w:t>
      </w:r>
      <w:r>
        <w:t xml:space="preserve"> varying the boundaries of </w:t>
      </w:r>
      <w:r w:rsidR="00AC21D5">
        <w:t xml:space="preserve">four </w:t>
      </w:r>
      <w:r>
        <w:t>ASPAs</w:t>
      </w:r>
      <w:r w:rsidR="00AC21D5">
        <w:t xml:space="preserve"> and one ASMA.</w:t>
      </w:r>
      <w:r>
        <w:t xml:space="preserve">  The Proclamation also makes </w:t>
      </w:r>
      <w:r w:rsidR="00B92739">
        <w:t>technical</w:t>
      </w:r>
      <w:r>
        <w:t xml:space="preserve"> amendments</w:t>
      </w:r>
      <w:r w:rsidR="00AC21D5">
        <w:t xml:space="preserve"> to amend </w:t>
      </w:r>
      <w:r w:rsidR="00B92739">
        <w:t xml:space="preserve">naming </w:t>
      </w:r>
      <w:r w:rsidR="00AC21D5">
        <w:t>terminology</w:t>
      </w:r>
      <w:r w:rsidR="00B92739">
        <w:t xml:space="preserve"> and correct spelling mistakes</w:t>
      </w:r>
      <w:r>
        <w:t xml:space="preserve">. </w:t>
      </w:r>
    </w:p>
    <w:p w:rsidR="00914ECD" w:rsidRDefault="00914ECD" w:rsidP="00914ECD"/>
    <w:p w:rsidR="00914ECD" w:rsidRDefault="00914ECD" w:rsidP="00914ECD">
      <w:r>
        <w:t xml:space="preserve">The Proclamation </w:t>
      </w:r>
      <w:r w:rsidR="006740FD">
        <w:t xml:space="preserve">varies </w:t>
      </w:r>
      <w:r>
        <w:t xml:space="preserve">the </w:t>
      </w:r>
      <w:r w:rsidRPr="00ED7DB2">
        <w:t>boundaries of</w:t>
      </w:r>
      <w:r>
        <w:t xml:space="preserve"> the following</w:t>
      </w:r>
      <w:r w:rsidRPr="00ED7DB2">
        <w:t xml:space="preserve"> </w:t>
      </w:r>
      <w:r w:rsidR="006740FD">
        <w:t xml:space="preserve">existing </w:t>
      </w:r>
      <w:r w:rsidR="00AC21D5">
        <w:t>four</w:t>
      </w:r>
      <w:r w:rsidRPr="00ED7DB2">
        <w:t xml:space="preserve"> A</w:t>
      </w:r>
      <w:r>
        <w:t>SP</w:t>
      </w:r>
      <w:r w:rsidRPr="00ED7DB2">
        <w:t>As</w:t>
      </w:r>
      <w:r>
        <w:t xml:space="preserve"> and one ASMA</w:t>
      </w:r>
      <w:r w:rsidRPr="00ED7DB2">
        <w:t xml:space="preserve"> declared</w:t>
      </w:r>
      <w:r>
        <w:t xml:space="preserve"> under the Principal Proclamation:  </w:t>
      </w:r>
    </w:p>
    <w:p w:rsidR="00914ECD" w:rsidRDefault="00914ECD" w:rsidP="00914ECD"/>
    <w:p w:rsidR="00AC21D5" w:rsidRDefault="00AC21D5" w:rsidP="00914ECD">
      <w:pPr>
        <w:numPr>
          <w:ilvl w:val="0"/>
          <w:numId w:val="6"/>
        </w:numPr>
      </w:pPr>
      <w:r>
        <w:t xml:space="preserve">Taylor Rookery, </w:t>
      </w:r>
      <w:proofErr w:type="spellStart"/>
      <w:r>
        <w:t>Mac.Robertson</w:t>
      </w:r>
      <w:proofErr w:type="spellEnd"/>
      <w:r>
        <w:t xml:space="preserve"> Land (ASPA No. 101);</w:t>
      </w:r>
    </w:p>
    <w:p w:rsidR="00AC21D5" w:rsidRDefault="00AC21D5" w:rsidP="00914ECD">
      <w:pPr>
        <w:numPr>
          <w:ilvl w:val="0"/>
          <w:numId w:val="6"/>
        </w:numPr>
      </w:pPr>
      <w:r>
        <w:t xml:space="preserve">Davis Valley and </w:t>
      </w:r>
      <w:proofErr w:type="spellStart"/>
      <w:r>
        <w:t>Forlidas</w:t>
      </w:r>
      <w:proofErr w:type="spellEnd"/>
      <w:r>
        <w:t xml:space="preserve"> Pond, </w:t>
      </w:r>
      <w:proofErr w:type="spellStart"/>
      <w:r>
        <w:t>Dufek</w:t>
      </w:r>
      <w:proofErr w:type="spellEnd"/>
      <w:r>
        <w:t xml:space="preserve"> Massif, Pensacola Mountains (ASPA No. 119);</w:t>
      </w:r>
    </w:p>
    <w:p w:rsidR="00AC21D5" w:rsidRDefault="00AC21D5" w:rsidP="00914ECD">
      <w:pPr>
        <w:numPr>
          <w:ilvl w:val="0"/>
          <w:numId w:val="6"/>
        </w:numPr>
      </w:pPr>
      <w:r>
        <w:t xml:space="preserve">Backdoor Bay, Cape </w:t>
      </w:r>
      <w:proofErr w:type="spellStart"/>
      <w:r>
        <w:t>Royds</w:t>
      </w:r>
      <w:proofErr w:type="spellEnd"/>
      <w:r>
        <w:t>, Ross Island (ASPA No. 157);</w:t>
      </w:r>
    </w:p>
    <w:p w:rsidR="00AC21D5" w:rsidRDefault="00AC21D5" w:rsidP="00914ECD">
      <w:pPr>
        <w:numPr>
          <w:ilvl w:val="0"/>
          <w:numId w:val="6"/>
        </w:numPr>
      </w:pPr>
      <w:r>
        <w:t xml:space="preserve">Scullin and Murray Monoliths, </w:t>
      </w:r>
      <w:proofErr w:type="spellStart"/>
      <w:r>
        <w:t>Mac.Robertson</w:t>
      </w:r>
      <w:proofErr w:type="spellEnd"/>
      <w:r>
        <w:t xml:space="preserve"> Land (ASPA No. 164);</w:t>
      </w:r>
    </w:p>
    <w:p w:rsidR="00AC21D5" w:rsidRDefault="00AC21D5" w:rsidP="00914ECD">
      <w:pPr>
        <w:numPr>
          <w:ilvl w:val="0"/>
          <w:numId w:val="6"/>
        </w:numPr>
      </w:pPr>
      <w:r>
        <w:t>McMurdo Dry Valleys, Victoria Land (ASMA No. 2).</w:t>
      </w:r>
    </w:p>
    <w:p w:rsidR="00914ECD" w:rsidRDefault="00914ECD" w:rsidP="00914ECD"/>
    <w:p w:rsidR="00914ECD" w:rsidRDefault="00914ECD" w:rsidP="00914ECD">
      <w:r w:rsidRPr="00ED7DB2">
        <w:t xml:space="preserve">The </w:t>
      </w:r>
      <w:bookmarkStart w:id="1" w:name="OLE_LINK2"/>
      <w:r w:rsidRPr="00ED7DB2">
        <w:t xml:space="preserve">variation </w:t>
      </w:r>
      <w:bookmarkEnd w:id="1"/>
      <w:r w:rsidRPr="00ED7DB2">
        <w:t>of</w:t>
      </w:r>
      <w:r w:rsidR="006740FD">
        <w:t xml:space="preserve"> the boundaries of</w:t>
      </w:r>
      <w:r w:rsidRPr="00ED7DB2">
        <w:t xml:space="preserve"> these ASPAs </w:t>
      </w:r>
      <w:r>
        <w:t xml:space="preserve">and one ASMA </w:t>
      </w:r>
      <w:r w:rsidRPr="00ED7DB2">
        <w:t xml:space="preserve">in the Proclamation reflects amendments adopted by the </w:t>
      </w:r>
      <w:r w:rsidR="00AC21D5">
        <w:t>38</w:t>
      </w:r>
      <w:r w:rsidR="00AC21D5" w:rsidRPr="00AC21D5">
        <w:rPr>
          <w:vertAlign w:val="superscript"/>
        </w:rPr>
        <w:t>th</w:t>
      </w:r>
      <w:r w:rsidR="00AC21D5">
        <w:t xml:space="preserve"> </w:t>
      </w:r>
      <w:r>
        <w:t xml:space="preserve">ATCM </w:t>
      </w:r>
      <w:r w:rsidRPr="00ED7DB2">
        <w:t xml:space="preserve">to </w:t>
      </w:r>
      <w:r>
        <w:t xml:space="preserve">vary </w:t>
      </w:r>
      <w:r w:rsidRPr="00ED7DB2">
        <w:t xml:space="preserve">the boundaries </w:t>
      </w:r>
      <w:r w:rsidR="0058509C">
        <w:t xml:space="preserve">in the management plans </w:t>
      </w:r>
      <w:r w:rsidRPr="00ED7DB2">
        <w:t>of these ASPAs</w:t>
      </w:r>
      <w:r>
        <w:t xml:space="preserve"> and ASMA</w:t>
      </w:r>
      <w:r w:rsidRPr="00ED7DB2">
        <w:t xml:space="preserve">.   </w:t>
      </w:r>
    </w:p>
    <w:p w:rsidR="00C2675C" w:rsidRDefault="00C2675C" w:rsidP="00914ECD">
      <w:pPr>
        <w:ind w:right="91"/>
      </w:pPr>
    </w:p>
    <w:p w:rsidR="00914ECD" w:rsidRDefault="00914ECD" w:rsidP="00914ECD">
      <w:pPr>
        <w:ind w:right="91"/>
      </w:pPr>
      <w:r>
        <w:t xml:space="preserve">ASPAs and ASMAs </w:t>
      </w:r>
      <w:proofErr w:type="gramStart"/>
      <w:r>
        <w:t>are designated</w:t>
      </w:r>
      <w:proofErr w:type="gramEnd"/>
      <w:r>
        <w:t xml:space="preserve"> in order to protect outstanding environmental, scientific, historic, aesthetic or wilderness values or ongoing planned scientific research. </w:t>
      </w:r>
      <w:r w:rsidR="00C2675C">
        <w:t>P</w:t>
      </w:r>
      <w:r>
        <w:t>aragraph 19(1</w:t>
      </w:r>
      <w:proofErr w:type="gramStart"/>
      <w:r>
        <w:t>)(</w:t>
      </w:r>
      <w:proofErr w:type="gramEnd"/>
      <w:r>
        <w:t>d) of the Act makes it an offence for a person to enter or carry on any</w:t>
      </w:r>
      <w:r w:rsidR="00EC47BD">
        <w:t xml:space="preserve"> other</w:t>
      </w:r>
      <w:r>
        <w:t xml:space="preserve"> </w:t>
      </w:r>
      <w:r>
        <w:lastRenderedPageBreak/>
        <w:t>activity in an ASPA.  Paragraph 19(1</w:t>
      </w:r>
      <w:proofErr w:type="gramStart"/>
      <w:r>
        <w:t>)(</w:t>
      </w:r>
      <w:proofErr w:type="gramEnd"/>
      <w:r>
        <w:t xml:space="preserve">e) of the Act makes it an offence for a person to carry on any activity in an ASMA otherwise than as authorised by the plan of management relating to the area.  </w:t>
      </w:r>
    </w:p>
    <w:p w:rsidR="00914ECD" w:rsidRDefault="00914ECD" w:rsidP="00914ECD"/>
    <w:p w:rsidR="00914ECD" w:rsidRDefault="00914ECD" w:rsidP="00914ECD">
      <w:r>
        <w:t>Where an area is proclaimed to be an ASPA or an ASMA, the subsoil</w:t>
      </w:r>
      <w:r w:rsidR="007126A1">
        <w:t xml:space="preserve"> extending 1000 metres below</w:t>
      </w:r>
      <w:r>
        <w:t xml:space="preserve"> </w:t>
      </w:r>
      <w:r w:rsidR="007126A1">
        <w:t xml:space="preserve">the surface of </w:t>
      </w:r>
      <w:r>
        <w:t>any land or</w:t>
      </w:r>
      <w:r w:rsidR="007126A1">
        <w:t xml:space="preserve"> the</w:t>
      </w:r>
      <w:r>
        <w:t xml:space="preserve"> sea-bed, , as specified in subsections 5(3) and (4) of the Principal Proclamation, is deemed to be within the area.</w:t>
      </w:r>
    </w:p>
    <w:p w:rsidR="00477A07" w:rsidRDefault="00477A07" w:rsidP="00477A07"/>
    <w:p w:rsidR="00914ECD" w:rsidRDefault="00914ECD" w:rsidP="00914ECD">
      <w:r w:rsidRPr="004D3D32">
        <w:t>The Office of Best Practice Regulation has indicated that a Regulatory Impact Ass</w:t>
      </w:r>
      <w:r>
        <w:t>essment is not required for the Proclamation as it is likely to have minor impacts on business (</w:t>
      </w:r>
      <w:r w:rsidRPr="0019521D">
        <w:t>OBPR ID:</w:t>
      </w:r>
      <w:r>
        <w:t> </w:t>
      </w:r>
      <w:r w:rsidR="00C2675C">
        <w:t>21151</w:t>
      </w:r>
      <w:r w:rsidRPr="0019521D">
        <w:t>).</w:t>
      </w:r>
      <w:r w:rsidR="00956686">
        <w:t xml:space="preserve"> </w:t>
      </w:r>
    </w:p>
    <w:p w:rsidR="007126A1" w:rsidRDefault="007126A1" w:rsidP="00914ECD"/>
    <w:p w:rsidR="00D60117" w:rsidRDefault="00D60117" w:rsidP="00477A07">
      <w:r>
        <w:t>Prior to the 38</w:t>
      </w:r>
      <w:r w:rsidRPr="00D60117">
        <w:rPr>
          <w:vertAlign w:val="superscript"/>
        </w:rPr>
        <w:t>th</w:t>
      </w:r>
      <w:r>
        <w:t xml:space="preserve"> ATCM the Australian Government conducted consultations with Antarctic scientists, tourism operators and non-government organisations on proposals being taken to the ATCM, including the amended management plans for ASPAs and ASMAs.  </w:t>
      </w:r>
    </w:p>
    <w:p w:rsidR="00D60117" w:rsidRPr="00E538D2" w:rsidRDefault="00D60117" w:rsidP="00477A07"/>
    <w:p w:rsidR="00477A07" w:rsidRPr="00397100" w:rsidRDefault="00477A07" w:rsidP="00477A07">
      <w:r w:rsidRPr="00E538D2">
        <w:t>The Proclamation</w:t>
      </w:r>
      <w:r>
        <w:t xml:space="preserve"> </w:t>
      </w:r>
      <w:r w:rsidR="007A2FC8">
        <w:t>is</w:t>
      </w:r>
      <w:r>
        <w:t xml:space="preserve"> a legislative instrument for the purposes of the </w:t>
      </w:r>
      <w:r w:rsidR="00956686">
        <w:rPr>
          <w:i/>
        </w:rPr>
        <w:t>Legislation</w:t>
      </w:r>
      <w:r>
        <w:rPr>
          <w:i/>
        </w:rPr>
        <w:t xml:space="preserve"> Act 2003</w:t>
      </w:r>
      <w:r>
        <w:t xml:space="preserve"> and c</w:t>
      </w:r>
      <w:r w:rsidR="00B03C78">
        <w:t xml:space="preserve">ommences on the day after it </w:t>
      </w:r>
      <w:proofErr w:type="gramStart"/>
      <w:r w:rsidR="00B03C78">
        <w:t>is</w:t>
      </w:r>
      <w:r>
        <w:t xml:space="preserve"> registe</w:t>
      </w:r>
      <w:r w:rsidR="004F04BA">
        <w:t>red</w:t>
      </w:r>
      <w:proofErr w:type="gramEnd"/>
      <w:r w:rsidR="004F04BA">
        <w:t xml:space="preserve"> on the Federal Register of Legislation</w:t>
      </w:r>
      <w:r>
        <w:rPr>
          <w:i/>
        </w:rPr>
        <w:t>.</w:t>
      </w:r>
      <w:r>
        <w:t xml:space="preserve"> </w:t>
      </w:r>
    </w:p>
    <w:p w:rsidR="00495357" w:rsidRPr="00627CEC" w:rsidRDefault="00495357" w:rsidP="00495357"/>
    <w:p w:rsidR="00914ECD" w:rsidRDefault="00173016" w:rsidP="00495357">
      <w:r w:rsidRPr="00627CEC">
        <w:t xml:space="preserve">The details of the Proclamation are included in the </w:t>
      </w:r>
      <w:r w:rsidRPr="00627CEC">
        <w:rPr>
          <w:b/>
          <w:u w:val="single"/>
        </w:rPr>
        <w:t>Attachment</w:t>
      </w:r>
      <w:r w:rsidRPr="00627CEC">
        <w:t xml:space="preserve">. </w:t>
      </w:r>
    </w:p>
    <w:p w:rsid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360" w:after="120"/>
        <w:jc w:val="center"/>
      </w:pPr>
      <w:r>
        <w:br w:type="page"/>
      </w:r>
    </w:p>
    <w:p w:rsidR="004F04BA" w:rsidRDefault="004F04BA" w:rsidP="00914ECD">
      <w:pPr>
        <w:pBdr>
          <w:top w:val="thinThickThinSmallGap" w:sz="18" w:space="1" w:color="auto"/>
          <w:left w:val="thinThickThinSmallGap" w:sz="18" w:space="4" w:color="auto"/>
          <w:bottom w:val="thinThickThinSmallGap" w:sz="18" w:space="1" w:color="auto"/>
          <w:right w:val="thinThickThinSmallGap" w:sz="18" w:space="4" w:color="auto"/>
        </w:pBdr>
        <w:spacing w:before="360" w:after="120"/>
        <w:jc w:val="center"/>
        <w:rPr>
          <w:b/>
          <w:sz w:val="28"/>
          <w:szCs w:val="28"/>
        </w:rPr>
      </w:pPr>
      <w:r>
        <w:rPr>
          <w:noProof/>
        </w:rPr>
        <w:lastRenderedPageBreak/>
        <w:drawing>
          <wp:inline distT="0" distB="0" distL="0" distR="0">
            <wp:extent cx="2393019" cy="1155802"/>
            <wp:effectExtent l="0" t="0" r="7620" b="6350"/>
            <wp:docPr id="2" name="Picture 2" descr="http://intranet.antarctica.gov.au/information-management/style-guide/logos/AAD_EnvEnergy_stacked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antarctica.gov.au/information-management/style-guide/logos/AAD_EnvEnergy_stacked_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6923" cy="1162517"/>
                    </a:xfrm>
                    <a:prstGeom prst="rect">
                      <a:avLst/>
                    </a:prstGeom>
                    <a:noFill/>
                    <a:ln>
                      <a:noFill/>
                    </a:ln>
                  </pic:spPr>
                </pic:pic>
              </a:graphicData>
            </a:graphic>
          </wp:inline>
        </w:drawing>
      </w:r>
    </w:p>
    <w:p w:rsidR="00914ECD" w:rsidRPr="00D664E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360" w:after="120"/>
        <w:jc w:val="center"/>
        <w:rPr>
          <w:b/>
          <w:sz w:val="28"/>
          <w:szCs w:val="28"/>
        </w:rPr>
      </w:pPr>
      <w:r w:rsidRPr="00D664E6">
        <w:rPr>
          <w:b/>
          <w:sz w:val="28"/>
          <w:szCs w:val="28"/>
        </w:rPr>
        <w:t>Statement of Compatibility with Human Rights</w:t>
      </w:r>
    </w:p>
    <w:p w:rsidR="00914ECD" w:rsidRPr="00D664E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rPr>
          <w:szCs w:val="24"/>
        </w:rPr>
      </w:pPr>
      <w:r w:rsidRPr="00D664E6">
        <w:rPr>
          <w:i/>
          <w:szCs w:val="24"/>
        </w:rPr>
        <w:t>Prepared in accordance with Part 3 of the Human Rights (Parliamentary Scrutiny) Act 2011</w:t>
      </w:r>
    </w:p>
    <w:p w:rsidR="00914ECD" w:rsidRDefault="00914ECD" w:rsidP="00914ECD">
      <w:pPr>
        <w:pStyle w:val="ShortT"/>
        <w:pBdr>
          <w:top w:val="thinThickThinSmallGap" w:sz="18" w:space="1" w:color="auto"/>
          <w:left w:val="thinThickThinSmallGap" w:sz="18" w:space="4" w:color="auto"/>
          <w:bottom w:val="thinThickThinSmallGap" w:sz="18" w:space="1" w:color="auto"/>
          <w:right w:val="thinThickThinSmallGap" w:sz="18" w:space="4" w:color="auto"/>
        </w:pBdr>
        <w:rPr>
          <w:sz w:val="24"/>
          <w:szCs w:val="24"/>
        </w:rPr>
      </w:pPr>
      <w:r w:rsidRPr="00991F7C">
        <w:rPr>
          <w:sz w:val="24"/>
          <w:szCs w:val="24"/>
        </w:rPr>
        <w:t>Antarctic Treaty</w:t>
      </w:r>
      <w:bookmarkStart w:id="2" w:name="BK_S1P1L2C17"/>
      <w:bookmarkEnd w:id="2"/>
      <w:r w:rsidRPr="00991F7C">
        <w:rPr>
          <w:sz w:val="24"/>
          <w:szCs w:val="24"/>
        </w:rPr>
        <w:t xml:space="preserve"> (Environment Protection) Amendment </w:t>
      </w:r>
      <w:r w:rsidR="00956686">
        <w:rPr>
          <w:sz w:val="24"/>
          <w:szCs w:val="24"/>
        </w:rPr>
        <w:t xml:space="preserve">(Protected </w:t>
      </w:r>
      <w:r w:rsidR="00B92739">
        <w:rPr>
          <w:sz w:val="24"/>
          <w:szCs w:val="24"/>
        </w:rPr>
        <w:t xml:space="preserve">Areas </w:t>
      </w:r>
      <w:r w:rsidR="00956686">
        <w:rPr>
          <w:sz w:val="24"/>
          <w:szCs w:val="24"/>
        </w:rPr>
        <w:t>and Managed Areas) Proclamation 2016</w:t>
      </w:r>
    </w:p>
    <w:p w:rsid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both"/>
      </w:pPr>
      <w:r w:rsidRPr="00FC576C">
        <w:t xml:space="preserve">This Legislative Instrument is compatible with the human rights and freedoms recognised or declared in the international instruments listed in section 3 of the </w:t>
      </w:r>
      <w:r w:rsidRPr="00FC576C">
        <w:rPr>
          <w:i/>
        </w:rPr>
        <w:t>Human Rights (Parliamentary Scrutiny) Act 2011</w:t>
      </w:r>
      <w:r w:rsidRPr="00FC576C">
        <w:t>.</w:t>
      </w:r>
    </w:p>
    <w:p w:rsidR="00914ECD" w:rsidRPr="00D664E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both"/>
        <w:rPr>
          <w:b/>
          <w:szCs w:val="24"/>
        </w:rPr>
      </w:pPr>
      <w:r>
        <w:rPr>
          <w:b/>
          <w:szCs w:val="24"/>
        </w:rPr>
        <w:t xml:space="preserve">Overview of the </w:t>
      </w:r>
      <w:r w:rsidRPr="00D664E6">
        <w:rPr>
          <w:b/>
          <w:szCs w:val="24"/>
        </w:rPr>
        <w:t>Legislative Instrument</w:t>
      </w:r>
    </w:p>
    <w:p w:rsidR="00914ECD" w:rsidRPr="00F5715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both"/>
      </w:pPr>
      <w:r w:rsidRPr="00F57156">
        <w:t xml:space="preserve">Australian legislation implements components of the Antarctic Treaty system into Australian law, including the </w:t>
      </w:r>
      <w:r w:rsidRPr="00F57156">
        <w:rPr>
          <w:rStyle w:val="Emphasis"/>
        </w:rPr>
        <w:t>Antarctic Treaty (Environment Protection) Act 1980</w:t>
      </w:r>
      <w:r w:rsidRPr="00F57156">
        <w:t xml:space="preserve">, giving effect to the </w:t>
      </w:r>
      <w:r>
        <w:t>Protocol on Environmental Protection to the Antarctic Treaty</w:t>
      </w:r>
      <w:r w:rsidRPr="00F57156">
        <w:t xml:space="preserve">, which sets out environmental protection obligations. Annex V to the Protocol provides a legal framework for the establishment of specially protected and managed areas within Antarctica. At each year’s Antarctic Treaty Consultative </w:t>
      </w:r>
      <w:proofErr w:type="gramStart"/>
      <w:r w:rsidRPr="00F57156">
        <w:t>Meeting</w:t>
      </w:r>
      <w:proofErr w:type="gramEnd"/>
      <w:r w:rsidRPr="00F57156">
        <w:t xml:space="preserve"> new areas may be nominated</w:t>
      </w:r>
      <w:r>
        <w:t>,</w:t>
      </w:r>
      <w:r w:rsidRPr="00F57156">
        <w:t xml:space="preserve"> and existing areas may be updated</w:t>
      </w:r>
      <w:r>
        <w:t xml:space="preserve"> and existing areas may be de-designated</w:t>
      </w:r>
      <w:r w:rsidRPr="00F57156">
        <w:t>. This L</w:t>
      </w:r>
      <w:r w:rsidR="004F04BA">
        <w:t xml:space="preserve">egislative Instrument reflects </w:t>
      </w:r>
      <w:r w:rsidRPr="00F57156">
        <w:t xml:space="preserve">changes made </w:t>
      </w:r>
      <w:r w:rsidR="004F04BA">
        <w:t>in 2015</w:t>
      </w:r>
      <w:r w:rsidRPr="00F57156">
        <w:t>.</w:t>
      </w:r>
    </w:p>
    <w:p w:rsidR="00914ECD" w:rsidRPr="00D664E6"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rPr>
          <w:b/>
          <w:szCs w:val="24"/>
        </w:rPr>
      </w:pPr>
      <w:r w:rsidRPr="00D664E6">
        <w:rPr>
          <w:b/>
          <w:szCs w:val="24"/>
        </w:rPr>
        <w:t>Human rights implications</w:t>
      </w:r>
    </w:p>
    <w:p w:rsidR="00F31126" w:rsidRDefault="00914ECD" w:rsidP="00696FBF">
      <w:pPr>
        <w:pBdr>
          <w:top w:val="thinThickThinSmallGap" w:sz="18" w:space="1" w:color="auto"/>
          <w:left w:val="thinThickThinSmallGap" w:sz="18" w:space="4" w:color="auto"/>
          <w:bottom w:val="thinThickThinSmallGap" w:sz="18" w:space="1" w:color="auto"/>
          <w:right w:val="thinThickThinSmallGap" w:sz="18" w:space="4" w:color="auto"/>
        </w:pBdr>
        <w:spacing w:afterLines="60" w:after="144"/>
        <w:jc w:val="both"/>
      </w:pPr>
      <w:r w:rsidRPr="003D07CB">
        <w:t xml:space="preserve">The Legislative Instrument engages the right to freedom of movement. </w:t>
      </w:r>
      <w:r>
        <w:t xml:space="preserve">The Antarctic Specially Protected Areas (ASPA) possess outstanding scientific, historical, environmental, aesthetic or wilderness values. It is reasonable, necessary and proportionate to restrict access to those areas in order to protect these values. This restriction is not absolute. Persons may still access an ASPA with a permit. To obtain a permit, persons must meet the prescriptions of the management plan. </w:t>
      </w:r>
    </w:p>
    <w:p w:rsidR="00914ECD" w:rsidRP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b/>
          <w:szCs w:val="24"/>
          <w:lang w:eastAsia="en-US"/>
        </w:rPr>
      </w:pPr>
      <w:r w:rsidRPr="00914ECD">
        <w:rPr>
          <w:rFonts w:eastAsia="Calibri"/>
          <w:b/>
          <w:szCs w:val="24"/>
          <w:lang w:eastAsia="en-US"/>
        </w:rPr>
        <w:t xml:space="preserve">Conclusion </w:t>
      </w:r>
    </w:p>
    <w:p w:rsidR="00914ECD" w:rsidRP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szCs w:val="24"/>
          <w:lang w:eastAsia="en-US"/>
        </w:rPr>
      </w:pPr>
      <w:r w:rsidRPr="00914ECD">
        <w:rPr>
          <w:rFonts w:eastAsia="Calibri"/>
          <w:szCs w:val="24"/>
          <w:lang w:eastAsia="en-US"/>
        </w:rPr>
        <w:t xml:space="preserve">This Legislative Instrument is compatible with the human rights and freedoms recognised or declared in the international instruments listed in section 3 of the </w:t>
      </w:r>
      <w:r w:rsidRPr="00914ECD">
        <w:rPr>
          <w:rFonts w:eastAsia="Calibri"/>
          <w:i/>
          <w:szCs w:val="24"/>
          <w:lang w:eastAsia="en-US"/>
        </w:rPr>
        <w:t>Human Rights (Parliamentary Scrutiny) Act 2011</w:t>
      </w:r>
      <w:r w:rsidRPr="00914ECD">
        <w:rPr>
          <w:rFonts w:eastAsia="Calibri"/>
          <w:szCs w:val="24"/>
          <w:lang w:eastAsia="en-US"/>
        </w:rPr>
        <w:t xml:space="preserve"> for it is reasonable, necessary and proportionate. </w:t>
      </w:r>
    </w:p>
    <w:p w:rsidR="00507922"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b/>
          <w:szCs w:val="24"/>
          <w:lang w:eastAsia="en-US"/>
        </w:rPr>
      </w:pPr>
      <w:r w:rsidRPr="00914ECD">
        <w:rPr>
          <w:rFonts w:eastAsia="Calibri"/>
          <w:b/>
          <w:szCs w:val="24"/>
          <w:lang w:eastAsia="en-US"/>
        </w:rPr>
        <w:t xml:space="preserve">Dr. </w:t>
      </w:r>
      <w:r w:rsidR="004F04BA">
        <w:rPr>
          <w:rFonts w:eastAsia="Calibri"/>
          <w:b/>
          <w:szCs w:val="24"/>
          <w:lang w:eastAsia="en-US"/>
        </w:rPr>
        <w:t xml:space="preserve">Nick Gales – </w:t>
      </w:r>
      <w:r w:rsidRPr="00914ECD">
        <w:rPr>
          <w:rFonts w:eastAsia="Calibri"/>
          <w:b/>
          <w:szCs w:val="24"/>
          <w:lang w:eastAsia="en-US"/>
        </w:rPr>
        <w:t>Director</w:t>
      </w:r>
      <w:r w:rsidR="004F04BA">
        <w:rPr>
          <w:rFonts w:eastAsia="Calibri"/>
          <w:b/>
          <w:szCs w:val="24"/>
          <w:lang w:eastAsia="en-US"/>
        </w:rPr>
        <w:t xml:space="preserve"> </w:t>
      </w:r>
    </w:p>
    <w:p w:rsidR="00914ECD" w:rsidRPr="00914ECD" w:rsidRDefault="00914ECD"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rPr>
          <w:rFonts w:eastAsia="Calibri"/>
          <w:b/>
          <w:szCs w:val="24"/>
          <w:lang w:eastAsia="en-US"/>
        </w:rPr>
      </w:pPr>
      <w:r w:rsidRPr="00914ECD">
        <w:rPr>
          <w:rFonts w:eastAsia="Calibri"/>
          <w:b/>
          <w:szCs w:val="24"/>
          <w:lang w:eastAsia="en-US"/>
        </w:rPr>
        <w:t>Australian Antarctic Division</w:t>
      </w:r>
    </w:p>
    <w:p w:rsidR="00173016" w:rsidRPr="00627CEC" w:rsidRDefault="004F04BA" w:rsidP="00914ECD">
      <w:pPr>
        <w:pBdr>
          <w:top w:val="thinThickThinSmallGap" w:sz="18" w:space="1" w:color="auto"/>
          <w:left w:val="thinThickThinSmallGap" w:sz="18" w:space="4" w:color="auto"/>
          <w:bottom w:val="thinThickThinSmallGap" w:sz="18" w:space="1" w:color="auto"/>
          <w:right w:val="thinThickThinSmallGap" w:sz="18" w:space="4" w:color="auto"/>
        </w:pBdr>
        <w:spacing w:before="120" w:after="120" w:line="276" w:lineRule="auto"/>
      </w:pPr>
      <w:r>
        <w:rPr>
          <w:rFonts w:eastAsia="Calibri"/>
          <w:b/>
          <w:szCs w:val="24"/>
          <w:lang w:eastAsia="en-US"/>
        </w:rPr>
        <w:t>November 2016</w:t>
      </w:r>
    </w:p>
    <w:p w:rsidR="00AC0395" w:rsidRPr="00627CEC" w:rsidRDefault="00AC0395" w:rsidP="00AC0395">
      <w:pPr>
        <w:tabs>
          <w:tab w:val="center" w:pos="4111"/>
          <w:tab w:val="left" w:pos="4536"/>
        </w:tabs>
        <w:ind w:right="91"/>
        <w:jc w:val="right"/>
        <w:rPr>
          <w:u w:val="single"/>
        </w:rPr>
      </w:pPr>
      <w:r w:rsidRPr="00627CEC">
        <w:br w:type="page"/>
      </w:r>
      <w:r w:rsidRPr="00627CEC">
        <w:rPr>
          <w:b/>
          <w:u w:val="single"/>
        </w:rPr>
        <w:lastRenderedPageBreak/>
        <w:t>ATTACHMENT</w:t>
      </w:r>
    </w:p>
    <w:p w:rsidR="00AC0395" w:rsidRPr="00627CEC" w:rsidRDefault="00AC0395" w:rsidP="00AC0395">
      <w:pPr>
        <w:ind w:right="91"/>
        <w:jc w:val="right"/>
      </w:pPr>
    </w:p>
    <w:p w:rsidR="00AC0395" w:rsidRPr="00627CEC" w:rsidRDefault="00AC0395" w:rsidP="00AC0395">
      <w:pPr>
        <w:ind w:right="91"/>
        <w:rPr>
          <w:b/>
          <w:u w:val="single"/>
        </w:rPr>
      </w:pPr>
      <w:r w:rsidRPr="00627CEC">
        <w:rPr>
          <w:b/>
          <w:u w:val="single"/>
        </w:rPr>
        <w:t xml:space="preserve">Details of the </w:t>
      </w:r>
      <w:r w:rsidRPr="00627CEC">
        <w:rPr>
          <w:b/>
          <w:i/>
          <w:u w:val="single"/>
        </w:rPr>
        <w:t xml:space="preserve">Antarctic Treaty (Environment </w:t>
      </w:r>
      <w:r w:rsidRPr="00A335F3">
        <w:rPr>
          <w:b/>
          <w:i/>
          <w:u w:val="single"/>
        </w:rPr>
        <w:t xml:space="preserve">Protection) </w:t>
      </w:r>
      <w:r w:rsidR="005B27D1" w:rsidRPr="00A335F3">
        <w:rPr>
          <w:b/>
          <w:i/>
          <w:u w:val="single"/>
        </w:rPr>
        <w:t xml:space="preserve">Amendment </w:t>
      </w:r>
      <w:r w:rsidR="00A335F3">
        <w:rPr>
          <w:b/>
          <w:i/>
          <w:u w:val="single"/>
        </w:rPr>
        <w:t>(</w:t>
      </w:r>
      <w:r w:rsidR="00F30A82">
        <w:rPr>
          <w:b/>
          <w:i/>
          <w:u w:val="single"/>
        </w:rPr>
        <w:t xml:space="preserve">Protected </w:t>
      </w:r>
      <w:r w:rsidR="00B92739">
        <w:rPr>
          <w:b/>
          <w:i/>
          <w:u w:val="single"/>
        </w:rPr>
        <w:t xml:space="preserve">Areas </w:t>
      </w:r>
      <w:r w:rsidR="00F30A82">
        <w:rPr>
          <w:b/>
          <w:i/>
          <w:u w:val="single"/>
        </w:rPr>
        <w:t>and Managed Areas</w:t>
      </w:r>
      <w:r w:rsidR="00A335F3">
        <w:rPr>
          <w:b/>
          <w:i/>
          <w:u w:val="single"/>
        </w:rPr>
        <w:t xml:space="preserve">) </w:t>
      </w:r>
      <w:r w:rsidR="001F6F40" w:rsidRPr="00A335F3">
        <w:rPr>
          <w:b/>
          <w:i/>
          <w:u w:val="single"/>
        </w:rPr>
        <w:t>Proclamation 20</w:t>
      </w:r>
      <w:r w:rsidR="005B27D1" w:rsidRPr="00A335F3">
        <w:rPr>
          <w:b/>
          <w:i/>
          <w:u w:val="single"/>
        </w:rPr>
        <w:t>1</w:t>
      </w:r>
      <w:r w:rsidR="00F30A82">
        <w:rPr>
          <w:b/>
          <w:i/>
          <w:u w:val="single"/>
        </w:rPr>
        <w:t>6</w:t>
      </w:r>
    </w:p>
    <w:p w:rsidR="00AC0395" w:rsidRPr="00627CEC" w:rsidRDefault="00AC0395" w:rsidP="00AC0395">
      <w:pPr>
        <w:ind w:right="91"/>
      </w:pPr>
    </w:p>
    <w:p w:rsidR="00AC0395" w:rsidRPr="00627CEC" w:rsidRDefault="00AC0395" w:rsidP="00AC0395">
      <w:pPr>
        <w:pStyle w:val="Heading6"/>
        <w:spacing w:before="0"/>
      </w:pPr>
      <w:r w:rsidRPr="00627CEC">
        <w:t>Section 1 – Name</w:t>
      </w:r>
    </w:p>
    <w:p w:rsidR="00AC0395" w:rsidRPr="00627CEC" w:rsidRDefault="00AC0395" w:rsidP="00AC0395">
      <w:pPr>
        <w:ind w:right="91"/>
      </w:pPr>
    </w:p>
    <w:p w:rsidR="00AC0395" w:rsidRPr="00627CEC" w:rsidRDefault="00AC0395" w:rsidP="00AC0395">
      <w:pPr>
        <w:ind w:right="91"/>
      </w:pPr>
      <w:r w:rsidRPr="00627CEC">
        <w:t xml:space="preserve">This section provides that the </w:t>
      </w:r>
      <w:r w:rsidR="0058509C">
        <w:t xml:space="preserve">name </w:t>
      </w:r>
      <w:r w:rsidRPr="00627CEC">
        <w:t xml:space="preserve">of the </w:t>
      </w:r>
      <w:r w:rsidR="0058509C">
        <w:t>i</w:t>
      </w:r>
      <w:r w:rsidR="00A335F3">
        <w:t>nstrument</w:t>
      </w:r>
      <w:r w:rsidRPr="00627CEC">
        <w:t xml:space="preserve"> is the </w:t>
      </w:r>
      <w:r w:rsidRPr="00627CEC">
        <w:rPr>
          <w:i/>
        </w:rPr>
        <w:t xml:space="preserve">Antarctic Treaty (Environment Protection) </w:t>
      </w:r>
      <w:r w:rsidR="00627CEC">
        <w:rPr>
          <w:i/>
        </w:rPr>
        <w:t>Amendment</w:t>
      </w:r>
      <w:r w:rsidR="00A335F3">
        <w:rPr>
          <w:i/>
        </w:rPr>
        <w:t xml:space="preserve"> (</w:t>
      </w:r>
      <w:r w:rsidR="00B92739">
        <w:rPr>
          <w:i/>
        </w:rPr>
        <w:t>Protected Areas and Managed Areas</w:t>
      </w:r>
      <w:r w:rsidR="00F30A82">
        <w:rPr>
          <w:i/>
        </w:rPr>
        <w:t>) Proclamation 2016</w:t>
      </w:r>
      <w:r w:rsidRPr="00627CEC">
        <w:t>.</w:t>
      </w:r>
    </w:p>
    <w:p w:rsidR="00AC0395" w:rsidRPr="00627CEC" w:rsidRDefault="00AC0395" w:rsidP="00AC0395">
      <w:pPr>
        <w:ind w:right="91"/>
      </w:pPr>
    </w:p>
    <w:p w:rsidR="00AC0395" w:rsidRPr="00627CEC" w:rsidRDefault="00C95F76" w:rsidP="00AC0395">
      <w:pPr>
        <w:ind w:right="91"/>
        <w:rPr>
          <w:u w:val="single"/>
        </w:rPr>
      </w:pPr>
      <w:r w:rsidRPr="00627CEC">
        <w:rPr>
          <w:u w:val="single"/>
        </w:rPr>
        <w:t>Section</w:t>
      </w:r>
      <w:r w:rsidR="00AC0395" w:rsidRPr="00627CEC">
        <w:rPr>
          <w:u w:val="single"/>
        </w:rPr>
        <w:t xml:space="preserve"> 2 – Commencement</w:t>
      </w:r>
    </w:p>
    <w:p w:rsidR="00AC0395" w:rsidRPr="00627CEC" w:rsidRDefault="00AC0395" w:rsidP="00AC0395">
      <w:pPr>
        <w:ind w:right="91"/>
      </w:pPr>
    </w:p>
    <w:p w:rsidR="00AC0395" w:rsidRDefault="00A335F3" w:rsidP="00AC0395">
      <w:pPr>
        <w:pStyle w:val="A2"/>
        <w:ind w:left="0" w:firstLine="0"/>
      </w:pPr>
      <w:r>
        <w:t xml:space="preserve">This section provides for the </w:t>
      </w:r>
      <w:r w:rsidR="0058509C">
        <w:t>i</w:t>
      </w:r>
      <w:r>
        <w:t>nstrument</w:t>
      </w:r>
      <w:r w:rsidR="00AC0395" w:rsidRPr="00627CEC">
        <w:t xml:space="preserve"> to commence on </w:t>
      </w:r>
      <w:r w:rsidR="00B00BC0" w:rsidRPr="00627CEC">
        <w:t xml:space="preserve">the </w:t>
      </w:r>
      <w:r w:rsidR="008807CB" w:rsidRPr="00627CEC">
        <w:t xml:space="preserve">day </w:t>
      </w:r>
      <w:r w:rsidR="00B00BC0" w:rsidRPr="00627CEC">
        <w:t>after</w:t>
      </w:r>
      <w:r w:rsidR="0058509C">
        <w:t xml:space="preserve"> it </w:t>
      </w:r>
      <w:proofErr w:type="gramStart"/>
      <w:r w:rsidR="0058509C">
        <w:t>is registered</w:t>
      </w:r>
      <w:proofErr w:type="gramEnd"/>
      <w:r w:rsidR="00F15B50" w:rsidRPr="00627CEC">
        <w:t xml:space="preserve"> on the Federal Register of </w:t>
      </w:r>
      <w:r w:rsidR="00F30A82">
        <w:t>Legislation</w:t>
      </w:r>
      <w:r w:rsidR="00B00BC0" w:rsidRPr="00627CEC">
        <w:t xml:space="preserve">. </w:t>
      </w:r>
    </w:p>
    <w:p w:rsidR="00A335F3" w:rsidRDefault="00A335F3" w:rsidP="00A335F3">
      <w:pPr>
        <w:rPr>
          <w:lang w:eastAsia="en-US"/>
        </w:rPr>
      </w:pPr>
    </w:p>
    <w:p w:rsidR="00A335F3" w:rsidRDefault="00A335F3" w:rsidP="00A335F3">
      <w:pPr>
        <w:rPr>
          <w:lang w:eastAsia="en-US"/>
        </w:rPr>
      </w:pPr>
      <w:r>
        <w:rPr>
          <w:u w:val="single"/>
          <w:lang w:eastAsia="en-US"/>
        </w:rPr>
        <w:t>Section 3 – Authority</w:t>
      </w:r>
    </w:p>
    <w:p w:rsidR="00A335F3" w:rsidRDefault="00A335F3" w:rsidP="00A335F3">
      <w:pPr>
        <w:rPr>
          <w:lang w:eastAsia="en-US"/>
        </w:rPr>
      </w:pPr>
    </w:p>
    <w:p w:rsidR="00A335F3" w:rsidRPr="00A335F3" w:rsidRDefault="00A335F3" w:rsidP="00A335F3">
      <w:pPr>
        <w:rPr>
          <w:u w:val="single"/>
          <w:lang w:eastAsia="en-US"/>
        </w:rPr>
      </w:pPr>
      <w:r>
        <w:rPr>
          <w:lang w:eastAsia="en-US"/>
        </w:rPr>
        <w:t xml:space="preserve">This section provides that the instrument </w:t>
      </w:r>
      <w:proofErr w:type="gramStart"/>
      <w:r>
        <w:rPr>
          <w:lang w:eastAsia="en-US"/>
        </w:rPr>
        <w:t>is</w:t>
      </w:r>
      <w:proofErr w:type="gramEnd"/>
      <w:r>
        <w:rPr>
          <w:lang w:eastAsia="en-US"/>
        </w:rPr>
        <w:t xml:space="preserve"> made under </w:t>
      </w:r>
      <w:r w:rsidR="00F30A82">
        <w:rPr>
          <w:lang w:eastAsia="en-US"/>
        </w:rPr>
        <w:t>sub</w:t>
      </w:r>
      <w:r>
        <w:rPr>
          <w:lang w:eastAsia="en-US"/>
        </w:rPr>
        <w:t>section 8</w:t>
      </w:r>
      <w:r w:rsidR="00F30A82">
        <w:rPr>
          <w:lang w:eastAsia="en-US"/>
        </w:rPr>
        <w:t>(6)</w:t>
      </w:r>
      <w:r>
        <w:rPr>
          <w:lang w:eastAsia="en-US"/>
        </w:rPr>
        <w:t xml:space="preserve"> of the </w:t>
      </w:r>
      <w:r>
        <w:rPr>
          <w:i/>
          <w:lang w:eastAsia="en-US"/>
        </w:rPr>
        <w:t>Antarctic Treaty (Environment Protection) Act 1980</w:t>
      </w:r>
      <w:r w:rsidR="00D90763">
        <w:rPr>
          <w:lang w:eastAsia="en-US"/>
        </w:rPr>
        <w:t xml:space="preserve"> (the </w:t>
      </w:r>
      <w:r w:rsidR="005A1688" w:rsidRPr="005A1688">
        <w:rPr>
          <w:b/>
          <w:lang w:eastAsia="en-US"/>
        </w:rPr>
        <w:t>Act</w:t>
      </w:r>
      <w:r w:rsidR="00D90763">
        <w:rPr>
          <w:lang w:eastAsia="en-US"/>
        </w:rPr>
        <w:t>)</w:t>
      </w:r>
      <w:r>
        <w:rPr>
          <w:lang w:eastAsia="en-US"/>
        </w:rPr>
        <w:t xml:space="preserve">. </w:t>
      </w:r>
      <w:r>
        <w:rPr>
          <w:u w:val="single"/>
          <w:lang w:eastAsia="en-US"/>
        </w:rPr>
        <w:t xml:space="preserve"> </w:t>
      </w:r>
    </w:p>
    <w:p w:rsidR="00AC0395" w:rsidRPr="00627CEC" w:rsidRDefault="00AC0395" w:rsidP="00AC0395">
      <w:pPr>
        <w:ind w:right="91"/>
      </w:pPr>
    </w:p>
    <w:p w:rsidR="00AC0395" w:rsidRPr="002C3B75" w:rsidRDefault="00C95F76" w:rsidP="00AC0395">
      <w:pPr>
        <w:ind w:right="91"/>
        <w:rPr>
          <w:i/>
          <w:u w:val="single"/>
        </w:rPr>
      </w:pPr>
      <w:r w:rsidRPr="00627CEC">
        <w:rPr>
          <w:u w:val="single"/>
        </w:rPr>
        <w:t>Section</w:t>
      </w:r>
      <w:r w:rsidR="00AC0395" w:rsidRPr="00627CEC">
        <w:rPr>
          <w:u w:val="single"/>
        </w:rPr>
        <w:t xml:space="preserve"> </w:t>
      </w:r>
      <w:r w:rsidR="00A335F3">
        <w:rPr>
          <w:u w:val="single"/>
        </w:rPr>
        <w:t>4</w:t>
      </w:r>
      <w:r w:rsidR="00AC0395" w:rsidRPr="00627CEC">
        <w:rPr>
          <w:u w:val="single"/>
        </w:rPr>
        <w:t xml:space="preserve"> – </w:t>
      </w:r>
      <w:r w:rsidR="00A335F3">
        <w:rPr>
          <w:u w:val="single"/>
        </w:rPr>
        <w:t>Schedules</w:t>
      </w:r>
    </w:p>
    <w:p w:rsidR="00AC0395" w:rsidRPr="00627CEC" w:rsidRDefault="00AC0395" w:rsidP="00AC0395">
      <w:pPr>
        <w:ind w:right="91"/>
        <w:rPr>
          <w:iCs/>
        </w:rPr>
      </w:pPr>
    </w:p>
    <w:p w:rsidR="004D2266" w:rsidRPr="00627CEC" w:rsidRDefault="00B00BC0" w:rsidP="004D2266">
      <w:pPr>
        <w:ind w:right="91"/>
        <w:rPr>
          <w:i/>
          <w:iCs/>
        </w:rPr>
      </w:pPr>
      <w:r w:rsidRPr="00627CEC">
        <w:t xml:space="preserve">This section </w:t>
      </w:r>
      <w:r w:rsidR="00627CEC">
        <w:t xml:space="preserve">provides that </w:t>
      </w:r>
      <w:r w:rsidR="00A335F3">
        <w:t>each instrum</w:t>
      </w:r>
      <w:r w:rsidR="00657CFA">
        <w:t xml:space="preserve">ent specified in the </w:t>
      </w:r>
      <w:r w:rsidR="0058509C">
        <w:t>S</w:t>
      </w:r>
      <w:r w:rsidR="00657CFA">
        <w:t xml:space="preserve">chedules </w:t>
      </w:r>
      <w:proofErr w:type="gramStart"/>
      <w:r w:rsidR="00657CFA">
        <w:t>is</w:t>
      </w:r>
      <w:r w:rsidR="00A335F3">
        <w:t xml:space="preserve"> amended or repealed in accordance with the terms of the </w:t>
      </w:r>
      <w:r w:rsidR="0058509C">
        <w:t>S</w:t>
      </w:r>
      <w:r w:rsidR="00A335F3">
        <w:t>chedule</w:t>
      </w:r>
      <w:proofErr w:type="gramEnd"/>
      <w:r w:rsidR="00A335F3">
        <w:t xml:space="preserve">. </w:t>
      </w:r>
    </w:p>
    <w:p w:rsidR="00134886" w:rsidRPr="00627CEC" w:rsidRDefault="00134886" w:rsidP="00AC0395">
      <w:pPr>
        <w:tabs>
          <w:tab w:val="left" w:pos="1276"/>
        </w:tabs>
        <w:ind w:right="-180"/>
      </w:pPr>
    </w:p>
    <w:p w:rsidR="00134886" w:rsidRPr="007E021F" w:rsidRDefault="00134886" w:rsidP="00AC0395">
      <w:pPr>
        <w:tabs>
          <w:tab w:val="left" w:pos="1276"/>
        </w:tabs>
        <w:ind w:right="-180"/>
        <w:rPr>
          <w:u w:val="single"/>
        </w:rPr>
      </w:pPr>
      <w:r w:rsidRPr="00C872CA">
        <w:rPr>
          <w:u w:val="single"/>
        </w:rPr>
        <w:t>Schedule 1</w:t>
      </w:r>
      <w:r w:rsidR="00657CFA" w:rsidRPr="00C872CA">
        <w:rPr>
          <w:u w:val="single"/>
        </w:rPr>
        <w:t xml:space="preserve"> - Amendments</w:t>
      </w:r>
    </w:p>
    <w:p w:rsidR="00134886" w:rsidRDefault="00134886" w:rsidP="00AC0395">
      <w:pPr>
        <w:tabs>
          <w:tab w:val="left" w:pos="1276"/>
        </w:tabs>
        <w:ind w:right="-180"/>
        <w:rPr>
          <w:highlight w:val="yellow"/>
        </w:rPr>
      </w:pPr>
    </w:p>
    <w:p w:rsidR="00755B60" w:rsidRPr="00755B60" w:rsidRDefault="00755B60" w:rsidP="00AC0395">
      <w:pPr>
        <w:tabs>
          <w:tab w:val="left" w:pos="1276"/>
        </w:tabs>
        <w:ind w:right="-180"/>
      </w:pPr>
      <w:r w:rsidRPr="00755B60">
        <w:t>Amendments</w:t>
      </w:r>
      <w:r>
        <w:t xml:space="preserve"> in this Schedule refer to the </w:t>
      </w:r>
      <w:r>
        <w:rPr>
          <w:i/>
        </w:rPr>
        <w:t xml:space="preserve">Antarctic Treaty (Environment Protection) Proclamation 2007 </w:t>
      </w:r>
      <w:r>
        <w:t xml:space="preserve">(the </w:t>
      </w:r>
      <w:r>
        <w:rPr>
          <w:b/>
        </w:rPr>
        <w:t>Principal Proclamation</w:t>
      </w:r>
      <w:r>
        <w:t xml:space="preserve">). </w:t>
      </w:r>
    </w:p>
    <w:p w:rsidR="00657CFA" w:rsidRDefault="00657CFA" w:rsidP="00AC0395">
      <w:pPr>
        <w:tabs>
          <w:tab w:val="left" w:pos="1276"/>
        </w:tabs>
        <w:ind w:right="-180"/>
      </w:pPr>
    </w:p>
    <w:p w:rsidR="007E021F" w:rsidRPr="0058509C" w:rsidRDefault="00657CFA" w:rsidP="00AC0395">
      <w:pPr>
        <w:tabs>
          <w:tab w:val="left" w:pos="1276"/>
        </w:tabs>
        <w:ind w:right="-180"/>
      </w:pPr>
      <w:r>
        <w:t xml:space="preserve">Items </w:t>
      </w:r>
      <w:r w:rsidR="00226A3E">
        <w:t>1,</w:t>
      </w:r>
      <w:r>
        <w:t xml:space="preserve"> </w:t>
      </w:r>
      <w:r w:rsidR="00B92739">
        <w:t>5</w:t>
      </w:r>
      <w:r w:rsidR="00226A3E">
        <w:t xml:space="preserve">, </w:t>
      </w:r>
      <w:r w:rsidR="00B92739">
        <w:t>6 and 7</w:t>
      </w:r>
      <w:r w:rsidR="00226A3E">
        <w:t xml:space="preserve"> </w:t>
      </w:r>
      <w:r w:rsidR="0058509C">
        <w:t xml:space="preserve">replace the existing boundaries of </w:t>
      </w:r>
      <w:r w:rsidR="00226A3E">
        <w:t>four</w:t>
      </w:r>
      <w:r w:rsidR="001A4222">
        <w:t xml:space="preserve"> </w:t>
      </w:r>
      <w:r w:rsidR="00696FBF">
        <w:t xml:space="preserve">Antarctic Specially Protected Areas </w:t>
      </w:r>
      <w:r w:rsidR="0058509C">
        <w:t xml:space="preserve">with new boundaries in accordance with management plans adopted by the </w:t>
      </w:r>
      <w:r w:rsidR="00226A3E">
        <w:t>38</w:t>
      </w:r>
      <w:r w:rsidR="00226A3E" w:rsidRPr="00B92739">
        <w:rPr>
          <w:vertAlign w:val="superscript"/>
        </w:rPr>
        <w:t>th</w:t>
      </w:r>
      <w:r w:rsidR="001A4222">
        <w:t xml:space="preserve"> </w:t>
      </w:r>
      <w:r w:rsidR="0058509C">
        <w:t>Antarctic Treaty Consultative Meeting (</w:t>
      </w:r>
      <w:r w:rsidR="0058509C">
        <w:rPr>
          <w:b/>
        </w:rPr>
        <w:t>ATCM</w:t>
      </w:r>
      <w:r w:rsidR="0058509C">
        <w:t>)</w:t>
      </w:r>
      <w:r w:rsidR="0072710B">
        <w:t xml:space="preserve"> in 2015</w:t>
      </w:r>
      <w:r w:rsidR="001A4222">
        <w:t>.</w:t>
      </w:r>
    </w:p>
    <w:p w:rsidR="00C872CA" w:rsidRDefault="00C872CA" w:rsidP="00C872CA"/>
    <w:p w:rsidR="00C872CA" w:rsidRDefault="00B92739" w:rsidP="00C872CA">
      <w:r>
        <w:t>Items 2, 4 and 8</w:t>
      </w:r>
      <w:r w:rsidR="00C872CA">
        <w:t xml:space="preserve"> make </w:t>
      </w:r>
      <w:r>
        <w:t xml:space="preserve">a minor technical amendment </w:t>
      </w:r>
      <w:r w:rsidR="00C872CA">
        <w:t xml:space="preserve">to ensure consistency in </w:t>
      </w:r>
      <w:r>
        <w:t xml:space="preserve">the </w:t>
      </w:r>
      <w:r w:rsidR="00C872CA">
        <w:t>naming</w:t>
      </w:r>
      <w:r>
        <w:t xml:space="preserve"> of “</w:t>
      </w:r>
      <w:proofErr w:type="spellStart"/>
      <w:r>
        <w:t>Mac.Roberston</w:t>
      </w:r>
      <w:proofErr w:type="spellEnd"/>
      <w:r>
        <w:t xml:space="preserve"> Land</w:t>
      </w:r>
      <w:r w:rsidR="000F64EE">
        <w:t>.</w:t>
      </w:r>
      <w:r>
        <w:t>”</w:t>
      </w:r>
      <w:r w:rsidR="00C872CA">
        <w:t xml:space="preserve"> </w:t>
      </w:r>
    </w:p>
    <w:p w:rsidR="00B92739" w:rsidRDefault="00B92739" w:rsidP="00C872CA"/>
    <w:p w:rsidR="00B92739" w:rsidRDefault="00B92739" w:rsidP="00C872CA">
      <w:r>
        <w:t>Item 3 corrects a spelling mistake.</w:t>
      </w:r>
    </w:p>
    <w:p w:rsidR="006313F9" w:rsidRDefault="006313F9" w:rsidP="00AC0395">
      <w:pPr>
        <w:tabs>
          <w:tab w:val="left" w:pos="1276"/>
        </w:tabs>
        <w:ind w:right="-180"/>
      </w:pPr>
    </w:p>
    <w:p w:rsidR="00657CFA" w:rsidRDefault="00226A3E" w:rsidP="00C05E1F">
      <w:r>
        <w:t xml:space="preserve">Item </w:t>
      </w:r>
      <w:r w:rsidR="00B92739">
        <w:t>9</w:t>
      </w:r>
      <w:r>
        <w:t xml:space="preserve"> replaces the existing boundaries of one </w:t>
      </w:r>
      <w:r w:rsidR="00696FBF">
        <w:t xml:space="preserve">Antarctic Specially Managed Area </w:t>
      </w:r>
      <w:r>
        <w:t>with new boundaries in accordance with the management plan adopted by the 38</w:t>
      </w:r>
      <w:r w:rsidRPr="00226A3E">
        <w:rPr>
          <w:vertAlign w:val="superscript"/>
        </w:rPr>
        <w:t>th</w:t>
      </w:r>
      <w:r>
        <w:t xml:space="preserve"> </w:t>
      </w:r>
      <w:r w:rsidR="00B92739">
        <w:t>ATCM</w:t>
      </w:r>
      <w:r w:rsidR="0072710B">
        <w:t xml:space="preserve"> in 2015</w:t>
      </w:r>
      <w:r>
        <w:t xml:space="preserve">. </w:t>
      </w:r>
    </w:p>
    <w:p w:rsidR="00657CFA" w:rsidRDefault="00657CFA" w:rsidP="00C05E1F"/>
    <w:p w:rsidR="00657CFA" w:rsidRDefault="00657CFA" w:rsidP="00C05E1F"/>
    <w:p w:rsidR="00DE5172" w:rsidRPr="00755B60" w:rsidRDefault="00DE5172" w:rsidP="00C05E1F">
      <w:r>
        <w:t xml:space="preserve"> </w:t>
      </w:r>
    </w:p>
    <w:sectPr w:rsidR="00DE5172" w:rsidRPr="00755B60" w:rsidSect="009136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94" w:rsidRDefault="00725F94">
      <w:r>
        <w:separator/>
      </w:r>
    </w:p>
  </w:endnote>
  <w:endnote w:type="continuationSeparator" w:id="0">
    <w:p w:rsidR="00725F94" w:rsidRDefault="0072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94" w:rsidRDefault="00725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94" w:rsidRDefault="00725F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94" w:rsidRDefault="00725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94" w:rsidRDefault="00725F94">
      <w:r>
        <w:separator/>
      </w:r>
    </w:p>
  </w:footnote>
  <w:footnote w:type="continuationSeparator" w:id="0">
    <w:p w:rsidR="00725F94" w:rsidRDefault="00725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94" w:rsidRDefault="00751E0D">
    <w:pPr>
      <w:pStyle w:val="Header"/>
      <w:framePr w:wrap="around" w:vAnchor="text" w:hAnchor="margin" w:xAlign="center" w:y="1"/>
      <w:rPr>
        <w:rStyle w:val="PageNumber"/>
      </w:rPr>
    </w:pPr>
    <w:r>
      <w:rPr>
        <w:rStyle w:val="PageNumber"/>
      </w:rPr>
      <w:fldChar w:fldCharType="begin"/>
    </w:r>
    <w:r w:rsidR="00725F94">
      <w:rPr>
        <w:rStyle w:val="PageNumber"/>
      </w:rPr>
      <w:instrText xml:space="preserve">PAGE  </w:instrText>
    </w:r>
    <w:r>
      <w:rPr>
        <w:rStyle w:val="PageNumber"/>
      </w:rPr>
      <w:fldChar w:fldCharType="end"/>
    </w:r>
  </w:p>
  <w:p w:rsidR="00725F94" w:rsidRDefault="00725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94" w:rsidRDefault="00751E0D">
    <w:pPr>
      <w:pStyle w:val="Header"/>
      <w:framePr w:wrap="around" w:vAnchor="text" w:hAnchor="margin" w:xAlign="center" w:y="1"/>
      <w:rPr>
        <w:rStyle w:val="PageNumber"/>
      </w:rPr>
    </w:pPr>
    <w:r>
      <w:rPr>
        <w:rStyle w:val="PageNumber"/>
      </w:rPr>
      <w:fldChar w:fldCharType="begin"/>
    </w:r>
    <w:r w:rsidR="00725F94">
      <w:rPr>
        <w:rStyle w:val="PageNumber"/>
      </w:rPr>
      <w:instrText xml:space="preserve">PAGE  </w:instrText>
    </w:r>
    <w:r>
      <w:rPr>
        <w:rStyle w:val="PageNumber"/>
      </w:rPr>
      <w:fldChar w:fldCharType="separate"/>
    </w:r>
    <w:r w:rsidR="00CF6FDE">
      <w:rPr>
        <w:rStyle w:val="PageNumber"/>
        <w:noProof/>
      </w:rPr>
      <w:t>- 4 -</w:t>
    </w:r>
    <w:r>
      <w:rPr>
        <w:rStyle w:val="PageNumber"/>
      </w:rPr>
      <w:fldChar w:fldCharType="end"/>
    </w:r>
  </w:p>
  <w:p w:rsidR="00725F94" w:rsidRDefault="00725F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94" w:rsidRDefault="00725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5A5E"/>
    <w:multiLevelType w:val="hybridMultilevel"/>
    <w:tmpl w:val="11BE0E88"/>
    <w:lvl w:ilvl="0" w:tplc="0C090001">
      <w:start w:val="1"/>
      <w:numFmt w:val="bullet"/>
      <w:lvlText w:val=""/>
      <w:lvlJc w:val="left"/>
      <w:pPr>
        <w:ind w:left="5322" w:hanging="360"/>
      </w:pPr>
      <w:rPr>
        <w:rFonts w:ascii="Symbol" w:hAnsi="Symbol" w:hint="default"/>
      </w:rPr>
    </w:lvl>
    <w:lvl w:ilvl="1" w:tplc="0C090003" w:tentative="1">
      <w:start w:val="1"/>
      <w:numFmt w:val="bullet"/>
      <w:lvlText w:val="o"/>
      <w:lvlJc w:val="left"/>
      <w:pPr>
        <w:ind w:left="6042" w:hanging="360"/>
      </w:pPr>
      <w:rPr>
        <w:rFonts w:ascii="Courier New" w:hAnsi="Courier New" w:cs="Courier New" w:hint="default"/>
      </w:rPr>
    </w:lvl>
    <w:lvl w:ilvl="2" w:tplc="0C090005" w:tentative="1">
      <w:start w:val="1"/>
      <w:numFmt w:val="bullet"/>
      <w:lvlText w:val=""/>
      <w:lvlJc w:val="left"/>
      <w:pPr>
        <w:ind w:left="6762" w:hanging="360"/>
      </w:pPr>
      <w:rPr>
        <w:rFonts w:ascii="Wingdings" w:hAnsi="Wingdings" w:hint="default"/>
      </w:rPr>
    </w:lvl>
    <w:lvl w:ilvl="3" w:tplc="0C090001" w:tentative="1">
      <w:start w:val="1"/>
      <w:numFmt w:val="bullet"/>
      <w:lvlText w:val=""/>
      <w:lvlJc w:val="left"/>
      <w:pPr>
        <w:ind w:left="7482" w:hanging="360"/>
      </w:pPr>
      <w:rPr>
        <w:rFonts w:ascii="Symbol" w:hAnsi="Symbol" w:hint="default"/>
      </w:rPr>
    </w:lvl>
    <w:lvl w:ilvl="4" w:tplc="0C090003" w:tentative="1">
      <w:start w:val="1"/>
      <w:numFmt w:val="bullet"/>
      <w:lvlText w:val="o"/>
      <w:lvlJc w:val="left"/>
      <w:pPr>
        <w:ind w:left="8202" w:hanging="360"/>
      </w:pPr>
      <w:rPr>
        <w:rFonts w:ascii="Courier New" w:hAnsi="Courier New" w:cs="Courier New" w:hint="default"/>
      </w:rPr>
    </w:lvl>
    <w:lvl w:ilvl="5" w:tplc="0C090005" w:tentative="1">
      <w:start w:val="1"/>
      <w:numFmt w:val="bullet"/>
      <w:lvlText w:val=""/>
      <w:lvlJc w:val="left"/>
      <w:pPr>
        <w:ind w:left="8922" w:hanging="360"/>
      </w:pPr>
      <w:rPr>
        <w:rFonts w:ascii="Wingdings" w:hAnsi="Wingdings" w:hint="default"/>
      </w:rPr>
    </w:lvl>
    <w:lvl w:ilvl="6" w:tplc="0C090001" w:tentative="1">
      <w:start w:val="1"/>
      <w:numFmt w:val="bullet"/>
      <w:lvlText w:val=""/>
      <w:lvlJc w:val="left"/>
      <w:pPr>
        <w:ind w:left="9642" w:hanging="360"/>
      </w:pPr>
      <w:rPr>
        <w:rFonts w:ascii="Symbol" w:hAnsi="Symbol" w:hint="default"/>
      </w:rPr>
    </w:lvl>
    <w:lvl w:ilvl="7" w:tplc="0C090003" w:tentative="1">
      <w:start w:val="1"/>
      <w:numFmt w:val="bullet"/>
      <w:lvlText w:val="o"/>
      <w:lvlJc w:val="left"/>
      <w:pPr>
        <w:ind w:left="10362" w:hanging="360"/>
      </w:pPr>
      <w:rPr>
        <w:rFonts w:ascii="Courier New" w:hAnsi="Courier New" w:cs="Courier New" w:hint="default"/>
      </w:rPr>
    </w:lvl>
    <w:lvl w:ilvl="8" w:tplc="0C090005" w:tentative="1">
      <w:start w:val="1"/>
      <w:numFmt w:val="bullet"/>
      <w:lvlText w:val=""/>
      <w:lvlJc w:val="left"/>
      <w:pPr>
        <w:ind w:left="11082" w:hanging="360"/>
      </w:pPr>
      <w:rPr>
        <w:rFonts w:ascii="Wingdings" w:hAnsi="Wingdings" w:hint="default"/>
      </w:rPr>
    </w:lvl>
  </w:abstractNum>
  <w:abstractNum w:abstractNumId="1" w15:restartNumberingAfterBreak="0">
    <w:nsid w:val="301B36C0"/>
    <w:multiLevelType w:val="hybridMultilevel"/>
    <w:tmpl w:val="A8F2FEF2"/>
    <w:lvl w:ilvl="0" w:tplc="F89E7C00">
      <w:start w:val="1"/>
      <w:numFmt w:val="bulle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98031C"/>
    <w:multiLevelType w:val="multilevel"/>
    <w:tmpl w:val="6A8297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AF79E5"/>
    <w:multiLevelType w:val="hybridMultilevel"/>
    <w:tmpl w:val="2EE4259E"/>
    <w:lvl w:ilvl="0" w:tplc="F27CFE7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A131B"/>
    <w:multiLevelType w:val="hybridMultilevel"/>
    <w:tmpl w:val="6A829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B7850"/>
    <w:multiLevelType w:val="hybridMultilevel"/>
    <w:tmpl w:val="D0B8B42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6" w15:restartNumberingAfterBreak="0">
    <w:nsid w:val="7C0F23FB"/>
    <w:multiLevelType w:val="hybridMultilevel"/>
    <w:tmpl w:val="51048392"/>
    <w:lvl w:ilvl="0" w:tplc="4A1C830E">
      <w:start w:val="1"/>
      <w:numFmt w:val="bulle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3"/>
  </w:num>
  <w:num w:numId="3">
    <w:abstractNumId w:val="4"/>
  </w:num>
  <w:num w:numId="4">
    <w:abstractNumId w:val="2"/>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55"/>
    <w:rsid w:val="0000393F"/>
    <w:rsid w:val="000051A0"/>
    <w:rsid w:val="000068CE"/>
    <w:rsid w:val="00011170"/>
    <w:rsid w:val="00027301"/>
    <w:rsid w:val="00032C38"/>
    <w:rsid w:val="00043B65"/>
    <w:rsid w:val="00047BC6"/>
    <w:rsid w:val="000621A6"/>
    <w:rsid w:val="00071477"/>
    <w:rsid w:val="0009749F"/>
    <w:rsid w:val="000A58BD"/>
    <w:rsid w:val="000B7482"/>
    <w:rsid w:val="000C080A"/>
    <w:rsid w:val="000E39C6"/>
    <w:rsid w:val="000E5524"/>
    <w:rsid w:val="000F38A1"/>
    <w:rsid w:val="000F64EE"/>
    <w:rsid w:val="00134886"/>
    <w:rsid w:val="00137B3F"/>
    <w:rsid w:val="00151235"/>
    <w:rsid w:val="001648DE"/>
    <w:rsid w:val="00173016"/>
    <w:rsid w:val="001A4222"/>
    <w:rsid w:val="001C7017"/>
    <w:rsid w:val="001D28A5"/>
    <w:rsid w:val="001D6504"/>
    <w:rsid w:val="001F6F40"/>
    <w:rsid w:val="00204935"/>
    <w:rsid w:val="00207BF3"/>
    <w:rsid w:val="0021757A"/>
    <w:rsid w:val="0022084A"/>
    <w:rsid w:val="00226A3E"/>
    <w:rsid w:val="002275F4"/>
    <w:rsid w:val="00236AF9"/>
    <w:rsid w:val="00247BC3"/>
    <w:rsid w:val="002806B5"/>
    <w:rsid w:val="00281BC2"/>
    <w:rsid w:val="00282A4B"/>
    <w:rsid w:val="002A6BB3"/>
    <w:rsid w:val="002B0A92"/>
    <w:rsid w:val="002B0C41"/>
    <w:rsid w:val="002C3B75"/>
    <w:rsid w:val="002E6F83"/>
    <w:rsid w:val="002F5653"/>
    <w:rsid w:val="00301B0B"/>
    <w:rsid w:val="00303707"/>
    <w:rsid w:val="00307468"/>
    <w:rsid w:val="00312C23"/>
    <w:rsid w:val="00317E4F"/>
    <w:rsid w:val="00322B12"/>
    <w:rsid w:val="00367746"/>
    <w:rsid w:val="00372CCA"/>
    <w:rsid w:val="00397223"/>
    <w:rsid w:val="00397DC0"/>
    <w:rsid w:val="003B2FCF"/>
    <w:rsid w:val="003B7389"/>
    <w:rsid w:val="003C2932"/>
    <w:rsid w:val="003D23DD"/>
    <w:rsid w:val="003D420B"/>
    <w:rsid w:val="003E1544"/>
    <w:rsid w:val="003F1371"/>
    <w:rsid w:val="003F6555"/>
    <w:rsid w:val="00432E8C"/>
    <w:rsid w:val="0043635E"/>
    <w:rsid w:val="00450C15"/>
    <w:rsid w:val="00462A9F"/>
    <w:rsid w:val="00466E63"/>
    <w:rsid w:val="00477A07"/>
    <w:rsid w:val="00495357"/>
    <w:rsid w:val="004A75CD"/>
    <w:rsid w:val="004B0FB7"/>
    <w:rsid w:val="004D2266"/>
    <w:rsid w:val="004D72E6"/>
    <w:rsid w:val="004F04BA"/>
    <w:rsid w:val="004F1887"/>
    <w:rsid w:val="00501E73"/>
    <w:rsid w:val="00507922"/>
    <w:rsid w:val="00523041"/>
    <w:rsid w:val="00524D14"/>
    <w:rsid w:val="0052627D"/>
    <w:rsid w:val="00537B74"/>
    <w:rsid w:val="005657BE"/>
    <w:rsid w:val="00572E49"/>
    <w:rsid w:val="0058509C"/>
    <w:rsid w:val="00590D01"/>
    <w:rsid w:val="00595FAA"/>
    <w:rsid w:val="00596C1F"/>
    <w:rsid w:val="005A1688"/>
    <w:rsid w:val="005A4722"/>
    <w:rsid w:val="005B27D1"/>
    <w:rsid w:val="005C158D"/>
    <w:rsid w:val="005C7876"/>
    <w:rsid w:val="005D645E"/>
    <w:rsid w:val="005E253D"/>
    <w:rsid w:val="005E39E0"/>
    <w:rsid w:val="005F14C2"/>
    <w:rsid w:val="005F2682"/>
    <w:rsid w:val="005F5723"/>
    <w:rsid w:val="00601EBD"/>
    <w:rsid w:val="00613023"/>
    <w:rsid w:val="00620269"/>
    <w:rsid w:val="00627CEC"/>
    <w:rsid w:val="00630CC3"/>
    <w:rsid w:val="006313F9"/>
    <w:rsid w:val="00637F70"/>
    <w:rsid w:val="00657CFA"/>
    <w:rsid w:val="006740FD"/>
    <w:rsid w:val="0068053D"/>
    <w:rsid w:val="00694CCE"/>
    <w:rsid w:val="00695DC1"/>
    <w:rsid w:val="00696CAF"/>
    <w:rsid w:val="00696FBF"/>
    <w:rsid w:val="006A5C00"/>
    <w:rsid w:val="006B4089"/>
    <w:rsid w:val="006C4B2C"/>
    <w:rsid w:val="006E49B6"/>
    <w:rsid w:val="006F66D9"/>
    <w:rsid w:val="007018DC"/>
    <w:rsid w:val="00703641"/>
    <w:rsid w:val="00707650"/>
    <w:rsid w:val="007126A1"/>
    <w:rsid w:val="00713986"/>
    <w:rsid w:val="00715CB8"/>
    <w:rsid w:val="00717D53"/>
    <w:rsid w:val="00717ECE"/>
    <w:rsid w:val="00723BF4"/>
    <w:rsid w:val="00725F94"/>
    <w:rsid w:val="0072710B"/>
    <w:rsid w:val="00736B51"/>
    <w:rsid w:val="00751E0D"/>
    <w:rsid w:val="00755B60"/>
    <w:rsid w:val="00765337"/>
    <w:rsid w:val="007A0184"/>
    <w:rsid w:val="007A2FC8"/>
    <w:rsid w:val="007A7C15"/>
    <w:rsid w:val="007E021F"/>
    <w:rsid w:val="007F718C"/>
    <w:rsid w:val="00841961"/>
    <w:rsid w:val="00846ECF"/>
    <w:rsid w:val="00860BE4"/>
    <w:rsid w:val="00874DA5"/>
    <w:rsid w:val="00876264"/>
    <w:rsid w:val="008807CB"/>
    <w:rsid w:val="00880C84"/>
    <w:rsid w:val="0089053D"/>
    <w:rsid w:val="008A0CA6"/>
    <w:rsid w:val="008F584E"/>
    <w:rsid w:val="00902077"/>
    <w:rsid w:val="0091362E"/>
    <w:rsid w:val="00914ECD"/>
    <w:rsid w:val="009250C3"/>
    <w:rsid w:val="00926FA5"/>
    <w:rsid w:val="00930511"/>
    <w:rsid w:val="00940B37"/>
    <w:rsid w:val="0094136A"/>
    <w:rsid w:val="00946A59"/>
    <w:rsid w:val="00950BF1"/>
    <w:rsid w:val="00952AB3"/>
    <w:rsid w:val="00956686"/>
    <w:rsid w:val="0096105A"/>
    <w:rsid w:val="009870A2"/>
    <w:rsid w:val="009C2298"/>
    <w:rsid w:val="009D118F"/>
    <w:rsid w:val="009E7A30"/>
    <w:rsid w:val="009F432D"/>
    <w:rsid w:val="009F4436"/>
    <w:rsid w:val="00A04C02"/>
    <w:rsid w:val="00A059C3"/>
    <w:rsid w:val="00A05D29"/>
    <w:rsid w:val="00A22DAB"/>
    <w:rsid w:val="00A335F3"/>
    <w:rsid w:val="00A738BB"/>
    <w:rsid w:val="00A7426B"/>
    <w:rsid w:val="00AB15BA"/>
    <w:rsid w:val="00AB219B"/>
    <w:rsid w:val="00AC0395"/>
    <w:rsid w:val="00AC21D5"/>
    <w:rsid w:val="00AD25E2"/>
    <w:rsid w:val="00AE3575"/>
    <w:rsid w:val="00AE6C16"/>
    <w:rsid w:val="00AF684C"/>
    <w:rsid w:val="00B00BC0"/>
    <w:rsid w:val="00B01194"/>
    <w:rsid w:val="00B03C78"/>
    <w:rsid w:val="00B0661D"/>
    <w:rsid w:val="00B101DA"/>
    <w:rsid w:val="00B218B6"/>
    <w:rsid w:val="00B27DB0"/>
    <w:rsid w:val="00B37A0F"/>
    <w:rsid w:val="00B45ADA"/>
    <w:rsid w:val="00B5599F"/>
    <w:rsid w:val="00B61105"/>
    <w:rsid w:val="00B67655"/>
    <w:rsid w:val="00B81E2C"/>
    <w:rsid w:val="00B86478"/>
    <w:rsid w:val="00B91326"/>
    <w:rsid w:val="00B92739"/>
    <w:rsid w:val="00BA12DF"/>
    <w:rsid w:val="00BA65A3"/>
    <w:rsid w:val="00BB4253"/>
    <w:rsid w:val="00BC1CA5"/>
    <w:rsid w:val="00BC2189"/>
    <w:rsid w:val="00BC4ED0"/>
    <w:rsid w:val="00BD1540"/>
    <w:rsid w:val="00BD4703"/>
    <w:rsid w:val="00C05E1F"/>
    <w:rsid w:val="00C2675C"/>
    <w:rsid w:val="00C3053E"/>
    <w:rsid w:val="00C32370"/>
    <w:rsid w:val="00C36925"/>
    <w:rsid w:val="00C45DB6"/>
    <w:rsid w:val="00C5683C"/>
    <w:rsid w:val="00C56A61"/>
    <w:rsid w:val="00C64781"/>
    <w:rsid w:val="00C81832"/>
    <w:rsid w:val="00C872CA"/>
    <w:rsid w:val="00C91195"/>
    <w:rsid w:val="00C95F76"/>
    <w:rsid w:val="00C9794C"/>
    <w:rsid w:val="00C97ECA"/>
    <w:rsid w:val="00CB13EF"/>
    <w:rsid w:val="00CB23F0"/>
    <w:rsid w:val="00CB2953"/>
    <w:rsid w:val="00CB4EAE"/>
    <w:rsid w:val="00CC4EEB"/>
    <w:rsid w:val="00CC6012"/>
    <w:rsid w:val="00CD2F82"/>
    <w:rsid w:val="00CF6FDE"/>
    <w:rsid w:val="00CF70BF"/>
    <w:rsid w:val="00CF75D1"/>
    <w:rsid w:val="00D050B2"/>
    <w:rsid w:val="00D05C5A"/>
    <w:rsid w:val="00D234C3"/>
    <w:rsid w:val="00D24D59"/>
    <w:rsid w:val="00D329A6"/>
    <w:rsid w:val="00D32E0F"/>
    <w:rsid w:val="00D3675B"/>
    <w:rsid w:val="00D3702B"/>
    <w:rsid w:val="00D44D57"/>
    <w:rsid w:val="00D46A9F"/>
    <w:rsid w:val="00D55E75"/>
    <w:rsid w:val="00D60117"/>
    <w:rsid w:val="00D6716C"/>
    <w:rsid w:val="00D8372C"/>
    <w:rsid w:val="00D90763"/>
    <w:rsid w:val="00DC24E3"/>
    <w:rsid w:val="00DC6943"/>
    <w:rsid w:val="00DD3A36"/>
    <w:rsid w:val="00DD3BBE"/>
    <w:rsid w:val="00DE5172"/>
    <w:rsid w:val="00E02355"/>
    <w:rsid w:val="00E028C0"/>
    <w:rsid w:val="00E04BF6"/>
    <w:rsid w:val="00E237D7"/>
    <w:rsid w:val="00E43D44"/>
    <w:rsid w:val="00E4518A"/>
    <w:rsid w:val="00E510C9"/>
    <w:rsid w:val="00E56F8D"/>
    <w:rsid w:val="00E57F3D"/>
    <w:rsid w:val="00E62C85"/>
    <w:rsid w:val="00E63936"/>
    <w:rsid w:val="00E70278"/>
    <w:rsid w:val="00E73EDD"/>
    <w:rsid w:val="00E94132"/>
    <w:rsid w:val="00EB0084"/>
    <w:rsid w:val="00EB6556"/>
    <w:rsid w:val="00EC036C"/>
    <w:rsid w:val="00EC1E52"/>
    <w:rsid w:val="00EC47BD"/>
    <w:rsid w:val="00EC7267"/>
    <w:rsid w:val="00ED701D"/>
    <w:rsid w:val="00ED756C"/>
    <w:rsid w:val="00EE490E"/>
    <w:rsid w:val="00F032E1"/>
    <w:rsid w:val="00F10D4F"/>
    <w:rsid w:val="00F11967"/>
    <w:rsid w:val="00F14768"/>
    <w:rsid w:val="00F15B50"/>
    <w:rsid w:val="00F30A82"/>
    <w:rsid w:val="00F31126"/>
    <w:rsid w:val="00F36C78"/>
    <w:rsid w:val="00F60070"/>
    <w:rsid w:val="00F65D6D"/>
    <w:rsid w:val="00F81FBE"/>
    <w:rsid w:val="00FA74A7"/>
    <w:rsid w:val="00FE0436"/>
    <w:rsid w:val="00FE3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B3B78BD8-FCC0-43E3-9E76-B8F19EB4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86"/>
    <w:rPr>
      <w:sz w:val="24"/>
    </w:rPr>
  </w:style>
  <w:style w:type="paragraph" w:styleId="Heading1">
    <w:name w:val="heading 1"/>
    <w:basedOn w:val="Normal"/>
    <w:next w:val="Normal"/>
    <w:qFormat/>
    <w:rsid w:val="00CB13EF"/>
    <w:pPr>
      <w:keepNext/>
      <w:numPr>
        <w:numId w:val="1"/>
      </w:numPr>
      <w:outlineLvl w:val="0"/>
    </w:pPr>
    <w:rPr>
      <w:b/>
      <w:caps/>
    </w:rPr>
  </w:style>
  <w:style w:type="paragraph" w:styleId="Heading2">
    <w:name w:val="heading 2"/>
    <w:basedOn w:val="Normal"/>
    <w:next w:val="Normal"/>
    <w:qFormat/>
    <w:rsid w:val="00CB13EF"/>
    <w:pPr>
      <w:keepNext/>
      <w:numPr>
        <w:ilvl w:val="1"/>
        <w:numId w:val="1"/>
      </w:numPr>
      <w:spacing w:before="360" w:after="60"/>
      <w:outlineLvl w:val="1"/>
    </w:pPr>
    <w:rPr>
      <w:b/>
    </w:rPr>
  </w:style>
  <w:style w:type="paragraph" w:styleId="Heading6">
    <w:name w:val="heading 6"/>
    <w:basedOn w:val="Normal"/>
    <w:next w:val="Normal"/>
    <w:qFormat/>
    <w:rsid w:val="00CB13EF"/>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1362E"/>
    <w:pPr>
      <w:tabs>
        <w:tab w:val="left" w:pos="7938"/>
      </w:tabs>
      <w:spacing w:line="240" w:lineRule="exact"/>
      <w:ind w:right="91"/>
    </w:pPr>
    <w:rPr>
      <w:i/>
    </w:rPr>
  </w:style>
  <w:style w:type="paragraph" w:styleId="BalloonText">
    <w:name w:val="Balloon Text"/>
    <w:basedOn w:val="Normal"/>
    <w:semiHidden/>
    <w:rsid w:val="0091362E"/>
    <w:rPr>
      <w:rFonts w:ascii="Tahoma" w:hAnsi="Tahoma" w:cs="Tahoma"/>
      <w:sz w:val="16"/>
      <w:szCs w:val="16"/>
    </w:rPr>
  </w:style>
  <w:style w:type="table" w:styleId="TableGrid">
    <w:name w:val="Table Grid"/>
    <w:basedOn w:val="TableNormal"/>
    <w:rsid w:val="009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362E"/>
    <w:pPr>
      <w:tabs>
        <w:tab w:val="center" w:pos="4320"/>
        <w:tab w:val="right" w:pos="8640"/>
      </w:tabs>
    </w:pPr>
  </w:style>
  <w:style w:type="character" w:styleId="PageNumber">
    <w:name w:val="page number"/>
    <w:basedOn w:val="DefaultParagraphFont"/>
    <w:rsid w:val="0091362E"/>
  </w:style>
  <w:style w:type="paragraph" w:styleId="Footer">
    <w:name w:val="footer"/>
    <w:basedOn w:val="Normal"/>
    <w:rsid w:val="00CB13EF"/>
    <w:pPr>
      <w:tabs>
        <w:tab w:val="center" w:pos="4153"/>
        <w:tab w:val="right" w:pos="8306"/>
      </w:tabs>
      <w:spacing w:before="240"/>
    </w:pPr>
  </w:style>
  <w:style w:type="paragraph" w:customStyle="1" w:styleId="HB-Paragraph">
    <w:name w:val="HB - Paragraph"/>
    <w:basedOn w:val="Normal"/>
    <w:rsid w:val="00CB13EF"/>
    <w:pPr>
      <w:numPr>
        <w:ilvl w:val="2"/>
        <w:numId w:val="1"/>
      </w:numPr>
      <w:spacing w:before="120" w:after="120"/>
    </w:pPr>
  </w:style>
  <w:style w:type="paragraph" w:customStyle="1" w:styleId="A2">
    <w:name w:val="A2"/>
    <w:aliases w:val="1.1 amendment,Instruction amendment"/>
    <w:basedOn w:val="Normal"/>
    <w:next w:val="Normal"/>
    <w:rsid w:val="00AC0395"/>
    <w:pPr>
      <w:tabs>
        <w:tab w:val="right" w:pos="794"/>
      </w:tabs>
      <w:spacing w:before="120" w:line="260" w:lineRule="exact"/>
      <w:ind w:left="964" w:hanging="964"/>
      <w:jc w:val="both"/>
    </w:pPr>
    <w:rPr>
      <w:szCs w:val="24"/>
      <w:lang w:eastAsia="en-US"/>
    </w:rPr>
  </w:style>
  <w:style w:type="character" w:styleId="CommentReference">
    <w:name w:val="annotation reference"/>
    <w:semiHidden/>
    <w:rsid w:val="00CB4EAE"/>
    <w:rPr>
      <w:sz w:val="16"/>
      <w:szCs w:val="16"/>
    </w:rPr>
  </w:style>
  <w:style w:type="paragraph" w:styleId="CommentText">
    <w:name w:val="annotation text"/>
    <w:basedOn w:val="Normal"/>
    <w:semiHidden/>
    <w:rsid w:val="00CB4EAE"/>
    <w:rPr>
      <w:sz w:val="20"/>
    </w:rPr>
  </w:style>
  <w:style w:type="paragraph" w:styleId="CommentSubject">
    <w:name w:val="annotation subject"/>
    <w:basedOn w:val="CommentText"/>
    <w:next w:val="CommentText"/>
    <w:semiHidden/>
    <w:rsid w:val="00CB4EAE"/>
    <w:rPr>
      <w:b/>
      <w:bCs/>
    </w:rPr>
  </w:style>
  <w:style w:type="paragraph" w:customStyle="1" w:styleId="ShortT">
    <w:name w:val="ShortT"/>
    <w:basedOn w:val="Normal"/>
    <w:next w:val="Normal"/>
    <w:qFormat/>
    <w:rsid w:val="00914ECD"/>
    <w:rPr>
      <w:b/>
      <w:sz w:val="40"/>
    </w:rPr>
  </w:style>
  <w:style w:type="character" w:styleId="Emphasis">
    <w:name w:val="Emphasis"/>
    <w:uiPriority w:val="20"/>
    <w:qFormat/>
    <w:rsid w:val="00914ECD"/>
    <w:rPr>
      <w:i/>
      <w:iCs/>
    </w:rPr>
  </w:style>
  <w:style w:type="paragraph" w:styleId="Revision">
    <w:name w:val="Revision"/>
    <w:hidden/>
    <w:uiPriority w:val="99"/>
    <w:semiHidden/>
    <w:rsid w:val="00301B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BB62F9F4.dotm</Template>
  <TotalTime>0</TotalTime>
  <Pages>4</Pages>
  <Words>1086</Words>
  <Characters>6173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Lloyd</dc:creator>
  <cp:lastModifiedBy>Pearson, Kelly</cp:lastModifiedBy>
  <cp:revision>2</cp:revision>
  <dcterms:created xsi:type="dcterms:W3CDTF">2016-12-07T01:50:00Z</dcterms:created>
  <dcterms:modified xsi:type="dcterms:W3CDTF">2016-12-07T01:50:00Z</dcterms:modified>
</cp:coreProperties>
</file>